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C92D" w14:textId="77777777" w:rsidR="002510A5" w:rsidRPr="00A10D67" w:rsidRDefault="002510A5" w:rsidP="00037182">
      <w:pPr>
        <w:jc w:val="center"/>
        <w:rPr>
          <w:b/>
          <w:bCs/>
          <w:iCs/>
          <w:sz w:val="22"/>
          <w:szCs w:val="22"/>
          <w:u w:val="single"/>
          <w:lang w:val="sr-Latn-ME"/>
        </w:rPr>
      </w:pPr>
      <w:r w:rsidRPr="00A10D67">
        <w:rPr>
          <w:b/>
          <w:bCs/>
          <w:iCs/>
          <w:sz w:val="22"/>
          <w:szCs w:val="22"/>
          <w:u w:val="single"/>
          <w:lang w:val="sr-Latn-ME"/>
        </w:rPr>
        <w:t>SAŽETAK KARAKTERISTIKA LIJEKA</w:t>
      </w:r>
    </w:p>
    <w:p w14:paraId="4E789265" w14:textId="77777777" w:rsidR="002510A5" w:rsidRPr="00A10D67" w:rsidRDefault="002510A5" w:rsidP="00757BEE">
      <w:pPr>
        <w:jc w:val="both"/>
        <w:rPr>
          <w:b/>
          <w:bCs/>
          <w:i/>
          <w:iCs/>
          <w:sz w:val="22"/>
          <w:szCs w:val="22"/>
          <w:u w:val="single"/>
          <w:lang w:val="sr-Latn-ME"/>
        </w:rPr>
      </w:pPr>
    </w:p>
    <w:p w14:paraId="02951EBD" w14:textId="77777777" w:rsidR="003C17AB" w:rsidRPr="00A10D67" w:rsidRDefault="003C17AB" w:rsidP="00757BEE">
      <w:pPr>
        <w:jc w:val="both"/>
        <w:rPr>
          <w:sz w:val="22"/>
          <w:szCs w:val="22"/>
          <w:lang w:val="sr-Latn-ME"/>
        </w:rPr>
      </w:pPr>
    </w:p>
    <w:p w14:paraId="0CF8B058" w14:textId="77777777" w:rsidR="003C17AB" w:rsidRPr="00A10D67" w:rsidRDefault="003C17AB" w:rsidP="00757BEE">
      <w:pPr>
        <w:tabs>
          <w:tab w:val="left" w:pos="540"/>
          <w:tab w:val="left" w:pos="569"/>
        </w:tabs>
        <w:jc w:val="both"/>
        <w:rPr>
          <w:noProof/>
          <w:sz w:val="22"/>
          <w:szCs w:val="22"/>
          <w:lang w:val="sr-Latn-ME"/>
        </w:rPr>
      </w:pPr>
    </w:p>
    <w:p w14:paraId="3B91E4C1" w14:textId="77777777" w:rsidR="00C37FD7" w:rsidRPr="00A10D67" w:rsidRDefault="00C37FD7" w:rsidP="00757BEE">
      <w:pPr>
        <w:tabs>
          <w:tab w:val="left" w:pos="540"/>
          <w:tab w:val="left" w:pos="569"/>
        </w:tabs>
        <w:jc w:val="both"/>
        <w:rPr>
          <w:bCs/>
          <w:sz w:val="22"/>
          <w:szCs w:val="22"/>
          <w:lang w:val="sr-Latn-ME"/>
        </w:rPr>
      </w:pPr>
    </w:p>
    <w:p w14:paraId="67019036" w14:textId="77777777" w:rsidR="00411B4B" w:rsidRPr="00A10D67" w:rsidRDefault="00411B4B" w:rsidP="00757BEE">
      <w:pPr>
        <w:tabs>
          <w:tab w:val="left" w:pos="540"/>
          <w:tab w:val="left" w:pos="569"/>
        </w:tabs>
        <w:jc w:val="both"/>
        <w:rPr>
          <w:b/>
          <w:bCs/>
          <w:sz w:val="22"/>
          <w:szCs w:val="22"/>
          <w:lang w:val="sr-Latn-ME"/>
        </w:rPr>
      </w:pPr>
      <w:r w:rsidRPr="00A10D67">
        <w:rPr>
          <w:b/>
          <w:bCs/>
          <w:sz w:val="22"/>
          <w:szCs w:val="22"/>
          <w:lang w:val="sr-Latn-ME"/>
        </w:rPr>
        <w:t>1.</w:t>
      </w:r>
      <w:r w:rsidR="00F5167F" w:rsidRPr="00A10D67">
        <w:rPr>
          <w:b/>
          <w:bCs/>
          <w:sz w:val="22"/>
          <w:szCs w:val="22"/>
          <w:lang w:val="sr-Latn-ME"/>
        </w:rPr>
        <w:tab/>
      </w:r>
      <w:r w:rsidR="002846DB" w:rsidRPr="00A10D67">
        <w:rPr>
          <w:b/>
          <w:bCs/>
          <w:sz w:val="22"/>
          <w:szCs w:val="22"/>
          <w:lang w:val="sr-Latn-ME"/>
        </w:rPr>
        <w:t xml:space="preserve">NAZIV </w:t>
      </w:r>
      <w:r w:rsidRPr="00A10D67">
        <w:rPr>
          <w:b/>
          <w:bCs/>
          <w:sz w:val="22"/>
          <w:szCs w:val="22"/>
          <w:lang w:val="sr-Latn-ME"/>
        </w:rPr>
        <w:t>LIJEKA</w:t>
      </w:r>
    </w:p>
    <w:p w14:paraId="42064820" w14:textId="77777777" w:rsidR="00EC2532" w:rsidRPr="00A10D67" w:rsidRDefault="00EC2532" w:rsidP="00757BEE">
      <w:pPr>
        <w:jc w:val="both"/>
        <w:rPr>
          <w:sz w:val="22"/>
          <w:szCs w:val="22"/>
          <w:lang w:val="sr-Latn-ME"/>
        </w:rPr>
      </w:pPr>
    </w:p>
    <w:p w14:paraId="51EEC510" w14:textId="773EE3B2" w:rsidR="00BA52C6" w:rsidRPr="00A10D67" w:rsidRDefault="00BA52C6" w:rsidP="00757BEE">
      <w:pPr>
        <w:pStyle w:val="Header"/>
        <w:tabs>
          <w:tab w:val="left" w:pos="284"/>
        </w:tabs>
        <w:jc w:val="both"/>
        <w:rPr>
          <w:bCs/>
          <w:sz w:val="22"/>
          <w:szCs w:val="22"/>
          <w:lang w:val="sr-Latn-ME"/>
        </w:rPr>
      </w:pPr>
      <w:r w:rsidRPr="00A10D67">
        <w:rPr>
          <w:sz w:val="22"/>
          <w:szCs w:val="22"/>
          <w:lang w:val="sr-Latn-ME"/>
        </w:rPr>
        <w:t xml:space="preserve">IRUZID, </w:t>
      </w:r>
      <w:r w:rsidRPr="00A10D67">
        <w:rPr>
          <w:bCs/>
          <w:sz w:val="22"/>
          <w:szCs w:val="22"/>
          <w:lang w:val="sr-Latn-ME"/>
        </w:rPr>
        <w:t>10</w:t>
      </w:r>
      <w:r w:rsidR="00E7117E" w:rsidRPr="00A10D67">
        <w:rPr>
          <w:bCs/>
          <w:sz w:val="22"/>
          <w:szCs w:val="22"/>
          <w:lang w:val="sr-Latn-ME"/>
        </w:rPr>
        <w:t xml:space="preserve"> mg + </w:t>
      </w:r>
      <w:r w:rsidRPr="00A10D67">
        <w:rPr>
          <w:bCs/>
          <w:sz w:val="22"/>
          <w:szCs w:val="22"/>
          <w:lang w:val="sr-Latn-ME"/>
        </w:rPr>
        <w:t>12,5 mg, tableta</w:t>
      </w:r>
    </w:p>
    <w:p w14:paraId="500AD90B" w14:textId="47F7034F" w:rsidR="00BA52C6" w:rsidRPr="00A10D67" w:rsidRDefault="00BA52C6" w:rsidP="00757BEE">
      <w:pPr>
        <w:pStyle w:val="Header"/>
        <w:tabs>
          <w:tab w:val="left" w:pos="284"/>
        </w:tabs>
        <w:jc w:val="both"/>
        <w:rPr>
          <w:bCs/>
          <w:sz w:val="22"/>
          <w:szCs w:val="22"/>
          <w:lang w:val="sr-Latn-ME"/>
        </w:rPr>
      </w:pPr>
      <w:r w:rsidRPr="00A10D67">
        <w:rPr>
          <w:sz w:val="22"/>
          <w:szCs w:val="22"/>
          <w:lang w:val="sr-Latn-ME"/>
        </w:rPr>
        <w:t xml:space="preserve">IRUZID, </w:t>
      </w:r>
      <w:r w:rsidRPr="00A10D67">
        <w:rPr>
          <w:bCs/>
          <w:sz w:val="22"/>
          <w:szCs w:val="22"/>
          <w:lang w:val="sr-Latn-ME"/>
        </w:rPr>
        <w:t>20</w:t>
      </w:r>
      <w:r w:rsidR="00E7117E" w:rsidRPr="00A10D67">
        <w:rPr>
          <w:bCs/>
          <w:sz w:val="22"/>
          <w:szCs w:val="22"/>
          <w:lang w:val="sr-Latn-ME"/>
        </w:rPr>
        <w:t xml:space="preserve"> mg + </w:t>
      </w:r>
      <w:r w:rsidRPr="00A10D67">
        <w:rPr>
          <w:bCs/>
          <w:sz w:val="22"/>
          <w:szCs w:val="22"/>
          <w:lang w:val="sr-Latn-ME"/>
        </w:rPr>
        <w:t>12,5 mg, tableta</w:t>
      </w:r>
    </w:p>
    <w:p w14:paraId="40D72302" w14:textId="77777777" w:rsidR="000D425A" w:rsidRPr="00A10D67" w:rsidRDefault="000D425A" w:rsidP="00757BEE">
      <w:pPr>
        <w:jc w:val="both"/>
        <w:rPr>
          <w:bCs/>
          <w:sz w:val="22"/>
          <w:szCs w:val="22"/>
          <w:lang w:val="sr-Latn-ME"/>
        </w:rPr>
      </w:pPr>
    </w:p>
    <w:p w14:paraId="1866CCEF" w14:textId="685B9F15" w:rsidR="006D20A5" w:rsidRPr="00A10D67" w:rsidRDefault="006D20A5" w:rsidP="00757BEE">
      <w:pPr>
        <w:pStyle w:val="Header"/>
        <w:tabs>
          <w:tab w:val="left" w:pos="284"/>
        </w:tabs>
        <w:jc w:val="both"/>
        <w:rPr>
          <w:sz w:val="22"/>
          <w:szCs w:val="22"/>
          <w:lang w:val="sr-Latn-ME"/>
        </w:rPr>
      </w:pPr>
      <w:r w:rsidRPr="00A10D67">
        <w:rPr>
          <w:sz w:val="22"/>
          <w:szCs w:val="22"/>
          <w:lang w:val="sr-Latn-ME"/>
        </w:rPr>
        <w:t>INN:</w:t>
      </w:r>
      <w:r w:rsidR="00BA52C6" w:rsidRPr="00A10D67">
        <w:rPr>
          <w:sz w:val="22"/>
          <w:szCs w:val="22"/>
          <w:lang w:val="sr-Latn-ME"/>
        </w:rPr>
        <w:t xml:space="preserve"> lizinopril, hidrohlortiazid</w:t>
      </w:r>
      <w:r w:rsidR="00BA52C6" w:rsidRPr="00A10D67">
        <w:rPr>
          <w:sz w:val="22"/>
          <w:szCs w:val="22"/>
          <w:lang w:val="sr-Latn-ME"/>
        </w:rPr>
        <w:tab/>
      </w:r>
    </w:p>
    <w:p w14:paraId="3AD0B20F" w14:textId="77777777" w:rsidR="006D20A5" w:rsidRPr="00A10D67" w:rsidRDefault="006D20A5" w:rsidP="00757BEE">
      <w:pPr>
        <w:jc w:val="both"/>
        <w:rPr>
          <w:bCs/>
          <w:sz w:val="22"/>
          <w:szCs w:val="22"/>
          <w:lang w:val="sr-Latn-ME"/>
        </w:rPr>
      </w:pPr>
    </w:p>
    <w:p w14:paraId="734BBCFE" w14:textId="77777777" w:rsidR="00530BD7" w:rsidRPr="00A10D67" w:rsidRDefault="00530BD7" w:rsidP="00757BEE">
      <w:pPr>
        <w:jc w:val="both"/>
        <w:rPr>
          <w:bCs/>
          <w:sz w:val="22"/>
          <w:szCs w:val="22"/>
          <w:lang w:val="sr-Latn-ME"/>
        </w:rPr>
      </w:pPr>
    </w:p>
    <w:p w14:paraId="3B9E4A6B" w14:textId="77777777" w:rsidR="00411B4B" w:rsidRPr="00A10D67" w:rsidRDefault="00411B4B" w:rsidP="00757BEE">
      <w:pPr>
        <w:tabs>
          <w:tab w:val="left" w:pos="540"/>
          <w:tab w:val="left" w:pos="569"/>
        </w:tabs>
        <w:jc w:val="both"/>
        <w:rPr>
          <w:b/>
          <w:bCs/>
          <w:sz w:val="22"/>
          <w:szCs w:val="22"/>
          <w:lang w:val="sr-Latn-ME"/>
        </w:rPr>
      </w:pPr>
      <w:r w:rsidRPr="00A10D67">
        <w:rPr>
          <w:b/>
          <w:bCs/>
          <w:sz w:val="22"/>
          <w:szCs w:val="22"/>
          <w:lang w:val="sr-Latn-ME"/>
        </w:rPr>
        <w:t xml:space="preserve">2. </w:t>
      </w:r>
      <w:r w:rsidR="00F5167F" w:rsidRPr="00A10D67">
        <w:rPr>
          <w:b/>
          <w:bCs/>
          <w:sz w:val="22"/>
          <w:szCs w:val="22"/>
          <w:lang w:val="sr-Latn-ME"/>
        </w:rPr>
        <w:tab/>
      </w:r>
      <w:r w:rsidRPr="00A10D67">
        <w:rPr>
          <w:b/>
          <w:bCs/>
          <w:sz w:val="22"/>
          <w:szCs w:val="22"/>
          <w:lang w:val="sr-Latn-ME"/>
        </w:rPr>
        <w:t>KVALITATIVNI I KVANTITATIVNI SASTAV</w:t>
      </w:r>
    </w:p>
    <w:p w14:paraId="517F4617" w14:textId="77777777" w:rsidR="00BA52C6" w:rsidRPr="00A10D67" w:rsidRDefault="00BA52C6" w:rsidP="00757BEE">
      <w:pPr>
        <w:tabs>
          <w:tab w:val="left" w:pos="540"/>
          <w:tab w:val="left" w:pos="569"/>
        </w:tabs>
        <w:jc w:val="both"/>
        <w:rPr>
          <w:b/>
          <w:bCs/>
          <w:sz w:val="22"/>
          <w:szCs w:val="22"/>
          <w:lang w:val="sr-Latn-ME"/>
        </w:rPr>
      </w:pPr>
    </w:p>
    <w:p w14:paraId="46901C38" w14:textId="372E38A5" w:rsidR="00BA52C6" w:rsidRPr="00A10D67" w:rsidRDefault="00BA52C6" w:rsidP="00757BEE">
      <w:pPr>
        <w:tabs>
          <w:tab w:val="left" w:pos="567"/>
        </w:tabs>
        <w:jc w:val="both"/>
        <w:rPr>
          <w:sz w:val="22"/>
          <w:szCs w:val="22"/>
          <w:lang w:val="sr-Latn-ME"/>
        </w:rPr>
      </w:pPr>
      <w:r w:rsidRPr="00A10D67">
        <w:rPr>
          <w:sz w:val="22"/>
          <w:szCs w:val="22"/>
          <w:lang w:val="sr-Latn-ME"/>
        </w:rPr>
        <w:t>Jedna IRUZID</w:t>
      </w:r>
      <w:r w:rsidRPr="00A10D67">
        <w:rPr>
          <w:sz w:val="22"/>
          <w:szCs w:val="22"/>
          <w:vertAlign w:val="superscript"/>
          <w:lang w:val="sr-Latn-ME"/>
        </w:rPr>
        <w:t xml:space="preserve"> </w:t>
      </w:r>
      <w:r w:rsidRPr="00A10D67">
        <w:rPr>
          <w:sz w:val="22"/>
          <w:szCs w:val="22"/>
          <w:lang w:val="sr-Latn-ME"/>
        </w:rPr>
        <w:t>10</w:t>
      </w:r>
      <w:r w:rsidR="00E7117E" w:rsidRPr="00A10D67">
        <w:rPr>
          <w:sz w:val="22"/>
          <w:szCs w:val="22"/>
          <w:lang w:val="sr-Latn-ME"/>
        </w:rPr>
        <w:t xml:space="preserve"> mg + </w:t>
      </w:r>
      <w:r w:rsidRPr="00A10D67">
        <w:rPr>
          <w:sz w:val="22"/>
          <w:szCs w:val="22"/>
          <w:lang w:val="sr-Latn-ME"/>
        </w:rPr>
        <w:t>12,5 mg tableta</w:t>
      </w:r>
      <w:r w:rsidRPr="00A10D67">
        <w:rPr>
          <w:b/>
          <w:sz w:val="22"/>
          <w:szCs w:val="22"/>
          <w:lang w:val="sr-Latn-ME"/>
        </w:rPr>
        <w:t xml:space="preserve"> </w:t>
      </w:r>
      <w:r w:rsidRPr="00A10D67">
        <w:rPr>
          <w:sz w:val="22"/>
          <w:szCs w:val="22"/>
          <w:lang w:val="sr-Latn-ME"/>
        </w:rPr>
        <w:t>sadrži 10 mg lizinoprila u obliku lizinopril</w:t>
      </w:r>
      <w:r w:rsidR="007476CA" w:rsidRPr="00A10D67">
        <w:rPr>
          <w:sz w:val="22"/>
          <w:szCs w:val="22"/>
          <w:lang w:val="sr-Latn-ME"/>
        </w:rPr>
        <w:t xml:space="preserve"> </w:t>
      </w:r>
      <w:r w:rsidRPr="00A10D67">
        <w:rPr>
          <w:sz w:val="22"/>
          <w:szCs w:val="22"/>
          <w:lang w:val="sr-Latn-ME"/>
        </w:rPr>
        <w:t>dihidrata</w:t>
      </w:r>
      <w:r w:rsidR="007476CA" w:rsidRPr="00A10D67">
        <w:rPr>
          <w:sz w:val="22"/>
          <w:szCs w:val="22"/>
          <w:lang w:val="sr-Latn-ME"/>
        </w:rPr>
        <w:t xml:space="preserve"> i</w:t>
      </w:r>
      <w:r w:rsidRPr="00A10D67">
        <w:rPr>
          <w:sz w:val="22"/>
          <w:szCs w:val="22"/>
          <w:lang w:val="sr-Latn-ME"/>
        </w:rPr>
        <w:t xml:space="preserve"> 12,5 mg hidrohlortiazida.</w:t>
      </w:r>
    </w:p>
    <w:p w14:paraId="0B20D095" w14:textId="77777777" w:rsidR="00E7117E" w:rsidRPr="00A10D67" w:rsidRDefault="00E7117E" w:rsidP="00757BEE">
      <w:pPr>
        <w:tabs>
          <w:tab w:val="left" w:pos="567"/>
        </w:tabs>
        <w:jc w:val="both"/>
        <w:rPr>
          <w:sz w:val="22"/>
          <w:szCs w:val="22"/>
          <w:lang w:val="sr-Latn-ME"/>
        </w:rPr>
      </w:pPr>
    </w:p>
    <w:p w14:paraId="21977B91" w14:textId="434B6B99" w:rsidR="00BA52C6" w:rsidRPr="00A10D67" w:rsidRDefault="00BA52C6" w:rsidP="00757BEE">
      <w:pPr>
        <w:tabs>
          <w:tab w:val="left" w:pos="567"/>
        </w:tabs>
        <w:jc w:val="both"/>
        <w:rPr>
          <w:b/>
          <w:sz w:val="22"/>
          <w:szCs w:val="22"/>
          <w:lang w:val="sr-Latn-ME"/>
        </w:rPr>
      </w:pPr>
      <w:r w:rsidRPr="00A10D67">
        <w:rPr>
          <w:sz w:val="22"/>
          <w:szCs w:val="22"/>
          <w:lang w:val="sr-Latn-ME"/>
        </w:rPr>
        <w:t>Jedna IRUZID</w:t>
      </w:r>
      <w:r w:rsidRPr="00A10D67">
        <w:rPr>
          <w:sz w:val="22"/>
          <w:szCs w:val="22"/>
          <w:vertAlign w:val="superscript"/>
          <w:lang w:val="sr-Latn-ME"/>
        </w:rPr>
        <w:t xml:space="preserve"> </w:t>
      </w:r>
      <w:r w:rsidRPr="00A10D67">
        <w:rPr>
          <w:sz w:val="22"/>
          <w:szCs w:val="22"/>
          <w:lang w:val="sr-Latn-ME"/>
        </w:rPr>
        <w:t>20</w:t>
      </w:r>
      <w:r w:rsidR="00E7117E" w:rsidRPr="00A10D67">
        <w:rPr>
          <w:sz w:val="22"/>
          <w:szCs w:val="22"/>
          <w:lang w:val="sr-Latn-ME"/>
        </w:rPr>
        <w:t xml:space="preserve"> mg + </w:t>
      </w:r>
      <w:r w:rsidRPr="00A10D67">
        <w:rPr>
          <w:sz w:val="22"/>
          <w:szCs w:val="22"/>
          <w:lang w:val="sr-Latn-ME"/>
        </w:rPr>
        <w:t>12,5 mg tableta</w:t>
      </w:r>
      <w:r w:rsidRPr="00A10D67">
        <w:rPr>
          <w:b/>
          <w:sz w:val="22"/>
          <w:szCs w:val="22"/>
          <w:lang w:val="sr-Latn-ME"/>
        </w:rPr>
        <w:t xml:space="preserve"> </w:t>
      </w:r>
      <w:r w:rsidRPr="00A10D67">
        <w:rPr>
          <w:sz w:val="22"/>
          <w:szCs w:val="22"/>
          <w:lang w:val="sr-Latn-ME"/>
        </w:rPr>
        <w:t>sadrži 20 mg lizinoprila u obliku lizinopril dihidrata</w:t>
      </w:r>
      <w:r w:rsidR="007476CA" w:rsidRPr="00A10D67">
        <w:rPr>
          <w:sz w:val="22"/>
          <w:szCs w:val="22"/>
          <w:lang w:val="sr-Latn-ME"/>
        </w:rPr>
        <w:t xml:space="preserve"> i</w:t>
      </w:r>
      <w:r w:rsidRPr="00A10D67">
        <w:rPr>
          <w:sz w:val="22"/>
          <w:szCs w:val="22"/>
          <w:lang w:val="sr-Latn-ME"/>
        </w:rPr>
        <w:t xml:space="preserve"> 12,5 mg hidrohlortiazida.</w:t>
      </w:r>
    </w:p>
    <w:p w14:paraId="14E41B9F" w14:textId="77777777" w:rsidR="00CC4FC4" w:rsidRPr="00A10D67" w:rsidRDefault="00CC4FC4" w:rsidP="00757BEE">
      <w:pPr>
        <w:jc w:val="both"/>
        <w:rPr>
          <w:sz w:val="22"/>
          <w:szCs w:val="22"/>
          <w:lang w:val="sr-Latn-ME"/>
        </w:rPr>
      </w:pPr>
    </w:p>
    <w:p w14:paraId="4B6C40BE" w14:textId="2735D764" w:rsidR="00BA52C6" w:rsidRPr="00A10D67" w:rsidRDefault="00BA52C6" w:rsidP="00757BEE">
      <w:pPr>
        <w:jc w:val="both"/>
        <w:rPr>
          <w:sz w:val="22"/>
          <w:szCs w:val="22"/>
          <w:lang w:val="sr-Latn-ME"/>
        </w:rPr>
      </w:pPr>
      <w:r w:rsidRPr="00A10D67">
        <w:rPr>
          <w:sz w:val="22"/>
          <w:szCs w:val="22"/>
          <w:lang w:val="sr-Latn-ME"/>
        </w:rPr>
        <w:t xml:space="preserve">Za </w:t>
      </w:r>
      <w:r w:rsidR="00E7117E" w:rsidRPr="00A10D67">
        <w:rPr>
          <w:sz w:val="22"/>
          <w:szCs w:val="22"/>
          <w:lang w:val="sr-Latn-ME"/>
        </w:rPr>
        <w:t xml:space="preserve">spisak </w:t>
      </w:r>
      <w:r w:rsidRPr="00A10D67">
        <w:rPr>
          <w:sz w:val="22"/>
          <w:szCs w:val="22"/>
          <w:lang w:val="sr-Latn-ME"/>
        </w:rPr>
        <w:t xml:space="preserve">svih </w:t>
      </w:r>
      <w:r w:rsidR="00E7117E" w:rsidRPr="00A10D67">
        <w:rPr>
          <w:sz w:val="22"/>
          <w:szCs w:val="22"/>
          <w:lang w:val="sr-Latn-ME"/>
        </w:rPr>
        <w:t>ekscipijenasa</w:t>
      </w:r>
      <w:r w:rsidRPr="00A10D67">
        <w:rPr>
          <w:sz w:val="22"/>
          <w:szCs w:val="22"/>
          <w:lang w:val="sr-Latn-ME"/>
        </w:rPr>
        <w:t xml:space="preserve">, </w:t>
      </w:r>
      <w:r w:rsidR="00E7117E" w:rsidRPr="00A10D67">
        <w:rPr>
          <w:sz w:val="22"/>
          <w:szCs w:val="22"/>
          <w:lang w:val="sr-Latn-ME"/>
        </w:rPr>
        <w:t>pogledati dio</w:t>
      </w:r>
      <w:r w:rsidR="00432709" w:rsidRPr="00A10D67">
        <w:rPr>
          <w:sz w:val="22"/>
          <w:szCs w:val="22"/>
          <w:lang w:val="sr-Latn-ME"/>
        </w:rPr>
        <w:t xml:space="preserve"> </w:t>
      </w:r>
      <w:r w:rsidR="00C528EE" w:rsidRPr="00A10D67">
        <w:rPr>
          <w:sz w:val="22"/>
          <w:szCs w:val="22"/>
          <w:lang w:val="sr-Latn-ME"/>
        </w:rPr>
        <w:t xml:space="preserve"> </w:t>
      </w:r>
      <w:r w:rsidRPr="00A10D67">
        <w:rPr>
          <w:sz w:val="22"/>
          <w:szCs w:val="22"/>
          <w:lang w:val="sr-Latn-ME"/>
        </w:rPr>
        <w:t>6.1.</w:t>
      </w:r>
    </w:p>
    <w:p w14:paraId="4299C54F" w14:textId="77777777" w:rsidR="005A0B2E" w:rsidRPr="00A10D67" w:rsidRDefault="005A0B2E" w:rsidP="00757BEE">
      <w:pPr>
        <w:jc w:val="both"/>
        <w:rPr>
          <w:sz w:val="22"/>
          <w:szCs w:val="22"/>
          <w:lang w:val="sr-Latn-ME"/>
        </w:rPr>
      </w:pPr>
    </w:p>
    <w:p w14:paraId="0940C4C8" w14:textId="77777777" w:rsidR="00C37FD7" w:rsidRPr="00A10D67" w:rsidRDefault="00C37FD7" w:rsidP="00757BEE">
      <w:pPr>
        <w:jc w:val="both"/>
        <w:rPr>
          <w:sz w:val="22"/>
          <w:szCs w:val="22"/>
          <w:lang w:val="sr-Latn-ME"/>
        </w:rPr>
      </w:pPr>
    </w:p>
    <w:p w14:paraId="14C9DC3D" w14:textId="77777777" w:rsidR="00411B4B" w:rsidRPr="00A10D67" w:rsidRDefault="00411B4B" w:rsidP="00757BEE">
      <w:pPr>
        <w:tabs>
          <w:tab w:val="left" w:pos="540"/>
          <w:tab w:val="left" w:pos="569"/>
        </w:tabs>
        <w:jc w:val="both"/>
        <w:rPr>
          <w:b/>
          <w:bCs/>
          <w:sz w:val="22"/>
          <w:szCs w:val="22"/>
          <w:lang w:val="sr-Latn-ME"/>
        </w:rPr>
      </w:pPr>
      <w:r w:rsidRPr="00A10D67">
        <w:rPr>
          <w:b/>
          <w:bCs/>
          <w:sz w:val="22"/>
          <w:szCs w:val="22"/>
          <w:lang w:val="sr-Latn-ME"/>
        </w:rPr>
        <w:t xml:space="preserve">3. </w:t>
      </w:r>
      <w:r w:rsidR="00F5167F" w:rsidRPr="00A10D67">
        <w:rPr>
          <w:b/>
          <w:bCs/>
          <w:sz w:val="22"/>
          <w:szCs w:val="22"/>
          <w:lang w:val="sr-Latn-ME"/>
        </w:rPr>
        <w:tab/>
      </w:r>
      <w:r w:rsidRPr="00A10D67">
        <w:rPr>
          <w:b/>
          <w:bCs/>
          <w:sz w:val="22"/>
          <w:szCs w:val="22"/>
          <w:lang w:val="sr-Latn-ME"/>
        </w:rPr>
        <w:t>FARMACEUTSKI OBLIK</w:t>
      </w:r>
      <w:r w:rsidR="009F2D23" w:rsidRPr="00A10D67">
        <w:rPr>
          <w:b/>
          <w:bCs/>
          <w:sz w:val="22"/>
          <w:szCs w:val="22"/>
          <w:lang w:val="sr-Latn-ME"/>
        </w:rPr>
        <w:t xml:space="preserve"> </w:t>
      </w:r>
    </w:p>
    <w:p w14:paraId="0C168DE4" w14:textId="77777777" w:rsidR="00BA52C6" w:rsidRPr="00A10D67" w:rsidRDefault="00BA52C6" w:rsidP="00757BEE">
      <w:pPr>
        <w:tabs>
          <w:tab w:val="left" w:pos="540"/>
          <w:tab w:val="left" w:pos="569"/>
        </w:tabs>
        <w:jc w:val="both"/>
        <w:rPr>
          <w:b/>
          <w:bCs/>
          <w:sz w:val="22"/>
          <w:szCs w:val="22"/>
          <w:lang w:val="sr-Latn-ME"/>
        </w:rPr>
      </w:pPr>
    </w:p>
    <w:p w14:paraId="47E84E3F" w14:textId="77777777" w:rsidR="00BA52C6" w:rsidRPr="00A10D67" w:rsidRDefault="00BA52C6" w:rsidP="00757BEE">
      <w:pPr>
        <w:pStyle w:val="Header"/>
        <w:tabs>
          <w:tab w:val="left" w:pos="284"/>
        </w:tabs>
        <w:jc w:val="both"/>
        <w:rPr>
          <w:sz w:val="22"/>
          <w:szCs w:val="22"/>
          <w:lang w:val="sr-Latn-ME"/>
        </w:rPr>
      </w:pPr>
      <w:r w:rsidRPr="00A10D67">
        <w:rPr>
          <w:sz w:val="22"/>
          <w:szCs w:val="22"/>
          <w:lang w:val="sr-Latn-ME"/>
        </w:rPr>
        <w:t>Tableta.</w:t>
      </w:r>
    </w:p>
    <w:p w14:paraId="6A320626" w14:textId="77777777" w:rsidR="00CC4FC4" w:rsidRPr="00A10D67" w:rsidRDefault="00CC4FC4" w:rsidP="00757BEE">
      <w:pPr>
        <w:pStyle w:val="Header"/>
        <w:tabs>
          <w:tab w:val="left" w:pos="284"/>
        </w:tabs>
        <w:jc w:val="both"/>
        <w:rPr>
          <w:sz w:val="22"/>
          <w:szCs w:val="22"/>
          <w:lang w:val="sr-Latn-ME"/>
        </w:rPr>
      </w:pPr>
    </w:p>
    <w:p w14:paraId="360E9989" w14:textId="4E5C4EC8" w:rsidR="00BA52C6" w:rsidRPr="00A10D67" w:rsidRDefault="00BA52C6" w:rsidP="00E03B67">
      <w:pPr>
        <w:tabs>
          <w:tab w:val="left" w:pos="567"/>
        </w:tabs>
        <w:jc w:val="both"/>
        <w:rPr>
          <w:sz w:val="22"/>
          <w:szCs w:val="22"/>
          <w:lang w:val="sr-Latn-ME"/>
        </w:rPr>
      </w:pPr>
      <w:r w:rsidRPr="00A10D67">
        <w:rPr>
          <w:sz w:val="22"/>
          <w:szCs w:val="22"/>
          <w:lang w:val="sr-Latn-ME"/>
        </w:rPr>
        <w:t>IRUZID 10 mg</w:t>
      </w:r>
      <w:r w:rsidR="00E7117E" w:rsidRPr="00A10D67">
        <w:rPr>
          <w:sz w:val="22"/>
          <w:szCs w:val="22"/>
          <w:lang w:val="sr-Latn-ME"/>
        </w:rPr>
        <w:t xml:space="preserve"> + </w:t>
      </w:r>
      <w:r w:rsidRPr="00A10D67">
        <w:rPr>
          <w:sz w:val="22"/>
          <w:szCs w:val="22"/>
          <w:lang w:val="sr-Latn-ME"/>
        </w:rPr>
        <w:t>12,5 mg</w:t>
      </w:r>
      <w:r w:rsidR="00E7117E" w:rsidRPr="00A10D67">
        <w:rPr>
          <w:sz w:val="22"/>
          <w:szCs w:val="22"/>
          <w:lang w:val="sr-Latn-ME"/>
        </w:rPr>
        <w:t xml:space="preserve"> tableta je</w:t>
      </w:r>
      <w:r w:rsidRPr="00A10D67">
        <w:rPr>
          <w:sz w:val="22"/>
          <w:szCs w:val="22"/>
          <w:lang w:val="sr-Latn-ME"/>
        </w:rPr>
        <w:t xml:space="preserve"> bikonveksn</w:t>
      </w:r>
      <w:r w:rsidR="00E7117E" w:rsidRPr="00A10D67">
        <w:rPr>
          <w:sz w:val="22"/>
          <w:szCs w:val="22"/>
          <w:lang w:val="sr-Latn-ME"/>
        </w:rPr>
        <w:t xml:space="preserve">a, </w:t>
      </w:r>
      <w:r w:rsidRPr="00A10D67">
        <w:rPr>
          <w:sz w:val="22"/>
          <w:szCs w:val="22"/>
          <w:lang w:val="sr-Latn-ME"/>
        </w:rPr>
        <w:t>heksagonaln</w:t>
      </w:r>
      <w:r w:rsidR="00E7117E" w:rsidRPr="00A10D67">
        <w:rPr>
          <w:sz w:val="22"/>
          <w:szCs w:val="22"/>
          <w:lang w:val="sr-Latn-ME"/>
        </w:rPr>
        <w:t>a</w:t>
      </w:r>
      <w:r w:rsidRPr="00A10D67">
        <w:rPr>
          <w:sz w:val="22"/>
          <w:szCs w:val="22"/>
          <w:lang w:val="sr-Latn-ME"/>
        </w:rPr>
        <w:t xml:space="preserve"> tablet</w:t>
      </w:r>
      <w:r w:rsidR="00E7117E" w:rsidRPr="00A10D67">
        <w:rPr>
          <w:sz w:val="22"/>
          <w:szCs w:val="22"/>
          <w:lang w:val="sr-Latn-ME"/>
        </w:rPr>
        <w:t>a</w:t>
      </w:r>
      <w:r w:rsidR="00EF4448">
        <w:rPr>
          <w:sz w:val="22"/>
          <w:szCs w:val="22"/>
          <w:lang w:val="sr-Latn-ME"/>
        </w:rPr>
        <w:t>,</w:t>
      </w:r>
      <w:r w:rsidR="00E7117E" w:rsidRPr="00A10D67">
        <w:rPr>
          <w:sz w:val="22"/>
          <w:szCs w:val="22"/>
          <w:lang w:val="sr-Latn-ME"/>
        </w:rPr>
        <w:t xml:space="preserve"> plave</w:t>
      </w:r>
      <w:r w:rsidR="006F57B4" w:rsidRPr="00A10D67">
        <w:rPr>
          <w:sz w:val="22"/>
          <w:szCs w:val="22"/>
          <w:lang w:val="sr-Latn-ME"/>
        </w:rPr>
        <w:t xml:space="preserve"> boje</w:t>
      </w:r>
      <w:r w:rsidRPr="00A10D67">
        <w:rPr>
          <w:sz w:val="22"/>
          <w:szCs w:val="22"/>
          <w:lang w:val="sr-Latn-ME"/>
        </w:rPr>
        <w:t>.</w:t>
      </w:r>
    </w:p>
    <w:p w14:paraId="695D23C2" w14:textId="77777777" w:rsidR="00E7117E" w:rsidRPr="00A10D67" w:rsidRDefault="00E7117E" w:rsidP="00E03B67">
      <w:pPr>
        <w:tabs>
          <w:tab w:val="left" w:pos="567"/>
        </w:tabs>
        <w:jc w:val="both"/>
        <w:rPr>
          <w:sz w:val="22"/>
          <w:szCs w:val="22"/>
          <w:lang w:val="sr-Latn-ME"/>
        </w:rPr>
      </w:pPr>
    </w:p>
    <w:p w14:paraId="6924DDA8" w14:textId="52EFC92D" w:rsidR="00BA52C6" w:rsidRPr="00A10D67" w:rsidRDefault="00BA52C6" w:rsidP="00E03B67">
      <w:pPr>
        <w:tabs>
          <w:tab w:val="left" w:pos="567"/>
        </w:tabs>
        <w:jc w:val="both"/>
        <w:rPr>
          <w:bCs/>
          <w:sz w:val="22"/>
          <w:szCs w:val="22"/>
          <w:lang w:val="sr-Latn-ME"/>
        </w:rPr>
      </w:pPr>
      <w:r w:rsidRPr="00A10D67">
        <w:rPr>
          <w:sz w:val="22"/>
          <w:szCs w:val="22"/>
          <w:lang w:val="sr-Latn-ME"/>
        </w:rPr>
        <w:t>IRUZID 20 mg</w:t>
      </w:r>
      <w:r w:rsidR="00E7117E" w:rsidRPr="00A10D67">
        <w:rPr>
          <w:sz w:val="22"/>
          <w:szCs w:val="22"/>
          <w:lang w:val="sr-Latn-ME"/>
        </w:rPr>
        <w:t xml:space="preserve"> + </w:t>
      </w:r>
      <w:r w:rsidRPr="00A10D67">
        <w:rPr>
          <w:sz w:val="22"/>
          <w:szCs w:val="22"/>
          <w:lang w:val="sr-Latn-ME"/>
        </w:rPr>
        <w:t>12,5 mg</w:t>
      </w:r>
      <w:r w:rsidR="00E7117E" w:rsidRPr="00A10D67">
        <w:rPr>
          <w:sz w:val="22"/>
          <w:szCs w:val="22"/>
          <w:lang w:val="sr-Latn-ME"/>
        </w:rPr>
        <w:t xml:space="preserve"> tableta je</w:t>
      </w:r>
      <w:r w:rsidRPr="00A10D67">
        <w:rPr>
          <w:sz w:val="22"/>
          <w:szCs w:val="22"/>
          <w:lang w:val="sr-Latn-ME"/>
        </w:rPr>
        <w:t xml:space="preserve"> bikonveksn</w:t>
      </w:r>
      <w:r w:rsidR="00E7117E" w:rsidRPr="00A10D67">
        <w:rPr>
          <w:sz w:val="22"/>
          <w:szCs w:val="22"/>
          <w:lang w:val="sr-Latn-ME"/>
        </w:rPr>
        <w:t xml:space="preserve">a, </w:t>
      </w:r>
      <w:r w:rsidRPr="00A10D67">
        <w:rPr>
          <w:sz w:val="22"/>
          <w:szCs w:val="22"/>
          <w:lang w:val="sr-Latn-ME"/>
        </w:rPr>
        <w:t>heksagonaln</w:t>
      </w:r>
      <w:r w:rsidR="00E7117E" w:rsidRPr="00A10D67">
        <w:rPr>
          <w:sz w:val="22"/>
          <w:szCs w:val="22"/>
          <w:lang w:val="sr-Latn-ME"/>
        </w:rPr>
        <w:t>a</w:t>
      </w:r>
      <w:r w:rsidRPr="00A10D67">
        <w:rPr>
          <w:sz w:val="22"/>
          <w:szCs w:val="22"/>
          <w:lang w:val="sr-Latn-ME"/>
        </w:rPr>
        <w:t xml:space="preserve"> tablet</w:t>
      </w:r>
      <w:r w:rsidR="00E7117E" w:rsidRPr="00A10D67">
        <w:rPr>
          <w:sz w:val="22"/>
          <w:szCs w:val="22"/>
          <w:lang w:val="sr-Latn-ME"/>
        </w:rPr>
        <w:t>a</w:t>
      </w:r>
      <w:r w:rsidR="00EF4448">
        <w:rPr>
          <w:sz w:val="22"/>
          <w:szCs w:val="22"/>
          <w:lang w:val="sr-Latn-ME"/>
        </w:rPr>
        <w:t>,</w:t>
      </w:r>
      <w:r w:rsidR="00E7117E" w:rsidRPr="00A10D67">
        <w:rPr>
          <w:sz w:val="22"/>
          <w:szCs w:val="22"/>
          <w:lang w:val="sr-Latn-ME"/>
        </w:rPr>
        <w:t xml:space="preserve"> žute boje</w:t>
      </w:r>
      <w:r w:rsidRPr="00A10D67">
        <w:rPr>
          <w:sz w:val="22"/>
          <w:szCs w:val="22"/>
          <w:lang w:val="sr-Latn-ME"/>
        </w:rPr>
        <w:t>.</w:t>
      </w:r>
    </w:p>
    <w:p w14:paraId="2FDF1F42" w14:textId="7E20953C" w:rsidR="00EC2532" w:rsidRPr="00A10D67" w:rsidRDefault="00EC2532" w:rsidP="00757BEE">
      <w:pPr>
        <w:jc w:val="both"/>
        <w:rPr>
          <w:bCs/>
          <w:sz w:val="22"/>
          <w:szCs w:val="22"/>
          <w:lang w:val="sr-Latn-ME"/>
        </w:rPr>
      </w:pPr>
    </w:p>
    <w:p w14:paraId="430A1C87" w14:textId="77777777" w:rsidR="00E7117E" w:rsidRPr="00A10D67" w:rsidRDefault="00E7117E" w:rsidP="00757BEE">
      <w:pPr>
        <w:jc w:val="both"/>
        <w:rPr>
          <w:bCs/>
          <w:sz w:val="22"/>
          <w:szCs w:val="22"/>
          <w:lang w:val="sr-Latn-ME"/>
        </w:rPr>
      </w:pPr>
    </w:p>
    <w:p w14:paraId="1DBEE1B9" w14:textId="77777777" w:rsidR="00411B4B" w:rsidRPr="00A10D67" w:rsidRDefault="00411B4B" w:rsidP="00432709">
      <w:pPr>
        <w:tabs>
          <w:tab w:val="left" w:pos="540"/>
          <w:tab w:val="left" w:pos="569"/>
        </w:tabs>
        <w:jc w:val="both"/>
        <w:rPr>
          <w:b/>
          <w:bCs/>
          <w:sz w:val="22"/>
          <w:szCs w:val="22"/>
          <w:lang w:val="sr-Latn-ME"/>
        </w:rPr>
      </w:pPr>
      <w:r w:rsidRPr="00A10D67">
        <w:rPr>
          <w:b/>
          <w:bCs/>
          <w:sz w:val="22"/>
          <w:szCs w:val="22"/>
          <w:lang w:val="sr-Latn-ME"/>
        </w:rPr>
        <w:t xml:space="preserve">4. </w:t>
      </w:r>
      <w:r w:rsidR="00480FB1" w:rsidRPr="00A10D67">
        <w:rPr>
          <w:b/>
          <w:bCs/>
          <w:sz w:val="22"/>
          <w:szCs w:val="22"/>
          <w:lang w:val="sr-Latn-ME"/>
        </w:rPr>
        <w:tab/>
      </w:r>
      <w:r w:rsidRPr="00A10D67">
        <w:rPr>
          <w:b/>
          <w:bCs/>
          <w:sz w:val="22"/>
          <w:szCs w:val="22"/>
          <w:lang w:val="sr-Latn-ME"/>
        </w:rPr>
        <w:t>KLINIČKI PODACI</w:t>
      </w:r>
    </w:p>
    <w:p w14:paraId="3EE63945" w14:textId="77777777" w:rsidR="00CD6F02" w:rsidRPr="00A10D67" w:rsidRDefault="00CD6F02" w:rsidP="00432709">
      <w:pPr>
        <w:tabs>
          <w:tab w:val="left" w:pos="540"/>
          <w:tab w:val="left" w:pos="569"/>
        </w:tabs>
        <w:jc w:val="both"/>
        <w:rPr>
          <w:bCs/>
          <w:sz w:val="22"/>
          <w:szCs w:val="22"/>
          <w:lang w:val="sr-Latn-ME"/>
        </w:rPr>
      </w:pPr>
    </w:p>
    <w:p w14:paraId="212FD559" w14:textId="77777777" w:rsidR="00411B4B" w:rsidRPr="00A10D67" w:rsidRDefault="00411B4B" w:rsidP="00432709">
      <w:pPr>
        <w:tabs>
          <w:tab w:val="left" w:pos="540"/>
          <w:tab w:val="left" w:pos="569"/>
        </w:tabs>
        <w:jc w:val="both"/>
        <w:rPr>
          <w:b/>
          <w:bCs/>
          <w:sz w:val="22"/>
          <w:szCs w:val="22"/>
          <w:lang w:val="sr-Latn-ME"/>
        </w:rPr>
      </w:pPr>
      <w:r w:rsidRPr="00A10D67">
        <w:rPr>
          <w:b/>
          <w:bCs/>
          <w:sz w:val="22"/>
          <w:szCs w:val="22"/>
          <w:lang w:val="sr-Latn-ME"/>
        </w:rPr>
        <w:t xml:space="preserve">4.1. </w:t>
      </w:r>
      <w:r w:rsidR="00480FB1" w:rsidRPr="00A10D67">
        <w:rPr>
          <w:b/>
          <w:bCs/>
          <w:sz w:val="22"/>
          <w:szCs w:val="22"/>
          <w:lang w:val="sr-Latn-ME"/>
        </w:rPr>
        <w:tab/>
      </w:r>
      <w:r w:rsidRPr="00A10D67">
        <w:rPr>
          <w:b/>
          <w:bCs/>
          <w:sz w:val="22"/>
          <w:szCs w:val="22"/>
          <w:lang w:val="sr-Latn-ME"/>
        </w:rPr>
        <w:t>Terapijske indikacije</w:t>
      </w:r>
    </w:p>
    <w:p w14:paraId="20C1A905" w14:textId="77777777" w:rsidR="00BA52C6" w:rsidRPr="00A10D67" w:rsidRDefault="00BA52C6" w:rsidP="00432709">
      <w:pPr>
        <w:tabs>
          <w:tab w:val="left" w:pos="540"/>
          <w:tab w:val="left" w:pos="569"/>
        </w:tabs>
        <w:jc w:val="both"/>
        <w:rPr>
          <w:b/>
          <w:bCs/>
          <w:sz w:val="22"/>
          <w:szCs w:val="22"/>
          <w:lang w:val="sr-Latn-ME"/>
        </w:rPr>
      </w:pPr>
    </w:p>
    <w:p w14:paraId="29556495" w14:textId="2DE8A3D2" w:rsidR="00BA52C6" w:rsidRPr="00A10D67" w:rsidRDefault="00BA52C6" w:rsidP="00432709">
      <w:pPr>
        <w:autoSpaceDE w:val="0"/>
        <w:autoSpaceDN w:val="0"/>
        <w:adjustRightInd w:val="0"/>
        <w:jc w:val="both"/>
        <w:rPr>
          <w:sz w:val="22"/>
          <w:szCs w:val="22"/>
          <w:lang w:val="sr-Latn-ME"/>
        </w:rPr>
      </w:pPr>
      <w:r w:rsidRPr="00A10D67">
        <w:rPr>
          <w:sz w:val="22"/>
          <w:szCs w:val="22"/>
          <w:lang w:val="sr-Latn-ME"/>
        </w:rPr>
        <w:t>Lijek Iruzid se primjenjuje u liječenju hipertenzije kod pacijenata koji su stabil</w:t>
      </w:r>
      <w:r w:rsidR="00B12EF6" w:rsidRPr="00A10D67">
        <w:rPr>
          <w:sz w:val="22"/>
          <w:szCs w:val="22"/>
          <w:lang w:val="sr-Latn-ME"/>
        </w:rPr>
        <w:t>izovani</w:t>
      </w:r>
      <w:r w:rsidRPr="00A10D67">
        <w:rPr>
          <w:sz w:val="22"/>
          <w:szCs w:val="22"/>
          <w:lang w:val="sr-Latn-ME"/>
        </w:rPr>
        <w:t xml:space="preserve">, </w:t>
      </w:r>
      <w:r w:rsidR="00B12EF6" w:rsidRPr="00A10D67">
        <w:rPr>
          <w:sz w:val="22"/>
          <w:szCs w:val="22"/>
          <w:lang w:val="sr-Latn-ME"/>
        </w:rPr>
        <w:t>primjenom</w:t>
      </w:r>
      <w:r w:rsidRPr="00A10D67">
        <w:rPr>
          <w:sz w:val="22"/>
          <w:szCs w:val="22"/>
          <w:lang w:val="sr-Latn-ME"/>
        </w:rPr>
        <w:t xml:space="preserve"> </w:t>
      </w:r>
      <w:r w:rsidR="00B12EF6" w:rsidRPr="00A10D67">
        <w:rPr>
          <w:sz w:val="22"/>
          <w:szCs w:val="22"/>
          <w:lang w:val="sr-Latn-ME"/>
        </w:rPr>
        <w:t xml:space="preserve">pojedinačnih </w:t>
      </w:r>
      <w:r w:rsidRPr="00A10D67">
        <w:rPr>
          <w:sz w:val="22"/>
          <w:szCs w:val="22"/>
          <w:lang w:val="sr-Latn-ME"/>
        </w:rPr>
        <w:t xml:space="preserve">komponenti </w:t>
      </w:r>
      <w:r w:rsidR="00B12EF6" w:rsidRPr="00A10D67">
        <w:rPr>
          <w:sz w:val="22"/>
          <w:szCs w:val="22"/>
          <w:lang w:val="sr-Latn-ME"/>
        </w:rPr>
        <w:t>u istom odnosu</w:t>
      </w:r>
      <w:r w:rsidRPr="00A10D67">
        <w:rPr>
          <w:sz w:val="22"/>
          <w:szCs w:val="22"/>
          <w:lang w:val="sr-Latn-ME"/>
        </w:rPr>
        <w:t>.</w:t>
      </w:r>
    </w:p>
    <w:p w14:paraId="50E1884E" w14:textId="3386B94C" w:rsidR="002056E9" w:rsidRPr="00A10D67" w:rsidRDefault="002056E9" w:rsidP="00A10D67">
      <w:pPr>
        <w:pStyle w:val="BodyTextIndent3"/>
        <w:spacing w:after="0"/>
        <w:ind w:left="0"/>
        <w:rPr>
          <w:sz w:val="22"/>
          <w:szCs w:val="22"/>
          <w:lang w:val="sr-Latn-ME"/>
        </w:rPr>
      </w:pPr>
      <w:r w:rsidRPr="00A10D67">
        <w:rPr>
          <w:sz w:val="22"/>
          <w:szCs w:val="22"/>
          <w:lang w:val="sr-Latn-ME"/>
        </w:rPr>
        <w:t>Lijek Iruzid je indikovan kada pacijent ne reaguje na monoterapiju lizinoprilom od 20 mg.</w:t>
      </w:r>
    </w:p>
    <w:p w14:paraId="43188389" w14:textId="77777777" w:rsidR="00411B4B" w:rsidRPr="00A10D67" w:rsidRDefault="00411B4B" w:rsidP="00432709">
      <w:pPr>
        <w:tabs>
          <w:tab w:val="left" w:pos="540"/>
          <w:tab w:val="left" w:pos="569"/>
        </w:tabs>
        <w:jc w:val="both"/>
        <w:rPr>
          <w:bCs/>
          <w:sz w:val="22"/>
          <w:szCs w:val="22"/>
          <w:lang w:val="sr-Latn-ME"/>
        </w:rPr>
      </w:pPr>
    </w:p>
    <w:p w14:paraId="1E7AEE32" w14:textId="77777777" w:rsidR="00411B4B" w:rsidRPr="00A10D67" w:rsidRDefault="00411B4B" w:rsidP="00432709">
      <w:pPr>
        <w:tabs>
          <w:tab w:val="left" w:pos="540"/>
          <w:tab w:val="left" w:pos="569"/>
        </w:tabs>
        <w:jc w:val="both"/>
        <w:rPr>
          <w:b/>
          <w:bCs/>
          <w:sz w:val="22"/>
          <w:szCs w:val="22"/>
          <w:lang w:val="sr-Latn-ME"/>
        </w:rPr>
      </w:pPr>
      <w:r w:rsidRPr="00A10D67">
        <w:rPr>
          <w:b/>
          <w:bCs/>
          <w:sz w:val="22"/>
          <w:szCs w:val="22"/>
          <w:lang w:val="sr-Latn-ME"/>
        </w:rPr>
        <w:t xml:space="preserve">4.2. </w:t>
      </w:r>
      <w:r w:rsidR="00480FB1" w:rsidRPr="00A10D67">
        <w:rPr>
          <w:b/>
          <w:bCs/>
          <w:sz w:val="22"/>
          <w:szCs w:val="22"/>
          <w:lang w:val="sr-Latn-ME"/>
        </w:rPr>
        <w:tab/>
      </w:r>
      <w:r w:rsidRPr="00A10D67">
        <w:rPr>
          <w:b/>
          <w:bCs/>
          <w:sz w:val="22"/>
          <w:szCs w:val="22"/>
          <w:lang w:val="sr-Latn-ME"/>
        </w:rPr>
        <w:t>Doziranje i način primjene</w:t>
      </w:r>
    </w:p>
    <w:p w14:paraId="6D10BC51" w14:textId="77777777" w:rsidR="0072020E" w:rsidRPr="00A10D67" w:rsidRDefault="0072020E" w:rsidP="00432709">
      <w:pPr>
        <w:tabs>
          <w:tab w:val="left" w:pos="540"/>
          <w:tab w:val="left" w:pos="569"/>
        </w:tabs>
        <w:jc w:val="both"/>
        <w:rPr>
          <w:bCs/>
          <w:sz w:val="22"/>
          <w:szCs w:val="22"/>
          <w:lang w:val="sr-Latn-ME"/>
        </w:rPr>
      </w:pPr>
    </w:p>
    <w:p w14:paraId="41B3EE7A" w14:textId="5405AEB8" w:rsidR="00B12EF6" w:rsidRPr="00A10D67" w:rsidRDefault="00452E9D" w:rsidP="00A10D67">
      <w:pPr>
        <w:tabs>
          <w:tab w:val="left" w:pos="540"/>
          <w:tab w:val="left" w:pos="569"/>
        </w:tabs>
        <w:jc w:val="both"/>
        <w:rPr>
          <w:i/>
          <w:sz w:val="22"/>
          <w:szCs w:val="22"/>
          <w:u w:val="single"/>
          <w:lang w:val="sr-Latn-ME"/>
        </w:rPr>
      </w:pPr>
      <w:r w:rsidRPr="00A10D67">
        <w:rPr>
          <w:bCs/>
          <w:sz w:val="22"/>
          <w:szCs w:val="22"/>
          <w:u w:val="single"/>
          <w:lang w:val="sr-Latn-ME"/>
        </w:rPr>
        <w:t>Doziranje</w:t>
      </w:r>
    </w:p>
    <w:p w14:paraId="0E5B683C" w14:textId="77777777" w:rsidR="006F57B4" w:rsidRPr="00A10D67" w:rsidRDefault="006F57B4" w:rsidP="00A10D67">
      <w:pPr>
        <w:ind w:left="567" w:hanging="567"/>
        <w:jc w:val="both"/>
        <w:rPr>
          <w:i/>
          <w:sz w:val="22"/>
          <w:szCs w:val="22"/>
          <w:u w:val="single"/>
          <w:lang w:val="sr-Latn-ME"/>
        </w:rPr>
      </w:pPr>
    </w:p>
    <w:p w14:paraId="5BC7E7B5" w14:textId="5932D67D" w:rsidR="00BA52C6" w:rsidRPr="00A10D67" w:rsidRDefault="00B12EF6" w:rsidP="00A10D67">
      <w:pPr>
        <w:ind w:left="567" w:hanging="567"/>
        <w:jc w:val="both"/>
        <w:rPr>
          <w:i/>
          <w:sz w:val="22"/>
          <w:szCs w:val="22"/>
          <w:u w:val="single"/>
          <w:lang w:val="sr-Latn-ME"/>
        </w:rPr>
      </w:pPr>
      <w:r w:rsidRPr="00A10D67">
        <w:rPr>
          <w:i/>
          <w:sz w:val="22"/>
          <w:szCs w:val="22"/>
          <w:u w:val="single"/>
          <w:lang w:val="sr-Latn-ME"/>
        </w:rPr>
        <w:t>H</w:t>
      </w:r>
      <w:r w:rsidR="00BA52C6" w:rsidRPr="00A10D67">
        <w:rPr>
          <w:i/>
          <w:sz w:val="22"/>
          <w:szCs w:val="22"/>
          <w:u w:val="single"/>
          <w:lang w:val="sr-Latn-ME"/>
        </w:rPr>
        <w:t>ipertenzija</w:t>
      </w:r>
    </w:p>
    <w:p w14:paraId="1F10F348" w14:textId="77777777" w:rsidR="00BA52C6" w:rsidRPr="00A10D67" w:rsidRDefault="00BA52C6" w:rsidP="00432709">
      <w:pPr>
        <w:jc w:val="both"/>
        <w:rPr>
          <w:sz w:val="22"/>
          <w:szCs w:val="22"/>
          <w:lang w:val="sr-Latn-ME"/>
        </w:rPr>
      </w:pPr>
    </w:p>
    <w:p w14:paraId="6851D38A" w14:textId="790CADD8" w:rsidR="00BA52C6" w:rsidRPr="00A10D67" w:rsidRDefault="00BA52C6" w:rsidP="00432709">
      <w:pPr>
        <w:jc w:val="both"/>
        <w:rPr>
          <w:sz w:val="22"/>
          <w:szCs w:val="22"/>
          <w:lang w:val="sr-Latn-ME"/>
        </w:rPr>
      </w:pPr>
      <w:r w:rsidRPr="00A10D67">
        <w:rPr>
          <w:sz w:val="22"/>
          <w:szCs w:val="22"/>
          <w:lang w:val="sr-Latn-ME"/>
        </w:rPr>
        <w:t>Uobičajeno doziranje je jedna tableta, jednom dnevno. Kao i sa drugim ljekovima koji se uzimaju jednom dnevno, lijek treba uzeti svaki dan otprilike u isto vrijeme. Ukoliko se ne postigne očekivani terapijski efekat u periodu od 2</w:t>
      </w:r>
      <w:r w:rsidR="00432709" w:rsidRPr="00A10D67">
        <w:rPr>
          <w:sz w:val="22"/>
          <w:szCs w:val="22"/>
          <w:lang w:val="sr-Latn-ME"/>
        </w:rPr>
        <w:t xml:space="preserve"> do </w:t>
      </w:r>
      <w:r w:rsidRPr="00A10D67">
        <w:rPr>
          <w:sz w:val="22"/>
          <w:szCs w:val="22"/>
          <w:lang w:val="sr-Latn-ME"/>
        </w:rPr>
        <w:t>4 ned</w:t>
      </w:r>
      <w:r w:rsidR="007476CA" w:rsidRPr="00A10D67">
        <w:rPr>
          <w:sz w:val="22"/>
          <w:szCs w:val="22"/>
          <w:lang w:val="sr-Latn-ME"/>
        </w:rPr>
        <w:t>j</w:t>
      </w:r>
      <w:r w:rsidRPr="00A10D67">
        <w:rPr>
          <w:sz w:val="22"/>
          <w:szCs w:val="22"/>
          <w:lang w:val="sr-Latn-ME"/>
        </w:rPr>
        <w:t xml:space="preserve">elje, doza se može povećati na dvije tablete, primijenjene jednom dnevno. </w:t>
      </w:r>
    </w:p>
    <w:p w14:paraId="6D8DD404" w14:textId="77777777" w:rsidR="00432709" w:rsidRPr="00A10D67" w:rsidRDefault="00432709" w:rsidP="00432709">
      <w:pPr>
        <w:jc w:val="both"/>
        <w:rPr>
          <w:sz w:val="22"/>
          <w:szCs w:val="22"/>
          <w:lang w:val="sr-Latn-ME"/>
        </w:rPr>
      </w:pPr>
    </w:p>
    <w:p w14:paraId="2DCF79DE" w14:textId="77777777" w:rsidR="00B12EF6" w:rsidRPr="00A10D67" w:rsidRDefault="00B12EF6" w:rsidP="00432709">
      <w:pPr>
        <w:keepNext/>
        <w:keepLines/>
        <w:jc w:val="both"/>
        <w:rPr>
          <w:i/>
          <w:snapToGrid w:val="0"/>
          <w:sz w:val="22"/>
          <w:szCs w:val="22"/>
          <w:lang w:val="sr-Latn-ME"/>
        </w:rPr>
      </w:pPr>
      <w:r w:rsidRPr="00A10D67">
        <w:rPr>
          <w:i/>
          <w:snapToGrid w:val="0"/>
          <w:sz w:val="22"/>
          <w:szCs w:val="22"/>
          <w:lang w:val="sr-Latn-ME"/>
        </w:rPr>
        <w:t>Oštećenje funkcije bubrega</w:t>
      </w:r>
    </w:p>
    <w:p w14:paraId="37670DAE" w14:textId="77777777" w:rsidR="00B12EF6" w:rsidRPr="00A10D67" w:rsidRDefault="00B12EF6" w:rsidP="00432709">
      <w:pPr>
        <w:keepNext/>
        <w:keepLines/>
        <w:jc w:val="both"/>
        <w:rPr>
          <w:i/>
          <w:snapToGrid w:val="0"/>
          <w:sz w:val="22"/>
          <w:szCs w:val="22"/>
          <w:lang w:val="sr-Latn-ME"/>
        </w:rPr>
      </w:pPr>
    </w:p>
    <w:p w14:paraId="41EF524F" w14:textId="2F681D10" w:rsidR="00B12EF6" w:rsidRPr="00A10D67" w:rsidRDefault="00BA52C6" w:rsidP="00432709">
      <w:pPr>
        <w:autoSpaceDE w:val="0"/>
        <w:autoSpaceDN w:val="0"/>
        <w:adjustRightInd w:val="0"/>
        <w:jc w:val="both"/>
        <w:rPr>
          <w:sz w:val="22"/>
          <w:szCs w:val="22"/>
          <w:lang w:val="sr-Latn-ME"/>
        </w:rPr>
      </w:pPr>
      <w:r w:rsidRPr="00A10D67">
        <w:rPr>
          <w:sz w:val="22"/>
          <w:szCs w:val="22"/>
          <w:lang w:val="sr-Latn-ME"/>
        </w:rPr>
        <w:t>Tiazidni diuretici nijesu pogodni za pacijente sa oštećenom funkcijom bubrega i neefikasni su ako je klire</w:t>
      </w:r>
      <w:r w:rsidR="00B12EF6" w:rsidRPr="00A10D67">
        <w:rPr>
          <w:sz w:val="22"/>
          <w:szCs w:val="22"/>
          <w:lang w:val="sr-Latn-ME"/>
        </w:rPr>
        <w:t xml:space="preserve">ns </w:t>
      </w:r>
      <w:r w:rsidRPr="00A10D67">
        <w:rPr>
          <w:sz w:val="22"/>
          <w:szCs w:val="22"/>
          <w:lang w:val="sr-Latn-ME"/>
        </w:rPr>
        <w:t>kreatinina 30 m</w:t>
      </w:r>
      <w:r w:rsidR="00EF4448">
        <w:rPr>
          <w:sz w:val="22"/>
          <w:szCs w:val="22"/>
          <w:lang w:val="sr-Latn-ME"/>
        </w:rPr>
        <w:t>L</w:t>
      </w:r>
      <w:r w:rsidRPr="00A10D67">
        <w:rPr>
          <w:sz w:val="22"/>
          <w:szCs w:val="22"/>
          <w:lang w:val="sr-Latn-ME"/>
        </w:rPr>
        <w:t xml:space="preserve">/min ili niži (umjerena </w:t>
      </w:r>
      <w:r w:rsidR="00B12EF6" w:rsidRPr="00A10D67">
        <w:rPr>
          <w:sz w:val="22"/>
          <w:szCs w:val="22"/>
          <w:lang w:val="sr-Latn-ME"/>
        </w:rPr>
        <w:t xml:space="preserve">i </w:t>
      </w:r>
      <w:r w:rsidRPr="00A10D67">
        <w:rPr>
          <w:sz w:val="22"/>
          <w:szCs w:val="22"/>
          <w:lang w:val="sr-Latn-ME"/>
        </w:rPr>
        <w:t xml:space="preserve">teška renalna insuficijencija). </w:t>
      </w:r>
    </w:p>
    <w:p w14:paraId="7B3CFB1D" w14:textId="482FAF2D" w:rsidR="00BA52C6" w:rsidRPr="00A10D67" w:rsidRDefault="00BA52C6" w:rsidP="00432709">
      <w:pPr>
        <w:autoSpaceDE w:val="0"/>
        <w:autoSpaceDN w:val="0"/>
        <w:adjustRightInd w:val="0"/>
        <w:jc w:val="both"/>
        <w:rPr>
          <w:sz w:val="22"/>
          <w:szCs w:val="22"/>
          <w:lang w:val="sr-Latn-ME"/>
        </w:rPr>
      </w:pPr>
      <w:r w:rsidRPr="00A10D67">
        <w:rPr>
          <w:sz w:val="22"/>
          <w:szCs w:val="22"/>
          <w:lang w:val="sr-Latn-ME"/>
        </w:rPr>
        <w:lastRenderedPageBreak/>
        <w:t>Kombinacija lizinopril/hidrohlortiazida nije lijek izbora za početno liječenje pacijenata sa renalnom insuficijencijom.</w:t>
      </w:r>
      <w:r w:rsidR="00432709" w:rsidRPr="00A10D67">
        <w:rPr>
          <w:sz w:val="22"/>
          <w:szCs w:val="22"/>
          <w:lang w:val="sr-Latn-ME"/>
        </w:rPr>
        <w:t xml:space="preserve"> </w:t>
      </w:r>
    </w:p>
    <w:p w14:paraId="6D7A6F62" w14:textId="69A47F6B" w:rsidR="00BA52C6" w:rsidRPr="00A10D67" w:rsidRDefault="00BA52C6" w:rsidP="00432709">
      <w:pPr>
        <w:autoSpaceDE w:val="0"/>
        <w:autoSpaceDN w:val="0"/>
        <w:adjustRightInd w:val="0"/>
        <w:jc w:val="both"/>
        <w:rPr>
          <w:sz w:val="22"/>
          <w:szCs w:val="22"/>
          <w:lang w:val="sr-Latn-ME"/>
        </w:rPr>
      </w:pPr>
      <w:r w:rsidRPr="00A10D67">
        <w:rPr>
          <w:sz w:val="22"/>
          <w:szCs w:val="22"/>
          <w:lang w:val="sr-Latn-ME"/>
        </w:rPr>
        <w:t xml:space="preserve">Kod pacijenata sa renalnom insuficijencijom kod kojih je klirens kreatinina </w:t>
      </w:r>
      <w:r w:rsidR="00B12EF6" w:rsidRPr="00A10D67">
        <w:rPr>
          <w:sz w:val="22"/>
          <w:szCs w:val="22"/>
          <w:lang w:val="sr-Latn-ME"/>
        </w:rPr>
        <w:t>v</w:t>
      </w:r>
      <w:r w:rsidR="00432709" w:rsidRPr="00A10D67">
        <w:rPr>
          <w:sz w:val="22"/>
          <w:szCs w:val="22"/>
          <w:lang w:val="sr-Latn-ME"/>
        </w:rPr>
        <w:t>eć</w:t>
      </w:r>
      <w:r w:rsidR="00B12EF6" w:rsidRPr="00A10D67">
        <w:rPr>
          <w:sz w:val="22"/>
          <w:szCs w:val="22"/>
          <w:lang w:val="sr-Latn-ME"/>
        </w:rPr>
        <w:t xml:space="preserve">i od </w:t>
      </w:r>
      <w:r w:rsidR="00EF4448" w:rsidRPr="00A10D67">
        <w:rPr>
          <w:sz w:val="22"/>
          <w:szCs w:val="22"/>
          <w:lang w:val="sr-Latn-ME"/>
        </w:rPr>
        <w:t>30m</w:t>
      </w:r>
      <w:r w:rsidR="00EF4448">
        <w:rPr>
          <w:sz w:val="22"/>
          <w:szCs w:val="22"/>
          <w:lang w:val="sr-Latn-ME"/>
        </w:rPr>
        <w:t>L</w:t>
      </w:r>
      <w:r w:rsidR="00B12EF6" w:rsidRPr="00A10D67">
        <w:rPr>
          <w:sz w:val="22"/>
          <w:szCs w:val="22"/>
          <w:lang w:val="sr-Latn-ME"/>
        </w:rPr>
        <w:t xml:space="preserve">/min, a manji od </w:t>
      </w:r>
      <w:r w:rsidRPr="00A10D67">
        <w:rPr>
          <w:sz w:val="22"/>
          <w:szCs w:val="22"/>
          <w:lang w:val="sr-Latn-ME"/>
        </w:rPr>
        <w:t>80 m</w:t>
      </w:r>
      <w:r w:rsidR="00EF4448">
        <w:rPr>
          <w:sz w:val="22"/>
          <w:szCs w:val="22"/>
          <w:lang w:val="sr-Latn-ME"/>
        </w:rPr>
        <w:t>L</w:t>
      </w:r>
      <w:r w:rsidRPr="00A10D67">
        <w:rPr>
          <w:sz w:val="22"/>
          <w:szCs w:val="22"/>
          <w:lang w:val="sr-Latn-ME"/>
        </w:rPr>
        <w:t xml:space="preserve">/min, lizinopril/hidrohlortiazid </w:t>
      </w:r>
      <w:r w:rsidR="00B12EF6" w:rsidRPr="00A10D67">
        <w:rPr>
          <w:sz w:val="22"/>
          <w:szCs w:val="22"/>
          <w:lang w:val="sr-Latn-ME"/>
        </w:rPr>
        <w:t xml:space="preserve">se </w:t>
      </w:r>
      <w:r w:rsidRPr="00A10D67">
        <w:rPr>
          <w:sz w:val="22"/>
          <w:szCs w:val="22"/>
          <w:lang w:val="sr-Latn-ME"/>
        </w:rPr>
        <w:t xml:space="preserve">može primjeniti, ali samo nakon titriranja doze pojedinih komponenti lijeka. </w:t>
      </w:r>
    </w:p>
    <w:p w14:paraId="31E27CC0" w14:textId="48153258" w:rsidR="00355DF8" w:rsidRPr="00A10D67" w:rsidRDefault="00355DF8" w:rsidP="00432709">
      <w:pPr>
        <w:tabs>
          <w:tab w:val="left" w:pos="567"/>
        </w:tabs>
        <w:jc w:val="both"/>
        <w:rPr>
          <w:sz w:val="22"/>
          <w:szCs w:val="22"/>
          <w:lang w:val="sr-Latn-ME"/>
        </w:rPr>
      </w:pPr>
      <w:r w:rsidRPr="00A10D67">
        <w:rPr>
          <w:sz w:val="22"/>
          <w:szCs w:val="22"/>
          <w:lang w:val="sr-Latn-ME"/>
        </w:rPr>
        <w:t>Preporučena početna doza lizinoprila kao monoterapija kod pacijenata s</w:t>
      </w:r>
      <w:r w:rsidR="007476CA" w:rsidRPr="00A10D67">
        <w:rPr>
          <w:sz w:val="22"/>
          <w:szCs w:val="22"/>
          <w:lang w:val="sr-Latn-ME"/>
        </w:rPr>
        <w:t>a</w:t>
      </w:r>
      <w:r w:rsidRPr="00A10D67">
        <w:rPr>
          <w:sz w:val="22"/>
          <w:szCs w:val="22"/>
          <w:lang w:val="sr-Latn-ME"/>
        </w:rPr>
        <w:t xml:space="preserve"> blagom bubrežnom insuficijencijom iznosi 5 do 10 mg.</w:t>
      </w:r>
    </w:p>
    <w:p w14:paraId="06818994" w14:textId="77777777" w:rsidR="00355DF8" w:rsidRPr="00A10D67" w:rsidRDefault="00355DF8" w:rsidP="00432709">
      <w:pPr>
        <w:autoSpaceDE w:val="0"/>
        <w:autoSpaceDN w:val="0"/>
        <w:adjustRightInd w:val="0"/>
        <w:jc w:val="both"/>
        <w:rPr>
          <w:sz w:val="22"/>
          <w:szCs w:val="22"/>
          <w:lang w:val="sr-Latn-ME"/>
        </w:rPr>
      </w:pPr>
    </w:p>
    <w:p w14:paraId="0D0FF984" w14:textId="30A1B62D" w:rsidR="00BA52C6" w:rsidRPr="00A10D67" w:rsidRDefault="00BA52C6" w:rsidP="00A10D67">
      <w:pPr>
        <w:tabs>
          <w:tab w:val="left" w:pos="567"/>
        </w:tabs>
        <w:jc w:val="both"/>
        <w:rPr>
          <w:i/>
          <w:sz w:val="22"/>
          <w:szCs w:val="22"/>
          <w:u w:val="single"/>
          <w:lang w:val="sr-Latn-ME"/>
        </w:rPr>
      </w:pPr>
      <w:r w:rsidRPr="00A10D67">
        <w:rPr>
          <w:i/>
          <w:sz w:val="22"/>
          <w:szCs w:val="22"/>
          <w:u w:val="single"/>
          <w:lang w:val="sr-Latn-ME"/>
        </w:rPr>
        <w:t>Prethodn</w:t>
      </w:r>
      <w:r w:rsidR="00355DF8" w:rsidRPr="00A10D67">
        <w:rPr>
          <w:i/>
          <w:sz w:val="22"/>
          <w:szCs w:val="22"/>
          <w:u w:val="single"/>
          <w:lang w:val="sr-Latn-ME"/>
        </w:rPr>
        <w:t>o liječenje</w:t>
      </w:r>
      <w:r w:rsidRPr="00A10D67">
        <w:rPr>
          <w:i/>
          <w:sz w:val="22"/>
          <w:szCs w:val="22"/>
          <w:u w:val="single"/>
          <w:lang w:val="sr-Latn-ME"/>
        </w:rPr>
        <w:t xml:space="preserve"> diuret</w:t>
      </w:r>
      <w:r w:rsidR="00355DF8" w:rsidRPr="00A10D67">
        <w:rPr>
          <w:i/>
          <w:sz w:val="22"/>
          <w:szCs w:val="22"/>
          <w:u w:val="single"/>
          <w:lang w:val="sr-Latn-ME"/>
        </w:rPr>
        <w:t>icima</w:t>
      </w:r>
    </w:p>
    <w:p w14:paraId="013AFDFF" w14:textId="77777777" w:rsidR="00355DF8" w:rsidRPr="00A10D67" w:rsidRDefault="00355DF8" w:rsidP="00A10D67">
      <w:pPr>
        <w:tabs>
          <w:tab w:val="left" w:pos="567"/>
        </w:tabs>
        <w:jc w:val="both"/>
        <w:rPr>
          <w:i/>
          <w:sz w:val="22"/>
          <w:szCs w:val="22"/>
          <w:u w:val="single"/>
          <w:lang w:val="sr-Latn-ME"/>
        </w:rPr>
      </w:pPr>
    </w:p>
    <w:p w14:paraId="38E3FA9F" w14:textId="46D69A2A" w:rsidR="00BA52C6" w:rsidRPr="00A10D67" w:rsidRDefault="00BA52C6" w:rsidP="00432709">
      <w:pPr>
        <w:jc w:val="both"/>
        <w:rPr>
          <w:sz w:val="22"/>
          <w:szCs w:val="22"/>
          <w:lang w:val="sr-Latn-ME"/>
        </w:rPr>
      </w:pPr>
      <w:r w:rsidRPr="00A10D67">
        <w:rPr>
          <w:sz w:val="22"/>
          <w:szCs w:val="22"/>
          <w:lang w:val="sr-Latn-ME"/>
        </w:rPr>
        <w:t>Simptomatska hipotenzija može se pojaviti nakon početne doze lijeka IRUZID, a češća je kod pacijenata koji imaju smanjen volumen tečnosti i/ili elektrolita, kao rezultat prethodne diuretske terapije. Zbog toga treba prekinuti uzimanje diuretika 2-3 dana prije početka liječenja kombinacijom lizinopril/hidrohlortiazida</w:t>
      </w:r>
      <w:r w:rsidR="007476CA" w:rsidRPr="00A10D67">
        <w:rPr>
          <w:sz w:val="22"/>
          <w:szCs w:val="22"/>
          <w:lang w:val="sr-Latn-ME"/>
        </w:rPr>
        <w:t>.</w:t>
      </w:r>
      <w:r w:rsidRPr="00A10D67">
        <w:rPr>
          <w:sz w:val="22"/>
          <w:szCs w:val="22"/>
          <w:lang w:val="sr-Latn-ME"/>
        </w:rPr>
        <w:t xml:space="preserve"> Ako to nije moguće, liječenje treba započeti samo lizinoprilom u dozi od 5 mg na dan</w:t>
      </w:r>
      <w:r w:rsidR="007476CA" w:rsidRPr="00A10D67">
        <w:rPr>
          <w:sz w:val="22"/>
          <w:szCs w:val="22"/>
          <w:lang w:val="sr-Latn-ME"/>
        </w:rPr>
        <w:t>.</w:t>
      </w:r>
    </w:p>
    <w:p w14:paraId="1D126C0C" w14:textId="77777777" w:rsidR="00BA52C6" w:rsidRPr="00A10D67" w:rsidRDefault="00BA52C6" w:rsidP="00432709">
      <w:pPr>
        <w:autoSpaceDE w:val="0"/>
        <w:autoSpaceDN w:val="0"/>
        <w:adjustRightInd w:val="0"/>
        <w:jc w:val="both"/>
        <w:rPr>
          <w:sz w:val="22"/>
          <w:szCs w:val="22"/>
          <w:lang w:val="sr-Latn-ME"/>
        </w:rPr>
      </w:pPr>
    </w:p>
    <w:p w14:paraId="3C09DE1E" w14:textId="77777777" w:rsidR="00BA52C6" w:rsidRPr="00A10D67" w:rsidRDefault="00BA52C6" w:rsidP="00A10D67">
      <w:pPr>
        <w:jc w:val="both"/>
        <w:rPr>
          <w:b/>
          <w:sz w:val="22"/>
          <w:szCs w:val="22"/>
          <w:lang w:val="sr-Latn-ME"/>
        </w:rPr>
      </w:pPr>
      <w:r w:rsidRPr="00A10D67">
        <w:rPr>
          <w:b/>
          <w:sz w:val="22"/>
          <w:szCs w:val="22"/>
          <w:lang w:val="sr-Latn-ME"/>
        </w:rPr>
        <w:t>Stariji pacijenti</w:t>
      </w:r>
    </w:p>
    <w:p w14:paraId="69DFD994" w14:textId="77777777" w:rsidR="006F57B4" w:rsidRPr="00A10D67" w:rsidRDefault="006F57B4" w:rsidP="00A10D67">
      <w:pPr>
        <w:jc w:val="both"/>
        <w:rPr>
          <w:bCs/>
          <w:sz w:val="22"/>
          <w:szCs w:val="22"/>
          <w:lang w:val="sr-Latn-ME"/>
        </w:rPr>
      </w:pPr>
    </w:p>
    <w:p w14:paraId="2DC29BD3" w14:textId="483D11C7" w:rsidR="00355DF8" w:rsidRPr="00A10D67" w:rsidRDefault="00355DF8" w:rsidP="00A10D67">
      <w:pPr>
        <w:jc w:val="both"/>
        <w:rPr>
          <w:bCs/>
          <w:sz w:val="22"/>
          <w:szCs w:val="22"/>
          <w:lang w:val="sr-Latn-ME"/>
        </w:rPr>
      </w:pPr>
      <w:r w:rsidRPr="00A10D67">
        <w:rPr>
          <w:bCs/>
          <w:sz w:val="22"/>
          <w:szCs w:val="22"/>
          <w:lang w:val="sr-Latn-ME"/>
        </w:rPr>
        <w:t xml:space="preserve">Nije potrebno prilagođavanje doze kod starijih pacijenata. </w:t>
      </w:r>
      <w:r w:rsidRPr="00A10D67">
        <w:rPr>
          <w:bCs/>
          <w:sz w:val="22"/>
          <w:szCs w:val="22"/>
          <w:lang w:val="sr-Latn-ME"/>
        </w:rPr>
        <w:cr/>
      </w:r>
    </w:p>
    <w:p w14:paraId="619AF7FE" w14:textId="77777777" w:rsidR="00BA52C6" w:rsidRPr="00A10D67" w:rsidRDefault="00BA52C6" w:rsidP="00432709">
      <w:pPr>
        <w:autoSpaceDE w:val="0"/>
        <w:autoSpaceDN w:val="0"/>
        <w:adjustRightInd w:val="0"/>
        <w:jc w:val="both"/>
        <w:rPr>
          <w:sz w:val="22"/>
          <w:szCs w:val="22"/>
          <w:lang w:val="sr-Latn-ME"/>
        </w:rPr>
      </w:pPr>
      <w:r w:rsidRPr="00A10D67">
        <w:rPr>
          <w:sz w:val="22"/>
          <w:szCs w:val="22"/>
          <w:lang w:val="sr-Latn-ME"/>
        </w:rPr>
        <w:t>Tokom kliničkih ispitivanja efikasnost i bezbjednost lizinoprila i hidrohlortiazida, primijenjenih istovremeno, pokazala se sličnom kod starijih i mlađih pacijenata sa hipertenzijom.</w:t>
      </w:r>
    </w:p>
    <w:p w14:paraId="1128B5F9" w14:textId="7817E493" w:rsidR="00BA52C6" w:rsidRPr="00A10D67" w:rsidRDefault="00BA52C6" w:rsidP="00432709">
      <w:pPr>
        <w:autoSpaceDE w:val="0"/>
        <w:autoSpaceDN w:val="0"/>
        <w:adjustRightInd w:val="0"/>
        <w:jc w:val="both"/>
        <w:rPr>
          <w:sz w:val="22"/>
          <w:szCs w:val="22"/>
          <w:lang w:val="sr-Latn-ME"/>
        </w:rPr>
      </w:pPr>
      <w:r w:rsidRPr="00A10D67">
        <w:rPr>
          <w:sz w:val="22"/>
          <w:szCs w:val="22"/>
          <w:lang w:val="sr-Latn-ME"/>
        </w:rPr>
        <w:t>Lizinopril, primijenjen u dnevnoj dozi od 20 do 80 mg, pokazao se jednako efikasnim kod starijih</w:t>
      </w:r>
      <w:r w:rsidR="00432709" w:rsidRPr="00A10D67">
        <w:rPr>
          <w:sz w:val="22"/>
          <w:szCs w:val="22"/>
          <w:lang w:val="sr-Latn-ME"/>
        </w:rPr>
        <w:t xml:space="preserve"> </w:t>
      </w:r>
      <w:r w:rsidRPr="00A10D67">
        <w:rPr>
          <w:sz w:val="22"/>
          <w:szCs w:val="22"/>
          <w:lang w:val="sr-Latn-ME"/>
        </w:rPr>
        <w:t>(osobe starije od 65 godina) i mlađih pacijenata. Lizinopril primijenjen kao</w:t>
      </w:r>
      <w:r w:rsidR="007476CA" w:rsidRPr="00A10D67">
        <w:rPr>
          <w:sz w:val="22"/>
          <w:szCs w:val="22"/>
          <w:lang w:val="sr-Latn-ME"/>
        </w:rPr>
        <w:t xml:space="preserve"> </w:t>
      </w:r>
      <w:r w:rsidRPr="00A10D67">
        <w:rPr>
          <w:sz w:val="22"/>
          <w:szCs w:val="22"/>
          <w:lang w:val="sr-Latn-ME"/>
        </w:rPr>
        <w:t>monoterapija u snižavanju dijastolnog krvnog pritiska bio je jednako efikasan kao i monoterapija hidrohlortiazidom ili atenololom. U kliničkim ispitivanjima</w:t>
      </w:r>
      <w:r w:rsidR="00432709" w:rsidRPr="00A10D67">
        <w:rPr>
          <w:sz w:val="22"/>
          <w:szCs w:val="22"/>
          <w:lang w:val="sr-Latn-ME"/>
        </w:rPr>
        <w:t xml:space="preserve"> </w:t>
      </w:r>
      <w:r w:rsidRPr="00A10D67">
        <w:rPr>
          <w:sz w:val="22"/>
          <w:szCs w:val="22"/>
          <w:lang w:val="sr-Latn-ME"/>
        </w:rPr>
        <w:t>starost pacijenta nije uticala na podnošljivost lizinoprila.</w:t>
      </w:r>
    </w:p>
    <w:p w14:paraId="61D9DE1B" w14:textId="77777777" w:rsidR="00BA52C6" w:rsidRPr="00A10D67" w:rsidRDefault="00BA52C6" w:rsidP="00432709">
      <w:pPr>
        <w:jc w:val="both"/>
        <w:rPr>
          <w:b/>
          <w:i/>
          <w:sz w:val="22"/>
          <w:szCs w:val="22"/>
          <w:lang w:val="sr-Latn-ME"/>
        </w:rPr>
      </w:pPr>
    </w:p>
    <w:p w14:paraId="7E2AAB0A" w14:textId="77777777" w:rsidR="00BA52C6" w:rsidRPr="00A10D67" w:rsidRDefault="00BA52C6" w:rsidP="00432709">
      <w:pPr>
        <w:tabs>
          <w:tab w:val="left" w:pos="567"/>
        </w:tabs>
        <w:jc w:val="both"/>
        <w:rPr>
          <w:b/>
          <w:sz w:val="22"/>
          <w:szCs w:val="22"/>
          <w:lang w:val="sr-Latn-ME"/>
        </w:rPr>
      </w:pPr>
      <w:r w:rsidRPr="00A10D67">
        <w:rPr>
          <w:b/>
          <w:sz w:val="22"/>
          <w:szCs w:val="22"/>
          <w:lang w:val="sr-Latn-ME"/>
        </w:rPr>
        <w:t>Pedijatrijska populacija</w:t>
      </w:r>
    </w:p>
    <w:p w14:paraId="1DA5E573" w14:textId="77777777" w:rsidR="006F57B4" w:rsidRPr="00A10D67" w:rsidRDefault="006F57B4" w:rsidP="00A10D67">
      <w:pPr>
        <w:tabs>
          <w:tab w:val="left" w:pos="567"/>
        </w:tabs>
        <w:jc w:val="both"/>
        <w:rPr>
          <w:sz w:val="22"/>
          <w:szCs w:val="22"/>
          <w:lang w:val="sr-Latn-ME"/>
        </w:rPr>
      </w:pPr>
    </w:p>
    <w:p w14:paraId="45F09ACA" w14:textId="3807C88F" w:rsidR="00BA52C6" w:rsidRPr="00A10D67" w:rsidRDefault="00BA52C6" w:rsidP="00A10D67">
      <w:pPr>
        <w:tabs>
          <w:tab w:val="left" w:pos="567"/>
        </w:tabs>
        <w:jc w:val="both"/>
        <w:rPr>
          <w:sz w:val="22"/>
          <w:szCs w:val="22"/>
          <w:lang w:val="sr-Latn-ME"/>
        </w:rPr>
      </w:pPr>
      <w:r w:rsidRPr="00A10D67">
        <w:rPr>
          <w:sz w:val="22"/>
          <w:szCs w:val="22"/>
          <w:lang w:val="sr-Latn-ME"/>
        </w:rPr>
        <w:t xml:space="preserve">Efikasnost i bezbjednost primjene kod djece nije </w:t>
      </w:r>
      <w:r w:rsidR="00355DF8" w:rsidRPr="00A10D67">
        <w:rPr>
          <w:sz w:val="22"/>
          <w:szCs w:val="22"/>
          <w:lang w:val="sr-Latn-ME"/>
        </w:rPr>
        <w:t>ustanovljena</w:t>
      </w:r>
      <w:r w:rsidRPr="00A10D67">
        <w:rPr>
          <w:sz w:val="22"/>
          <w:szCs w:val="22"/>
          <w:lang w:val="sr-Latn-ME"/>
        </w:rPr>
        <w:t>.</w:t>
      </w:r>
    </w:p>
    <w:p w14:paraId="6EF26A9C" w14:textId="77777777" w:rsidR="00452E9D" w:rsidRPr="00A10D67" w:rsidRDefault="00452E9D" w:rsidP="00432709">
      <w:pPr>
        <w:tabs>
          <w:tab w:val="left" w:pos="540"/>
          <w:tab w:val="left" w:pos="569"/>
        </w:tabs>
        <w:jc w:val="both"/>
        <w:rPr>
          <w:bCs/>
          <w:sz w:val="22"/>
          <w:szCs w:val="22"/>
          <w:u w:val="single"/>
          <w:lang w:val="sr-Latn-ME"/>
        </w:rPr>
      </w:pPr>
    </w:p>
    <w:p w14:paraId="64F0D982" w14:textId="77777777" w:rsidR="00452E9D" w:rsidRPr="00A10D67" w:rsidRDefault="00452E9D" w:rsidP="00432709">
      <w:pPr>
        <w:tabs>
          <w:tab w:val="left" w:pos="540"/>
          <w:tab w:val="left" w:pos="569"/>
        </w:tabs>
        <w:jc w:val="both"/>
        <w:rPr>
          <w:bCs/>
          <w:sz w:val="22"/>
          <w:szCs w:val="22"/>
          <w:u w:val="single"/>
          <w:lang w:val="sr-Latn-ME"/>
        </w:rPr>
      </w:pPr>
      <w:r w:rsidRPr="00A10D67">
        <w:rPr>
          <w:bCs/>
          <w:sz w:val="22"/>
          <w:szCs w:val="22"/>
          <w:u w:val="single"/>
          <w:lang w:val="sr-Latn-ME"/>
        </w:rPr>
        <w:t>Način primjene</w:t>
      </w:r>
    </w:p>
    <w:p w14:paraId="4895E0F3" w14:textId="77777777" w:rsidR="00926382" w:rsidRPr="00A10D67" w:rsidRDefault="00926382" w:rsidP="00432709">
      <w:pPr>
        <w:tabs>
          <w:tab w:val="left" w:pos="540"/>
          <w:tab w:val="left" w:pos="569"/>
        </w:tabs>
        <w:jc w:val="both"/>
        <w:rPr>
          <w:bCs/>
          <w:sz w:val="22"/>
          <w:szCs w:val="22"/>
          <w:u w:val="single"/>
          <w:lang w:val="sr-Latn-ME"/>
        </w:rPr>
      </w:pPr>
    </w:p>
    <w:p w14:paraId="03782FDE" w14:textId="77777777" w:rsidR="00926382" w:rsidRPr="00A10D67" w:rsidRDefault="00926382" w:rsidP="00432709">
      <w:pPr>
        <w:tabs>
          <w:tab w:val="left" w:pos="567"/>
        </w:tabs>
        <w:jc w:val="both"/>
        <w:rPr>
          <w:sz w:val="22"/>
          <w:szCs w:val="22"/>
          <w:lang w:val="sr-Latn-ME"/>
        </w:rPr>
      </w:pPr>
      <w:r w:rsidRPr="00A10D67">
        <w:rPr>
          <w:sz w:val="22"/>
          <w:szCs w:val="22"/>
          <w:lang w:val="sr-Latn-ME"/>
        </w:rPr>
        <w:t xml:space="preserve">Ovaj lijek je namijenjen za oralnu primjenu. </w:t>
      </w:r>
    </w:p>
    <w:p w14:paraId="06D52D5E" w14:textId="77777777" w:rsidR="00452E9D" w:rsidRPr="00A10D67" w:rsidRDefault="00452E9D" w:rsidP="00432709">
      <w:pPr>
        <w:tabs>
          <w:tab w:val="left" w:pos="540"/>
          <w:tab w:val="left" w:pos="569"/>
        </w:tabs>
        <w:jc w:val="both"/>
        <w:rPr>
          <w:bCs/>
          <w:sz w:val="22"/>
          <w:szCs w:val="22"/>
          <w:lang w:val="sr-Latn-ME"/>
        </w:rPr>
      </w:pPr>
    </w:p>
    <w:p w14:paraId="3B3A1A28" w14:textId="77777777" w:rsidR="00411B4B" w:rsidRPr="00A10D67" w:rsidRDefault="00411B4B" w:rsidP="00432709">
      <w:pPr>
        <w:tabs>
          <w:tab w:val="left" w:pos="540"/>
          <w:tab w:val="left" w:pos="569"/>
        </w:tabs>
        <w:jc w:val="both"/>
        <w:rPr>
          <w:b/>
          <w:bCs/>
          <w:sz w:val="22"/>
          <w:szCs w:val="22"/>
          <w:lang w:val="sr-Latn-ME"/>
        </w:rPr>
      </w:pPr>
      <w:r w:rsidRPr="00A10D67">
        <w:rPr>
          <w:b/>
          <w:bCs/>
          <w:sz w:val="22"/>
          <w:szCs w:val="22"/>
          <w:lang w:val="sr-Latn-ME"/>
        </w:rPr>
        <w:t xml:space="preserve">4.3. </w:t>
      </w:r>
      <w:r w:rsidR="00480FB1" w:rsidRPr="00A10D67">
        <w:rPr>
          <w:b/>
          <w:bCs/>
          <w:sz w:val="22"/>
          <w:szCs w:val="22"/>
          <w:lang w:val="sr-Latn-ME"/>
        </w:rPr>
        <w:tab/>
      </w:r>
      <w:r w:rsidRPr="00A10D67">
        <w:rPr>
          <w:b/>
          <w:bCs/>
          <w:sz w:val="22"/>
          <w:szCs w:val="22"/>
          <w:lang w:val="sr-Latn-ME"/>
        </w:rPr>
        <w:t>Kontraindikacije</w:t>
      </w:r>
    </w:p>
    <w:p w14:paraId="14EBDB43" w14:textId="77777777" w:rsidR="00926382" w:rsidRPr="00A10D67" w:rsidRDefault="00926382" w:rsidP="00432709">
      <w:pPr>
        <w:tabs>
          <w:tab w:val="left" w:pos="540"/>
          <w:tab w:val="left" w:pos="569"/>
        </w:tabs>
        <w:jc w:val="both"/>
        <w:rPr>
          <w:b/>
          <w:bCs/>
          <w:sz w:val="22"/>
          <w:szCs w:val="22"/>
          <w:lang w:val="sr-Latn-ME"/>
        </w:rPr>
      </w:pPr>
    </w:p>
    <w:p w14:paraId="1A972105" w14:textId="5CE9F0F6" w:rsidR="00926382" w:rsidRPr="00A10D67" w:rsidRDefault="00926382" w:rsidP="00432709">
      <w:pPr>
        <w:numPr>
          <w:ilvl w:val="0"/>
          <w:numId w:val="13"/>
        </w:numPr>
        <w:autoSpaceDE w:val="0"/>
        <w:autoSpaceDN w:val="0"/>
        <w:adjustRightInd w:val="0"/>
        <w:jc w:val="both"/>
        <w:rPr>
          <w:sz w:val="22"/>
          <w:szCs w:val="22"/>
          <w:lang w:val="sr-Latn-ME"/>
        </w:rPr>
      </w:pPr>
      <w:r w:rsidRPr="00A10D67">
        <w:rPr>
          <w:bCs/>
          <w:sz w:val="22"/>
          <w:szCs w:val="22"/>
          <w:lang w:val="sr-Latn-ME"/>
        </w:rPr>
        <w:t>Preosjetljivost na aktivnu supstancu ili</w:t>
      </w:r>
      <w:r w:rsidR="00432709" w:rsidRPr="00A10D67">
        <w:rPr>
          <w:bCs/>
          <w:sz w:val="22"/>
          <w:szCs w:val="22"/>
          <w:lang w:val="sr-Latn-ME"/>
        </w:rPr>
        <w:t xml:space="preserve"> na</w:t>
      </w:r>
      <w:r w:rsidRPr="00A10D67">
        <w:rPr>
          <w:bCs/>
          <w:sz w:val="22"/>
          <w:szCs w:val="22"/>
          <w:lang w:val="sr-Latn-ME"/>
        </w:rPr>
        <w:t xml:space="preserve"> bilo koju drugu pomoćnu supstancu lijeka navedenih u dijelu 6.1.</w:t>
      </w:r>
    </w:p>
    <w:p w14:paraId="32DA8B58" w14:textId="33C4203A" w:rsidR="00926382" w:rsidRPr="00A10D67" w:rsidRDefault="00926382" w:rsidP="00432709">
      <w:pPr>
        <w:numPr>
          <w:ilvl w:val="0"/>
          <w:numId w:val="13"/>
        </w:numPr>
        <w:autoSpaceDE w:val="0"/>
        <w:autoSpaceDN w:val="0"/>
        <w:adjustRightInd w:val="0"/>
        <w:jc w:val="both"/>
        <w:rPr>
          <w:sz w:val="22"/>
          <w:szCs w:val="22"/>
          <w:lang w:val="sr-Latn-ME"/>
        </w:rPr>
      </w:pPr>
      <w:r w:rsidRPr="00A10D67">
        <w:rPr>
          <w:bCs/>
          <w:sz w:val="22"/>
          <w:szCs w:val="22"/>
          <w:lang w:val="sr-Latn-ME"/>
        </w:rPr>
        <w:t xml:space="preserve">Preosjetljivost na bilo koji drugi </w:t>
      </w:r>
      <w:r w:rsidR="00355DF8" w:rsidRPr="00A10D67">
        <w:rPr>
          <w:bCs/>
          <w:sz w:val="22"/>
          <w:szCs w:val="22"/>
          <w:lang w:val="sr-Latn-ME"/>
        </w:rPr>
        <w:t>inhibitor angiotenzin konvertirajućeg enzima (</w:t>
      </w:r>
      <w:r w:rsidRPr="00A10D67">
        <w:rPr>
          <w:bCs/>
          <w:sz w:val="22"/>
          <w:szCs w:val="22"/>
          <w:lang w:val="sr-Latn-ME"/>
        </w:rPr>
        <w:t>ACE</w:t>
      </w:r>
      <w:r w:rsidR="007476CA" w:rsidRPr="00A10D67">
        <w:rPr>
          <w:bCs/>
          <w:sz w:val="22"/>
          <w:szCs w:val="22"/>
          <w:lang w:val="sr-Latn-ME"/>
        </w:rPr>
        <w:t>-</w:t>
      </w:r>
      <w:r w:rsidRPr="00A10D67">
        <w:rPr>
          <w:bCs/>
          <w:sz w:val="22"/>
          <w:szCs w:val="22"/>
          <w:lang w:val="sr-Latn-ME"/>
        </w:rPr>
        <w:t>inhibitor</w:t>
      </w:r>
      <w:r w:rsidR="00355DF8" w:rsidRPr="00A10D67">
        <w:rPr>
          <w:bCs/>
          <w:sz w:val="22"/>
          <w:szCs w:val="22"/>
          <w:lang w:val="sr-Latn-ME"/>
        </w:rPr>
        <w:t>)</w:t>
      </w:r>
      <w:r w:rsidR="007476CA" w:rsidRPr="00A10D67">
        <w:rPr>
          <w:bCs/>
          <w:sz w:val="22"/>
          <w:szCs w:val="22"/>
          <w:lang w:val="sr-Latn-ME"/>
        </w:rPr>
        <w:t>.</w:t>
      </w:r>
    </w:p>
    <w:p w14:paraId="10C49FEB" w14:textId="1614891D" w:rsidR="00FB4AA5" w:rsidRPr="00A10D67" w:rsidRDefault="00FB4AA5" w:rsidP="00432709">
      <w:pPr>
        <w:pStyle w:val="ListParagraph"/>
        <w:numPr>
          <w:ilvl w:val="0"/>
          <w:numId w:val="13"/>
        </w:numPr>
        <w:jc w:val="both"/>
        <w:rPr>
          <w:sz w:val="22"/>
          <w:szCs w:val="22"/>
          <w:lang w:val="sr-Latn-ME"/>
        </w:rPr>
      </w:pPr>
      <w:r w:rsidRPr="00A10D67">
        <w:rPr>
          <w:sz w:val="22"/>
          <w:szCs w:val="22"/>
          <w:lang w:val="sr-Latn-ME"/>
        </w:rPr>
        <w:t>Preosjetljivost na druge derivate sulfonamida</w:t>
      </w:r>
      <w:r w:rsidR="007476CA" w:rsidRPr="00A10D67">
        <w:rPr>
          <w:sz w:val="22"/>
          <w:szCs w:val="22"/>
          <w:lang w:val="sr-Latn-ME"/>
        </w:rPr>
        <w:t>.</w:t>
      </w:r>
    </w:p>
    <w:p w14:paraId="4ACE75DE" w14:textId="06151050" w:rsidR="00FB4AA5" w:rsidRPr="00A10D67" w:rsidRDefault="00FB4AA5" w:rsidP="00432709">
      <w:pPr>
        <w:pStyle w:val="ListParagraph"/>
        <w:numPr>
          <w:ilvl w:val="0"/>
          <w:numId w:val="13"/>
        </w:numPr>
        <w:jc w:val="both"/>
        <w:rPr>
          <w:sz w:val="22"/>
          <w:szCs w:val="22"/>
          <w:lang w:val="sr-Latn-ME"/>
        </w:rPr>
      </w:pPr>
      <w:r w:rsidRPr="00A10D67">
        <w:rPr>
          <w:sz w:val="22"/>
          <w:szCs w:val="22"/>
          <w:lang w:val="sr-Latn-ME"/>
        </w:rPr>
        <w:t>Istovremena primjena sa terapijom sakubitril/valsartan.</w:t>
      </w:r>
      <w:r w:rsidR="007476CA" w:rsidRPr="00A10D67">
        <w:rPr>
          <w:sz w:val="22"/>
          <w:szCs w:val="22"/>
          <w:lang w:val="sr-Latn-ME"/>
        </w:rPr>
        <w:t xml:space="preserve"> </w:t>
      </w:r>
      <w:r w:rsidRPr="00A10D67">
        <w:rPr>
          <w:sz w:val="22"/>
          <w:szCs w:val="22"/>
          <w:lang w:val="sr-Latn-ME"/>
        </w:rPr>
        <w:t>Terapija kombinacijom lizinopril/hidrohlortiazid se ne smije započeti prije nego što prođe 36 sati od posljednje doze</w:t>
      </w:r>
    </w:p>
    <w:p w14:paraId="28DF4FF2" w14:textId="47A8E63F" w:rsidR="00FB4AA5" w:rsidRPr="00A10D67" w:rsidRDefault="00FB4AA5" w:rsidP="00432709">
      <w:pPr>
        <w:pStyle w:val="ListParagraph"/>
        <w:jc w:val="both"/>
        <w:rPr>
          <w:sz w:val="22"/>
          <w:szCs w:val="22"/>
          <w:lang w:val="sr-Latn-ME"/>
        </w:rPr>
      </w:pPr>
      <w:r w:rsidRPr="00A10D67">
        <w:rPr>
          <w:sz w:val="22"/>
          <w:szCs w:val="22"/>
          <w:lang w:val="sr-Latn-ME"/>
        </w:rPr>
        <w:t xml:space="preserve">kombinacije sakubitril/valsartan (vidjeti takođe </w:t>
      </w:r>
      <w:r w:rsidR="00432709" w:rsidRPr="00A10D67">
        <w:rPr>
          <w:sz w:val="22"/>
          <w:szCs w:val="22"/>
          <w:lang w:val="sr-Latn-ME"/>
        </w:rPr>
        <w:t>djelove</w:t>
      </w:r>
      <w:r w:rsidRPr="00A10D67">
        <w:rPr>
          <w:sz w:val="22"/>
          <w:szCs w:val="22"/>
          <w:lang w:val="sr-Latn-ME"/>
        </w:rPr>
        <w:t xml:space="preserve"> 4.4 i 4.5).</w:t>
      </w:r>
    </w:p>
    <w:p w14:paraId="0520703C" w14:textId="62536BA1" w:rsidR="00926382" w:rsidRPr="00A10D67" w:rsidRDefault="00FB4AA5" w:rsidP="00432709">
      <w:pPr>
        <w:numPr>
          <w:ilvl w:val="0"/>
          <w:numId w:val="13"/>
        </w:numPr>
        <w:autoSpaceDE w:val="0"/>
        <w:autoSpaceDN w:val="0"/>
        <w:adjustRightInd w:val="0"/>
        <w:jc w:val="both"/>
        <w:rPr>
          <w:sz w:val="22"/>
          <w:szCs w:val="22"/>
          <w:lang w:val="sr-Latn-ME"/>
        </w:rPr>
      </w:pPr>
      <w:r w:rsidRPr="00A10D67">
        <w:rPr>
          <w:bCs/>
          <w:sz w:val="22"/>
          <w:szCs w:val="22"/>
          <w:lang w:val="sr-Latn-ME"/>
        </w:rPr>
        <w:t>Anafilaktičke/anafilaktoidne reakcije i a</w:t>
      </w:r>
      <w:r w:rsidR="00926382" w:rsidRPr="00A10D67">
        <w:rPr>
          <w:bCs/>
          <w:sz w:val="22"/>
          <w:szCs w:val="22"/>
          <w:lang w:val="sr-Latn-ME"/>
        </w:rPr>
        <w:t>ngioedem u anamnezi povezan sa prethodnim liječenjem ACE</w:t>
      </w:r>
      <w:r w:rsidR="007476CA" w:rsidRPr="00A10D67">
        <w:rPr>
          <w:bCs/>
          <w:sz w:val="22"/>
          <w:szCs w:val="22"/>
          <w:lang w:val="sr-Latn-ME"/>
        </w:rPr>
        <w:t>-</w:t>
      </w:r>
      <w:r w:rsidR="00926382" w:rsidRPr="00A10D67">
        <w:rPr>
          <w:bCs/>
          <w:sz w:val="22"/>
          <w:szCs w:val="22"/>
          <w:lang w:val="sr-Latn-ME"/>
        </w:rPr>
        <w:t>inhibitorima.</w:t>
      </w:r>
    </w:p>
    <w:p w14:paraId="487E694A" w14:textId="63879226" w:rsidR="00926382" w:rsidRPr="00A10D67" w:rsidRDefault="00926382" w:rsidP="00432709">
      <w:pPr>
        <w:numPr>
          <w:ilvl w:val="0"/>
          <w:numId w:val="13"/>
        </w:numPr>
        <w:autoSpaceDE w:val="0"/>
        <w:autoSpaceDN w:val="0"/>
        <w:adjustRightInd w:val="0"/>
        <w:jc w:val="both"/>
        <w:rPr>
          <w:sz w:val="22"/>
          <w:szCs w:val="22"/>
          <w:lang w:val="sr-Latn-ME"/>
        </w:rPr>
      </w:pPr>
      <w:r w:rsidRPr="00A10D67">
        <w:rPr>
          <w:bCs/>
          <w:sz w:val="22"/>
          <w:szCs w:val="22"/>
          <w:lang w:val="sr-Latn-ME"/>
        </w:rPr>
        <w:t>Nasl</w:t>
      </w:r>
      <w:r w:rsidR="00432709" w:rsidRPr="00A10D67">
        <w:rPr>
          <w:bCs/>
          <w:sz w:val="22"/>
          <w:szCs w:val="22"/>
          <w:lang w:val="sr-Latn-ME"/>
        </w:rPr>
        <w:t>j</w:t>
      </w:r>
      <w:r w:rsidRPr="00A10D67">
        <w:rPr>
          <w:bCs/>
          <w:sz w:val="22"/>
          <w:szCs w:val="22"/>
          <w:lang w:val="sr-Latn-ME"/>
        </w:rPr>
        <w:t>edni ili idiopatski angioedem.</w:t>
      </w:r>
    </w:p>
    <w:p w14:paraId="349A1E44" w14:textId="3595C8B1" w:rsidR="00926382" w:rsidRPr="00A10D67" w:rsidRDefault="00926382" w:rsidP="00432709">
      <w:pPr>
        <w:numPr>
          <w:ilvl w:val="0"/>
          <w:numId w:val="13"/>
        </w:numPr>
        <w:autoSpaceDE w:val="0"/>
        <w:autoSpaceDN w:val="0"/>
        <w:adjustRightInd w:val="0"/>
        <w:jc w:val="both"/>
        <w:rPr>
          <w:sz w:val="22"/>
          <w:szCs w:val="22"/>
          <w:lang w:val="sr-Latn-ME"/>
        </w:rPr>
      </w:pPr>
      <w:r w:rsidRPr="00A10D67">
        <w:rPr>
          <w:bCs/>
          <w:sz w:val="22"/>
          <w:szCs w:val="22"/>
          <w:lang w:val="sr-Latn-ME"/>
        </w:rPr>
        <w:t xml:space="preserve">Drugi i treći trimestar trudnoće (vidjeti </w:t>
      </w:r>
      <w:r w:rsidR="00432709" w:rsidRPr="00A10D67">
        <w:rPr>
          <w:bCs/>
          <w:sz w:val="22"/>
          <w:szCs w:val="22"/>
          <w:lang w:val="sr-Latn-ME"/>
        </w:rPr>
        <w:t>djelove</w:t>
      </w:r>
      <w:r w:rsidRPr="00A10D67">
        <w:rPr>
          <w:bCs/>
          <w:sz w:val="22"/>
          <w:szCs w:val="22"/>
          <w:lang w:val="sr-Latn-ME"/>
        </w:rPr>
        <w:t xml:space="preserve"> 4.4 i 4.6).</w:t>
      </w:r>
    </w:p>
    <w:p w14:paraId="1787DD23" w14:textId="2F668450" w:rsidR="00926382" w:rsidRPr="00A10D67" w:rsidRDefault="00926382" w:rsidP="00432709">
      <w:pPr>
        <w:numPr>
          <w:ilvl w:val="0"/>
          <w:numId w:val="13"/>
        </w:numPr>
        <w:autoSpaceDE w:val="0"/>
        <w:autoSpaceDN w:val="0"/>
        <w:adjustRightInd w:val="0"/>
        <w:jc w:val="both"/>
        <w:rPr>
          <w:sz w:val="22"/>
          <w:szCs w:val="22"/>
          <w:lang w:val="sr-Latn-ME"/>
        </w:rPr>
      </w:pPr>
      <w:r w:rsidRPr="00A10D67">
        <w:rPr>
          <w:bCs/>
          <w:sz w:val="22"/>
          <w:szCs w:val="22"/>
          <w:lang w:val="sr-Latn-ME"/>
        </w:rPr>
        <w:t>Teška bubrežna insuficijencija (klirens kreatinina &lt;30 m</w:t>
      </w:r>
      <w:r w:rsidR="00EF4448">
        <w:rPr>
          <w:bCs/>
          <w:sz w:val="22"/>
          <w:szCs w:val="22"/>
          <w:lang w:val="sr-Latn-ME"/>
        </w:rPr>
        <w:t>L</w:t>
      </w:r>
      <w:r w:rsidRPr="00A10D67">
        <w:rPr>
          <w:bCs/>
          <w:sz w:val="22"/>
          <w:szCs w:val="22"/>
          <w:lang w:val="sr-Latn-ME"/>
        </w:rPr>
        <w:t>/min).</w:t>
      </w:r>
    </w:p>
    <w:p w14:paraId="523B57AA" w14:textId="3554E252" w:rsidR="00926382" w:rsidRPr="00A10D67" w:rsidRDefault="00926382" w:rsidP="00432709">
      <w:pPr>
        <w:numPr>
          <w:ilvl w:val="0"/>
          <w:numId w:val="13"/>
        </w:numPr>
        <w:autoSpaceDE w:val="0"/>
        <w:autoSpaceDN w:val="0"/>
        <w:adjustRightInd w:val="0"/>
        <w:jc w:val="both"/>
        <w:rPr>
          <w:sz w:val="22"/>
          <w:szCs w:val="22"/>
          <w:lang w:val="sr-Latn-ME"/>
        </w:rPr>
      </w:pPr>
      <w:r w:rsidRPr="00A10D67">
        <w:rPr>
          <w:bCs/>
          <w:sz w:val="22"/>
          <w:szCs w:val="22"/>
          <w:lang w:val="sr-Latn-ME"/>
        </w:rPr>
        <w:t>Anurija</w:t>
      </w:r>
      <w:r w:rsidR="007476CA" w:rsidRPr="00A10D67">
        <w:rPr>
          <w:bCs/>
          <w:sz w:val="22"/>
          <w:szCs w:val="22"/>
          <w:lang w:val="sr-Latn-ME"/>
        </w:rPr>
        <w:t>.</w:t>
      </w:r>
    </w:p>
    <w:p w14:paraId="499EE754" w14:textId="77777777" w:rsidR="00926382" w:rsidRPr="00A10D67" w:rsidRDefault="00926382" w:rsidP="00432709">
      <w:pPr>
        <w:numPr>
          <w:ilvl w:val="0"/>
          <w:numId w:val="13"/>
        </w:numPr>
        <w:autoSpaceDE w:val="0"/>
        <w:autoSpaceDN w:val="0"/>
        <w:adjustRightInd w:val="0"/>
        <w:jc w:val="both"/>
        <w:rPr>
          <w:bCs/>
          <w:sz w:val="22"/>
          <w:szCs w:val="22"/>
          <w:lang w:val="sr-Latn-ME"/>
        </w:rPr>
      </w:pPr>
      <w:r w:rsidRPr="00A10D67">
        <w:rPr>
          <w:sz w:val="22"/>
          <w:szCs w:val="22"/>
          <w:lang w:val="sr-Latn-ME"/>
        </w:rPr>
        <w:t>Teš</w:t>
      </w:r>
      <w:r w:rsidRPr="00A10D67">
        <w:rPr>
          <w:bCs/>
          <w:sz w:val="22"/>
          <w:szCs w:val="22"/>
          <w:lang w:val="sr-Latn-ME"/>
        </w:rPr>
        <w:t>ka hepatička insuficijencija.</w:t>
      </w:r>
    </w:p>
    <w:p w14:paraId="701D61CC" w14:textId="1CB8A9C3" w:rsidR="00926382" w:rsidRPr="00A10D67" w:rsidRDefault="00926382" w:rsidP="00432709">
      <w:pPr>
        <w:numPr>
          <w:ilvl w:val="0"/>
          <w:numId w:val="13"/>
        </w:numPr>
        <w:jc w:val="both"/>
        <w:rPr>
          <w:bCs/>
          <w:sz w:val="22"/>
          <w:szCs w:val="22"/>
          <w:lang w:val="sr-Latn-ME"/>
        </w:rPr>
      </w:pPr>
      <w:r w:rsidRPr="00A10D67">
        <w:rPr>
          <w:bCs/>
          <w:sz w:val="22"/>
          <w:szCs w:val="22"/>
          <w:lang w:val="sr-Latn-ME"/>
        </w:rPr>
        <w:t>Istovremena primjena lijeka Iruzid</w:t>
      </w:r>
      <w:r w:rsidRPr="00A10D67">
        <w:rPr>
          <w:bCs/>
          <w:sz w:val="22"/>
          <w:szCs w:val="22"/>
          <w:vertAlign w:val="superscript"/>
          <w:lang w:val="sr-Latn-ME"/>
        </w:rPr>
        <w:t xml:space="preserve"> </w:t>
      </w:r>
      <w:r w:rsidRPr="00A10D67">
        <w:rPr>
          <w:bCs/>
          <w:sz w:val="22"/>
          <w:szCs w:val="22"/>
          <w:lang w:val="sr-Latn-ME"/>
        </w:rPr>
        <w:t>sa ljekovima koji sadrže</w:t>
      </w:r>
      <w:r w:rsidR="00432709" w:rsidRPr="00A10D67">
        <w:rPr>
          <w:bCs/>
          <w:sz w:val="22"/>
          <w:szCs w:val="22"/>
          <w:lang w:val="sr-Latn-ME"/>
        </w:rPr>
        <w:t xml:space="preserve"> </w:t>
      </w:r>
      <w:r w:rsidRPr="00A10D67">
        <w:rPr>
          <w:bCs/>
          <w:sz w:val="22"/>
          <w:szCs w:val="22"/>
          <w:lang w:val="sr-Latn-ME"/>
        </w:rPr>
        <w:t>aliskiren kontraindikovana je</w:t>
      </w:r>
      <w:r w:rsidR="00432709" w:rsidRPr="00A10D67">
        <w:rPr>
          <w:bCs/>
          <w:sz w:val="22"/>
          <w:szCs w:val="22"/>
          <w:lang w:val="sr-Latn-ME"/>
        </w:rPr>
        <w:t xml:space="preserve"> </w:t>
      </w:r>
      <w:r w:rsidRPr="00A10D67">
        <w:rPr>
          <w:bCs/>
          <w:sz w:val="22"/>
          <w:szCs w:val="22"/>
          <w:lang w:val="sr-Latn-ME"/>
        </w:rPr>
        <w:t>kod pacijenata sa dijabetesom</w:t>
      </w:r>
      <w:r w:rsidR="00432709" w:rsidRPr="00A10D67">
        <w:rPr>
          <w:bCs/>
          <w:sz w:val="22"/>
          <w:szCs w:val="22"/>
          <w:lang w:val="sr-Latn-ME"/>
        </w:rPr>
        <w:t xml:space="preserve"> </w:t>
      </w:r>
      <w:r w:rsidRPr="00A10D67">
        <w:rPr>
          <w:bCs/>
          <w:sz w:val="22"/>
          <w:szCs w:val="22"/>
          <w:lang w:val="sr-Latn-ME"/>
        </w:rPr>
        <w:t>ili oštećenom funkcijom</w:t>
      </w:r>
      <w:r w:rsidR="00432709" w:rsidRPr="00A10D67">
        <w:rPr>
          <w:bCs/>
          <w:sz w:val="22"/>
          <w:szCs w:val="22"/>
          <w:lang w:val="sr-Latn-ME"/>
        </w:rPr>
        <w:t xml:space="preserve"> </w:t>
      </w:r>
      <w:r w:rsidRPr="00A10D67">
        <w:rPr>
          <w:bCs/>
          <w:sz w:val="22"/>
          <w:szCs w:val="22"/>
          <w:lang w:val="sr-Latn-ME"/>
        </w:rPr>
        <w:t>bubrega (GFR &lt; 60 m</w:t>
      </w:r>
      <w:r w:rsidR="00EF4448">
        <w:rPr>
          <w:bCs/>
          <w:sz w:val="22"/>
          <w:szCs w:val="22"/>
          <w:lang w:val="sr-Latn-ME"/>
        </w:rPr>
        <w:t>L</w:t>
      </w:r>
      <w:r w:rsidRPr="00A10D67">
        <w:rPr>
          <w:bCs/>
          <w:sz w:val="22"/>
          <w:szCs w:val="22"/>
          <w:lang w:val="sr-Latn-ME"/>
        </w:rPr>
        <w:t>/min/1,73 m</w:t>
      </w:r>
      <w:r w:rsidRPr="00A10D67">
        <w:rPr>
          <w:bCs/>
          <w:sz w:val="22"/>
          <w:szCs w:val="22"/>
          <w:vertAlign w:val="superscript"/>
          <w:lang w:val="sr-Latn-ME"/>
        </w:rPr>
        <w:t>2</w:t>
      </w:r>
      <w:r w:rsidRPr="00A10D67">
        <w:rPr>
          <w:bCs/>
          <w:sz w:val="22"/>
          <w:szCs w:val="22"/>
          <w:lang w:val="sr-Latn-ME"/>
        </w:rPr>
        <w:t xml:space="preserve">) (vidjeti </w:t>
      </w:r>
      <w:r w:rsidR="00432709" w:rsidRPr="00A10D67">
        <w:rPr>
          <w:bCs/>
          <w:sz w:val="22"/>
          <w:szCs w:val="22"/>
          <w:lang w:val="sr-Latn-ME"/>
        </w:rPr>
        <w:t>djelove</w:t>
      </w:r>
      <w:r w:rsidR="008C427C" w:rsidRPr="00A10D67">
        <w:rPr>
          <w:bCs/>
          <w:sz w:val="22"/>
          <w:szCs w:val="22"/>
          <w:lang w:val="sr-Latn-ME"/>
        </w:rPr>
        <w:t xml:space="preserve"> </w:t>
      </w:r>
      <w:r w:rsidRPr="00A10D67">
        <w:rPr>
          <w:bCs/>
          <w:sz w:val="22"/>
          <w:szCs w:val="22"/>
          <w:lang w:val="sr-Latn-ME"/>
        </w:rPr>
        <w:t>4.5. i 5.1.).</w:t>
      </w:r>
    </w:p>
    <w:p w14:paraId="3F0A5469" w14:textId="77777777" w:rsidR="0072020E" w:rsidRPr="00A10D67" w:rsidRDefault="0072020E" w:rsidP="00432709">
      <w:pPr>
        <w:tabs>
          <w:tab w:val="left" w:pos="540"/>
          <w:tab w:val="left" w:pos="569"/>
        </w:tabs>
        <w:jc w:val="both"/>
        <w:rPr>
          <w:bCs/>
          <w:sz w:val="22"/>
          <w:szCs w:val="22"/>
          <w:lang w:val="sr-Latn-ME"/>
        </w:rPr>
      </w:pPr>
    </w:p>
    <w:p w14:paraId="371362E6" w14:textId="735555CF" w:rsidR="00926382" w:rsidRPr="00A10D67" w:rsidRDefault="00411B4B" w:rsidP="00432709">
      <w:pPr>
        <w:tabs>
          <w:tab w:val="left" w:pos="540"/>
          <w:tab w:val="left" w:pos="569"/>
        </w:tabs>
        <w:jc w:val="both"/>
        <w:rPr>
          <w:b/>
          <w:bCs/>
          <w:sz w:val="22"/>
          <w:szCs w:val="22"/>
          <w:lang w:val="sr-Latn-ME"/>
        </w:rPr>
      </w:pPr>
      <w:r w:rsidRPr="00A10D67">
        <w:rPr>
          <w:b/>
          <w:bCs/>
          <w:sz w:val="22"/>
          <w:szCs w:val="22"/>
          <w:lang w:val="sr-Latn-ME"/>
        </w:rPr>
        <w:t xml:space="preserve">4.4. </w:t>
      </w:r>
      <w:r w:rsidR="00480FB1" w:rsidRPr="00A10D67">
        <w:rPr>
          <w:b/>
          <w:bCs/>
          <w:sz w:val="22"/>
          <w:szCs w:val="22"/>
          <w:lang w:val="sr-Latn-ME"/>
        </w:rPr>
        <w:tab/>
      </w:r>
      <w:r w:rsidRPr="00A10D67">
        <w:rPr>
          <w:b/>
          <w:bCs/>
          <w:sz w:val="22"/>
          <w:szCs w:val="22"/>
          <w:lang w:val="sr-Latn-ME"/>
        </w:rPr>
        <w:t>Posebna upozorenja i mjere opreza pri upotrebi lijeka</w:t>
      </w:r>
    </w:p>
    <w:p w14:paraId="72469A16" w14:textId="77777777" w:rsidR="007D4D85" w:rsidRPr="00A10D67" w:rsidRDefault="007D4D85" w:rsidP="00432709">
      <w:pPr>
        <w:autoSpaceDE w:val="0"/>
        <w:autoSpaceDN w:val="0"/>
        <w:adjustRightInd w:val="0"/>
        <w:jc w:val="both"/>
        <w:rPr>
          <w:b/>
          <w:bCs/>
          <w:color w:val="000000"/>
          <w:sz w:val="22"/>
          <w:szCs w:val="22"/>
          <w:lang w:val="sr-Latn-ME"/>
        </w:rPr>
      </w:pPr>
    </w:p>
    <w:p w14:paraId="25DD48AC" w14:textId="77777777" w:rsidR="007D4D85" w:rsidRPr="00A10D67" w:rsidRDefault="007D4D85" w:rsidP="00432709">
      <w:pPr>
        <w:tabs>
          <w:tab w:val="left" w:pos="567"/>
        </w:tabs>
        <w:jc w:val="both"/>
        <w:rPr>
          <w:b/>
          <w:color w:val="000000"/>
          <w:sz w:val="22"/>
          <w:szCs w:val="22"/>
          <w:lang w:val="sr-Latn-ME" w:eastAsia="hr-HR"/>
        </w:rPr>
      </w:pPr>
      <w:r w:rsidRPr="00A10D67">
        <w:rPr>
          <w:b/>
          <w:color w:val="000000"/>
          <w:sz w:val="22"/>
          <w:szCs w:val="22"/>
          <w:lang w:val="sr-Latn-ME" w:eastAsia="hr-HR"/>
        </w:rPr>
        <w:t>Nemelanomski rak kože</w:t>
      </w:r>
    </w:p>
    <w:p w14:paraId="3539BA76" w14:textId="77777777" w:rsidR="007D4D85" w:rsidRPr="00A10D67" w:rsidRDefault="007D4D85" w:rsidP="00432709">
      <w:pPr>
        <w:tabs>
          <w:tab w:val="left" w:pos="567"/>
        </w:tabs>
        <w:jc w:val="both"/>
        <w:rPr>
          <w:color w:val="000000"/>
          <w:sz w:val="22"/>
          <w:szCs w:val="22"/>
          <w:lang w:val="sr-Latn-ME" w:eastAsia="hr-HR"/>
        </w:rPr>
      </w:pPr>
      <w:r w:rsidRPr="00A10D67">
        <w:rPr>
          <w:color w:val="000000"/>
          <w:sz w:val="22"/>
          <w:szCs w:val="22"/>
          <w:lang w:val="sr-Latn-ME" w:eastAsia="hr-HR"/>
        </w:rPr>
        <w:t xml:space="preserve">Povećani rizik od nemelanomskog raka kože (engl. </w:t>
      </w:r>
      <w:r w:rsidRPr="00A10D67">
        <w:rPr>
          <w:i/>
          <w:iCs/>
          <w:color w:val="000000"/>
          <w:sz w:val="22"/>
          <w:szCs w:val="22"/>
          <w:lang w:val="sr-Latn-ME" w:eastAsia="hr-HR"/>
        </w:rPr>
        <w:t>non-melanoma skin cancer</w:t>
      </w:r>
      <w:r w:rsidRPr="00A10D67">
        <w:rPr>
          <w:color w:val="000000"/>
          <w:sz w:val="22"/>
          <w:szCs w:val="22"/>
          <w:lang w:val="sr-Latn-ME" w:eastAsia="hr-HR"/>
        </w:rPr>
        <w:t xml:space="preserve">, NMSC) [karcinom bazalnih ćelija (engl. </w:t>
      </w:r>
      <w:r w:rsidRPr="00A10D67">
        <w:rPr>
          <w:i/>
          <w:iCs/>
          <w:color w:val="000000"/>
          <w:sz w:val="22"/>
          <w:szCs w:val="22"/>
          <w:lang w:val="sr-Latn-ME" w:eastAsia="hr-HR"/>
        </w:rPr>
        <w:t>basal cell carcinoma</w:t>
      </w:r>
      <w:r w:rsidRPr="00A10D67">
        <w:rPr>
          <w:color w:val="000000"/>
          <w:sz w:val="22"/>
          <w:szCs w:val="22"/>
          <w:lang w:val="sr-Latn-ME" w:eastAsia="hr-HR"/>
        </w:rPr>
        <w:t xml:space="preserve">, BCC) i karcinom skvamoznih ćelija (engl. </w:t>
      </w:r>
      <w:r w:rsidRPr="00A10D67">
        <w:rPr>
          <w:i/>
          <w:iCs/>
          <w:color w:val="000000"/>
          <w:sz w:val="22"/>
          <w:szCs w:val="22"/>
          <w:lang w:val="sr-Latn-ME" w:eastAsia="hr-HR"/>
        </w:rPr>
        <w:t>squamous cell carcinoma</w:t>
      </w:r>
      <w:r w:rsidRPr="00A10D67">
        <w:rPr>
          <w:color w:val="000000"/>
          <w:sz w:val="22"/>
          <w:szCs w:val="22"/>
          <w:lang w:val="sr-Latn-ME" w:eastAsia="hr-HR"/>
        </w:rPr>
        <w:t>, SCC)] kod povećane kumulativne izloženosti hidrohlortiazidu (HCTZ) zabilježen je u dvije epidemiološke studije na osnovu danskog Nacionalnog registra za rak. Fotosenzitivno dejstvo hidrohlortiazida može predstavljati mogući mehanizam za nastanak nemelanomskih malignih tumora kože.</w:t>
      </w:r>
    </w:p>
    <w:p w14:paraId="2D229745" w14:textId="719296E5" w:rsidR="007D4D85" w:rsidRPr="00A10D67" w:rsidRDefault="007D4D85" w:rsidP="00432709">
      <w:pPr>
        <w:tabs>
          <w:tab w:val="left" w:pos="567"/>
        </w:tabs>
        <w:jc w:val="both"/>
        <w:rPr>
          <w:color w:val="000000"/>
          <w:sz w:val="22"/>
          <w:szCs w:val="22"/>
          <w:lang w:val="sr-Latn-ME" w:eastAsia="hr-HR"/>
        </w:rPr>
      </w:pPr>
      <w:r w:rsidRPr="00A10D67">
        <w:rPr>
          <w:color w:val="000000"/>
          <w:sz w:val="22"/>
          <w:szCs w:val="22"/>
          <w:lang w:val="sr-Latn-ME" w:eastAsia="hr-HR"/>
        </w:rPr>
        <w:t>Potrebno je da se pacijenti koji uzimaju hidrohlortiazid obavijeste</w:t>
      </w:r>
      <w:r w:rsidR="00432709" w:rsidRPr="00A10D67">
        <w:rPr>
          <w:color w:val="000000"/>
          <w:sz w:val="22"/>
          <w:szCs w:val="22"/>
          <w:lang w:val="sr-Latn-ME" w:eastAsia="hr-HR"/>
        </w:rPr>
        <w:t xml:space="preserve"> </w:t>
      </w:r>
      <w:r w:rsidRPr="00A10D67">
        <w:rPr>
          <w:color w:val="000000"/>
          <w:sz w:val="22"/>
          <w:szCs w:val="22"/>
          <w:lang w:val="sr-Latn-ME" w:eastAsia="hr-HR"/>
        </w:rPr>
        <w:t>o riziku od nemelanomskih malignih tumora kože, te da im se</w:t>
      </w:r>
      <w:r w:rsidR="00432709" w:rsidRPr="00A10D67">
        <w:rPr>
          <w:color w:val="000000"/>
          <w:sz w:val="22"/>
          <w:szCs w:val="22"/>
          <w:lang w:val="sr-Latn-ME" w:eastAsia="hr-HR"/>
        </w:rPr>
        <w:t xml:space="preserve"> </w:t>
      </w:r>
      <w:r w:rsidRPr="00A10D67">
        <w:rPr>
          <w:color w:val="000000"/>
          <w:sz w:val="22"/>
          <w:szCs w:val="22"/>
          <w:lang w:val="sr-Latn-ME" w:eastAsia="hr-HR"/>
        </w:rPr>
        <w:t>savjetuje da redovno kont</w:t>
      </w:r>
      <w:r w:rsidR="006F57B4">
        <w:rPr>
          <w:color w:val="000000"/>
          <w:sz w:val="22"/>
          <w:szCs w:val="22"/>
          <w:lang w:val="sr-Latn-ME" w:eastAsia="hr-HR"/>
        </w:rPr>
        <w:t>r</w:t>
      </w:r>
      <w:r w:rsidRPr="00A10D67">
        <w:rPr>
          <w:color w:val="000000"/>
          <w:sz w:val="22"/>
          <w:szCs w:val="22"/>
          <w:lang w:val="sr-Latn-ME" w:eastAsia="hr-HR"/>
        </w:rPr>
        <w:t>olišu</w:t>
      </w:r>
      <w:r w:rsidR="00432709" w:rsidRPr="00A10D67">
        <w:rPr>
          <w:color w:val="000000"/>
          <w:sz w:val="22"/>
          <w:szCs w:val="22"/>
          <w:lang w:val="sr-Latn-ME" w:eastAsia="hr-HR"/>
        </w:rPr>
        <w:t xml:space="preserve"> </w:t>
      </w:r>
      <w:r w:rsidRPr="00A10D67">
        <w:rPr>
          <w:color w:val="000000"/>
          <w:sz w:val="22"/>
          <w:szCs w:val="22"/>
          <w:lang w:val="sr-Latn-ME" w:eastAsia="hr-HR"/>
        </w:rPr>
        <w:t>svoju kožu zbog mogućeg nastanka bilo kakvih novih lezija kao i da hitno</w:t>
      </w:r>
      <w:r w:rsidR="00432709" w:rsidRPr="00A10D67">
        <w:rPr>
          <w:color w:val="000000"/>
          <w:sz w:val="22"/>
          <w:szCs w:val="22"/>
          <w:lang w:val="sr-Latn-ME" w:eastAsia="hr-HR"/>
        </w:rPr>
        <w:t xml:space="preserve"> </w:t>
      </w:r>
      <w:r w:rsidRPr="00A10D67">
        <w:rPr>
          <w:color w:val="000000"/>
          <w:sz w:val="22"/>
          <w:szCs w:val="22"/>
          <w:lang w:val="sr-Latn-ME" w:eastAsia="hr-HR"/>
        </w:rPr>
        <w:t>prijave sve sumnjive promjene na koži</w:t>
      </w:r>
      <w:r w:rsidR="00E32B34" w:rsidRPr="00A10D67">
        <w:rPr>
          <w:color w:val="000000"/>
          <w:sz w:val="22"/>
          <w:szCs w:val="22"/>
          <w:lang w:val="sr-Latn-ME" w:eastAsia="hr-HR"/>
        </w:rPr>
        <w:t>.</w:t>
      </w:r>
    </w:p>
    <w:p w14:paraId="231207B7" w14:textId="4EFA5517" w:rsidR="007D4D85" w:rsidRPr="00A10D67" w:rsidRDefault="007D4D85" w:rsidP="00432709">
      <w:pPr>
        <w:tabs>
          <w:tab w:val="left" w:pos="567"/>
        </w:tabs>
        <w:jc w:val="both"/>
        <w:rPr>
          <w:color w:val="000000"/>
          <w:sz w:val="22"/>
          <w:szCs w:val="22"/>
          <w:lang w:val="sr-Latn-ME" w:eastAsia="hr-HR"/>
        </w:rPr>
      </w:pPr>
      <w:r w:rsidRPr="00A10D67">
        <w:rPr>
          <w:color w:val="000000"/>
          <w:sz w:val="22"/>
          <w:szCs w:val="22"/>
          <w:lang w:val="sr-Latn-ME" w:eastAsia="hr-HR"/>
        </w:rPr>
        <w:t xml:space="preserve">Pacijentima treba </w:t>
      </w:r>
      <w:r w:rsidR="007476CA" w:rsidRPr="00A10D67">
        <w:rPr>
          <w:color w:val="000000"/>
          <w:sz w:val="22"/>
          <w:szCs w:val="22"/>
          <w:lang w:val="sr-Latn-ME" w:eastAsia="hr-HR"/>
        </w:rPr>
        <w:t>savjetovati</w:t>
      </w:r>
      <w:r w:rsidRPr="00A10D67">
        <w:rPr>
          <w:color w:val="000000"/>
          <w:sz w:val="22"/>
          <w:szCs w:val="22"/>
          <w:lang w:val="sr-Latn-ME" w:eastAsia="hr-HR"/>
        </w:rPr>
        <w:t xml:space="preserve"> da ograniče izlaganje sunčevoj svjetlosti i UV zracima, kao i da koriste odgovarajuću zaštitu prilikom izlaganja sunčevoj svjetlosti i UV zracima, kako bi se rizik od raka kože sveo na minimum. Sumnjive lezije kože moraju se odmah pregledati, što potencijalno uključuje histološki pregled uzorka biopsije. Takođe, kod pacijenata koji su prethodno imali NMSC može biti potrebno razmotriti opravdanost upotrebe</w:t>
      </w:r>
      <w:r w:rsidR="00432709" w:rsidRPr="00A10D67">
        <w:rPr>
          <w:color w:val="000000"/>
          <w:sz w:val="22"/>
          <w:szCs w:val="22"/>
          <w:lang w:val="sr-Latn-ME" w:eastAsia="hr-HR"/>
        </w:rPr>
        <w:t xml:space="preserve"> </w:t>
      </w:r>
      <w:r w:rsidRPr="00A10D67">
        <w:rPr>
          <w:color w:val="000000"/>
          <w:sz w:val="22"/>
          <w:szCs w:val="22"/>
          <w:lang w:val="sr-Latn-ME" w:eastAsia="hr-HR"/>
        </w:rPr>
        <w:t xml:space="preserve">hidrohlortiazida (vidjeti takođe </w:t>
      </w:r>
      <w:r w:rsidR="00432709" w:rsidRPr="00A10D67">
        <w:rPr>
          <w:color w:val="000000"/>
          <w:sz w:val="22"/>
          <w:szCs w:val="22"/>
          <w:lang w:val="sr-Latn-ME" w:eastAsia="hr-HR"/>
        </w:rPr>
        <w:t>dio</w:t>
      </w:r>
      <w:r w:rsidRPr="00A10D67">
        <w:rPr>
          <w:color w:val="000000"/>
          <w:sz w:val="22"/>
          <w:szCs w:val="22"/>
          <w:lang w:val="sr-Latn-ME" w:eastAsia="hr-HR"/>
        </w:rPr>
        <w:t xml:space="preserve"> 4.8.). </w:t>
      </w:r>
    </w:p>
    <w:p w14:paraId="6CC9AB45" w14:textId="77777777" w:rsidR="007D4D85" w:rsidRPr="00A10D67" w:rsidRDefault="007D4D85" w:rsidP="00432709">
      <w:pPr>
        <w:autoSpaceDE w:val="0"/>
        <w:autoSpaceDN w:val="0"/>
        <w:adjustRightInd w:val="0"/>
        <w:jc w:val="both"/>
        <w:rPr>
          <w:b/>
          <w:bCs/>
          <w:color w:val="000000"/>
          <w:sz w:val="22"/>
          <w:szCs w:val="22"/>
          <w:lang w:val="sr-Latn-ME"/>
        </w:rPr>
      </w:pPr>
    </w:p>
    <w:p w14:paraId="55745C81" w14:textId="503764CC" w:rsidR="00926382" w:rsidRPr="00A10D67" w:rsidRDefault="00926382" w:rsidP="00432709">
      <w:pPr>
        <w:autoSpaceDE w:val="0"/>
        <w:autoSpaceDN w:val="0"/>
        <w:adjustRightInd w:val="0"/>
        <w:jc w:val="both"/>
        <w:rPr>
          <w:b/>
          <w:bCs/>
          <w:color w:val="000000"/>
          <w:sz w:val="22"/>
          <w:szCs w:val="22"/>
          <w:lang w:val="sr-Latn-ME"/>
        </w:rPr>
      </w:pPr>
      <w:r w:rsidRPr="00A10D67">
        <w:rPr>
          <w:b/>
          <w:bCs/>
          <w:color w:val="000000"/>
          <w:sz w:val="22"/>
          <w:szCs w:val="22"/>
          <w:lang w:val="sr-Latn-ME"/>
        </w:rPr>
        <w:t>Simptomatska hipotenzija</w:t>
      </w:r>
    </w:p>
    <w:p w14:paraId="6C0DAA49" w14:textId="1D361F11"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 xml:space="preserve">Simptomatska hipotenzija se rijetko javlja kod pacijenata sa nekomplikovanom hipertenzijom, a do hipotenzije češće dolazi kada postoji gubitak volumena tjelesnih tečnosti izazvan prethodnom terapijom diureticima, restrikcijom soli u ishrani, dijalizom, </w:t>
      </w:r>
      <w:r w:rsidR="007476CA" w:rsidRPr="00A10D67">
        <w:rPr>
          <w:sz w:val="22"/>
          <w:szCs w:val="22"/>
          <w:lang w:val="sr-Latn-ME"/>
        </w:rPr>
        <w:t>dijarejom</w:t>
      </w:r>
      <w:r w:rsidRPr="00A10D67">
        <w:rPr>
          <w:sz w:val="22"/>
          <w:szCs w:val="22"/>
          <w:lang w:val="sr-Latn-ME"/>
        </w:rPr>
        <w:t xml:space="preserve">, povraćanjem, odnosno u teškim oblicima renin zavisne hipertenzije (vidjeti </w:t>
      </w:r>
      <w:r w:rsidR="00432709" w:rsidRPr="00A10D67">
        <w:rPr>
          <w:sz w:val="22"/>
          <w:szCs w:val="22"/>
          <w:lang w:val="sr-Latn-ME"/>
        </w:rPr>
        <w:t>djelove</w:t>
      </w:r>
      <w:r w:rsidRPr="00A10D67">
        <w:rPr>
          <w:sz w:val="22"/>
          <w:szCs w:val="22"/>
          <w:lang w:val="sr-Latn-ME"/>
        </w:rPr>
        <w:t xml:space="preserve"> 4.5 i 4.8). Kod takvih pacijenata preporučuje se određivanje elektrolita u serumu u određenim vremenskim intervalima. Kod pacijenata koji imaju povećani rizik od simptomatske hipotenzije započinjanje liječenja, prilagođavanje doze i liječenje treba sprovoditi pod strogim medicinskim nadzorom. </w:t>
      </w:r>
    </w:p>
    <w:p w14:paraId="634AA229" w14:textId="3FCD8481"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 xml:space="preserve">Posebnu pažnju treba obratiti na pacijente sa ishemijskom </w:t>
      </w:r>
      <w:r w:rsidR="007476CA" w:rsidRPr="00A10D67">
        <w:rPr>
          <w:sz w:val="22"/>
          <w:szCs w:val="22"/>
          <w:lang w:val="sr-Latn-ME"/>
        </w:rPr>
        <w:t xml:space="preserve">bolešću </w:t>
      </w:r>
      <w:r w:rsidRPr="00A10D67">
        <w:rPr>
          <w:sz w:val="22"/>
          <w:szCs w:val="22"/>
          <w:lang w:val="sr-Latn-ME"/>
        </w:rPr>
        <w:t>srca ili cerebrovaskularnim bolestima, jer kod takvih pacijenata nagli pad krvnog pritiska može dovesti do infarkta miokarda ili cerebrovaskularnog insulta.</w:t>
      </w:r>
    </w:p>
    <w:p w14:paraId="413BF19C" w14:textId="51A04007"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Ukoliko nastane hipotenzija, pacijenta treba postaviti u ležeći položaj, i po potrebi primijeniti intravensku infuziju fiziološkog rastvora. Prolazna hipotenzija nije kontraindikacija za sljedeću dozu lijeka. Posl</w:t>
      </w:r>
      <w:r w:rsidR="007476CA" w:rsidRPr="00A10D67">
        <w:rPr>
          <w:sz w:val="22"/>
          <w:szCs w:val="22"/>
          <w:lang w:val="sr-Latn-ME"/>
        </w:rPr>
        <w:t>ij</w:t>
      </w:r>
      <w:r w:rsidRPr="00A10D67">
        <w:rPr>
          <w:sz w:val="22"/>
          <w:szCs w:val="22"/>
          <w:lang w:val="sr-Latn-ME"/>
        </w:rPr>
        <w:t>e nadoknade volumena i uspostavljanja krvnog pritiska, moguće je nastaviti liječenje manjom dozom, ili se pojedine komponente lijeka mogu primjenjivati samostalno.</w:t>
      </w:r>
    </w:p>
    <w:p w14:paraId="17975A98" w14:textId="08528989"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Kod nekih pacijenata sa srčanom insuficijencijom, koji imaju normalan ili niži krvni pritisak, može doći do</w:t>
      </w:r>
      <w:r w:rsidR="00E32B34" w:rsidRPr="00A10D67">
        <w:rPr>
          <w:sz w:val="22"/>
          <w:szCs w:val="22"/>
          <w:lang w:val="sr-Latn-ME"/>
        </w:rPr>
        <w:t xml:space="preserve"> </w:t>
      </w:r>
      <w:r w:rsidRPr="00A10D67">
        <w:rPr>
          <w:sz w:val="22"/>
          <w:szCs w:val="22"/>
          <w:lang w:val="sr-Latn-ME"/>
        </w:rPr>
        <w:t>dodatnog sniženja krvnog pritiska uzimanjem lizinoprila. Ovo je očekivano dejstvo lijeka i ne zahtijeva prekid</w:t>
      </w:r>
      <w:r w:rsidR="00E32B34" w:rsidRPr="00A10D67">
        <w:rPr>
          <w:sz w:val="22"/>
          <w:szCs w:val="22"/>
          <w:lang w:val="sr-Latn-ME"/>
        </w:rPr>
        <w:t xml:space="preserve"> </w:t>
      </w:r>
      <w:r w:rsidRPr="00A10D67">
        <w:rPr>
          <w:sz w:val="22"/>
          <w:szCs w:val="22"/>
          <w:lang w:val="sr-Latn-ME"/>
        </w:rPr>
        <w:t>terapije, ali ako hipotenzija postane simptomatska, neophodno je smanjiti dozu ili prekinuti primjenu lizinopril/hidrohlortiazida.</w:t>
      </w:r>
    </w:p>
    <w:p w14:paraId="069DBD7A" w14:textId="77777777" w:rsidR="00926382" w:rsidRPr="00A10D67" w:rsidRDefault="00926382" w:rsidP="00432709">
      <w:pPr>
        <w:autoSpaceDE w:val="0"/>
        <w:autoSpaceDN w:val="0"/>
        <w:adjustRightInd w:val="0"/>
        <w:jc w:val="both"/>
        <w:rPr>
          <w:sz w:val="22"/>
          <w:szCs w:val="22"/>
          <w:lang w:val="sr-Latn-ME"/>
        </w:rPr>
      </w:pPr>
    </w:p>
    <w:p w14:paraId="6F6F0ED6" w14:textId="77777777" w:rsidR="00926382" w:rsidRPr="00A10D67" w:rsidRDefault="00926382" w:rsidP="00432709">
      <w:pPr>
        <w:tabs>
          <w:tab w:val="left" w:pos="567"/>
        </w:tabs>
        <w:jc w:val="both"/>
        <w:rPr>
          <w:b/>
          <w:sz w:val="22"/>
          <w:szCs w:val="22"/>
          <w:lang w:val="sr-Latn-ME"/>
        </w:rPr>
      </w:pPr>
      <w:r w:rsidRPr="00A10D67">
        <w:rPr>
          <w:b/>
          <w:sz w:val="22"/>
          <w:szCs w:val="22"/>
          <w:lang w:val="sr-Latn-ME"/>
        </w:rPr>
        <w:t>Aortna stenoza, stenoza mitralne valvule/hipertrofična kardiomiopatija</w:t>
      </w:r>
    </w:p>
    <w:p w14:paraId="1299088D" w14:textId="3A1A3EF1" w:rsidR="00926382" w:rsidRPr="00A10D67" w:rsidRDefault="00926382" w:rsidP="00432709">
      <w:pPr>
        <w:tabs>
          <w:tab w:val="left" w:pos="567"/>
        </w:tabs>
        <w:jc w:val="both"/>
        <w:rPr>
          <w:sz w:val="22"/>
          <w:szCs w:val="22"/>
          <w:lang w:val="sr-Latn-ME"/>
        </w:rPr>
      </w:pPr>
      <w:r w:rsidRPr="00A10D67">
        <w:rPr>
          <w:sz w:val="22"/>
          <w:szCs w:val="22"/>
          <w:lang w:val="sr-Latn-ME"/>
        </w:rPr>
        <w:t>Kao i druge ACE</w:t>
      </w:r>
      <w:r w:rsidR="007476CA" w:rsidRPr="00A10D67">
        <w:rPr>
          <w:sz w:val="22"/>
          <w:szCs w:val="22"/>
          <w:lang w:val="sr-Latn-ME"/>
        </w:rPr>
        <w:t>-</w:t>
      </w:r>
      <w:r w:rsidRPr="00A10D67">
        <w:rPr>
          <w:sz w:val="22"/>
          <w:szCs w:val="22"/>
          <w:lang w:val="sr-Latn-ME"/>
        </w:rPr>
        <w:t>inhibitore,</w:t>
      </w:r>
      <w:r w:rsidR="00432709" w:rsidRPr="00A10D67">
        <w:rPr>
          <w:sz w:val="22"/>
          <w:szCs w:val="22"/>
          <w:lang w:val="sr-Latn-ME"/>
        </w:rPr>
        <w:t xml:space="preserve"> </w:t>
      </w:r>
      <w:r w:rsidRPr="00A10D67">
        <w:rPr>
          <w:sz w:val="22"/>
          <w:szCs w:val="22"/>
          <w:lang w:val="sr-Latn-ME"/>
        </w:rPr>
        <w:t>lizinopril</w:t>
      </w:r>
      <w:r w:rsidR="00432709" w:rsidRPr="00A10D67">
        <w:rPr>
          <w:sz w:val="22"/>
          <w:szCs w:val="22"/>
          <w:lang w:val="sr-Latn-ME"/>
        </w:rPr>
        <w:t xml:space="preserve"> </w:t>
      </w:r>
      <w:r w:rsidRPr="00A10D67">
        <w:rPr>
          <w:sz w:val="22"/>
          <w:szCs w:val="22"/>
          <w:lang w:val="sr-Latn-ME"/>
        </w:rPr>
        <w:t>treba primjenjivati sa oprezom kod pacijenata sa stenozom mitralnog zaliska ili opstrukcijom istisnog dijela lijevog ventrikula kao što je stenoza aorte ili hipertrofična kardiomiopatija.</w:t>
      </w:r>
    </w:p>
    <w:p w14:paraId="38EECE5E" w14:textId="77777777" w:rsidR="00926382" w:rsidRPr="00A10D67" w:rsidRDefault="00926382" w:rsidP="00432709">
      <w:pPr>
        <w:jc w:val="both"/>
        <w:rPr>
          <w:b/>
          <w:sz w:val="22"/>
          <w:szCs w:val="22"/>
          <w:lang w:val="sr-Latn-ME"/>
        </w:rPr>
      </w:pPr>
    </w:p>
    <w:p w14:paraId="3C6FC9A9" w14:textId="157B2FF0" w:rsidR="00926382" w:rsidRPr="00A10D67" w:rsidRDefault="00926382" w:rsidP="00432709">
      <w:pPr>
        <w:jc w:val="both"/>
        <w:rPr>
          <w:b/>
          <w:sz w:val="22"/>
          <w:szCs w:val="22"/>
          <w:lang w:val="sr-Latn-ME"/>
        </w:rPr>
      </w:pPr>
      <w:r w:rsidRPr="00A10D67">
        <w:rPr>
          <w:b/>
          <w:sz w:val="22"/>
          <w:szCs w:val="22"/>
          <w:lang w:val="sr-Latn-ME"/>
        </w:rPr>
        <w:t>Dvostruka blokada renin-angiotenzin-aldosteronskog sistema (RAAS</w:t>
      </w:r>
      <w:r w:rsidR="00E32B34" w:rsidRPr="00A10D67">
        <w:rPr>
          <w:b/>
          <w:sz w:val="22"/>
          <w:szCs w:val="22"/>
          <w:lang w:val="sr-Latn-ME"/>
        </w:rPr>
        <w:t>)</w:t>
      </w:r>
    </w:p>
    <w:p w14:paraId="2798263F" w14:textId="08E05B64" w:rsidR="00926382" w:rsidRPr="00A10D67" w:rsidRDefault="00926382" w:rsidP="00432709">
      <w:pPr>
        <w:jc w:val="both"/>
        <w:rPr>
          <w:sz w:val="22"/>
          <w:szCs w:val="22"/>
          <w:lang w:val="sr-Latn-ME"/>
        </w:rPr>
      </w:pPr>
      <w:r w:rsidRPr="00A10D67">
        <w:rPr>
          <w:sz w:val="22"/>
          <w:szCs w:val="22"/>
          <w:lang w:val="sr-Latn-ME"/>
        </w:rPr>
        <w:t>Postoje dokazi da se istovremenom prim</w:t>
      </w:r>
      <w:r w:rsidR="006F57B4">
        <w:rPr>
          <w:sz w:val="22"/>
          <w:szCs w:val="22"/>
          <w:lang w:val="sr-Latn-ME"/>
        </w:rPr>
        <w:t>j</w:t>
      </w:r>
      <w:r w:rsidRPr="00A10D67">
        <w:rPr>
          <w:sz w:val="22"/>
          <w:szCs w:val="22"/>
          <w:lang w:val="sr-Latn-ME"/>
        </w:rPr>
        <w:t>enom ACE</w:t>
      </w:r>
      <w:r w:rsidR="007476CA" w:rsidRPr="00A10D67">
        <w:rPr>
          <w:sz w:val="22"/>
          <w:szCs w:val="22"/>
          <w:lang w:val="sr-Latn-ME"/>
        </w:rPr>
        <w:t>-</w:t>
      </w:r>
      <w:r w:rsidRPr="00A10D67">
        <w:rPr>
          <w:sz w:val="22"/>
          <w:szCs w:val="22"/>
          <w:lang w:val="sr-Latn-ME"/>
        </w:rPr>
        <w:t>inhibitora sa antagonistima receptora za angiotenzin II ili aliskirenom povećava rizik od nastanka hipotenzije, hiperkal</w:t>
      </w:r>
      <w:r w:rsidR="006F57B4">
        <w:rPr>
          <w:sz w:val="22"/>
          <w:szCs w:val="22"/>
          <w:lang w:val="sr-Latn-ME"/>
        </w:rPr>
        <w:t>ij</w:t>
      </w:r>
      <w:r w:rsidRPr="00A10D67">
        <w:rPr>
          <w:sz w:val="22"/>
          <w:szCs w:val="22"/>
          <w:lang w:val="sr-Latn-ME"/>
        </w:rPr>
        <w:t>emije i smanjenja bubrežne funkcije (uključujući akutnu bubrežnu insuficijenciju). Dvostruka blokada RAAS-a</w:t>
      </w:r>
      <w:r w:rsidR="00432709" w:rsidRPr="00A10D67">
        <w:rPr>
          <w:sz w:val="22"/>
          <w:szCs w:val="22"/>
          <w:lang w:val="sr-Latn-ME"/>
        </w:rPr>
        <w:t xml:space="preserve"> </w:t>
      </w:r>
      <w:r w:rsidRPr="00A10D67">
        <w:rPr>
          <w:sz w:val="22"/>
          <w:szCs w:val="22"/>
          <w:lang w:val="sr-Latn-ME"/>
        </w:rPr>
        <w:t>istovremenom primjenom ACE-inhibitora, antagonista receptora za angiotenzin II ili aliskirena</w:t>
      </w:r>
      <w:r w:rsidR="00432709" w:rsidRPr="00A10D67">
        <w:rPr>
          <w:sz w:val="22"/>
          <w:szCs w:val="22"/>
          <w:lang w:val="sr-Latn-ME"/>
        </w:rPr>
        <w:t xml:space="preserve"> </w:t>
      </w:r>
      <w:r w:rsidRPr="00A10D67">
        <w:rPr>
          <w:sz w:val="22"/>
          <w:szCs w:val="22"/>
          <w:lang w:val="sr-Latn-ME"/>
        </w:rPr>
        <w:t xml:space="preserve">stoga se ne preporučuje (vidjeti </w:t>
      </w:r>
      <w:r w:rsidR="00432709" w:rsidRPr="00A10D67">
        <w:rPr>
          <w:sz w:val="22"/>
          <w:szCs w:val="22"/>
          <w:lang w:val="sr-Latn-ME"/>
        </w:rPr>
        <w:t>djelove</w:t>
      </w:r>
      <w:r w:rsidR="008C427C" w:rsidRPr="00A10D67">
        <w:rPr>
          <w:sz w:val="22"/>
          <w:szCs w:val="22"/>
          <w:lang w:val="sr-Latn-ME"/>
        </w:rPr>
        <w:t xml:space="preserve"> </w:t>
      </w:r>
      <w:r w:rsidRPr="00A10D67">
        <w:rPr>
          <w:sz w:val="22"/>
          <w:szCs w:val="22"/>
          <w:lang w:val="sr-Latn-ME"/>
        </w:rPr>
        <w:t>4.5. i 5.1.).</w:t>
      </w:r>
    </w:p>
    <w:p w14:paraId="13000E2A" w14:textId="2E3650CC" w:rsidR="00926382" w:rsidRPr="00A10D67" w:rsidRDefault="00926382" w:rsidP="00432709">
      <w:pPr>
        <w:jc w:val="both"/>
        <w:rPr>
          <w:sz w:val="22"/>
          <w:szCs w:val="22"/>
          <w:lang w:val="sr-Latn-ME"/>
        </w:rPr>
      </w:pPr>
      <w:r w:rsidRPr="00A10D67">
        <w:rPr>
          <w:sz w:val="22"/>
          <w:szCs w:val="22"/>
          <w:lang w:val="sr-Latn-ME"/>
        </w:rPr>
        <w:t xml:space="preserve">Ako se terapija dvostrukom blokadom smatra apsolutno neophodnom, smije se samo </w:t>
      </w:r>
      <w:r w:rsidR="00432709" w:rsidRPr="00A10D67">
        <w:rPr>
          <w:sz w:val="22"/>
          <w:szCs w:val="22"/>
          <w:lang w:val="sr-Latn-ME"/>
        </w:rPr>
        <w:t>s</w:t>
      </w:r>
      <w:r w:rsidRPr="00A10D67">
        <w:rPr>
          <w:sz w:val="22"/>
          <w:szCs w:val="22"/>
          <w:lang w:val="sr-Latn-ME"/>
        </w:rPr>
        <w:t>provoditi pod nadzorom ljekara specijaliste i uz pažljivo praćenje bubrežne funkcije, elektrolita i krvnog pritiska.</w:t>
      </w:r>
    </w:p>
    <w:p w14:paraId="042C1B7B" w14:textId="380A0637" w:rsidR="00926382" w:rsidRPr="00A10D67" w:rsidRDefault="00926382" w:rsidP="00432709">
      <w:pPr>
        <w:jc w:val="both"/>
        <w:rPr>
          <w:sz w:val="22"/>
          <w:szCs w:val="22"/>
          <w:lang w:val="sr-Latn-ME"/>
        </w:rPr>
      </w:pPr>
      <w:r w:rsidRPr="00A10D67">
        <w:rPr>
          <w:sz w:val="22"/>
          <w:szCs w:val="22"/>
          <w:lang w:val="sr-Latn-ME"/>
        </w:rPr>
        <w:t>ACE-inhibitori i antagonisti receptora za angiotenzin II ne smiju se istovremeno prim</w:t>
      </w:r>
      <w:r w:rsidR="006F57B4">
        <w:rPr>
          <w:sz w:val="22"/>
          <w:szCs w:val="22"/>
          <w:lang w:val="sr-Latn-ME"/>
        </w:rPr>
        <w:t>j</w:t>
      </w:r>
      <w:r w:rsidRPr="00A10D67">
        <w:rPr>
          <w:sz w:val="22"/>
          <w:szCs w:val="22"/>
          <w:lang w:val="sr-Latn-ME"/>
        </w:rPr>
        <w:t>enjivati kod pacijenata sa dijabetesnom nefropatijom.</w:t>
      </w:r>
    </w:p>
    <w:p w14:paraId="75267052" w14:textId="77777777" w:rsidR="00926382" w:rsidRPr="00A10D67" w:rsidRDefault="00926382" w:rsidP="00432709">
      <w:pPr>
        <w:jc w:val="both"/>
        <w:rPr>
          <w:sz w:val="22"/>
          <w:szCs w:val="22"/>
          <w:lang w:val="sr-Latn-ME"/>
        </w:rPr>
      </w:pPr>
    </w:p>
    <w:p w14:paraId="31933EC6"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Oštećenje funkcije bubrega</w:t>
      </w:r>
    </w:p>
    <w:p w14:paraId="6D355108" w14:textId="10F5201A" w:rsidR="00E32B34" w:rsidRPr="00A10D67" w:rsidRDefault="00E32B34" w:rsidP="00432709">
      <w:pPr>
        <w:autoSpaceDE w:val="0"/>
        <w:autoSpaceDN w:val="0"/>
        <w:adjustRightInd w:val="0"/>
        <w:jc w:val="both"/>
        <w:rPr>
          <w:sz w:val="22"/>
          <w:szCs w:val="22"/>
          <w:lang w:val="sr-Latn-ME"/>
        </w:rPr>
      </w:pPr>
      <w:r w:rsidRPr="00A10D67">
        <w:rPr>
          <w:sz w:val="22"/>
          <w:szCs w:val="22"/>
          <w:lang w:val="sr-Latn-ME"/>
        </w:rPr>
        <w:t>T</w:t>
      </w:r>
      <w:r w:rsidR="00926382" w:rsidRPr="00A10D67">
        <w:rPr>
          <w:sz w:val="22"/>
          <w:szCs w:val="22"/>
          <w:lang w:val="sr-Latn-ME"/>
        </w:rPr>
        <w:t>iazidni diureti</w:t>
      </w:r>
      <w:r w:rsidRPr="00A10D67">
        <w:rPr>
          <w:sz w:val="22"/>
          <w:szCs w:val="22"/>
          <w:lang w:val="sr-Latn-ME"/>
        </w:rPr>
        <w:t>ci mogu biti neprikladni za primjenu</w:t>
      </w:r>
      <w:r w:rsidR="00926382" w:rsidRPr="00A10D67">
        <w:rPr>
          <w:sz w:val="22"/>
          <w:szCs w:val="22"/>
          <w:lang w:val="sr-Latn-ME"/>
        </w:rPr>
        <w:t xml:space="preserve"> kod pacijenata sa smanjenom bubrežnom funkcijom, i ni</w:t>
      </w:r>
      <w:r w:rsidR="00976EEC" w:rsidRPr="00A10D67">
        <w:rPr>
          <w:sz w:val="22"/>
          <w:szCs w:val="22"/>
          <w:lang w:val="sr-Latn-ME"/>
        </w:rPr>
        <w:t>je</w:t>
      </w:r>
      <w:r w:rsidR="00926382" w:rsidRPr="00A10D67">
        <w:rPr>
          <w:sz w:val="22"/>
          <w:szCs w:val="22"/>
          <w:lang w:val="sr-Latn-ME"/>
        </w:rPr>
        <w:t>su efikasni kod pacijenata kod kojih je klirens kreatinina 30 m</w:t>
      </w:r>
      <w:r w:rsidR="00EF4448">
        <w:rPr>
          <w:sz w:val="22"/>
          <w:szCs w:val="22"/>
          <w:lang w:val="sr-Latn-ME"/>
        </w:rPr>
        <w:t>L</w:t>
      </w:r>
      <w:r w:rsidR="00926382" w:rsidRPr="00A10D67">
        <w:rPr>
          <w:sz w:val="22"/>
          <w:szCs w:val="22"/>
          <w:lang w:val="sr-Latn-ME"/>
        </w:rPr>
        <w:t>/min ili niži (</w:t>
      </w:r>
      <w:r w:rsidRPr="00A10D67">
        <w:rPr>
          <w:sz w:val="22"/>
          <w:szCs w:val="22"/>
          <w:lang w:val="sr-Latn-ME"/>
        </w:rPr>
        <w:t xml:space="preserve">srednje teška </w:t>
      </w:r>
      <w:r w:rsidR="00926382" w:rsidRPr="00A10D67">
        <w:rPr>
          <w:sz w:val="22"/>
          <w:szCs w:val="22"/>
          <w:lang w:val="sr-Latn-ME"/>
        </w:rPr>
        <w:t xml:space="preserve">ili teška bubrežna insuficijencija). </w:t>
      </w:r>
    </w:p>
    <w:p w14:paraId="78DBFEE1" w14:textId="12B076E2" w:rsidR="00926382" w:rsidRPr="00A10D67" w:rsidRDefault="00E32B34" w:rsidP="00432709">
      <w:pPr>
        <w:autoSpaceDE w:val="0"/>
        <w:autoSpaceDN w:val="0"/>
        <w:adjustRightInd w:val="0"/>
        <w:jc w:val="both"/>
        <w:rPr>
          <w:sz w:val="22"/>
          <w:szCs w:val="22"/>
          <w:lang w:val="sr-Latn-ME"/>
        </w:rPr>
      </w:pPr>
      <w:r w:rsidRPr="00A10D67">
        <w:rPr>
          <w:sz w:val="22"/>
          <w:szCs w:val="22"/>
          <w:lang w:val="sr-Latn-ME"/>
        </w:rPr>
        <w:lastRenderedPageBreak/>
        <w:t>K</w:t>
      </w:r>
      <w:r w:rsidR="00926382" w:rsidRPr="00A10D67">
        <w:rPr>
          <w:sz w:val="22"/>
          <w:szCs w:val="22"/>
          <w:lang w:val="sr-Latn-ME"/>
        </w:rPr>
        <w:t>ombinaciju lizinopril/hidrohlortiazid ne treba primjenjivati kod pacijenata sa bubrežnom insuficijencijom (klirens kreatinina ≤80 m</w:t>
      </w:r>
      <w:r w:rsidR="00EF4448">
        <w:rPr>
          <w:sz w:val="22"/>
          <w:szCs w:val="22"/>
          <w:lang w:val="sr-Latn-ME"/>
        </w:rPr>
        <w:t>L</w:t>
      </w:r>
      <w:r w:rsidR="00926382" w:rsidRPr="00A10D67">
        <w:rPr>
          <w:sz w:val="22"/>
          <w:szCs w:val="22"/>
          <w:lang w:val="sr-Latn-ME"/>
        </w:rPr>
        <w:t>/min), sve dok titracija pojedinačnih komponenata ne pokaže potrebu za dozama zastupljenim u kombinaciji.</w:t>
      </w:r>
    </w:p>
    <w:p w14:paraId="2ACDEC7C" w14:textId="16CD81AD"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Kod pacijenata sa srčanom insuficijencijom, hipotenzija koja se javila na početku liječenja ACE-inhibitorima može dovesti do daljeg oštećenja bubrežne funkcije. U tim slučajevima, zabilježena je akutna renalna insuficijencija,</w:t>
      </w:r>
      <w:r w:rsidR="00432709" w:rsidRPr="00A10D67">
        <w:rPr>
          <w:sz w:val="22"/>
          <w:szCs w:val="22"/>
          <w:lang w:val="sr-Latn-ME"/>
        </w:rPr>
        <w:t xml:space="preserve"> </w:t>
      </w:r>
      <w:r w:rsidRPr="00A10D67">
        <w:rPr>
          <w:sz w:val="22"/>
          <w:szCs w:val="22"/>
          <w:lang w:val="sr-Latn-ME"/>
        </w:rPr>
        <w:t>koja je obično reverzibilna.</w:t>
      </w:r>
    </w:p>
    <w:p w14:paraId="10524DD9" w14:textId="2EBE0ECF"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Kod nekih pacijenata sa bilateralnom ili unilateralnom stenozom bubrežne arterije, liječenih ACE-inhibitorima,</w:t>
      </w:r>
      <w:r w:rsidR="00975848" w:rsidRPr="00A10D67">
        <w:rPr>
          <w:sz w:val="22"/>
          <w:szCs w:val="22"/>
          <w:lang w:val="sr-Latn-ME"/>
        </w:rPr>
        <w:t xml:space="preserve"> </w:t>
      </w:r>
      <w:r w:rsidRPr="00A10D67">
        <w:rPr>
          <w:sz w:val="22"/>
          <w:szCs w:val="22"/>
          <w:lang w:val="sr-Latn-ME"/>
        </w:rPr>
        <w:t>može doći do porasta nivoa uree u krvi i serumskog kreatinina, što uglavnom prestaje sa prekidom liječenja.</w:t>
      </w:r>
      <w:r w:rsidR="00975848" w:rsidRPr="00A10D67">
        <w:rPr>
          <w:sz w:val="22"/>
          <w:szCs w:val="22"/>
          <w:lang w:val="sr-Latn-ME"/>
        </w:rPr>
        <w:t xml:space="preserve"> </w:t>
      </w:r>
      <w:r w:rsidRPr="00A10D67">
        <w:rPr>
          <w:sz w:val="22"/>
          <w:szCs w:val="22"/>
          <w:lang w:val="sr-Latn-ME"/>
        </w:rPr>
        <w:t>Najčešće su to pacijenti sa već postojećom bubrežnom insuficijencijom. Kod pacijenata sa</w:t>
      </w:r>
      <w:r w:rsidRPr="00A10D67">
        <w:rPr>
          <w:color w:val="000000"/>
          <w:sz w:val="22"/>
          <w:szCs w:val="22"/>
          <w:lang w:val="sr-Latn-ME"/>
        </w:rPr>
        <w:t xml:space="preserve"> </w:t>
      </w:r>
      <w:r w:rsidRPr="00A10D67">
        <w:rPr>
          <w:sz w:val="22"/>
          <w:szCs w:val="22"/>
          <w:lang w:val="sr-Latn-ME"/>
        </w:rPr>
        <w:t>renovaskularnom hipertenzijom postoji takođe povećan rizik od pojave teške hipotenzije i bubrežne insuficijencije. Kod tih pacijenata liječenje treba započeti pod strogom kont</w:t>
      </w:r>
      <w:r w:rsidR="006F57B4">
        <w:rPr>
          <w:sz w:val="22"/>
          <w:szCs w:val="22"/>
          <w:lang w:val="sr-Latn-ME"/>
        </w:rPr>
        <w:t>r</w:t>
      </w:r>
      <w:r w:rsidRPr="00A10D67">
        <w:rPr>
          <w:sz w:val="22"/>
          <w:szCs w:val="22"/>
          <w:lang w:val="sr-Latn-ME"/>
        </w:rPr>
        <w:t>olom ljekara uz primjenu niskih doza i pažljivom</w:t>
      </w:r>
      <w:r w:rsidRPr="00A10D67">
        <w:rPr>
          <w:color w:val="000000"/>
          <w:sz w:val="22"/>
          <w:szCs w:val="22"/>
          <w:lang w:val="sr-Latn-ME"/>
        </w:rPr>
        <w:t xml:space="preserve"> </w:t>
      </w:r>
      <w:r w:rsidRPr="00A10D67">
        <w:rPr>
          <w:sz w:val="22"/>
          <w:szCs w:val="22"/>
          <w:lang w:val="sr-Latn-ME"/>
        </w:rPr>
        <w:t>titracijom doze. S obzirom na to da primjena diuretika može dovesti do pojave bubrežne insuficijencije</w:t>
      </w:r>
      <w:r w:rsidRPr="00A10D67">
        <w:rPr>
          <w:color w:val="000000"/>
          <w:sz w:val="22"/>
          <w:szCs w:val="22"/>
          <w:lang w:val="sr-Latn-ME"/>
        </w:rPr>
        <w:t xml:space="preserve"> </w:t>
      </w:r>
      <w:r w:rsidRPr="00A10D67">
        <w:rPr>
          <w:sz w:val="22"/>
          <w:szCs w:val="22"/>
          <w:lang w:val="sr-Latn-ME"/>
        </w:rPr>
        <w:t>preporučuje se kontrola funkcije bubrega prvih nekoliko nedjelja od početka terapije ovim lijekom.</w:t>
      </w:r>
    </w:p>
    <w:p w14:paraId="408132E2" w14:textId="0AD5B280"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 xml:space="preserve">Kod nekih hipertenzivnih pacijenata, bez dijagnostikovane, prethodno postojeće renovaskularne bolesti, može doći do uglavnom blagog i prolaznog porasta nivoa uree i kreatinina u serumu, kada se lizinopril primjenjuje istovremeno sa diuretikom. </w:t>
      </w:r>
      <w:r w:rsidR="007476CA" w:rsidRPr="00A10D67">
        <w:rPr>
          <w:sz w:val="22"/>
          <w:szCs w:val="22"/>
          <w:lang w:val="sr-Latn-ME"/>
        </w:rPr>
        <w:t xml:space="preserve">Vjerovatnoća </w:t>
      </w:r>
      <w:r w:rsidRPr="00A10D67">
        <w:rPr>
          <w:sz w:val="22"/>
          <w:szCs w:val="22"/>
          <w:lang w:val="sr-Latn-ME"/>
        </w:rPr>
        <w:t>da se to dogodi veća je kod pacijenata</w:t>
      </w:r>
      <w:r w:rsidR="00432709" w:rsidRPr="00A10D67">
        <w:rPr>
          <w:sz w:val="22"/>
          <w:szCs w:val="22"/>
          <w:lang w:val="sr-Latn-ME"/>
        </w:rPr>
        <w:t xml:space="preserve"> </w:t>
      </w:r>
      <w:r w:rsidRPr="00A10D67">
        <w:rPr>
          <w:sz w:val="22"/>
          <w:szCs w:val="22"/>
          <w:lang w:val="sr-Latn-ME"/>
        </w:rPr>
        <w:t>sa postojećom bolešću bubrega. Možda će biti potrebno redukovati</w:t>
      </w:r>
      <w:r w:rsidR="00432709" w:rsidRPr="00A10D67">
        <w:rPr>
          <w:sz w:val="22"/>
          <w:szCs w:val="22"/>
          <w:lang w:val="sr-Latn-ME"/>
        </w:rPr>
        <w:t xml:space="preserve"> </w:t>
      </w:r>
      <w:r w:rsidRPr="00A10D67">
        <w:rPr>
          <w:sz w:val="22"/>
          <w:szCs w:val="22"/>
          <w:lang w:val="sr-Latn-ME"/>
        </w:rPr>
        <w:t>dozu i/ili prekinuti liječenje diuretikom i/ili lizinoprilom.</w:t>
      </w:r>
      <w:r w:rsidR="00432709" w:rsidRPr="00A10D67">
        <w:rPr>
          <w:sz w:val="22"/>
          <w:szCs w:val="22"/>
          <w:lang w:val="sr-Latn-ME"/>
        </w:rPr>
        <w:t xml:space="preserve"> </w:t>
      </w:r>
    </w:p>
    <w:p w14:paraId="3789D2A8" w14:textId="77777777" w:rsidR="00926382" w:rsidRPr="00A10D67" w:rsidRDefault="00926382" w:rsidP="00432709">
      <w:pPr>
        <w:autoSpaceDE w:val="0"/>
        <w:autoSpaceDN w:val="0"/>
        <w:adjustRightInd w:val="0"/>
        <w:jc w:val="both"/>
        <w:rPr>
          <w:sz w:val="22"/>
          <w:szCs w:val="22"/>
          <w:lang w:val="sr-Latn-ME"/>
        </w:rPr>
      </w:pPr>
    </w:p>
    <w:p w14:paraId="3D63469B"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Prethodno liječenje diureticima</w:t>
      </w:r>
    </w:p>
    <w:p w14:paraId="24987E67" w14:textId="77777777"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Liječenje diureticima treba prekinuti 2-3 dana prije početka primjene kombinacije lizinopril/hidrohlortiazid. Ukoliko to nije moguće, liječenje treba započeti primjenom samo lizinoprila, u dozi od 5 mg.</w:t>
      </w:r>
    </w:p>
    <w:p w14:paraId="093603F2" w14:textId="77777777" w:rsidR="00926382" w:rsidRPr="00A10D67" w:rsidRDefault="00926382" w:rsidP="00432709">
      <w:pPr>
        <w:autoSpaceDE w:val="0"/>
        <w:autoSpaceDN w:val="0"/>
        <w:adjustRightInd w:val="0"/>
        <w:jc w:val="both"/>
        <w:rPr>
          <w:b/>
          <w:bCs/>
          <w:sz w:val="22"/>
          <w:szCs w:val="22"/>
          <w:lang w:val="sr-Latn-ME"/>
        </w:rPr>
      </w:pPr>
    </w:p>
    <w:p w14:paraId="78421C2C"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Transplantacija bubrega</w:t>
      </w:r>
    </w:p>
    <w:p w14:paraId="7989C96B" w14:textId="432D8E13"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Kombinacija lizinopril/hidrohlortiazid se ne smije primjenjivati kod pacijenata sa nedavno presađenim bubregom, jer nema iskustava sa primjenom lijeka kod tih pacijenata.</w:t>
      </w:r>
    </w:p>
    <w:p w14:paraId="3601089B" w14:textId="77777777" w:rsidR="00926382" w:rsidRPr="00A10D67" w:rsidRDefault="00926382" w:rsidP="00432709">
      <w:pPr>
        <w:autoSpaceDE w:val="0"/>
        <w:autoSpaceDN w:val="0"/>
        <w:adjustRightInd w:val="0"/>
        <w:jc w:val="both"/>
        <w:rPr>
          <w:sz w:val="22"/>
          <w:szCs w:val="22"/>
          <w:lang w:val="sr-Latn-ME"/>
        </w:rPr>
      </w:pPr>
    </w:p>
    <w:p w14:paraId="60B3EA2A"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Anafilaktičke reakcije kod pacijenata na hemodijalizi</w:t>
      </w:r>
    </w:p>
    <w:p w14:paraId="712B2E83" w14:textId="68960E8A"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Primjena kombinacije lizinopril/hidrohlortiazid nije indikovana kod pacijenata koji su na dijalizi</w:t>
      </w:r>
      <w:r w:rsidR="003852E2" w:rsidRPr="00A10D67">
        <w:rPr>
          <w:sz w:val="22"/>
          <w:szCs w:val="22"/>
          <w:lang w:val="sr-Latn-ME"/>
        </w:rPr>
        <w:t xml:space="preserve"> zbog renalne insuficijencije</w:t>
      </w:r>
      <w:r w:rsidRPr="00A10D67">
        <w:rPr>
          <w:sz w:val="22"/>
          <w:szCs w:val="22"/>
          <w:lang w:val="sr-Latn-ME"/>
        </w:rPr>
        <w:t xml:space="preserve">. </w:t>
      </w:r>
    </w:p>
    <w:p w14:paraId="20A44EF4" w14:textId="16289B1B"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Anafilaktičke reakcije</w:t>
      </w:r>
      <w:r w:rsidR="00432709" w:rsidRPr="00A10D67">
        <w:rPr>
          <w:sz w:val="22"/>
          <w:szCs w:val="22"/>
          <w:lang w:val="sr-Latn-ME"/>
        </w:rPr>
        <w:t xml:space="preserve"> </w:t>
      </w:r>
      <w:r w:rsidRPr="00A10D67">
        <w:rPr>
          <w:sz w:val="22"/>
          <w:szCs w:val="22"/>
          <w:lang w:val="sr-Latn-ME"/>
        </w:rPr>
        <w:t>zabilježene su</w:t>
      </w:r>
      <w:r w:rsidR="00432709" w:rsidRPr="00A10D67">
        <w:rPr>
          <w:sz w:val="22"/>
          <w:szCs w:val="22"/>
          <w:lang w:val="sr-Latn-ME"/>
        </w:rPr>
        <w:t xml:space="preserve"> </w:t>
      </w:r>
      <w:r w:rsidRPr="00A10D67">
        <w:rPr>
          <w:sz w:val="22"/>
          <w:szCs w:val="22"/>
          <w:lang w:val="sr-Latn-ME"/>
        </w:rPr>
        <w:t xml:space="preserve">kod pacijenata koji su bili na </w:t>
      </w:r>
      <w:r w:rsidR="003852E2" w:rsidRPr="00A10D67">
        <w:rPr>
          <w:sz w:val="22"/>
          <w:szCs w:val="22"/>
          <w:lang w:val="sr-Latn-ME"/>
        </w:rPr>
        <w:t xml:space="preserve">određenim vrstama </w:t>
      </w:r>
      <w:r w:rsidRPr="00A10D67">
        <w:rPr>
          <w:sz w:val="22"/>
          <w:szCs w:val="22"/>
          <w:lang w:val="sr-Latn-ME"/>
        </w:rPr>
        <w:t>hemodijaliz</w:t>
      </w:r>
      <w:r w:rsidR="003852E2" w:rsidRPr="00A10D67">
        <w:rPr>
          <w:sz w:val="22"/>
          <w:szCs w:val="22"/>
          <w:lang w:val="sr-Latn-ME"/>
        </w:rPr>
        <w:t>e</w:t>
      </w:r>
      <w:r w:rsidRPr="00A10D67">
        <w:rPr>
          <w:sz w:val="22"/>
          <w:szCs w:val="22"/>
          <w:lang w:val="sr-Latn-ME"/>
        </w:rPr>
        <w:t xml:space="preserve"> </w:t>
      </w:r>
      <w:r w:rsidR="003852E2" w:rsidRPr="00A10D67">
        <w:rPr>
          <w:sz w:val="22"/>
          <w:szCs w:val="22"/>
          <w:lang w:val="sr-Latn-ME"/>
        </w:rPr>
        <w:t xml:space="preserve">(npr. s </w:t>
      </w:r>
      <w:r w:rsidRPr="00A10D67">
        <w:rPr>
          <w:sz w:val="22"/>
          <w:szCs w:val="22"/>
          <w:lang w:val="sr-Latn-ME"/>
        </w:rPr>
        <w:t>membran</w:t>
      </w:r>
      <w:r w:rsidR="003852E2" w:rsidRPr="00A10D67">
        <w:rPr>
          <w:sz w:val="22"/>
          <w:szCs w:val="22"/>
          <w:lang w:val="sr-Latn-ME"/>
        </w:rPr>
        <w:t>a</w:t>
      </w:r>
      <w:r w:rsidRPr="00A10D67">
        <w:rPr>
          <w:sz w:val="22"/>
          <w:szCs w:val="22"/>
          <w:lang w:val="sr-Latn-ME"/>
        </w:rPr>
        <w:t>m</w:t>
      </w:r>
      <w:r w:rsidR="003852E2" w:rsidRPr="00A10D67">
        <w:rPr>
          <w:sz w:val="22"/>
          <w:szCs w:val="22"/>
          <w:lang w:val="sr-Latn-ME"/>
        </w:rPr>
        <w:t>a</w:t>
      </w:r>
      <w:r w:rsidRPr="00A10D67">
        <w:rPr>
          <w:sz w:val="22"/>
          <w:szCs w:val="22"/>
          <w:lang w:val="sr-Latn-ME"/>
        </w:rPr>
        <w:t xml:space="preserve"> visokog protoka AN 69</w:t>
      </w:r>
      <w:r w:rsidRPr="00A10D67">
        <w:rPr>
          <w:sz w:val="22"/>
          <w:szCs w:val="22"/>
          <w:vertAlign w:val="superscript"/>
          <w:lang w:val="sr-Latn-ME"/>
        </w:rPr>
        <w:sym w:font="Symbol" w:char="F0E2"/>
      </w:r>
      <w:r w:rsidR="003852E2" w:rsidRPr="00A10D67">
        <w:rPr>
          <w:sz w:val="22"/>
          <w:szCs w:val="22"/>
          <w:vertAlign w:val="superscript"/>
          <w:lang w:val="sr-Latn-ME"/>
        </w:rPr>
        <w:t xml:space="preserve"> </w:t>
      </w:r>
      <w:r w:rsidR="00104FF7" w:rsidRPr="00A10D67">
        <w:rPr>
          <w:sz w:val="22"/>
          <w:szCs w:val="22"/>
          <w:lang w:val="sr-Latn-ME"/>
        </w:rPr>
        <w:t>i tokom LDL afereze dekstran sulfatom</w:t>
      </w:r>
      <w:r w:rsidRPr="00A10D67">
        <w:rPr>
          <w:sz w:val="22"/>
          <w:szCs w:val="22"/>
          <w:lang w:val="sr-Latn-ME"/>
        </w:rPr>
        <w:t>) i istovremeno uzimali ACE-inhibitor. Kod takvih pacijenata treba razmotriti primjenu druge vrste dijalizatorne membrane ili druge vrste antihipertenziva.</w:t>
      </w:r>
    </w:p>
    <w:p w14:paraId="5A75A7C1" w14:textId="77777777" w:rsidR="00926382" w:rsidRPr="00A10D67" w:rsidRDefault="00926382" w:rsidP="00432709">
      <w:pPr>
        <w:autoSpaceDE w:val="0"/>
        <w:autoSpaceDN w:val="0"/>
        <w:adjustRightInd w:val="0"/>
        <w:jc w:val="both"/>
        <w:rPr>
          <w:b/>
          <w:bCs/>
          <w:sz w:val="22"/>
          <w:szCs w:val="22"/>
          <w:lang w:val="sr-Latn-ME"/>
        </w:rPr>
      </w:pPr>
    </w:p>
    <w:p w14:paraId="6EB16B08"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Anafilaktičke reakcije za vrijeme afereze lipoproteina male gustine (LDL)</w:t>
      </w:r>
    </w:p>
    <w:p w14:paraId="2763FC88" w14:textId="0A6D74D5"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Zabilježeni su rijetki slučajevi</w:t>
      </w:r>
      <w:r w:rsidR="00432709" w:rsidRPr="00A10D67">
        <w:rPr>
          <w:sz w:val="22"/>
          <w:szCs w:val="22"/>
          <w:lang w:val="sr-Latn-ME"/>
        </w:rPr>
        <w:t xml:space="preserve"> </w:t>
      </w:r>
      <w:r w:rsidRPr="00A10D67">
        <w:rPr>
          <w:sz w:val="22"/>
          <w:szCs w:val="22"/>
          <w:lang w:val="sr-Latn-ME"/>
        </w:rPr>
        <w:t>anafilaktičke reakcije opasne po život kod pacijenata koji su na LDL aferezi dekstran sulfatom. Spomenute reakcije mogu se izbjeći</w:t>
      </w:r>
      <w:r w:rsidR="00432709" w:rsidRPr="00A10D67">
        <w:rPr>
          <w:sz w:val="22"/>
          <w:szCs w:val="22"/>
          <w:lang w:val="sr-Latn-ME"/>
        </w:rPr>
        <w:t xml:space="preserve"> </w:t>
      </w:r>
      <w:r w:rsidRPr="00A10D67">
        <w:rPr>
          <w:sz w:val="22"/>
          <w:szCs w:val="22"/>
          <w:lang w:val="sr-Latn-ME"/>
        </w:rPr>
        <w:t>privremenom obustavom primjene ACE-inhibitora prije početka svake afereze.</w:t>
      </w:r>
    </w:p>
    <w:p w14:paraId="41DBB32A" w14:textId="77777777" w:rsidR="00926382" w:rsidRPr="00A10D67" w:rsidRDefault="00926382" w:rsidP="00432709">
      <w:pPr>
        <w:tabs>
          <w:tab w:val="left" w:pos="567"/>
        </w:tabs>
        <w:jc w:val="both"/>
        <w:rPr>
          <w:color w:val="000000"/>
          <w:sz w:val="22"/>
          <w:szCs w:val="22"/>
          <w:lang w:val="sr-Latn-ME"/>
        </w:rPr>
      </w:pPr>
    </w:p>
    <w:p w14:paraId="24753038"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 xml:space="preserve">Oštećenja funkcije jetre </w:t>
      </w:r>
    </w:p>
    <w:p w14:paraId="0C2A617E" w14:textId="2427D823" w:rsidR="00926382" w:rsidRPr="00A10D67" w:rsidRDefault="00926382" w:rsidP="00432709">
      <w:pPr>
        <w:autoSpaceDE w:val="0"/>
        <w:autoSpaceDN w:val="0"/>
        <w:adjustRightInd w:val="0"/>
        <w:jc w:val="both"/>
        <w:rPr>
          <w:sz w:val="22"/>
          <w:szCs w:val="22"/>
          <w:lang w:val="sr-Latn-ME"/>
        </w:rPr>
      </w:pPr>
      <w:r w:rsidRPr="00A10D67">
        <w:rPr>
          <w:bCs/>
          <w:sz w:val="22"/>
          <w:szCs w:val="22"/>
          <w:lang w:val="sr-Latn-ME"/>
        </w:rPr>
        <w:t>Tiazidne diuretike treba primjenjivati uz oprez kod pacijenata sa oštećenom funkcijom jetre ili progresivnom</w:t>
      </w:r>
      <w:r w:rsidR="002608B5" w:rsidRPr="00A10D67">
        <w:rPr>
          <w:bCs/>
          <w:sz w:val="22"/>
          <w:szCs w:val="22"/>
          <w:lang w:val="sr-Latn-ME"/>
        </w:rPr>
        <w:t xml:space="preserve"> </w:t>
      </w:r>
      <w:r w:rsidR="0003378E" w:rsidRPr="00A10D67">
        <w:rPr>
          <w:bCs/>
          <w:sz w:val="22"/>
          <w:szCs w:val="22"/>
          <w:lang w:val="sr-Latn-ME"/>
        </w:rPr>
        <w:t xml:space="preserve">bolešću </w:t>
      </w:r>
      <w:r w:rsidRPr="00A10D67">
        <w:rPr>
          <w:bCs/>
          <w:sz w:val="22"/>
          <w:szCs w:val="22"/>
          <w:lang w:val="sr-Latn-ME"/>
        </w:rPr>
        <w:t xml:space="preserve">jetre, budući da male promjene u ravnoteži tjelesnih tečnosti i elektrolita mogu dovesti do hepatičke kome (vidjeti </w:t>
      </w:r>
      <w:r w:rsidR="00327C24" w:rsidRPr="00A10D67">
        <w:rPr>
          <w:bCs/>
          <w:sz w:val="22"/>
          <w:szCs w:val="22"/>
          <w:lang w:val="sr-Latn-ME"/>
        </w:rPr>
        <w:t>dio</w:t>
      </w:r>
      <w:r w:rsidRPr="00A10D67">
        <w:rPr>
          <w:bCs/>
          <w:sz w:val="22"/>
          <w:szCs w:val="22"/>
          <w:lang w:val="sr-Latn-ME"/>
        </w:rPr>
        <w:t xml:space="preserve"> 4.3). U vrlo rijetkim slučajevima primjena ACE-inhibitora bila je povezana sa sindromom koji počinje holestatskom žuticom ili hepatitisom i progresijom do fulminantne nekroze jetre i (ponekad) smrtnog ishoda. Mehanizam nastanka ovog sindroma nije objašnjen. Pacijenti koji se liječe</w:t>
      </w:r>
      <w:r w:rsidRPr="00A10D67">
        <w:rPr>
          <w:sz w:val="22"/>
          <w:szCs w:val="22"/>
          <w:lang w:val="sr-Latn-ME"/>
        </w:rPr>
        <w:t xml:space="preserve"> kombinacijom </w:t>
      </w:r>
      <w:r w:rsidRPr="00A10D67">
        <w:rPr>
          <w:bCs/>
          <w:sz w:val="22"/>
          <w:szCs w:val="22"/>
          <w:lang w:val="sr-Latn-ME"/>
        </w:rPr>
        <w:t>lizinopril/hidrohlortiazid, a kod kojih se razvije žutica ili se javi značajan porast vrijednosti enzima jetre moraju da prestanu sa uzimanjem lijeka i da budu pod odgovarajućim medicinskim nadzorom.</w:t>
      </w:r>
    </w:p>
    <w:p w14:paraId="1199029A" w14:textId="77777777" w:rsidR="00926382" w:rsidRPr="00A10D67" w:rsidRDefault="00926382" w:rsidP="00432709">
      <w:pPr>
        <w:autoSpaceDE w:val="0"/>
        <w:autoSpaceDN w:val="0"/>
        <w:adjustRightInd w:val="0"/>
        <w:jc w:val="both"/>
        <w:rPr>
          <w:b/>
          <w:bCs/>
          <w:sz w:val="22"/>
          <w:szCs w:val="22"/>
          <w:lang w:val="sr-Latn-ME"/>
        </w:rPr>
      </w:pPr>
    </w:p>
    <w:p w14:paraId="36059368" w14:textId="434E65C5" w:rsidR="00926382" w:rsidRPr="00A10D67" w:rsidRDefault="002608B5" w:rsidP="00432709">
      <w:pPr>
        <w:autoSpaceDE w:val="0"/>
        <w:autoSpaceDN w:val="0"/>
        <w:adjustRightInd w:val="0"/>
        <w:jc w:val="both"/>
        <w:rPr>
          <w:b/>
          <w:bCs/>
          <w:sz w:val="22"/>
          <w:szCs w:val="22"/>
          <w:lang w:val="sr-Latn-ME"/>
        </w:rPr>
      </w:pPr>
      <w:r w:rsidRPr="00A10D67">
        <w:rPr>
          <w:b/>
          <w:bCs/>
          <w:sz w:val="22"/>
          <w:szCs w:val="22"/>
          <w:lang w:val="sr-Latn-ME"/>
        </w:rPr>
        <w:t>Hirurški zahvati</w:t>
      </w:r>
      <w:r w:rsidR="00926382" w:rsidRPr="00A10D67">
        <w:rPr>
          <w:b/>
          <w:bCs/>
          <w:sz w:val="22"/>
          <w:szCs w:val="22"/>
          <w:lang w:val="sr-Latn-ME"/>
        </w:rPr>
        <w:t>/anestezija</w:t>
      </w:r>
    </w:p>
    <w:p w14:paraId="50EB616A" w14:textId="126AB2C6" w:rsidR="006F57B4" w:rsidRPr="00A10D67" w:rsidRDefault="00926382" w:rsidP="00432709">
      <w:pPr>
        <w:autoSpaceDE w:val="0"/>
        <w:autoSpaceDN w:val="0"/>
        <w:adjustRightInd w:val="0"/>
        <w:jc w:val="both"/>
        <w:rPr>
          <w:bCs/>
          <w:sz w:val="22"/>
          <w:szCs w:val="22"/>
          <w:lang w:val="sr-Latn-ME"/>
        </w:rPr>
      </w:pPr>
      <w:r w:rsidRPr="00A10D67">
        <w:rPr>
          <w:bCs/>
          <w:sz w:val="22"/>
          <w:szCs w:val="22"/>
          <w:lang w:val="sr-Latn-ME"/>
        </w:rPr>
        <w:t xml:space="preserve">Kod pacijenata koji imaju </w:t>
      </w:r>
      <w:r w:rsidR="00E40653" w:rsidRPr="00A10D67">
        <w:rPr>
          <w:bCs/>
          <w:sz w:val="22"/>
          <w:szCs w:val="22"/>
          <w:lang w:val="sr-Latn-ME"/>
        </w:rPr>
        <w:t>veći hirurški zahvat</w:t>
      </w:r>
      <w:r w:rsidRPr="00A10D67">
        <w:rPr>
          <w:bCs/>
          <w:sz w:val="22"/>
          <w:szCs w:val="22"/>
          <w:lang w:val="sr-Latn-ME"/>
        </w:rPr>
        <w:t xml:space="preserve"> ili tokom anestezije anesteticima koji izazivaju hipotenziju, lizinopril može blokirati stvaranje angiotenzina II, zbog kompenzatornog oslobađanja renina. Hipotenzija koja se</w:t>
      </w:r>
      <w:r w:rsidR="00E40653" w:rsidRPr="00A10D67">
        <w:rPr>
          <w:bCs/>
          <w:sz w:val="22"/>
          <w:szCs w:val="22"/>
          <w:lang w:val="sr-Latn-ME"/>
        </w:rPr>
        <w:t xml:space="preserve"> </w:t>
      </w:r>
      <w:r w:rsidRPr="00A10D67">
        <w:rPr>
          <w:bCs/>
          <w:sz w:val="22"/>
          <w:szCs w:val="22"/>
          <w:lang w:val="sr-Latn-ME"/>
        </w:rPr>
        <w:t>može javiti kao posl</w:t>
      </w:r>
      <w:r w:rsidR="00327C24" w:rsidRPr="00A10D67">
        <w:rPr>
          <w:bCs/>
          <w:sz w:val="22"/>
          <w:szCs w:val="22"/>
          <w:lang w:val="sr-Latn-ME"/>
        </w:rPr>
        <w:t>j</w:t>
      </w:r>
      <w:r w:rsidRPr="00A10D67">
        <w:rPr>
          <w:bCs/>
          <w:sz w:val="22"/>
          <w:szCs w:val="22"/>
          <w:lang w:val="sr-Latn-ME"/>
        </w:rPr>
        <w:t>edica tog mehanizma dejstva, može se korigovati nadoknadom tečnosti.</w:t>
      </w:r>
    </w:p>
    <w:p w14:paraId="04F45361" w14:textId="77777777" w:rsidR="00926382" w:rsidRPr="00A10D67" w:rsidRDefault="00926382" w:rsidP="00432709">
      <w:pPr>
        <w:autoSpaceDE w:val="0"/>
        <w:autoSpaceDN w:val="0"/>
        <w:adjustRightInd w:val="0"/>
        <w:jc w:val="both"/>
        <w:rPr>
          <w:b/>
          <w:bCs/>
          <w:sz w:val="22"/>
          <w:szCs w:val="22"/>
          <w:lang w:val="sr-Latn-ME"/>
        </w:rPr>
      </w:pPr>
    </w:p>
    <w:p w14:paraId="2C2F546E"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Metabolička i endokrina dejstva</w:t>
      </w:r>
    </w:p>
    <w:p w14:paraId="1C1490DD" w14:textId="746609FA"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Kod pacijenata sa dijabetesom koji su na terapiji oralnim antidijabeticima ili insulinom, nivo glukoze je potrebno</w:t>
      </w:r>
      <w:r w:rsidR="00D51D91" w:rsidRPr="00A10D67">
        <w:rPr>
          <w:bCs/>
          <w:sz w:val="22"/>
          <w:szCs w:val="22"/>
          <w:lang w:val="sr-Latn-ME"/>
        </w:rPr>
        <w:t xml:space="preserve"> </w:t>
      </w:r>
      <w:r w:rsidRPr="00A10D67">
        <w:rPr>
          <w:bCs/>
          <w:sz w:val="22"/>
          <w:szCs w:val="22"/>
          <w:lang w:val="sr-Latn-ME"/>
        </w:rPr>
        <w:t>pažljivo pratiti tokom prvog mjeseca terapije ACE</w:t>
      </w:r>
      <w:r w:rsidR="0003378E" w:rsidRPr="00A10D67">
        <w:rPr>
          <w:bCs/>
          <w:sz w:val="22"/>
          <w:szCs w:val="22"/>
          <w:lang w:val="sr-Latn-ME"/>
        </w:rPr>
        <w:t>-</w:t>
      </w:r>
      <w:r w:rsidRPr="00A10D67">
        <w:rPr>
          <w:bCs/>
          <w:sz w:val="22"/>
          <w:szCs w:val="22"/>
          <w:lang w:val="sr-Latn-ME"/>
        </w:rPr>
        <w:t>inhibitoroma, Terapija tiazidima može smanjiti toleranciju na glukozu. U takvim slučajevima potrebno je prilagođavanje doza antidijabetičkih ljekova, uključujući i insulin.</w:t>
      </w:r>
    </w:p>
    <w:p w14:paraId="5C063CCF"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Moguća je pojava povećanja nivoa holesterola i triglicerida kada se uzimaju tiazidni diuretici.</w:t>
      </w:r>
    </w:p>
    <w:p w14:paraId="7657B8D2"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Kod nekih pacijenata tiazidni diuretici mogu izazvati hiperurikemiju i/ili giht. Lizinopril može povećati izlučivanje mokraćne kiseline urinom i time ublažiti hiperurikemično dejstvo hidrohlortiazida.</w:t>
      </w:r>
    </w:p>
    <w:p w14:paraId="1E5A5883" w14:textId="77777777" w:rsidR="00926382" w:rsidRPr="00A10D67" w:rsidRDefault="00926382" w:rsidP="00432709">
      <w:pPr>
        <w:autoSpaceDE w:val="0"/>
        <w:autoSpaceDN w:val="0"/>
        <w:adjustRightInd w:val="0"/>
        <w:jc w:val="both"/>
        <w:rPr>
          <w:b/>
          <w:bCs/>
          <w:sz w:val="22"/>
          <w:szCs w:val="22"/>
          <w:lang w:val="sr-Latn-ME"/>
        </w:rPr>
      </w:pPr>
    </w:p>
    <w:p w14:paraId="0B0255C3"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Neravnoteža elektrolita</w:t>
      </w:r>
    </w:p>
    <w:p w14:paraId="73A0C7D8"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 xml:space="preserve">Kod pacijenata kod kojih se primjenjuju diuretici, periodično treba provjeravati vrijednosti elektrolita u serumu u odgovarajućim vremenskim razmacima. </w:t>
      </w:r>
    </w:p>
    <w:p w14:paraId="7A1F9789" w14:textId="22591B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Tiazidi, uključujući hidrohlortiazid, mogu izazvati poremećaj ravnoteže tečnosti i elektrolita (hipokalijemija, hiponatrijemija, hipohloremična alkaloza). Upozoravajući znakovi neravnoteže tečnosti i elektrolita su: suvoća usta, žeđ, slabost, letargija, pospanost, bol i grčevi u mišićima, mišićni umor, hipotenzija, oligurija, tahikardija, smetnje od strane gastrointestinalnog trakta, kao što su mučnina ili povraćanje. Diluci</w:t>
      </w:r>
      <w:r w:rsidR="00327C24" w:rsidRPr="00A10D67">
        <w:rPr>
          <w:bCs/>
          <w:sz w:val="22"/>
          <w:szCs w:val="22"/>
          <w:lang w:val="sr-Latn-ME"/>
        </w:rPr>
        <w:t>ona</w:t>
      </w:r>
      <w:r w:rsidRPr="00A10D67">
        <w:rPr>
          <w:bCs/>
          <w:sz w:val="22"/>
          <w:szCs w:val="22"/>
          <w:lang w:val="sr-Latn-ME"/>
        </w:rPr>
        <w:t xml:space="preserve"> hiponatrijemija se može pojaviti kod pacijenata sa edemima tokom vrućina. Gubitak hlorida je uopšteno blag i ne zahtjeva liječenje. Tiazidi mogu povećati izlučivanje magnezijuma što može imati za posljedicu hipomagnezijemiju. </w:t>
      </w:r>
    </w:p>
    <w:p w14:paraId="29055C88"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Tiazidni diuretici mogu smanjiti izlučivanje kalcijuma urinom i mogu izazvati povremeni blagi porast serumskog kalcijuma. Značajna hiperkalcijemija može biti dokaz skrivenog hiperparatiroidizma. Prije izvođenja testova funkcije paratiroidne žlijezde potrebno je prekinuti liječenje tiazidnim diureticima.</w:t>
      </w:r>
    </w:p>
    <w:p w14:paraId="1845EBBD" w14:textId="77777777" w:rsidR="00D51D91" w:rsidRPr="00A10D67" w:rsidRDefault="00D51D91" w:rsidP="00432709">
      <w:pPr>
        <w:autoSpaceDE w:val="0"/>
        <w:autoSpaceDN w:val="0"/>
        <w:adjustRightInd w:val="0"/>
        <w:jc w:val="both"/>
        <w:rPr>
          <w:bCs/>
          <w:sz w:val="22"/>
          <w:szCs w:val="22"/>
          <w:lang w:val="sr-Latn-ME"/>
        </w:rPr>
      </w:pPr>
    </w:p>
    <w:p w14:paraId="6DB3DB95" w14:textId="77777777" w:rsidR="00D51D91" w:rsidRPr="00A10D67" w:rsidRDefault="00D51D91" w:rsidP="00432709">
      <w:pPr>
        <w:autoSpaceDE w:val="0"/>
        <w:autoSpaceDN w:val="0"/>
        <w:adjustRightInd w:val="0"/>
        <w:jc w:val="both"/>
        <w:rPr>
          <w:b/>
          <w:bCs/>
          <w:sz w:val="22"/>
          <w:szCs w:val="22"/>
          <w:lang w:val="sr-Latn-ME"/>
        </w:rPr>
      </w:pPr>
      <w:r w:rsidRPr="00A10D67">
        <w:rPr>
          <w:b/>
          <w:bCs/>
          <w:sz w:val="22"/>
          <w:szCs w:val="22"/>
          <w:lang w:val="sr-Latn-ME"/>
        </w:rPr>
        <w:t>Kalijum u serumu</w:t>
      </w:r>
    </w:p>
    <w:p w14:paraId="27FBC6C9" w14:textId="7FBA589F" w:rsidR="00D51D91" w:rsidRPr="00A10D67" w:rsidRDefault="00D51D91" w:rsidP="00432709">
      <w:pPr>
        <w:keepNext/>
        <w:jc w:val="both"/>
        <w:rPr>
          <w:sz w:val="22"/>
          <w:szCs w:val="22"/>
          <w:lang w:val="sr-Latn-ME"/>
        </w:rPr>
      </w:pPr>
      <w:r w:rsidRPr="00A10D67">
        <w:rPr>
          <w:sz w:val="22"/>
          <w:szCs w:val="22"/>
          <w:lang w:val="sr-Latn-ME"/>
        </w:rPr>
        <w:t>ACE-inhibitori mogu da izazovu hiperkalijemiju zbog inhibicije oslobađanja aldosterona. Ovaj efekat</w:t>
      </w:r>
      <w:r w:rsidR="00432709" w:rsidRPr="00A10D67">
        <w:rPr>
          <w:sz w:val="22"/>
          <w:szCs w:val="22"/>
          <w:lang w:val="sr-Latn-ME"/>
        </w:rPr>
        <w:t xml:space="preserve"> </w:t>
      </w:r>
      <w:r w:rsidRPr="00A10D67">
        <w:rPr>
          <w:sz w:val="22"/>
          <w:szCs w:val="22"/>
          <w:lang w:val="sr-Latn-ME"/>
        </w:rPr>
        <w:t>obično nije značajan kod pacijenata koji imaju normalnu bubrežnu funkciju. Međutim, kod pacijenata</w:t>
      </w:r>
      <w:r w:rsidR="00432709" w:rsidRPr="00A10D67">
        <w:rPr>
          <w:sz w:val="22"/>
          <w:szCs w:val="22"/>
          <w:lang w:val="sr-Latn-ME"/>
        </w:rPr>
        <w:t xml:space="preserve"> </w:t>
      </w:r>
      <w:r w:rsidRPr="00A10D67">
        <w:rPr>
          <w:sz w:val="22"/>
          <w:szCs w:val="22"/>
          <w:lang w:val="sr-Latn-ME"/>
        </w:rPr>
        <w:t>sa oštećenom bubrežnom funkcijom i/ili pacijenata</w:t>
      </w:r>
      <w:r w:rsidR="00432709" w:rsidRPr="00A10D67">
        <w:rPr>
          <w:sz w:val="22"/>
          <w:szCs w:val="22"/>
          <w:lang w:val="sr-Latn-ME"/>
        </w:rPr>
        <w:t xml:space="preserve"> </w:t>
      </w:r>
      <w:r w:rsidRPr="00A10D67">
        <w:rPr>
          <w:sz w:val="22"/>
          <w:szCs w:val="22"/>
          <w:lang w:val="sr-Latn-ME"/>
        </w:rPr>
        <w:t>koji uzimaju suplemente kalijuma (uključujući zamjene za so koje sadrže kalijum), diuretike koji štede kalijum, trimetoprim ili kotrimoksazol (poznat i kao trimetoprim/sulfametoksazol), a naročito antagoniste aldosterona ili blokatore angiotenzinskih receptora, može doći do hiperkalijemije. Diuretike koji štede kalijum i blokatore angiotenzinskih receptora je potrebno</w:t>
      </w:r>
      <w:r w:rsidR="00432709" w:rsidRPr="00A10D67">
        <w:rPr>
          <w:sz w:val="22"/>
          <w:szCs w:val="22"/>
          <w:lang w:val="sr-Latn-ME"/>
        </w:rPr>
        <w:t xml:space="preserve"> </w:t>
      </w:r>
      <w:r w:rsidRPr="00A10D67">
        <w:rPr>
          <w:sz w:val="22"/>
          <w:szCs w:val="22"/>
          <w:lang w:val="sr-Latn-ME"/>
        </w:rPr>
        <w:t>primjenjivati uz oprez kod pacijenata koji se primaju</w:t>
      </w:r>
      <w:r w:rsidR="00432709" w:rsidRPr="00A10D67">
        <w:rPr>
          <w:sz w:val="22"/>
          <w:szCs w:val="22"/>
          <w:lang w:val="sr-Latn-ME"/>
        </w:rPr>
        <w:t xml:space="preserve"> </w:t>
      </w:r>
      <w:r w:rsidRPr="00A10D67">
        <w:rPr>
          <w:sz w:val="22"/>
          <w:szCs w:val="22"/>
          <w:lang w:val="sr-Latn-ME"/>
        </w:rPr>
        <w:t xml:space="preserve">ACE-inhibitore, uz praćenje vrijednosti kalijuma u serumu i bubrežne funkcije (vidjeti </w:t>
      </w:r>
      <w:r w:rsidR="00986A20" w:rsidRPr="00A10D67">
        <w:rPr>
          <w:sz w:val="22"/>
          <w:szCs w:val="22"/>
          <w:lang w:val="sr-Latn-ME"/>
        </w:rPr>
        <w:t>dio</w:t>
      </w:r>
      <w:r w:rsidRPr="00A10D67">
        <w:rPr>
          <w:sz w:val="22"/>
          <w:szCs w:val="22"/>
          <w:lang w:val="sr-Latn-ME"/>
        </w:rPr>
        <w:t xml:space="preserve"> 4.5).</w:t>
      </w:r>
    </w:p>
    <w:p w14:paraId="0105D6FA" w14:textId="77777777" w:rsidR="00D51D91" w:rsidRPr="00A10D67" w:rsidRDefault="00D51D91" w:rsidP="00432709">
      <w:pPr>
        <w:keepNext/>
        <w:jc w:val="both"/>
        <w:rPr>
          <w:sz w:val="22"/>
          <w:szCs w:val="22"/>
          <w:lang w:val="sr-Latn-ME"/>
        </w:rPr>
      </w:pPr>
    </w:p>
    <w:p w14:paraId="6E0BF8DE" w14:textId="77777777" w:rsidR="00D51D91" w:rsidRPr="00A10D67" w:rsidRDefault="00D51D91" w:rsidP="00432709">
      <w:pPr>
        <w:jc w:val="both"/>
        <w:rPr>
          <w:b/>
          <w:sz w:val="22"/>
          <w:szCs w:val="22"/>
          <w:lang w:val="sr-Latn-ME"/>
        </w:rPr>
      </w:pPr>
      <w:r w:rsidRPr="00A10D67">
        <w:rPr>
          <w:b/>
          <w:sz w:val="22"/>
          <w:szCs w:val="22"/>
          <w:lang w:val="sr-Latn-ME"/>
        </w:rPr>
        <w:t xml:space="preserve">Pacijenti sa dijabetesom </w:t>
      </w:r>
    </w:p>
    <w:p w14:paraId="5C5752CF" w14:textId="2AE6D568" w:rsidR="00D51D91" w:rsidRPr="00A10D67" w:rsidRDefault="00D51D91" w:rsidP="00432709">
      <w:pPr>
        <w:jc w:val="both"/>
        <w:rPr>
          <w:sz w:val="22"/>
          <w:szCs w:val="22"/>
          <w:lang w:val="sr-Latn-ME"/>
        </w:rPr>
      </w:pPr>
      <w:r w:rsidRPr="00A10D67">
        <w:rPr>
          <w:sz w:val="22"/>
          <w:szCs w:val="22"/>
          <w:lang w:val="sr-Latn-ME"/>
        </w:rPr>
        <w:t xml:space="preserve">Pacijente koji istovremeno uzimaju oralne antidijabetike ili insulin potrebno je pažljivo pratiti i kontrolisati glikemiju tokom prvog mjeseca liječenja ACE-inhibitorom (vidjeti </w:t>
      </w:r>
      <w:r w:rsidR="00986A20" w:rsidRPr="00A10D67">
        <w:rPr>
          <w:sz w:val="22"/>
          <w:szCs w:val="22"/>
          <w:lang w:val="sr-Latn-ME"/>
        </w:rPr>
        <w:t>dio</w:t>
      </w:r>
      <w:r w:rsidRPr="00A10D67">
        <w:rPr>
          <w:sz w:val="22"/>
          <w:szCs w:val="22"/>
          <w:lang w:val="sr-Latn-ME"/>
        </w:rPr>
        <w:t xml:space="preserve"> 4.5.). </w:t>
      </w:r>
    </w:p>
    <w:p w14:paraId="4DBB8753" w14:textId="77777777" w:rsidR="00926382" w:rsidRPr="00A10D67" w:rsidRDefault="00926382" w:rsidP="00432709">
      <w:pPr>
        <w:autoSpaceDE w:val="0"/>
        <w:autoSpaceDN w:val="0"/>
        <w:adjustRightInd w:val="0"/>
        <w:jc w:val="both"/>
        <w:rPr>
          <w:bCs/>
          <w:sz w:val="22"/>
          <w:szCs w:val="22"/>
          <w:lang w:val="sr-Latn-ME"/>
        </w:rPr>
      </w:pPr>
    </w:p>
    <w:p w14:paraId="50425763" w14:textId="77777777" w:rsidR="00D51D91" w:rsidRPr="00A10D67" w:rsidRDefault="00D51D91" w:rsidP="00432709">
      <w:pPr>
        <w:autoSpaceDE w:val="0"/>
        <w:autoSpaceDN w:val="0"/>
        <w:adjustRightInd w:val="0"/>
        <w:jc w:val="both"/>
        <w:rPr>
          <w:b/>
          <w:bCs/>
          <w:sz w:val="22"/>
          <w:szCs w:val="22"/>
          <w:lang w:val="sr-Latn-ME"/>
        </w:rPr>
      </w:pPr>
      <w:r w:rsidRPr="00A10D67">
        <w:rPr>
          <w:b/>
          <w:bCs/>
          <w:sz w:val="22"/>
          <w:szCs w:val="22"/>
          <w:lang w:val="sr-Latn-ME"/>
        </w:rPr>
        <w:t>Preosjetljivost / angioedem</w:t>
      </w:r>
    </w:p>
    <w:p w14:paraId="26EB6621" w14:textId="7495CFB8" w:rsidR="00986A20" w:rsidRPr="00A10D67" w:rsidRDefault="00D51D91" w:rsidP="00432709">
      <w:pPr>
        <w:autoSpaceDE w:val="0"/>
        <w:autoSpaceDN w:val="0"/>
        <w:adjustRightInd w:val="0"/>
        <w:jc w:val="both"/>
        <w:rPr>
          <w:bCs/>
          <w:sz w:val="22"/>
          <w:szCs w:val="22"/>
          <w:lang w:val="sr-Latn-ME"/>
        </w:rPr>
      </w:pPr>
      <w:r w:rsidRPr="00A10D67">
        <w:rPr>
          <w:bCs/>
          <w:sz w:val="22"/>
          <w:szCs w:val="22"/>
          <w:lang w:val="sr-Latn-ME"/>
        </w:rPr>
        <w:t>Angioedem lica, ekstremiteta, usana, jezika, glotisa i/ili larinksa povremeno se javlja kod pacijenata liječenih ACE</w:t>
      </w:r>
      <w:r w:rsidR="0003378E" w:rsidRPr="00A10D67">
        <w:rPr>
          <w:bCs/>
          <w:sz w:val="22"/>
          <w:szCs w:val="22"/>
          <w:lang w:val="sr-Latn-ME"/>
        </w:rPr>
        <w:t>-</w:t>
      </w:r>
      <w:r w:rsidRPr="00A10D67">
        <w:rPr>
          <w:bCs/>
          <w:sz w:val="22"/>
          <w:szCs w:val="22"/>
          <w:lang w:val="sr-Latn-ME"/>
        </w:rPr>
        <w:t>inhibitorima, uključujući i lizinopril. Angioedem se može</w:t>
      </w:r>
      <w:r w:rsidR="00432709" w:rsidRPr="00A10D67">
        <w:rPr>
          <w:bCs/>
          <w:sz w:val="22"/>
          <w:szCs w:val="22"/>
          <w:lang w:val="sr-Latn-ME"/>
        </w:rPr>
        <w:t xml:space="preserve"> </w:t>
      </w:r>
      <w:r w:rsidRPr="00A10D67">
        <w:rPr>
          <w:bCs/>
          <w:sz w:val="22"/>
          <w:szCs w:val="22"/>
          <w:lang w:val="sr-Latn-ME"/>
        </w:rPr>
        <w:t xml:space="preserve">pojaviti bilo kada tokom liječenja. U tim slučajevima treba odmah prekinuti liječenje lijekom IRUZID i primijeniti odgovarajuće mjere praćenja pacijenata sve do potpunog nestanka simptoma. U slučajevima u kojima je otok ograničen samo na jezik, bez respiratornog distresa, može biti potrebno produženo praćenje pacijenta, s obzirom da primjena antihistaminika i kortikosteroida može biti nedovoljna. </w:t>
      </w:r>
    </w:p>
    <w:p w14:paraId="1C1F48EF" w14:textId="324EB6FD" w:rsidR="00D51D91" w:rsidRPr="00A10D67" w:rsidRDefault="00D51D91" w:rsidP="00432709">
      <w:pPr>
        <w:autoSpaceDE w:val="0"/>
        <w:autoSpaceDN w:val="0"/>
        <w:adjustRightInd w:val="0"/>
        <w:jc w:val="both"/>
        <w:rPr>
          <w:bCs/>
          <w:sz w:val="22"/>
          <w:szCs w:val="22"/>
          <w:lang w:val="sr-Latn-ME"/>
        </w:rPr>
      </w:pPr>
      <w:r w:rsidRPr="00A10D67">
        <w:rPr>
          <w:bCs/>
          <w:sz w:val="22"/>
          <w:szCs w:val="22"/>
          <w:lang w:val="sr-Latn-ME"/>
        </w:rPr>
        <w:t xml:space="preserve">Vrlo rijetko su zabilježeni smrtni slučajevi angioneurotskog edema sa pojavom edema grkljana ili jezika. Kada su zahvaćeni jezik, glotis ili grkljan, može doći do opstrukcije disajnih puteva, naročito kod pacijenata koji su imali operaciju disajnih puteva. Potrebno je hitno primijeniti odgovarajuću terapiju koja uključuje primjenu adrenalina i/ili mjere za održavanje prohodnosti disajnih puteva pacijenata. Pacijent treba </w:t>
      </w:r>
      <w:r w:rsidR="00986A20" w:rsidRPr="00A10D67">
        <w:rPr>
          <w:bCs/>
          <w:sz w:val="22"/>
          <w:szCs w:val="22"/>
          <w:lang w:val="sr-Latn-ME"/>
        </w:rPr>
        <w:t>da bude</w:t>
      </w:r>
      <w:r w:rsidRPr="00A10D67">
        <w:rPr>
          <w:bCs/>
          <w:sz w:val="22"/>
          <w:szCs w:val="22"/>
          <w:lang w:val="sr-Latn-ME"/>
        </w:rPr>
        <w:t xml:space="preserve"> pod strogim nadzorom ljekara do potpunog nestanka simptoma. </w:t>
      </w:r>
    </w:p>
    <w:p w14:paraId="773DB5BD" w14:textId="5EE7EAE6" w:rsidR="00D51D91" w:rsidRPr="00A10D67" w:rsidRDefault="00D51D91" w:rsidP="00432709">
      <w:pPr>
        <w:autoSpaceDE w:val="0"/>
        <w:autoSpaceDN w:val="0"/>
        <w:adjustRightInd w:val="0"/>
        <w:jc w:val="both"/>
        <w:rPr>
          <w:sz w:val="22"/>
          <w:szCs w:val="22"/>
          <w:lang w:val="sr-Latn-ME"/>
        </w:rPr>
      </w:pPr>
      <w:r w:rsidRPr="00A10D67">
        <w:rPr>
          <w:bCs/>
          <w:sz w:val="22"/>
          <w:szCs w:val="22"/>
          <w:lang w:val="sr-Latn-ME"/>
        </w:rPr>
        <w:t xml:space="preserve">Intestinalni angioedem prijavljen je vrlo rijetko kod pacijenata liječenih ACE-inhibitorima. Potrebno ga je uzeti u obzir pri diferencijalnoj dijagnozi pacijenata sa </w:t>
      </w:r>
      <w:r w:rsidR="0003378E" w:rsidRPr="00A10D67">
        <w:rPr>
          <w:bCs/>
          <w:sz w:val="22"/>
          <w:szCs w:val="22"/>
          <w:lang w:val="sr-Latn-ME"/>
        </w:rPr>
        <w:t>bolom u abdomenu</w:t>
      </w:r>
      <w:r w:rsidRPr="00A10D67">
        <w:rPr>
          <w:bCs/>
          <w:sz w:val="22"/>
          <w:szCs w:val="22"/>
          <w:lang w:val="sr-Latn-ME"/>
        </w:rPr>
        <w:t xml:space="preserve"> na terapiji ACE-inhibitorima.</w:t>
      </w:r>
    </w:p>
    <w:p w14:paraId="1572075A" w14:textId="77777777" w:rsidR="00D51D91" w:rsidRPr="00A10D67" w:rsidRDefault="00D51D91" w:rsidP="00432709">
      <w:pPr>
        <w:autoSpaceDE w:val="0"/>
        <w:autoSpaceDN w:val="0"/>
        <w:adjustRightInd w:val="0"/>
        <w:jc w:val="both"/>
        <w:rPr>
          <w:bCs/>
          <w:sz w:val="22"/>
          <w:szCs w:val="22"/>
          <w:lang w:val="sr-Latn-ME"/>
        </w:rPr>
      </w:pPr>
      <w:r w:rsidRPr="00A10D67">
        <w:rPr>
          <w:bCs/>
          <w:sz w:val="22"/>
          <w:szCs w:val="22"/>
          <w:lang w:val="sr-Latn-ME"/>
        </w:rPr>
        <w:t>U poređenju sa pacijentima drugih rasa, kod pacijenata crne rase koji su uzimali ACE-inhibitore uočena je veća učestalost angioedema.</w:t>
      </w:r>
    </w:p>
    <w:p w14:paraId="5290CC8E" w14:textId="10CEC62E" w:rsidR="00D51D91" w:rsidRPr="00A10D67" w:rsidRDefault="00D51D91" w:rsidP="00432709">
      <w:pPr>
        <w:autoSpaceDE w:val="0"/>
        <w:autoSpaceDN w:val="0"/>
        <w:adjustRightInd w:val="0"/>
        <w:jc w:val="both"/>
        <w:rPr>
          <w:bCs/>
          <w:sz w:val="22"/>
          <w:szCs w:val="22"/>
          <w:lang w:val="sr-Latn-ME"/>
        </w:rPr>
      </w:pPr>
      <w:r w:rsidRPr="00A10D67">
        <w:rPr>
          <w:bCs/>
          <w:sz w:val="22"/>
          <w:szCs w:val="22"/>
          <w:lang w:val="sr-Latn-ME"/>
        </w:rPr>
        <w:lastRenderedPageBreak/>
        <w:t xml:space="preserve">Povećani rizik od nastanka angioedema za vrijeme terapije ACE-inhibitorima moguć je kod pacijenata koji u anamnezi imaju podatak o angioedemu, ali koji nije bio prouzrokovan terapijom ACE-inhibitorima (vidjeti </w:t>
      </w:r>
      <w:r w:rsidR="00986A20" w:rsidRPr="00A10D67">
        <w:rPr>
          <w:bCs/>
          <w:sz w:val="22"/>
          <w:szCs w:val="22"/>
          <w:lang w:val="sr-Latn-ME"/>
        </w:rPr>
        <w:t>dio</w:t>
      </w:r>
      <w:r w:rsidRPr="00A10D67">
        <w:rPr>
          <w:bCs/>
          <w:sz w:val="22"/>
          <w:szCs w:val="22"/>
          <w:lang w:val="sr-Latn-ME"/>
        </w:rPr>
        <w:t xml:space="preserve"> 4.3).</w:t>
      </w:r>
    </w:p>
    <w:p w14:paraId="18043AA8" w14:textId="1E2259BC" w:rsidR="00D51D91" w:rsidRPr="00A10D67" w:rsidRDefault="00D51D91" w:rsidP="00432709">
      <w:pPr>
        <w:jc w:val="both"/>
        <w:rPr>
          <w:sz w:val="22"/>
          <w:szCs w:val="22"/>
          <w:lang w:val="sr-Latn-ME"/>
        </w:rPr>
      </w:pPr>
      <w:r w:rsidRPr="00A10D67">
        <w:rPr>
          <w:sz w:val="22"/>
          <w:szCs w:val="22"/>
          <w:lang w:val="sr-Latn-ME"/>
        </w:rPr>
        <w:t>Istovremena primjena ACE-inhibitora sa lijekom sakubitril/valsartan je kontraindikovana zbog povećanog rizika od angioedema. Liječenje lijekom sakubitril/valsartan se ne smije</w:t>
      </w:r>
      <w:r w:rsidR="00432709" w:rsidRPr="00A10D67">
        <w:rPr>
          <w:sz w:val="22"/>
          <w:szCs w:val="22"/>
          <w:lang w:val="sr-Latn-ME"/>
        </w:rPr>
        <w:t xml:space="preserve"> </w:t>
      </w:r>
      <w:r w:rsidRPr="00A10D67">
        <w:rPr>
          <w:sz w:val="22"/>
          <w:szCs w:val="22"/>
          <w:lang w:val="sr-Latn-ME"/>
        </w:rPr>
        <w:t xml:space="preserve">započeti prije nego što je prošlo 36 sati od posljednje doze lijeka lizinopril/hidrohlortiazid. Liječenje lizinopril/hidrohlortiazidom ne smije se započeti prije nego što je prošlo 36 sati od posljednje doze lijeka sakubitril/valsartan (vidjeti </w:t>
      </w:r>
      <w:r w:rsidR="00986A20" w:rsidRPr="00A10D67">
        <w:rPr>
          <w:sz w:val="22"/>
          <w:szCs w:val="22"/>
          <w:lang w:val="sr-Latn-ME"/>
        </w:rPr>
        <w:t>djelov</w:t>
      </w:r>
      <w:r w:rsidRPr="00A10D67">
        <w:rPr>
          <w:sz w:val="22"/>
          <w:szCs w:val="22"/>
          <w:lang w:val="sr-Latn-ME"/>
        </w:rPr>
        <w:t>e 4.3 i 4.5).</w:t>
      </w:r>
    </w:p>
    <w:p w14:paraId="754AF50D" w14:textId="782BC62E" w:rsidR="00D51D91" w:rsidRPr="00A10D67" w:rsidRDefault="00D51D91" w:rsidP="00432709">
      <w:pPr>
        <w:autoSpaceDE w:val="0"/>
        <w:autoSpaceDN w:val="0"/>
        <w:adjustRightInd w:val="0"/>
        <w:jc w:val="both"/>
        <w:rPr>
          <w:bCs/>
          <w:sz w:val="22"/>
          <w:szCs w:val="22"/>
          <w:lang w:val="sr-Latn-ME"/>
        </w:rPr>
      </w:pPr>
      <w:r w:rsidRPr="00A10D67">
        <w:rPr>
          <w:sz w:val="22"/>
          <w:szCs w:val="22"/>
          <w:lang w:val="sr-Latn-ME"/>
        </w:rPr>
        <w:t>Istovremena primjena ACE-inhibitora sa racekadotrilom, mTOR inhibitorima (npr. sirolimus, everolimus, temsirolimus) i</w:t>
      </w:r>
      <w:r w:rsidR="00432709" w:rsidRPr="00A10D67">
        <w:rPr>
          <w:sz w:val="22"/>
          <w:szCs w:val="22"/>
          <w:lang w:val="sr-Latn-ME"/>
        </w:rPr>
        <w:t xml:space="preserve"> </w:t>
      </w:r>
      <w:r w:rsidRPr="00A10D67">
        <w:rPr>
          <w:sz w:val="22"/>
          <w:szCs w:val="22"/>
          <w:lang w:val="sr-Latn-ME"/>
        </w:rPr>
        <w:t xml:space="preserve">vildagliptinom može povećati rizik od angioedema (npr. oticanje disajnih puteva ili jezika, koje može i ne mora biti praćeno poremećajem disanja) (vidjeti </w:t>
      </w:r>
      <w:r w:rsidR="00986A20" w:rsidRPr="00A10D67">
        <w:rPr>
          <w:sz w:val="22"/>
          <w:szCs w:val="22"/>
          <w:lang w:val="sr-Latn-ME"/>
        </w:rPr>
        <w:t>dio</w:t>
      </w:r>
      <w:r w:rsidRPr="00A10D67">
        <w:rPr>
          <w:sz w:val="22"/>
          <w:szCs w:val="22"/>
          <w:lang w:val="sr-Latn-ME"/>
        </w:rPr>
        <w:t xml:space="preserve"> 4.5). Potreban je oprez kod uvođenja liječenja racekadotrilom, mTOR inhibitorima (npr. sirolimus, everolimus, temsirolimus) i vildagliptinom kod pacijenta koji već uzima ACE inhibitor.</w:t>
      </w:r>
    </w:p>
    <w:p w14:paraId="57A7F280" w14:textId="52BB0068" w:rsidR="00D51D91" w:rsidRPr="00A10D67" w:rsidRDefault="00D51D91" w:rsidP="00432709">
      <w:pPr>
        <w:autoSpaceDE w:val="0"/>
        <w:autoSpaceDN w:val="0"/>
        <w:adjustRightInd w:val="0"/>
        <w:jc w:val="both"/>
        <w:rPr>
          <w:bCs/>
          <w:sz w:val="22"/>
          <w:szCs w:val="22"/>
          <w:lang w:val="sr-Latn-ME"/>
        </w:rPr>
      </w:pPr>
      <w:r w:rsidRPr="00A10D67">
        <w:rPr>
          <w:bCs/>
          <w:sz w:val="22"/>
          <w:szCs w:val="22"/>
          <w:lang w:val="sr-Latn-ME"/>
        </w:rPr>
        <w:t>Kod pacijenata koji uzimaju tiazidne diuretike, reakcija preosjetljivosti može se javiti i kod onih koji nemaju anamnestički podatak o alergiji ili bronhijalnoj astmi.</w:t>
      </w:r>
      <w:r w:rsidR="0003378E" w:rsidRPr="00A10D67">
        <w:rPr>
          <w:bCs/>
          <w:sz w:val="22"/>
          <w:szCs w:val="22"/>
          <w:lang w:val="sr-Latn-ME"/>
        </w:rPr>
        <w:t xml:space="preserve"> </w:t>
      </w:r>
      <w:r w:rsidRPr="00A10D67">
        <w:rPr>
          <w:bCs/>
          <w:sz w:val="22"/>
          <w:szCs w:val="22"/>
          <w:lang w:val="sr-Latn-ME"/>
        </w:rPr>
        <w:t xml:space="preserve">Tokom terapije tiazidima može doći i do pogoršanja ili aktivacije sistemskog </w:t>
      </w:r>
      <w:r w:rsidRPr="00A10D67">
        <w:rPr>
          <w:bCs/>
          <w:i/>
          <w:sz w:val="22"/>
          <w:szCs w:val="22"/>
          <w:lang w:val="sr-Latn-ME"/>
        </w:rPr>
        <w:t>lupus erit</w:t>
      </w:r>
      <w:r w:rsidR="0003378E" w:rsidRPr="00A10D67">
        <w:rPr>
          <w:bCs/>
          <w:i/>
          <w:sz w:val="22"/>
          <w:szCs w:val="22"/>
          <w:lang w:val="sr-Latn-ME"/>
        </w:rPr>
        <w:t>h</w:t>
      </w:r>
      <w:r w:rsidRPr="00A10D67">
        <w:rPr>
          <w:bCs/>
          <w:i/>
          <w:sz w:val="22"/>
          <w:szCs w:val="22"/>
          <w:lang w:val="sr-Latn-ME"/>
        </w:rPr>
        <w:t>ematosus</w:t>
      </w:r>
      <w:r w:rsidRPr="00A10D67">
        <w:rPr>
          <w:bCs/>
          <w:sz w:val="22"/>
          <w:szCs w:val="22"/>
          <w:lang w:val="sr-Latn-ME"/>
        </w:rPr>
        <w:t>a.</w:t>
      </w:r>
    </w:p>
    <w:p w14:paraId="4011CD53" w14:textId="77777777" w:rsidR="00D51D91" w:rsidRPr="00A10D67" w:rsidRDefault="00D51D91" w:rsidP="00432709">
      <w:pPr>
        <w:autoSpaceDE w:val="0"/>
        <w:autoSpaceDN w:val="0"/>
        <w:adjustRightInd w:val="0"/>
        <w:jc w:val="both"/>
        <w:rPr>
          <w:b/>
          <w:bCs/>
          <w:sz w:val="22"/>
          <w:szCs w:val="22"/>
          <w:lang w:val="sr-Latn-ME"/>
        </w:rPr>
      </w:pPr>
    </w:p>
    <w:p w14:paraId="7905C44F" w14:textId="77777777" w:rsidR="00926382" w:rsidRPr="00A10D67" w:rsidRDefault="00926382" w:rsidP="00432709">
      <w:pPr>
        <w:jc w:val="both"/>
        <w:rPr>
          <w:b/>
          <w:sz w:val="22"/>
          <w:szCs w:val="22"/>
          <w:lang w:val="sr-Latn-ME"/>
        </w:rPr>
      </w:pPr>
      <w:r w:rsidRPr="00A10D67">
        <w:rPr>
          <w:b/>
          <w:sz w:val="22"/>
          <w:szCs w:val="22"/>
          <w:lang w:val="sr-Latn-ME"/>
        </w:rPr>
        <w:t>Desenzibilizacija</w:t>
      </w:r>
    </w:p>
    <w:p w14:paraId="6D48FD43" w14:textId="4C0A5E87" w:rsidR="00926382" w:rsidRPr="00A10D67" w:rsidRDefault="00926382" w:rsidP="00432709">
      <w:pPr>
        <w:jc w:val="both"/>
        <w:rPr>
          <w:sz w:val="22"/>
          <w:szCs w:val="22"/>
          <w:lang w:val="sr-Latn-ME"/>
        </w:rPr>
      </w:pPr>
      <w:r w:rsidRPr="00A10D67">
        <w:rPr>
          <w:bCs/>
          <w:sz w:val="22"/>
          <w:szCs w:val="22"/>
          <w:lang w:val="sr-Latn-ME"/>
        </w:rPr>
        <w:t>Kod pacijenata</w:t>
      </w:r>
      <w:r w:rsidR="00432709" w:rsidRPr="00A10D67">
        <w:rPr>
          <w:bCs/>
          <w:sz w:val="22"/>
          <w:szCs w:val="22"/>
          <w:lang w:val="sr-Latn-ME"/>
        </w:rPr>
        <w:t xml:space="preserve"> </w:t>
      </w:r>
      <w:r w:rsidRPr="00A10D67">
        <w:rPr>
          <w:bCs/>
          <w:sz w:val="22"/>
          <w:szCs w:val="22"/>
          <w:lang w:val="sr-Latn-ME"/>
        </w:rPr>
        <w:t>koji su na terapiji ACE</w:t>
      </w:r>
      <w:r w:rsidR="0003378E" w:rsidRPr="00A10D67">
        <w:rPr>
          <w:bCs/>
          <w:sz w:val="22"/>
          <w:szCs w:val="22"/>
          <w:lang w:val="sr-Latn-ME"/>
        </w:rPr>
        <w:t>-</w:t>
      </w:r>
      <w:r w:rsidRPr="00A10D67">
        <w:rPr>
          <w:bCs/>
          <w:sz w:val="22"/>
          <w:szCs w:val="22"/>
          <w:lang w:val="sr-Latn-ME"/>
        </w:rPr>
        <w:t>inhibitorima tokom desenzibilizacije (npr. na toksine opnokrilaca) može se javiti dugotrajna anafilaktička reakcija. Kod tih pacijenata navedena reakcija se nije pojavila nakon privremenog prekida terapije ACE</w:t>
      </w:r>
      <w:r w:rsidR="0003378E" w:rsidRPr="00A10D67">
        <w:rPr>
          <w:bCs/>
          <w:sz w:val="22"/>
          <w:szCs w:val="22"/>
          <w:lang w:val="sr-Latn-ME"/>
        </w:rPr>
        <w:t>-</w:t>
      </w:r>
      <w:r w:rsidRPr="00A10D67">
        <w:rPr>
          <w:bCs/>
          <w:sz w:val="22"/>
          <w:szCs w:val="22"/>
          <w:lang w:val="sr-Latn-ME"/>
        </w:rPr>
        <w:t>inhibitorima tokom</w:t>
      </w:r>
      <w:r w:rsidR="00432709" w:rsidRPr="00A10D67">
        <w:rPr>
          <w:bCs/>
          <w:sz w:val="22"/>
          <w:szCs w:val="22"/>
          <w:lang w:val="sr-Latn-ME"/>
        </w:rPr>
        <w:t xml:space="preserve"> </w:t>
      </w:r>
      <w:r w:rsidRPr="00A10D67">
        <w:rPr>
          <w:bCs/>
          <w:sz w:val="22"/>
          <w:szCs w:val="22"/>
          <w:lang w:val="sr-Latn-ME"/>
        </w:rPr>
        <w:t xml:space="preserve">desenzibilizacije, ali </w:t>
      </w:r>
      <w:r w:rsidRPr="00A10D67">
        <w:rPr>
          <w:sz w:val="22"/>
          <w:szCs w:val="22"/>
          <w:lang w:val="sr-Latn-ME"/>
        </w:rPr>
        <w:t>se ponovo pojavila nakon nenamjerne ponovne primjene ACE-inhibitora.</w:t>
      </w:r>
    </w:p>
    <w:p w14:paraId="2428E934" w14:textId="77777777" w:rsidR="00926382" w:rsidRPr="00A10D67" w:rsidRDefault="00926382" w:rsidP="00432709">
      <w:pPr>
        <w:autoSpaceDE w:val="0"/>
        <w:autoSpaceDN w:val="0"/>
        <w:adjustRightInd w:val="0"/>
        <w:jc w:val="both"/>
        <w:rPr>
          <w:bCs/>
          <w:sz w:val="22"/>
          <w:szCs w:val="22"/>
          <w:lang w:val="sr-Latn-ME"/>
        </w:rPr>
      </w:pPr>
    </w:p>
    <w:p w14:paraId="50873F17"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Neutropenija/agranulocitoza</w:t>
      </w:r>
    </w:p>
    <w:p w14:paraId="6F8C2EF8"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Neutropenija/agranulocitoza, trombocitopenija i anemija zabilježene su kod pacijenata koji se liječe ACE- inhibitorima. Neutropenija se rijetko javljala kod pacijenata sa normalnom bubrežnom funkcijom i bez drugih komplikacija. Neutropenija i agranulocitoza su reverzibilne i nestaju po prestanku primjene ACE-inhibitora.</w:t>
      </w:r>
    </w:p>
    <w:p w14:paraId="4F384789" w14:textId="44D94872"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Neophodan je krajni oprez ukoliko se lizinopril primjenjuje kod pacijenata sa kolagenim vaskularnim bolestima,</w:t>
      </w:r>
      <w:r w:rsidR="0003378E" w:rsidRPr="00A10D67">
        <w:rPr>
          <w:bCs/>
          <w:sz w:val="22"/>
          <w:szCs w:val="22"/>
          <w:lang w:val="sr-Latn-ME"/>
        </w:rPr>
        <w:t xml:space="preserve"> </w:t>
      </w:r>
      <w:r w:rsidRPr="00A10D67">
        <w:rPr>
          <w:bCs/>
          <w:sz w:val="22"/>
          <w:szCs w:val="22"/>
          <w:lang w:val="sr-Latn-ME"/>
        </w:rPr>
        <w:t>pacijentima koji se liječe imunosupresivima, alopurinolom ili prokainamidom, ili pacijentima koji imaju kombinaciju</w:t>
      </w:r>
      <w:r w:rsidR="00432709" w:rsidRPr="00A10D67">
        <w:rPr>
          <w:bCs/>
          <w:sz w:val="22"/>
          <w:szCs w:val="22"/>
          <w:lang w:val="sr-Latn-ME"/>
        </w:rPr>
        <w:t xml:space="preserve"> </w:t>
      </w:r>
      <w:r w:rsidRPr="00A10D67">
        <w:rPr>
          <w:bCs/>
          <w:sz w:val="22"/>
          <w:szCs w:val="22"/>
          <w:lang w:val="sr-Latn-ME"/>
        </w:rPr>
        <w:t>spomenutih faktora rizika, naročito onih koji imaju preegzistirajuću bubrežnu insuficijenciju. Neki od ovih pacijenata mogu da razviju ozbiljne infekcije, koje čak mogu da budu rezistentne na prim</w:t>
      </w:r>
      <w:r w:rsidR="00986A20" w:rsidRPr="00A10D67">
        <w:rPr>
          <w:bCs/>
          <w:sz w:val="22"/>
          <w:szCs w:val="22"/>
          <w:lang w:val="sr-Latn-ME"/>
        </w:rPr>
        <w:t>i</w:t>
      </w:r>
      <w:r w:rsidRPr="00A10D67">
        <w:rPr>
          <w:bCs/>
          <w:sz w:val="22"/>
          <w:szCs w:val="22"/>
          <w:lang w:val="sr-Latn-ME"/>
        </w:rPr>
        <w:t>jenjenu intenzivnu antibiotsku terapiju. Ukoliko se lizinopril primjenjuje u liječenju ovih pacijenata, neophodna je kontrola periodičnog praćenja broja bijelih krvnih ćelija (broj leukocita) a pacijente upozoriti da prijave pojavu bilo kojeg znaka infekcije.</w:t>
      </w:r>
    </w:p>
    <w:p w14:paraId="3D1D26EA" w14:textId="77777777" w:rsidR="00926382" w:rsidRPr="00A10D67" w:rsidRDefault="00926382" w:rsidP="00432709">
      <w:pPr>
        <w:autoSpaceDE w:val="0"/>
        <w:autoSpaceDN w:val="0"/>
        <w:adjustRightInd w:val="0"/>
        <w:jc w:val="both"/>
        <w:rPr>
          <w:b/>
          <w:bCs/>
          <w:sz w:val="22"/>
          <w:szCs w:val="22"/>
          <w:lang w:val="sr-Latn-ME"/>
        </w:rPr>
      </w:pPr>
    </w:p>
    <w:p w14:paraId="226AB82D" w14:textId="77777777" w:rsidR="00926382" w:rsidRPr="00A10D67" w:rsidRDefault="00926382" w:rsidP="00432709">
      <w:pPr>
        <w:autoSpaceDE w:val="0"/>
        <w:autoSpaceDN w:val="0"/>
        <w:adjustRightInd w:val="0"/>
        <w:jc w:val="both"/>
        <w:rPr>
          <w:sz w:val="22"/>
          <w:szCs w:val="22"/>
          <w:lang w:val="sr-Latn-ME"/>
        </w:rPr>
      </w:pPr>
      <w:r w:rsidRPr="00A10D67">
        <w:rPr>
          <w:b/>
          <w:bCs/>
          <w:sz w:val="22"/>
          <w:szCs w:val="22"/>
          <w:lang w:val="sr-Latn-ME"/>
        </w:rPr>
        <w:t>Rasa</w:t>
      </w:r>
    </w:p>
    <w:p w14:paraId="6C852B3C" w14:textId="3B39209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U poređenju sa pacijentima drugih rasa, kod pacijenata crne rase koji su uzimali ACE-inhibitore uočena je veća</w:t>
      </w:r>
      <w:r w:rsidR="0003378E" w:rsidRPr="00A10D67">
        <w:rPr>
          <w:bCs/>
          <w:sz w:val="22"/>
          <w:szCs w:val="22"/>
          <w:lang w:val="sr-Latn-ME"/>
        </w:rPr>
        <w:t xml:space="preserve"> </w:t>
      </w:r>
      <w:r w:rsidRPr="00A10D67">
        <w:rPr>
          <w:bCs/>
          <w:sz w:val="22"/>
          <w:szCs w:val="22"/>
          <w:lang w:val="sr-Latn-ME"/>
        </w:rPr>
        <w:t>učestalost angioedema.</w:t>
      </w:r>
    </w:p>
    <w:p w14:paraId="4AD0F79D" w14:textId="0BCC7CE4"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Kao i ostali ACE-inhibitori, lizinopril može biti manje efikasan u snižavanju krvnog pritiska kod pacijenata crne</w:t>
      </w:r>
      <w:r w:rsidR="0003378E" w:rsidRPr="00A10D67">
        <w:rPr>
          <w:bCs/>
          <w:sz w:val="22"/>
          <w:szCs w:val="22"/>
          <w:lang w:val="sr-Latn-ME"/>
        </w:rPr>
        <w:t xml:space="preserve">, </w:t>
      </w:r>
      <w:r w:rsidRPr="00A10D67">
        <w:rPr>
          <w:bCs/>
          <w:sz w:val="22"/>
          <w:szCs w:val="22"/>
          <w:lang w:val="sr-Latn-ME"/>
        </w:rPr>
        <w:t>nego kod pripadnika ostalih rasa, vjerovatno zbog veće učestalosti niskog nivoa renina kod pacijenata crne rase</w:t>
      </w:r>
      <w:r w:rsidR="0003378E" w:rsidRPr="00A10D67">
        <w:rPr>
          <w:bCs/>
          <w:sz w:val="22"/>
          <w:szCs w:val="22"/>
          <w:lang w:val="sr-Latn-ME"/>
        </w:rPr>
        <w:t xml:space="preserve"> sa hipertenzijom</w:t>
      </w:r>
      <w:r w:rsidRPr="00A10D67">
        <w:rPr>
          <w:bCs/>
          <w:sz w:val="22"/>
          <w:szCs w:val="22"/>
          <w:lang w:val="sr-Latn-ME"/>
        </w:rPr>
        <w:t>.</w:t>
      </w:r>
    </w:p>
    <w:p w14:paraId="4DB80DF0" w14:textId="77777777" w:rsidR="00926382" w:rsidRPr="00A10D67" w:rsidRDefault="00926382" w:rsidP="00432709">
      <w:pPr>
        <w:autoSpaceDE w:val="0"/>
        <w:autoSpaceDN w:val="0"/>
        <w:adjustRightInd w:val="0"/>
        <w:jc w:val="both"/>
        <w:rPr>
          <w:b/>
          <w:bCs/>
          <w:sz w:val="22"/>
          <w:szCs w:val="22"/>
          <w:lang w:val="sr-Latn-ME"/>
        </w:rPr>
      </w:pPr>
    </w:p>
    <w:p w14:paraId="28FB8A1A"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Kašalj</w:t>
      </w:r>
    </w:p>
    <w:p w14:paraId="54EDE016" w14:textId="5EBD0A5D" w:rsidR="00926382" w:rsidRPr="00A10D67" w:rsidRDefault="00926382" w:rsidP="00432709">
      <w:pPr>
        <w:tabs>
          <w:tab w:val="left" w:pos="567"/>
        </w:tabs>
        <w:jc w:val="both"/>
        <w:rPr>
          <w:color w:val="000000"/>
          <w:sz w:val="22"/>
          <w:szCs w:val="22"/>
          <w:lang w:val="sr-Latn-ME" w:eastAsia="hr-HR"/>
        </w:rPr>
      </w:pPr>
      <w:r w:rsidRPr="00A10D67">
        <w:rPr>
          <w:color w:val="000000"/>
          <w:sz w:val="22"/>
          <w:szCs w:val="22"/>
          <w:lang w:val="sr-Latn-ME" w:eastAsia="hr-HR"/>
        </w:rPr>
        <w:t>Prilikom primjene ACE-inhibitora može se javiti kašalj. Karakteristično, kašalj</w:t>
      </w:r>
      <w:r w:rsidR="00432709" w:rsidRPr="00A10D67">
        <w:rPr>
          <w:color w:val="000000"/>
          <w:sz w:val="22"/>
          <w:szCs w:val="22"/>
          <w:lang w:val="sr-Latn-ME" w:eastAsia="hr-HR"/>
        </w:rPr>
        <w:t xml:space="preserve"> </w:t>
      </w:r>
      <w:r w:rsidRPr="00A10D67">
        <w:rPr>
          <w:color w:val="000000"/>
          <w:sz w:val="22"/>
          <w:szCs w:val="22"/>
          <w:lang w:val="sr-Latn-ME" w:eastAsia="hr-HR"/>
        </w:rPr>
        <w:t>je neproduktivan, perzistentan i prestaje nakon prekida terapije. To treba imati na umu pri diferencijalnoj dijagnozi kašlja kod pacijenata koji uzimaju ACE-inhibitor.</w:t>
      </w:r>
    </w:p>
    <w:p w14:paraId="44BA8143" w14:textId="77777777" w:rsidR="00926382" w:rsidRPr="00A10D67" w:rsidRDefault="00926382" w:rsidP="00432709">
      <w:pPr>
        <w:autoSpaceDE w:val="0"/>
        <w:autoSpaceDN w:val="0"/>
        <w:adjustRightInd w:val="0"/>
        <w:jc w:val="both"/>
        <w:rPr>
          <w:b/>
          <w:bCs/>
          <w:sz w:val="22"/>
          <w:szCs w:val="22"/>
          <w:lang w:val="sr-Latn-ME"/>
        </w:rPr>
      </w:pPr>
    </w:p>
    <w:p w14:paraId="41FDB5F1"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Litijum</w:t>
      </w:r>
    </w:p>
    <w:p w14:paraId="3D39A6C8" w14:textId="15438088" w:rsidR="00926382" w:rsidRPr="00A10D67" w:rsidRDefault="00926382" w:rsidP="00432709">
      <w:pPr>
        <w:tabs>
          <w:tab w:val="left" w:pos="567"/>
        </w:tabs>
        <w:jc w:val="both"/>
        <w:rPr>
          <w:color w:val="000000"/>
          <w:sz w:val="22"/>
          <w:szCs w:val="22"/>
          <w:lang w:val="sr-Latn-ME" w:eastAsia="hr-HR"/>
        </w:rPr>
      </w:pPr>
      <w:r w:rsidRPr="00A10D67">
        <w:rPr>
          <w:color w:val="000000"/>
          <w:sz w:val="22"/>
          <w:szCs w:val="22"/>
          <w:lang w:val="sr-Latn-ME" w:eastAsia="hr-HR"/>
        </w:rPr>
        <w:t xml:space="preserve">Ne preporučuje se istovremena primjena lizinoprila i litijuma (vidjeti </w:t>
      </w:r>
      <w:r w:rsidR="00986A20" w:rsidRPr="00A10D67">
        <w:rPr>
          <w:color w:val="000000"/>
          <w:sz w:val="22"/>
          <w:szCs w:val="22"/>
          <w:lang w:val="sr-Latn-ME" w:eastAsia="hr-HR"/>
        </w:rPr>
        <w:t>dio</w:t>
      </w:r>
      <w:r w:rsidRPr="00A10D67">
        <w:rPr>
          <w:color w:val="000000"/>
          <w:sz w:val="22"/>
          <w:szCs w:val="22"/>
          <w:lang w:val="sr-Latn-ME" w:eastAsia="hr-HR"/>
        </w:rPr>
        <w:t xml:space="preserve"> 4.5).</w:t>
      </w:r>
    </w:p>
    <w:p w14:paraId="67C02464" w14:textId="77777777" w:rsidR="00926382" w:rsidRPr="00A10D67" w:rsidRDefault="00926382" w:rsidP="00432709">
      <w:pPr>
        <w:autoSpaceDE w:val="0"/>
        <w:autoSpaceDN w:val="0"/>
        <w:adjustRightInd w:val="0"/>
        <w:jc w:val="both"/>
        <w:rPr>
          <w:b/>
          <w:bCs/>
          <w:sz w:val="22"/>
          <w:szCs w:val="22"/>
          <w:lang w:val="sr-Latn-ME"/>
        </w:rPr>
      </w:pPr>
    </w:p>
    <w:p w14:paraId="5140F315"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Antidoping test</w:t>
      </w:r>
    </w:p>
    <w:p w14:paraId="43BA55E7"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Prisustvo hidrohlortiazida može izazvati pozitivan rezultat analize pri antidoping testiranju.</w:t>
      </w:r>
    </w:p>
    <w:p w14:paraId="0B38E7B3" w14:textId="5E7E609F" w:rsidR="00926382" w:rsidRPr="00A10D67" w:rsidRDefault="00926382" w:rsidP="00432709">
      <w:pPr>
        <w:autoSpaceDE w:val="0"/>
        <w:autoSpaceDN w:val="0"/>
        <w:adjustRightInd w:val="0"/>
        <w:jc w:val="both"/>
        <w:rPr>
          <w:bCs/>
          <w:sz w:val="22"/>
          <w:szCs w:val="22"/>
          <w:lang w:val="sr-Latn-ME"/>
        </w:rPr>
      </w:pPr>
    </w:p>
    <w:p w14:paraId="56575D2C" w14:textId="77777777" w:rsidR="00926382" w:rsidRPr="00A10D67" w:rsidRDefault="00926382" w:rsidP="00432709">
      <w:pPr>
        <w:autoSpaceDE w:val="0"/>
        <w:autoSpaceDN w:val="0"/>
        <w:adjustRightInd w:val="0"/>
        <w:jc w:val="both"/>
        <w:rPr>
          <w:b/>
          <w:bCs/>
          <w:iCs/>
          <w:sz w:val="22"/>
          <w:szCs w:val="22"/>
          <w:lang w:val="sr-Latn-ME"/>
        </w:rPr>
      </w:pPr>
      <w:r w:rsidRPr="00A10D67">
        <w:rPr>
          <w:b/>
          <w:bCs/>
          <w:iCs/>
          <w:sz w:val="22"/>
          <w:szCs w:val="22"/>
          <w:lang w:val="sr-Latn-ME"/>
        </w:rPr>
        <w:t>Trudnoća i dojenje</w:t>
      </w:r>
    </w:p>
    <w:p w14:paraId="709E3726" w14:textId="695694FE" w:rsidR="00926382" w:rsidRDefault="00926382" w:rsidP="00432709">
      <w:pPr>
        <w:autoSpaceDE w:val="0"/>
        <w:autoSpaceDN w:val="0"/>
        <w:adjustRightInd w:val="0"/>
        <w:jc w:val="both"/>
        <w:rPr>
          <w:bCs/>
          <w:sz w:val="22"/>
          <w:szCs w:val="22"/>
          <w:lang w:val="sr-Latn-ME"/>
        </w:rPr>
      </w:pPr>
      <w:r w:rsidRPr="00A10D67">
        <w:rPr>
          <w:bCs/>
          <w:sz w:val="22"/>
          <w:szCs w:val="22"/>
          <w:lang w:val="sr-Latn-ME"/>
        </w:rPr>
        <w:t xml:space="preserve">Liječenje ACE-inhibitorima ne smije se započeti tokom trudnoće. Osim ukoliko je za zdravlje pacijentkinja presudan nastavak liječenja ACE-inhibitorom, pri planiranju trudnoće trebalo bi terapiju </w:t>
      </w:r>
      <w:r w:rsidRPr="00A10D67">
        <w:rPr>
          <w:bCs/>
          <w:sz w:val="22"/>
          <w:szCs w:val="22"/>
          <w:lang w:val="sr-Latn-ME"/>
        </w:rPr>
        <w:lastRenderedPageBreak/>
        <w:t xml:space="preserve">zamijeniti sa nekim drugim antihipertenzivom koji ima potvrđen bezbjednosni profil u trudnoći. Kad se ustanovi trudnoća, liječenje ACE-inhibitorima treba odmah prekinuti i ukoliko je moguće započeti alternativnu terapiju (vidjeti </w:t>
      </w:r>
      <w:r w:rsidR="00986A20" w:rsidRPr="00A10D67">
        <w:rPr>
          <w:bCs/>
          <w:sz w:val="22"/>
          <w:szCs w:val="22"/>
          <w:lang w:val="sr-Latn-ME"/>
        </w:rPr>
        <w:t>djelov</w:t>
      </w:r>
      <w:r w:rsidRPr="00A10D67">
        <w:rPr>
          <w:bCs/>
          <w:sz w:val="22"/>
          <w:szCs w:val="22"/>
          <w:lang w:val="sr-Latn-ME"/>
        </w:rPr>
        <w:t>e 4.3 i 4.6).</w:t>
      </w:r>
    </w:p>
    <w:p w14:paraId="06B1DF35" w14:textId="77777777" w:rsidR="006F57B4" w:rsidRPr="00A10D67" w:rsidRDefault="006F57B4" w:rsidP="00432709">
      <w:pPr>
        <w:autoSpaceDE w:val="0"/>
        <w:autoSpaceDN w:val="0"/>
        <w:adjustRightInd w:val="0"/>
        <w:jc w:val="both"/>
        <w:rPr>
          <w:bCs/>
          <w:sz w:val="22"/>
          <w:szCs w:val="22"/>
          <w:lang w:val="sr-Latn-ME"/>
        </w:rPr>
      </w:pPr>
    </w:p>
    <w:p w14:paraId="4BA9FC83" w14:textId="399EBE4C" w:rsidR="00D51D91" w:rsidRPr="00A10D67" w:rsidRDefault="00D51D91" w:rsidP="00432709">
      <w:pPr>
        <w:autoSpaceDE w:val="0"/>
        <w:autoSpaceDN w:val="0"/>
        <w:adjustRightInd w:val="0"/>
        <w:jc w:val="both"/>
        <w:rPr>
          <w:b/>
          <w:bCs/>
          <w:sz w:val="22"/>
          <w:szCs w:val="22"/>
          <w:lang w:val="sr-Latn-ME"/>
        </w:rPr>
      </w:pPr>
      <w:r w:rsidRPr="00A10D67">
        <w:rPr>
          <w:b/>
          <w:bCs/>
          <w:sz w:val="22"/>
          <w:szCs w:val="22"/>
          <w:lang w:val="sr-Latn-ME"/>
        </w:rPr>
        <w:t>Efuzija horoideje, akutna miopija i sekundarni</w:t>
      </w:r>
      <w:r w:rsidR="00432709" w:rsidRPr="00A10D67">
        <w:rPr>
          <w:b/>
          <w:bCs/>
          <w:sz w:val="22"/>
          <w:szCs w:val="22"/>
          <w:lang w:val="sr-Latn-ME"/>
        </w:rPr>
        <w:t xml:space="preserve"> </w:t>
      </w:r>
      <w:r w:rsidRPr="00A10D67">
        <w:rPr>
          <w:b/>
          <w:bCs/>
          <w:sz w:val="22"/>
          <w:szCs w:val="22"/>
          <w:lang w:val="sr-Latn-ME"/>
        </w:rPr>
        <w:t>glaukom zatvorenog ugla</w:t>
      </w:r>
    </w:p>
    <w:p w14:paraId="5348FD3D" w14:textId="4D89550F" w:rsidR="00D51D91" w:rsidRPr="00A10D67" w:rsidRDefault="00D51D91" w:rsidP="00432709">
      <w:pPr>
        <w:autoSpaceDE w:val="0"/>
        <w:autoSpaceDN w:val="0"/>
        <w:adjustRightInd w:val="0"/>
        <w:jc w:val="both"/>
        <w:rPr>
          <w:bCs/>
          <w:sz w:val="22"/>
          <w:szCs w:val="22"/>
          <w:lang w:val="sr-Latn-ME"/>
        </w:rPr>
      </w:pPr>
      <w:r w:rsidRPr="00A10D67">
        <w:rPr>
          <w:bCs/>
          <w:sz w:val="22"/>
          <w:szCs w:val="22"/>
          <w:lang w:val="sr-Latn-ME"/>
        </w:rPr>
        <w:t>Hidrohlortiazid, sulfonamid, može izazvati idiosinkratsku reakciju, koja može dovesti do efuzije horoideje uz ispad u vidnom polju, prolazne miopije i</w:t>
      </w:r>
      <w:r w:rsidR="00432709" w:rsidRPr="00A10D67">
        <w:rPr>
          <w:bCs/>
          <w:sz w:val="22"/>
          <w:szCs w:val="22"/>
          <w:lang w:val="sr-Latn-ME"/>
        </w:rPr>
        <w:t xml:space="preserve"> </w:t>
      </w:r>
      <w:r w:rsidRPr="00A10D67">
        <w:rPr>
          <w:bCs/>
          <w:sz w:val="22"/>
          <w:szCs w:val="22"/>
          <w:lang w:val="sr-Latn-ME"/>
        </w:rPr>
        <w:t>akutnog glaukoma zatvorenog ugla.</w:t>
      </w:r>
      <w:r w:rsidR="00432709" w:rsidRPr="00A10D67">
        <w:rPr>
          <w:bCs/>
          <w:sz w:val="22"/>
          <w:szCs w:val="22"/>
          <w:lang w:val="sr-Latn-ME"/>
        </w:rPr>
        <w:t xml:space="preserve"> </w:t>
      </w:r>
      <w:r w:rsidRPr="00A10D67">
        <w:rPr>
          <w:bCs/>
          <w:sz w:val="22"/>
          <w:szCs w:val="22"/>
          <w:lang w:val="sr-Latn-ME"/>
        </w:rPr>
        <w:t>Simptomi uključuju akutni početak</w:t>
      </w:r>
      <w:r w:rsidR="00432709" w:rsidRPr="00A10D67">
        <w:rPr>
          <w:bCs/>
          <w:sz w:val="22"/>
          <w:szCs w:val="22"/>
          <w:lang w:val="sr-Latn-ME"/>
        </w:rPr>
        <w:t xml:space="preserve"> </w:t>
      </w:r>
      <w:r w:rsidRPr="00A10D67">
        <w:rPr>
          <w:bCs/>
          <w:sz w:val="22"/>
          <w:szCs w:val="22"/>
          <w:lang w:val="sr-Latn-ME"/>
        </w:rPr>
        <w:t>smanjene</w:t>
      </w:r>
      <w:r w:rsidR="00432709" w:rsidRPr="00A10D67">
        <w:rPr>
          <w:bCs/>
          <w:sz w:val="22"/>
          <w:szCs w:val="22"/>
          <w:lang w:val="sr-Latn-ME"/>
        </w:rPr>
        <w:t xml:space="preserve"> </w:t>
      </w:r>
      <w:r w:rsidRPr="00A10D67">
        <w:rPr>
          <w:bCs/>
          <w:sz w:val="22"/>
          <w:szCs w:val="22"/>
          <w:lang w:val="sr-Latn-ME"/>
        </w:rPr>
        <w:t>oštrine vida ili bol u oku i tipično se javlja unutar nekoliko sati do nedjelja nakon početka liječenja. Neliječeni akutni glaukom zatvorenog ugla</w:t>
      </w:r>
      <w:r w:rsidR="00432709" w:rsidRPr="00A10D67">
        <w:rPr>
          <w:bCs/>
          <w:sz w:val="22"/>
          <w:szCs w:val="22"/>
          <w:lang w:val="sr-Latn-ME"/>
        </w:rPr>
        <w:t xml:space="preserve"> </w:t>
      </w:r>
      <w:r w:rsidRPr="00A10D67">
        <w:rPr>
          <w:bCs/>
          <w:sz w:val="22"/>
          <w:szCs w:val="22"/>
          <w:lang w:val="sr-Latn-ME"/>
        </w:rPr>
        <w:t>može da dovede</w:t>
      </w:r>
      <w:r w:rsidR="00432709" w:rsidRPr="00A10D67">
        <w:rPr>
          <w:bCs/>
          <w:sz w:val="22"/>
          <w:szCs w:val="22"/>
          <w:lang w:val="sr-Latn-ME"/>
        </w:rPr>
        <w:t xml:space="preserve"> </w:t>
      </w:r>
      <w:r w:rsidRPr="00A10D67">
        <w:rPr>
          <w:bCs/>
          <w:sz w:val="22"/>
          <w:szCs w:val="22"/>
          <w:lang w:val="sr-Latn-ME"/>
        </w:rPr>
        <w:t>do trajnog gubitka vida. Primarna terapija podrazumijeva obustavljanje</w:t>
      </w:r>
      <w:r w:rsidR="00432709" w:rsidRPr="00A10D67">
        <w:rPr>
          <w:bCs/>
          <w:sz w:val="22"/>
          <w:szCs w:val="22"/>
          <w:lang w:val="sr-Latn-ME"/>
        </w:rPr>
        <w:t xml:space="preserve"> </w:t>
      </w:r>
      <w:r w:rsidRPr="00A10D67">
        <w:rPr>
          <w:bCs/>
          <w:sz w:val="22"/>
          <w:szCs w:val="22"/>
          <w:lang w:val="sr-Latn-ME"/>
        </w:rPr>
        <w:t>primjene hidrohlortiazida što je prije moguće. Ako intraokularni pritisak</w:t>
      </w:r>
      <w:r w:rsidR="00432709" w:rsidRPr="00A10D67">
        <w:rPr>
          <w:bCs/>
          <w:sz w:val="22"/>
          <w:szCs w:val="22"/>
          <w:lang w:val="sr-Latn-ME"/>
        </w:rPr>
        <w:t xml:space="preserve"> </w:t>
      </w:r>
      <w:r w:rsidRPr="00A10D67">
        <w:rPr>
          <w:bCs/>
          <w:sz w:val="22"/>
          <w:szCs w:val="22"/>
          <w:lang w:val="sr-Latn-ME"/>
        </w:rPr>
        <w:t>ostane nekontrolisan, mogla bi se ukazati potreba za hitnim medikamentoznim ili hirurškim liječenjem. Faktori rizika za razvoj akutnoga glaukoma zatvorenog ugla mogu</w:t>
      </w:r>
      <w:r w:rsidR="00432709" w:rsidRPr="00A10D67">
        <w:rPr>
          <w:bCs/>
          <w:sz w:val="22"/>
          <w:szCs w:val="22"/>
          <w:lang w:val="sr-Latn-ME"/>
        </w:rPr>
        <w:t xml:space="preserve"> </w:t>
      </w:r>
      <w:r w:rsidRPr="00A10D67">
        <w:rPr>
          <w:bCs/>
          <w:sz w:val="22"/>
          <w:szCs w:val="22"/>
          <w:lang w:val="sr-Latn-ME"/>
        </w:rPr>
        <w:t>da uključe alergiju na sulfonamide ili penicilin u anamnezi.</w:t>
      </w:r>
    </w:p>
    <w:p w14:paraId="7A713EF9" w14:textId="77777777" w:rsidR="00926382" w:rsidRPr="00A10D67" w:rsidRDefault="00926382" w:rsidP="00432709">
      <w:pPr>
        <w:tabs>
          <w:tab w:val="left" w:pos="567"/>
        </w:tabs>
        <w:jc w:val="both"/>
        <w:rPr>
          <w:b/>
          <w:sz w:val="22"/>
          <w:szCs w:val="22"/>
          <w:lang w:val="sr-Latn-ME"/>
        </w:rPr>
      </w:pPr>
    </w:p>
    <w:p w14:paraId="78F317E3" w14:textId="77777777" w:rsidR="00D51D91" w:rsidRPr="00A10D67" w:rsidRDefault="00D51D91" w:rsidP="00432709">
      <w:pPr>
        <w:spacing w:line="276" w:lineRule="auto"/>
        <w:jc w:val="both"/>
        <w:rPr>
          <w:rFonts w:eastAsia="Calibri"/>
          <w:b/>
          <w:sz w:val="22"/>
          <w:szCs w:val="22"/>
          <w:lang w:val="sr-Latn-ME"/>
        </w:rPr>
      </w:pPr>
      <w:r w:rsidRPr="00A10D67">
        <w:rPr>
          <w:rFonts w:eastAsia="Calibri"/>
          <w:b/>
          <w:sz w:val="22"/>
          <w:szCs w:val="22"/>
          <w:lang w:val="sr-Latn-ME"/>
        </w:rPr>
        <w:t xml:space="preserve">Akutna respiratorna toksičnost </w:t>
      </w:r>
    </w:p>
    <w:p w14:paraId="0E182FF5" w14:textId="2890F113" w:rsidR="00D51D91" w:rsidRPr="00A10D67" w:rsidRDefault="00D51D91" w:rsidP="00A10D67">
      <w:pPr>
        <w:jc w:val="both"/>
        <w:rPr>
          <w:sz w:val="22"/>
          <w:szCs w:val="22"/>
          <w:lang w:val="sr-Latn-ME"/>
        </w:rPr>
      </w:pPr>
      <w:r w:rsidRPr="00A10D67">
        <w:rPr>
          <w:rFonts w:eastAsia="Calibri"/>
          <w:sz w:val="22"/>
          <w:szCs w:val="22"/>
          <w:lang w:val="sr-Latn-ME"/>
        </w:rPr>
        <w:t>Nakon uzimanja hidrohlortiazida zabilježeni su vrlo rijetki teški slučajevi akutne respiratorne toksičnosti, uključujući akutni respiratorni distres sindrom (ARDS). Plućni edem obično se razvija u roku od nekoliko minuta do nekoliko sati nakon unosa hidro</w:t>
      </w:r>
      <w:r w:rsidR="00472A9A" w:rsidRPr="00A10D67">
        <w:rPr>
          <w:rFonts w:eastAsia="Calibri"/>
          <w:sz w:val="22"/>
          <w:szCs w:val="22"/>
          <w:lang w:val="sr-Latn-ME"/>
        </w:rPr>
        <w:t>h</w:t>
      </w:r>
      <w:r w:rsidRPr="00A10D67">
        <w:rPr>
          <w:rFonts w:eastAsia="Calibri"/>
          <w:sz w:val="22"/>
          <w:szCs w:val="22"/>
          <w:lang w:val="sr-Latn-ME"/>
        </w:rPr>
        <w:t xml:space="preserve">lortiazida. Na početku simptomi uključuju dispneju, </w:t>
      </w:r>
      <w:r w:rsidR="00472A9A" w:rsidRPr="00A10D67">
        <w:rPr>
          <w:rFonts w:eastAsia="Calibri"/>
          <w:sz w:val="22"/>
          <w:szCs w:val="22"/>
          <w:lang w:val="sr-Latn-ME"/>
        </w:rPr>
        <w:t>povišenu temperaturu</w:t>
      </w:r>
      <w:r w:rsidRPr="00A10D67">
        <w:rPr>
          <w:rFonts w:eastAsia="Calibri"/>
          <w:sz w:val="22"/>
          <w:szCs w:val="22"/>
          <w:lang w:val="sr-Latn-ME"/>
        </w:rPr>
        <w:t>, pogoršanje plućne funkcije i hipotenziju. Ako se sumnja na ARDS, potrebno je prekinuti primjenu lijeka IRUZID i primijeniti odgovarajuće liječenje. Hidro</w:t>
      </w:r>
      <w:r w:rsidR="00472A9A" w:rsidRPr="00A10D67">
        <w:rPr>
          <w:rFonts w:eastAsia="Calibri"/>
          <w:sz w:val="22"/>
          <w:szCs w:val="22"/>
          <w:lang w:val="sr-Latn-ME"/>
        </w:rPr>
        <w:t>h</w:t>
      </w:r>
      <w:r w:rsidRPr="00A10D67">
        <w:rPr>
          <w:rFonts w:eastAsia="Calibri"/>
          <w:sz w:val="22"/>
          <w:szCs w:val="22"/>
          <w:lang w:val="sr-Latn-ME"/>
        </w:rPr>
        <w:t xml:space="preserve">lortiazid se ne smije davati </w:t>
      </w:r>
      <w:r w:rsidR="00472A9A" w:rsidRPr="00A10D67">
        <w:rPr>
          <w:rFonts w:eastAsia="Calibri"/>
          <w:sz w:val="22"/>
          <w:szCs w:val="22"/>
          <w:lang w:val="sr-Latn-ME"/>
        </w:rPr>
        <w:t>pacijentima</w:t>
      </w:r>
      <w:r w:rsidRPr="00A10D67">
        <w:rPr>
          <w:rFonts w:eastAsia="Calibri"/>
          <w:sz w:val="22"/>
          <w:szCs w:val="22"/>
          <w:lang w:val="sr-Latn-ME"/>
        </w:rPr>
        <w:t xml:space="preserve"> koji su prethodno imali ARDS nakon </w:t>
      </w:r>
      <w:r w:rsidR="00472A9A" w:rsidRPr="00A10D67">
        <w:rPr>
          <w:rFonts w:eastAsia="Calibri"/>
          <w:sz w:val="22"/>
          <w:szCs w:val="22"/>
          <w:lang w:val="sr-Latn-ME"/>
        </w:rPr>
        <w:t>primjene</w:t>
      </w:r>
      <w:r w:rsidRPr="00A10D67">
        <w:rPr>
          <w:rFonts w:eastAsia="Calibri"/>
          <w:sz w:val="22"/>
          <w:szCs w:val="22"/>
          <w:lang w:val="sr-Latn-ME"/>
        </w:rPr>
        <w:t xml:space="preserve"> hidro</w:t>
      </w:r>
      <w:r w:rsidR="00472A9A" w:rsidRPr="00A10D67">
        <w:rPr>
          <w:rFonts w:eastAsia="Calibri"/>
          <w:sz w:val="22"/>
          <w:szCs w:val="22"/>
          <w:lang w:val="sr-Latn-ME"/>
        </w:rPr>
        <w:t>h</w:t>
      </w:r>
      <w:r w:rsidRPr="00A10D67">
        <w:rPr>
          <w:rFonts w:eastAsia="Calibri"/>
          <w:sz w:val="22"/>
          <w:szCs w:val="22"/>
          <w:lang w:val="sr-Latn-ME"/>
        </w:rPr>
        <w:t>lortiazida.</w:t>
      </w:r>
    </w:p>
    <w:p w14:paraId="1737FADB" w14:textId="77777777" w:rsidR="00057E35" w:rsidRPr="00A10D67" w:rsidRDefault="00057E35" w:rsidP="00432709">
      <w:pPr>
        <w:tabs>
          <w:tab w:val="left" w:pos="540"/>
          <w:tab w:val="left" w:pos="569"/>
        </w:tabs>
        <w:jc w:val="both"/>
        <w:rPr>
          <w:bCs/>
          <w:sz w:val="22"/>
          <w:szCs w:val="22"/>
          <w:lang w:val="sr-Latn-ME"/>
        </w:rPr>
      </w:pPr>
    </w:p>
    <w:p w14:paraId="599F5828" w14:textId="77777777" w:rsidR="00411B4B" w:rsidRPr="00A10D67" w:rsidRDefault="00411B4B" w:rsidP="00432709">
      <w:pPr>
        <w:tabs>
          <w:tab w:val="left" w:pos="540"/>
          <w:tab w:val="left" w:pos="569"/>
        </w:tabs>
        <w:jc w:val="both"/>
        <w:rPr>
          <w:b/>
          <w:bCs/>
          <w:sz w:val="22"/>
          <w:szCs w:val="22"/>
          <w:lang w:val="sr-Latn-ME"/>
        </w:rPr>
      </w:pPr>
      <w:r w:rsidRPr="00A10D67">
        <w:rPr>
          <w:b/>
          <w:bCs/>
          <w:sz w:val="22"/>
          <w:szCs w:val="22"/>
          <w:lang w:val="sr-Latn-ME"/>
        </w:rPr>
        <w:t>4.5.</w:t>
      </w:r>
      <w:r w:rsidR="000D60CC" w:rsidRPr="00A10D67">
        <w:rPr>
          <w:b/>
          <w:bCs/>
          <w:sz w:val="22"/>
          <w:szCs w:val="22"/>
          <w:lang w:val="sr-Latn-ME"/>
        </w:rPr>
        <w:tab/>
      </w:r>
      <w:r w:rsidRPr="00A10D67">
        <w:rPr>
          <w:b/>
          <w:bCs/>
          <w:sz w:val="22"/>
          <w:szCs w:val="22"/>
          <w:lang w:val="sr-Latn-ME"/>
        </w:rPr>
        <w:t>Interakcije sa drugim ljekovima i druge vrste interakcija</w:t>
      </w:r>
    </w:p>
    <w:p w14:paraId="2A37548E" w14:textId="77777777" w:rsidR="00926382" w:rsidRPr="00A10D67" w:rsidRDefault="00926382" w:rsidP="00432709">
      <w:pPr>
        <w:tabs>
          <w:tab w:val="left" w:pos="540"/>
          <w:tab w:val="left" w:pos="569"/>
        </w:tabs>
        <w:jc w:val="both"/>
        <w:rPr>
          <w:b/>
          <w:bCs/>
          <w:sz w:val="22"/>
          <w:szCs w:val="22"/>
          <w:lang w:val="sr-Latn-ME"/>
        </w:rPr>
      </w:pPr>
    </w:p>
    <w:p w14:paraId="6EAFE251" w14:textId="4ADB44BA" w:rsidR="00926382" w:rsidRPr="00A10D67" w:rsidRDefault="0022433E" w:rsidP="00432709">
      <w:pPr>
        <w:jc w:val="both"/>
        <w:rPr>
          <w:b/>
          <w:sz w:val="22"/>
          <w:szCs w:val="22"/>
          <w:lang w:val="sr-Latn-ME"/>
        </w:rPr>
      </w:pPr>
      <w:r w:rsidRPr="00A10D67">
        <w:rPr>
          <w:b/>
          <w:sz w:val="22"/>
          <w:szCs w:val="22"/>
          <w:lang w:val="sr-Latn-ME"/>
        </w:rPr>
        <w:t>A</w:t>
      </w:r>
      <w:r w:rsidR="00926382" w:rsidRPr="00A10D67">
        <w:rPr>
          <w:b/>
          <w:sz w:val="22"/>
          <w:szCs w:val="22"/>
          <w:lang w:val="sr-Latn-ME"/>
        </w:rPr>
        <w:t>ntihipertenziv</w:t>
      </w:r>
      <w:r w:rsidRPr="00A10D67">
        <w:rPr>
          <w:b/>
          <w:sz w:val="22"/>
          <w:szCs w:val="22"/>
          <w:lang w:val="sr-Latn-ME"/>
        </w:rPr>
        <w:t>ni ljekovi</w:t>
      </w:r>
    </w:p>
    <w:p w14:paraId="6C8A371B" w14:textId="59A5AB7A" w:rsidR="00926382" w:rsidRPr="00A10D67" w:rsidRDefault="00926382" w:rsidP="00432709">
      <w:pPr>
        <w:jc w:val="both"/>
        <w:rPr>
          <w:sz w:val="22"/>
          <w:szCs w:val="22"/>
          <w:lang w:val="sr-Latn-ME"/>
        </w:rPr>
      </w:pPr>
      <w:r w:rsidRPr="00A10D67">
        <w:rPr>
          <w:sz w:val="22"/>
          <w:szCs w:val="22"/>
          <w:lang w:val="sr-Latn-ME"/>
        </w:rPr>
        <w:t xml:space="preserve">Istovremena primjena </w:t>
      </w:r>
      <w:r w:rsidR="0022433E" w:rsidRPr="00A10D67">
        <w:rPr>
          <w:sz w:val="22"/>
          <w:szCs w:val="22"/>
          <w:lang w:val="sr-Latn-ME"/>
        </w:rPr>
        <w:t>s</w:t>
      </w:r>
      <w:r w:rsidR="00A567C2" w:rsidRPr="00A10D67">
        <w:rPr>
          <w:sz w:val="22"/>
          <w:szCs w:val="22"/>
          <w:lang w:val="sr-Latn-ME"/>
        </w:rPr>
        <w:t>a</w:t>
      </w:r>
      <w:r w:rsidR="0022433E" w:rsidRPr="00A10D67">
        <w:rPr>
          <w:sz w:val="22"/>
          <w:szCs w:val="22"/>
          <w:lang w:val="sr-Latn-ME"/>
        </w:rPr>
        <w:t xml:space="preserve"> drugim antihipertenzivnim ljekovima može dovesti do aditivnog </w:t>
      </w:r>
      <w:r w:rsidRPr="00A10D67">
        <w:rPr>
          <w:sz w:val="22"/>
          <w:szCs w:val="22"/>
          <w:lang w:val="sr-Latn-ME"/>
        </w:rPr>
        <w:t>hipotenzivn</w:t>
      </w:r>
      <w:r w:rsidR="0022433E" w:rsidRPr="00A10D67">
        <w:rPr>
          <w:sz w:val="22"/>
          <w:szCs w:val="22"/>
          <w:lang w:val="sr-Latn-ME"/>
        </w:rPr>
        <w:t>og</w:t>
      </w:r>
      <w:r w:rsidRPr="00A10D67">
        <w:rPr>
          <w:sz w:val="22"/>
          <w:szCs w:val="22"/>
          <w:lang w:val="sr-Latn-ME"/>
        </w:rPr>
        <w:t xml:space="preserve"> efekt</w:t>
      </w:r>
      <w:r w:rsidR="0022433E" w:rsidRPr="00A10D67">
        <w:rPr>
          <w:sz w:val="22"/>
          <w:szCs w:val="22"/>
          <w:lang w:val="sr-Latn-ME"/>
        </w:rPr>
        <w:t>a</w:t>
      </w:r>
      <w:r w:rsidRPr="00A10D67">
        <w:rPr>
          <w:sz w:val="22"/>
          <w:szCs w:val="22"/>
          <w:lang w:val="sr-Latn-ME"/>
        </w:rPr>
        <w:t>. Istovremena primjena gliceriltrinitrata kao i drugih nitrata ili drugih vazodilatatora može još više sniziti krvni pritisak.</w:t>
      </w:r>
    </w:p>
    <w:p w14:paraId="0D71066A" w14:textId="77777777" w:rsidR="00926382" w:rsidRPr="00A10D67" w:rsidRDefault="00926382" w:rsidP="00432709">
      <w:pPr>
        <w:jc w:val="both"/>
        <w:rPr>
          <w:b/>
          <w:sz w:val="22"/>
          <w:szCs w:val="22"/>
          <w:lang w:val="sr-Latn-ME"/>
        </w:rPr>
      </w:pPr>
    </w:p>
    <w:p w14:paraId="5B6CE618" w14:textId="6BD2D26C" w:rsidR="0022433E" w:rsidRPr="00A10D67" w:rsidRDefault="0022433E" w:rsidP="00432709">
      <w:pPr>
        <w:jc w:val="both"/>
        <w:rPr>
          <w:b/>
          <w:sz w:val="22"/>
          <w:szCs w:val="22"/>
          <w:lang w:val="sr-Latn-ME"/>
        </w:rPr>
      </w:pPr>
      <w:r w:rsidRPr="00A10D67">
        <w:rPr>
          <w:b/>
          <w:sz w:val="22"/>
          <w:szCs w:val="22"/>
          <w:lang w:val="sr-Latn-ME"/>
        </w:rPr>
        <w:t>Treba izbjegavati kombinaciju lizinoprila s</w:t>
      </w:r>
      <w:r w:rsidR="00A567C2" w:rsidRPr="00A10D67">
        <w:rPr>
          <w:b/>
          <w:sz w:val="22"/>
          <w:szCs w:val="22"/>
          <w:lang w:val="sr-Latn-ME"/>
        </w:rPr>
        <w:t>a</w:t>
      </w:r>
      <w:r w:rsidRPr="00A10D67">
        <w:rPr>
          <w:b/>
          <w:sz w:val="22"/>
          <w:szCs w:val="22"/>
          <w:lang w:val="sr-Latn-ME"/>
        </w:rPr>
        <w:t xml:space="preserve"> ljekovima koji sadrže aliskiren (vidjeti </w:t>
      </w:r>
      <w:r w:rsidR="00986A20" w:rsidRPr="00A10D67">
        <w:rPr>
          <w:b/>
          <w:sz w:val="22"/>
          <w:szCs w:val="22"/>
          <w:lang w:val="sr-Latn-ME"/>
        </w:rPr>
        <w:t>djelove</w:t>
      </w:r>
      <w:r w:rsidRPr="00A10D67">
        <w:rPr>
          <w:b/>
          <w:sz w:val="22"/>
          <w:szCs w:val="22"/>
          <w:lang w:val="sr-Latn-ME"/>
        </w:rPr>
        <w:t xml:space="preserve"> 4.3 i 4.4).</w:t>
      </w:r>
    </w:p>
    <w:p w14:paraId="723D8201" w14:textId="77777777" w:rsidR="0022433E" w:rsidRPr="00A10D67" w:rsidRDefault="0022433E" w:rsidP="00432709">
      <w:pPr>
        <w:jc w:val="both"/>
        <w:rPr>
          <w:b/>
          <w:sz w:val="22"/>
          <w:szCs w:val="22"/>
          <w:lang w:val="sr-Latn-ME"/>
        </w:rPr>
      </w:pPr>
    </w:p>
    <w:p w14:paraId="2DCCD5FA" w14:textId="3917B05E" w:rsidR="00926382" w:rsidRPr="00A10D67" w:rsidRDefault="00926382" w:rsidP="00432709">
      <w:pPr>
        <w:jc w:val="both"/>
        <w:rPr>
          <w:sz w:val="22"/>
          <w:szCs w:val="22"/>
          <w:lang w:val="sr-Latn-ME"/>
        </w:rPr>
      </w:pPr>
      <w:r w:rsidRPr="00A10D67">
        <w:rPr>
          <w:sz w:val="22"/>
          <w:szCs w:val="22"/>
          <w:lang w:val="sr-Latn-ME"/>
        </w:rPr>
        <w:t>Podaci iz kliničkih ispitivanja pokazali su da je dvostruka blokada renin-angiotenzin-aldosteron sistema (RAAS) sa istovremenom</w:t>
      </w:r>
      <w:r w:rsidR="00432709" w:rsidRPr="00A10D67">
        <w:rPr>
          <w:sz w:val="22"/>
          <w:szCs w:val="22"/>
          <w:lang w:val="sr-Latn-ME"/>
        </w:rPr>
        <w:t xml:space="preserve"> </w:t>
      </w:r>
      <w:r w:rsidRPr="00A10D67">
        <w:rPr>
          <w:sz w:val="22"/>
          <w:szCs w:val="22"/>
          <w:lang w:val="sr-Latn-ME"/>
        </w:rPr>
        <w:t>primjenom ACE-inhibitora, antagonista receptora za angiotenzin II ili aliskirena</w:t>
      </w:r>
      <w:r w:rsidR="00432709" w:rsidRPr="00A10D67">
        <w:rPr>
          <w:sz w:val="22"/>
          <w:szCs w:val="22"/>
          <w:lang w:val="sr-Latn-ME"/>
        </w:rPr>
        <w:t xml:space="preserve"> </w:t>
      </w:r>
      <w:r w:rsidRPr="00A10D67">
        <w:rPr>
          <w:sz w:val="22"/>
          <w:szCs w:val="22"/>
          <w:lang w:val="sr-Latn-ME"/>
        </w:rPr>
        <w:t>povezana sa većom učestalošću neželjenih dejstava kao što su hipotenzija, hiperkalemija i smanjena bubrežna funkcija (uključujući akutnu insuficijenciju</w:t>
      </w:r>
      <w:r w:rsidR="00432709" w:rsidRPr="00A10D67">
        <w:rPr>
          <w:sz w:val="22"/>
          <w:szCs w:val="22"/>
          <w:lang w:val="sr-Latn-ME"/>
        </w:rPr>
        <w:t xml:space="preserve"> </w:t>
      </w:r>
      <w:r w:rsidRPr="00A10D67">
        <w:rPr>
          <w:sz w:val="22"/>
          <w:szCs w:val="22"/>
          <w:lang w:val="sr-Latn-ME"/>
        </w:rPr>
        <w:t xml:space="preserve">bubrega) u poređenju sa primjenom samo jednog lijeka koji djeluje na RAAS (vidjeti </w:t>
      </w:r>
      <w:r w:rsidR="00986A20" w:rsidRPr="00A10D67">
        <w:rPr>
          <w:sz w:val="22"/>
          <w:szCs w:val="22"/>
          <w:lang w:val="sr-Latn-ME"/>
        </w:rPr>
        <w:t>djelove</w:t>
      </w:r>
      <w:r w:rsidRPr="00A10D67">
        <w:rPr>
          <w:sz w:val="22"/>
          <w:szCs w:val="22"/>
          <w:lang w:val="sr-Latn-ME"/>
        </w:rPr>
        <w:t xml:space="preserve"> 4.3., 4.4. i 5.1.).</w:t>
      </w:r>
    </w:p>
    <w:p w14:paraId="26399EEE" w14:textId="77777777" w:rsidR="00926382" w:rsidRPr="00A10D67" w:rsidRDefault="00926382" w:rsidP="00432709">
      <w:pPr>
        <w:jc w:val="both"/>
        <w:rPr>
          <w:b/>
          <w:sz w:val="22"/>
          <w:szCs w:val="22"/>
          <w:lang w:val="sr-Latn-ME"/>
        </w:rPr>
      </w:pPr>
    </w:p>
    <w:p w14:paraId="0B92D267" w14:textId="77777777" w:rsidR="00926382" w:rsidRPr="00A10D67" w:rsidRDefault="00926382" w:rsidP="00432709">
      <w:pPr>
        <w:jc w:val="both"/>
        <w:rPr>
          <w:b/>
          <w:sz w:val="22"/>
          <w:szCs w:val="22"/>
          <w:lang w:val="sr-Latn-ME"/>
        </w:rPr>
      </w:pPr>
      <w:r w:rsidRPr="00A10D67">
        <w:rPr>
          <w:b/>
          <w:sz w:val="22"/>
          <w:szCs w:val="22"/>
          <w:lang w:val="sr-Latn-ME"/>
        </w:rPr>
        <w:t>Ljekovi koji povećavaju rizik od angioedema</w:t>
      </w:r>
    </w:p>
    <w:p w14:paraId="1A9E66E7" w14:textId="5CD5C623" w:rsidR="00926382" w:rsidRPr="00A10D67" w:rsidRDefault="00926382" w:rsidP="00432709">
      <w:pPr>
        <w:jc w:val="both"/>
        <w:rPr>
          <w:sz w:val="22"/>
          <w:szCs w:val="22"/>
          <w:lang w:val="sr-Latn-ME"/>
        </w:rPr>
      </w:pPr>
      <w:r w:rsidRPr="00A10D67">
        <w:rPr>
          <w:sz w:val="22"/>
          <w:szCs w:val="22"/>
          <w:lang w:val="sr-Latn-ME"/>
        </w:rPr>
        <w:t xml:space="preserve">Istovremena primjena ACE-inhibitora sa lijekom sakubitril/valsartan je kontraindikovana jer povećava rizik od angioedema (vidjeti </w:t>
      </w:r>
      <w:r w:rsidR="00986A20" w:rsidRPr="00A10D67">
        <w:rPr>
          <w:sz w:val="22"/>
          <w:szCs w:val="22"/>
          <w:lang w:val="sr-Latn-ME"/>
        </w:rPr>
        <w:t>djelove</w:t>
      </w:r>
      <w:r w:rsidRPr="00A10D67">
        <w:rPr>
          <w:sz w:val="22"/>
          <w:szCs w:val="22"/>
          <w:lang w:val="sr-Latn-ME"/>
        </w:rPr>
        <w:t xml:space="preserve"> 4.3 i 4.4).</w:t>
      </w:r>
    </w:p>
    <w:p w14:paraId="49BB8C76" w14:textId="03782A06" w:rsidR="00986A20" w:rsidRPr="00A10D67" w:rsidRDefault="00926382" w:rsidP="00432709">
      <w:pPr>
        <w:jc w:val="both"/>
        <w:rPr>
          <w:sz w:val="22"/>
          <w:szCs w:val="22"/>
          <w:lang w:val="sr-Latn-ME"/>
        </w:rPr>
      </w:pPr>
      <w:r w:rsidRPr="00A10D67">
        <w:rPr>
          <w:sz w:val="22"/>
          <w:szCs w:val="22"/>
          <w:lang w:val="sr-Latn-ME"/>
        </w:rPr>
        <w:t xml:space="preserve">Istovremena primjena ACE-inhibitora </w:t>
      </w:r>
      <w:r w:rsidR="00C61D74" w:rsidRPr="00A10D67">
        <w:rPr>
          <w:sz w:val="22"/>
          <w:szCs w:val="22"/>
          <w:lang w:val="sr-Latn-ME"/>
        </w:rPr>
        <w:t xml:space="preserve">sa </w:t>
      </w:r>
      <w:r w:rsidRPr="00A10D67">
        <w:rPr>
          <w:sz w:val="22"/>
          <w:szCs w:val="22"/>
          <w:lang w:val="sr-Latn-ME"/>
        </w:rPr>
        <w:t xml:space="preserve">mTOR inhibitorima (npr. sirolimus, everolimus, temsirolimus) </w:t>
      </w:r>
      <w:r w:rsidR="0022433E" w:rsidRPr="00A10D67">
        <w:rPr>
          <w:sz w:val="22"/>
          <w:szCs w:val="22"/>
          <w:lang w:val="sr-Latn-ME"/>
        </w:rPr>
        <w:t xml:space="preserve">ili inhibitorima neutralne endopeptidaze (NEP) (npr. racekadotril), </w:t>
      </w:r>
      <w:r w:rsidRPr="00A10D67">
        <w:rPr>
          <w:sz w:val="22"/>
          <w:szCs w:val="22"/>
          <w:lang w:val="sr-Latn-ME"/>
        </w:rPr>
        <w:t xml:space="preserve">vildagliptinom </w:t>
      </w:r>
      <w:r w:rsidR="0022433E" w:rsidRPr="00A10D67">
        <w:rPr>
          <w:sz w:val="22"/>
          <w:szCs w:val="22"/>
          <w:lang w:val="sr-Latn-ME"/>
        </w:rPr>
        <w:t xml:space="preserve">ili aktivatorima tkivnog plazminogena </w:t>
      </w:r>
      <w:r w:rsidRPr="00A10D67">
        <w:rPr>
          <w:sz w:val="22"/>
          <w:szCs w:val="22"/>
          <w:lang w:val="sr-Latn-ME"/>
        </w:rPr>
        <w:t xml:space="preserve">može povećati rizik od angioedema (vidjeti </w:t>
      </w:r>
      <w:r w:rsidR="00C61D74" w:rsidRPr="00A10D67">
        <w:rPr>
          <w:sz w:val="22"/>
          <w:szCs w:val="22"/>
          <w:lang w:val="sr-Latn-ME"/>
        </w:rPr>
        <w:t>dio</w:t>
      </w:r>
      <w:r w:rsidRPr="00A10D67">
        <w:rPr>
          <w:sz w:val="22"/>
          <w:szCs w:val="22"/>
          <w:lang w:val="sr-Latn-ME"/>
        </w:rPr>
        <w:t xml:space="preserve"> 4.4).</w:t>
      </w:r>
    </w:p>
    <w:p w14:paraId="7477066B" w14:textId="77777777" w:rsidR="00926382" w:rsidRPr="00A10D67" w:rsidRDefault="00926382" w:rsidP="00A10D67">
      <w:pPr>
        <w:jc w:val="both"/>
        <w:rPr>
          <w:lang w:val="sr-Latn-ME"/>
        </w:rPr>
      </w:pPr>
    </w:p>
    <w:p w14:paraId="153E33DB"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Litijum</w:t>
      </w:r>
    </w:p>
    <w:p w14:paraId="62B0087E" w14:textId="70CFBEF1"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Zabilježeni su slučajevi reverzibilno</w:t>
      </w:r>
      <w:r w:rsidR="00A567C2" w:rsidRPr="00A10D67">
        <w:rPr>
          <w:bCs/>
          <w:sz w:val="22"/>
          <w:szCs w:val="22"/>
          <w:lang w:val="sr-Latn-ME"/>
        </w:rPr>
        <w:t>g</w:t>
      </w:r>
      <w:r w:rsidRPr="00A10D67">
        <w:rPr>
          <w:bCs/>
          <w:sz w:val="22"/>
          <w:szCs w:val="22"/>
          <w:lang w:val="sr-Latn-ME"/>
        </w:rPr>
        <w:t xml:space="preserve"> </w:t>
      </w:r>
      <w:r w:rsidR="00A567C2" w:rsidRPr="00A10D67">
        <w:rPr>
          <w:bCs/>
          <w:sz w:val="22"/>
          <w:szCs w:val="22"/>
          <w:lang w:val="sr-Latn-ME"/>
        </w:rPr>
        <w:t xml:space="preserve">povećanja </w:t>
      </w:r>
      <w:r w:rsidRPr="00A10D67">
        <w:rPr>
          <w:bCs/>
          <w:sz w:val="22"/>
          <w:szCs w:val="22"/>
          <w:lang w:val="sr-Latn-ME"/>
        </w:rPr>
        <w:t>koncentracije litijuma u serumu i posljedične</w:t>
      </w:r>
      <w:r w:rsidR="00432709" w:rsidRPr="00A10D67">
        <w:rPr>
          <w:bCs/>
          <w:sz w:val="22"/>
          <w:szCs w:val="22"/>
          <w:lang w:val="sr-Latn-ME"/>
        </w:rPr>
        <w:t xml:space="preserve"> </w:t>
      </w:r>
      <w:r w:rsidRPr="00A10D67">
        <w:rPr>
          <w:bCs/>
          <w:sz w:val="22"/>
          <w:szCs w:val="22"/>
          <w:lang w:val="sr-Latn-ME"/>
        </w:rPr>
        <w:t xml:space="preserve">toksičnosti, tokom istovremene primjene litijuma i ACE-inhibitora. Primjena diuretika i ACE-inhibitora smanjuju bubrežni klirens litijuma što predstavlja visok rizik za nastanak toksičnosti litijuma. Istovremena primjena kombinacije lizinoprila i hidrohlortiazida sa litijumom se zbog toga ne preporučuje, međutim, ukoliko je ona neophodna, potrebna je pažljiva kontrola nivoa litijuma u serumu (vidjeti </w:t>
      </w:r>
      <w:r w:rsidR="00C61D74" w:rsidRPr="00A10D67">
        <w:rPr>
          <w:bCs/>
          <w:sz w:val="22"/>
          <w:szCs w:val="22"/>
          <w:lang w:val="sr-Latn-ME"/>
        </w:rPr>
        <w:t>dio</w:t>
      </w:r>
      <w:r w:rsidRPr="00A10D67">
        <w:rPr>
          <w:bCs/>
          <w:sz w:val="22"/>
          <w:szCs w:val="22"/>
          <w:lang w:val="sr-Latn-ME"/>
        </w:rPr>
        <w:t xml:space="preserve"> 4.4).</w:t>
      </w:r>
    </w:p>
    <w:p w14:paraId="1642AE41"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Dodaci kalijuma, diuretici koji štede kalijum ili zamjena za so koja sadrži kalijum</w:t>
      </w:r>
    </w:p>
    <w:p w14:paraId="1723BD58" w14:textId="3293854B" w:rsidR="00926382" w:rsidRPr="00A10D67" w:rsidRDefault="00746DEE" w:rsidP="00432709">
      <w:pPr>
        <w:autoSpaceDE w:val="0"/>
        <w:autoSpaceDN w:val="0"/>
        <w:adjustRightInd w:val="0"/>
        <w:jc w:val="both"/>
        <w:rPr>
          <w:sz w:val="22"/>
          <w:szCs w:val="22"/>
          <w:lang w:val="sr-Latn-ME"/>
        </w:rPr>
      </w:pPr>
      <w:r w:rsidRPr="00A10D67">
        <w:rPr>
          <w:sz w:val="22"/>
          <w:szCs w:val="22"/>
          <w:lang w:val="sr-Latn-ME"/>
        </w:rPr>
        <w:t xml:space="preserve">Gubitak kalijuma koji nastaje tokom liječenja tiazidnim diureticima obično je smanjen zbog svojstva lizinoprila da štedi kalijum. </w:t>
      </w:r>
      <w:r w:rsidR="00926382" w:rsidRPr="00A10D67">
        <w:rPr>
          <w:bCs/>
          <w:sz w:val="22"/>
          <w:szCs w:val="22"/>
          <w:lang w:val="sr-Latn-ME"/>
        </w:rPr>
        <w:t xml:space="preserve">Iako vrijednosti kalijuma u serumu obično ostaju unutar normalnog opsega, kod nekih pacijenata koji </w:t>
      </w:r>
      <w:r w:rsidR="00A567C2" w:rsidRPr="00A10D67">
        <w:rPr>
          <w:bCs/>
          <w:sz w:val="22"/>
          <w:szCs w:val="22"/>
          <w:lang w:val="sr-Latn-ME"/>
        </w:rPr>
        <w:t xml:space="preserve">uzimaju </w:t>
      </w:r>
      <w:r w:rsidR="00926382" w:rsidRPr="00A10D67">
        <w:rPr>
          <w:bCs/>
          <w:sz w:val="22"/>
          <w:szCs w:val="22"/>
          <w:lang w:val="sr-Latn-ME"/>
        </w:rPr>
        <w:t>lizinopril/hidrohlortiazid može se javiti hiperkalijemija.</w:t>
      </w:r>
      <w:r w:rsidR="00926382" w:rsidRPr="00A10D67">
        <w:rPr>
          <w:sz w:val="22"/>
          <w:szCs w:val="22"/>
          <w:lang w:val="sr-Latn-ME"/>
        </w:rPr>
        <w:t xml:space="preserve"> </w:t>
      </w:r>
      <w:r w:rsidR="00926382" w:rsidRPr="00A10D67">
        <w:rPr>
          <w:bCs/>
          <w:sz w:val="22"/>
          <w:szCs w:val="22"/>
          <w:lang w:val="sr-Latn-ME"/>
        </w:rPr>
        <w:t xml:space="preserve">Diuretici koji </w:t>
      </w:r>
      <w:r w:rsidR="00926382" w:rsidRPr="00A10D67">
        <w:rPr>
          <w:bCs/>
          <w:sz w:val="22"/>
          <w:szCs w:val="22"/>
          <w:lang w:val="sr-Latn-ME"/>
        </w:rPr>
        <w:lastRenderedPageBreak/>
        <w:t>štede kalijum (npr. spironolakton, triamteren ili amilorid), suplementi kalijuma i zamjene za so koje sadrže kalijum mogu u značajnoj mjeri da povećaju koncentracije kalijuma u serumu.</w:t>
      </w:r>
      <w:r w:rsidR="00926382" w:rsidRPr="00A10D67">
        <w:rPr>
          <w:sz w:val="22"/>
          <w:szCs w:val="22"/>
          <w:lang w:val="sr-Latn-ME"/>
        </w:rPr>
        <w:t xml:space="preserve"> </w:t>
      </w:r>
    </w:p>
    <w:p w14:paraId="02C81A0A" w14:textId="6CDD051B" w:rsidR="00746DEE" w:rsidRPr="00A10D67" w:rsidRDefault="00926382" w:rsidP="00432709">
      <w:pPr>
        <w:jc w:val="both"/>
        <w:rPr>
          <w:sz w:val="22"/>
          <w:szCs w:val="22"/>
          <w:lang w:val="sr-Latn-ME"/>
        </w:rPr>
      </w:pPr>
      <w:r w:rsidRPr="00A10D67">
        <w:rPr>
          <w:bCs/>
          <w:sz w:val="22"/>
          <w:szCs w:val="22"/>
          <w:lang w:val="sr-Latn-ME"/>
        </w:rPr>
        <w:t>Potreban je oprez i kada se lizinopril/hidrohlortiazid primjenjuje istovremeno sa drugim ljekovima koji povećavaju</w:t>
      </w:r>
      <w:r w:rsidR="00A567C2" w:rsidRPr="00A10D67">
        <w:rPr>
          <w:bCs/>
          <w:sz w:val="22"/>
          <w:szCs w:val="22"/>
          <w:lang w:val="sr-Latn-ME"/>
        </w:rPr>
        <w:t xml:space="preserve"> </w:t>
      </w:r>
      <w:r w:rsidRPr="00A10D67">
        <w:rPr>
          <w:bCs/>
          <w:sz w:val="22"/>
          <w:szCs w:val="22"/>
          <w:lang w:val="sr-Latn-ME"/>
        </w:rPr>
        <w:t>vrijednosti kalijuma u serumu, kao što su</w:t>
      </w:r>
      <w:r w:rsidR="00A567C2" w:rsidRPr="00A10D67">
        <w:rPr>
          <w:bCs/>
          <w:sz w:val="22"/>
          <w:szCs w:val="22"/>
          <w:lang w:val="sr-Latn-ME"/>
        </w:rPr>
        <w:t xml:space="preserve"> </w:t>
      </w:r>
      <w:r w:rsidRPr="00A10D67">
        <w:rPr>
          <w:bCs/>
          <w:sz w:val="22"/>
          <w:szCs w:val="22"/>
          <w:lang w:val="sr-Latn-ME"/>
        </w:rPr>
        <w:t>trimetoprim i kotrimoksazol (trimetoprim/sulfametoksazol)</w:t>
      </w:r>
      <w:r w:rsidR="00A567C2" w:rsidRPr="00A10D67">
        <w:rPr>
          <w:bCs/>
          <w:sz w:val="22"/>
          <w:szCs w:val="22"/>
          <w:lang w:val="sr-Latn-ME"/>
        </w:rPr>
        <w:t>,</w:t>
      </w:r>
      <w:r w:rsidRPr="00A10D67">
        <w:rPr>
          <w:bCs/>
          <w:sz w:val="22"/>
          <w:szCs w:val="22"/>
          <w:lang w:val="sr-Latn-ME"/>
        </w:rPr>
        <w:t xml:space="preserve"> jer je poznato da trimetoprim djeluje poput diuretika koji štedi kalijum kao što je amilorid. Zbog toga se ne preporučuje kombinovana primjena lizinopril/hidrohlortiazida sa navedenim ljekovima. Ukoliko je zbog hipokalemije indikovana njihova istovremena primjena, treba ih primjenjivati uz oprez i često praćenje koncentracija kalijuma u serumu</w:t>
      </w:r>
      <w:r w:rsidR="00746DEE" w:rsidRPr="00A10D67">
        <w:rPr>
          <w:bCs/>
          <w:sz w:val="22"/>
          <w:szCs w:val="22"/>
          <w:lang w:val="sr-Latn-ME"/>
        </w:rPr>
        <w:t xml:space="preserve"> </w:t>
      </w:r>
      <w:r w:rsidR="00746DEE" w:rsidRPr="00A10D67">
        <w:rPr>
          <w:sz w:val="22"/>
          <w:szCs w:val="22"/>
          <w:lang w:val="sr-Latn-ME"/>
        </w:rPr>
        <w:t xml:space="preserve">(vidjeti </w:t>
      </w:r>
      <w:r w:rsidR="00C61D74" w:rsidRPr="00A10D67">
        <w:rPr>
          <w:sz w:val="22"/>
          <w:szCs w:val="22"/>
          <w:lang w:val="sr-Latn-ME"/>
        </w:rPr>
        <w:t>dio</w:t>
      </w:r>
      <w:r w:rsidR="00746DEE" w:rsidRPr="00A10D67">
        <w:rPr>
          <w:sz w:val="22"/>
          <w:szCs w:val="22"/>
          <w:lang w:val="sr-Latn-ME"/>
        </w:rPr>
        <w:t xml:space="preserve"> 4.4.).</w:t>
      </w:r>
    </w:p>
    <w:p w14:paraId="650B4A9F" w14:textId="77777777" w:rsidR="00926382" w:rsidRPr="00A10D67" w:rsidRDefault="00926382" w:rsidP="00432709">
      <w:pPr>
        <w:autoSpaceDE w:val="0"/>
        <w:autoSpaceDN w:val="0"/>
        <w:adjustRightInd w:val="0"/>
        <w:jc w:val="both"/>
        <w:rPr>
          <w:bCs/>
          <w:sz w:val="22"/>
          <w:szCs w:val="22"/>
          <w:lang w:val="sr-Latn-ME"/>
        </w:rPr>
      </w:pPr>
    </w:p>
    <w:p w14:paraId="6B72041F" w14:textId="77777777" w:rsidR="00746DEE" w:rsidRPr="00A10D67" w:rsidRDefault="00746DEE" w:rsidP="00432709">
      <w:pPr>
        <w:autoSpaceDE w:val="0"/>
        <w:autoSpaceDN w:val="0"/>
        <w:adjustRightInd w:val="0"/>
        <w:jc w:val="both"/>
        <w:rPr>
          <w:b/>
          <w:bCs/>
          <w:i/>
          <w:iCs/>
          <w:sz w:val="22"/>
          <w:szCs w:val="22"/>
          <w:lang w:val="sr-Latn-ME"/>
        </w:rPr>
      </w:pPr>
      <w:r w:rsidRPr="00A10D67">
        <w:rPr>
          <w:b/>
          <w:bCs/>
          <w:sz w:val="22"/>
          <w:szCs w:val="22"/>
          <w:lang w:val="sr-Latn-ME"/>
        </w:rPr>
        <w:t xml:space="preserve">Ljekovi koji izazivaju aritmiju tipa </w:t>
      </w:r>
      <w:r w:rsidRPr="00A10D67">
        <w:rPr>
          <w:b/>
          <w:bCs/>
          <w:i/>
          <w:iCs/>
          <w:sz w:val="22"/>
          <w:szCs w:val="22"/>
          <w:lang w:val="sr-Latn-ME"/>
        </w:rPr>
        <w:t>Torsades de pointes</w:t>
      </w:r>
    </w:p>
    <w:p w14:paraId="101503E3" w14:textId="77777777" w:rsidR="00746DEE" w:rsidRPr="00A10D67" w:rsidRDefault="00746DEE" w:rsidP="00432709">
      <w:pPr>
        <w:autoSpaceDE w:val="0"/>
        <w:autoSpaceDN w:val="0"/>
        <w:adjustRightInd w:val="0"/>
        <w:jc w:val="both"/>
        <w:rPr>
          <w:bCs/>
          <w:sz w:val="22"/>
          <w:szCs w:val="22"/>
          <w:lang w:val="sr-Latn-ME"/>
        </w:rPr>
      </w:pPr>
      <w:r w:rsidRPr="00A10D67">
        <w:rPr>
          <w:bCs/>
          <w:sz w:val="22"/>
          <w:szCs w:val="22"/>
          <w:lang w:val="sr-Latn-ME"/>
        </w:rPr>
        <w:t xml:space="preserve">Zbog rizika od nastanka hipokalijemije, neopodan je oprez prilikom istovremene primjene hidrohlortiazida i ljekova koji izazivaju aritmiju tipa </w:t>
      </w:r>
      <w:r w:rsidRPr="00A10D67">
        <w:rPr>
          <w:bCs/>
          <w:i/>
          <w:sz w:val="22"/>
          <w:szCs w:val="22"/>
          <w:lang w:val="sr-Latn-ME"/>
        </w:rPr>
        <w:t>Torsades de pointes</w:t>
      </w:r>
      <w:r w:rsidRPr="00A10D67">
        <w:rPr>
          <w:bCs/>
          <w:sz w:val="22"/>
          <w:szCs w:val="22"/>
          <w:lang w:val="sr-Latn-ME"/>
        </w:rPr>
        <w:t xml:space="preserve"> (npr. neki antiaritmici, antipsihotici i drugi ljekovi za koje se zna da izazivaju </w:t>
      </w:r>
      <w:r w:rsidRPr="00A10D67">
        <w:rPr>
          <w:bCs/>
          <w:i/>
          <w:sz w:val="22"/>
          <w:szCs w:val="22"/>
          <w:lang w:val="sr-Latn-ME"/>
        </w:rPr>
        <w:t>Torsades de pointes</w:t>
      </w:r>
      <w:r w:rsidRPr="00A10D67">
        <w:rPr>
          <w:bCs/>
          <w:sz w:val="22"/>
          <w:szCs w:val="22"/>
          <w:lang w:val="sr-Latn-ME"/>
        </w:rPr>
        <w:t xml:space="preserve"> ).</w:t>
      </w:r>
    </w:p>
    <w:p w14:paraId="591AF786" w14:textId="77777777" w:rsidR="00746DEE" w:rsidRPr="00A10D67" w:rsidRDefault="00746DEE" w:rsidP="00432709">
      <w:pPr>
        <w:autoSpaceDE w:val="0"/>
        <w:autoSpaceDN w:val="0"/>
        <w:adjustRightInd w:val="0"/>
        <w:jc w:val="both"/>
        <w:rPr>
          <w:b/>
          <w:bCs/>
          <w:sz w:val="22"/>
          <w:szCs w:val="22"/>
          <w:lang w:val="sr-Latn-ME"/>
        </w:rPr>
      </w:pPr>
    </w:p>
    <w:p w14:paraId="58662B6A" w14:textId="77777777" w:rsidR="00746DEE" w:rsidRPr="00A10D67" w:rsidRDefault="00746DEE" w:rsidP="00432709">
      <w:pPr>
        <w:autoSpaceDE w:val="0"/>
        <w:autoSpaceDN w:val="0"/>
        <w:adjustRightInd w:val="0"/>
        <w:jc w:val="both"/>
        <w:rPr>
          <w:b/>
          <w:bCs/>
          <w:sz w:val="22"/>
          <w:szCs w:val="22"/>
          <w:lang w:val="sr-Latn-ME"/>
        </w:rPr>
      </w:pPr>
      <w:r w:rsidRPr="00A10D67">
        <w:rPr>
          <w:b/>
          <w:bCs/>
          <w:sz w:val="22"/>
          <w:szCs w:val="22"/>
          <w:lang w:val="sr-Latn-ME"/>
        </w:rPr>
        <w:t>Triciklični antidepresivi/antipsihotici/anestetici</w:t>
      </w:r>
    </w:p>
    <w:p w14:paraId="629C556D" w14:textId="7619C9D4" w:rsidR="00746DEE" w:rsidRPr="00A10D67" w:rsidRDefault="00746DEE" w:rsidP="00432709">
      <w:pPr>
        <w:autoSpaceDE w:val="0"/>
        <w:autoSpaceDN w:val="0"/>
        <w:adjustRightInd w:val="0"/>
        <w:jc w:val="both"/>
        <w:rPr>
          <w:bCs/>
          <w:sz w:val="22"/>
          <w:szCs w:val="22"/>
          <w:lang w:val="sr-Latn-ME"/>
        </w:rPr>
      </w:pPr>
      <w:r w:rsidRPr="00A10D67">
        <w:rPr>
          <w:bCs/>
          <w:sz w:val="22"/>
          <w:szCs w:val="22"/>
          <w:lang w:val="sr-Latn-ME"/>
        </w:rPr>
        <w:t xml:space="preserve">Istovremena primjena nekih anestetika, tricikličnih antidepresiva ili antipsihotika sa ACE-inhibitorima može prouzrokovati još dalje sniženje vrijednosti krvnog pritiska (vidjeti </w:t>
      </w:r>
      <w:r w:rsidR="00C61D74" w:rsidRPr="00A10D67">
        <w:rPr>
          <w:bCs/>
          <w:sz w:val="22"/>
          <w:szCs w:val="22"/>
          <w:lang w:val="sr-Latn-ME"/>
        </w:rPr>
        <w:t>dio</w:t>
      </w:r>
      <w:r w:rsidRPr="00A10D67">
        <w:rPr>
          <w:bCs/>
          <w:sz w:val="22"/>
          <w:szCs w:val="22"/>
          <w:lang w:val="sr-Latn-ME"/>
        </w:rPr>
        <w:t xml:space="preserve"> 4.4).</w:t>
      </w:r>
    </w:p>
    <w:p w14:paraId="0DBD25AE" w14:textId="77777777" w:rsidR="00746DEE" w:rsidRPr="00A10D67" w:rsidRDefault="00746DEE" w:rsidP="00432709">
      <w:pPr>
        <w:autoSpaceDE w:val="0"/>
        <w:autoSpaceDN w:val="0"/>
        <w:adjustRightInd w:val="0"/>
        <w:jc w:val="both"/>
        <w:rPr>
          <w:b/>
          <w:bCs/>
          <w:sz w:val="22"/>
          <w:szCs w:val="22"/>
          <w:lang w:val="sr-Latn-ME"/>
        </w:rPr>
      </w:pPr>
    </w:p>
    <w:p w14:paraId="7DE2EB54" w14:textId="5660AEF1" w:rsidR="00746DEE" w:rsidRPr="00A10D67" w:rsidRDefault="00746DEE" w:rsidP="00432709">
      <w:pPr>
        <w:autoSpaceDE w:val="0"/>
        <w:autoSpaceDN w:val="0"/>
        <w:adjustRightInd w:val="0"/>
        <w:jc w:val="both"/>
        <w:rPr>
          <w:b/>
          <w:bCs/>
          <w:sz w:val="22"/>
          <w:szCs w:val="22"/>
          <w:lang w:val="sr-Latn-ME"/>
        </w:rPr>
      </w:pPr>
      <w:r w:rsidRPr="00A10D67">
        <w:rPr>
          <w:b/>
          <w:bCs/>
          <w:sz w:val="22"/>
          <w:szCs w:val="22"/>
          <w:lang w:val="sr-Latn-ME"/>
        </w:rPr>
        <w:t>Nesteroidni antiinflamatorni</w:t>
      </w:r>
      <w:r w:rsidR="00432709" w:rsidRPr="00A10D67">
        <w:rPr>
          <w:b/>
          <w:bCs/>
          <w:sz w:val="22"/>
          <w:szCs w:val="22"/>
          <w:lang w:val="sr-Latn-ME"/>
        </w:rPr>
        <w:t xml:space="preserve"> </w:t>
      </w:r>
      <w:r w:rsidRPr="00A10D67">
        <w:rPr>
          <w:b/>
          <w:bCs/>
          <w:sz w:val="22"/>
          <w:szCs w:val="22"/>
          <w:lang w:val="sr-Latn-ME"/>
        </w:rPr>
        <w:t>ljekovi</w:t>
      </w:r>
      <w:r w:rsidR="00A567C2" w:rsidRPr="00A10D67">
        <w:rPr>
          <w:b/>
          <w:bCs/>
          <w:sz w:val="22"/>
          <w:szCs w:val="22"/>
          <w:lang w:val="sr-Latn-ME"/>
        </w:rPr>
        <w:t>,</w:t>
      </w:r>
      <w:r w:rsidRPr="00A10D67">
        <w:rPr>
          <w:b/>
          <w:bCs/>
          <w:sz w:val="22"/>
          <w:szCs w:val="22"/>
          <w:lang w:val="sr-Latn-ME"/>
        </w:rPr>
        <w:t xml:space="preserve"> uključujući acetilsalicilnu kiselinu</w:t>
      </w:r>
    </w:p>
    <w:p w14:paraId="056AEC6E" w14:textId="28C20046" w:rsidR="00746DEE" w:rsidRPr="00A10D67" w:rsidRDefault="00746DEE" w:rsidP="00432709">
      <w:pPr>
        <w:autoSpaceDE w:val="0"/>
        <w:autoSpaceDN w:val="0"/>
        <w:adjustRightInd w:val="0"/>
        <w:jc w:val="both"/>
        <w:rPr>
          <w:bCs/>
          <w:sz w:val="22"/>
          <w:szCs w:val="22"/>
          <w:lang w:val="sr-Latn-ME"/>
        </w:rPr>
      </w:pPr>
      <w:r w:rsidRPr="00A10D67">
        <w:rPr>
          <w:bCs/>
          <w:sz w:val="22"/>
          <w:szCs w:val="22"/>
          <w:lang w:val="sr-Latn-ME"/>
        </w:rPr>
        <w:t>Hronična primjena nesteroidnih antiinflamatornih ljekova (selektivni COX-2 inhibitori, acetilsalicilna kiselina u dozi</w:t>
      </w:r>
      <w:r w:rsidR="00C61D74" w:rsidRPr="00A10D67">
        <w:rPr>
          <w:bCs/>
          <w:sz w:val="22"/>
          <w:szCs w:val="22"/>
          <w:lang w:val="sr-Latn-ME"/>
        </w:rPr>
        <w:t xml:space="preserve"> </w:t>
      </w:r>
      <w:r w:rsidRPr="00A10D67">
        <w:rPr>
          <w:bCs/>
          <w:sz w:val="22"/>
          <w:szCs w:val="22"/>
          <w:lang w:val="sr-Latn-ME"/>
        </w:rPr>
        <w:t>&gt;</w:t>
      </w:r>
      <w:r w:rsidR="00C61D74" w:rsidRPr="00A10D67">
        <w:rPr>
          <w:bCs/>
          <w:sz w:val="22"/>
          <w:szCs w:val="22"/>
          <w:lang w:val="sr-Latn-ME"/>
        </w:rPr>
        <w:t xml:space="preserve"> </w:t>
      </w:r>
      <w:r w:rsidRPr="00A10D67">
        <w:rPr>
          <w:bCs/>
          <w:sz w:val="22"/>
          <w:szCs w:val="22"/>
          <w:lang w:val="sr-Latn-ME"/>
        </w:rPr>
        <w:t>3 g/dan i neselektivni NSAIL ) može smanjiti antihipertenzivno i diuretsko dejstvo ACE-inhibitora i tiazidnih diuretika.</w:t>
      </w:r>
      <w:r w:rsidR="00A567C2" w:rsidRPr="00A10D67">
        <w:rPr>
          <w:bCs/>
          <w:sz w:val="22"/>
          <w:szCs w:val="22"/>
          <w:lang w:val="sr-Latn-ME"/>
        </w:rPr>
        <w:t xml:space="preserve"> </w:t>
      </w:r>
      <w:r w:rsidRPr="00A10D67">
        <w:rPr>
          <w:bCs/>
          <w:sz w:val="22"/>
          <w:szCs w:val="22"/>
          <w:lang w:val="sr-Latn-ME"/>
        </w:rPr>
        <w:t>Istovremenom primjenom ACE-inhibitora i nesteroidnih antiinflamatornih ljekova</w:t>
      </w:r>
      <w:r w:rsidR="00432709" w:rsidRPr="00A10D67">
        <w:rPr>
          <w:bCs/>
          <w:sz w:val="22"/>
          <w:szCs w:val="22"/>
          <w:lang w:val="sr-Latn-ME"/>
        </w:rPr>
        <w:t xml:space="preserve"> </w:t>
      </w:r>
      <w:r w:rsidRPr="00A10D67">
        <w:rPr>
          <w:bCs/>
          <w:sz w:val="22"/>
          <w:szCs w:val="22"/>
          <w:lang w:val="sr-Latn-ME"/>
        </w:rPr>
        <w:t>dolazi do</w:t>
      </w:r>
      <w:r w:rsidR="00432709" w:rsidRPr="00A10D67">
        <w:rPr>
          <w:bCs/>
          <w:sz w:val="22"/>
          <w:szCs w:val="22"/>
          <w:lang w:val="sr-Latn-ME"/>
        </w:rPr>
        <w:t xml:space="preserve"> </w:t>
      </w:r>
      <w:r w:rsidRPr="00A10D67">
        <w:rPr>
          <w:bCs/>
          <w:sz w:val="22"/>
          <w:szCs w:val="22"/>
          <w:lang w:val="sr-Latn-ME"/>
        </w:rPr>
        <w:t xml:space="preserve"> aditivnog dejstva na povećanje nivoa kalijuma u serumu, što može rezultirati pogoršanjem</w:t>
      </w:r>
      <w:r w:rsidR="00432709" w:rsidRPr="00A10D67">
        <w:rPr>
          <w:bCs/>
          <w:sz w:val="22"/>
          <w:szCs w:val="22"/>
          <w:lang w:val="sr-Latn-ME"/>
        </w:rPr>
        <w:t xml:space="preserve"> </w:t>
      </w:r>
      <w:r w:rsidRPr="00A10D67">
        <w:rPr>
          <w:bCs/>
          <w:sz w:val="22"/>
          <w:szCs w:val="22"/>
          <w:lang w:val="sr-Latn-ME"/>
        </w:rPr>
        <w:t>bubrežne funkcije. Spomenuta dejstva su</w:t>
      </w:r>
      <w:r w:rsidR="00432709" w:rsidRPr="00A10D67">
        <w:rPr>
          <w:bCs/>
          <w:sz w:val="22"/>
          <w:szCs w:val="22"/>
          <w:lang w:val="sr-Latn-ME"/>
        </w:rPr>
        <w:t xml:space="preserve"> </w:t>
      </w:r>
      <w:r w:rsidRPr="00A10D67">
        <w:rPr>
          <w:bCs/>
          <w:sz w:val="22"/>
          <w:szCs w:val="22"/>
          <w:lang w:val="sr-Latn-ME"/>
        </w:rPr>
        <w:t>obično</w:t>
      </w:r>
      <w:r w:rsidR="00432709" w:rsidRPr="00A10D67">
        <w:rPr>
          <w:bCs/>
          <w:sz w:val="22"/>
          <w:szCs w:val="22"/>
          <w:lang w:val="sr-Latn-ME"/>
        </w:rPr>
        <w:t xml:space="preserve"> </w:t>
      </w:r>
      <w:r w:rsidRPr="00A10D67">
        <w:rPr>
          <w:bCs/>
          <w:sz w:val="22"/>
          <w:szCs w:val="22"/>
          <w:lang w:val="sr-Latn-ME"/>
        </w:rPr>
        <w:t>reverzibilna. Rijetko može doći i do akutne bubrežne insuficijencije, posebno kod pacijenata sa već poremećenom funkcijom bubrega, kao što su stariji ili dehidrirani pacijenti.</w:t>
      </w:r>
    </w:p>
    <w:p w14:paraId="03CF2404" w14:textId="77777777" w:rsidR="00746DEE" w:rsidRPr="00A10D67" w:rsidRDefault="00746DEE" w:rsidP="00432709">
      <w:pPr>
        <w:autoSpaceDE w:val="0"/>
        <w:autoSpaceDN w:val="0"/>
        <w:adjustRightInd w:val="0"/>
        <w:jc w:val="both"/>
        <w:rPr>
          <w:b/>
          <w:bCs/>
          <w:sz w:val="22"/>
          <w:szCs w:val="22"/>
          <w:lang w:val="sr-Latn-ME"/>
        </w:rPr>
      </w:pPr>
    </w:p>
    <w:p w14:paraId="0C82E3C0" w14:textId="77777777" w:rsidR="00746DEE" w:rsidRPr="00A10D67" w:rsidRDefault="00746DEE" w:rsidP="00432709">
      <w:pPr>
        <w:autoSpaceDE w:val="0"/>
        <w:autoSpaceDN w:val="0"/>
        <w:adjustRightInd w:val="0"/>
        <w:jc w:val="both"/>
        <w:rPr>
          <w:b/>
          <w:bCs/>
          <w:sz w:val="22"/>
          <w:szCs w:val="22"/>
          <w:lang w:val="sr-Latn-ME"/>
        </w:rPr>
      </w:pPr>
      <w:r w:rsidRPr="00A10D67">
        <w:rPr>
          <w:b/>
          <w:bCs/>
          <w:sz w:val="22"/>
          <w:szCs w:val="22"/>
          <w:lang w:val="sr-Latn-ME"/>
        </w:rPr>
        <w:t>Zlato</w:t>
      </w:r>
    </w:p>
    <w:p w14:paraId="74EA568C" w14:textId="2C809F30" w:rsidR="00746DEE" w:rsidRPr="00A10D67" w:rsidRDefault="00746DEE" w:rsidP="00432709">
      <w:pPr>
        <w:autoSpaceDE w:val="0"/>
        <w:autoSpaceDN w:val="0"/>
        <w:adjustRightInd w:val="0"/>
        <w:jc w:val="both"/>
        <w:rPr>
          <w:bCs/>
          <w:sz w:val="22"/>
          <w:szCs w:val="22"/>
          <w:lang w:val="sr-Latn-ME"/>
        </w:rPr>
      </w:pPr>
      <w:r w:rsidRPr="00A10D67">
        <w:rPr>
          <w:bCs/>
          <w:sz w:val="22"/>
          <w:szCs w:val="22"/>
          <w:lang w:val="sr-Latn-ME"/>
        </w:rPr>
        <w:t>Nitroidna reakcija (simptomi vazodilatacije, uključujući crvenilo lica, mučninu, vrtoglavicu i hipotenziju, koja može biti veoma teška) nakon parenteralne primjene zlata (npr. natrijum aurotiomalat) zab</w:t>
      </w:r>
      <w:r w:rsidR="00A567C2" w:rsidRPr="00A10D67">
        <w:rPr>
          <w:bCs/>
          <w:sz w:val="22"/>
          <w:szCs w:val="22"/>
          <w:lang w:val="sr-Latn-ME"/>
        </w:rPr>
        <w:t>i</w:t>
      </w:r>
      <w:r w:rsidRPr="00A10D67">
        <w:rPr>
          <w:bCs/>
          <w:sz w:val="22"/>
          <w:szCs w:val="22"/>
          <w:lang w:val="sr-Latn-ME"/>
        </w:rPr>
        <w:t>lježena je češće kod pacijenata koji su istovremeno primali i ACE-inhibitore.</w:t>
      </w:r>
    </w:p>
    <w:p w14:paraId="5D072893" w14:textId="77777777" w:rsidR="00746DEE" w:rsidRPr="00A10D67" w:rsidRDefault="00746DEE" w:rsidP="00432709">
      <w:pPr>
        <w:autoSpaceDE w:val="0"/>
        <w:autoSpaceDN w:val="0"/>
        <w:adjustRightInd w:val="0"/>
        <w:jc w:val="both"/>
        <w:rPr>
          <w:b/>
          <w:bCs/>
          <w:sz w:val="22"/>
          <w:szCs w:val="22"/>
          <w:lang w:val="sr-Latn-ME"/>
        </w:rPr>
      </w:pPr>
    </w:p>
    <w:p w14:paraId="1F753BF3" w14:textId="77777777" w:rsidR="00746DEE" w:rsidRPr="00A10D67" w:rsidRDefault="00746DEE" w:rsidP="00432709">
      <w:pPr>
        <w:autoSpaceDE w:val="0"/>
        <w:autoSpaceDN w:val="0"/>
        <w:adjustRightInd w:val="0"/>
        <w:jc w:val="both"/>
        <w:rPr>
          <w:b/>
          <w:bCs/>
          <w:sz w:val="22"/>
          <w:szCs w:val="22"/>
          <w:lang w:val="sr-Latn-ME"/>
        </w:rPr>
      </w:pPr>
      <w:r w:rsidRPr="00A10D67">
        <w:rPr>
          <w:b/>
          <w:bCs/>
          <w:sz w:val="22"/>
          <w:szCs w:val="22"/>
          <w:lang w:val="sr-Latn-ME"/>
        </w:rPr>
        <w:t>Simpatomimetici</w:t>
      </w:r>
    </w:p>
    <w:p w14:paraId="3A2BE939" w14:textId="35915266" w:rsidR="00746DEE" w:rsidRPr="00A10D67" w:rsidRDefault="00746DEE" w:rsidP="00432709">
      <w:pPr>
        <w:jc w:val="both"/>
        <w:rPr>
          <w:sz w:val="22"/>
          <w:szCs w:val="22"/>
          <w:lang w:val="sr-Latn-ME"/>
        </w:rPr>
      </w:pPr>
      <w:r w:rsidRPr="00A10D67">
        <w:rPr>
          <w:bCs/>
          <w:sz w:val="22"/>
          <w:szCs w:val="22"/>
          <w:lang w:val="sr-Latn-ME"/>
        </w:rPr>
        <w:t xml:space="preserve">Simpatomimetici mogu smanjiti antihipertenzivno dejstvo ACE-inhibitora. </w:t>
      </w:r>
      <w:r w:rsidRPr="00A10D67">
        <w:rPr>
          <w:sz w:val="22"/>
          <w:szCs w:val="22"/>
          <w:lang w:val="sr-Latn-ME"/>
        </w:rPr>
        <w:t>Tiazidi mogu smanjiti arterijski odgovor</w:t>
      </w:r>
      <w:r w:rsidR="00432709" w:rsidRPr="00A10D67">
        <w:rPr>
          <w:sz w:val="22"/>
          <w:szCs w:val="22"/>
          <w:lang w:val="sr-Latn-ME"/>
        </w:rPr>
        <w:t xml:space="preserve"> </w:t>
      </w:r>
      <w:r w:rsidRPr="00A10D67">
        <w:rPr>
          <w:sz w:val="22"/>
          <w:szCs w:val="22"/>
          <w:lang w:val="sr-Latn-ME"/>
        </w:rPr>
        <w:t>na noradrenalin, ali nedovoljno za sprečavanje terapijske efikasnosti lijeka.</w:t>
      </w:r>
    </w:p>
    <w:p w14:paraId="6F898C13" w14:textId="419EF910" w:rsidR="00746DEE" w:rsidRPr="00A10D67" w:rsidRDefault="00746DEE" w:rsidP="00432709">
      <w:pPr>
        <w:tabs>
          <w:tab w:val="left" w:pos="7025"/>
        </w:tabs>
        <w:autoSpaceDE w:val="0"/>
        <w:autoSpaceDN w:val="0"/>
        <w:adjustRightInd w:val="0"/>
        <w:jc w:val="both"/>
        <w:rPr>
          <w:bCs/>
          <w:sz w:val="22"/>
          <w:szCs w:val="22"/>
          <w:lang w:val="sr-Latn-ME"/>
        </w:rPr>
      </w:pPr>
    </w:p>
    <w:p w14:paraId="196FC06F" w14:textId="2312EC26" w:rsidR="004F4181" w:rsidRPr="00A10D67" w:rsidRDefault="004F4181" w:rsidP="00A10D67">
      <w:pPr>
        <w:autoSpaceDE w:val="0"/>
        <w:autoSpaceDN w:val="0"/>
        <w:adjustRightInd w:val="0"/>
        <w:jc w:val="both"/>
        <w:rPr>
          <w:bCs/>
          <w:sz w:val="22"/>
          <w:szCs w:val="22"/>
          <w:lang w:val="sr-Latn-ME"/>
        </w:rPr>
      </w:pPr>
      <w:r w:rsidRPr="00A10D67">
        <w:rPr>
          <w:b/>
          <w:bCs/>
          <w:sz w:val="22"/>
          <w:szCs w:val="22"/>
          <w:lang w:val="sr-Latn-ME"/>
        </w:rPr>
        <w:t xml:space="preserve">Antidijabetici </w:t>
      </w:r>
    </w:p>
    <w:p w14:paraId="52B5BE99" w14:textId="6DFA7E28" w:rsidR="004F4181" w:rsidRPr="00A10D67" w:rsidRDefault="004F4181" w:rsidP="00432709">
      <w:pPr>
        <w:jc w:val="both"/>
        <w:rPr>
          <w:sz w:val="22"/>
          <w:szCs w:val="22"/>
          <w:lang w:val="sr-Latn-ME"/>
        </w:rPr>
      </w:pPr>
      <w:r w:rsidRPr="00A10D67">
        <w:rPr>
          <w:sz w:val="22"/>
          <w:szCs w:val="22"/>
          <w:lang w:val="sr-Latn-ME"/>
        </w:rPr>
        <w:t>Liječenje tiazidnim diureticima može smanjiti toleranciju na glukozu. Ova pojava se smatra vjero</w:t>
      </w:r>
      <w:r w:rsidR="00A567C2" w:rsidRPr="00A10D67">
        <w:rPr>
          <w:sz w:val="22"/>
          <w:szCs w:val="22"/>
          <w:lang w:val="sr-Latn-ME"/>
        </w:rPr>
        <w:t>v</w:t>
      </w:r>
      <w:r w:rsidRPr="00A10D67">
        <w:rPr>
          <w:sz w:val="22"/>
          <w:szCs w:val="22"/>
          <w:lang w:val="sr-Latn-ME"/>
        </w:rPr>
        <w:t>atnijom tokom prvih nedjelja kombinovanog liječenja i kod pacijenata s oštećenjem bubrega. Potreba za drugim antidijabeticima, uključujući in</w:t>
      </w:r>
      <w:r w:rsidR="00A567C2" w:rsidRPr="00A10D67">
        <w:rPr>
          <w:sz w:val="22"/>
          <w:szCs w:val="22"/>
          <w:lang w:val="sr-Latn-ME"/>
        </w:rPr>
        <w:t>s</w:t>
      </w:r>
      <w:r w:rsidRPr="00A10D67">
        <w:rPr>
          <w:sz w:val="22"/>
          <w:szCs w:val="22"/>
          <w:lang w:val="sr-Latn-ME"/>
        </w:rPr>
        <w:t>ulin, kod pacijenata s</w:t>
      </w:r>
      <w:r w:rsidR="00A567C2" w:rsidRPr="00A10D67">
        <w:rPr>
          <w:sz w:val="22"/>
          <w:szCs w:val="22"/>
          <w:lang w:val="sr-Latn-ME"/>
        </w:rPr>
        <w:t>a</w:t>
      </w:r>
      <w:r w:rsidRPr="00A10D67">
        <w:rPr>
          <w:sz w:val="22"/>
          <w:szCs w:val="22"/>
          <w:lang w:val="sr-Latn-ME"/>
        </w:rPr>
        <w:t xml:space="preserve"> dijabetesom može biti povećana, snižena ili nepromijenjena.</w:t>
      </w:r>
    </w:p>
    <w:p w14:paraId="215DD1EB" w14:textId="77777777" w:rsidR="004F4181" w:rsidRPr="00A10D67" w:rsidRDefault="004F4181" w:rsidP="00432709">
      <w:pPr>
        <w:jc w:val="both"/>
        <w:rPr>
          <w:sz w:val="22"/>
          <w:szCs w:val="22"/>
          <w:lang w:val="sr-Latn-ME"/>
        </w:rPr>
      </w:pPr>
    </w:p>
    <w:p w14:paraId="274AF226" w14:textId="5BDA18DD" w:rsidR="004F4181" w:rsidRPr="00A10D67" w:rsidRDefault="004F4181" w:rsidP="00432709">
      <w:pPr>
        <w:jc w:val="both"/>
        <w:rPr>
          <w:sz w:val="22"/>
          <w:szCs w:val="22"/>
          <w:lang w:val="sr-Latn-ME"/>
        </w:rPr>
      </w:pPr>
      <w:r w:rsidRPr="00A10D67">
        <w:rPr>
          <w:sz w:val="22"/>
          <w:szCs w:val="22"/>
          <w:lang w:val="sr-Latn-ME"/>
        </w:rPr>
        <w:t>Tiazidi mogu pojačati hiperglikemijski efekat diazoksida.</w:t>
      </w:r>
    </w:p>
    <w:p w14:paraId="36E4AF70" w14:textId="77777777" w:rsidR="004F4181" w:rsidRPr="00A10D67" w:rsidRDefault="004F4181" w:rsidP="00432709">
      <w:pPr>
        <w:tabs>
          <w:tab w:val="left" w:pos="540"/>
          <w:tab w:val="left" w:pos="569"/>
        </w:tabs>
        <w:jc w:val="both"/>
        <w:rPr>
          <w:bCs/>
          <w:sz w:val="22"/>
          <w:szCs w:val="22"/>
          <w:lang w:val="sr-Latn-ME"/>
        </w:rPr>
      </w:pPr>
    </w:p>
    <w:p w14:paraId="3591DD0F" w14:textId="27FA2029" w:rsidR="00F70302" w:rsidRPr="00A10D67" w:rsidRDefault="004F4181" w:rsidP="00432709">
      <w:pPr>
        <w:autoSpaceDE w:val="0"/>
        <w:autoSpaceDN w:val="0"/>
        <w:adjustRightInd w:val="0"/>
        <w:jc w:val="both"/>
        <w:rPr>
          <w:bCs/>
          <w:sz w:val="22"/>
          <w:szCs w:val="22"/>
          <w:lang w:val="sr-Latn-ME"/>
        </w:rPr>
      </w:pPr>
      <w:r w:rsidRPr="00A10D67">
        <w:rPr>
          <w:b/>
          <w:bCs/>
          <w:sz w:val="22"/>
          <w:szCs w:val="22"/>
          <w:lang w:val="sr-Latn-ME"/>
        </w:rPr>
        <w:t>Amfotericin B (parenteralno), karbenoksolon, kortikosteroidi, kortikotropin (ACTH) ili stimulišući laksativi</w:t>
      </w:r>
    </w:p>
    <w:p w14:paraId="04452EBF" w14:textId="6CF8F0D5" w:rsidR="00F90408" w:rsidRPr="00A10D67" w:rsidRDefault="00F90408" w:rsidP="00432709">
      <w:pPr>
        <w:jc w:val="both"/>
        <w:rPr>
          <w:sz w:val="22"/>
          <w:szCs w:val="22"/>
          <w:lang w:val="sr-Latn-ME"/>
        </w:rPr>
      </w:pPr>
      <w:r w:rsidRPr="00A10D67">
        <w:rPr>
          <w:sz w:val="22"/>
          <w:szCs w:val="22"/>
          <w:lang w:val="sr-Latn-ME"/>
        </w:rPr>
        <w:t>Uticaj hidrohlortiazida na smanjenje nivoa kalijuma može biti potenciran primjenom ljekova povezanih s</w:t>
      </w:r>
      <w:r w:rsidR="00A567C2" w:rsidRPr="00A10D67">
        <w:rPr>
          <w:sz w:val="22"/>
          <w:szCs w:val="22"/>
          <w:lang w:val="sr-Latn-ME"/>
        </w:rPr>
        <w:t>a</w:t>
      </w:r>
      <w:r w:rsidRPr="00A10D67">
        <w:rPr>
          <w:sz w:val="22"/>
          <w:szCs w:val="22"/>
          <w:lang w:val="sr-Latn-ME"/>
        </w:rPr>
        <w:t xml:space="preserve"> gubitkom kalijuma i hipokalijemijom (npr. ostali diuretici koji ne štede kalijum, laksativi, amfotericin, karbenoksolon, salicilna kiselina i derivati).</w:t>
      </w:r>
    </w:p>
    <w:p w14:paraId="6D1EF78D" w14:textId="77777777" w:rsidR="00F90408" w:rsidRPr="00A10D67" w:rsidRDefault="00F90408" w:rsidP="00432709">
      <w:pPr>
        <w:jc w:val="both"/>
        <w:rPr>
          <w:sz w:val="22"/>
          <w:szCs w:val="22"/>
          <w:lang w:val="sr-Latn-ME"/>
        </w:rPr>
      </w:pPr>
    </w:p>
    <w:p w14:paraId="7C4800C8" w14:textId="6E3F8C72" w:rsidR="004F4181" w:rsidRPr="00A10D67" w:rsidRDefault="00F90408" w:rsidP="00432709">
      <w:pPr>
        <w:jc w:val="both"/>
        <w:rPr>
          <w:b/>
          <w:bCs/>
          <w:sz w:val="22"/>
          <w:szCs w:val="22"/>
          <w:lang w:val="sr-Latn-ME"/>
        </w:rPr>
      </w:pPr>
      <w:r w:rsidRPr="00A10D67">
        <w:rPr>
          <w:sz w:val="22"/>
          <w:szCs w:val="22"/>
          <w:lang w:val="sr-Latn-ME"/>
        </w:rPr>
        <w:t>Hipokalemija se može pojaviti prilikom istovremene primjene steroida ili adrenokortikotropnog hormona (ACTH).</w:t>
      </w:r>
      <w:r w:rsidRPr="00A10D67">
        <w:rPr>
          <w:sz w:val="22"/>
          <w:szCs w:val="22"/>
          <w:lang w:val="sr-Latn-ME"/>
        </w:rPr>
        <w:cr/>
      </w:r>
    </w:p>
    <w:p w14:paraId="7DD7C8D7" w14:textId="77777777" w:rsidR="00513068" w:rsidRPr="00A10D67" w:rsidRDefault="00513068" w:rsidP="00432709">
      <w:pPr>
        <w:autoSpaceDE w:val="0"/>
        <w:autoSpaceDN w:val="0"/>
        <w:adjustRightInd w:val="0"/>
        <w:jc w:val="both"/>
        <w:rPr>
          <w:b/>
          <w:bCs/>
          <w:sz w:val="22"/>
          <w:szCs w:val="22"/>
          <w:lang w:val="sr-Latn-ME"/>
        </w:rPr>
      </w:pPr>
      <w:r w:rsidRPr="00A10D67">
        <w:rPr>
          <w:b/>
          <w:bCs/>
          <w:sz w:val="22"/>
          <w:szCs w:val="22"/>
          <w:lang w:val="sr-Latn-ME"/>
        </w:rPr>
        <w:t>Soli kalcijuma</w:t>
      </w:r>
    </w:p>
    <w:p w14:paraId="0F205487" w14:textId="23837C49" w:rsidR="00513068" w:rsidRPr="00A10D67" w:rsidRDefault="00513068" w:rsidP="00432709">
      <w:pPr>
        <w:jc w:val="both"/>
        <w:rPr>
          <w:sz w:val="22"/>
          <w:szCs w:val="22"/>
          <w:lang w:val="sr-Latn-ME"/>
        </w:rPr>
      </w:pPr>
      <w:r w:rsidRPr="00A10D67">
        <w:rPr>
          <w:bCs/>
          <w:sz w:val="22"/>
          <w:szCs w:val="22"/>
          <w:lang w:val="sr-Latn-ME"/>
        </w:rPr>
        <w:t>Pri istovremenoj primjeni soli kalcijuma sa tiazidnim diureticima, zbog smanjenog izlučivanja, može doći do povećanja nivoa serumskog kalcijuma.</w:t>
      </w:r>
      <w:r w:rsidRPr="00A10D67">
        <w:rPr>
          <w:sz w:val="22"/>
          <w:szCs w:val="22"/>
          <w:lang w:val="sr-Latn-ME"/>
        </w:rPr>
        <w:t xml:space="preserve"> Ako je terapija suplementima kalcijuma ili vitaminom D neophodna, mora se pratiti nivo kalcijuma u serumu i tome prilagoditi dozu. </w:t>
      </w:r>
    </w:p>
    <w:p w14:paraId="5A40EB8C" w14:textId="66576DCC" w:rsidR="00513068" w:rsidRPr="00A10D67" w:rsidRDefault="00513068" w:rsidP="00432709">
      <w:pPr>
        <w:autoSpaceDE w:val="0"/>
        <w:autoSpaceDN w:val="0"/>
        <w:adjustRightInd w:val="0"/>
        <w:jc w:val="both"/>
        <w:rPr>
          <w:bCs/>
          <w:sz w:val="22"/>
          <w:szCs w:val="22"/>
          <w:lang w:val="sr-Latn-ME"/>
        </w:rPr>
      </w:pPr>
    </w:p>
    <w:p w14:paraId="7BD574CE" w14:textId="77777777" w:rsidR="0046666F" w:rsidRPr="00A10D67" w:rsidRDefault="0046666F" w:rsidP="00432709">
      <w:pPr>
        <w:autoSpaceDE w:val="0"/>
        <w:autoSpaceDN w:val="0"/>
        <w:adjustRightInd w:val="0"/>
        <w:jc w:val="both"/>
        <w:rPr>
          <w:b/>
          <w:bCs/>
          <w:sz w:val="22"/>
          <w:szCs w:val="22"/>
          <w:lang w:val="sr-Latn-ME"/>
        </w:rPr>
      </w:pPr>
      <w:r w:rsidRPr="00A10D67">
        <w:rPr>
          <w:b/>
          <w:bCs/>
          <w:sz w:val="22"/>
          <w:szCs w:val="22"/>
          <w:lang w:val="sr-Latn-ME"/>
        </w:rPr>
        <w:t>Kardiotonični glikozidi</w:t>
      </w:r>
    </w:p>
    <w:p w14:paraId="0CF8AC63" w14:textId="660C7618" w:rsidR="0046666F" w:rsidRPr="00A10D67" w:rsidRDefault="0046666F" w:rsidP="00432709">
      <w:pPr>
        <w:jc w:val="both"/>
        <w:rPr>
          <w:sz w:val="22"/>
          <w:szCs w:val="22"/>
          <w:lang w:val="sr-Latn-ME"/>
        </w:rPr>
      </w:pPr>
      <w:r w:rsidRPr="00A10D67">
        <w:rPr>
          <w:bCs/>
          <w:sz w:val="22"/>
          <w:szCs w:val="22"/>
          <w:lang w:val="sr-Latn-ME"/>
        </w:rPr>
        <w:t>Hipokalemija može senzibilisati ili pojačati reakciju srca na toksični efekat digitalisa</w:t>
      </w:r>
      <w:r w:rsidRPr="00A10D67">
        <w:rPr>
          <w:sz w:val="22"/>
          <w:szCs w:val="22"/>
          <w:lang w:val="sr-Latn-ME"/>
        </w:rPr>
        <w:t xml:space="preserve"> (npr. povećana iritabilnost ventrikula).</w:t>
      </w:r>
    </w:p>
    <w:p w14:paraId="46EEF94C" w14:textId="3AF9FB07" w:rsidR="0046666F" w:rsidRPr="00A10D67" w:rsidRDefault="0046666F" w:rsidP="00432709">
      <w:pPr>
        <w:autoSpaceDE w:val="0"/>
        <w:autoSpaceDN w:val="0"/>
        <w:adjustRightInd w:val="0"/>
        <w:jc w:val="both"/>
        <w:rPr>
          <w:sz w:val="22"/>
          <w:szCs w:val="22"/>
          <w:lang w:val="sr-Latn-ME"/>
        </w:rPr>
      </w:pPr>
    </w:p>
    <w:p w14:paraId="725C35FA" w14:textId="77777777" w:rsidR="0046666F" w:rsidRPr="00A10D67" w:rsidRDefault="0046666F" w:rsidP="00432709">
      <w:pPr>
        <w:autoSpaceDE w:val="0"/>
        <w:autoSpaceDN w:val="0"/>
        <w:adjustRightInd w:val="0"/>
        <w:jc w:val="both"/>
        <w:rPr>
          <w:b/>
          <w:bCs/>
          <w:sz w:val="22"/>
          <w:szCs w:val="22"/>
          <w:lang w:val="sr-Latn-ME"/>
        </w:rPr>
      </w:pPr>
      <w:r w:rsidRPr="00A10D67">
        <w:rPr>
          <w:b/>
          <w:bCs/>
          <w:sz w:val="22"/>
          <w:szCs w:val="22"/>
          <w:lang w:val="sr-Latn-ME"/>
        </w:rPr>
        <w:t>Holestiramin i holestipol</w:t>
      </w:r>
    </w:p>
    <w:p w14:paraId="568FB76C" w14:textId="77777777" w:rsidR="0046666F" w:rsidRPr="00A10D67" w:rsidRDefault="0046666F" w:rsidP="00432709">
      <w:pPr>
        <w:autoSpaceDE w:val="0"/>
        <w:autoSpaceDN w:val="0"/>
        <w:adjustRightInd w:val="0"/>
        <w:jc w:val="both"/>
        <w:rPr>
          <w:bCs/>
          <w:sz w:val="22"/>
          <w:szCs w:val="22"/>
          <w:lang w:val="sr-Latn-ME"/>
        </w:rPr>
      </w:pPr>
      <w:r w:rsidRPr="00A10D67">
        <w:rPr>
          <w:bCs/>
          <w:sz w:val="22"/>
          <w:szCs w:val="22"/>
          <w:lang w:val="sr-Latn-ME"/>
        </w:rPr>
        <w:t>Ovi ljekovi mogu odložiti ili smanjiti resorpciju hidrohlortiazida. Zbog toga sulfonamidne diuretike treba primijeniti najmanje 1 sat prije ili 4-6 sati nakon primjene ovih ljekova.</w:t>
      </w:r>
    </w:p>
    <w:p w14:paraId="716F695E" w14:textId="77777777" w:rsidR="00746DEE" w:rsidRPr="00A10D67" w:rsidRDefault="00746DEE" w:rsidP="00432709">
      <w:pPr>
        <w:autoSpaceDE w:val="0"/>
        <w:autoSpaceDN w:val="0"/>
        <w:adjustRightInd w:val="0"/>
        <w:jc w:val="both"/>
        <w:rPr>
          <w:b/>
          <w:bCs/>
          <w:sz w:val="22"/>
          <w:szCs w:val="22"/>
          <w:lang w:val="sr-Latn-ME"/>
        </w:rPr>
      </w:pPr>
    </w:p>
    <w:p w14:paraId="2BA4AF88" w14:textId="77777777" w:rsidR="0046666F" w:rsidRPr="00A10D67" w:rsidRDefault="0046666F" w:rsidP="00432709">
      <w:pPr>
        <w:autoSpaceDE w:val="0"/>
        <w:autoSpaceDN w:val="0"/>
        <w:adjustRightInd w:val="0"/>
        <w:jc w:val="both"/>
        <w:rPr>
          <w:b/>
          <w:bCs/>
          <w:sz w:val="22"/>
          <w:szCs w:val="22"/>
          <w:lang w:val="sr-Latn-ME"/>
        </w:rPr>
      </w:pPr>
      <w:r w:rsidRPr="00A10D67">
        <w:rPr>
          <w:b/>
          <w:bCs/>
          <w:sz w:val="22"/>
          <w:szCs w:val="22"/>
          <w:lang w:val="sr-Latn-ME"/>
        </w:rPr>
        <w:t>Nedepolarizujući mišićni relaksansi (npr. tubokurarin hlorid)</w:t>
      </w:r>
    </w:p>
    <w:p w14:paraId="67EEC241" w14:textId="2A62A20C" w:rsidR="0046666F" w:rsidRPr="00A10D67" w:rsidRDefault="0046666F" w:rsidP="00432709">
      <w:pPr>
        <w:autoSpaceDE w:val="0"/>
        <w:autoSpaceDN w:val="0"/>
        <w:adjustRightInd w:val="0"/>
        <w:jc w:val="both"/>
        <w:rPr>
          <w:bCs/>
          <w:sz w:val="22"/>
          <w:szCs w:val="22"/>
          <w:lang w:val="sr-Latn-ME"/>
        </w:rPr>
      </w:pPr>
      <w:r w:rsidRPr="00A10D67">
        <w:rPr>
          <w:bCs/>
          <w:sz w:val="22"/>
          <w:szCs w:val="22"/>
          <w:lang w:val="sr-Latn-ME"/>
        </w:rPr>
        <w:t>Efekat</w:t>
      </w:r>
      <w:r w:rsidR="00432709" w:rsidRPr="00A10D67">
        <w:rPr>
          <w:bCs/>
          <w:sz w:val="22"/>
          <w:szCs w:val="22"/>
          <w:lang w:val="sr-Latn-ME"/>
        </w:rPr>
        <w:t xml:space="preserve"> </w:t>
      </w:r>
      <w:r w:rsidRPr="00A10D67">
        <w:rPr>
          <w:bCs/>
          <w:sz w:val="22"/>
          <w:szCs w:val="22"/>
          <w:lang w:val="sr-Latn-ME"/>
        </w:rPr>
        <w:t xml:space="preserve">tih ljekova može biti pojačan </w:t>
      </w:r>
      <w:r w:rsidR="001019FC" w:rsidRPr="00A10D67">
        <w:rPr>
          <w:bCs/>
          <w:sz w:val="22"/>
          <w:szCs w:val="22"/>
          <w:lang w:val="sr-Latn-ME"/>
        </w:rPr>
        <w:t>istovremenom</w:t>
      </w:r>
      <w:r w:rsidRPr="00A10D67">
        <w:rPr>
          <w:bCs/>
          <w:sz w:val="22"/>
          <w:szCs w:val="22"/>
          <w:lang w:val="sr-Latn-ME"/>
        </w:rPr>
        <w:t xml:space="preserve"> primjenom hidrohlortiazida.</w:t>
      </w:r>
    </w:p>
    <w:p w14:paraId="4D9F2D40" w14:textId="77777777" w:rsidR="0046666F" w:rsidRPr="00A10D67" w:rsidRDefault="0046666F" w:rsidP="00432709">
      <w:pPr>
        <w:autoSpaceDE w:val="0"/>
        <w:autoSpaceDN w:val="0"/>
        <w:adjustRightInd w:val="0"/>
        <w:jc w:val="both"/>
        <w:rPr>
          <w:b/>
          <w:bCs/>
          <w:sz w:val="22"/>
          <w:szCs w:val="22"/>
          <w:lang w:val="sr-Latn-ME"/>
        </w:rPr>
      </w:pPr>
    </w:p>
    <w:p w14:paraId="020CEE71" w14:textId="77777777" w:rsidR="0046666F" w:rsidRPr="00A10D67" w:rsidRDefault="0046666F" w:rsidP="00432709">
      <w:pPr>
        <w:jc w:val="both"/>
        <w:rPr>
          <w:b/>
          <w:sz w:val="22"/>
          <w:szCs w:val="22"/>
          <w:lang w:val="sr-Latn-ME"/>
        </w:rPr>
      </w:pPr>
      <w:r w:rsidRPr="00A10D67">
        <w:rPr>
          <w:b/>
          <w:sz w:val="22"/>
          <w:szCs w:val="22"/>
          <w:lang w:val="sr-Latn-ME"/>
        </w:rPr>
        <w:t>Trimetoprim</w:t>
      </w:r>
    </w:p>
    <w:p w14:paraId="452412AF" w14:textId="778E17A2" w:rsidR="0046666F" w:rsidRPr="00A10D67" w:rsidRDefault="0046666F" w:rsidP="00432709">
      <w:pPr>
        <w:jc w:val="both"/>
        <w:rPr>
          <w:sz w:val="22"/>
          <w:szCs w:val="22"/>
          <w:lang w:val="sr-Latn-ME"/>
        </w:rPr>
      </w:pPr>
      <w:r w:rsidRPr="00A10D67">
        <w:rPr>
          <w:sz w:val="22"/>
          <w:szCs w:val="22"/>
          <w:lang w:val="sr-Latn-ME"/>
        </w:rPr>
        <w:t>Istovremena primjena ACE</w:t>
      </w:r>
      <w:r w:rsidR="001019FC" w:rsidRPr="00A10D67">
        <w:rPr>
          <w:sz w:val="22"/>
          <w:szCs w:val="22"/>
          <w:lang w:val="sr-Latn-ME"/>
        </w:rPr>
        <w:t>-</w:t>
      </w:r>
      <w:r w:rsidRPr="00A10D67">
        <w:rPr>
          <w:sz w:val="22"/>
          <w:szCs w:val="22"/>
          <w:lang w:val="sr-Latn-ME"/>
        </w:rPr>
        <w:t>inhibitora i tiazida s trimetoprimom povećava rizik od hiperkalijemije.</w:t>
      </w:r>
    </w:p>
    <w:p w14:paraId="22A81E30" w14:textId="77777777" w:rsidR="0046666F" w:rsidRPr="00A10D67" w:rsidRDefault="0046666F" w:rsidP="00432709">
      <w:pPr>
        <w:autoSpaceDE w:val="0"/>
        <w:autoSpaceDN w:val="0"/>
        <w:adjustRightInd w:val="0"/>
        <w:jc w:val="both"/>
        <w:rPr>
          <w:b/>
          <w:bCs/>
          <w:sz w:val="22"/>
          <w:szCs w:val="22"/>
          <w:lang w:val="sr-Latn-ME"/>
        </w:rPr>
      </w:pPr>
    </w:p>
    <w:p w14:paraId="04040412" w14:textId="3E140F9F" w:rsidR="0046666F" w:rsidRPr="00A10D67" w:rsidRDefault="0046666F" w:rsidP="00432709">
      <w:pPr>
        <w:autoSpaceDE w:val="0"/>
        <w:autoSpaceDN w:val="0"/>
        <w:adjustRightInd w:val="0"/>
        <w:jc w:val="both"/>
        <w:rPr>
          <w:b/>
          <w:bCs/>
          <w:sz w:val="22"/>
          <w:szCs w:val="22"/>
          <w:lang w:val="sr-Latn-ME"/>
        </w:rPr>
      </w:pPr>
      <w:r w:rsidRPr="00A10D67">
        <w:rPr>
          <w:b/>
          <w:bCs/>
          <w:sz w:val="22"/>
          <w:szCs w:val="22"/>
          <w:lang w:val="sr-Latn-ME"/>
        </w:rPr>
        <w:t>Sotalol</w:t>
      </w:r>
    </w:p>
    <w:p w14:paraId="291CD05A" w14:textId="77777777" w:rsidR="0046666F" w:rsidRPr="00A10D67" w:rsidRDefault="0046666F" w:rsidP="00432709">
      <w:pPr>
        <w:autoSpaceDE w:val="0"/>
        <w:autoSpaceDN w:val="0"/>
        <w:adjustRightInd w:val="0"/>
        <w:jc w:val="both"/>
        <w:rPr>
          <w:bCs/>
          <w:sz w:val="22"/>
          <w:szCs w:val="22"/>
          <w:lang w:val="sr-Latn-ME"/>
        </w:rPr>
      </w:pPr>
      <w:r w:rsidRPr="00A10D67">
        <w:rPr>
          <w:bCs/>
          <w:sz w:val="22"/>
          <w:szCs w:val="22"/>
          <w:lang w:val="sr-Latn-ME"/>
        </w:rPr>
        <w:t>Hipokalijemija izazvana tiazidima može povećati rizik od nastanka aritmije izazvanih sotalolom.</w:t>
      </w:r>
    </w:p>
    <w:p w14:paraId="5171CDCF" w14:textId="77777777" w:rsidR="0046666F" w:rsidRPr="00A10D67" w:rsidRDefault="0046666F" w:rsidP="00432709">
      <w:pPr>
        <w:pStyle w:val="BodyTextIndent"/>
        <w:spacing w:after="0"/>
        <w:ind w:left="0"/>
        <w:jc w:val="both"/>
        <w:rPr>
          <w:bCs/>
          <w:sz w:val="22"/>
          <w:szCs w:val="22"/>
          <w:lang w:val="sr-Latn-ME"/>
        </w:rPr>
      </w:pPr>
    </w:p>
    <w:p w14:paraId="15F1521F" w14:textId="77777777" w:rsidR="0046666F" w:rsidRPr="00A10D67" w:rsidRDefault="0046666F" w:rsidP="00432709">
      <w:pPr>
        <w:pStyle w:val="BodyTextIndent"/>
        <w:spacing w:after="0"/>
        <w:ind w:left="0"/>
        <w:jc w:val="both"/>
        <w:rPr>
          <w:sz w:val="22"/>
          <w:szCs w:val="22"/>
          <w:lang w:val="sr-Latn-ME"/>
        </w:rPr>
      </w:pPr>
      <w:r w:rsidRPr="00A10D67">
        <w:rPr>
          <w:b/>
          <w:bCs/>
          <w:sz w:val="22"/>
          <w:szCs w:val="22"/>
          <w:lang w:val="sr-Latn-ME"/>
        </w:rPr>
        <w:t>Alopurinol</w:t>
      </w:r>
    </w:p>
    <w:p w14:paraId="180D615E" w14:textId="30A3FB2A" w:rsidR="0046666F" w:rsidRPr="00A10D67" w:rsidRDefault="0046666F" w:rsidP="00432709">
      <w:pPr>
        <w:autoSpaceDE w:val="0"/>
        <w:autoSpaceDN w:val="0"/>
        <w:adjustRightInd w:val="0"/>
        <w:jc w:val="both"/>
        <w:rPr>
          <w:bCs/>
          <w:sz w:val="22"/>
          <w:szCs w:val="22"/>
          <w:lang w:val="sr-Latn-ME"/>
        </w:rPr>
      </w:pPr>
      <w:r w:rsidRPr="00A10D67">
        <w:rPr>
          <w:bCs/>
          <w:sz w:val="22"/>
          <w:szCs w:val="22"/>
          <w:lang w:val="sr-Latn-ME"/>
        </w:rPr>
        <w:t>Istovremena primjena ACE-inhibitora i alopurinola povećava rizik od oštećenja bubrega i može</w:t>
      </w:r>
      <w:r w:rsidRPr="00A10D67">
        <w:rPr>
          <w:sz w:val="22"/>
          <w:szCs w:val="22"/>
          <w:lang w:val="sr-Latn-ME"/>
        </w:rPr>
        <w:t xml:space="preserve"> </w:t>
      </w:r>
      <w:r w:rsidRPr="00A10D67">
        <w:rPr>
          <w:bCs/>
          <w:sz w:val="22"/>
          <w:szCs w:val="22"/>
          <w:lang w:val="sr-Latn-ME"/>
        </w:rPr>
        <w:t>prouzrokovati povećani rizik od razvoja leukopenije.</w:t>
      </w:r>
    </w:p>
    <w:p w14:paraId="04B7C89E" w14:textId="77777777" w:rsidR="0046666F" w:rsidRPr="00A10D67" w:rsidRDefault="0046666F" w:rsidP="00432709">
      <w:pPr>
        <w:autoSpaceDE w:val="0"/>
        <w:autoSpaceDN w:val="0"/>
        <w:adjustRightInd w:val="0"/>
        <w:jc w:val="both"/>
        <w:rPr>
          <w:b/>
          <w:bCs/>
          <w:sz w:val="22"/>
          <w:szCs w:val="22"/>
          <w:lang w:val="sr-Latn-ME"/>
        </w:rPr>
      </w:pPr>
    </w:p>
    <w:p w14:paraId="7D3AB390" w14:textId="4A2190AB"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Ciklosporin</w:t>
      </w:r>
    </w:p>
    <w:p w14:paraId="50079A8A" w14:textId="24EF6EF8" w:rsidR="00926382" w:rsidRPr="00A10D67" w:rsidRDefault="0046666F" w:rsidP="00432709">
      <w:pPr>
        <w:autoSpaceDE w:val="0"/>
        <w:autoSpaceDN w:val="0"/>
        <w:adjustRightInd w:val="0"/>
        <w:jc w:val="both"/>
        <w:rPr>
          <w:bCs/>
          <w:sz w:val="22"/>
          <w:szCs w:val="22"/>
          <w:lang w:val="sr-Latn-ME"/>
        </w:rPr>
      </w:pPr>
      <w:r w:rsidRPr="00A10D67">
        <w:rPr>
          <w:bCs/>
          <w:sz w:val="22"/>
          <w:szCs w:val="22"/>
          <w:lang w:val="sr-Latn-ME"/>
        </w:rPr>
        <w:t>I</w:t>
      </w:r>
      <w:r w:rsidR="00926382" w:rsidRPr="00A10D67">
        <w:rPr>
          <w:bCs/>
          <w:sz w:val="22"/>
          <w:szCs w:val="22"/>
          <w:lang w:val="sr-Latn-ME"/>
        </w:rPr>
        <w:t>stovremen</w:t>
      </w:r>
      <w:r w:rsidRPr="00A10D67">
        <w:rPr>
          <w:bCs/>
          <w:sz w:val="22"/>
          <w:szCs w:val="22"/>
          <w:lang w:val="sr-Latn-ME"/>
        </w:rPr>
        <w:t>a</w:t>
      </w:r>
      <w:r w:rsidR="00926382" w:rsidRPr="00A10D67">
        <w:rPr>
          <w:bCs/>
          <w:sz w:val="22"/>
          <w:szCs w:val="22"/>
          <w:lang w:val="sr-Latn-ME"/>
        </w:rPr>
        <w:t xml:space="preserve"> </w:t>
      </w:r>
      <w:r w:rsidR="001019FC" w:rsidRPr="00A10D67">
        <w:rPr>
          <w:bCs/>
          <w:sz w:val="22"/>
          <w:szCs w:val="22"/>
          <w:lang w:val="sr-Latn-ME"/>
        </w:rPr>
        <w:t xml:space="preserve">primjena </w:t>
      </w:r>
      <w:r w:rsidR="00926382" w:rsidRPr="00A10D67">
        <w:rPr>
          <w:bCs/>
          <w:sz w:val="22"/>
          <w:szCs w:val="22"/>
          <w:lang w:val="sr-Latn-ME"/>
        </w:rPr>
        <w:t xml:space="preserve">ACE-inhibitora i ciklosporina </w:t>
      </w:r>
      <w:r w:rsidRPr="00A10D67">
        <w:rPr>
          <w:sz w:val="22"/>
          <w:szCs w:val="22"/>
          <w:lang w:val="sr-Latn-ME"/>
        </w:rPr>
        <w:t xml:space="preserve">povećava rizik od oštećenja bubrega i </w:t>
      </w:r>
      <w:r w:rsidR="00926382" w:rsidRPr="00A10D67">
        <w:rPr>
          <w:bCs/>
          <w:sz w:val="22"/>
          <w:szCs w:val="22"/>
          <w:lang w:val="sr-Latn-ME"/>
        </w:rPr>
        <w:t>hiperkalijemij</w:t>
      </w:r>
      <w:r w:rsidRPr="00A10D67">
        <w:rPr>
          <w:bCs/>
          <w:sz w:val="22"/>
          <w:szCs w:val="22"/>
          <w:lang w:val="sr-Latn-ME"/>
        </w:rPr>
        <w:t>e</w:t>
      </w:r>
      <w:r w:rsidR="00926382" w:rsidRPr="00A10D67">
        <w:rPr>
          <w:bCs/>
          <w:sz w:val="22"/>
          <w:szCs w:val="22"/>
          <w:lang w:val="sr-Latn-ME"/>
        </w:rPr>
        <w:t>. Preporučuje se</w:t>
      </w:r>
      <w:r w:rsidR="00432709" w:rsidRPr="00A10D67">
        <w:rPr>
          <w:bCs/>
          <w:sz w:val="22"/>
          <w:szCs w:val="22"/>
          <w:lang w:val="sr-Latn-ME"/>
        </w:rPr>
        <w:t xml:space="preserve"> </w:t>
      </w:r>
      <w:r w:rsidR="00926382" w:rsidRPr="00A10D67">
        <w:rPr>
          <w:bCs/>
          <w:sz w:val="22"/>
          <w:szCs w:val="22"/>
          <w:lang w:val="sr-Latn-ME"/>
        </w:rPr>
        <w:t>praćenje koncentracija kalijuma u serumu.</w:t>
      </w:r>
      <w:r w:rsidR="00926382" w:rsidRPr="00A10D67">
        <w:rPr>
          <w:sz w:val="22"/>
          <w:szCs w:val="22"/>
          <w:lang w:val="sr-Latn-ME"/>
        </w:rPr>
        <w:t xml:space="preserve"> </w:t>
      </w:r>
      <w:r w:rsidR="00926382" w:rsidRPr="00A10D67">
        <w:rPr>
          <w:bCs/>
          <w:sz w:val="22"/>
          <w:szCs w:val="22"/>
          <w:lang w:val="sr-Latn-ME"/>
        </w:rPr>
        <w:t>Istovremena primjena ACE inhibitora i ciklosporina povećava rizik od oštećenja bubrega.</w:t>
      </w:r>
    </w:p>
    <w:p w14:paraId="5123A89E" w14:textId="4EC08A75" w:rsidR="00926382" w:rsidRPr="00A10D67" w:rsidRDefault="00926382" w:rsidP="00432709">
      <w:pPr>
        <w:autoSpaceDE w:val="0"/>
        <w:autoSpaceDN w:val="0"/>
        <w:adjustRightInd w:val="0"/>
        <w:jc w:val="both"/>
        <w:rPr>
          <w:bCs/>
          <w:sz w:val="22"/>
          <w:szCs w:val="22"/>
          <w:lang w:val="sr-Latn-ME"/>
        </w:rPr>
      </w:pPr>
    </w:p>
    <w:p w14:paraId="58902615" w14:textId="77777777" w:rsidR="00926382" w:rsidRPr="00A10D67" w:rsidRDefault="00926382" w:rsidP="00432709">
      <w:pPr>
        <w:jc w:val="both"/>
        <w:rPr>
          <w:b/>
          <w:sz w:val="22"/>
          <w:szCs w:val="22"/>
          <w:lang w:val="sr-Latn-ME"/>
        </w:rPr>
      </w:pPr>
      <w:r w:rsidRPr="00A10D67">
        <w:rPr>
          <w:b/>
          <w:sz w:val="22"/>
          <w:szCs w:val="22"/>
          <w:lang w:val="sr-Latn-ME"/>
        </w:rPr>
        <w:t>Heparin</w:t>
      </w:r>
    </w:p>
    <w:p w14:paraId="2D11DFE7" w14:textId="1080D3F3" w:rsidR="00926382" w:rsidRPr="00A10D67" w:rsidRDefault="00926382" w:rsidP="00432709">
      <w:pPr>
        <w:autoSpaceDE w:val="0"/>
        <w:autoSpaceDN w:val="0"/>
        <w:adjustRightInd w:val="0"/>
        <w:jc w:val="both"/>
        <w:rPr>
          <w:bCs/>
          <w:sz w:val="22"/>
          <w:szCs w:val="22"/>
          <w:lang w:val="sr-Latn-ME"/>
        </w:rPr>
      </w:pPr>
      <w:r w:rsidRPr="00A10D67">
        <w:rPr>
          <w:sz w:val="22"/>
          <w:szCs w:val="22"/>
          <w:lang w:val="sr-Latn-ME"/>
        </w:rPr>
        <w:t xml:space="preserve">Tokom istovremene primjene ACE-inhibitora i heparina može se javiti hiperkalijemija. </w:t>
      </w:r>
      <w:r w:rsidRPr="00A10D67">
        <w:rPr>
          <w:bCs/>
          <w:sz w:val="22"/>
          <w:szCs w:val="22"/>
          <w:lang w:val="sr-Latn-ME"/>
        </w:rPr>
        <w:t>Preporučuje se</w:t>
      </w:r>
      <w:r w:rsidR="00432709" w:rsidRPr="00A10D67">
        <w:rPr>
          <w:bCs/>
          <w:sz w:val="22"/>
          <w:szCs w:val="22"/>
          <w:lang w:val="sr-Latn-ME"/>
        </w:rPr>
        <w:t xml:space="preserve"> </w:t>
      </w:r>
      <w:r w:rsidRPr="00A10D67">
        <w:rPr>
          <w:bCs/>
          <w:sz w:val="22"/>
          <w:szCs w:val="22"/>
          <w:lang w:val="sr-Latn-ME"/>
        </w:rPr>
        <w:t>praćenje koncentracija kalijuma u serumu.</w:t>
      </w:r>
    </w:p>
    <w:p w14:paraId="74A4A51E" w14:textId="77777777" w:rsidR="00926382" w:rsidRPr="00A10D67" w:rsidRDefault="00926382" w:rsidP="00432709">
      <w:pPr>
        <w:tabs>
          <w:tab w:val="left" w:pos="540"/>
          <w:tab w:val="left" w:pos="569"/>
        </w:tabs>
        <w:jc w:val="both"/>
        <w:rPr>
          <w:bCs/>
          <w:sz w:val="22"/>
          <w:szCs w:val="22"/>
          <w:lang w:val="sr-Latn-ME"/>
        </w:rPr>
      </w:pPr>
    </w:p>
    <w:p w14:paraId="70834C20" w14:textId="77777777" w:rsidR="007973D5" w:rsidRPr="00A10D67" w:rsidRDefault="007973D5" w:rsidP="00432709">
      <w:pPr>
        <w:jc w:val="both"/>
        <w:rPr>
          <w:b/>
          <w:sz w:val="22"/>
          <w:szCs w:val="22"/>
          <w:lang w:val="sr-Latn-ME"/>
        </w:rPr>
      </w:pPr>
      <w:r w:rsidRPr="00A10D67">
        <w:rPr>
          <w:b/>
          <w:sz w:val="22"/>
          <w:szCs w:val="22"/>
          <w:lang w:val="sr-Latn-ME"/>
        </w:rPr>
        <w:t>Lovastatin</w:t>
      </w:r>
    </w:p>
    <w:p w14:paraId="780C4848" w14:textId="5BA0DB78" w:rsidR="007973D5" w:rsidRPr="00A10D67" w:rsidRDefault="007973D5" w:rsidP="00432709">
      <w:pPr>
        <w:jc w:val="both"/>
        <w:rPr>
          <w:sz w:val="22"/>
          <w:szCs w:val="22"/>
          <w:lang w:val="sr-Latn-ME"/>
        </w:rPr>
      </w:pPr>
      <w:r w:rsidRPr="00A10D67">
        <w:rPr>
          <w:sz w:val="22"/>
          <w:szCs w:val="22"/>
          <w:lang w:val="sr-Latn-ME"/>
        </w:rPr>
        <w:t>Istovremena primjena ACE</w:t>
      </w:r>
      <w:r w:rsidR="001019FC" w:rsidRPr="00A10D67">
        <w:rPr>
          <w:sz w:val="22"/>
          <w:szCs w:val="22"/>
          <w:lang w:val="sr-Latn-ME"/>
        </w:rPr>
        <w:t>-</w:t>
      </w:r>
      <w:r w:rsidRPr="00A10D67">
        <w:rPr>
          <w:sz w:val="22"/>
          <w:szCs w:val="22"/>
          <w:lang w:val="sr-Latn-ME"/>
        </w:rPr>
        <w:t>inhibitora i lovastatina povećava rizik od hiperkalijemije.</w:t>
      </w:r>
    </w:p>
    <w:p w14:paraId="08411372" w14:textId="77777777" w:rsidR="00926382" w:rsidRPr="00A10D67" w:rsidRDefault="00926382" w:rsidP="00432709">
      <w:pPr>
        <w:autoSpaceDE w:val="0"/>
        <w:autoSpaceDN w:val="0"/>
        <w:adjustRightInd w:val="0"/>
        <w:jc w:val="both"/>
        <w:rPr>
          <w:sz w:val="22"/>
          <w:szCs w:val="22"/>
          <w:lang w:val="sr-Latn-ME"/>
        </w:rPr>
      </w:pPr>
    </w:p>
    <w:p w14:paraId="0E4B26C2"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Citostatici, imunosupresivi, prokainamid</w:t>
      </w:r>
    </w:p>
    <w:p w14:paraId="0C1FF127" w14:textId="394FB911" w:rsidR="007973D5" w:rsidRPr="00A10D67" w:rsidRDefault="007973D5" w:rsidP="00432709">
      <w:pPr>
        <w:tabs>
          <w:tab w:val="left" w:pos="567"/>
        </w:tabs>
        <w:jc w:val="both"/>
        <w:rPr>
          <w:sz w:val="22"/>
          <w:szCs w:val="22"/>
          <w:u w:val="single"/>
          <w:lang w:val="sr-Latn-ME"/>
        </w:rPr>
      </w:pPr>
      <w:r w:rsidRPr="00A10D67">
        <w:rPr>
          <w:sz w:val="22"/>
          <w:szCs w:val="22"/>
          <w:lang w:val="sr-Latn-ME"/>
        </w:rPr>
        <w:t xml:space="preserve">Tiazidi mogu smanjiti izlučivanje citotoksičnih ljekova putem bubrega (npr. ciklofosfamid, metotreksat) i pojačati njihove mijelosupresivne efekte (vidjeti </w:t>
      </w:r>
      <w:r w:rsidR="00C61D74" w:rsidRPr="00A10D67">
        <w:rPr>
          <w:sz w:val="22"/>
          <w:szCs w:val="22"/>
          <w:lang w:val="sr-Latn-ME"/>
        </w:rPr>
        <w:t>dio</w:t>
      </w:r>
      <w:r w:rsidRPr="00A10D67">
        <w:rPr>
          <w:sz w:val="22"/>
          <w:szCs w:val="22"/>
          <w:lang w:val="sr-Latn-ME"/>
        </w:rPr>
        <w:t xml:space="preserve"> 4.4.).</w:t>
      </w:r>
      <w:r w:rsidRPr="00A10D67">
        <w:rPr>
          <w:sz w:val="22"/>
          <w:szCs w:val="22"/>
          <w:lang w:val="sr-Latn-ME"/>
        </w:rPr>
        <w:cr/>
      </w:r>
    </w:p>
    <w:p w14:paraId="173F7FFA" w14:textId="5E8FF867" w:rsidR="007973D5" w:rsidRPr="00A10D67" w:rsidRDefault="007973D5" w:rsidP="00432709">
      <w:pPr>
        <w:tabs>
          <w:tab w:val="left" w:pos="567"/>
        </w:tabs>
        <w:jc w:val="both"/>
        <w:rPr>
          <w:sz w:val="22"/>
          <w:szCs w:val="22"/>
          <w:u w:val="single"/>
          <w:lang w:val="sr-Latn-ME"/>
        </w:rPr>
      </w:pPr>
      <w:r w:rsidRPr="00A10D67">
        <w:rPr>
          <w:sz w:val="22"/>
          <w:szCs w:val="22"/>
          <w:u w:val="single"/>
          <w:lang w:val="sr-Latn-ME"/>
        </w:rPr>
        <w:t>Ostale interakcije s</w:t>
      </w:r>
      <w:r w:rsidR="001019FC" w:rsidRPr="00A10D67">
        <w:rPr>
          <w:sz w:val="22"/>
          <w:szCs w:val="22"/>
          <w:u w:val="single"/>
          <w:lang w:val="sr-Latn-ME"/>
        </w:rPr>
        <w:t>a</w:t>
      </w:r>
      <w:r w:rsidRPr="00A10D67">
        <w:rPr>
          <w:sz w:val="22"/>
          <w:szCs w:val="22"/>
          <w:u w:val="single"/>
          <w:lang w:val="sr-Latn-ME"/>
        </w:rPr>
        <w:t xml:space="preserve"> drugim ljekovima</w:t>
      </w:r>
    </w:p>
    <w:p w14:paraId="5647B2A2" w14:textId="5F0EBCF9" w:rsidR="007973D5" w:rsidRPr="00A10D67" w:rsidRDefault="007973D5" w:rsidP="00432709">
      <w:pPr>
        <w:tabs>
          <w:tab w:val="left" w:pos="567"/>
        </w:tabs>
        <w:jc w:val="both"/>
        <w:rPr>
          <w:sz w:val="22"/>
          <w:szCs w:val="22"/>
          <w:lang w:val="sr-Latn-ME"/>
        </w:rPr>
      </w:pPr>
      <w:r w:rsidRPr="00A10D67">
        <w:rPr>
          <w:sz w:val="22"/>
          <w:szCs w:val="22"/>
          <w:lang w:val="sr-Latn-ME"/>
        </w:rPr>
        <w:t>Tiazidi mogu povećati rizik od štetnih dejstava uzrokovanih amantadinom.</w:t>
      </w:r>
    </w:p>
    <w:p w14:paraId="179CDD20" w14:textId="0D6C5E07" w:rsidR="007973D5" w:rsidRPr="00A10D67" w:rsidRDefault="007973D5" w:rsidP="00432709">
      <w:pPr>
        <w:tabs>
          <w:tab w:val="left" w:pos="567"/>
        </w:tabs>
        <w:jc w:val="both"/>
        <w:rPr>
          <w:sz w:val="22"/>
          <w:szCs w:val="22"/>
          <w:lang w:val="sr-Latn-ME"/>
        </w:rPr>
      </w:pPr>
      <w:r w:rsidRPr="00A10D67">
        <w:rPr>
          <w:sz w:val="22"/>
          <w:szCs w:val="22"/>
          <w:lang w:val="sr-Latn-ME"/>
        </w:rPr>
        <w:t>Posturalna hipotenzija može se pogoršati istovremenim uzimanjem alkohola, barbiturata ili anestetika.</w:t>
      </w:r>
    </w:p>
    <w:p w14:paraId="7BB74CB4" w14:textId="4EAEB7E7" w:rsidR="00926382" w:rsidRPr="00A10D67" w:rsidRDefault="00926382" w:rsidP="00432709">
      <w:pPr>
        <w:jc w:val="both"/>
        <w:rPr>
          <w:sz w:val="22"/>
          <w:szCs w:val="22"/>
          <w:lang w:val="sr-Latn-ME"/>
        </w:rPr>
      </w:pPr>
    </w:p>
    <w:p w14:paraId="0225B051" w14:textId="77777777" w:rsidR="007973D5" w:rsidRPr="00A10D67" w:rsidRDefault="007973D5" w:rsidP="00432709">
      <w:pPr>
        <w:tabs>
          <w:tab w:val="left" w:pos="567"/>
        </w:tabs>
        <w:jc w:val="both"/>
        <w:rPr>
          <w:b/>
          <w:sz w:val="22"/>
          <w:szCs w:val="22"/>
          <w:lang w:val="sr-Latn-ME"/>
        </w:rPr>
      </w:pPr>
      <w:r w:rsidRPr="00A10D67">
        <w:rPr>
          <w:b/>
          <w:sz w:val="22"/>
          <w:szCs w:val="22"/>
          <w:lang w:val="sr-Latn-ME"/>
        </w:rPr>
        <w:t>Uticaj na sposobnost upravljanja vozilima i rukovanje mašinama</w:t>
      </w:r>
    </w:p>
    <w:p w14:paraId="710BF095" w14:textId="17CEFE78" w:rsidR="00926382" w:rsidRPr="00A10D67" w:rsidRDefault="007973D5" w:rsidP="00A10D67">
      <w:pPr>
        <w:tabs>
          <w:tab w:val="left" w:pos="569"/>
        </w:tabs>
        <w:jc w:val="both"/>
        <w:rPr>
          <w:bCs/>
          <w:sz w:val="22"/>
          <w:szCs w:val="22"/>
          <w:lang w:val="sr-Latn-ME"/>
        </w:rPr>
      </w:pPr>
      <w:r w:rsidRPr="00A10D67">
        <w:rPr>
          <w:sz w:val="22"/>
          <w:szCs w:val="22"/>
          <w:lang w:val="sr-Latn-ME"/>
        </w:rPr>
        <w:t xml:space="preserve">Kombinacija lizinoprila i hidrohlortiazida može imati blag do umjeren uticaj na sposobnost upravljanja vozilima i rukovanje mašinama (vidjeti </w:t>
      </w:r>
      <w:r w:rsidR="00C61D74" w:rsidRPr="00A10D67">
        <w:rPr>
          <w:sz w:val="22"/>
          <w:szCs w:val="22"/>
          <w:lang w:val="sr-Latn-ME"/>
        </w:rPr>
        <w:t>dio</w:t>
      </w:r>
      <w:r w:rsidRPr="00A10D67">
        <w:rPr>
          <w:sz w:val="22"/>
          <w:szCs w:val="22"/>
          <w:lang w:val="sr-Latn-ME"/>
        </w:rPr>
        <w:t xml:space="preserve"> 4.7.).</w:t>
      </w:r>
      <w:r w:rsidRPr="00A10D67">
        <w:rPr>
          <w:sz w:val="22"/>
          <w:szCs w:val="22"/>
          <w:lang w:val="sr-Latn-ME"/>
        </w:rPr>
        <w:cr/>
      </w:r>
    </w:p>
    <w:p w14:paraId="6A08BC4C" w14:textId="77777777" w:rsidR="0072020E" w:rsidRPr="00A10D67" w:rsidRDefault="0072020E" w:rsidP="00432709">
      <w:pPr>
        <w:tabs>
          <w:tab w:val="left" w:pos="540"/>
          <w:tab w:val="left" w:pos="569"/>
        </w:tabs>
        <w:jc w:val="both"/>
        <w:rPr>
          <w:b/>
          <w:sz w:val="22"/>
          <w:szCs w:val="22"/>
          <w:lang w:val="sr-Latn-ME"/>
        </w:rPr>
      </w:pPr>
      <w:r w:rsidRPr="00A10D67">
        <w:rPr>
          <w:b/>
          <w:bCs/>
          <w:sz w:val="22"/>
          <w:szCs w:val="22"/>
          <w:lang w:val="sr-Latn-ME"/>
        </w:rPr>
        <w:t xml:space="preserve">4.6. </w:t>
      </w:r>
      <w:r w:rsidR="00480FB1" w:rsidRPr="00A10D67">
        <w:rPr>
          <w:b/>
          <w:bCs/>
          <w:sz w:val="22"/>
          <w:szCs w:val="22"/>
          <w:lang w:val="sr-Latn-ME"/>
        </w:rPr>
        <w:tab/>
      </w:r>
      <w:r w:rsidR="006D20A5" w:rsidRPr="00A10D67">
        <w:rPr>
          <w:b/>
          <w:sz w:val="22"/>
          <w:szCs w:val="22"/>
          <w:lang w:val="sr-Latn-ME"/>
        </w:rPr>
        <w:t>Plodnost, trudnoća i dojenje</w:t>
      </w:r>
    </w:p>
    <w:p w14:paraId="08E61016" w14:textId="77777777" w:rsidR="002031B3" w:rsidRPr="00A10D67" w:rsidRDefault="002031B3" w:rsidP="00432709">
      <w:pPr>
        <w:tabs>
          <w:tab w:val="left" w:pos="540"/>
          <w:tab w:val="left" w:pos="569"/>
        </w:tabs>
        <w:jc w:val="both"/>
        <w:rPr>
          <w:sz w:val="22"/>
          <w:szCs w:val="22"/>
          <w:u w:val="single"/>
          <w:lang w:val="sr-Latn-ME"/>
        </w:rPr>
      </w:pPr>
    </w:p>
    <w:p w14:paraId="7D03DA2E" w14:textId="77777777" w:rsidR="007A3ECB" w:rsidRPr="00A10D67" w:rsidRDefault="007A3ECB" w:rsidP="00432709">
      <w:pPr>
        <w:tabs>
          <w:tab w:val="left" w:pos="540"/>
          <w:tab w:val="left" w:pos="569"/>
        </w:tabs>
        <w:jc w:val="both"/>
        <w:rPr>
          <w:sz w:val="22"/>
          <w:szCs w:val="22"/>
          <w:u w:val="single"/>
          <w:lang w:val="sr-Latn-ME"/>
        </w:rPr>
      </w:pPr>
      <w:r w:rsidRPr="00A10D67">
        <w:rPr>
          <w:sz w:val="22"/>
          <w:szCs w:val="22"/>
          <w:u w:val="single"/>
          <w:lang w:val="sr-Latn-ME"/>
        </w:rPr>
        <w:t>Trudnoća</w:t>
      </w:r>
    </w:p>
    <w:p w14:paraId="661B9031" w14:textId="77777777" w:rsidR="00926382" w:rsidRPr="00A10D67" w:rsidRDefault="00926382" w:rsidP="00432709">
      <w:pPr>
        <w:tabs>
          <w:tab w:val="left" w:pos="540"/>
          <w:tab w:val="left" w:pos="569"/>
        </w:tabs>
        <w:jc w:val="both"/>
        <w:rPr>
          <w:sz w:val="22"/>
          <w:szCs w:val="22"/>
          <w:u w:val="single"/>
          <w:lang w:val="sr-Latn-ME"/>
        </w:rPr>
      </w:pPr>
    </w:p>
    <w:p w14:paraId="589CEB35"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ACE inhibitori</w:t>
      </w:r>
    </w:p>
    <w:p w14:paraId="16F83423" w14:textId="77777777" w:rsidR="00926382" w:rsidRPr="00A10D67" w:rsidRDefault="00926382" w:rsidP="00432709">
      <w:pPr>
        <w:autoSpaceDE w:val="0"/>
        <w:autoSpaceDN w:val="0"/>
        <w:adjustRightInd w:val="0"/>
        <w:jc w:val="both"/>
        <w:rPr>
          <w:bCs/>
          <w:sz w:val="22"/>
          <w:szCs w:val="22"/>
          <w:lang w:val="sr-Latn-ME"/>
        </w:rPr>
      </w:pPr>
    </w:p>
    <w:p w14:paraId="2E84BF11" w14:textId="093A59B4" w:rsidR="00926382" w:rsidRPr="00A10D67" w:rsidRDefault="00926382" w:rsidP="00432709">
      <w:pPr>
        <w:pBdr>
          <w:top w:val="single" w:sz="4" w:space="1" w:color="auto"/>
          <w:left w:val="single" w:sz="4" w:space="4" w:color="auto"/>
          <w:bottom w:val="single" w:sz="4" w:space="1" w:color="auto"/>
          <w:right w:val="single" w:sz="4" w:space="4" w:color="auto"/>
        </w:pBdr>
        <w:autoSpaceDE w:val="0"/>
        <w:autoSpaceDN w:val="0"/>
        <w:adjustRightInd w:val="0"/>
        <w:jc w:val="both"/>
        <w:rPr>
          <w:bCs/>
          <w:sz w:val="22"/>
          <w:szCs w:val="22"/>
          <w:lang w:val="sr-Latn-ME"/>
        </w:rPr>
      </w:pPr>
      <w:r w:rsidRPr="00A10D67">
        <w:rPr>
          <w:bCs/>
          <w:sz w:val="22"/>
          <w:szCs w:val="22"/>
          <w:lang w:val="sr-Latn-ME"/>
        </w:rPr>
        <w:t xml:space="preserve">Ne preporučuje se primjena ACE inhibitora tokom prvog trimestra trudnoće (vidjeti </w:t>
      </w:r>
      <w:r w:rsidR="00C61D74" w:rsidRPr="00A10D67">
        <w:rPr>
          <w:bCs/>
          <w:sz w:val="22"/>
          <w:szCs w:val="22"/>
          <w:lang w:val="sr-Latn-ME"/>
        </w:rPr>
        <w:t>dio</w:t>
      </w:r>
      <w:r w:rsidRPr="00A10D67">
        <w:rPr>
          <w:bCs/>
          <w:sz w:val="22"/>
          <w:szCs w:val="22"/>
          <w:lang w:val="sr-Latn-ME"/>
        </w:rPr>
        <w:t xml:space="preserve"> 4.4). Kontraindikovana je primjena ACE inhibitora tokom drugog i trećeg trimestra trudnoće (vidjeti </w:t>
      </w:r>
      <w:r w:rsidR="00C61D74" w:rsidRPr="00A10D67">
        <w:rPr>
          <w:bCs/>
          <w:sz w:val="22"/>
          <w:szCs w:val="22"/>
          <w:lang w:val="sr-Latn-ME"/>
        </w:rPr>
        <w:t>djelove</w:t>
      </w:r>
      <w:r w:rsidRPr="00A10D67">
        <w:rPr>
          <w:bCs/>
          <w:sz w:val="22"/>
          <w:szCs w:val="22"/>
          <w:lang w:val="sr-Latn-ME"/>
        </w:rPr>
        <w:t xml:space="preserve"> 4.3 i</w:t>
      </w:r>
      <w:r w:rsidR="001019FC" w:rsidRPr="00A10D67">
        <w:rPr>
          <w:bCs/>
          <w:sz w:val="22"/>
          <w:szCs w:val="22"/>
          <w:lang w:val="sr-Latn-ME"/>
        </w:rPr>
        <w:t xml:space="preserve"> </w:t>
      </w:r>
      <w:r w:rsidRPr="00A10D67">
        <w:rPr>
          <w:bCs/>
          <w:sz w:val="22"/>
          <w:szCs w:val="22"/>
          <w:lang w:val="sr-Latn-ME"/>
        </w:rPr>
        <w:t>4.4).</w:t>
      </w:r>
    </w:p>
    <w:p w14:paraId="35A2C93E" w14:textId="77777777" w:rsidR="00926382" w:rsidRPr="00A10D67" w:rsidRDefault="00926382" w:rsidP="00432709">
      <w:pPr>
        <w:autoSpaceDE w:val="0"/>
        <w:autoSpaceDN w:val="0"/>
        <w:adjustRightInd w:val="0"/>
        <w:jc w:val="both"/>
        <w:rPr>
          <w:bCs/>
          <w:sz w:val="22"/>
          <w:szCs w:val="22"/>
          <w:lang w:val="sr-Latn-ME"/>
        </w:rPr>
      </w:pPr>
    </w:p>
    <w:p w14:paraId="410F0FBD" w14:textId="1E90125A"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lastRenderedPageBreak/>
        <w:t>Iako nema konačnih epidemioloških podataka vezanih uz rizik za teratogenost nakon izloženosti ACE- inhibitorima tokom prvog trimestra trudnoće, ne može se isključiti i malo povećan rizik.</w:t>
      </w:r>
      <w:r w:rsidR="002211D0" w:rsidRPr="00A10D67">
        <w:rPr>
          <w:bCs/>
          <w:sz w:val="22"/>
          <w:szCs w:val="22"/>
          <w:lang w:val="sr-Latn-ME"/>
        </w:rPr>
        <w:t xml:space="preserve"> </w:t>
      </w:r>
      <w:r w:rsidRPr="00A10D67">
        <w:rPr>
          <w:bCs/>
          <w:sz w:val="22"/>
          <w:szCs w:val="22"/>
          <w:lang w:val="sr-Latn-ME"/>
        </w:rPr>
        <w:t>Liječenje lizinoprilom</w:t>
      </w:r>
      <w:r w:rsidR="00432709" w:rsidRPr="00A10D67">
        <w:rPr>
          <w:bCs/>
          <w:sz w:val="22"/>
          <w:szCs w:val="22"/>
          <w:lang w:val="sr-Latn-ME"/>
        </w:rPr>
        <w:t xml:space="preserve"> </w:t>
      </w:r>
      <w:r w:rsidRPr="00A10D67">
        <w:rPr>
          <w:bCs/>
          <w:sz w:val="22"/>
          <w:szCs w:val="22"/>
          <w:lang w:val="sr-Latn-ME"/>
        </w:rPr>
        <w:t>ne smije se započeti tokom trudnoće. Osim ukoliko je za zdravlje pacijentkinja presudan nastavak liječenja ACE-inhibitorom, pri planiranju trudnoće trebalo bi terapiju zamijeniti sa nekim drugim antihipertenzivom koji ima potvrđen bezbjedonosni profil u trudnoći. Kad se ustanovi trudnoća, liječenje ACE-inhibitorima treba odmah prekinuti i ukoliko je moguće uvesti alternativnu terapiju.</w:t>
      </w:r>
    </w:p>
    <w:p w14:paraId="77973949" w14:textId="181CD6DF"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Poznato je da dugotrajna primjena lizinoprila tokom drugog i trećeg trimestra trudnoće izaziva fetotoksičnost kod ljudi (smanjenje funkcije bubrega, oligohidramnion, usporavanje osifikacije lobanje) i neonatalnu toksičnost</w:t>
      </w:r>
      <w:r w:rsidR="002211D0" w:rsidRPr="00A10D67">
        <w:rPr>
          <w:bCs/>
          <w:sz w:val="22"/>
          <w:szCs w:val="22"/>
          <w:lang w:val="sr-Latn-ME"/>
        </w:rPr>
        <w:t xml:space="preserve"> </w:t>
      </w:r>
      <w:r w:rsidRPr="00A10D67">
        <w:rPr>
          <w:bCs/>
          <w:sz w:val="22"/>
          <w:szCs w:val="22"/>
          <w:lang w:val="sr-Latn-ME"/>
        </w:rPr>
        <w:t xml:space="preserve">(insuficijenciju bubrega, hipotenziju, hiperkalijemiju (vidjeti </w:t>
      </w:r>
      <w:r w:rsidR="00C61D74" w:rsidRPr="00A10D67">
        <w:rPr>
          <w:bCs/>
          <w:sz w:val="22"/>
          <w:szCs w:val="22"/>
          <w:lang w:val="sr-Latn-ME"/>
        </w:rPr>
        <w:t>dio</w:t>
      </w:r>
      <w:r w:rsidRPr="00A10D67">
        <w:rPr>
          <w:bCs/>
          <w:sz w:val="22"/>
          <w:szCs w:val="22"/>
          <w:lang w:val="sr-Latn-ME"/>
        </w:rPr>
        <w:t xml:space="preserve"> 5.3). </w:t>
      </w:r>
    </w:p>
    <w:p w14:paraId="2AA773F0" w14:textId="77777777" w:rsidR="00926382" w:rsidRPr="00A10D67" w:rsidRDefault="00926382" w:rsidP="00432709">
      <w:pPr>
        <w:autoSpaceDE w:val="0"/>
        <w:autoSpaceDN w:val="0"/>
        <w:adjustRightInd w:val="0"/>
        <w:jc w:val="both"/>
        <w:rPr>
          <w:bCs/>
          <w:sz w:val="22"/>
          <w:szCs w:val="22"/>
          <w:lang w:val="sr-Latn-ME"/>
        </w:rPr>
      </w:pPr>
    </w:p>
    <w:p w14:paraId="683BE64C" w14:textId="77777777" w:rsidR="002211D0" w:rsidRPr="00A10D67" w:rsidRDefault="00926382" w:rsidP="00432709">
      <w:pPr>
        <w:autoSpaceDE w:val="0"/>
        <w:autoSpaceDN w:val="0"/>
        <w:adjustRightInd w:val="0"/>
        <w:jc w:val="both"/>
        <w:rPr>
          <w:bCs/>
          <w:sz w:val="22"/>
          <w:szCs w:val="22"/>
          <w:lang w:val="sr-Latn-ME"/>
        </w:rPr>
      </w:pPr>
      <w:r w:rsidRPr="00A10D67">
        <w:rPr>
          <w:bCs/>
          <w:sz w:val="22"/>
          <w:szCs w:val="22"/>
          <w:lang w:val="sr-Latn-ME"/>
        </w:rPr>
        <w:t xml:space="preserve">Ukoliko dođe do ekspozicije lizinoprila od drugog trimestra trudnoće, potrebno je ultrazvučno praćenje funkcije bubrega i osifikacije lobanje fetusa. </w:t>
      </w:r>
    </w:p>
    <w:p w14:paraId="75178777" w14:textId="256BEA20"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 xml:space="preserve">Neophodno je pažljivo pratiti djecu čije su majke uzimale lizinopril zbog mogućnosti razvoja hipotenzije (vidjeti </w:t>
      </w:r>
      <w:r w:rsidR="00C61D74" w:rsidRPr="00A10D67">
        <w:rPr>
          <w:bCs/>
          <w:sz w:val="22"/>
          <w:szCs w:val="22"/>
          <w:lang w:val="sr-Latn-ME"/>
        </w:rPr>
        <w:t>djelove</w:t>
      </w:r>
      <w:r w:rsidRPr="00A10D67">
        <w:rPr>
          <w:bCs/>
          <w:sz w:val="22"/>
          <w:szCs w:val="22"/>
          <w:lang w:val="sr-Latn-ME"/>
        </w:rPr>
        <w:t xml:space="preserve"> 4.3 i 4.4).</w:t>
      </w:r>
    </w:p>
    <w:p w14:paraId="22B4D2CC" w14:textId="77777777" w:rsidR="00926382" w:rsidRPr="00A10D67" w:rsidRDefault="00926382" w:rsidP="00432709">
      <w:pPr>
        <w:autoSpaceDE w:val="0"/>
        <w:autoSpaceDN w:val="0"/>
        <w:adjustRightInd w:val="0"/>
        <w:jc w:val="both"/>
        <w:rPr>
          <w:b/>
          <w:bCs/>
          <w:sz w:val="22"/>
          <w:szCs w:val="22"/>
          <w:lang w:val="sr-Latn-ME"/>
        </w:rPr>
      </w:pPr>
    </w:p>
    <w:p w14:paraId="0E07AB9D" w14:textId="77777777" w:rsidR="00926382" w:rsidRPr="00A10D67" w:rsidRDefault="00926382" w:rsidP="00432709">
      <w:pPr>
        <w:autoSpaceDE w:val="0"/>
        <w:autoSpaceDN w:val="0"/>
        <w:adjustRightInd w:val="0"/>
        <w:jc w:val="both"/>
        <w:rPr>
          <w:b/>
          <w:bCs/>
          <w:sz w:val="22"/>
          <w:szCs w:val="22"/>
          <w:lang w:val="sr-Latn-ME"/>
        </w:rPr>
      </w:pPr>
      <w:r w:rsidRPr="00A10D67">
        <w:rPr>
          <w:b/>
          <w:bCs/>
          <w:sz w:val="22"/>
          <w:szCs w:val="22"/>
          <w:lang w:val="sr-Latn-ME"/>
        </w:rPr>
        <w:t>Hidrohlortiazid</w:t>
      </w:r>
    </w:p>
    <w:p w14:paraId="188EBAC2" w14:textId="50D76A55"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Ograničena su iskustva o primjeni hidrohlortiazida tokom trudnoće, posebno tokom prvog trimestra trudnoće.</w:t>
      </w:r>
      <w:r w:rsidR="00DD699C" w:rsidRPr="00A10D67">
        <w:rPr>
          <w:bCs/>
          <w:sz w:val="22"/>
          <w:szCs w:val="22"/>
          <w:lang w:val="sr-Latn-ME"/>
        </w:rPr>
        <w:t xml:space="preserve"> </w:t>
      </w:r>
      <w:r w:rsidRPr="00A10D67">
        <w:rPr>
          <w:bCs/>
          <w:sz w:val="22"/>
          <w:szCs w:val="22"/>
          <w:lang w:val="sr-Latn-ME"/>
        </w:rPr>
        <w:t>Ispitivanja na životinjama su nedovoljna.</w:t>
      </w:r>
    </w:p>
    <w:p w14:paraId="1C00862A" w14:textId="73170F93"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Hidrohlortiazid prolazi kroz placentu. Na osnovu farmakološkog mehanizma dejstva, primjena hidrohlortiazida tokom drugog i trećeg trimestra trudnoće može ugroziti fetoplacentarnu perfuziju i prouzrokovati fetotoksične i</w:t>
      </w:r>
      <w:r w:rsidR="00DD699C" w:rsidRPr="00A10D67">
        <w:rPr>
          <w:bCs/>
          <w:sz w:val="22"/>
          <w:szCs w:val="22"/>
          <w:lang w:val="sr-Latn-ME"/>
        </w:rPr>
        <w:t xml:space="preserve"> </w:t>
      </w:r>
      <w:r w:rsidRPr="00A10D67">
        <w:rPr>
          <w:bCs/>
          <w:sz w:val="22"/>
          <w:szCs w:val="22"/>
          <w:lang w:val="sr-Latn-ME"/>
        </w:rPr>
        <w:t>neonatalne promjene kao što su: ikterus, poremećaj ravnoteže elektrolita i trombocitopeniju.</w:t>
      </w:r>
    </w:p>
    <w:p w14:paraId="5B27C9E1" w14:textId="3801A18C"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Hidrohlortiazid se ne smije primjenjivati za liječenje gestaci</w:t>
      </w:r>
      <w:r w:rsidR="00FD4928" w:rsidRPr="00A10D67">
        <w:rPr>
          <w:bCs/>
          <w:sz w:val="22"/>
          <w:szCs w:val="22"/>
          <w:lang w:val="sr-Latn-ME"/>
        </w:rPr>
        <w:t>onih</w:t>
      </w:r>
      <w:r w:rsidRPr="00A10D67">
        <w:rPr>
          <w:bCs/>
          <w:sz w:val="22"/>
          <w:szCs w:val="22"/>
          <w:lang w:val="sr-Latn-ME"/>
        </w:rPr>
        <w:t xml:space="preserve"> edema, gestacijske hipertenzije ili preeklampsije zbog rizika od smanjenja volumena plazme i placentarne hipoperfuzije, a bez povoljnog dejstva na tok bolesti.</w:t>
      </w:r>
    </w:p>
    <w:p w14:paraId="2078A7AA" w14:textId="7777777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Hidrohlortiazid se ne smije primjenjivati za liječenje esencijalne hipertenzije trudnica osim u rijetkim slučajevima kada nije moguće sprovesti drugi vid liječenja.</w:t>
      </w:r>
    </w:p>
    <w:p w14:paraId="17D60DC6" w14:textId="77777777" w:rsidR="002031B3" w:rsidRPr="00A10D67" w:rsidRDefault="002031B3" w:rsidP="00432709">
      <w:pPr>
        <w:tabs>
          <w:tab w:val="left" w:pos="540"/>
          <w:tab w:val="left" w:pos="569"/>
        </w:tabs>
        <w:jc w:val="both"/>
        <w:rPr>
          <w:sz w:val="22"/>
          <w:szCs w:val="22"/>
          <w:u w:val="single"/>
          <w:lang w:val="sr-Latn-ME"/>
        </w:rPr>
      </w:pPr>
    </w:p>
    <w:p w14:paraId="09DB3089" w14:textId="77777777" w:rsidR="0072020E" w:rsidRPr="00A10D67" w:rsidRDefault="007A3ECB" w:rsidP="00432709">
      <w:pPr>
        <w:tabs>
          <w:tab w:val="left" w:pos="540"/>
          <w:tab w:val="left" w:pos="569"/>
        </w:tabs>
        <w:jc w:val="both"/>
        <w:rPr>
          <w:sz w:val="22"/>
          <w:szCs w:val="22"/>
          <w:u w:val="single"/>
          <w:lang w:val="sr-Latn-ME"/>
        </w:rPr>
      </w:pPr>
      <w:r w:rsidRPr="00A10D67">
        <w:rPr>
          <w:sz w:val="22"/>
          <w:szCs w:val="22"/>
          <w:u w:val="single"/>
          <w:lang w:val="sr-Latn-ME"/>
        </w:rPr>
        <w:t xml:space="preserve">Dojenje </w:t>
      </w:r>
    </w:p>
    <w:p w14:paraId="50A1597A" w14:textId="77777777" w:rsidR="00926382" w:rsidRPr="00A10D67" w:rsidRDefault="00926382" w:rsidP="00432709">
      <w:pPr>
        <w:tabs>
          <w:tab w:val="left" w:pos="540"/>
          <w:tab w:val="left" w:pos="569"/>
        </w:tabs>
        <w:jc w:val="both"/>
        <w:rPr>
          <w:b/>
          <w:bCs/>
          <w:sz w:val="22"/>
          <w:szCs w:val="22"/>
          <w:lang w:val="sr-Latn-ME"/>
        </w:rPr>
      </w:pPr>
    </w:p>
    <w:p w14:paraId="56116A5D" w14:textId="77777777" w:rsidR="00926382" w:rsidRPr="00A10D67" w:rsidRDefault="00926382" w:rsidP="00432709">
      <w:pPr>
        <w:keepNext/>
        <w:keepLines/>
        <w:jc w:val="both"/>
        <w:rPr>
          <w:b/>
          <w:sz w:val="22"/>
          <w:szCs w:val="22"/>
          <w:lang w:val="sr-Latn-ME"/>
        </w:rPr>
      </w:pPr>
      <w:r w:rsidRPr="00A10D67">
        <w:rPr>
          <w:b/>
          <w:sz w:val="22"/>
          <w:szCs w:val="22"/>
          <w:lang w:val="sr-Latn-ME"/>
        </w:rPr>
        <w:t>ACE-inhibitori</w:t>
      </w:r>
    </w:p>
    <w:p w14:paraId="752A44A7" w14:textId="319F3C1F" w:rsidR="00926382" w:rsidRPr="00A10D67" w:rsidRDefault="00926382" w:rsidP="00432709">
      <w:pPr>
        <w:jc w:val="both"/>
        <w:rPr>
          <w:sz w:val="22"/>
          <w:szCs w:val="22"/>
          <w:lang w:val="sr-Latn-ME"/>
        </w:rPr>
      </w:pPr>
      <w:r w:rsidRPr="00A10D67">
        <w:rPr>
          <w:sz w:val="22"/>
          <w:szCs w:val="22"/>
          <w:lang w:val="sr-Latn-ME"/>
        </w:rPr>
        <w:t>Budući da nema dostupnih podataka o primjeni lizinopril/</w:t>
      </w:r>
      <w:r w:rsidR="001019FC" w:rsidRPr="00A10D67">
        <w:rPr>
          <w:sz w:val="22"/>
          <w:szCs w:val="22"/>
          <w:lang w:val="sr-Latn-ME"/>
        </w:rPr>
        <w:t xml:space="preserve">hidrohlortiazida </w:t>
      </w:r>
      <w:r w:rsidRPr="00A10D67">
        <w:rPr>
          <w:sz w:val="22"/>
          <w:szCs w:val="22"/>
          <w:lang w:val="sr-Latn-ME"/>
        </w:rPr>
        <w:t>tokom dojenja, lizinopril/hidrohlortiazid se ne preporučuje, a prednost se daje alternativnoj terapiji sa bolje potvrđenim bezbjedonosnim profilom</w:t>
      </w:r>
      <w:r w:rsidR="00432709" w:rsidRPr="00A10D67">
        <w:rPr>
          <w:sz w:val="22"/>
          <w:szCs w:val="22"/>
          <w:lang w:val="sr-Latn-ME"/>
        </w:rPr>
        <w:t xml:space="preserve"> </w:t>
      </w:r>
      <w:r w:rsidRPr="00A10D67">
        <w:rPr>
          <w:sz w:val="22"/>
          <w:szCs w:val="22"/>
          <w:lang w:val="sr-Latn-ME"/>
        </w:rPr>
        <w:t>tokom dojenja, naročito pri dojenju novorođenčadi i nedonoščadi.</w:t>
      </w:r>
    </w:p>
    <w:p w14:paraId="7198B6D2" w14:textId="77777777" w:rsidR="00926382" w:rsidRPr="00A10D67" w:rsidRDefault="00926382" w:rsidP="00432709">
      <w:pPr>
        <w:jc w:val="both"/>
        <w:rPr>
          <w:sz w:val="22"/>
          <w:szCs w:val="22"/>
          <w:lang w:val="sr-Latn-ME"/>
        </w:rPr>
      </w:pPr>
    </w:p>
    <w:p w14:paraId="0AAA95BF" w14:textId="77777777" w:rsidR="00926382" w:rsidRPr="00A10D67" w:rsidRDefault="00926382" w:rsidP="00432709">
      <w:pPr>
        <w:jc w:val="both"/>
        <w:rPr>
          <w:b/>
          <w:sz w:val="22"/>
          <w:szCs w:val="22"/>
          <w:lang w:val="sr-Latn-ME"/>
        </w:rPr>
      </w:pPr>
      <w:r w:rsidRPr="00A10D67">
        <w:rPr>
          <w:b/>
          <w:sz w:val="22"/>
          <w:szCs w:val="22"/>
          <w:lang w:val="sr-Latn-ME"/>
        </w:rPr>
        <w:t>Hidrohlortiazid</w:t>
      </w:r>
    </w:p>
    <w:p w14:paraId="4D3F72D0" w14:textId="77777777" w:rsidR="00926382" w:rsidRPr="00A10D67" w:rsidRDefault="00926382" w:rsidP="00432709">
      <w:pPr>
        <w:jc w:val="both"/>
        <w:rPr>
          <w:sz w:val="22"/>
          <w:szCs w:val="22"/>
          <w:lang w:val="sr-Latn-ME"/>
        </w:rPr>
      </w:pPr>
      <w:r w:rsidRPr="00A10D67">
        <w:rPr>
          <w:sz w:val="22"/>
          <w:szCs w:val="22"/>
          <w:lang w:val="sr-Latn-ME"/>
        </w:rPr>
        <w:t>Hidrohlortiazid se izlučuje u majčino mlijeko u malim količinama. Tiazidi u visokim dozama uzrokuju intenzivnu diurezu koja može inhibirati stvaranje mlijeka. Primjena lizinopril/hidrohlortiazida tokom dojenja se ne preporučuje. Ako se koristi lizinopril/hidrohlortiazid tokom dojenja, potrebno je primjenjivati najnižu moguću dozu.</w:t>
      </w:r>
    </w:p>
    <w:p w14:paraId="38E1B5D0" w14:textId="77777777" w:rsidR="00227BDB" w:rsidRPr="00A10D67" w:rsidRDefault="00227BDB" w:rsidP="00432709">
      <w:pPr>
        <w:tabs>
          <w:tab w:val="left" w:pos="540"/>
          <w:tab w:val="left" w:pos="569"/>
        </w:tabs>
        <w:ind w:left="540" w:hanging="540"/>
        <w:jc w:val="both"/>
        <w:rPr>
          <w:b/>
          <w:bCs/>
          <w:sz w:val="22"/>
          <w:szCs w:val="22"/>
          <w:lang w:val="sr-Latn-ME"/>
        </w:rPr>
      </w:pPr>
    </w:p>
    <w:p w14:paraId="4608AF53" w14:textId="77777777" w:rsidR="0072020E" w:rsidRPr="00A10D67" w:rsidRDefault="0072020E" w:rsidP="00432709">
      <w:pPr>
        <w:tabs>
          <w:tab w:val="left" w:pos="540"/>
          <w:tab w:val="left" w:pos="569"/>
        </w:tabs>
        <w:ind w:left="540" w:hanging="540"/>
        <w:jc w:val="both"/>
        <w:rPr>
          <w:b/>
          <w:bCs/>
          <w:sz w:val="22"/>
          <w:szCs w:val="22"/>
          <w:lang w:val="sr-Latn-ME"/>
        </w:rPr>
      </w:pPr>
      <w:r w:rsidRPr="00A10D67">
        <w:rPr>
          <w:b/>
          <w:bCs/>
          <w:sz w:val="22"/>
          <w:szCs w:val="22"/>
          <w:lang w:val="sr-Latn-ME"/>
        </w:rPr>
        <w:t xml:space="preserve">4.7. </w:t>
      </w:r>
      <w:r w:rsidR="00480FB1" w:rsidRPr="00A10D67">
        <w:rPr>
          <w:b/>
          <w:bCs/>
          <w:sz w:val="22"/>
          <w:szCs w:val="22"/>
          <w:lang w:val="sr-Latn-ME"/>
        </w:rPr>
        <w:tab/>
      </w:r>
      <w:r w:rsidRPr="00A10D67">
        <w:rPr>
          <w:b/>
          <w:bCs/>
          <w:sz w:val="22"/>
          <w:szCs w:val="22"/>
          <w:lang w:val="sr-Latn-ME"/>
        </w:rPr>
        <w:t xml:space="preserve">Uticaj na </w:t>
      </w:r>
      <w:r w:rsidR="002031B3" w:rsidRPr="00A10D67">
        <w:rPr>
          <w:b/>
          <w:bCs/>
          <w:sz w:val="22"/>
          <w:szCs w:val="22"/>
          <w:lang w:val="sr-Latn-ME"/>
        </w:rPr>
        <w:t xml:space="preserve">sposobnost </w:t>
      </w:r>
      <w:r w:rsidR="00F34554" w:rsidRPr="00A10D67">
        <w:rPr>
          <w:b/>
          <w:bCs/>
          <w:sz w:val="22"/>
          <w:szCs w:val="22"/>
          <w:lang w:val="sr-Latn-ME"/>
        </w:rPr>
        <w:t>upravljanja vozili</w:t>
      </w:r>
      <w:r w:rsidRPr="00A10D67">
        <w:rPr>
          <w:b/>
          <w:bCs/>
          <w:sz w:val="22"/>
          <w:szCs w:val="22"/>
          <w:lang w:val="sr-Latn-ME"/>
        </w:rPr>
        <w:t>m</w:t>
      </w:r>
      <w:r w:rsidR="00F34554" w:rsidRPr="00A10D67">
        <w:rPr>
          <w:b/>
          <w:bCs/>
          <w:sz w:val="22"/>
          <w:szCs w:val="22"/>
          <w:lang w:val="sr-Latn-ME"/>
        </w:rPr>
        <w:t>a</w:t>
      </w:r>
      <w:r w:rsidRPr="00A10D67">
        <w:rPr>
          <w:b/>
          <w:bCs/>
          <w:sz w:val="22"/>
          <w:szCs w:val="22"/>
          <w:lang w:val="sr-Latn-ME"/>
        </w:rPr>
        <w:t xml:space="preserve"> i </w:t>
      </w:r>
      <w:r w:rsidR="000D3449" w:rsidRPr="00A10D67">
        <w:rPr>
          <w:b/>
          <w:bCs/>
          <w:sz w:val="22"/>
          <w:szCs w:val="22"/>
          <w:lang w:val="sr-Latn-ME"/>
        </w:rPr>
        <w:t xml:space="preserve">rukovanje </w:t>
      </w:r>
      <w:r w:rsidRPr="00A10D67">
        <w:rPr>
          <w:b/>
          <w:bCs/>
          <w:sz w:val="22"/>
          <w:szCs w:val="22"/>
          <w:lang w:val="sr-Latn-ME"/>
        </w:rPr>
        <w:t>mašinama</w:t>
      </w:r>
    </w:p>
    <w:p w14:paraId="29595B54" w14:textId="77777777" w:rsidR="00926382" w:rsidRPr="00A10D67" w:rsidRDefault="00926382" w:rsidP="00432709">
      <w:pPr>
        <w:tabs>
          <w:tab w:val="left" w:pos="540"/>
          <w:tab w:val="left" w:pos="569"/>
        </w:tabs>
        <w:ind w:left="540" w:hanging="540"/>
        <w:jc w:val="both"/>
        <w:rPr>
          <w:b/>
          <w:bCs/>
          <w:sz w:val="22"/>
          <w:szCs w:val="22"/>
          <w:lang w:val="sr-Latn-ME"/>
        </w:rPr>
      </w:pPr>
    </w:p>
    <w:p w14:paraId="4EE5ACAD" w14:textId="59347847" w:rsidR="00926382" w:rsidRPr="00A10D67" w:rsidRDefault="00926382" w:rsidP="00432709">
      <w:pPr>
        <w:autoSpaceDE w:val="0"/>
        <w:autoSpaceDN w:val="0"/>
        <w:adjustRightInd w:val="0"/>
        <w:jc w:val="both"/>
        <w:rPr>
          <w:bCs/>
          <w:sz w:val="22"/>
          <w:szCs w:val="22"/>
          <w:lang w:val="sr-Latn-ME"/>
        </w:rPr>
      </w:pPr>
      <w:r w:rsidRPr="00A10D67">
        <w:rPr>
          <w:bCs/>
          <w:sz w:val="22"/>
          <w:szCs w:val="22"/>
          <w:lang w:val="sr-Latn-ME"/>
        </w:rPr>
        <w:t>Kao i drugi antihipertenzivi, lijek Iruzid može imati blago do umjereno dejstvo na sposobnost upravljanja motornim vozilima i rad na mašinama.</w:t>
      </w:r>
      <w:r w:rsidR="002C1642" w:rsidRPr="00A10D67">
        <w:rPr>
          <w:bCs/>
          <w:sz w:val="22"/>
          <w:szCs w:val="22"/>
          <w:lang w:val="sr-Latn-ME"/>
        </w:rPr>
        <w:t xml:space="preserve"> </w:t>
      </w:r>
      <w:r w:rsidRPr="00A10D67">
        <w:rPr>
          <w:bCs/>
          <w:sz w:val="22"/>
          <w:szCs w:val="22"/>
          <w:lang w:val="sr-Latn-ME"/>
        </w:rPr>
        <w:t>Posebno se to odnosi na početak liječenja, kada se doza lijeka promijeni ili ako se lijek primjenjuje istovremeno sa alkoholom, ali ovi efekti lijeka zavise i od individualne osjetljivosti.</w:t>
      </w:r>
    </w:p>
    <w:p w14:paraId="4CF712B6" w14:textId="77777777" w:rsidR="00FD4928" w:rsidRPr="00A10D67" w:rsidRDefault="00FD4928" w:rsidP="00432709">
      <w:pPr>
        <w:autoSpaceDE w:val="0"/>
        <w:autoSpaceDN w:val="0"/>
        <w:adjustRightInd w:val="0"/>
        <w:jc w:val="both"/>
        <w:rPr>
          <w:bCs/>
          <w:sz w:val="22"/>
          <w:szCs w:val="22"/>
          <w:lang w:val="sr-Latn-ME"/>
        </w:rPr>
      </w:pPr>
    </w:p>
    <w:p w14:paraId="5C1E5AAA" w14:textId="44D236F2" w:rsidR="00926382" w:rsidRPr="00A10D67" w:rsidRDefault="00926382" w:rsidP="00432709">
      <w:pPr>
        <w:tabs>
          <w:tab w:val="left" w:pos="567"/>
        </w:tabs>
        <w:jc w:val="both"/>
        <w:rPr>
          <w:sz w:val="22"/>
          <w:szCs w:val="22"/>
          <w:lang w:val="sr-Latn-ME"/>
        </w:rPr>
      </w:pPr>
      <w:r w:rsidRPr="00A10D67">
        <w:rPr>
          <w:sz w:val="22"/>
          <w:szCs w:val="22"/>
          <w:lang w:val="sr-Latn-ME"/>
        </w:rPr>
        <w:t>Pri upravljanju vozilima ili rukovanju mašinama treba imati na umu da se ponekad mogu javiti vrtoglavica</w:t>
      </w:r>
      <w:r w:rsidR="00432709" w:rsidRPr="00A10D67">
        <w:rPr>
          <w:sz w:val="22"/>
          <w:szCs w:val="22"/>
          <w:lang w:val="sr-Latn-ME"/>
        </w:rPr>
        <w:t xml:space="preserve"> </w:t>
      </w:r>
      <w:r w:rsidRPr="00A10D67">
        <w:rPr>
          <w:sz w:val="22"/>
          <w:szCs w:val="22"/>
          <w:lang w:val="sr-Latn-ME"/>
        </w:rPr>
        <w:t>ili umor.</w:t>
      </w:r>
    </w:p>
    <w:p w14:paraId="563AD6EC" w14:textId="77777777" w:rsidR="0072020E" w:rsidRPr="00A10D67" w:rsidRDefault="0072020E" w:rsidP="00432709">
      <w:pPr>
        <w:tabs>
          <w:tab w:val="left" w:pos="540"/>
          <w:tab w:val="left" w:pos="569"/>
        </w:tabs>
        <w:jc w:val="both"/>
        <w:rPr>
          <w:b/>
          <w:bCs/>
          <w:sz w:val="22"/>
          <w:szCs w:val="22"/>
          <w:lang w:val="sr-Latn-ME"/>
        </w:rPr>
      </w:pPr>
    </w:p>
    <w:p w14:paraId="2A53F86C" w14:textId="77777777" w:rsidR="0072020E" w:rsidRPr="00A10D67" w:rsidRDefault="0072020E" w:rsidP="00432709">
      <w:pPr>
        <w:tabs>
          <w:tab w:val="left" w:pos="540"/>
          <w:tab w:val="left" w:pos="569"/>
        </w:tabs>
        <w:jc w:val="both"/>
        <w:rPr>
          <w:b/>
          <w:bCs/>
          <w:sz w:val="22"/>
          <w:szCs w:val="22"/>
          <w:lang w:val="sr-Latn-ME"/>
        </w:rPr>
      </w:pPr>
      <w:r w:rsidRPr="00A10D67">
        <w:rPr>
          <w:b/>
          <w:bCs/>
          <w:sz w:val="22"/>
          <w:szCs w:val="22"/>
          <w:lang w:val="sr-Latn-ME"/>
        </w:rPr>
        <w:t xml:space="preserve">4.8. </w:t>
      </w:r>
      <w:r w:rsidR="00480FB1" w:rsidRPr="00A10D67">
        <w:rPr>
          <w:b/>
          <w:bCs/>
          <w:sz w:val="22"/>
          <w:szCs w:val="22"/>
          <w:lang w:val="sr-Latn-ME"/>
        </w:rPr>
        <w:tab/>
      </w:r>
      <w:r w:rsidRPr="00A10D67">
        <w:rPr>
          <w:b/>
          <w:bCs/>
          <w:sz w:val="22"/>
          <w:szCs w:val="22"/>
          <w:lang w:val="sr-Latn-ME"/>
        </w:rPr>
        <w:t>Neželjena dejstva</w:t>
      </w:r>
    </w:p>
    <w:p w14:paraId="589E36DC" w14:textId="77777777" w:rsidR="00926382" w:rsidRPr="00A10D67" w:rsidRDefault="00926382" w:rsidP="00432709">
      <w:pPr>
        <w:tabs>
          <w:tab w:val="left" w:pos="540"/>
          <w:tab w:val="left" w:pos="569"/>
        </w:tabs>
        <w:jc w:val="both"/>
        <w:rPr>
          <w:b/>
          <w:bCs/>
          <w:sz w:val="22"/>
          <w:szCs w:val="22"/>
          <w:lang w:val="sr-Latn-ME"/>
        </w:rPr>
      </w:pPr>
    </w:p>
    <w:p w14:paraId="0340AFE6" w14:textId="5578C6AA" w:rsidR="00926382" w:rsidRPr="00A10D67" w:rsidRDefault="00926382" w:rsidP="00432709">
      <w:pPr>
        <w:autoSpaceDE w:val="0"/>
        <w:autoSpaceDN w:val="0"/>
        <w:adjustRightInd w:val="0"/>
        <w:jc w:val="both"/>
        <w:rPr>
          <w:sz w:val="22"/>
          <w:szCs w:val="22"/>
          <w:lang w:val="sr-Latn-ME"/>
        </w:rPr>
      </w:pPr>
      <w:r w:rsidRPr="00A10D67">
        <w:rPr>
          <w:sz w:val="22"/>
          <w:szCs w:val="22"/>
          <w:lang w:val="sr-Latn-ME"/>
        </w:rPr>
        <w:t>Tokom primjene lizinoprila i/ili hidrohlortiazida zabilježena su i prijavljena sl</w:t>
      </w:r>
      <w:r w:rsidR="00FD4928" w:rsidRPr="00A10D67">
        <w:rPr>
          <w:sz w:val="22"/>
          <w:szCs w:val="22"/>
          <w:lang w:val="sr-Latn-ME"/>
        </w:rPr>
        <w:t>j</w:t>
      </w:r>
      <w:r w:rsidRPr="00A10D67">
        <w:rPr>
          <w:sz w:val="22"/>
          <w:szCs w:val="22"/>
          <w:lang w:val="sr-Latn-ME"/>
        </w:rPr>
        <w:t xml:space="preserve">edeća neželjena dejstva, uz sljedeću učestalost: </w:t>
      </w:r>
      <w:r w:rsidRPr="00A10D67">
        <w:rPr>
          <w:i/>
          <w:iCs/>
          <w:sz w:val="22"/>
          <w:szCs w:val="22"/>
          <w:lang w:val="sr-Latn-ME"/>
        </w:rPr>
        <w:t xml:space="preserve">veoma česta </w:t>
      </w:r>
      <w:r w:rsidRPr="00A10D67">
        <w:rPr>
          <w:sz w:val="22"/>
          <w:szCs w:val="22"/>
          <w:lang w:val="sr-Latn-ME"/>
        </w:rPr>
        <w:t>(</w:t>
      </w:r>
      <w:r w:rsidR="00FD4928" w:rsidRPr="00A10D67">
        <w:rPr>
          <w:sz w:val="22"/>
          <w:szCs w:val="22"/>
          <w:lang w:val="sr-Latn-ME"/>
        </w:rPr>
        <w:t>≥</w:t>
      </w:r>
      <w:r w:rsidR="00356374">
        <w:rPr>
          <w:sz w:val="22"/>
          <w:szCs w:val="22"/>
          <w:lang w:val="sr-Latn-ME"/>
        </w:rPr>
        <w:t xml:space="preserve"> </w:t>
      </w:r>
      <w:r w:rsidRPr="00A10D67">
        <w:rPr>
          <w:sz w:val="22"/>
          <w:szCs w:val="22"/>
          <w:lang w:val="sr-Latn-ME"/>
        </w:rPr>
        <w:t xml:space="preserve">10%); </w:t>
      </w:r>
      <w:r w:rsidRPr="00A10D67">
        <w:rPr>
          <w:i/>
          <w:iCs/>
          <w:sz w:val="22"/>
          <w:szCs w:val="22"/>
          <w:lang w:val="sr-Latn-ME"/>
        </w:rPr>
        <w:t xml:space="preserve">česta </w:t>
      </w:r>
      <w:r w:rsidRPr="00A10D67">
        <w:rPr>
          <w:sz w:val="22"/>
          <w:szCs w:val="22"/>
          <w:lang w:val="sr-Latn-ME"/>
        </w:rPr>
        <w:t>(</w:t>
      </w:r>
      <w:r w:rsidR="00FD4928" w:rsidRPr="00A10D67">
        <w:rPr>
          <w:sz w:val="22"/>
          <w:szCs w:val="22"/>
          <w:lang w:val="sr-Latn-ME"/>
        </w:rPr>
        <w:t>≥</w:t>
      </w:r>
      <w:r w:rsidR="00356374">
        <w:rPr>
          <w:sz w:val="22"/>
          <w:szCs w:val="22"/>
          <w:lang w:val="sr-Latn-ME"/>
        </w:rPr>
        <w:t xml:space="preserve"> </w:t>
      </w:r>
      <w:r w:rsidRPr="00A10D67">
        <w:rPr>
          <w:sz w:val="22"/>
          <w:szCs w:val="22"/>
          <w:lang w:val="sr-Latn-ME"/>
        </w:rPr>
        <w:t>1%</w:t>
      </w:r>
      <w:r w:rsidR="00356374">
        <w:rPr>
          <w:sz w:val="22"/>
          <w:szCs w:val="22"/>
          <w:lang w:val="sr-Latn-ME"/>
        </w:rPr>
        <w:t xml:space="preserve"> </w:t>
      </w:r>
      <w:r w:rsidRPr="00A10D67">
        <w:rPr>
          <w:sz w:val="22"/>
          <w:szCs w:val="22"/>
          <w:lang w:val="sr-Latn-ME"/>
        </w:rPr>
        <w:t>&lt;</w:t>
      </w:r>
      <w:r w:rsidR="00356374">
        <w:rPr>
          <w:sz w:val="22"/>
          <w:szCs w:val="22"/>
          <w:lang w:val="sr-Latn-ME"/>
        </w:rPr>
        <w:t xml:space="preserve"> </w:t>
      </w:r>
      <w:r w:rsidRPr="00A10D67">
        <w:rPr>
          <w:sz w:val="22"/>
          <w:szCs w:val="22"/>
          <w:lang w:val="sr-Latn-ME"/>
        </w:rPr>
        <w:t xml:space="preserve">10%); </w:t>
      </w:r>
      <w:r w:rsidRPr="00A10D67">
        <w:rPr>
          <w:i/>
          <w:iCs/>
          <w:sz w:val="22"/>
          <w:szCs w:val="22"/>
          <w:lang w:val="sr-Latn-ME"/>
        </w:rPr>
        <w:t xml:space="preserve">povremena </w:t>
      </w:r>
      <w:r w:rsidRPr="00A10D67">
        <w:rPr>
          <w:sz w:val="22"/>
          <w:szCs w:val="22"/>
          <w:lang w:val="sr-Latn-ME"/>
        </w:rPr>
        <w:t>(</w:t>
      </w:r>
      <w:r w:rsidR="00FD4928" w:rsidRPr="00A10D67">
        <w:rPr>
          <w:sz w:val="22"/>
          <w:szCs w:val="22"/>
          <w:lang w:val="sr-Latn-ME"/>
        </w:rPr>
        <w:t>≥</w:t>
      </w:r>
      <w:r w:rsidR="00356374">
        <w:rPr>
          <w:sz w:val="22"/>
          <w:szCs w:val="22"/>
          <w:lang w:val="sr-Latn-ME"/>
        </w:rPr>
        <w:t xml:space="preserve"> </w:t>
      </w:r>
      <w:r w:rsidRPr="00A10D67">
        <w:rPr>
          <w:sz w:val="22"/>
          <w:szCs w:val="22"/>
          <w:lang w:val="sr-Latn-ME"/>
        </w:rPr>
        <w:t>0,1%, &lt;</w:t>
      </w:r>
      <w:r w:rsidR="00356374">
        <w:rPr>
          <w:sz w:val="22"/>
          <w:szCs w:val="22"/>
          <w:lang w:val="sr-Latn-ME"/>
        </w:rPr>
        <w:t xml:space="preserve"> </w:t>
      </w:r>
      <w:r w:rsidRPr="00A10D67">
        <w:rPr>
          <w:sz w:val="22"/>
          <w:szCs w:val="22"/>
          <w:lang w:val="sr-Latn-ME"/>
        </w:rPr>
        <w:t xml:space="preserve">1%); </w:t>
      </w:r>
      <w:r w:rsidRPr="00A10D67">
        <w:rPr>
          <w:i/>
          <w:iCs/>
          <w:sz w:val="22"/>
          <w:szCs w:val="22"/>
          <w:lang w:val="sr-Latn-ME"/>
        </w:rPr>
        <w:t xml:space="preserve">rijetka </w:t>
      </w:r>
      <w:r w:rsidRPr="00A10D67">
        <w:rPr>
          <w:sz w:val="22"/>
          <w:szCs w:val="22"/>
          <w:lang w:val="sr-Latn-ME"/>
        </w:rPr>
        <w:t>(</w:t>
      </w:r>
      <w:r w:rsidR="00FD4928" w:rsidRPr="00A10D67">
        <w:rPr>
          <w:sz w:val="22"/>
          <w:szCs w:val="22"/>
          <w:lang w:val="sr-Latn-ME"/>
        </w:rPr>
        <w:t>≥</w:t>
      </w:r>
      <w:r w:rsidR="00356374">
        <w:rPr>
          <w:sz w:val="22"/>
          <w:szCs w:val="22"/>
          <w:lang w:val="sr-Latn-ME"/>
        </w:rPr>
        <w:t xml:space="preserve"> </w:t>
      </w:r>
      <w:r w:rsidRPr="00A10D67">
        <w:rPr>
          <w:sz w:val="22"/>
          <w:szCs w:val="22"/>
          <w:lang w:val="sr-Latn-ME"/>
        </w:rPr>
        <w:t>0,01%, &lt;</w:t>
      </w:r>
      <w:r w:rsidR="00356374">
        <w:rPr>
          <w:sz w:val="22"/>
          <w:szCs w:val="22"/>
          <w:lang w:val="sr-Latn-ME"/>
        </w:rPr>
        <w:t xml:space="preserve"> </w:t>
      </w:r>
      <w:r w:rsidRPr="00A10D67">
        <w:rPr>
          <w:sz w:val="22"/>
          <w:szCs w:val="22"/>
          <w:lang w:val="sr-Latn-ME"/>
        </w:rPr>
        <w:t xml:space="preserve">0,1%); </w:t>
      </w:r>
      <w:r w:rsidRPr="00A10D67">
        <w:rPr>
          <w:i/>
          <w:iCs/>
          <w:sz w:val="22"/>
          <w:szCs w:val="22"/>
          <w:lang w:val="sr-Latn-ME"/>
        </w:rPr>
        <w:t>veoma</w:t>
      </w:r>
      <w:r w:rsidRPr="00A10D67">
        <w:rPr>
          <w:sz w:val="22"/>
          <w:szCs w:val="22"/>
          <w:lang w:val="sr-Latn-ME"/>
        </w:rPr>
        <w:t xml:space="preserve"> </w:t>
      </w:r>
      <w:r w:rsidRPr="00A10D67">
        <w:rPr>
          <w:i/>
          <w:iCs/>
          <w:sz w:val="22"/>
          <w:szCs w:val="22"/>
          <w:lang w:val="sr-Latn-ME"/>
        </w:rPr>
        <w:t xml:space="preserve">rijetka </w:t>
      </w:r>
      <w:r w:rsidRPr="00A10D67">
        <w:rPr>
          <w:sz w:val="22"/>
          <w:szCs w:val="22"/>
          <w:lang w:val="sr-Latn-ME"/>
        </w:rPr>
        <w:t>(&lt;</w:t>
      </w:r>
      <w:r w:rsidR="00356374">
        <w:rPr>
          <w:sz w:val="22"/>
          <w:szCs w:val="22"/>
          <w:lang w:val="sr-Latn-ME"/>
        </w:rPr>
        <w:t xml:space="preserve"> </w:t>
      </w:r>
      <w:r w:rsidRPr="00A10D67">
        <w:rPr>
          <w:sz w:val="22"/>
          <w:szCs w:val="22"/>
          <w:lang w:val="sr-Latn-ME"/>
        </w:rPr>
        <w:t xml:space="preserve">0,01%); </w:t>
      </w:r>
      <w:r w:rsidRPr="00A10D67">
        <w:rPr>
          <w:i/>
          <w:iCs/>
          <w:sz w:val="22"/>
          <w:szCs w:val="22"/>
          <w:lang w:val="sr-Latn-ME"/>
        </w:rPr>
        <w:t xml:space="preserve">nepoznata </w:t>
      </w:r>
      <w:r w:rsidRPr="00A10D67">
        <w:rPr>
          <w:sz w:val="22"/>
          <w:szCs w:val="22"/>
          <w:lang w:val="sr-Latn-ME"/>
        </w:rPr>
        <w:t>(ne može se procijeniti učestalost, na osnovu dostupnih podataka).</w:t>
      </w:r>
    </w:p>
    <w:p w14:paraId="002812F6" w14:textId="2915943D" w:rsidR="00356374" w:rsidRPr="00A10D67" w:rsidRDefault="00926382" w:rsidP="00432709">
      <w:pPr>
        <w:tabs>
          <w:tab w:val="left" w:pos="540"/>
          <w:tab w:val="left" w:pos="569"/>
        </w:tabs>
        <w:jc w:val="both"/>
        <w:rPr>
          <w:bCs/>
          <w:sz w:val="22"/>
          <w:szCs w:val="22"/>
          <w:lang w:val="sr-Latn-ME"/>
        </w:rPr>
      </w:pPr>
      <w:r w:rsidRPr="00A10D67">
        <w:rPr>
          <w:bCs/>
          <w:sz w:val="22"/>
          <w:szCs w:val="22"/>
          <w:lang w:val="sr-Latn-ME"/>
        </w:rPr>
        <w:lastRenderedPageBreak/>
        <w:t>Najčešća prijavljena neželjena dejstva su: kašalj, vrtoglavica,</w:t>
      </w:r>
      <w:r w:rsidR="00432709" w:rsidRPr="00A10D67">
        <w:rPr>
          <w:bCs/>
          <w:sz w:val="22"/>
          <w:szCs w:val="22"/>
          <w:lang w:val="sr-Latn-ME"/>
        </w:rPr>
        <w:t xml:space="preserve"> </w:t>
      </w:r>
      <w:r w:rsidRPr="00A10D67">
        <w:rPr>
          <w:bCs/>
          <w:sz w:val="22"/>
          <w:szCs w:val="22"/>
          <w:lang w:val="sr-Latn-ME"/>
        </w:rPr>
        <w:t>hipotenzija i glavobolja. Tokom kliničkih studija, neželjena dejstva su bila uglavnom blaga i prolazna, a u većini slučajeva ni</w:t>
      </w:r>
      <w:r w:rsidR="00FD4928" w:rsidRPr="00A10D67">
        <w:rPr>
          <w:bCs/>
          <w:sz w:val="22"/>
          <w:szCs w:val="22"/>
          <w:lang w:val="sr-Latn-ME"/>
        </w:rPr>
        <w:t>je</w:t>
      </w:r>
      <w:r w:rsidRPr="00A10D67">
        <w:rPr>
          <w:bCs/>
          <w:sz w:val="22"/>
          <w:szCs w:val="22"/>
          <w:lang w:val="sr-Latn-ME"/>
        </w:rPr>
        <w:t>su zahtijevala prekid liječenja.</w:t>
      </w:r>
    </w:p>
    <w:p w14:paraId="3316D694" w14:textId="77777777" w:rsidR="00926382" w:rsidRPr="00A10D67" w:rsidRDefault="00926382" w:rsidP="00432709">
      <w:pPr>
        <w:tabs>
          <w:tab w:val="left" w:pos="540"/>
          <w:tab w:val="left" w:pos="569"/>
        </w:tabs>
        <w:jc w:val="both"/>
        <w:rPr>
          <w:bCs/>
          <w:sz w:val="22"/>
          <w:szCs w:val="22"/>
          <w:lang w:val="sr-Latn-ME"/>
        </w:rPr>
      </w:pPr>
    </w:p>
    <w:p w14:paraId="6AD2588F" w14:textId="386CB7F5" w:rsidR="00926382" w:rsidRPr="00A10D67" w:rsidRDefault="00FD4928" w:rsidP="00432709">
      <w:pPr>
        <w:jc w:val="both"/>
        <w:rPr>
          <w:b/>
          <w:bCs/>
          <w:i/>
          <w:iCs/>
          <w:sz w:val="22"/>
          <w:szCs w:val="22"/>
          <w:u w:val="single"/>
          <w:lang w:val="sr-Latn-ME"/>
        </w:rPr>
      </w:pPr>
      <w:r w:rsidRPr="00A10D67">
        <w:rPr>
          <w:b/>
          <w:bCs/>
          <w:i/>
          <w:iCs/>
          <w:sz w:val="22"/>
          <w:szCs w:val="22"/>
          <w:lang w:val="sr-Latn-ME"/>
        </w:rPr>
        <w:t xml:space="preserve">  </w:t>
      </w:r>
      <w:r w:rsidR="00926382" w:rsidRPr="00A10D67">
        <w:rPr>
          <w:b/>
          <w:bCs/>
          <w:i/>
          <w:iCs/>
          <w:sz w:val="22"/>
          <w:szCs w:val="22"/>
          <w:u w:val="single"/>
          <w:lang w:val="sr-Latn-ME"/>
        </w:rPr>
        <w:t>Lizinopril:</w:t>
      </w:r>
    </w:p>
    <w:p w14:paraId="210C7991" w14:textId="77777777" w:rsidR="00926382" w:rsidRPr="00A10D67" w:rsidRDefault="00926382" w:rsidP="00432709">
      <w:pPr>
        <w:jc w:val="both"/>
        <w:rPr>
          <w:sz w:val="22"/>
          <w:szCs w:val="22"/>
          <w:u w:val="single"/>
          <w:lang w:val="sr-Latn-ME"/>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559"/>
        <w:gridCol w:w="4678"/>
      </w:tblGrid>
      <w:tr w:rsidR="00926382" w:rsidRPr="006F57B4" w14:paraId="02D4A1DB" w14:textId="77777777" w:rsidTr="00327F21">
        <w:trPr>
          <w:trHeight w:val="321"/>
          <w:tblHeader/>
        </w:trPr>
        <w:tc>
          <w:tcPr>
            <w:tcW w:w="3006" w:type="dxa"/>
            <w:shd w:val="clear" w:color="auto" w:fill="auto"/>
          </w:tcPr>
          <w:p w14:paraId="76A08611" w14:textId="3BE4A839" w:rsidR="00926382" w:rsidRPr="00A10D67" w:rsidRDefault="00FD4928" w:rsidP="00432709">
            <w:pPr>
              <w:keepNext/>
              <w:tabs>
                <w:tab w:val="left" w:pos="567"/>
              </w:tabs>
              <w:jc w:val="both"/>
              <w:rPr>
                <w:b/>
                <w:sz w:val="22"/>
                <w:szCs w:val="22"/>
                <w:lang w:val="sr-Latn-ME"/>
              </w:rPr>
            </w:pPr>
            <w:r w:rsidRPr="00A10D67">
              <w:rPr>
                <w:b/>
                <w:sz w:val="22"/>
                <w:szCs w:val="22"/>
                <w:lang w:val="sr-Latn-ME"/>
              </w:rPr>
              <w:t>Sistem organa</w:t>
            </w:r>
          </w:p>
        </w:tc>
        <w:tc>
          <w:tcPr>
            <w:tcW w:w="1559" w:type="dxa"/>
            <w:shd w:val="clear" w:color="auto" w:fill="auto"/>
          </w:tcPr>
          <w:p w14:paraId="07442494" w14:textId="77777777" w:rsidR="00926382" w:rsidRPr="00A10D67" w:rsidRDefault="00926382" w:rsidP="00432709">
            <w:pPr>
              <w:keepNext/>
              <w:tabs>
                <w:tab w:val="left" w:pos="567"/>
              </w:tabs>
              <w:jc w:val="both"/>
              <w:rPr>
                <w:b/>
                <w:sz w:val="22"/>
                <w:szCs w:val="22"/>
                <w:lang w:val="sr-Latn-ME"/>
              </w:rPr>
            </w:pPr>
            <w:r w:rsidRPr="00A10D67">
              <w:rPr>
                <w:b/>
                <w:sz w:val="22"/>
                <w:szCs w:val="22"/>
                <w:lang w:val="sr-Latn-ME"/>
              </w:rPr>
              <w:t>Učestalost</w:t>
            </w:r>
          </w:p>
        </w:tc>
        <w:tc>
          <w:tcPr>
            <w:tcW w:w="4678" w:type="dxa"/>
            <w:shd w:val="clear" w:color="auto" w:fill="auto"/>
          </w:tcPr>
          <w:p w14:paraId="5C3BF28B" w14:textId="77777777" w:rsidR="00926382" w:rsidRPr="00A10D67" w:rsidRDefault="00926382" w:rsidP="00432709">
            <w:pPr>
              <w:keepNext/>
              <w:tabs>
                <w:tab w:val="left" w:pos="567"/>
              </w:tabs>
              <w:jc w:val="both"/>
              <w:rPr>
                <w:b/>
                <w:sz w:val="22"/>
                <w:szCs w:val="22"/>
                <w:lang w:val="sr-Latn-ME"/>
              </w:rPr>
            </w:pPr>
            <w:r w:rsidRPr="00A10D67">
              <w:rPr>
                <w:b/>
                <w:sz w:val="22"/>
                <w:szCs w:val="22"/>
                <w:lang w:val="sr-Latn-ME"/>
              </w:rPr>
              <w:t>Neželjena dejstva</w:t>
            </w:r>
          </w:p>
        </w:tc>
      </w:tr>
      <w:tr w:rsidR="00926382" w:rsidRPr="006F57B4" w14:paraId="25AC522D" w14:textId="77777777" w:rsidTr="00327F21">
        <w:trPr>
          <w:trHeight w:val="516"/>
        </w:trPr>
        <w:tc>
          <w:tcPr>
            <w:tcW w:w="3006" w:type="dxa"/>
            <w:vMerge w:val="restart"/>
            <w:shd w:val="clear" w:color="auto" w:fill="auto"/>
            <w:vAlign w:val="center"/>
          </w:tcPr>
          <w:p w14:paraId="3251FC7E" w14:textId="77777777" w:rsidR="00926382" w:rsidRPr="00A10D67" w:rsidRDefault="00926382" w:rsidP="00432709">
            <w:pPr>
              <w:keepNext/>
              <w:tabs>
                <w:tab w:val="left" w:pos="567"/>
              </w:tabs>
              <w:jc w:val="both"/>
              <w:rPr>
                <w:b/>
                <w:i/>
                <w:sz w:val="22"/>
                <w:szCs w:val="22"/>
                <w:lang w:val="sr-Latn-ME"/>
              </w:rPr>
            </w:pPr>
            <w:r w:rsidRPr="00A10D67">
              <w:rPr>
                <w:b/>
                <w:i/>
                <w:sz w:val="22"/>
                <w:szCs w:val="22"/>
                <w:lang w:val="sr-Latn-ME"/>
              </w:rPr>
              <w:t>Poremećaji krvi i limfnog sistema</w:t>
            </w:r>
          </w:p>
          <w:p w14:paraId="0E502E84" w14:textId="77777777" w:rsidR="00926382" w:rsidRPr="00A10D67" w:rsidRDefault="00926382" w:rsidP="00432709">
            <w:pPr>
              <w:keepNext/>
              <w:tabs>
                <w:tab w:val="left" w:pos="567"/>
              </w:tabs>
              <w:jc w:val="both"/>
              <w:rPr>
                <w:b/>
                <w:i/>
                <w:sz w:val="22"/>
                <w:szCs w:val="22"/>
                <w:lang w:val="sr-Latn-ME"/>
              </w:rPr>
            </w:pPr>
            <w:r w:rsidRPr="00A10D67">
              <w:rPr>
                <w:b/>
                <w:i/>
                <w:sz w:val="22"/>
                <w:szCs w:val="22"/>
                <w:lang w:val="sr-Latn-ME"/>
              </w:rPr>
              <w:t xml:space="preserve"> </w:t>
            </w:r>
          </w:p>
        </w:tc>
        <w:tc>
          <w:tcPr>
            <w:tcW w:w="1559" w:type="dxa"/>
            <w:tcBorders>
              <w:bottom w:val="single" w:sz="4" w:space="0" w:color="auto"/>
            </w:tcBorders>
            <w:shd w:val="clear" w:color="auto" w:fill="auto"/>
          </w:tcPr>
          <w:p w14:paraId="35154609" w14:textId="4E167829" w:rsidR="00926382" w:rsidRPr="00A10D67" w:rsidRDefault="00926382" w:rsidP="00432709">
            <w:pPr>
              <w:keepNext/>
              <w:tabs>
                <w:tab w:val="left" w:pos="567"/>
              </w:tabs>
              <w:jc w:val="both"/>
              <w:rPr>
                <w:sz w:val="22"/>
                <w:szCs w:val="22"/>
                <w:lang w:val="sr-Latn-ME"/>
              </w:rPr>
            </w:pPr>
            <w:r w:rsidRPr="00A10D67">
              <w:rPr>
                <w:sz w:val="22"/>
                <w:szCs w:val="22"/>
                <w:lang w:val="sr-Latn-ME"/>
              </w:rPr>
              <w:t>Rijetk</w:t>
            </w:r>
            <w:r w:rsidR="00FD4928" w:rsidRPr="00A10D67">
              <w:rPr>
                <w:sz w:val="22"/>
                <w:szCs w:val="22"/>
                <w:lang w:val="sr-Latn-ME"/>
              </w:rPr>
              <w:t>o</w:t>
            </w:r>
          </w:p>
        </w:tc>
        <w:tc>
          <w:tcPr>
            <w:tcW w:w="4678" w:type="dxa"/>
            <w:tcBorders>
              <w:bottom w:val="single" w:sz="4" w:space="0" w:color="auto"/>
            </w:tcBorders>
            <w:shd w:val="clear" w:color="auto" w:fill="auto"/>
          </w:tcPr>
          <w:p w14:paraId="0C2C9712" w14:textId="0E3A3E76" w:rsidR="00926382" w:rsidRPr="00A10D67" w:rsidRDefault="00926382" w:rsidP="00432709">
            <w:pPr>
              <w:keepNext/>
              <w:tabs>
                <w:tab w:val="left" w:pos="567"/>
              </w:tabs>
              <w:jc w:val="both"/>
              <w:rPr>
                <w:sz w:val="22"/>
                <w:szCs w:val="22"/>
                <w:lang w:val="sr-Latn-ME"/>
              </w:rPr>
            </w:pPr>
            <w:r w:rsidRPr="00A10D67">
              <w:rPr>
                <w:sz w:val="22"/>
                <w:szCs w:val="22"/>
                <w:lang w:val="sr-Latn-ME"/>
              </w:rPr>
              <w:t>smanjenje vrijednosti hemoglobina i hematokrita</w:t>
            </w:r>
          </w:p>
        </w:tc>
      </w:tr>
      <w:tr w:rsidR="00926382" w:rsidRPr="006F57B4" w14:paraId="35C4EF49" w14:textId="77777777" w:rsidTr="00757BEE">
        <w:trPr>
          <w:trHeight w:val="1121"/>
        </w:trPr>
        <w:tc>
          <w:tcPr>
            <w:tcW w:w="3006" w:type="dxa"/>
            <w:vMerge/>
            <w:shd w:val="clear" w:color="auto" w:fill="auto"/>
            <w:vAlign w:val="center"/>
          </w:tcPr>
          <w:p w14:paraId="5ED94A82" w14:textId="77777777" w:rsidR="00926382" w:rsidRPr="00A10D67" w:rsidRDefault="00926382"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510C45FA" w14:textId="4F0C947C" w:rsidR="00926382" w:rsidRPr="00A10D67" w:rsidRDefault="001019FC" w:rsidP="00432709">
            <w:pPr>
              <w:tabs>
                <w:tab w:val="left" w:pos="567"/>
              </w:tabs>
              <w:jc w:val="both"/>
              <w:rPr>
                <w:sz w:val="22"/>
                <w:szCs w:val="22"/>
                <w:lang w:val="sr-Latn-ME"/>
              </w:rPr>
            </w:pPr>
            <w:r w:rsidRPr="00A10D67">
              <w:rPr>
                <w:sz w:val="22"/>
                <w:szCs w:val="22"/>
                <w:lang w:val="sr-Latn-ME"/>
              </w:rPr>
              <w:t xml:space="preserve">Veoma </w:t>
            </w:r>
            <w:r w:rsidR="00926382" w:rsidRPr="00A10D67">
              <w:rPr>
                <w:sz w:val="22"/>
                <w:szCs w:val="22"/>
                <w:lang w:val="sr-Latn-ME"/>
              </w:rPr>
              <w:t>rijetk</w:t>
            </w:r>
            <w:r w:rsidR="00FD4928" w:rsidRPr="00A10D67">
              <w:rPr>
                <w:sz w:val="22"/>
                <w:szCs w:val="22"/>
                <w:lang w:val="sr-Latn-ME"/>
              </w:rPr>
              <w:t>o</w:t>
            </w:r>
          </w:p>
        </w:tc>
        <w:tc>
          <w:tcPr>
            <w:tcW w:w="4678" w:type="dxa"/>
            <w:tcBorders>
              <w:top w:val="single" w:sz="4" w:space="0" w:color="auto"/>
            </w:tcBorders>
            <w:shd w:val="clear" w:color="auto" w:fill="auto"/>
          </w:tcPr>
          <w:p w14:paraId="207EA677" w14:textId="30A93FDA" w:rsidR="00926382" w:rsidRPr="00A10D67" w:rsidRDefault="00926382">
            <w:pPr>
              <w:tabs>
                <w:tab w:val="left" w:pos="567"/>
              </w:tabs>
              <w:jc w:val="both"/>
              <w:rPr>
                <w:sz w:val="22"/>
                <w:szCs w:val="22"/>
                <w:lang w:val="sr-Latn-ME"/>
              </w:rPr>
            </w:pPr>
            <w:r w:rsidRPr="00A10D67">
              <w:rPr>
                <w:sz w:val="22"/>
                <w:szCs w:val="22"/>
                <w:lang w:val="sr-Latn-ME"/>
              </w:rPr>
              <w:t xml:space="preserve">depresija koštane srži, anemija, trombocitopenija, leukopenija, neutropenija, agranulocitoza (vidjeti </w:t>
            </w:r>
            <w:r w:rsidR="00FD4928" w:rsidRPr="00A10D67">
              <w:rPr>
                <w:sz w:val="22"/>
                <w:szCs w:val="22"/>
                <w:lang w:val="sr-Latn-ME"/>
              </w:rPr>
              <w:t xml:space="preserve">dio </w:t>
            </w:r>
            <w:r w:rsidRPr="00A10D67">
              <w:rPr>
                <w:sz w:val="22"/>
                <w:szCs w:val="22"/>
                <w:lang w:val="sr-Latn-ME"/>
              </w:rPr>
              <w:t>4.4.),</w:t>
            </w:r>
            <w:r w:rsidR="002C1642" w:rsidRPr="00A10D67">
              <w:rPr>
                <w:sz w:val="22"/>
                <w:szCs w:val="22"/>
                <w:lang w:val="sr-Latn-ME"/>
              </w:rPr>
              <w:t xml:space="preserve"> </w:t>
            </w:r>
            <w:r w:rsidRPr="00A10D67">
              <w:rPr>
                <w:sz w:val="22"/>
                <w:szCs w:val="22"/>
                <w:lang w:val="sr-Latn-ME"/>
              </w:rPr>
              <w:t xml:space="preserve">hemolitička anemija, limfadenopatija, autoimuna bolest </w:t>
            </w:r>
          </w:p>
        </w:tc>
      </w:tr>
      <w:tr w:rsidR="00CB4E83" w:rsidRPr="006F57B4" w14:paraId="72A6F64A" w14:textId="77777777" w:rsidTr="00327F21">
        <w:tc>
          <w:tcPr>
            <w:tcW w:w="3006" w:type="dxa"/>
            <w:shd w:val="clear" w:color="auto" w:fill="auto"/>
            <w:vAlign w:val="center"/>
          </w:tcPr>
          <w:p w14:paraId="04C4D085" w14:textId="2C91DFE1" w:rsidR="00CB4E83" w:rsidRPr="00A10D67" w:rsidRDefault="00CB4E83" w:rsidP="00432709">
            <w:pPr>
              <w:tabs>
                <w:tab w:val="left" w:pos="567"/>
              </w:tabs>
              <w:jc w:val="both"/>
              <w:rPr>
                <w:b/>
                <w:i/>
                <w:sz w:val="22"/>
                <w:szCs w:val="22"/>
                <w:lang w:val="sr-Latn-ME"/>
              </w:rPr>
            </w:pPr>
            <w:r w:rsidRPr="00A10D67">
              <w:rPr>
                <w:b/>
                <w:i/>
                <w:sz w:val="22"/>
                <w:szCs w:val="22"/>
                <w:lang w:val="sr-Latn-ME"/>
              </w:rPr>
              <w:t>Poremećaji imunološkog sistema</w:t>
            </w:r>
          </w:p>
        </w:tc>
        <w:tc>
          <w:tcPr>
            <w:tcW w:w="1559" w:type="dxa"/>
            <w:shd w:val="clear" w:color="auto" w:fill="auto"/>
          </w:tcPr>
          <w:p w14:paraId="0D803325" w14:textId="680349C3" w:rsidR="00CB4E83" w:rsidRPr="00A10D67" w:rsidRDefault="00CB4E83" w:rsidP="00432709">
            <w:pPr>
              <w:tabs>
                <w:tab w:val="left" w:pos="567"/>
              </w:tabs>
              <w:jc w:val="both"/>
              <w:rPr>
                <w:sz w:val="22"/>
                <w:szCs w:val="22"/>
                <w:lang w:val="sr-Latn-ME"/>
              </w:rPr>
            </w:pPr>
            <w:r w:rsidRPr="00A10D67">
              <w:rPr>
                <w:sz w:val="22"/>
                <w:szCs w:val="22"/>
                <w:lang w:val="sr-Latn-ME"/>
              </w:rPr>
              <w:t>Nepoznat</w:t>
            </w:r>
            <w:r w:rsidR="00FD4928" w:rsidRPr="00A10D67">
              <w:rPr>
                <w:sz w:val="22"/>
                <w:szCs w:val="22"/>
                <w:lang w:val="sr-Latn-ME"/>
              </w:rPr>
              <w:t>o</w:t>
            </w:r>
          </w:p>
        </w:tc>
        <w:tc>
          <w:tcPr>
            <w:tcW w:w="4678" w:type="dxa"/>
            <w:shd w:val="clear" w:color="auto" w:fill="auto"/>
          </w:tcPr>
          <w:p w14:paraId="0A36C818" w14:textId="54CB8413" w:rsidR="00CB4E83" w:rsidRPr="00A10D67" w:rsidRDefault="00CB4E83" w:rsidP="00432709">
            <w:pPr>
              <w:tabs>
                <w:tab w:val="left" w:pos="567"/>
              </w:tabs>
              <w:jc w:val="both"/>
              <w:rPr>
                <w:sz w:val="22"/>
                <w:szCs w:val="22"/>
                <w:lang w:val="sr-Latn-ME"/>
              </w:rPr>
            </w:pPr>
            <w:r w:rsidRPr="00A10D67">
              <w:rPr>
                <w:sz w:val="22"/>
                <w:szCs w:val="22"/>
                <w:lang w:val="sr-Latn-ME"/>
              </w:rPr>
              <w:t>anafilaktička/anafilaktoidna reakcija</w:t>
            </w:r>
          </w:p>
        </w:tc>
      </w:tr>
      <w:tr w:rsidR="00926382" w:rsidRPr="006F57B4" w14:paraId="594F5FE2" w14:textId="77777777" w:rsidTr="00327F21">
        <w:tc>
          <w:tcPr>
            <w:tcW w:w="3006" w:type="dxa"/>
            <w:shd w:val="clear" w:color="auto" w:fill="auto"/>
            <w:vAlign w:val="center"/>
          </w:tcPr>
          <w:p w14:paraId="5F1C8501"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Endokrini poremećaji</w:t>
            </w:r>
          </w:p>
          <w:p w14:paraId="64276E1F" w14:textId="77777777" w:rsidR="00926382" w:rsidRPr="00A10D67" w:rsidRDefault="00926382" w:rsidP="00432709">
            <w:pPr>
              <w:tabs>
                <w:tab w:val="left" w:pos="567"/>
              </w:tabs>
              <w:jc w:val="both"/>
              <w:rPr>
                <w:b/>
                <w:i/>
                <w:sz w:val="22"/>
                <w:szCs w:val="22"/>
                <w:lang w:val="sr-Latn-ME"/>
              </w:rPr>
            </w:pPr>
          </w:p>
        </w:tc>
        <w:tc>
          <w:tcPr>
            <w:tcW w:w="1559" w:type="dxa"/>
            <w:shd w:val="clear" w:color="auto" w:fill="auto"/>
          </w:tcPr>
          <w:p w14:paraId="57B897A4" w14:textId="6131A730" w:rsidR="00926382" w:rsidRPr="00A10D67" w:rsidRDefault="00926382" w:rsidP="00432709">
            <w:pPr>
              <w:tabs>
                <w:tab w:val="left" w:pos="567"/>
              </w:tabs>
              <w:jc w:val="both"/>
              <w:rPr>
                <w:sz w:val="22"/>
                <w:szCs w:val="22"/>
                <w:lang w:val="sr-Latn-ME"/>
              </w:rPr>
            </w:pPr>
            <w:r w:rsidRPr="00A10D67">
              <w:rPr>
                <w:sz w:val="22"/>
                <w:szCs w:val="22"/>
                <w:lang w:val="sr-Latn-ME"/>
              </w:rPr>
              <w:t>Rijetk</w:t>
            </w:r>
            <w:r w:rsidR="00FD4928" w:rsidRPr="00A10D67">
              <w:rPr>
                <w:sz w:val="22"/>
                <w:szCs w:val="22"/>
                <w:lang w:val="sr-Latn-ME"/>
              </w:rPr>
              <w:t>o</w:t>
            </w:r>
          </w:p>
        </w:tc>
        <w:tc>
          <w:tcPr>
            <w:tcW w:w="4678" w:type="dxa"/>
            <w:shd w:val="clear" w:color="auto" w:fill="auto"/>
          </w:tcPr>
          <w:p w14:paraId="5F9E5C7F" w14:textId="77777777" w:rsidR="00926382" w:rsidRPr="00A10D67" w:rsidRDefault="00926382" w:rsidP="00432709">
            <w:pPr>
              <w:tabs>
                <w:tab w:val="left" w:pos="567"/>
              </w:tabs>
              <w:jc w:val="both"/>
              <w:rPr>
                <w:sz w:val="22"/>
                <w:szCs w:val="22"/>
                <w:lang w:val="sr-Latn-ME"/>
              </w:rPr>
            </w:pPr>
            <w:r w:rsidRPr="00A10D67">
              <w:rPr>
                <w:sz w:val="22"/>
                <w:szCs w:val="22"/>
                <w:lang w:val="sr-Latn-ME"/>
              </w:rPr>
              <w:t xml:space="preserve">sindrom neodgovarajućeg lučenja antidiuretskog hormona (eng. SIADH- </w:t>
            </w:r>
            <w:r w:rsidRPr="00A10D67">
              <w:rPr>
                <w:i/>
                <w:sz w:val="22"/>
                <w:szCs w:val="22"/>
                <w:lang w:val="sr-Latn-ME"/>
              </w:rPr>
              <w:t>Syndrome of inappropriate antidiuretic hormone secretion</w:t>
            </w:r>
            <w:r w:rsidRPr="00A10D67">
              <w:rPr>
                <w:sz w:val="22"/>
                <w:szCs w:val="22"/>
                <w:lang w:val="sr-Latn-ME"/>
              </w:rPr>
              <w:t>)</w:t>
            </w:r>
          </w:p>
        </w:tc>
      </w:tr>
      <w:tr w:rsidR="00926382" w:rsidRPr="006F57B4" w14:paraId="4EDB9EFD" w14:textId="77777777" w:rsidTr="00327F21">
        <w:trPr>
          <w:trHeight w:val="639"/>
        </w:trPr>
        <w:tc>
          <w:tcPr>
            <w:tcW w:w="3006" w:type="dxa"/>
            <w:shd w:val="clear" w:color="auto" w:fill="auto"/>
            <w:vAlign w:val="center"/>
          </w:tcPr>
          <w:p w14:paraId="551E4295"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metabolizma i ishrane</w:t>
            </w:r>
          </w:p>
        </w:tc>
        <w:tc>
          <w:tcPr>
            <w:tcW w:w="1559" w:type="dxa"/>
            <w:shd w:val="clear" w:color="auto" w:fill="auto"/>
          </w:tcPr>
          <w:p w14:paraId="04ED3409" w14:textId="48E7C51D" w:rsidR="00926382" w:rsidRPr="00A10D67" w:rsidRDefault="001019FC" w:rsidP="00432709">
            <w:pPr>
              <w:tabs>
                <w:tab w:val="left" w:pos="567"/>
              </w:tabs>
              <w:jc w:val="both"/>
              <w:rPr>
                <w:sz w:val="22"/>
                <w:szCs w:val="22"/>
                <w:lang w:val="sr-Latn-ME"/>
              </w:rPr>
            </w:pPr>
            <w:r w:rsidRPr="00A10D67">
              <w:rPr>
                <w:sz w:val="22"/>
                <w:szCs w:val="22"/>
                <w:lang w:val="sr-Latn-ME"/>
              </w:rPr>
              <w:t xml:space="preserve">Veoma </w:t>
            </w:r>
            <w:r w:rsidR="00926382" w:rsidRPr="00A10D67">
              <w:rPr>
                <w:sz w:val="22"/>
                <w:szCs w:val="22"/>
                <w:lang w:val="sr-Latn-ME"/>
              </w:rPr>
              <w:t>rijetk</w:t>
            </w:r>
            <w:r w:rsidR="00FD4928" w:rsidRPr="00A10D67">
              <w:rPr>
                <w:sz w:val="22"/>
                <w:szCs w:val="22"/>
                <w:lang w:val="sr-Latn-ME"/>
              </w:rPr>
              <w:t>o</w:t>
            </w:r>
          </w:p>
        </w:tc>
        <w:tc>
          <w:tcPr>
            <w:tcW w:w="4678" w:type="dxa"/>
            <w:shd w:val="clear" w:color="auto" w:fill="auto"/>
          </w:tcPr>
          <w:p w14:paraId="1AF1F1F2" w14:textId="77777777" w:rsidR="00926382" w:rsidRPr="00A10D67" w:rsidRDefault="00926382" w:rsidP="00432709">
            <w:pPr>
              <w:tabs>
                <w:tab w:val="left" w:pos="567"/>
              </w:tabs>
              <w:jc w:val="both"/>
              <w:rPr>
                <w:sz w:val="22"/>
                <w:szCs w:val="22"/>
                <w:lang w:val="sr-Latn-ME"/>
              </w:rPr>
            </w:pPr>
            <w:r w:rsidRPr="00A10D67">
              <w:rPr>
                <w:sz w:val="22"/>
                <w:szCs w:val="22"/>
                <w:lang w:val="sr-Latn-ME"/>
              </w:rPr>
              <w:t>hipoglikemija</w:t>
            </w:r>
          </w:p>
        </w:tc>
      </w:tr>
      <w:tr w:rsidR="00327F21" w:rsidRPr="006F57B4" w14:paraId="4A52F1D7" w14:textId="77777777" w:rsidTr="00757BEE">
        <w:trPr>
          <w:trHeight w:val="639"/>
        </w:trPr>
        <w:tc>
          <w:tcPr>
            <w:tcW w:w="3006" w:type="dxa"/>
            <w:vMerge w:val="restart"/>
            <w:shd w:val="clear" w:color="auto" w:fill="auto"/>
            <w:vAlign w:val="center"/>
          </w:tcPr>
          <w:p w14:paraId="04D33125" w14:textId="24EF9216" w:rsidR="00327F21" w:rsidRPr="00A10D67" w:rsidRDefault="00327F21" w:rsidP="00432709">
            <w:pPr>
              <w:tabs>
                <w:tab w:val="left" w:pos="567"/>
              </w:tabs>
              <w:jc w:val="both"/>
              <w:rPr>
                <w:b/>
                <w:i/>
                <w:sz w:val="22"/>
                <w:szCs w:val="22"/>
                <w:lang w:val="sr-Latn-ME"/>
              </w:rPr>
            </w:pPr>
            <w:r w:rsidRPr="00A10D67">
              <w:rPr>
                <w:b/>
                <w:i/>
                <w:sz w:val="22"/>
                <w:szCs w:val="22"/>
                <w:lang w:val="sr-Latn-ME"/>
              </w:rPr>
              <w:t>Psihijatrijski poremećaji i poremećaji nervnog sistema</w:t>
            </w:r>
          </w:p>
        </w:tc>
        <w:tc>
          <w:tcPr>
            <w:tcW w:w="1559" w:type="dxa"/>
            <w:tcBorders>
              <w:bottom w:val="single" w:sz="4" w:space="0" w:color="auto"/>
            </w:tcBorders>
            <w:shd w:val="clear" w:color="auto" w:fill="auto"/>
          </w:tcPr>
          <w:p w14:paraId="35111117" w14:textId="7E81B9DB" w:rsidR="00327F21" w:rsidRPr="00A10D67" w:rsidRDefault="00327F21" w:rsidP="00432709">
            <w:pPr>
              <w:tabs>
                <w:tab w:val="left" w:pos="567"/>
              </w:tabs>
              <w:jc w:val="both"/>
              <w:rPr>
                <w:sz w:val="22"/>
                <w:szCs w:val="22"/>
                <w:lang w:val="sr-Latn-ME"/>
              </w:rPr>
            </w:pPr>
            <w:r w:rsidRPr="00A10D67">
              <w:rPr>
                <w:sz w:val="22"/>
                <w:szCs w:val="22"/>
                <w:lang w:val="sr-Latn-ME"/>
              </w:rPr>
              <w:t>Čest</w:t>
            </w:r>
            <w:r w:rsidR="00FD4928" w:rsidRPr="00A10D67">
              <w:rPr>
                <w:sz w:val="22"/>
                <w:szCs w:val="22"/>
                <w:lang w:val="sr-Latn-ME"/>
              </w:rPr>
              <w:t>o</w:t>
            </w:r>
          </w:p>
        </w:tc>
        <w:tc>
          <w:tcPr>
            <w:tcW w:w="4678" w:type="dxa"/>
            <w:tcBorders>
              <w:bottom w:val="single" w:sz="4" w:space="0" w:color="auto"/>
            </w:tcBorders>
            <w:shd w:val="clear" w:color="auto" w:fill="auto"/>
          </w:tcPr>
          <w:p w14:paraId="6AC95F1E" w14:textId="51C3FBF8" w:rsidR="00327F21" w:rsidRPr="00A10D67" w:rsidRDefault="00F2462D" w:rsidP="00432709">
            <w:pPr>
              <w:tabs>
                <w:tab w:val="left" w:pos="567"/>
              </w:tabs>
              <w:jc w:val="both"/>
              <w:rPr>
                <w:sz w:val="22"/>
                <w:szCs w:val="22"/>
                <w:lang w:val="sr-Latn-ME"/>
              </w:rPr>
            </w:pPr>
            <w:r>
              <w:rPr>
                <w:sz w:val="22"/>
                <w:szCs w:val="22"/>
                <w:lang w:val="sr-Latn-ME"/>
              </w:rPr>
              <w:t>nesvestica</w:t>
            </w:r>
            <w:r w:rsidR="00327F21" w:rsidRPr="00A10D67">
              <w:rPr>
                <w:sz w:val="22"/>
                <w:szCs w:val="22"/>
                <w:lang w:val="sr-Latn-ME"/>
              </w:rPr>
              <w:t>, glavobolja, sinkopa</w:t>
            </w:r>
          </w:p>
        </w:tc>
      </w:tr>
      <w:tr w:rsidR="00327F21" w:rsidRPr="006F57B4" w14:paraId="59989D3D" w14:textId="77777777" w:rsidTr="00327F21">
        <w:trPr>
          <w:trHeight w:val="180"/>
        </w:trPr>
        <w:tc>
          <w:tcPr>
            <w:tcW w:w="3006" w:type="dxa"/>
            <w:vMerge/>
            <w:shd w:val="clear" w:color="auto" w:fill="auto"/>
            <w:vAlign w:val="center"/>
          </w:tcPr>
          <w:p w14:paraId="5A6F3417" w14:textId="12A37C98"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772E2A92" w14:textId="66A64B35"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FD4928" w:rsidRPr="00A10D67">
              <w:rPr>
                <w:sz w:val="22"/>
                <w:szCs w:val="22"/>
                <w:lang w:val="sr-Latn-ME"/>
              </w:rPr>
              <w:t>o</w:t>
            </w:r>
          </w:p>
          <w:p w14:paraId="41242989" w14:textId="77777777" w:rsidR="00327F21" w:rsidRPr="00A10D67" w:rsidRDefault="00327F21" w:rsidP="00432709">
            <w:pPr>
              <w:tabs>
                <w:tab w:val="left" w:pos="567"/>
              </w:tabs>
              <w:jc w:val="both"/>
              <w:rPr>
                <w:sz w:val="22"/>
                <w:szCs w:val="22"/>
                <w:lang w:val="sr-Latn-ME"/>
              </w:rPr>
            </w:pPr>
          </w:p>
        </w:tc>
        <w:tc>
          <w:tcPr>
            <w:tcW w:w="4678" w:type="dxa"/>
            <w:tcBorders>
              <w:top w:val="single" w:sz="4" w:space="0" w:color="auto"/>
              <w:bottom w:val="single" w:sz="4" w:space="0" w:color="auto"/>
            </w:tcBorders>
            <w:shd w:val="clear" w:color="auto" w:fill="auto"/>
          </w:tcPr>
          <w:p w14:paraId="235A4869" w14:textId="531A067D" w:rsidR="00327F21" w:rsidRPr="00A10D67" w:rsidRDefault="00327F21" w:rsidP="00432709">
            <w:pPr>
              <w:tabs>
                <w:tab w:val="left" w:pos="567"/>
              </w:tabs>
              <w:jc w:val="both"/>
              <w:rPr>
                <w:sz w:val="22"/>
                <w:szCs w:val="22"/>
                <w:highlight w:val="yellow"/>
                <w:lang w:val="sr-Latn-ME"/>
              </w:rPr>
            </w:pPr>
            <w:r w:rsidRPr="00A10D67">
              <w:rPr>
                <w:sz w:val="22"/>
                <w:szCs w:val="22"/>
                <w:lang w:val="sr-Latn-ME"/>
              </w:rPr>
              <w:t>parestezija, vrtoglavica, poremećaji ukusa, poremećaji spavanja, promjene raspoloženja</w:t>
            </w:r>
          </w:p>
        </w:tc>
      </w:tr>
      <w:tr w:rsidR="00327F21" w:rsidRPr="006F57B4" w14:paraId="4768292E" w14:textId="77777777" w:rsidTr="00327F21">
        <w:trPr>
          <w:trHeight w:val="571"/>
        </w:trPr>
        <w:tc>
          <w:tcPr>
            <w:tcW w:w="3006" w:type="dxa"/>
            <w:vMerge/>
            <w:shd w:val="clear" w:color="auto" w:fill="auto"/>
            <w:vAlign w:val="center"/>
          </w:tcPr>
          <w:p w14:paraId="4ED516BC"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5FD60183" w14:textId="14A02299" w:rsidR="00327F21" w:rsidRPr="00A10D67" w:rsidRDefault="00327F21" w:rsidP="00432709">
            <w:pPr>
              <w:tabs>
                <w:tab w:val="left" w:pos="567"/>
              </w:tabs>
              <w:jc w:val="both"/>
              <w:rPr>
                <w:sz w:val="22"/>
                <w:szCs w:val="22"/>
                <w:lang w:val="sr-Latn-ME"/>
              </w:rPr>
            </w:pPr>
            <w:r w:rsidRPr="00A10D67">
              <w:rPr>
                <w:sz w:val="22"/>
                <w:szCs w:val="22"/>
                <w:lang w:val="sr-Latn-ME"/>
              </w:rPr>
              <w:t>Rijetk</w:t>
            </w:r>
            <w:r w:rsidR="00FD4928" w:rsidRPr="00A10D67">
              <w:rPr>
                <w:sz w:val="22"/>
                <w:szCs w:val="22"/>
                <w:lang w:val="sr-Latn-ME"/>
              </w:rPr>
              <w:t>o</w:t>
            </w:r>
          </w:p>
        </w:tc>
        <w:tc>
          <w:tcPr>
            <w:tcW w:w="4678" w:type="dxa"/>
            <w:tcBorders>
              <w:top w:val="single" w:sz="4" w:space="0" w:color="auto"/>
              <w:bottom w:val="single" w:sz="4" w:space="0" w:color="auto"/>
            </w:tcBorders>
            <w:shd w:val="clear" w:color="auto" w:fill="auto"/>
          </w:tcPr>
          <w:p w14:paraId="3004E8EA" w14:textId="03CCDE14" w:rsidR="00327F21" w:rsidRPr="00A10D67" w:rsidRDefault="00327F21" w:rsidP="00432709">
            <w:pPr>
              <w:tabs>
                <w:tab w:val="left" w:pos="567"/>
              </w:tabs>
              <w:jc w:val="both"/>
              <w:rPr>
                <w:sz w:val="22"/>
                <w:szCs w:val="22"/>
                <w:highlight w:val="yellow"/>
                <w:lang w:val="sr-Latn-ME"/>
              </w:rPr>
            </w:pPr>
            <w:r w:rsidRPr="00A10D67">
              <w:rPr>
                <w:sz w:val="22"/>
                <w:szCs w:val="22"/>
                <w:lang w:val="sr-Latn-ME"/>
              </w:rPr>
              <w:t>mentalna konfuzija, poremećaj mirisa</w:t>
            </w:r>
          </w:p>
        </w:tc>
      </w:tr>
      <w:tr w:rsidR="00327F21" w:rsidRPr="006F57B4" w14:paraId="216EB143" w14:textId="77777777" w:rsidTr="00327F21">
        <w:trPr>
          <w:trHeight w:val="549"/>
        </w:trPr>
        <w:tc>
          <w:tcPr>
            <w:tcW w:w="3006" w:type="dxa"/>
            <w:vMerge/>
            <w:tcBorders>
              <w:bottom w:val="single" w:sz="4" w:space="0" w:color="auto"/>
            </w:tcBorders>
            <w:shd w:val="clear" w:color="auto" w:fill="auto"/>
            <w:vAlign w:val="center"/>
          </w:tcPr>
          <w:p w14:paraId="0200B131"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6F9A525B" w14:textId="5E5C0219" w:rsidR="00327F21" w:rsidRPr="00A10D67" w:rsidRDefault="00327F21" w:rsidP="00432709">
            <w:pPr>
              <w:tabs>
                <w:tab w:val="left" w:pos="567"/>
              </w:tabs>
              <w:jc w:val="both"/>
              <w:rPr>
                <w:sz w:val="22"/>
                <w:szCs w:val="22"/>
                <w:lang w:val="sr-Latn-ME"/>
              </w:rPr>
            </w:pPr>
            <w:r w:rsidRPr="00A10D67">
              <w:rPr>
                <w:sz w:val="22"/>
                <w:szCs w:val="22"/>
                <w:lang w:val="sr-Latn-ME"/>
              </w:rPr>
              <w:t>Nepoznat</w:t>
            </w:r>
            <w:r w:rsidR="00FD4928" w:rsidRPr="00A10D67">
              <w:rPr>
                <w:sz w:val="22"/>
                <w:szCs w:val="22"/>
                <w:lang w:val="sr-Latn-ME"/>
              </w:rPr>
              <w:t>o</w:t>
            </w:r>
          </w:p>
        </w:tc>
        <w:tc>
          <w:tcPr>
            <w:tcW w:w="4678" w:type="dxa"/>
            <w:tcBorders>
              <w:top w:val="single" w:sz="4" w:space="0" w:color="auto"/>
            </w:tcBorders>
            <w:shd w:val="clear" w:color="auto" w:fill="auto"/>
          </w:tcPr>
          <w:p w14:paraId="0E5657B0" w14:textId="44EC55FC" w:rsidR="00327F21" w:rsidRPr="00A10D67" w:rsidRDefault="00327F21" w:rsidP="00432709">
            <w:pPr>
              <w:tabs>
                <w:tab w:val="left" w:pos="567"/>
              </w:tabs>
              <w:jc w:val="both"/>
              <w:rPr>
                <w:sz w:val="22"/>
                <w:szCs w:val="22"/>
                <w:lang w:val="sr-Latn-ME"/>
              </w:rPr>
            </w:pPr>
            <w:r w:rsidRPr="00A10D67">
              <w:rPr>
                <w:sz w:val="22"/>
                <w:szCs w:val="22"/>
                <w:lang w:val="sr-Latn-ME"/>
              </w:rPr>
              <w:t>simptomi depresije i halucinacije</w:t>
            </w:r>
          </w:p>
        </w:tc>
      </w:tr>
      <w:tr w:rsidR="00327F21" w:rsidRPr="006F57B4" w14:paraId="7F338C97" w14:textId="77777777" w:rsidTr="00327F21">
        <w:trPr>
          <w:trHeight w:val="210"/>
        </w:trPr>
        <w:tc>
          <w:tcPr>
            <w:tcW w:w="3006" w:type="dxa"/>
            <w:vMerge w:val="restart"/>
            <w:tcBorders>
              <w:top w:val="single" w:sz="4" w:space="0" w:color="auto"/>
            </w:tcBorders>
            <w:shd w:val="clear" w:color="auto" w:fill="auto"/>
            <w:vAlign w:val="center"/>
          </w:tcPr>
          <w:p w14:paraId="00C0D922" w14:textId="1A535789" w:rsidR="00327F21" w:rsidRPr="00A10D67" w:rsidRDefault="00327F21" w:rsidP="00432709">
            <w:pPr>
              <w:tabs>
                <w:tab w:val="left" w:pos="567"/>
              </w:tabs>
              <w:jc w:val="both"/>
              <w:rPr>
                <w:b/>
                <w:i/>
                <w:sz w:val="22"/>
                <w:szCs w:val="22"/>
                <w:lang w:val="sr-Latn-ME"/>
              </w:rPr>
            </w:pPr>
            <w:r w:rsidRPr="00A10D67">
              <w:rPr>
                <w:b/>
                <w:i/>
                <w:sz w:val="22"/>
                <w:szCs w:val="22"/>
                <w:lang w:val="sr-Latn-ME"/>
              </w:rPr>
              <w:t>Srčani i kardiovaskularni poremećaji</w:t>
            </w:r>
          </w:p>
          <w:p w14:paraId="015697D7"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720BC634" w14:textId="0AC973F8" w:rsidR="00327F21" w:rsidRPr="00A10D67" w:rsidRDefault="00327F21" w:rsidP="00432709">
            <w:pPr>
              <w:tabs>
                <w:tab w:val="left" w:pos="567"/>
              </w:tabs>
              <w:jc w:val="both"/>
              <w:rPr>
                <w:sz w:val="22"/>
                <w:szCs w:val="22"/>
                <w:lang w:val="sr-Latn-ME"/>
              </w:rPr>
            </w:pPr>
            <w:r w:rsidRPr="00A10D67">
              <w:rPr>
                <w:sz w:val="22"/>
                <w:szCs w:val="22"/>
                <w:lang w:val="sr-Latn-ME"/>
              </w:rPr>
              <w:t>Čest</w:t>
            </w:r>
            <w:r w:rsidR="00FD4928" w:rsidRPr="00A10D67">
              <w:rPr>
                <w:sz w:val="22"/>
                <w:szCs w:val="22"/>
                <w:lang w:val="sr-Latn-ME"/>
              </w:rPr>
              <w:t>o</w:t>
            </w:r>
          </w:p>
        </w:tc>
        <w:tc>
          <w:tcPr>
            <w:tcW w:w="4678" w:type="dxa"/>
            <w:tcBorders>
              <w:top w:val="single" w:sz="4" w:space="0" w:color="auto"/>
              <w:bottom w:val="single" w:sz="4" w:space="0" w:color="auto"/>
            </w:tcBorders>
            <w:shd w:val="clear" w:color="auto" w:fill="auto"/>
          </w:tcPr>
          <w:p w14:paraId="48BFBFF2" w14:textId="77777777" w:rsidR="00327F21" w:rsidRPr="00A10D67" w:rsidRDefault="00327F21" w:rsidP="00432709">
            <w:pPr>
              <w:tabs>
                <w:tab w:val="left" w:pos="567"/>
              </w:tabs>
              <w:jc w:val="both"/>
              <w:rPr>
                <w:sz w:val="22"/>
                <w:szCs w:val="22"/>
                <w:lang w:val="sr-Latn-ME"/>
              </w:rPr>
            </w:pPr>
            <w:r w:rsidRPr="00A10D67">
              <w:rPr>
                <w:sz w:val="22"/>
                <w:szCs w:val="22"/>
                <w:lang w:val="sr-Latn-ME"/>
              </w:rPr>
              <w:t>ortostatski efekti (uključujući ortostatsku hipotenziju)</w:t>
            </w:r>
          </w:p>
        </w:tc>
      </w:tr>
      <w:tr w:rsidR="00327F21" w:rsidRPr="006F57B4" w14:paraId="5A15DF6F" w14:textId="77777777" w:rsidTr="00327F21">
        <w:trPr>
          <w:trHeight w:val="457"/>
        </w:trPr>
        <w:tc>
          <w:tcPr>
            <w:tcW w:w="3006" w:type="dxa"/>
            <w:vMerge/>
            <w:shd w:val="clear" w:color="auto" w:fill="auto"/>
            <w:vAlign w:val="center"/>
          </w:tcPr>
          <w:p w14:paraId="77A56959"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1FC77C23" w14:textId="6D72A05F"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FD4928" w:rsidRPr="00A10D67">
              <w:rPr>
                <w:sz w:val="22"/>
                <w:szCs w:val="22"/>
                <w:lang w:val="sr-Latn-ME"/>
              </w:rPr>
              <w:t>o</w:t>
            </w:r>
          </w:p>
        </w:tc>
        <w:tc>
          <w:tcPr>
            <w:tcW w:w="4678" w:type="dxa"/>
            <w:tcBorders>
              <w:top w:val="single" w:sz="4" w:space="0" w:color="auto"/>
              <w:bottom w:val="single" w:sz="4" w:space="0" w:color="auto"/>
            </w:tcBorders>
            <w:shd w:val="clear" w:color="auto" w:fill="auto"/>
          </w:tcPr>
          <w:p w14:paraId="42F2077B" w14:textId="6BDE63C7" w:rsidR="00327F21" w:rsidRPr="00A10D67" w:rsidRDefault="00327F21" w:rsidP="00432709">
            <w:pPr>
              <w:tabs>
                <w:tab w:val="left" w:pos="567"/>
              </w:tabs>
              <w:jc w:val="both"/>
              <w:rPr>
                <w:sz w:val="22"/>
                <w:szCs w:val="22"/>
                <w:lang w:val="sr-Latn-ME"/>
              </w:rPr>
            </w:pPr>
            <w:r w:rsidRPr="00A10D67">
              <w:rPr>
                <w:sz w:val="22"/>
                <w:szCs w:val="22"/>
                <w:lang w:val="sr-Latn-ME"/>
              </w:rPr>
              <w:t>infarkt miokarda ili cerebrovaskularni događaj, vjero</w:t>
            </w:r>
            <w:r w:rsidR="00FD4928" w:rsidRPr="00A10D67">
              <w:rPr>
                <w:sz w:val="22"/>
                <w:szCs w:val="22"/>
                <w:lang w:val="sr-Latn-ME"/>
              </w:rPr>
              <w:t>v</w:t>
            </w:r>
            <w:r w:rsidRPr="00A10D67">
              <w:rPr>
                <w:sz w:val="22"/>
                <w:szCs w:val="22"/>
                <w:lang w:val="sr-Latn-ME"/>
              </w:rPr>
              <w:t xml:space="preserve">atno kao posljedica izražene hipotenzije kod pacijenata sa visokim rizikom (vidjeti </w:t>
            </w:r>
            <w:r w:rsidR="00FD4928" w:rsidRPr="00A10D67">
              <w:rPr>
                <w:sz w:val="22"/>
                <w:szCs w:val="22"/>
                <w:lang w:val="sr-Latn-ME"/>
              </w:rPr>
              <w:t>dio</w:t>
            </w:r>
            <w:r w:rsidRPr="00A10D67">
              <w:rPr>
                <w:sz w:val="22"/>
                <w:szCs w:val="22"/>
                <w:lang w:val="sr-Latn-ME"/>
              </w:rPr>
              <w:t xml:space="preserve"> 4.4.), palpitacije, tahikardija, </w:t>
            </w:r>
            <w:r w:rsidRPr="00A10D67">
              <w:rPr>
                <w:i/>
                <w:sz w:val="22"/>
                <w:szCs w:val="22"/>
                <w:lang w:val="sr-Latn-ME"/>
              </w:rPr>
              <w:t>Raynaud</w:t>
            </w:r>
            <w:r w:rsidRPr="00A10D67">
              <w:rPr>
                <w:sz w:val="22"/>
                <w:szCs w:val="22"/>
                <w:lang w:val="sr-Latn-ME"/>
              </w:rPr>
              <w:t>ov sindrom</w:t>
            </w:r>
          </w:p>
        </w:tc>
      </w:tr>
      <w:tr w:rsidR="00327F21" w:rsidRPr="006F57B4" w14:paraId="55E6ACC4" w14:textId="77777777" w:rsidTr="00327F21">
        <w:trPr>
          <w:trHeight w:val="422"/>
        </w:trPr>
        <w:tc>
          <w:tcPr>
            <w:tcW w:w="3006" w:type="dxa"/>
            <w:vMerge/>
            <w:shd w:val="clear" w:color="auto" w:fill="auto"/>
            <w:vAlign w:val="center"/>
          </w:tcPr>
          <w:p w14:paraId="142998CB"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1AD753B4" w14:textId="4DA6B6D6" w:rsidR="00327F21" w:rsidRPr="00A10D67" w:rsidRDefault="00327F21" w:rsidP="00432709">
            <w:pPr>
              <w:tabs>
                <w:tab w:val="left" w:pos="567"/>
              </w:tabs>
              <w:jc w:val="both"/>
              <w:rPr>
                <w:sz w:val="22"/>
                <w:szCs w:val="22"/>
                <w:lang w:val="sr-Latn-ME"/>
              </w:rPr>
            </w:pPr>
            <w:r w:rsidRPr="00A10D67">
              <w:rPr>
                <w:sz w:val="22"/>
                <w:szCs w:val="22"/>
                <w:lang w:val="sr-Latn-ME"/>
              </w:rPr>
              <w:t>Nepoznat</w:t>
            </w:r>
            <w:r w:rsidR="00FD4928" w:rsidRPr="00A10D67">
              <w:rPr>
                <w:sz w:val="22"/>
                <w:szCs w:val="22"/>
                <w:lang w:val="sr-Latn-ME"/>
              </w:rPr>
              <w:t>o</w:t>
            </w:r>
          </w:p>
        </w:tc>
        <w:tc>
          <w:tcPr>
            <w:tcW w:w="4678" w:type="dxa"/>
            <w:tcBorders>
              <w:top w:val="single" w:sz="4" w:space="0" w:color="auto"/>
            </w:tcBorders>
            <w:shd w:val="clear" w:color="auto" w:fill="auto"/>
          </w:tcPr>
          <w:p w14:paraId="51B2DD75" w14:textId="0FC11F2A" w:rsidR="00327F21" w:rsidRPr="00A10D67" w:rsidRDefault="00327F21">
            <w:pPr>
              <w:tabs>
                <w:tab w:val="left" w:pos="567"/>
              </w:tabs>
              <w:jc w:val="both"/>
              <w:rPr>
                <w:sz w:val="22"/>
                <w:szCs w:val="22"/>
                <w:lang w:val="sr-Latn-ME"/>
              </w:rPr>
            </w:pPr>
            <w:r w:rsidRPr="00A10D67">
              <w:rPr>
                <w:sz w:val="22"/>
                <w:szCs w:val="22"/>
                <w:lang w:val="sr-Latn-ME"/>
              </w:rPr>
              <w:t>na</w:t>
            </w:r>
            <w:r w:rsidR="00FD4928" w:rsidRPr="00A10D67">
              <w:rPr>
                <w:sz w:val="22"/>
                <w:szCs w:val="22"/>
                <w:lang w:val="sr-Latn-ME"/>
              </w:rPr>
              <w:t>leti</w:t>
            </w:r>
            <w:r w:rsidRPr="00A10D67">
              <w:rPr>
                <w:sz w:val="22"/>
                <w:szCs w:val="22"/>
                <w:lang w:val="sr-Latn-ME"/>
              </w:rPr>
              <w:t xml:space="preserve"> crvenila</w:t>
            </w:r>
          </w:p>
        </w:tc>
      </w:tr>
      <w:tr w:rsidR="00327F21" w:rsidRPr="006F57B4" w14:paraId="6AE63929" w14:textId="77777777" w:rsidTr="00327F21">
        <w:trPr>
          <w:trHeight w:val="426"/>
        </w:trPr>
        <w:tc>
          <w:tcPr>
            <w:tcW w:w="3006" w:type="dxa"/>
            <w:vMerge w:val="restart"/>
            <w:shd w:val="clear" w:color="auto" w:fill="auto"/>
            <w:vAlign w:val="center"/>
          </w:tcPr>
          <w:p w14:paraId="0D7EBE30" w14:textId="77777777" w:rsidR="00327F21" w:rsidRPr="00A10D67" w:rsidRDefault="00327F21" w:rsidP="00432709">
            <w:pPr>
              <w:tabs>
                <w:tab w:val="left" w:pos="567"/>
              </w:tabs>
              <w:jc w:val="both"/>
              <w:rPr>
                <w:b/>
                <w:i/>
                <w:sz w:val="22"/>
                <w:szCs w:val="22"/>
                <w:lang w:val="sr-Latn-ME"/>
              </w:rPr>
            </w:pPr>
          </w:p>
          <w:p w14:paraId="5252E8E4" w14:textId="77777777" w:rsidR="00327F21" w:rsidRPr="00A10D67" w:rsidRDefault="00327F21" w:rsidP="00432709">
            <w:pPr>
              <w:tabs>
                <w:tab w:val="left" w:pos="567"/>
              </w:tabs>
              <w:jc w:val="both"/>
              <w:rPr>
                <w:b/>
                <w:i/>
                <w:sz w:val="22"/>
                <w:szCs w:val="22"/>
                <w:lang w:val="sr-Latn-ME"/>
              </w:rPr>
            </w:pPr>
            <w:r w:rsidRPr="00A10D67">
              <w:rPr>
                <w:b/>
                <w:i/>
                <w:sz w:val="22"/>
                <w:szCs w:val="22"/>
                <w:lang w:val="sr-Latn-ME"/>
              </w:rPr>
              <w:t>Respiratorni, torakalni i medijastinalni poremećaji</w:t>
            </w:r>
          </w:p>
          <w:p w14:paraId="51BD482C" w14:textId="77777777" w:rsidR="00327F21" w:rsidRPr="00A10D67" w:rsidRDefault="00327F21" w:rsidP="00432709">
            <w:pPr>
              <w:tabs>
                <w:tab w:val="left" w:pos="567"/>
              </w:tabs>
              <w:jc w:val="both"/>
              <w:rPr>
                <w:b/>
                <w:i/>
                <w:sz w:val="22"/>
                <w:szCs w:val="22"/>
                <w:lang w:val="sr-Latn-ME"/>
              </w:rPr>
            </w:pPr>
          </w:p>
          <w:p w14:paraId="6586958D" w14:textId="77777777" w:rsidR="00327F21" w:rsidRPr="00A10D67" w:rsidRDefault="00327F21" w:rsidP="00432709">
            <w:pPr>
              <w:tabs>
                <w:tab w:val="left" w:pos="567"/>
              </w:tabs>
              <w:jc w:val="both"/>
              <w:rPr>
                <w:b/>
                <w:i/>
                <w:sz w:val="22"/>
                <w:szCs w:val="22"/>
                <w:lang w:val="sr-Latn-ME"/>
              </w:rPr>
            </w:pPr>
          </w:p>
        </w:tc>
        <w:tc>
          <w:tcPr>
            <w:tcW w:w="1559" w:type="dxa"/>
            <w:tcBorders>
              <w:bottom w:val="single" w:sz="4" w:space="0" w:color="auto"/>
            </w:tcBorders>
            <w:shd w:val="clear" w:color="auto" w:fill="auto"/>
          </w:tcPr>
          <w:p w14:paraId="77242CB1" w14:textId="7ED5458D" w:rsidR="00327F21" w:rsidRPr="00A10D67" w:rsidRDefault="00327F21" w:rsidP="00432709">
            <w:pPr>
              <w:tabs>
                <w:tab w:val="left" w:pos="567"/>
              </w:tabs>
              <w:jc w:val="both"/>
              <w:rPr>
                <w:sz w:val="22"/>
                <w:szCs w:val="22"/>
                <w:lang w:val="sr-Latn-ME"/>
              </w:rPr>
            </w:pPr>
            <w:r w:rsidRPr="00A10D67">
              <w:rPr>
                <w:sz w:val="22"/>
                <w:szCs w:val="22"/>
                <w:lang w:val="sr-Latn-ME"/>
              </w:rPr>
              <w:t>Čest</w:t>
            </w:r>
            <w:r w:rsidR="00FD4928" w:rsidRPr="00A10D67">
              <w:rPr>
                <w:sz w:val="22"/>
                <w:szCs w:val="22"/>
                <w:lang w:val="sr-Latn-ME"/>
              </w:rPr>
              <w:t>o</w:t>
            </w:r>
          </w:p>
        </w:tc>
        <w:tc>
          <w:tcPr>
            <w:tcW w:w="4678" w:type="dxa"/>
            <w:tcBorders>
              <w:bottom w:val="single" w:sz="4" w:space="0" w:color="auto"/>
            </w:tcBorders>
            <w:shd w:val="clear" w:color="auto" w:fill="auto"/>
          </w:tcPr>
          <w:p w14:paraId="41D386C6" w14:textId="56DA345F" w:rsidR="00327F21" w:rsidRPr="00A10D67" w:rsidRDefault="00327F21" w:rsidP="00432709">
            <w:pPr>
              <w:tabs>
                <w:tab w:val="left" w:pos="567"/>
              </w:tabs>
              <w:jc w:val="both"/>
              <w:rPr>
                <w:sz w:val="22"/>
                <w:szCs w:val="22"/>
                <w:lang w:val="sr-Latn-ME"/>
              </w:rPr>
            </w:pPr>
            <w:r w:rsidRPr="00A10D67">
              <w:rPr>
                <w:sz w:val="22"/>
                <w:szCs w:val="22"/>
                <w:lang w:val="sr-Latn-ME"/>
              </w:rPr>
              <w:t xml:space="preserve">kašalj (vidjeti </w:t>
            </w:r>
            <w:r w:rsidR="00FD4928" w:rsidRPr="00A10D67">
              <w:rPr>
                <w:sz w:val="22"/>
                <w:szCs w:val="22"/>
                <w:lang w:val="sr-Latn-ME"/>
              </w:rPr>
              <w:t>dio</w:t>
            </w:r>
            <w:r w:rsidRPr="00A10D67">
              <w:rPr>
                <w:sz w:val="22"/>
                <w:szCs w:val="22"/>
                <w:lang w:val="sr-Latn-ME"/>
              </w:rPr>
              <w:t xml:space="preserve"> 4.4.)</w:t>
            </w:r>
          </w:p>
        </w:tc>
      </w:tr>
      <w:tr w:rsidR="00327F21" w:rsidRPr="006F57B4" w14:paraId="12023BE2" w14:textId="77777777" w:rsidTr="00327F21">
        <w:trPr>
          <w:trHeight w:val="495"/>
        </w:trPr>
        <w:tc>
          <w:tcPr>
            <w:tcW w:w="3006" w:type="dxa"/>
            <w:vMerge/>
            <w:shd w:val="clear" w:color="auto" w:fill="auto"/>
            <w:vAlign w:val="center"/>
          </w:tcPr>
          <w:p w14:paraId="1D2BD4EE"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35946BD4" w14:textId="0C180DFC"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FD4928" w:rsidRPr="00A10D67">
              <w:rPr>
                <w:sz w:val="22"/>
                <w:szCs w:val="22"/>
                <w:lang w:val="sr-Latn-ME"/>
              </w:rPr>
              <w:t>o</w:t>
            </w:r>
          </w:p>
        </w:tc>
        <w:tc>
          <w:tcPr>
            <w:tcW w:w="4678" w:type="dxa"/>
            <w:tcBorders>
              <w:top w:val="single" w:sz="4" w:space="0" w:color="auto"/>
              <w:bottom w:val="single" w:sz="4" w:space="0" w:color="auto"/>
            </w:tcBorders>
            <w:shd w:val="clear" w:color="auto" w:fill="auto"/>
          </w:tcPr>
          <w:p w14:paraId="19F974CA" w14:textId="77777777" w:rsidR="00327F21" w:rsidRPr="00A10D67" w:rsidRDefault="00327F21" w:rsidP="00432709">
            <w:pPr>
              <w:tabs>
                <w:tab w:val="left" w:pos="567"/>
              </w:tabs>
              <w:jc w:val="both"/>
              <w:rPr>
                <w:sz w:val="22"/>
                <w:szCs w:val="22"/>
                <w:lang w:val="sr-Latn-ME"/>
              </w:rPr>
            </w:pPr>
            <w:r w:rsidRPr="00A10D67">
              <w:rPr>
                <w:sz w:val="22"/>
                <w:szCs w:val="22"/>
                <w:lang w:val="sr-Latn-ME"/>
              </w:rPr>
              <w:t>rinitis</w:t>
            </w:r>
          </w:p>
        </w:tc>
      </w:tr>
      <w:tr w:rsidR="00327F21" w:rsidRPr="006F57B4" w14:paraId="0F498CF2" w14:textId="77777777" w:rsidTr="00327F21">
        <w:trPr>
          <w:trHeight w:val="240"/>
        </w:trPr>
        <w:tc>
          <w:tcPr>
            <w:tcW w:w="3006" w:type="dxa"/>
            <w:vMerge/>
            <w:shd w:val="clear" w:color="auto" w:fill="auto"/>
            <w:vAlign w:val="center"/>
          </w:tcPr>
          <w:p w14:paraId="7AC0000D"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32CEE058" w14:textId="0474B3F2" w:rsidR="00327F21" w:rsidRPr="00A10D67" w:rsidRDefault="008C47ED" w:rsidP="00432709">
            <w:pPr>
              <w:tabs>
                <w:tab w:val="left" w:pos="567"/>
              </w:tabs>
              <w:jc w:val="both"/>
              <w:rPr>
                <w:sz w:val="22"/>
                <w:szCs w:val="22"/>
                <w:lang w:val="sr-Latn-ME"/>
              </w:rPr>
            </w:pPr>
            <w:r w:rsidRPr="00A10D67">
              <w:rPr>
                <w:sz w:val="22"/>
                <w:szCs w:val="22"/>
                <w:lang w:val="sr-Latn-ME"/>
              </w:rPr>
              <w:t xml:space="preserve">Veoma </w:t>
            </w:r>
            <w:r w:rsidR="00327F21" w:rsidRPr="00A10D67">
              <w:rPr>
                <w:sz w:val="22"/>
                <w:szCs w:val="22"/>
                <w:lang w:val="sr-Latn-ME"/>
              </w:rPr>
              <w:t>rijetko</w:t>
            </w:r>
          </w:p>
        </w:tc>
        <w:tc>
          <w:tcPr>
            <w:tcW w:w="4678" w:type="dxa"/>
            <w:tcBorders>
              <w:top w:val="single" w:sz="4" w:space="0" w:color="auto"/>
            </w:tcBorders>
            <w:shd w:val="clear" w:color="auto" w:fill="auto"/>
          </w:tcPr>
          <w:p w14:paraId="45815FEB" w14:textId="11DD3E7D" w:rsidR="00327F21" w:rsidRPr="00A10D67" w:rsidRDefault="00327F21" w:rsidP="00432709">
            <w:pPr>
              <w:tabs>
                <w:tab w:val="left" w:pos="567"/>
              </w:tabs>
              <w:jc w:val="both"/>
              <w:rPr>
                <w:sz w:val="22"/>
                <w:szCs w:val="22"/>
                <w:lang w:val="sr-Latn-ME"/>
              </w:rPr>
            </w:pPr>
            <w:r w:rsidRPr="00A10D67">
              <w:rPr>
                <w:sz w:val="22"/>
                <w:szCs w:val="22"/>
                <w:lang w:val="sr-Latn-ME"/>
              </w:rPr>
              <w:t>bronhospazam, sinu</w:t>
            </w:r>
            <w:r w:rsidR="008C47ED" w:rsidRPr="00A10D67">
              <w:rPr>
                <w:sz w:val="22"/>
                <w:szCs w:val="22"/>
                <w:lang w:val="sr-Latn-ME"/>
              </w:rPr>
              <w:t>z</w:t>
            </w:r>
            <w:r w:rsidRPr="00A10D67">
              <w:rPr>
                <w:sz w:val="22"/>
                <w:szCs w:val="22"/>
                <w:lang w:val="sr-Latn-ME"/>
              </w:rPr>
              <w:t xml:space="preserve">itis, alergijski alveolitis/upala pluća sa eozinofilijom, akutni respiratorni distres sindrom (ARDS) (vidjeti </w:t>
            </w:r>
            <w:r w:rsidR="00FD4928" w:rsidRPr="00A10D67">
              <w:rPr>
                <w:sz w:val="22"/>
                <w:szCs w:val="22"/>
                <w:lang w:val="sr-Latn-ME"/>
              </w:rPr>
              <w:t>dio</w:t>
            </w:r>
            <w:r w:rsidRPr="00A10D67">
              <w:rPr>
                <w:sz w:val="22"/>
                <w:szCs w:val="22"/>
                <w:lang w:val="sr-Latn-ME"/>
              </w:rPr>
              <w:t xml:space="preserve"> 4.4.)</w:t>
            </w:r>
          </w:p>
        </w:tc>
      </w:tr>
      <w:tr w:rsidR="00327F21" w:rsidRPr="006F57B4" w14:paraId="11469014" w14:textId="77777777" w:rsidTr="00327F21">
        <w:trPr>
          <w:trHeight w:val="422"/>
        </w:trPr>
        <w:tc>
          <w:tcPr>
            <w:tcW w:w="3006" w:type="dxa"/>
            <w:vMerge w:val="restart"/>
            <w:shd w:val="clear" w:color="auto" w:fill="auto"/>
            <w:vAlign w:val="center"/>
          </w:tcPr>
          <w:p w14:paraId="13B0D9D6" w14:textId="0C27FB9F" w:rsidR="00327F21" w:rsidRPr="00A10D67" w:rsidRDefault="00327F21" w:rsidP="00432709">
            <w:pPr>
              <w:tabs>
                <w:tab w:val="left" w:pos="567"/>
              </w:tabs>
              <w:jc w:val="both"/>
              <w:rPr>
                <w:b/>
                <w:i/>
                <w:sz w:val="22"/>
                <w:szCs w:val="22"/>
                <w:lang w:val="sr-Latn-ME"/>
              </w:rPr>
            </w:pPr>
            <w:r w:rsidRPr="00A10D67">
              <w:rPr>
                <w:b/>
                <w:i/>
                <w:sz w:val="22"/>
                <w:szCs w:val="22"/>
                <w:lang w:val="sr-Latn-ME"/>
              </w:rPr>
              <w:t xml:space="preserve">Poremećaji </w:t>
            </w:r>
            <w:r w:rsidR="008C47ED" w:rsidRPr="00A10D67">
              <w:rPr>
                <w:b/>
                <w:i/>
                <w:sz w:val="22"/>
                <w:szCs w:val="22"/>
                <w:lang w:val="sr-Latn-ME"/>
              </w:rPr>
              <w:t xml:space="preserve">gastrointestinalnog </w:t>
            </w:r>
            <w:r w:rsidRPr="00A10D67">
              <w:rPr>
                <w:b/>
                <w:i/>
                <w:sz w:val="22"/>
                <w:szCs w:val="22"/>
                <w:lang w:val="sr-Latn-ME"/>
              </w:rPr>
              <w:t>sistema</w:t>
            </w:r>
          </w:p>
          <w:p w14:paraId="02A1A9E2" w14:textId="77777777" w:rsidR="00327F21" w:rsidRPr="00A10D67" w:rsidRDefault="00327F21" w:rsidP="00432709">
            <w:pPr>
              <w:tabs>
                <w:tab w:val="left" w:pos="567"/>
              </w:tabs>
              <w:jc w:val="both"/>
              <w:rPr>
                <w:b/>
                <w:i/>
                <w:sz w:val="22"/>
                <w:szCs w:val="22"/>
                <w:lang w:val="sr-Latn-ME"/>
              </w:rPr>
            </w:pPr>
          </w:p>
        </w:tc>
        <w:tc>
          <w:tcPr>
            <w:tcW w:w="1559" w:type="dxa"/>
            <w:tcBorders>
              <w:bottom w:val="single" w:sz="4" w:space="0" w:color="auto"/>
            </w:tcBorders>
            <w:shd w:val="clear" w:color="auto" w:fill="auto"/>
          </w:tcPr>
          <w:p w14:paraId="0EFEECFD" w14:textId="6FB2EEE4" w:rsidR="00327F21" w:rsidRPr="00A10D67" w:rsidRDefault="00327F21" w:rsidP="00432709">
            <w:pPr>
              <w:tabs>
                <w:tab w:val="left" w:pos="567"/>
              </w:tabs>
              <w:jc w:val="both"/>
              <w:rPr>
                <w:sz w:val="22"/>
                <w:szCs w:val="22"/>
                <w:lang w:val="sr-Latn-ME"/>
              </w:rPr>
            </w:pPr>
            <w:r w:rsidRPr="00A10D67">
              <w:rPr>
                <w:sz w:val="22"/>
                <w:szCs w:val="22"/>
                <w:lang w:val="sr-Latn-ME"/>
              </w:rPr>
              <w:t>Čest</w:t>
            </w:r>
            <w:r w:rsidR="00FD4928" w:rsidRPr="00A10D67">
              <w:rPr>
                <w:sz w:val="22"/>
                <w:szCs w:val="22"/>
                <w:lang w:val="sr-Latn-ME"/>
              </w:rPr>
              <w:t>o</w:t>
            </w:r>
          </w:p>
        </w:tc>
        <w:tc>
          <w:tcPr>
            <w:tcW w:w="4678" w:type="dxa"/>
            <w:tcBorders>
              <w:bottom w:val="single" w:sz="4" w:space="0" w:color="auto"/>
            </w:tcBorders>
            <w:shd w:val="clear" w:color="auto" w:fill="auto"/>
          </w:tcPr>
          <w:p w14:paraId="64D66DFE" w14:textId="77777777" w:rsidR="00327F21" w:rsidRPr="00A10D67" w:rsidRDefault="00327F21" w:rsidP="00432709">
            <w:pPr>
              <w:tabs>
                <w:tab w:val="left" w:pos="567"/>
              </w:tabs>
              <w:jc w:val="both"/>
              <w:rPr>
                <w:sz w:val="22"/>
                <w:szCs w:val="22"/>
                <w:lang w:val="sr-Latn-ME"/>
              </w:rPr>
            </w:pPr>
            <w:r w:rsidRPr="00A10D67">
              <w:rPr>
                <w:sz w:val="22"/>
                <w:szCs w:val="22"/>
                <w:lang w:val="sr-Latn-ME"/>
              </w:rPr>
              <w:t>dijareja, povraćanje</w:t>
            </w:r>
          </w:p>
        </w:tc>
      </w:tr>
      <w:tr w:rsidR="00327F21" w:rsidRPr="006F57B4" w14:paraId="3E778F36" w14:textId="77777777" w:rsidTr="00327F21">
        <w:trPr>
          <w:trHeight w:val="165"/>
        </w:trPr>
        <w:tc>
          <w:tcPr>
            <w:tcW w:w="3006" w:type="dxa"/>
            <w:vMerge/>
            <w:shd w:val="clear" w:color="auto" w:fill="auto"/>
            <w:vAlign w:val="center"/>
          </w:tcPr>
          <w:p w14:paraId="5B120AD5"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5E3676BA" w14:textId="3E83847C"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FD4928" w:rsidRPr="00A10D67">
              <w:rPr>
                <w:sz w:val="22"/>
                <w:szCs w:val="22"/>
                <w:lang w:val="sr-Latn-ME"/>
              </w:rPr>
              <w:t>o</w:t>
            </w:r>
            <w:r w:rsidRPr="00A10D67">
              <w:rPr>
                <w:sz w:val="22"/>
                <w:szCs w:val="22"/>
                <w:lang w:val="sr-Latn-ME"/>
              </w:rPr>
              <w:t xml:space="preserve"> </w:t>
            </w:r>
          </w:p>
        </w:tc>
        <w:tc>
          <w:tcPr>
            <w:tcW w:w="4678" w:type="dxa"/>
            <w:tcBorders>
              <w:top w:val="single" w:sz="4" w:space="0" w:color="auto"/>
              <w:bottom w:val="single" w:sz="4" w:space="0" w:color="auto"/>
            </w:tcBorders>
            <w:shd w:val="clear" w:color="auto" w:fill="auto"/>
          </w:tcPr>
          <w:p w14:paraId="6A75A63E" w14:textId="47430B8E" w:rsidR="00327F21" w:rsidRPr="00A10D67" w:rsidRDefault="00327F21">
            <w:pPr>
              <w:tabs>
                <w:tab w:val="left" w:pos="567"/>
              </w:tabs>
              <w:jc w:val="both"/>
              <w:rPr>
                <w:sz w:val="22"/>
                <w:szCs w:val="22"/>
                <w:lang w:val="sr-Latn-ME"/>
              </w:rPr>
            </w:pPr>
            <w:r w:rsidRPr="00A10D67">
              <w:rPr>
                <w:sz w:val="22"/>
                <w:szCs w:val="22"/>
                <w:lang w:val="sr-Latn-ME"/>
              </w:rPr>
              <w:t>mučnina, abdominaln</w:t>
            </w:r>
            <w:r w:rsidR="00FD4928" w:rsidRPr="00A10D67">
              <w:rPr>
                <w:sz w:val="22"/>
                <w:szCs w:val="22"/>
                <w:lang w:val="sr-Latn-ME"/>
              </w:rPr>
              <w:t>i</w:t>
            </w:r>
            <w:r w:rsidRPr="00A10D67">
              <w:rPr>
                <w:sz w:val="22"/>
                <w:szCs w:val="22"/>
                <w:lang w:val="sr-Latn-ME"/>
              </w:rPr>
              <w:t xml:space="preserve"> bol, poremećaj </w:t>
            </w:r>
            <w:r w:rsidR="00FD4928" w:rsidRPr="00A10D67">
              <w:rPr>
                <w:sz w:val="22"/>
                <w:szCs w:val="22"/>
                <w:lang w:val="sr-Latn-ME"/>
              </w:rPr>
              <w:t>varenja</w:t>
            </w:r>
          </w:p>
        </w:tc>
      </w:tr>
      <w:tr w:rsidR="00327F21" w:rsidRPr="006F57B4" w14:paraId="58DFFCB0" w14:textId="77777777" w:rsidTr="00327F21">
        <w:trPr>
          <w:trHeight w:val="423"/>
        </w:trPr>
        <w:tc>
          <w:tcPr>
            <w:tcW w:w="3006" w:type="dxa"/>
            <w:vMerge/>
            <w:shd w:val="clear" w:color="auto" w:fill="auto"/>
            <w:vAlign w:val="center"/>
          </w:tcPr>
          <w:p w14:paraId="0BBDD9AC"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0D5440CD" w14:textId="721F1748" w:rsidR="00327F21" w:rsidRPr="00A10D67" w:rsidRDefault="00327F21" w:rsidP="00432709">
            <w:pPr>
              <w:tabs>
                <w:tab w:val="left" w:pos="567"/>
              </w:tabs>
              <w:jc w:val="both"/>
              <w:rPr>
                <w:sz w:val="22"/>
                <w:szCs w:val="22"/>
                <w:lang w:val="sr-Latn-ME"/>
              </w:rPr>
            </w:pPr>
            <w:r w:rsidRPr="00A10D67">
              <w:rPr>
                <w:sz w:val="22"/>
                <w:szCs w:val="22"/>
                <w:lang w:val="sr-Latn-ME"/>
              </w:rPr>
              <w:t>Rijetk</w:t>
            </w:r>
            <w:r w:rsidR="00FD4928" w:rsidRPr="00A10D67">
              <w:rPr>
                <w:sz w:val="22"/>
                <w:szCs w:val="22"/>
                <w:lang w:val="sr-Latn-ME"/>
              </w:rPr>
              <w:t>o</w:t>
            </w:r>
          </w:p>
        </w:tc>
        <w:tc>
          <w:tcPr>
            <w:tcW w:w="4678" w:type="dxa"/>
            <w:tcBorders>
              <w:top w:val="single" w:sz="4" w:space="0" w:color="auto"/>
              <w:bottom w:val="single" w:sz="4" w:space="0" w:color="auto"/>
            </w:tcBorders>
            <w:shd w:val="clear" w:color="auto" w:fill="auto"/>
          </w:tcPr>
          <w:p w14:paraId="7446BD7B" w14:textId="77777777" w:rsidR="00327F21" w:rsidRPr="00A10D67" w:rsidRDefault="00327F21" w:rsidP="00432709">
            <w:pPr>
              <w:tabs>
                <w:tab w:val="left" w:pos="567"/>
              </w:tabs>
              <w:jc w:val="both"/>
              <w:rPr>
                <w:sz w:val="22"/>
                <w:szCs w:val="22"/>
                <w:lang w:val="sr-Latn-ME"/>
              </w:rPr>
            </w:pPr>
            <w:r w:rsidRPr="00A10D67">
              <w:rPr>
                <w:sz w:val="22"/>
                <w:szCs w:val="22"/>
                <w:lang w:val="sr-Latn-ME"/>
              </w:rPr>
              <w:t>suva usta</w:t>
            </w:r>
          </w:p>
        </w:tc>
      </w:tr>
      <w:tr w:rsidR="00327F21" w:rsidRPr="006F57B4" w14:paraId="6CA8C6FD" w14:textId="77777777" w:rsidTr="00327F21">
        <w:trPr>
          <w:trHeight w:val="180"/>
        </w:trPr>
        <w:tc>
          <w:tcPr>
            <w:tcW w:w="3006" w:type="dxa"/>
            <w:vMerge/>
            <w:shd w:val="clear" w:color="auto" w:fill="auto"/>
            <w:vAlign w:val="center"/>
          </w:tcPr>
          <w:p w14:paraId="23EDC016"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72EEBECA" w14:textId="2DCD170C" w:rsidR="00327F21" w:rsidRPr="00A10D67" w:rsidRDefault="00327F21" w:rsidP="00432709">
            <w:pPr>
              <w:tabs>
                <w:tab w:val="left" w:pos="567"/>
              </w:tabs>
              <w:jc w:val="both"/>
              <w:rPr>
                <w:sz w:val="22"/>
                <w:szCs w:val="22"/>
                <w:lang w:val="sr-Latn-ME"/>
              </w:rPr>
            </w:pPr>
            <w:r w:rsidRPr="00A10D67">
              <w:rPr>
                <w:sz w:val="22"/>
                <w:szCs w:val="22"/>
                <w:lang w:val="sr-Latn-ME"/>
              </w:rPr>
              <w:t>Vrlo rijetk</w:t>
            </w:r>
            <w:r w:rsidR="00FD4928" w:rsidRPr="00A10D67">
              <w:rPr>
                <w:sz w:val="22"/>
                <w:szCs w:val="22"/>
                <w:lang w:val="sr-Latn-ME"/>
              </w:rPr>
              <w:t>o</w:t>
            </w:r>
          </w:p>
          <w:p w14:paraId="4C1A516E" w14:textId="77777777" w:rsidR="00327F21" w:rsidRPr="00A10D67" w:rsidRDefault="00327F21" w:rsidP="00432709">
            <w:pPr>
              <w:tabs>
                <w:tab w:val="left" w:pos="567"/>
              </w:tabs>
              <w:jc w:val="both"/>
              <w:rPr>
                <w:sz w:val="22"/>
                <w:szCs w:val="22"/>
                <w:lang w:val="sr-Latn-ME"/>
              </w:rPr>
            </w:pPr>
          </w:p>
        </w:tc>
        <w:tc>
          <w:tcPr>
            <w:tcW w:w="4678" w:type="dxa"/>
            <w:tcBorders>
              <w:top w:val="single" w:sz="4" w:space="0" w:color="auto"/>
            </w:tcBorders>
            <w:shd w:val="clear" w:color="auto" w:fill="auto"/>
          </w:tcPr>
          <w:p w14:paraId="28B2C127" w14:textId="77777777" w:rsidR="00327F21" w:rsidRPr="00A10D67" w:rsidRDefault="00327F21" w:rsidP="00432709">
            <w:pPr>
              <w:tabs>
                <w:tab w:val="left" w:pos="567"/>
              </w:tabs>
              <w:jc w:val="both"/>
              <w:rPr>
                <w:sz w:val="22"/>
                <w:szCs w:val="22"/>
                <w:lang w:val="sr-Latn-ME"/>
              </w:rPr>
            </w:pPr>
            <w:r w:rsidRPr="00A10D67">
              <w:rPr>
                <w:sz w:val="22"/>
                <w:szCs w:val="22"/>
                <w:lang w:val="sr-Latn-ME"/>
              </w:rPr>
              <w:t>pankreatitis, intestinalni angioedem</w:t>
            </w:r>
          </w:p>
        </w:tc>
      </w:tr>
      <w:tr w:rsidR="00327F21" w:rsidRPr="006F57B4" w14:paraId="63936B11" w14:textId="77777777" w:rsidTr="00327F21">
        <w:trPr>
          <w:trHeight w:val="165"/>
        </w:trPr>
        <w:tc>
          <w:tcPr>
            <w:tcW w:w="3006" w:type="dxa"/>
            <w:vMerge w:val="restart"/>
            <w:shd w:val="clear" w:color="auto" w:fill="auto"/>
            <w:vAlign w:val="center"/>
          </w:tcPr>
          <w:p w14:paraId="21E6BF3D" w14:textId="77777777" w:rsidR="00327F21" w:rsidRPr="00A10D67" w:rsidRDefault="00327F21" w:rsidP="00432709">
            <w:pPr>
              <w:tabs>
                <w:tab w:val="left" w:pos="567"/>
              </w:tabs>
              <w:jc w:val="both"/>
              <w:rPr>
                <w:b/>
                <w:i/>
                <w:sz w:val="22"/>
                <w:szCs w:val="22"/>
                <w:lang w:val="sr-Latn-ME"/>
              </w:rPr>
            </w:pPr>
            <w:r w:rsidRPr="00A10D67">
              <w:rPr>
                <w:b/>
                <w:i/>
                <w:sz w:val="22"/>
                <w:szCs w:val="22"/>
                <w:lang w:val="sr-Latn-ME"/>
              </w:rPr>
              <w:t>Poremećaji jetre i žuči</w:t>
            </w:r>
          </w:p>
          <w:p w14:paraId="2C434D38" w14:textId="77777777" w:rsidR="00327F21" w:rsidRPr="00A10D67" w:rsidRDefault="00327F21" w:rsidP="00432709">
            <w:pPr>
              <w:tabs>
                <w:tab w:val="left" w:pos="567"/>
              </w:tabs>
              <w:jc w:val="both"/>
              <w:rPr>
                <w:b/>
                <w:i/>
                <w:sz w:val="22"/>
                <w:szCs w:val="22"/>
                <w:lang w:val="sr-Latn-ME"/>
              </w:rPr>
            </w:pPr>
          </w:p>
        </w:tc>
        <w:tc>
          <w:tcPr>
            <w:tcW w:w="1559" w:type="dxa"/>
            <w:tcBorders>
              <w:bottom w:val="single" w:sz="4" w:space="0" w:color="auto"/>
            </w:tcBorders>
            <w:shd w:val="clear" w:color="auto" w:fill="auto"/>
          </w:tcPr>
          <w:p w14:paraId="2CF630D1" w14:textId="2FFA04CC"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FD4928" w:rsidRPr="00A10D67">
              <w:rPr>
                <w:sz w:val="22"/>
                <w:szCs w:val="22"/>
                <w:lang w:val="sr-Latn-ME"/>
              </w:rPr>
              <w:t>o</w:t>
            </w:r>
          </w:p>
        </w:tc>
        <w:tc>
          <w:tcPr>
            <w:tcW w:w="4678" w:type="dxa"/>
            <w:tcBorders>
              <w:bottom w:val="single" w:sz="4" w:space="0" w:color="auto"/>
            </w:tcBorders>
            <w:shd w:val="clear" w:color="auto" w:fill="auto"/>
          </w:tcPr>
          <w:p w14:paraId="7BBB82BC" w14:textId="74ECB8C8" w:rsidR="00327F21" w:rsidRPr="00A10D67" w:rsidRDefault="00327F21" w:rsidP="00432709">
            <w:pPr>
              <w:tabs>
                <w:tab w:val="left" w:pos="567"/>
              </w:tabs>
              <w:jc w:val="both"/>
              <w:rPr>
                <w:sz w:val="22"/>
                <w:szCs w:val="22"/>
                <w:lang w:val="sr-Latn-ME"/>
              </w:rPr>
            </w:pPr>
            <w:r w:rsidRPr="00A10D67">
              <w:rPr>
                <w:sz w:val="22"/>
                <w:szCs w:val="22"/>
                <w:lang w:val="sr-Latn-ME"/>
              </w:rPr>
              <w:t>povišene vrijednosti enzima</w:t>
            </w:r>
            <w:r w:rsidR="008C47ED" w:rsidRPr="00A10D67">
              <w:rPr>
                <w:sz w:val="22"/>
                <w:szCs w:val="22"/>
                <w:lang w:val="sr-Latn-ME"/>
              </w:rPr>
              <w:t xml:space="preserve"> jetre</w:t>
            </w:r>
            <w:r w:rsidRPr="00A10D67">
              <w:rPr>
                <w:sz w:val="22"/>
                <w:szCs w:val="22"/>
                <w:lang w:val="sr-Latn-ME"/>
              </w:rPr>
              <w:t xml:space="preserve"> i bilirubina</w:t>
            </w:r>
          </w:p>
        </w:tc>
      </w:tr>
      <w:tr w:rsidR="00327F21" w:rsidRPr="006F57B4" w14:paraId="3775CACC" w14:textId="77777777" w:rsidTr="00327F21">
        <w:trPr>
          <w:trHeight w:val="105"/>
        </w:trPr>
        <w:tc>
          <w:tcPr>
            <w:tcW w:w="3006" w:type="dxa"/>
            <w:vMerge/>
            <w:shd w:val="clear" w:color="auto" w:fill="auto"/>
            <w:vAlign w:val="center"/>
          </w:tcPr>
          <w:p w14:paraId="297F6649"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1783C2B5" w14:textId="2596CCFE" w:rsidR="00327F21" w:rsidRPr="00A10D67" w:rsidRDefault="008C47ED" w:rsidP="00432709">
            <w:pPr>
              <w:tabs>
                <w:tab w:val="left" w:pos="567"/>
              </w:tabs>
              <w:jc w:val="both"/>
              <w:rPr>
                <w:sz w:val="22"/>
                <w:szCs w:val="22"/>
                <w:lang w:val="sr-Latn-ME"/>
              </w:rPr>
            </w:pPr>
            <w:r w:rsidRPr="00A10D67">
              <w:rPr>
                <w:sz w:val="22"/>
                <w:szCs w:val="22"/>
                <w:lang w:val="sr-Latn-ME"/>
              </w:rPr>
              <w:t xml:space="preserve">Veoma </w:t>
            </w:r>
            <w:r w:rsidR="00327F21" w:rsidRPr="00A10D67">
              <w:rPr>
                <w:sz w:val="22"/>
                <w:szCs w:val="22"/>
                <w:lang w:val="sr-Latn-ME"/>
              </w:rPr>
              <w:t>rijetk</w:t>
            </w:r>
            <w:r w:rsidR="00FD4928" w:rsidRPr="00A10D67">
              <w:rPr>
                <w:sz w:val="22"/>
                <w:szCs w:val="22"/>
                <w:lang w:val="sr-Latn-ME"/>
              </w:rPr>
              <w:t>o</w:t>
            </w:r>
          </w:p>
          <w:p w14:paraId="34D15878" w14:textId="77777777" w:rsidR="00327F21" w:rsidRPr="00A10D67" w:rsidRDefault="00327F21" w:rsidP="00432709">
            <w:pPr>
              <w:tabs>
                <w:tab w:val="left" w:pos="567"/>
              </w:tabs>
              <w:jc w:val="both"/>
              <w:rPr>
                <w:sz w:val="22"/>
                <w:szCs w:val="22"/>
                <w:lang w:val="sr-Latn-ME"/>
              </w:rPr>
            </w:pPr>
          </w:p>
        </w:tc>
        <w:tc>
          <w:tcPr>
            <w:tcW w:w="4678" w:type="dxa"/>
            <w:tcBorders>
              <w:top w:val="single" w:sz="4" w:space="0" w:color="auto"/>
            </w:tcBorders>
            <w:shd w:val="clear" w:color="auto" w:fill="auto"/>
          </w:tcPr>
          <w:p w14:paraId="5E3BCEB4" w14:textId="16572355" w:rsidR="00327F21" w:rsidRPr="00A10D67" w:rsidRDefault="00327F21" w:rsidP="00432709">
            <w:pPr>
              <w:tabs>
                <w:tab w:val="left" w:pos="567"/>
              </w:tabs>
              <w:jc w:val="both"/>
              <w:rPr>
                <w:sz w:val="22"/>
                <w:szCs w:val="22"/>
                <w:lang w:val="sr-Latn-ME"/>
              </w:rPr>
            </w:pPr>
            <w:r w:rsidRPr="00A10D67">
              <w:rPr>
                <w:sz w:val="22"/>
                <w:szCs w:val="22"/>
                <w:lang w:val="sr-Latn-ME"/>
              </w:rPr>
              <w:t>hepatitis (hepatocelularni ili holestatski), žutica,</w:t>
            </w:r>
            <w:r w:rsidR="00432709" w:rsidRPr="00A10D67">
              <w:rPr>
                <w:sz w:val="22"/>
                <w:szCs w:val="22"/>
                <w:lang w:val="sr-Latn-ME"/>
              </w:rPr>
              <w:t xml:space="preserve"> </w:t>
            </w:r>
            <w:r w:rsidRPr="00A10D67">
              <w:rPr>
                <w:sz w:val="22"/>
                <w:szCs w:val="22"/>
                <w:lang w:val="sr-Latn-ME"/>
              </w:rPr>
              <w:t xml:space="preserve">insuficijencija jetre (vidjeti </w:t>
            </w:r>
            <w:r w:rsidR="00973182" w:rsidRPr="00A10D67">
              <w:rPr>
                <w:sz w:val="22"/>
                <w:szCs w:val="22"/>
                <w:lang w:val="sr-Latn-ME"/>
              </w:rPr>
              <w:t>dio</w:t>
            </w:r>
            <w:r w:rsidRPr="00A10D67">
              <w:rPr>
                <w:sz w:val="22"/>
                <w:szCs w:val="22"/>
                <w:lang w:val="sr-Latn-ME"/>
              </w:rPr>
              <w:t xml:space="preserve"> 4.4.). *</w:t>
            </w:r>
          </w:p>
        </w:tc>
      </w:tr>
      <w:tr w:rsidR="00327F21" w:rsidRPr="006F57B4" w14:paraId="51A00AB6" w14:textId="77777777" w:rsidTr="00327F21">
        <w:trPr>
          <w:trHeight w:val="447"/>
        </w:trPr>
        <w:tc>
          <w:tcPr>
            <w:tcW w:w="3006" w:type="dxa"/>
            <w:vMerge w:val="restart"/>
            <w:shd w:val="clear" w:color="auto" w:fill="auto"/>
            <w:vAlign w:val="center"/>
          </w:tcPr>
          <w:p w14:paraId="3CF1D42B" w14:textId="77777777" w:rsidR="00327F21" w:rsidRPr="00A10D67" w:rsidRDefault="00327F21" w:rsidP="00432709">
            <w:pPr>
              <w:tabs>
                <w:tab w:val="left" w:pos="567"/>
              </w:tabs>
              <w:jc w:val="both"/>
              <w:rPr>
                <w:b/>
                <w:i/>
                <w:sz w:val="22"/>
                <w:szCs w:val="22"/>
                <w:lang w:val="sr-Latn-ME"/>
              </w:rPr>
            </w:pPr>
            <w:r w:rsidRPr="00A10D67">
              <w:rPr>
                <w:b/>
                <w:i/>
                <w:sz w:val="22"/>
                <w:szCs w:val="22"/>
                <w:lang w:val="sr-Latn-ME"/>
              </w:rPr>
              <w:t>Poremećaji kože i potkožnog tkiva</w:t>
            </w:r>
          </w:p>
          <w:p w14:paraId="24654A38" w14:textId="77777777" w:rsidR="00327F21" w:rsidRPr="00A10D67" w:rsidRDefault="00327F21" w:rsidP="00432709">
            <w:pPr>
              <w:tabs>
                <w:tab w:val="left" w:pos="567"/>
              </w:tabs>
              <w:jc w:val="both"/>
              <w:rPr>
                <w:b/>
                <w:i/>
                <w:sz w:val="22"/>
                <w:szCs w:val="22"/>
                <w:lang w:val="sr-Latn-ME"/>
              </w:rPr>
            </w:pPr>
          </w:p>
        </w:tc>
        <w:tc>
          <w:tcPr>
            <w:tcW w:w="1559" w:type="dxa"/>
            <w:tcBorders>
              <w:bottom w:val="single" w:sz="4" w:space="0" w:color="auto"/>
            </w:tcBorders>
            <w:shd w:val="clear" w:color="auto" w:fill="auto"/>
          </w:tcPr>
          <w:p w14:paraId="5CDCFC97" w14:textId="27F3300C"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FD4928" w:rsidRPr="00A10D67">
              <w:rPr>
                <w:sz w:val="22"/>
                <w:szCs w:val="22"/>
                <w:lang w:val="sr-Latn-ME"/>
              </w:rPr>
              <w:t>o</w:t>
            </w:r>
          </w:p>
        </w:tc>
        <w:tc>
          <w:tcPr>
            <w:tcW w:w="4678" w:type="dxa"/>
            <w:tcBorders>
              <w:bottom w:val="single" w:sz="4" w:space="0" w:color="auto"/>
            </w:tcBorders>
            <w:shd w:val="clear" w:color="auto" w:fill="auto"/>
          </w:tcPr>
          <w:p w14:paraId="24D31A2E" w14:textId="0D9619B0" w:rsidR="00327F21" w:rsidRPr="00A10D67" w:rsidRDefault="00327F21" w:rsidP="00432709">
            <w:pPr>
              <w:tabs>
                <w:tab w:val="left" w:pos="567"/>
              </w:tabs>
              <w:jc w:val="both"/>
              <w:rPr>
                <w:sz w:val="22"/>
                <w:szCs w:val="22"/>
                <w:lang w:val="sr-Latn-ME"/>
              </w:rPr>
            </w:pPr>
            <w:r w:rsidRPr="00A10D67">
              <w:rPr>
                <w:sz w:val="22"/>
                <w:szCs w:val="22"/>
                <w:lang w:val="sr-Latn-ME"/>
              </w:rPr>
              <w:t>osip, svr</w:t>
            </w:r>
            <w:r w:rsidR="00DD64BA" w:rsidRPr="00A10D67">
              <w:rPr>
                <w:sz w:val="22"/>
                <w:szCs w:val="22"/>
                <w:lang w:val="sr-Latn-ME"/>
              </w:rPr>
              <w:t>a</w:t>
            </w:r>
            <w:r w:rsidRPr="00A10D67">
              <w:rPr>
                <w:sz w:val="22"/>
                <w:szCs w:val="22"/>
                <w:lang w:val="sr-Latn-ME"/>
              </w:rPr>
              <w:t>b</w:t>
            </w:r>
          </w:p>
        </w:tc>
      </w:tr>
      <w:tr w:rsidR="00327F21" w:rsidRPr="006F57B4" w14:paraId="347BD378" w14:textId="77777777" w:rsidTr="00327F21">
        <w:trPr>
          <w:trHeight w:val="407"/>
        </w:trPr>
        <w:tc>
          <w:tcPr>
            <w:tcW w:w="3006" w:type="dxa"/>
            <w:vMerge/>
            <w:shd w:val="clear" w:color="auto" w:fill="auto"/>
            <w:vAlign w:val="center"/>
          </w:tcPr>
          <w:p w14:paraId="03C7C435"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21BEE1CC" w14:textId="378710BB" w:rsidR="00327F21" w:rsidRPr="00A10D67" w:rsidRDefault="00327F21" w:rsidP="00432709">
            <w:pPr>
              <w:tabs>
                <w:tab w:val="left" w:pos="567"/>
              </w:tabs>
              <w:jc w:val="both"/>
              <w:rPr>
                <w:sz w:val="22"/>
                <w:szCs w:val="22"/>
                <w:lang w:val="sr-Latn-ME"/>
              </w:rPr>
            </w:pPr>
            <w:r w:rsidRPr="00A10D67">
              <w:rPr>
                <w:sz w:val="22"/>
                <w:szCs w:val="22"/>
                <w:lang w:val="sr-Latn-ME"/>
              </w:rPr>
              <w:t>Rijetk</w:t>
            </w:r>
            <w:r w:rsidR="00514B54" w:rsidRPr="00A10D67">
              <w:rPr>
                <w:sz w:val="22"/>
                <w:szCs w:val="22"/>
                <w:lang w:val="sr-Latn-ME"/>
              </w:rPr>
              <w:t>o</w:t>
            </w:r>
          </w:p>
        </w:tc>
        <w:tc>
          <w:tcPr>
            <w:tcW w:w="4678" w:type="dxa"/>
            <w:tcBorders>
              <w:top w:val="single" w:sz="4" w:space="0" w:color="auto"/>
              <w:bottom w:val="single" w:sz="4" w:space="0" w:color="auto"/>
            </w:tcBorders>
            <w:shd w:val="clear" w:color="auto" w:fill="auto"/>
          </w:tcPr>
          <w:p w14:paraId="32E91FF5" w14:textId="53999DA4" w:rsidR="00327F21" w:rsidRPr="00A10D67" w:rsidRDefault="00327F21" w:rsidP="00432709">
            <w:pPr>
              <w:tabs>
                <w:tab w:val="left" w:pos="567"/>
              </w:tabs>
              <w:jc w:val="both"/>
              <w:rPr>
                <w:sz w:val="22"/>
                <w:szCs w:val="22"/>
                <w:lang w:val="sr-Latn-ME"/>
              </w:rPr>
            </w:pPr>
            <w:r w:rsidRPr="00A10D67">
              <w:rPr>
                <w:sz w:val="22"/>
                <w:szCs w:val="22"/>
                <w:lang w:val="sr-Latn-ME"/>
              </w:rPr>
              <w:t xml:space="preserve">reakcije preosjetljivosti/angioneurotski edem: angioneurotski edem lica, udova, usana, jezika, glotisa i/ili larinksa (vidjeti </w:t>
            </w:r>
            <w:r w:rsidR="00514B54" w:rsidRPr="00A10D67">
              <w:rPr>
                <w:sz w:val="22"/>
                <w:szCs w:val="22"/>
                <w:lang w:val="sr-Latn-ME"/>
              </w:rPr>
              <w:t>dio</w:t>
            </w:r>
            <w:r w:rsidR="004C6984" w:rsidRPr="00A10D67">
              <w:rPr>
                <w:sz w:val="22"/>
                <w:szCs w:val="22"/>
                <w:lang w:val="sr-Latn-ME"/>
              </w:rPr>
              <w:t xml:space="preserve"> </w:t>
            </w:r>
            <w:r w:rsidRPr="00A10D67">
              <w:rPr>
                <w:sz w:val="22"/>
                <w:szCs w:val="22"/>
                <w:lang w:val="sr-Latn-ME"/>
              </w:rPr>
              <w:t>4.4.), urtikarija, alpoecija, psorijaza</w:t>
            </w:r>
          </w:p>
        </w:tc>
      </w:tr>
      <w:tr w:rsidR="00327F21" w:rsidRPr="006F57B4" w14:paraId="5183F532" w14:textId="77777777" w:rsidTr="00327F21">
        <w:trPr>
          <w:trHeight w:val="180"/>
        </w:trPr>
        <w:tc>
          <w:tcPr>
            <w:tcW w:w="3006" w:type="dxa"/>
            <w:vMerge/>
            <w:shd w:val="clear" w:color="auto" w:fill="auto"/>
            <w:vAlign w:val="center"/>
          </w:tcPr>
          <w:p w14:paraId="0D6C77CA"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153C4804" w14:textId="47416FE6" w:rsidR="00327F21" w:rsidRPr="00A10D67" w:rsidRDefault="008C47ED" w:rsidP="00432709">
            <w:pPr>
              <w:tabs>
                <w:tab w:val="left" w:pos="567"/>
              </w:tabs>
              <w:jc w:val="both"/>
              <w:rPr>
                <w:sz w:val="22"/>
                <w:szCs w:val="22"/>
                <w:lang w:val="sr-Latn-ME"/>
              </w:rPr>
            </w:pPr>
            <w:r w:rsidRPr="00A10D67">
              <w:rPr>
                <w:sz w:val="22"/>
                <w:szCs w:val="22"/>
                <w:lang w:val="sr-Latn-ME"/>
              </w:rPr>
              <w:t xml:space="preserve">Veoma </w:t>
            </w:r>
            <w:r w:rsidR="00327F21" w:rsidRPr="00A10D67">
              <w:rPr>
                <w:sz w:val="22"/>
                <w:szCs w:val="22"/>
                <w:lang w:val="sr-Latn-ME"/>
              </w:rPr>
              <w:t>rijetk</w:t>
            </w:r>
            <w:r w:rsidR="00514B54" w:rsidRPr="00A10D67">
              <w:rPr>
                <w:sz w:val="22"/>
                <w:szCs w:val="22"/>
                <w:lang w:val="sr-Latn-ME"/>
              </w:rPr>
              <w:t>o</w:t>
            </w:r>
          </w:p>
        </w:tc>
        <w:tc>
          <w:tcPr>
            <w:tcW w:w="4678" w:type="dxa"/>
            <w:tcBorders>
              <w:top w:val="single" w:sz="4" w:space="0" w:color="auto"/>
            </w:tcBorders>
            <w:shd w:val="clear" w:color="auto" w:fill="auto"/>
          </w:tcPr>
          <w:p w14:paraId="44A38DCE" w14:textId="77777777" w:rsidR="00327F21" w:rsidRPr="00A10D67" w:rsidRDefault="00327F21" w:rsidP="00432709">
            <w:pPr>
              <w:tabs>
                <w:tab w:val="left" w:pos="567"/>
              </w:tabs>
              <w:jc w:val="both"/>
              <w:rPr>
                <w:sz w:val="22"/>
                <w:szCs w:val="22"/>
                <w:lang w:val="sr-Latn-ME"/>
              </w:rPr>
            </w:pPr>
            <w:r w:rsidRPr="00A10D67">
              <w:rPr>
                <w:sz w:val="22"/>
                <w:szCs w:val="22"/>
                <w:lang w:val="sr-Latn-ME"/>
              </w:rPr>
              <w:t xml:space="preserve">dijaforeza, pemfigus, toksična epidermalna nekroliza, </w:t>
            </w:r>
            <w:r w:rsidRPr="00A10D67">
              <w:rPr>
                <w:i/>
                <w:sz w:val="22"/>
                <w:szCs w:val="22"/>
                <w:lang w:val="sr-Latn-ME"/>
              </w:rPr>
              <w:t>Stevens-Johns</w:t>
            </w:r>
            <w:r w:rsidRPr="00A10D67">
              <w:rPr>
                <w:sz w:val="22"/>
                <w:szCs w:val="22"/>
                <w:lang w:val="sr-Latn-ME"/>
              </w:rPr>
              <w:t xml:space="preserve">ov sindrom, </w:t>
            </w:r>
            <w:r w:rsidRPr="00A10D67">
              <w:rPr>
                <w:i/>
                <w:sz w:val="22"/>
                <w:szCs w:val="22"/>
                <w:lang w:val="sr-Latn-ME"/>
              </w:rPr>
              <w:t>erythema multiforme</w:t>
            </w:r>
            <w:r w:rsidRPr="00A10D67">
              <w:rPr>
                <w:sz w:val="22"/>
                <w:szCs w:val="22"/>
                <w:lang w:val="sr-Latn-ME"/>
              </w:rPr>
              <w:t>, kožni pseudolimfom**</w:t>
            </w:r>
          </w:p>
        </w:tc>
      </w:tr>
      <w:tr w:rsidR="00327F21" w:rsidRPr="006F57B4" w14:paraId="59C83924" w14:textId="77777777" w:rsidTr="00327F21">
        <w:trPr>
          <w:trHeight w:val="486"/>
        </w:trPr>
        <w:tc>
          <w:tcPr>
            <w:tcW w:w="3006" w:type="dxa"/>
            <w:vMerge w:val="restart"/>
            <w:shd w:val="clear" w:color="auto" w:fill="auto"/>
            <w:vAlign w:val="center"/>
          </w:tcPr>
          <w:p w14:paraId="4E626571" w14:textId="77777777" w:rsidR="00327F21" w:rsidRPr="00A10D67" w:rsidRDefault="00327F21" w:rsidP="00432709">
            <w:pPr>
              <w:tabs>
                <w:tab w:val="left" w:pos="567"/>
              </w:tabs>
              <w:jc w:val="both"/>
              <w:rPr>
                <w:b/>
                <w:i/>
                <w:sz w:val="22"/>
                <w:szCs w:val="22"/>
                <w:lang w:val="sr-Latn-ME"/>
              </w:rPr>
            </w:pPr>
            <w:r w:rsidRPr="00A10D67">
              <w:rPr>
                <w:b/>
                <w:i/>
                <w:sz w:val="22"/>
                <w:szCs w:val="22"/>
                <w:lang w:val="sr-Latn-ME"/>
              </w:rPr>
              <w:t>Poremećaji bubrega i mokraćnog sistema</w:t>
            </w:r>
          </w:p>
          <w:p w14:paraId="2FDA7791" w14:textId="77777777" w:rsidR="00327F21" w:rsidRPr="00A10D67" w:rsidRDefault="00327F21" w:rsidP="00432709">
            <w:pPr>
              <w:tabs>
                <w:tab w:val="left" w:pos="567"/>
              </w:tabs>
              <w:jc w:val="both"/>
              <w:rPr>
                <w:b/>
                <w:i/>
                <w:sz w:val="22"/>
                <w:szCs w:val="22"/>
                <w:lang w:val="sr-Latn-ME"/>
              </w:rPr>
            </w:pPr>
          </w:p>
          <w:p w14:paraId="6B29D582" w14:textId="77777777" w:rsidR="00327F21" w:rsidRPr="00A10D67" w:rsidRDefault="00327F21" w:rsidP="00432709">
            <w:pPr>
              <w:tabs>
                <w:tab w:val="left" w:pos="567"/>
              </w:tabs>
              <w:jc w:val="both"/>
              <w:rPr>
                <w:b/>
                <w:i/>
                <w:sz w:val="22"/>
                <w:szCs w:val="22"/>
                <w:lang w:val="sr-Latn-ME"/>
              </w:rPr>
            </w:pPr>
          </w:p>
        </w:tc>
        <w:tc>
          <w:tcPr>
            <w:tcW w:w="1559" w:type="dxa"/>
            <w:tcBorders>
              <w:bottom w:val="single" w:sz="4" w:space="0" w:color="auto"/>
            </w:tcBorders>
            <w:shd w:val="clear" w:color="auto" w:fill="auto"/>
          </w:tcPr>
          <w:p w14:paraId="3EF0C248" w14:textId="346EA3CC" w:rsidR="00327F21" w:rsidRPr="00A10D67" w:rsidRDefault="00327F21" w:rsidP="00432709">
            <w:pPr>
              <w:tabs>
                <w:tab w:val="left" w:pos="567"/>
              </w:tabs>
              <w:jc w:val="both"/>
              <w:rPr>
                <w:sz w:val="22"/>
                <w:szCs w:val="22"/>
                <w:lang w:val="sr-Latn-ME"/>
              </w:rPr>
            </w:pPr>
            <w:r w:rsidRPr="00A10D67">
              <w:rPr>
                <w:sz w:val="22"/>
                <w:szCs w:val="22"/>
                <w:lang w:val="sr-Latn-ME"/>
              </w:rPr>
              <w:t>Čest</w:t>
            </w:r>
            <w:r w:rsidR="00514B54" w:rsidRPr="00A10D67">
              <w:rPr>
                <w:sz w:val="22"/>
                <w:szCs w:val="22"/>
                <w:lang w:val="sr-Latn-ME"/>
              </w:rPr>
              <w:t>o</w:t>
            </w:r>
          </w:p>
        </w:tc>
        <w:tc>
          <w:tcPr>
            <w:tcW w:w="4678" w:type="dxa"/>
            <w:tcBorders>
              <w:bottom w:val="single" w:sz="4" w:space="0" w:color="auto"/>
            </w:tcBorders>
            <w:shd w:val="clear" w:color="auto" w:fill="auto"/>
          </w:tcPr>
          <w:p w14:paraId="355A06EB" w14:textId="77777777" w:rsidR="00327F21" w:rsidRPr="00A10D67" w:rsidRDefault="00327F21" w:rsidP="00432709">
            <w:pPr>
              <w:tabs>
                <w:tab w:val="left" w:pos="567"/>
              </w:tabs>
              <w:jc w:val="both"/>
              <w:rPr>
                <w:sz w:val="22"/>
                <w:szCs w:val="22"/>
                <w:lang w:val="sr-Latn-ME"/>
              </w:rPr>
            </w:pPr>
            <w:r w:rsidRPr="00A10D67">
              <w:rPr>
                <w:sz w:val="22"/>
                <w:szCs w:val="22"/>
                <w:lang w:val="sr-Latn-ME"/>
              </w:rPr>
              <w:t>disfunkcija bubrega</w:t>
            </w:r>
          </w:p>
        </w:tc>
      </w:tr>
      <w:tr w:rsidR="00327F21" w:rsidRPr="006F57B4" w14:paraId="4E85D672" w14:textId="77777777" w:rsidTr="00327F21">
        <w:trPr>
          <w:trHeight w:val="135"/>
        </w:trPr>
        <w:tc>
          <w:tcPr>
            <w:tcW w:w="3006" w:type="dxa"/>
            <w:vMerge/>
            <w:shd w:val="clear" w:color="auto" w:fill="auto"/>
            <w:vAlign w:val="center"/>
          </w:tcPr>
          <w:p w14:paraId="7144F6C3"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bottom w:val="single" w:sz="4" w:space="0" w:color="auto"/>
            </w:tcBorders>
            <w:shd w:val="clear" w:color="auto" w:fill="auto"/>
          </w:tcPr>
          <w:p w14:paraId="7DBB8B20" w14:textId="138E8967" w:rsidR="00327F21" w:rsidRPr="00A10D67" w:rsidRDefault="00327F21" w:rsidP="00432709">
            <w:pPr>
              <w:tabs>
                <w:tab w:val="left" w:pos="567"/>
              </w:tabs>
              <w:jc w:val="both"/>
              <w:rPr>
                <w:sz w:val="22"/>
                <w:szCs w:val="22"/>
                <w:lang w:val="sr-Latn-ME"/>
              </w:rPr>
            </w:pPr>
            <w:r w:rsidRPr="00A10D67">
              <w:rPr>
                <w:sz w:val="22"/>
                <w:szCs w:val="22"/>
                <w:lang w:val="sr-Latn-ME"/>
              </w:rPr>
              <w:t>Rijetk</w:t>
            </w:r>
            <w:r w:rsidR="00514B54" w:rsidRPr="00A10D67">
              <w:rPr>
                <w:sz w:val="22"/>
                <w:szCs w:val="22"/>
                <w:lang w:val="sr-Latn-ME"/>
              </w:rPr>
              <w:t>o</w:t>
            </w:r>
          </w:p>
          <w:p w14:paraId="1ED5473C" w14:textId="77777777" w:rsidR="00327F21" w:rsidRPr="00A10D67" w:rsidRDefault="00327F21" w:rsidP="00432709">
            <w:pPr>
              <w:tabs>
                <w:tab w:val="left" w:pos="567"/>
              </w:tabs>
              <w:jc w:val="both"/>
              <w:rPr>
                <w:sz w:val="22"/>
                <w:szCs w:val="22"/>
                <w:lang w:val="sr-Latn-ME"/>
              </w:rPr>
            </w:pPr>
          </w:p>
        </w:tc>
        <w:tc>
          <w:tcPr>
            <w:tcW w:w="4678" w:type="dxa"/>
            <w:tcBorders>
              <w:top w:val="single" w:sz="4" w:space="0" w:color="auto"/>
              <w:bottom w:val="single" w:sz="4" w:space="0" w:color="auto"/>
            </w:tcBorders>
            <w:shd w:val="clear" w:color="auto" w:fill="auto"/>
          </w:tcPr>
          <w:p w14:paraId="771A7EF8" w14:textId="5E39E20C" w:rsidR="00327F21" w:rsidRPr="00A10D67" w:rsidRDefault="00327F21" w:rsidP="00432709">
            <w:pPr>
              <w:tabs>
                <w:tab w:val="left" w:pos="567"/>
              </w:tabs>
              <w:jc w:val="both"/>
              <w:rPr>
                <w:sz w:val="22"/>
                <w:szCs w:val="22"/>
                <w:lang w:val="sr-Latn-ME"/>
              </w:rPr>
            </w:pPr>
            <w:r w:rsidRPr="00A10D67">
              <w:rPr>
                <w:sz w:val="22"/>
                <w:szCs w:val="22"/>
                <w:lang w:val="sr-Latn-ME"/>
              </w:rPr>
              <w:t>uremija, akutna insuficijencija</w:t>
            </w:r>
            <w:r w:rsidR="00432709" w:rsidRPr="00A10D67">
              <w:rPr>
                <w:sz w:val="22"/>
                <w:szCs w:val="22"/>
                <w:lang w:val="sr-Latn-ME"/>
              </w:rPr>
              <w:t xml:space="preserve"> </w:t>
            </w:r>
            <w:r w:rsidRPr="00A10D67">
              <w:rPr>
                <w:sz w:val="22"/>
                <w:szCs w:val="22"/>
                <w:lang w:val="sr-Latn-ME"/>
              </w:rPr>
              <w:t>bubrega</w:t>
            </w:r>
          </w:p>
        </w:tc>
      </w:tr>
      <w:tr w:rsidR="00327F21" w:rsidRPr="006F57B4" w14:paraId="06B83298" w14:textId="77777777" w:rsidTr="00327F21">
        <w:trPr>
          <w:trHeight w:val="416"/>
        </w:trPr>
        <w:tc>
          <w:tcPr>
            <w:tcW w:w="3006" w:type="dxa"/>
            <w:vMerge/>
            <w:shd w:val="clear" w:color="auto" w:fill="auto"/>
            <w:vAlign w:val="center"/>
          </w:tcPr>
          <w:p w14:paraId="7F80B20C"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073B6003" w14:textId="6DA1D7F3" w:rsidR="00327F21" w:rsidRPr="00A10D67" w:rsidRDefault="008C47ED" w:rsidP="00432709">
            <w:pPr>
              <w:tabs>
                <w:tab w:val="left" w:pos="567"/>
              </w:tabs>
              <w:jc w:val="both"/>
              <w:rPr>
                <w:sz w:val="22"/>
                <w:szCs w:val="22"/>
                <w:lang w:val="sr-Latn-ME"/>
              </w:rPr>
            </w:pPr>
            <w:r w:rsidRPr="00A10D67">
              <w:rPr>
                <w:sz w:val="22"/>
                <w:szCs w:val="22"/>
                <w:lang w:val="sr-Latn-ME"/>
              </w:rPr>
              <w:t xml:space="preserve">Veoma </w:t>
            </w:r>
            <w:r w:rsidR="00327F21" w:rsidRPr="00A10D67">
              <w:rPr>
                <w:sz w:val="22"/>
                <w:szCs w:val="22"/>
                <w:lang w:val="sr-Latn-ME"/>
              </w:rPr>
              <w:t>rijetk</w:t>
            </w:r>
            <w:r w:rsidR="00514B54" w:rsidRPr="00A10D67">
              <w:rPr>
                <w:sz w:val="22"/>
                <w:szCs w:val="22"/>
                <w:lang w:val="sr-Latn-ME"/>
              </w:rPr>
              <w:t>o</w:t>
            </w:r>
          </w:p>
        </w:tc>
        <w:tc>
          <w:tcPr>
            <w:tcW w:w="4678" w:type="dxa"/>
            <w:tcBorders>
              <w:top w:val="single" w:sz="4" w:space="0" w:color="auto"/>
            </w:tcBorders>
            <w:shd w:val="clear" w:color="auto" w:fill="auto"/>
          </w:tcPr>
          <w:p w14:paraId="0BDF0B11" w14:textId="77777777" w:rsidR="00327F21" w:rsidRPr="00A10D67" w:rsidRDefault="00327F21" w:rsidP="00432709">
            <w:pPr>
              <w:tabs>
                <w:tab w:val="left" w:pos="567"/>
              </w:tabs>
              <w:jc w:val="both"/>
              <w:rPr>
                <w:sz w:val="22"/>
                <w:szCs w:val="22"/>
                <w:lang w:val="sr-Latn-ME"/>
              </w:rPr>
            </w:pPr>
            <w:r w:rsidRPr="00A10D67">
              <w:rPr>
                <w:sz w:val="22"/>
                <w:szCs w:val="22"/>
                <w:lang w:val="sr-Latn-ME"/>
              </w:rPr>
              <w:t>oligurija/anurija</w:t>
            </w:r>
          </w:p>
        </w:tc>
      </w:tr>
      <w:tr w:rsidR="00327F21" w:rsidRPr="006F57B4" w14:paraId="632D33A1" w14:textId="77777777" w:rsidTr="00327F21">
        <w:trPr>
          <w:trHeight w:val="421"/>
        </w:trPr>
        <w:tc>
          <w:tcPr>
            <w:tcW w:w="3006" w:type="dxa"/>
            <w:vMerge w:val="restart"/>
            <w:shd w:val="clear" w:color="auto" w:fill="auto"/>
            <w:vAlign w:val="center"/>
          </w:tcPr>
          <w:p w14:paraId="63799329" w14:textId="77777777" w:rsidR="00327F21" w:rsidRPr="00A10D67" w:rsidRDefault="00327F21" w:rsidP="00432709">
            <w:pPr>
              <w:tabs>
                <w:tab w:val="left" w:pos="567"/>
              </w:tabs>
              <w:jc w:val="both"/>
              <w:rPr>
                <w:b/>
                <w:i/>
                <w:sz w:val="22"/>
                <w:szCs w:val="22"/>
                <w:lang w:val="sr-Latn-ME"/>
              </w:rPr>
            </w:pPr>
            <w:r w:rsidRPr="00A10D67">
              <w:rPr>
                <w:b/>
                <w:i/>
                <w:sz w:val="22"/>
                <w:szCs w:val="22"/>
                <w:lang w:val="sr-Latn-ME"/>
              </w:rPr>
              <w:t>Poremećaji reproduktivnog sistema i dojki</w:t>
            </w:r>
          </w:p>
        </w:tc>
        <w:tc>
          <w:tcPr>
            <w:tcW w:w="1559" w:type="dxa"/>
            <w:tcBorders>
              <w:bottom w:val="single" w:sz="4" w:space="0" w:color="auto"/>
            </w:tcBorders>
            <w:shd w:val="clear" w:color="auto" w:fill="auto"/>
          </w:tcPr>
          <w:p w14:paraId="4A0F7099" w14:textId="74E66D33"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514B54" w:rsidRPr="00A10D67">
              <w:rPr>
                <w:sz w:val="22"/>
                <w:szCs w:val="22"/>
                <w:lang w:val="sr-Latn-ME"/>
              </w:rPr>
              <w:t>o</w:t>
            </w:r>
          </w:p>
        </w:tc>
        <w:tc>
          <w:tcPr>
            <w:tcW w:w="4678" w:type="dxa"/>
            <w:tcBorders>
              <w:bottom w:val="single" w:sz="4" w:space="0" w:color="auto"/>
            </w:tcBorders>
            <w:shd w:val="clear" w:color="auto" w:fill="auto"/>
          </w:tcPr>
          <w:p w14:paraId="4D5F7C37" w14:textId="77777777" w:rsidR="00327F21" w:rsidRPr="00A10D67" w:rsidRDefault="00327F21" w:rsidP="00432709">
            <w:pPr>
              <w:tabs>
                <w:tab w:val="left" w:pos="567"/>
              </w:tabs>
              <w:jc w:val="both"/>
              <w:rPr>
                <w:sz w:val="22"/>
                <w:szCs w:val="22"/>
                <w:lang w:val="sr-Latn-ME"/>
              </w:rPr>
            </w:pPr>
            <w:r w:rsidRPr="00A10D67">
              <w:rPr>
                <w:sz w:val="22"/>
                <w:szCs w:val="22"/>
                <w:lang w:val="sr-Latn-ME"/>
              </w:rPr>
              <w:t>impotencija</w:t>
            </w:r>
          </w:p>
        </w:tc>
      </w:tr>
      <w:tr w:rsidR="00327F21" w:rsidRPr="006F57B4" w14:paraId="4B698E00" w14:textId="77777777" w:rsidTr="00327F21">
        <w:trPr>
          <w:trHeight w:val="399"/>
        </w:trPr>
        <w:tc>
          <w:tcPr>
            <w:tcW w:w="3006" w:type="dxa"/>
            <w:vMerge/>
            <w:shd w:val="clear" w:color="auto" w:fill="auto"/>
            <w:vAlign w:val="center"/>
          </w:tcPr>
          <w:p w14:paraId="582285AC" w14:textId="77777777" w:rsidR="00327F21" w:rsidRPr="00A10D67" w:rsidRDefault="00327F21" w:rsidP="00432709">
            <w:pPr>
              <w:tabs>
                <w:tab w:val="left" w:pos="567"/>
              </w:tabs>
              <w:jc w:val="both"/>
              <w:rPr>
                <w:b/>
                <w:i/>
                <w:sz w:val="22"/>
                <w:szCs w:val="22"/>
                <w:lang w:val="sr-Latn-ME"/>
              </w:rPr>
            </w:pPr>
          </w:p>
        </w:tc>
        <w:tc>
          <w:tcPr>
            <w:tcW w:w="1559" w:type="dxa"/>
            <w:tcBorders>
              <w:top w:val="single" w:sz="4" w:space="0" w:color="auto"/>
            </w:tcBorders>
            <w:shd w:val="clear" w:color="auto" w:fill="auto"/>
          </w:tcPr>
          <w:p w14:paraId="3F6EFDB0" w14:textId="46F83B55" w:rsidR="00327F21" w:rsidRPr="00A10D67" w:rsidRDefault="00327F21" w:rsidP="00432709">
            <w:pPr>
              <w:tabs>
                <w:tab w:val="left" w:pos="567"/>
              </w:tabs>
              <w:jc w:val="both"/>
              <w:rPr>
                <w:sz w:val="22"/>
                <w:szCs w:val="22"/>
                <w:lang w:val="sr-Latn-ME"/>
              </w:rPr>
            </w:pPr>
            <w:r w:rsidRPr="00A10D67">
              <w:rPr>
                <w:sz w:val="22"/>
                <w:szCs w:val="22"/>
                <w:lang w:val="sr-Latn-ME"/>
              </w:rPr>
              <w:t>Rijetk</w:t>
            </w:r>
            <w:r w:rsidR="00514B54" w:rsidRPr="00A10D67">
              <w:rPr>
                <w:sz w:val="22"/>
                <w:szCs w:val="22"/>
                <w:lang w:val="sr-Latn-ME"/>
              </w:rPr>
              <w:t>o</w:t>
            </w:r>
          </w:p>
        </w:tc>
        <w:tc>
          <w:tcPr>
            <w:tcW w:w="4678" w:type="dxa"/>
            <w:tcBorders>
              <w:top w:val="single" w:sz="4" w:space="0" w:color="auto"/>
            </w:tcBorders>
            <w:shd w:val="clear" w:color="auto" w:fill="auto"/>
          </w:tcPr>
          <w:p w14:paraId="2007197D" w14:textId="77777777" w:rsidR="00327F21" w:rsidRPr="00A10D67" w:rsidRDefault="00327F21" w:rsidP="00432709">
            <w:pPr>
              <w:tabs>
                <w:tab w:val="left" w:pos="567"/>
              </w:tabs>
              <w:jc w:val="both"/>
              <w:rPr>
                <w:sz w:val="22"/>
                <w:szCs w:val="22"/>
                <w:lang w:val="sr-Latn-ME"/>
              </w:rPr>
            </w:pPr>
            <w:r w:rsidRPr="00A10D67">
              <w:rPr>
                <w:sz w:val="22"/>
                <w:szCs w:val="22"/>
                <w:lang w:val="sr-Latn-ME"/>
              </w:rPr>
              <w:t>ginekomastija</w:t>
            </w:r>
          </w:p>
        </w:tc>
      </w:tr>
      <w:tr w:rsidR="00327F21" w:rsidRPr="006F57B4" w14:paraId="201FEA66" w14:textId="77777777" w:rsidTr="00327F21">
        <w:tc>
          <w:tcPr>
            <w:tcW w:w="3006" w:type="dxa"/>
            <w:shd w:val="clear" w:color="auto" w:fill="auto"/>
            <w:vAlign w:val="center"/>
          </w:tcPr>
          <w:p w14:paraId="2B797BAE" w14:textId="77777777" w:rsidR="00327F21" w:rsidRPr="00A10D67" w:rsidRDefault="00327F21" w:rsidP="00432709">
            <w:pPr>
              <w:tabs>
                <w:tab w:val="left" w:pos="567"/>
              </w:tabs>
              <w:jc w:val="both"/>
              <w:rPr>
                <w:b/>
                <w:i/>
                <w:sz w:val="22"/>
                <w:szCs w:val="22"/>
                <w:lang w:val="sr-Latn-ME"/>
              </w:rPr>
            </w:pPr>
            <w:r w:rsidRPr="00A10D67">
              <w:rPr>
                <w:b/>
                <w:i/>
                <w:sz w:val="22"/>
                <w:szCs w:val="22"/>
                <w:lang w:val="sr-Latn-ME"/>
              </w:rPr>
              <w:t>Opšti poremećaji i reakcije na mjestu primjene</w:t>
            </w:r>
          </w:p>
          <w:p w14:paraId="6E8A8857" w14:textId="77777777" w:rsidR="00327F21" w:rsidRPr="00A10D67" w:rsidRDefault="00327F21" w:rsidP="00432709">
            <w:pPr>
              <w:tabs>
                <w:tab w:val="left" w:pos="567"/>
              </w:tabs>
              <w:jc w:val="both"/>
              <w:rPr>
                <w:b/>
                <w:i/>
                <w:sz w:val="22"/>
                <w:szCs w:val="22"/>
                <w:lang w:val="sr-Latn-ME"/>
              </w:rPr>
            </w:pPr>
          </w:p>
        </w:tc>
        <w:tc>
          <w:tcPr>
            <w:tcW w:w="1559" w:type="dxa"/>
            <w:shd w:val="clear" w:color="auto" w:fill="auto"/>
          </w:tcPr>
          <w:p w14:paraId="539D7268" w14:textId="3C0904D2"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514B54" w:rsidRPr="00A10D67">
              <w:rPr>
                <w:sz w:val="22"/>
                <w:szCs w:val="22"/>
                <w:lang w:val="sr-Latn-ME"/>
              </w:rPr>
              <w:t>o</w:t>
            </w:r>
          </w:p>
        </w:tc>
        <w:tc>
          <w:tcPr>
            <w:tcW w:w="4678" w:type="dxa"/>
            <w:shd w:val="clear" w:color="auto" w:fill="auto"/>
          </w:tcPr>
          <w:p w14:paraId="5A3AE2E9" w14:textId="77777777" w:rsidR="00327F21" w:rsidRPr="00A10D67" w:rsidRDefault="00327F21" w:rsidP="00432709">
            <w:pPr>
              <w:tabs>
                <w:tab w:val="left" w:pos="567"/>
              </w:tabs>
              <w:jc w:val="both"/>
              <w:rPr>
                <w:sz w:val="22"/>
                <w:szCs w:val="22"/>
                <w:lang w:val="sr-Latn-ME"/>
              </w:rPr>
            </w:pPr>
            <w:r w:rsidRPr="00A10D67">
              <w:rPr>
                <w:sz w:val="22"/>
                <w:szCs w:val="22"/>
                <w:lang w:val="sr-Latn-ME"/>
              </w:rPr>
              <w:t>astenija, umor</w:t>
            </w:r>
          </w:p>
        </w:tc>
      </w:tr>
      <w:tr w:rsidR="00327F21" w:rsidRPr="006F57B4" w14:paraId="784299AD" w14:textId="77777777" w:rsidTr="00327F21">
        <w:trPr>
          <w:trHeight w:val="725"/>
        </w:trPr>
        <w:tc>
          <w:tcPr>
            <w:tcW w:w="3006" w:type="dxa"/>
            <w:vMerge w:val="restart"/>
            <w:shd w:val="clear" w:color="auto" w:fill="auto"/>
            <w:vAlign w:val="center"/>
          </w:tcPr>
          <w:p w14:paraId="03701829" w14:textId="592CEACB" w:rsidR="00327F21" w:rsidRPr="00A10D67" w:rsidRDefault="008C47ED" w:rsidP="00432709">
            <w:pPr>
              <w:tabs>
                <w:tab w:val="left" w:pos="567"/>
              </w:tabs>
              <w:jc w:val="both"/>
              <w:rPr>
                <w:b/>
                <w:i/>
                <w:sz w:val="22"/>
                <w:szCs w:val="22"/>
                <w:lang w:val="sr-Latn-ME"/>
              </w:rPr>
            </w:pPr>
            <w:r w:rsidRPr="00A10D67">
              <w:rPr>
                <w:b/>
                <w:i/>
                <w:sz w:val="22"/>
                <w:szCs w:val="22"/>
                <w:lang w:val="sr-Latn-ME"/>
              </w:rPr>
              <w:t>Laboratorijske analize</w:t>
            </w:r>
          </w:p>
        </w:tc>
        <w:tc>
          <w:tcPr>
            <w:tcW w:w="1559" w:type="dxa"/>
            <w:tcBorders>
              <w:bottom w:val="single" w:sz="4" w:space="0" w:color="auto"/>
            </w:tcBorders>
            <w:shd w:val="clear" w:color="auto" w:fill="auto"/>
          </w:tcPr>
          <w:p w14:paraId="7E5B8CD8" w14:textId="410AB711" w:rsidR="00327F21" w:rsidRPr="00A10D67" w:rsidRDefault="00327F21" w:rsidP="00432709">
            <w:pPr>
              <w:tabs>
                <w:tab w:val="left" w:pos="567"/>
              </w:tabs>
              <w:jc w:val="both"/>
              <w:rPr>
                <w:sz w:val="22"/>
                <w:szCs w:val="22"/>
                <w:lang w:val="sr-Latn-ME"/>
              </w:rPr>
            </w:pPr>
            <w:r w:rsidRPr="00A10D67">
              <w:rPr>
                <w:sz w:val="22"/>
                <w:szCs w:val="22"/>
                <w:lang w:val="sr-Latn-ME"/>
              </w:rPr>
              <w:t>Povremen</w:t>
            </w:r>
            <w:r w:rsidR="00514B54" w:rsidRPr="00A10D67">
              <w:rPr>
                <w:sz w:val="22"/>
                <w:szCs w:val="22"/>
                <w:lang w:val="sr-Latn-ME"/>
              </w:rPr>
              <w:t>o</w:t>
            </w:r>
          </w:p>
        </w:tc>
        <w:tc>
          <w:tcPr>
            <w:tcW w:w="4678" w:type="dxa"/>
            <w:tcBorders>
              <w:bottom w:val="single" w:sz="4" w:space="0" w:color="auto"/>
            </w:tcBorders>
            <w:shd w:val="clear" w:color="auto" w:fill="auto"/>
          </w:tcPr>
          <w:p w14:paraId="19374444" w14:textId="77777777" w:rsidR="00327F21" w:rsidRPr="00A10D67" w:rsidRDefault="00327F21" w:rsidP="00432709">
            <w:pPr>
              <w:tabs>
                <w:tab w:val="left" w:pos="567"/>
              </w:tabs>
              <w:jc w:val="both"/>
              <w:rPr>
                <w:sz w:val="22"/>
                <w:szCs w:val="22"/>
                <w:lang w:val="sr-Latn-ME"/>
              </w:rPr>
            </w:pPr>
            <w:r w:rsidRPr="00A10D67">
              <w:rPr>
                <w:sz w:val="22"/>
                <w:szCs w:val="22"/>
                <w:lang w:val="sr-Latn-ME"/>
              </w:rPr>
              <w:t>povišene vrijednosti uree i kreatinina u serumu, hiperkalemija</w:t>
            </w:r>
          </w:p>
        </w:tc>
      </w:tr>
      <w:tr w:rsidR="00327F21" w:rsidRPr="006F57B4" w14:paraId="67CAB590" w14:textId="77777777" w:rsidTr="00327F21">
        <w:trPr>
          <w:trHeight w:val="453"/>
        </w:trPr>
        <w:tc>
          <w:tcPr>
            <w:tcW w:w="3006" w:type="dxa"/>
            <w:vMerge/>
            <w:shd w:val="clear" w:color="auto" w:fill="auto"/>
          </w:tcPr>
          <w:p w14:paraId="2E0E6BCC" w14:textId="77777777" w:rsidR="00327F21" w:rsidRPr="00A10D67" w:rsidRDefault="00327F21" w:rsidP="00432709">
            <w:pPr>
              <w:tabs>
                <w:tab w:val="left" w:pos="567"/>
              </w:tabs>
              <w:jc w:val="both"/>
              <w:rPr>
                <w:b/>
                <w:sz w:val="22"/>
                <w:szCs w:val="22"/>
                <w:lang w:val="sr-Latn-ME"/>
              </w:rPr>
            </w:pPr>
          </w:p>
        </w:tc>
        <w:tc>
          <w:tcPr>
            <w:tcW w:w="1559" w:type="dxa"/>
            <w:tcBorders>
              <w:top w:val="single" w:sz="4" w:space="0" w:color="auto"/>
            </w:tcBorders>
            <w:shd w:val="clear" w:color="auto" w:fill="auto"/>
          </w:tcPr>
          <w:p w14:paraId="7A4A44F3" w14:textId="531DEBA7" w:rsidR="00327F21" w:rsidRPr="00A10D67" w:rsidRDefault="00327F21" w:rsidP="00432709">
            <w:pPr>
              <w:tabs>
                <w:tab w:val="left" w:pos="567"/>
              </w:tabs>
              <w:jc w:val="both"/>
              <w:rPr>
                <w:sz w:val="22"/>
                <w:szCs w:val="22"/>
                <w:lang w:val="sr-Latn-ME"/>
              </w:rPr>
            </w:pPr>
            <w:r w:rsidRPr="00A10D67">
              <w:rPr>
                <w:sz w:val="22"/>
                <w:szCs w:val="22"/>
                <w:lang w:val="sr-Latn-ME"/>
              </w:rPr>
              <w:t>Rijetk</w:t>
            </w:r>
            <w:r w:rsidR="00514B54" w:rsidRPr="00A10D67">
              <w:rPr>
                <w:sz w:val="22"/>
                <w:szCs w:val="22"/>
                <w:lang w:val="sr-Latn-ME"/>
              </w:rPr>
              <w:t>o</w:t>
            </w:r>
          </w:p>
        </w:tc>
        <w:tc>
          <w:tcPr>
            <w:tcW w:w="4678" w:type="dxa"/>
            <w:tcBorders>
              <w:top w:val="single" w:sz="4" w:space="0" w:color="auto"/>
            </w:tcBorders>
            <w:shd w:val="clear" w:color="auto" w:fill="auto"/>
          </w:tcPr>
          <w:p w14:paraId="0E44284C" w14:textId="77777777" w:rsidR="00327F21" w:rsidRPr="00A10D67" w:rsidRDefault="00327F21" w:rsidP="00432709">
            <w:pPr>
              <w:tabs>
                <w:tab w:val="left" w:pos="567"/>
              </w:tabs>
              <w:jc w:val="both"/>
              <w:rPr>
                <w:sz w:val="22"/>
                <w:szCs w:val="22"/>
                <w:lang w:val="sr-Latn-ME"/>
              </w:rPr>
            </w:pPr>
            <w:r w:rsidRPr="00A10D67">
              <w:rPr>
                <w:sz w:val="22"/>
                <w:szCs w:val="22"/>
                <w:lang w:val="sr-Latn-ME"/>
              </w:rPr>
              <w:t>hiponatremija</w:t>
            </w:r>
          </w:p>
        </w:tc>
      </w:tr>
    </w:tbl>
    <w:p w14:paraId="66A439DD" w14:textId="4874E97D" w:rsidR="00926382" w:rsidRPr="00A10D67" w:rsidRDefault="00926382" w:rsidP="00432709">
      <w:pPr>
        <w:tabs>
          <w:tab w:val="left" w:pos="567"/>
        </w:tabs>
        <w:spacing w:before="120"/>
        <w:jc w:val="both"/>
        <w:rPr>
          <w:sz w:val="22"/>
          <w:szCs w:val="22"/>
          <w:lang w:val="sr-Latn-ME"/>
        </w:rPr>
      </w:pPr>
      <w:r w:rsidRPr="00A10D67">
        <w:rPr>
          <w:sz w:val="22"/>
          <w:szCs w:val="22"/>
          <w:lang w:val="sr-Latn-ME"/>
        </w:rPr>
        <w:t xml:space="preserve">* </w:t>
      </w:r>
      <w:r w:rsidR="008C47ED" w:rsidRPr="00A10D67">
        <w:rPr>
          <w:sz w:val="22"/>
          <w:szCs w:val="22"/>
          <w:lang w:val="sr-Latn-ME"/>
        </w:rPr>
        <w:t xml:space="preserve">Veoma </w:t>
      </w:r>
      <w:r w:rsidRPr="00A10D67">
        <w:rPr>
          <w:sz w:val="22"/>
          <w:szCs w:val="22"/>
          <w:lang w:val="sr-Latn-ME"/>
        </w:rPr>
        <w:t xml:space="preserve">rijetko, kod nekih pacijenata </w:t>
      </w:r>
      <w:r w:rsidR="008C47ED" w:rsidRPr="00A10D67">
        <w:rPr>
          <w:sz w:val="22"/>
          <w:szCs w:val="22"/>
          <w:lang w:val="sr-Latn-ME"/>
        </w:rPr>
        <w:t xml:space="preserve">je </w:t>
      </w:r>
      <w:r w:rsidRPr="00A10D67">
        <w:rPr>
          <w:sz w:val="22"/>
          <w:szCs w:val="22"/>
          <w:lang w:val="sr-Latn-ME"/>
        </w:rPr>
        <w:t xml:space="preserve">bio prijavljen razvoj hepatitisa koji je napredovao u </w:t>
      </w:r>
      <w:r w:rsidR="008C47ED" w:rsidRPr="00A10D67">
        <w:rPr>
          <w:sz w:val="22"/>
          <w:szCs w:val="22"/>
          <w:lang w:val="sr-Latn-ME"/>
        </w:rPr>
        <w:t>insuficijenciju</w:t>
      </w:r>
      <w:r w:rsidR="00432709" w:rsidRPr="00A10D67">
        <w:rPr>
          <w:sz w:val="22"/>
          <w:szCs w:val="22"/>
          <w:lang w:val="sr-Latn-ME"/>
        </w:rPr>
        <w:t xml:space="preserve"> </w:t>
      </w:r>
      <w:r w:rsidRPr="00A10D67">
        <w:rPr>
          <w:sz w:val="22"/>
          <w:szCs w:val="22"/>
          <w:lang w:val="sr-Latn-ME"/>
        </w:rPr>
        <w:t>jetre. Pacijenti koji primjenjuju kombinaciju lizinopril/hidrohlortiazid i kod</w:t>
      </w:r>
      <w:r w:rsidR="00432709" w:rsidRPr="00A10D67">
        <w:rPr>
          <w:sz w:val="22"/>
          <w:szCs w:val="22"/>
          <w:lang w:val="sr-Latn-ME"/>
        </w:rPr>
        <w:t xml:space="preserve"> </w:t>
      </w:r>
      <w:r w:rsidRPr="00A10D67">
        <w:rPr>
          <w:sz w:val="22"/>
          <w:szCs w:val="22"/>
          <w:lang w:val="sr-Latn-ME"/>
        </w:rPr>
        <w:t xml:space="preserve">kojih dođe do pojave žutice ili povišenih vrijednosti enzima </w:t>
      </w:r>
      <w:r w:rsidR="008C47ED" w:rsidRPr="00A10D67">
        <w:rPr>
          <w:sz w:val="22"/>
          <w:szCs w:val="22"/>
          <w:lang w:val="sr-Latn-ME"/>
        </w:rPr>
        <w:t xml:space="preserve">jetre </w:t>
      </w:r>
      <w:r w:rsidRPr="00A10D67">
        <w:rPr>
          <w:sz w:val="22"/>
          <w:szCs w:val="22"/>
          <w:lang w:val="sr-Latn-ME"/>
        </w:rPr>
        <w:t>treba da prekinu primjenu lijeka i treba ih odgovarajuće medicinski zbrinuti.</w:t>
      </w:r>
    </w:p>
    <w:p w14:paraId="454CCA59" w14:textId="30F9155D" w:rsidR="00926382" w:rsidRPr="00A10D67" w:rsidRDefault="00926382" w:rsidP="00432709">
      <w:pPr>
        <w:tabs>
          <w:tab w:val="left" w:pos="567"/>
        </w:tabs>
        <w:jc w:val="both"/>
        <w:rPr>
          <w:sz w:val="22"/>
          <w:szCs w:val="22"/>
          <w:lang w:val="sr-Latn-ME"/>
        </w:rPr>
      </w:pPr>
      <w:r w:rsidRPr="00A10D67">
        <w:rPr>
          <w:sz w:val="22"/>
          <w:szCs w:val="22"/>
          <w:lang w:val="sr-Latn-ME"/>
        </w:rPr>
        <w:t>** Opisan je skup simptoma koji može obuhvatiti</w:t>
      </w:r>
      <w:r w:rsidR="00432709" w:rsidRPr="00A10D67">
        <w:rPr>
          <w:sz w:val="22"/>
          <w:szCs w:val="22"/>
          <w:lang w:val="sr-Latn-ME"/>
        </w:rPr>
        <w:t xml:space="preserve"> </w:t>
      </w:r>
      <w:r w:rsidRPr="00A10D67">
        <w:rPr>
          <w:sz w:val="22"/>
          <w:szCs w:val="22"/>
          <w:lang w:val="sr-Latn-ME"/>
        </w:rPr>
        <w:t xml:space="preserve">sve ili samo neke od sljedećih simptoma: povišena </w:t>
      </w:r>
      <w:r w:rsidR="008C47ED" w:rsidRPr="00A10D67">
        <w:rPr>
          <w:sz w:val="22"/>
          <w:szCs w:val="22"/>
          <w:lang w:val="sr-Latn-ME"/>
        </w:rPr>
        <w:t>t</w:t>
      </w:r>
      <w:r w:rsidR="00514B54" w:rsidRPr="00A10D67">
        <w:rPr>
          <w:sz w:val="22"/>
          <w:szCs w:val="22"/>
          <w:lang w:val="sr-Latn-ME"/>
        </w:rPr>
        <w:t>j</w:t>
      </w:r>
      <w:r w:rsidR="008C47ED" w:rsidRPr="00A10D67">
        <w:rPr>
          <w:sz w:val="22"/>
          <w:szCs w:val="22"/>
          <w:lang w:val="sr-Latn-ME"/>
        </w:rPr>
        <w:t xml:space="preserve">elesna </w:t>
      </w:r>
      <w:r w:rsidRPr="00A10D67">
        <w:rPr>
          <w:sz w:val="22"/>
          <w:szCs w:val="22"/>
          <w:lang w:val="sr-Latn-ME"/>
        </w:rPr>
        <w:t xml:space="preserve">temperatura, vaskulitis, mijalgija, artralgija/artritis, </w:t>
      </w:r>
      <w:r w:rsidR="00F2462D" w:rsidRPr="00A10D67">
        <w:rPr>
          <w:sz w:val="22"/>
          <w:szCs w:val="22"/>
          <w:lang w:val="sr-Latn-ME"/>
        </w:rPr>
        <w:t>pozitivn</w:t>
      </w:r>
      <w:r w:rsidR="00F2462D">
        <w:rPr>
          <w:sz w:val="22"/>
          <w:szCs w:val="22"/>
          <w:lang w:val="sr-Latn-ME"/>
        </w:rPr>
        <w:t>a</w:t>
      </w:r>
      <w:r w:rsidR="00F2462D" w:rsidRPr="00A10D67">
        <w:rPr>
          <w:sz w:val="22"/>
          <w:szCs w:val="22"/>
          <w:lang w:val="sr-Latn-ME"/>
        </w:rPr>
        <w:t xml:space="preserve"> </w:t>
      </w:r>
      <w:r w:rsidRPr="00A10D67">
        <w:rPr>
          <w:sz w:val="22"/>
          <w:szCs w:val="22"/>
          <w:lang w:val="sr-Latn-ME"/>
        </w:rPr>
        <w:t>ANA (antinuklearna antitijela), ubrzana sedimentacija eritrocita, eozinofilija i leukocitoza. Mogu se javiti osip, preosjetljivost na sunčevu svjetlost ili neke druge kožne promjene</w:t>
      </w:r>
      <w:r w:rsidR="008C47ED" w:rsidRPr="00A10D67">
        <w:rPr>
          <w:sz w:val="22"/>
          <w:szCs w:val="22"/>
          <w:lang w:val="sr-Latn-ME"/>
        </w:rPr>
        <w:t>.</w:t>
      </w:r>
    </w:p>
    <w:p w14:paraId="4F8FCC4E" w14:textId="77777777" w:rsidR="00926382" w:rsidRPr="00A10D67" w:rsidRDefault="00926382" w:rsidP="00432709">
      <w:pPr>
        <w:jc w:val="both"/>
        <w:rPr>
          <w:b/>
          <w:color w:val="000000"/>
          <w:sz w:val="22"/>
          <w:szCs w:val="22"/>
          <w:lang w:val="sr-Latn-ME"/>
        </w:rPr>
      </w:pPr>
    </w:p>
    <w:p w14:paraId="5A9D9FBB" w14:textId="77777777" w:rsidR="00926382" w:rsidRPr="00A10D67" w:rsidRDefault="00926382" w:rsidP="00432709">
      <w:pPr>
        <w:jc w:val="both"/>
        <w:rPr>
          <w:color w:val="000000"/>
          <w:sz w:val="22"/>
          <w:szCs w:val="22"/>
          <w:u w:val="single"/>
          <w:lang w:val="sr-Latn-ME"/>
        </w:rPr>
      </w:pPr>
      <w:r w:rsidRPr="00A10D67">
        <w:rPr>
          <w:b/>
          <w:color w:val="000000"/>
          <w:sz w:val="22"/>
          <w:szCs w:val="22"/>
          <w:u w:val="single"/>
          <w:lang w:val="sr-Latn-ME"/>
        </w:rPr>
        <w:t xml:space="preserve">Hidrohlortiazid </w:t>
      </w:r>
      <w:r w:rsidRPr="00A10D67">
        <w:rPr>
          <w:color w:val="000000"/>
          <w:sz w:val="22"/>
          <w:szCs w:val="22"/>
          <w:u w:val="single"/>
          <w:lang w:val="sr-Latn-ME"/>
        </w:rPr>
        <w:t>(</w:t>
      </w:r>
      <w:r w:rsidRPr="00A10D67">
        <w:rPr>
          <w:i/>
          <w:color w:val="000000"/>
          <w:sz w:val="22"/>
          <w:szCs w:val="22"/>
          <w:u w:val="single"/>
          <w:lang w:val="sr-Latn-ME"/>
        </w:rPr>
        <w:t>nepoznata učestalost</w:t>
      </w:r>
      <w:r w:rsidRPr="00A10D67">
        <w:rPr>
          <w:color w:val="000000"/>
          <w:sz w:val="22"/>
          <w:szCs w:val="22"/>
          <w:u w:val="single"/>
          <w:lang w:val="sr-Latn-ME"/>
        </w:rPr>
        <w:t>)</w:t>
      </w:r>
    </w:p>
    <w:p w14:paraId="3036AC9C" w14:textId="77777777" w:rsidR="00926382" w:rsidRPr="00A10D67" w:rsidRDefault="00926382" w:rsidP="00432709">
      <w:pPr>
        <w:jc w:val="both"/>
        <w:rPr>
          <w:color w:val="000000"/>
          <w:sz w:val="22"/>
          <w:szCs w:val="22"/>
          <w:u w:val="single"/>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678"/>
      </w:tblGrid>
      <w:tr w:rsidR="00926382" w:rsidRPr="006F57B4" w14:paraId="02D9C89B" w14:textId="77777777" w:rsidTr="007476CA">
        <w:trPr>
          <w:tblHeader/>
        </w:trPr>
        <w:tc>
          <w:tcPr>
            <w:tcW w:w="4673" w:type="dxa"/>
            <w:shd w:val="clear" w:color="auto" w:fill="auto"/>
          </w:tcPr>
          <w:p w14:paraId="3C88B11E" w14:textId="77777777" w:rsidR="00926382" w:rsidRPr="00A10D67" w:rsidRDefault="00926382" w:rsidP="00432709">
            <w:pPr>
              <w:tabs>
                <w:tab w:val="left" w:pos="567"/>
              </w:tabs>
              <w:spacing w:after="120"/>
              <w:jc w:val="both"/>
              <w:rPr>
                <w:b/>
                <w:sz w:val="22"/>
                <w:szCs w:val="22"/>
                <w:lang w:val="sr-Latn-ME"/>
              </w:rPr>
            </w:pPr>
            <w:r w:rsidRPr="00A10D67">
              <w:rPr>
                <w:b/>
                <w:sz w:val="22"/>
                <w:szCs w:val="22"/>
                <w:lang w:val="sr-Latn-ME"/>
              </w:rPr>
              <w:t>Organski sistem</w:t>
            </w:r>
          </w:p>
        </w:tc>
        <w:tc>
          <w:tcPr>
            <w:tcW w:w="4678" w:type="dxa"/>
            <w:shd w:val="clear" w:color="auto" w:fill="auto"/>
          </w:tcPr>
          <w:p w14:paraId="62FF9A92" w14:textId="77777777" w:rsidR="00926382" w:rsidRPr="006F57B4" w:rsidRDefault="00926382" w:rsidP="00432709">
            <w:pPr>
              <w:tabs>
                <w:tab w:val="left" w:pos="567"/>
              </w:tabs>
              <w:spacing w:after="120"/>
              <w:jc w:val="both"/>
              <w:rPr>
                <w:b/>
                <w:sz w:val="22"/>
                <w:szCs w:val="22"/>
                <w:lang w:val="sr-Latn-ME"/>
              </w:rPr>
            </w:pPr>
            <w:r w:rsidRPr="00A10D67">
              <w:rPr>
                <w:b/>
                <w:sz w:val="22"/>
                <w:szCs w:val="22"/>
                <w:lang w:val="sr-Latn-ME"/>
              </w:rPr>
              <w:t>Ne</w:t>
            </w:r>
            <w:r w:rsidRPr="006F57B4">
              <w:rPr>
                <w:b/>
                <w:sz w:val="22"/>
                <w:szCs w:val="22"/>
                <w:lang w:val="sr-Latn-ME"/>
              </w:rPr>
              <w:t>željena dejstva</w:t>
            </w:r>
          </w:p>
        </w:tc>
      </w:tr>
      <w:tr w:rsidR="00926382" w:rsidRPr="006F57B4" w14:paraId="413C6605" w14:textId="77777777" w:rsidTr="007476CA">
        <w:trPr>
          <w:trHeight w:val="70"/>
        </w:trPr>
        <w:tc>
          <w:tcPr>
            <w:tcW w:w="4673" w:type="dxa"/>
            <w:shd w:val="clear" w:color="auto" w:fill="auto"/>
            <w:vAlign w:val="center"/>
          </w:tcPr>
          <w:p w14:paraId="77F1958E"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 xml:space="preserve">Infekcije i infestacije </w:t>
            </w:r>
          </w:p>
        </w:tc>
        <w:tc>
          <w:tcPr>
            <w:tcW w:w="4678" w:type="dxa"/>
            <w:shd w:val="clear" w:color="auto" w:fill="auto"/>
          </w:tcPr>
          <w:p w14:paraId="0A037216" w14:textId="77777777" w:rsidR="00926382" w:rsidRPr="00A10D67" w:rsidRDefault="00926382" w:rsidP="00432709">
            <w:pPr>
              <w:tabs>
                <w:tab w:val="left" w:pos="567"/>
              </w:tabs>
              <w:jc w:val="both"/>
              <w:rPr>
                <w:sz w:val="22"/>
                <w:szCs w:val="22"/>
                <w:lang w:val="sr-Latn-ME"/>
              </w:rPr>
            </w:pPr>
            <w:r w:rsidRPr="00A10D67">
              <w:rPr>
                <w:sz w:val="22"/>
                <w:szCs w:val="22"/>
                <w:lang w:val="sr-Latn-ME"/>
              </w:rPr>
              <w:t>sijaloadenitis</w:t>
            </w:r>
          </w:p>
        </w:tc>
      </w:tr>
      <w:tr w:rsidR="00926382" w:rsidRPr="006F57B4" w14:paraId="44F2A19E" w14:textId="77777777" w:rsidTr="007476CA">
        <w:trPr>
          <w:trHeight w:val="312"/>
        </w:trPr>
        <w:tc>
          <w:tcPr>
            <w:tcW w:w="4673" w:type="dxa"/>
            <w:shd w:val="clear" w:color="auto" w:fill="auto"/>
            <w:vAlign w:val="center"/>
          </w:tcPr>
          <w:p w14:paraId="4522B837" w14:textId="130ECE1F" w:rsidR="00926382" w:rsidRPr="00A10D67" w:rsidRDefault="00926382" w:rsidP="00432709">
            <w:pPr>
              <w:tabs>
                <w:tab w:val="left" w:pos="567"/>
              </w:tabs>
              <w:jc w:val="both"/>
              <w:rPr>
                <w:b/>
                <w:i/>
                <w:sz w:val="22"/>
                <w:szCs w:val="22"/>
                <w:lang w:val="sr-Latn-ME"/>
              </w:rPr>
            </w:pPr>
            <w:r w:rsidRPr="00A10D67">
              <w:rPr>
                <w:b/>
                <w:i/>
                <w:sz w:val="22"/>
                <w:szCs w:val="22"/>
                <w:lang w:val="sr-Latn-ME"/>
              </w:rPr>
              <w:t>Benigne, maligne i neodređene neoplazme (uključujući ciste i polipe)</w:t>
            </w:r>
          </w:p>
        </w:tc>
        <w:tc>
          <w:tcPr>
            <w:tcW w:w="4678" w:type="dxa"/>
            <w:shd w:val="clear" w:color="auto" w:fill="auto"/>
          </w:tcPr>
          <w:p w14:paraId="6001ED1F" w14:textId="3A0644FE" w:rsidR="00926382" w:rsidRPr="00A10D67" w:rsidRDefault="008C47ED" w:rsidP="00432709">
            <w:pPr>
              <w:tabs>
                <w:tab w:val="left" w:pos="567"/>
              </w:tabs>
              <w:jc w:val="both"/>
              <w:rPr>
                <w:sz w:val="22"/>
                <w:szCs w:val="22"/>
                <w:lang w:val="sr-Latn-ME"/>
              </w:rPr>
            </w:pPr>
            <w:r w:rsidRPr="00A10D67">
              <w:rPr>
                <w:sz w:val="22"/>
                <w:szCs w:val="22"/>
                <w:lang w:val="sr-Latn-ME"/>
              </w:rPr>
              <w:t xml:space="preserve">nemelanomski </w:t>
            </w:r>
            <w:r w:rsidR="00926382" w:rsidRPr="00A10D67">
              <w:rPr>
                <w:sz w:val="22"/>
                <w:szCs w:val="22"/>
                <w:lang w:val="sr-Latn-ME"/>
              </w:rPr>
              <w:t>rak kože (karcinom bazalnih ćelija i karcinom skvamoznih ćelija</w:t>
            </w:r>
            <w:r w:rsidRPr="00A10D67">
              <w:rPr>
                <w:sz w:val="22"/>
                <w:szCs w:val="22"/>
                <w:lang w:val="sr-Latn-ME"/>
              </w:rPr>
              <w:t>)</w:t>
            </w:r>
          </w:p>
        </w:tc>
      </w:tr>
      <w:tr w:rsidR="00926382" w:rsidRPr="006F57B4" w14:paraId="6E084DDB" w14:textId="77777777" w:rsidTr="007476CA">
        <w:trPr>
          <w:trHeight w:val="549"/>
        </w:trPr>
        <w:tc>
          <w:tcPr>
            <w:tcW w:w="4673" w:type="dxa"/>
            <w:shd w:val="clear" w:color="auto" w:fill="auto"/>
            <w:vAlign w:val="center"/>
          </w:tcPr>
          <w:p w14:paraId="2B2EFEB2"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krvi i limfnog sistema</w:t>
            </w:r>
          </w:p>
        </w:tc>
        <w:tc>
          <w:tcPr>
            <w:tcW w:w="4678" w:type="dxa"/>
            <w:shd w:val="clear" w:color="auto" w:fill="auto"/>
          </w:tcPr>
          <w:p w14:paraId="44EDB367" w14:textId="74E4A1CB" w:rsidR="00926382" w:rsidRPr="00A10D67" w:rsidRDefault="00926382" w:rsidP="00A10D67">
            <w:pPr>
              <w:tabs>
                <w:tab w:val="left" w:pos="567"/>
              </w:tabs>
              <w:jc w:val="both"/>
              <w:rPr>
                <w:sz w:val="22"/>
                <w:szCs w:val="22"/>
                <w:lang w:val="sr-Latn-ME"/>
              </w:rPr>
            </w:pPr>
            <w:r w:rsidRPr="00A10D67">
              <w:rPr>
                <w:sz w:val="22"/>
                <w:szCs w:val="22"/>
                <w:lang w:val="sr-Latn-ME"/>
              </w:rPr>
              <w:t>leukopenija,</w:t>
            </w:r>
            <w:r w:rsidR="008C47ED" w:rsidRPr="00A10D67">
              <w:rPr>
                <w:sz w:val="22"/>
                <w:szCs w:val="22"/>
                <w:lang w:val="sr-Latn-ME"/>
              </w:rPr>
              <w:t xml:space="preserve"> </w:t>
            </w:r>
            <w:r w:rsidRPr="00A10D67">
              <w:rPr>
                <w:sz w:val="22"/>
                <w:szCs w:val="22"/>
                <w:lang w:val="sr-Latn-ME"/>
              </w:rPr>
              <w:t xml:space="preserve">neutropenija/agranulocitoza, trombocitopenija, aplastična anemija, </w:t>
            </w:r>
            <w:r w:rsidR="008C47ED" w:rsidRPr="00A10D67">
              <w:rPr>
                <w:sz w:val="22"/>
                <w:szCs w:val="22"/>
                <w:lang w:val="sr-Latn-ME"/>
              </w:rPr>
              <w:t xml:space="preserve">hemolitička </w:t>
            </w:r>
            <w:r w:rsidRPr="00A10D67">
              <w:rPr>
                <w:sz w:val="22"/>
                <w:szCs w:val="22"/>
                <w:lang w:val="sr-Latn-ME"/>
              </w:rPr>
              <w:t>anemija, depresija koštane srži</w:t>
            </w:r>
          </w:p>
        </w:tc>
      </w:tr>
      <w:tr w:rsidR="00926382" w:rsidRPr="006F57B4" w14:paraId="2F1A4A8E" w14:textId="77777777" w:rsidTr="007476CA">
        <w:trPr>
          <w:trHeight w:val="426"/>
        </w:trPr>
        <w:tc>
          <w:tcPr>
            <w:tcW w:w="4673" w:type="dxa"/>
            <w:shd w:val="clear" w:color="auto" w:fill="auto"/>
            <w:vAlign w:val="center"/>
          </w:tcPr>
          <w:p w14:paraId="4F9FC9C9"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metabolizma i ishrane</w:t>
            </w:r>
          </w:p>
          <w:p w14:paraId="400D0E58" w14:textId="77777777" w:rsidR="00926382" w:rsidRPr="00A10D67" w:rsidRDefault="00926382" w:rsidP="00432709">
            <w:pPr>
              <w:tabs>
                <w:tab w:val="left" w:pos="567"/>
              </w:tabs>
              <w:jc w:val="both"/>
              <w:rPr>
                <w:b/>
                <w:i/>
                <w:sz w:val="22"/>
                <w:szCs w:val="22"/>
                <w:lang w:val="sr-Latn-ME"/>
              </w:rPr>
            </w:pPr>
          </w:p>
        </w:tc>
        <w:tc>
          <w:tcPr>
            <w:tcW w:w="4678" w:type="dxa"/>
            <w:shd w:val="clear" w:color="auto" w:fill="auto"/>
          </w:tcPr>
          <w:p w14:paraId="4FEC1624" w14:textId="021FD984" w:rsidR="00926382" w:rsidRPr="00A10D67" w:rsidRDefault="00926382" w:rsidP="00432709">
            <w:pPr>
              <w:tabs>
                <w:tab w:val="left" w:pos="567"/>
              </w:tabs>
              <w:jc w:val="both"/>
              <w:rPr>
                <w:sz w:val="22"/>
                <w:szCs w:val="22"/>
                <w:lang w:val="sr-Latn-ME"/>
              </w:rPr>
            </w:pPr>
            <w:r w:rsidRPr="00A10D67">
              <w:rPr>
                <w:sz w:val="22"/>
                <w:szCs w:val="22"/>
                <w:lang w:val="sr-Latn-ME"/>
              </w:rPr>
              <w:t>anoreksija, hiperglikemija, glikozurija, hiperurikemija, poremećaj ravnoteže elektrolita (uključujući hiponatremiju, hipokalemiju, hipohloremijsku alkalozu i hipomagnezijemiju), povišene vrijednosti holesterola i triglicerida, giht</w:t>
            </w:r>
          </w:p>
        </w:tc>
      </w:tr>
      <w:tr w:rsidR="00926382" w:rsidRPr="006F57B4" w14:paraId="533A0918" w14:textId="77777777" w:rsidTr="007476CA">
        <w:trPr>
          <w:trHeight w:val="275"/>
        </w:trPr>
        <w:tc>
          <w:tcPr>
            <w:tcW w:w="4673" w:type="dxa"/>
            <w:shd w:val="clear" w:color="auto" w:fill="auto"/>
            <w:vAlign w:val="center"/>
          </w:tcPr>
          <w:p w14:paraId="1EAAFD82"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Psihijatrijski poremećaji</w:t>
            </w:r>
            <w:r w:rsidRPr="00A10D67">
              <w:rPr>
                <w:sz w:val="22"/>
                <w:szCs w:val="22"/>
                <w:lang w:val="sr-Latn-ME"/>
              </w:rPr>
              <w:t xml:space="preserve"> </w:t>
            </w:r>
          </w:p>
        </w:tc>
        <w:tc>
          <w:tcPr>
            <w:tcW w:w="4678" w:type="dxa"/>
            <w:shd w:val="clear" w:color="auto" w:fill="auto"/>
          </w:tcPr>
          <w:p w14:paraId="20CC287D" w14:textId="77777777" w:rsidR="00926382" w:rsidRPr="00A10D67" w:rsidRDefault="00926382" w:rsidP="00432709">
            <w:pPr>
              <w:tabs>
                <w:tab w:val="left" w:pos="567"/>
              </w:tabs>
              <w:jc w:val="both"/>
              <w:rPr>
                <w:sz w:val="22"/>
                <w:szCs w:val="22"/>
                <w:lang w:val="sr-Latn-ME"/>
              </w:rPr>
            </w:pPr>
            <w:r w:rsidRPr="00A10D67">
              <w:rPr>
                <w:sz w:val="22"/>
                <w:szCs w:val="22"/>
                <w:lang w:val="sr-Latn-ME"/>
              </w:rPr>
              <w:t>nemir, depresija, poremećaji spavanja</w:t>
            </w:r>
          </w:p>
        </w:tc>
      </w:tr>
      <w:tr w:rsidR="00926382" w:rsidRPr="006F57B4" w14:paraId="01B9874F" w14:textId="77777777" w:rsidTr="007476CA">
        <w:trPr>
          <w:trHeight w:val="278"/>
        </w:trPr>
        <w:tc>
          <w:tcPr>
            <w:tcW w:w="4673" w:type="dxa"/>
            <w:shd w:val="clear" w:color="auto" w:fill="auto"/>
            <w:vAlign w:val="center"/>
          </w:tcPr>
          <w:p w14:paraId="747BB4B5"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 xml:space="preserve">Poremećaji nervnog sistema </w:t>
            </w:r>
          </w:p>
        </w:tc>
        <w:tc>
          <w:tcPr>
            <w:tcW w:w="4678" w:type="dxa"/>
            <w:shd w:val="clear" w:color="auto" w:fill="auto"/>
          </w:tcPr>
          <w:p w14:paraId="48D07F89" w14:textId="141ACAA7" w:rsidR="00926382" w:rsidRPr="00A10D67" w:rsidRDefault="001213EC" w:rsidP="00432709">
            <w:pPr>
              <w:tabs>
                <w:tab w:val="left" w:pos="567"/>
              </w:tabs>
              <w:jc w:val="both"/>
              <w:rPr>
                <w:sz w:val="22"/>
                <w:szCs w:val="22"/>
                <w:lang w:val="sr-Latn-ME"/>
              </w:rPr>
            </w:pPr>
            <w:r w:rsidRPr="00A10D67">
              <w:rPr>
                <w:sz w:val="22"/>
                <w:szCs w:val="22"/>
                <w:lang w:val="sr-Latn-ME"/>
              </w:rPr>
              <w:t xml:space="preserve">gubitak apetita, </w:t>
            </w:r>
            <w:r w:rsidR="00926382" w:rsidRPr="00A10D67">
              <w:rPr>
                <w:sz w:val="22"/>
                <w:szCs w:val="22"/>
                <w:lang w:val="sr-Latn-ME"/>
              </w:rPr>
              <w:t>parestezija, ošamućenost</w:t>
            </w:r>
          </w:p>
        </w:tc>
      </w:tr>
      <w:tr w:rsidR="00926382" w:rsidRPr="006F57B4" w14:paraId="61B610F3" w14:textId="77777777" w:rsidTr="007476CA">
        <w:tc>
          <w:tcPr>
            <w:tcW w:w="4673" w:type="dxa"/>
            <w:shd w:val="clear" w:color="auto" w:fill="auto"/>
            <w:vAlign w:val="center"/>
          </w:tcPr>
          <w:p w14:paraId="4588A1B0"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oka</w:t>
            </w:r>
          </w:p>
        </w:tc>
        <w:tc>
          <w:tcPr>
            <w:tcW w:w="4678" w:type="dxa"/>
            <w:shd w:val="clear" w:color="auto" w:fill="auto"/>
          </w:tcPr>
          <w:p w14:paraId="25AFBB6D" w14:textId="6D27D791" w:rsidR="00926382" w:rsidRPr="00A10D67" w:rsidRDefault="00926382" w:rsidP="00432709">
            <w:pPr>
              <w:tabs>
                <w:tab w:val="left" w:pos="567"/>
              </w:tabs>
              <w:jc w:val="both"/>
              <w:rPr>
                <w:sz w:val="22"/>
                <w:szCs w:val="22"/>
                <w:lang w:val="sr-Latn-ME"/>
              </w:rPr>
            </w:pPr>
            <w:r w:rsidRPr="00A10D67">
              <w:rPr>
                <w:sz w:val="22"/>
                <w:szCs w:val="22"/>
                <w:lang w:val="sr-Latn-ME"/>
              </w:rPr>
              <w:t xml:space="preserve">ksantopsija, prolazno zamagljen vid, </w:t>
            </w:r>
            <w:r w:rsidR="001213EC" w:rsidRPr="00A10D67">
              <w:rPr>
                <w:sz w:val="22"/>
                <w:szCs w:val="22"/>
                <w:lang w:val="sr-Latn-ME"/>
              </w:rPr>
              <w:t xml:space="preserve">akutna miopija i akutni glaukom zatvorenog </w:t>
            </w:r>
            <w:r w:rsidR="00514B54" w:rsidRPr="00A10D67">
              <w:rPr>
                <w:sz w:val="22"/>
                <w:szCs w:val="22"/>
                <w:lang w:val="sr-Latn-ME"/>
              </w:rPr>
              <w:t>ugla</w:t>
            </w:r>
            <w:r w:rsidR="001213EC" w:rsidRPr="00A10D67">
              <w:rPr>
                <w:sz w:val="22"/>
                <w:szCs w:val="22"/>
                <w:lang w:val="sr-Latn-ME"/>
              </w:rPr>
              <w:t>,</w:t>
            </w:r>
            <w:r w:rsidR="00432709" w:rsidRPr="00A10D67">
              <w:rPr>
                <w:sz w:val="22"/>
                <w:szCs w:val="22"/>
                <w:lang w:val="sr-Latn-ME"/>
              </w:rPr>
              <w:t xml:space="preserve"> </w:t>
            </w:r>
            <w:r w:rsidRPr="00A10D67">
              <w:rPr>
                <w:sz w:val="22"/>
                <w:szCs w:val="22"/>
                <w:lang w:val="sr-Latn-ME"/>
              </w:rPr>
              <w:t>efuzija horoideje</w:t>
            </w:r>
          </w:p>
        </w:tc>
      </w:tr>
      <w:tr w:rsidR="00926382" w:rsidRPr="006F57B4" w14:paraId="0B2AEF4B" w14:textId="77777777" w:rsidTr="007476CA">
        <w:trPr>
          <w:trHeight w:val="306"/>
        </w:trPr>
        <w:tc>
          <w:tcPr>
            <w:tcW w:w="4673" w:type="dxa"/>
            <w:shd w:val="clear" w:color="auto" w:fill="auto"/>
            <w:vAlign w:val="center"/>
          </w:tcPr>
          <w:p w14:paraId="20B517A4"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uha i labirinta</w:t>
            </w:r>
          </w:p>
        </w:tc>
        <w:tc>
          <w:tcPr>
            <w:tcW w:w="4678" w:type="dxa"/>
            <w:shd w:val="clear" w:color="auto" w:fill="auto"/>
          </w:tcPr>
          <w:p w14:paraId="5E58AE7E" w14:textId="77777777" w:rsidR="00926382" w:rsidRPr="00A10D67" w:rsidRDefault="00926382" w:rsidP="00432709">
            <w:pPr>
              <w:tabs>
                <w:tab w:val="left" w:pos="567"/>
              </w:tabs>
              <w:jc w:val="both"/>
              <w:rPr>
                <w:sz w:val="22"/>
                <w:szCs w:val="22"/>
                <w:lang w:val="sr-Latn-ME"/>
              </w:rPr>
            </w:pPr>
            <w:r w:rsidRPr="00A10D67">
              <w:rPr>
                <w:sz w:val="22"/>
                <w:szCs w:val="22"/>
                <w:lang w:val="sr-Latn-ME"/>
              </w:rPr>
              <w:t>vrtoglavica</w:t>
            </w:r>
          </w:p>
        </w:tc>
      </w:tr>
      <w:tr w:rsidR="00926382" w:rsidRPr="006F57B4" w14:paraId="34EFE562" w14:textId="77777777" w:rsidTr="007476CA">
        <w:trPr>
          <w:trHeight w:val="396"/>
        </w:trPr>
        <w:tc>
          <w:tcPr>
            <w:tcW w:w="4673" w:type="dxa"/>
            <w:shd w:val="clear" w:color="auto" w:fill="auto"/>
            <w:vAlign w:val="center"/>
          </w:tcPr>
          <w:p w14:paraId="092AC9B8"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Srčani poremećaji</w:t>
            </w:r>
          </w:p>
        </w:tc>
        <w:tc>
          <w:tcPr>
            <w:tcW w:w="4678" w:type="dxa"/>
            <w:shd w:val="clear" w:color="auto" w:fill="auto"/>
          </w:tcPr>
          <w:p w14:paraId="49895788" w14:textId="77777777" w:rsidR="00926382" w:rsidRPr="00A10D67" w:rsidRDefault="00926382" w:rsidP="00432709">
            <w:pPr>
              <w:tabs>
                <w:tab w:val="left" w:pos="567"/>
              </w:tabs>
              <w:jc w:val="both"/>
              <w:rPr>
                <w:sz w:val="22"/>
                <w:szCs w:val="22"/>
                <w:lang w:val="sr-Latn-ME"/>
              </w:rPr>
            </w:pPr>
            <w:r w:rsidRPr="00A10D67">
              <w:rPr>
                <w:sz w:val="22"/>
                <w:szCs w:val="22"/>
                <w:lang w:val="sr-Latn-ME"/>
              </w:rPr>
              <w:t>posturalna hipotenzija</w:t>
            </w:r>
          </w:p>
        </w:tc>
      </w:tr>
      <w:tr w:rsidR="00926382" w:rsidRPr="006F57B4" w14:paraId="6261EBDD" w14:textId="77777777" w:rsidTr="007476CA">
        <w:tc>
          <w:tcPr>
            <w:tcW w:w="4673" w:type="dxa"/>
            <w:shd w:val="clear" w:color="auto" w:fill="auto"/>
            <w:vAlign w:val="center"/>
          </w:tcPr>
          <w:p w14:paraId="723FA66F" w14:textId="2C85C9D1" w:rsidR="00926382" w:rsidRPr="00A10D67" w:rsidRDefault="00926382" w:rsidP="00432709">
            <w:pPr>
              <w:tabs>
                <w:tab w:val="left" w:pos="567"/>
              </w:tabs>
              <w:jc w:val="both"/>
              <w:rPr>
                <w:b/>
                <w:i/>
                <w:sz w:val="22"/>
                <w:szCs w:val="22"/>
                <w:lang w:val="sr-Latn-ME"/>
              </w:rPr>
            </w:pPr>
            <w:r w:rsidRPr="00A10D67">
              <w:rPr>
                <w:b/>
                <w:i/>
                <w:sz w:val="22"/>
                <w:szCs w:val="22"/>
                <w:lang w:val="sr-Latn-ME"/>
              </w:rPr>
              <w:lastRenderedPageBreak/>
              <w:t>Kardiovaskularni</w:t>
            </w:r>
            <w:r w:rsidR="00432709" w:rsidRPr="00A10D67">
              <w:rPr>
                <w:b/>
                <w:i/>
                <w:sz w:val="22"/>
                <w:szCs w:val="22"/>
                <w:lang w:val="sr-Latn-ME"/>
              </w:rPr>
              <w:t xml:space="preserve"> </w:t>
            </w:r>
            <w:r w:rsidRPr="00A10D67">
              <w:rPr>
                <w:b/>
                <w:i/>
                <w:sz w:val="22"/>
                <w:szCs w:val="22"/>
                <w:lang w:val="sr-Latn-ME"/>
              </w:rPr>
              <w:t>poremećaji</w:t>
            </w:r>
          </w:p>
        </w:tc>
        <w:tc>
          <w:tcPr>
            <w:tcW w:w="4678" w:type="dxa"/>
            <w:shd w:val="clear" w:color="auto" w:fill="auto"/>
          </w:tcPr>
          <w:p w14:paraId="0EE0D542" w14:textId="77777777" w:rsidR="00926382" w:rsidRPr="00A10D67" w:rsidRDefault="00926382" w:rsidP="00432709">
            <w:pPr>
              <w:tabs>
                <w:tab w:val="left" w:pos="567"/>
              </w:tabs>
              <w:jc w:val="both"/>
              <w:rPr>
                <w:sz w:val="22"/>
                <w:szCs w:val="22"/>
                <w:lang w:val="sr-Latn-ME"/>
              </w:rPr>
            </w:pPr>
            <w:r w:rsidRPr="00A10D67">
              <w:rPr>
                <w:sz w:val="22"/>
                <w:szCs w:val="22"/>
                <w:lang w:val="sr-Latn-ME"/>
              </w:rPr>
              <w:t>nekrotizirajući angiitis (vaskulitis, kožni vaskulitis)</w:t>
            </w:r>
          </w:p>
        </w:tc>
      </w:tr>
      <w:tr w:rsidR="00926382" w:rsidRPr="006F57B4" w14:paraId="59B913CD" w14:textId="77777777" w:rsidTr="007476CA">
        <w:tc>
          <w:tcPr>
            <w:tcW w:w="4673" w:type="dxa"/>
            <w:shd w:val="clear" w:color="auto" w:fill="auto"/>
            <w:vAlign w:val="center"/>
          </w:tcPr>
          <w:p w14:paraId="61A2618A"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Respiratorni, torakalni i medijastinalni poremećaji</w:t>
            </w:r>
          </w:p>
        </w:tc>
        <w:tc>
          <w:tcPr>
            <w:tcW w:w="4678" w:type="dxa"/>
            <w:shd w:val="clear" w:color="auto" w:fill="auto"/>
          </w:tcPr>
          <w:p w14:paraId="2D84C652" w14:textId="77777777" w:rsidR="00926382" w:rsidRPr="00A10D67" w:rsidRDefault="00926382" w:rsidP="00432709">
            <w:pPr>
              <w:tabs>
                <w:tab w:val="left" w:pos="567"/>
              </w:tabs>
              <w:jc w:val="both"/>
              <w:rPr>
                <w:sz w:val="22"/>
                <w:szCs w:val="22"/>
                <w:lang w:val="sr-Latn-ME"/>
              </w:rPr>
            </w:pPr>
            <w:r w:rsidRPr="00A10D67">
              <w:rPr>
                <w:sz w:val="22"/>
                <w:szCs w:val="22"/>
                <w:lang w:val="sr-Latn-ME"/>
              </w:rPr>
              <w:t>respiratorni distres (uključujući pneumonitis i plućni edem)</w:t>
            </w:r>
          </w:p>
        </w:tc>
      </w:tr>
      <w:tr w:rsidR="00926382" w:rsidRPr="006F57B4" w14:paraId="1FE871A1" w14:textId="77777777" w:rsidTr="007476CA">
        <w:trPr>
          <w:trHeight w:val="423"/>
        </w:trPr>
        <w:tc>
          <w:tcPr>
            <w:tcW w:w="4673" w:type="dxa"/>
            <w:shd w:val="clear" w:color="auto" w:fill="auto"/>
            <w:vAlign w:val="center"/>
          </w:tcPr>
          <w:p w14:paraId="2C397B69"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gastrointestinalnog sistema</w:t>
            </w:r>
          </w:p>
        </w:tc>
        <w:tc>
          <w:tcPr>
            <w:tcW w:w="4678" w:type="dxa"/>
            <w:shd w:val="clear" w:color="auto" w:fill="auto"/>
          </w:tcPr>
          <w:p w14:paraId="3440401D" w14:textId="77777777" w:rsidR="00926382" w:rsidRPr="00A10D67" w:rsidRDefault="00926382" w:rsidP="00432709">
            <w:pPr>
              <w:tabs>
                <w:tab w:val="left" w:pos="567"/>
              </w:tabs>
              <w:jc w:val="both"/>
              <w:rPr>
                <w:sz w:val="22"/>
                <w:szCs w:val="22"/>
                <w:lang w:val="sr-Latn-ME"/>
              </w:rPr>
            </w:pPr>
            <w:r w:rsidRPr="00A10D67">
              <w:rPr>
                <w:sz w:val="22"/>
                <w:szCs w:val="22"/>
                <w:lang w:val="sr-Latn-ME"/>
              </w:rPr>
              <w:t>iritacija želuca, dijareja, zatvor, pankreatitis</w:t>
            </w:r>
          </w:p>
        </w:tc>
      </w:tr>
      <w:tr w:rsidR="00926382" w:rsidRPr="006F57B4" w14:paraId="33375573" w14:textId="77777777" w:rsidTr="007476CA">
        <w:trPr>
          <w:trHeight w:val="439"/>
        </w:trPr>
        <w:tc>
          <w:tcPr>
            <w:tcW w:w="4673" w:type="dxa"/>
            <w:shd w:val="clear" w:color="auto" w:fill="auto"/>
            <w:vAlign w:val="center"/>
          </w:tcPr>
          <w:p w14:paraId="335BDFD7"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jetre i žući</w:t>
            </w:r>
          </w:p>
        </w:tc>
        <w:tc>
          <w:tcPr>
            <w:tcW w:w="4678" w:type="dxa"/>
            <w:shd w:val="clear" w:color="auto" w:fill="auto"/>
          </w:tcPr>
          <w:p w14:paraId="66A71757" w14:textId="5F848510" w:rsidR="00926382" w:rsidRPr="00A10D67" w:rsidRDefault="00926382" w:rsidP="00432709">
            <w:pPr>
              <w:tabs>
                <w:tab w:val="left" w:pos="567"/>
              </w:tabs>
              <w:jc w:val="both"/>
              <w:rPr>
                <w:sz w:val="22"/>
                <w:szCs w:val="22"/>
                <w:lang w:val="sr-Latn-ME"/>
              </w:rPr>
            </w:pPr>
            <w:r w:rsidRPr="00A10D67">
              <w:rPr>
                <w:sz w:val="22"/>
                <w:szCs w:val="22"/>
                <w:lang w:val="sr-Latn-ME"/>
              </w:rPr>
              <w:t>žutica (intrahepatička holestatska žutica)</w:t>
            </w:r>
          </w:p>
        </w:tc>
      </w:tr>
      <w:tr w:rsidR="00926382" w:rsidRPr="006F57B4" w14:paraId="4384B213" w14:textId="77777777" w:rsidTr="007476CA">
        <w:tc>
          <w:tcPr>
            <w:tcW w:w="4673" w:type="dxa"/>
            <w:shd w:val="clear" w:color="auto" w:fill="auto"/>
            <w:vAlign w:val="center"/>
          </w:tcPr>
          <w:p w14:paraId="6CD5E561"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kože i potkožnog tkiva</w:t>
            </w:r>
          </w:p>
        </w:tc>
        <w:tc>
          <w:tcPr>
            <w:tcW w:w="4678" w:type="dxa"/>
            <w:shd w:val="clear" w:color="auto" w:fill="auto"/>
          </w:tcPr>
          <w:p w14:paraId="64CDBAD0" w14:textId="376CBEE1" w:rsidR="00926382" w:rsidRPr="00A10D67" w:rsidRDefault="00926382" w:rsidP="00432709">
            <w:pPr>
              <w:jc w:val="both"/>
              <w:rPr>
                <w:color w:val="000000"/>
                <w:sz w:val="22"/>
                <w:szCs w:val="22"/>
                <w:lang w:val="sr-Latn-ME"/>
              </w:rPr>
            </w:pPr>
            <w:r w:rsidRPr="00A10D67">
              <w:rPr>
                <w:color w:val="000000"/>
                <w:sz w:val="22"/>
                <w:szCs w:val="22"/>
                <w:lang w:val="sr-Latn-ME"/>
              </w:rPr>
              <w:t>fotosenzitivne reakcije, osip,</w:t>
            </w:r>
            <w:r w:rsidR="001213EC" w:rsidRPr="00A10D67">
              <w:rPr>
                <w:sz w:val="22"/>
                <w:szCs w:val="22"/>
                <w:lang w:val="sr-Latn-ME"/>
              </w:rPr>
              <w:t xml:space="preserve"> </w:t>
            </w:r>
            <w:r w:rsidR="001213EC" w:rsidRPr="00A10D67">
              <w:rPr>
                <w:color w:val="000000"/>
                <w:sz w:val="22"/>
                <w:szCs w:val="22"/>
                <w:lang w:val="sr-Latn-ME"/>
              </w:rPr>
              <w:t>sistemski eritemski lupus,</w:t>
            </w:r>
            <w:r w:rsidR="00432709" w:rsidRPr="00A10D67">
              <w:rPr>
                <w:color w:val="000000"/>
                <w:sz w:val="22"/>
                <w:szCs w:val="22"/>
                <w:lang w:val="sr-Latn-ME"/>
              </w:rPr>
              <w:t xml:space="preserve"> </w:t>
            </w:r>
            <w:r w:rsidRPr="00A10D67">
              <w:rPr>
                <w:color w:val="000000"/>
                <w:sz w:val="22"/>
                <w:szCs w:val="22"/>
                <w:lang w:val="sr-Latn-ME"/>
              </w:rPr>
              <w:t xml:space="preserve">kožne reakcije poput </w:t>
            </w:r>
            <w:r w:rsidRPr="00A10D67">
              <w:rPr>
                <w:i/>
                <w:color w:val="000000"/>
                <w:sz w:val="22"/>
                <w:szCs w:val="22"/>
                <w:lang w:val="sr-Latn-ME"/>
              </w:rPr>
              <w:t>lupus erit</w:t>
            </w:r>
            <w:r w:rsidR="008C47ED" w:rsidRPr="00A10D67">
              <w:rPr>
                <w:i/>
                <w:color w:val="000000"/>
                <w:sz w:val="22"/>
                <w:szCs w:val="22"/>
                <w:lang w:val="sr-Latn-ME"/>
              </w:rPr>
              <w:t>h</w:t>
            </w:r>
            <w:r w:rsidRPr="00A10D67">
              <w:rPr>
                <w:i/>
                <w:color w:val="000000"/>
                <w:sz w:val="22"/>
                <w:szCs w:val="22"/>
                <w:lang w:val="sr-Latn-ME"/>
              </w:rPr>
              <w:t>ematodes</w:t>
            </w:r>
            <w:r w:rsidRPr="00A10D67">
              <w:rPr>
                <w:color w:val="000000"/>
                <w:sz w:val="22"/>
                <w:szCs w:val="22"/>
                <w:lang w:val="sr-Latn-ME"/>
              </w:rPr>
              <w:t xml:space="preserve">a, reaktivacija kožnog </w:t>
            </w:r>
            <w:r w:rsidRPr="00A10D67">
              <w:rPr>
                <w:i/>
                <w:color w:val="000000"/>
                <w:sz w:val="22"/>
                <w:szCs w:val="22"/>
                <w:lang w:val="sr-Latn-ME"/>
              </w:rPr>
              <w:t>lupus erit</w:t>
            </w:r>
            <w:r w:rsidR="008C47ED" w:rsidRPr="00A10D67">
              <w:rPr>
                <w:i/>
                <w:color w:val="000000"/>
                <w:sz w:val="22"/>
                <w:szCs w:val="22"/>
                <w:lang w:val="sr-Latn-ME"/>
              </w:rPr>
              <w:t>h</w:t>
            </w:r>
            <w:r w:rsidRPr="00A10D67">
              <w:rPr>
                <w:i/>
                <w:color w:val="000000"/>
                <w:sz w:val="22"/>
                <w:szCs w:val="22"/>
                <w:lang w:val="sr-Latn-ME"/>
              </w:rPr>
              <w:t>ematodes</w:t>
            </w:r>
            <w:r w:rsidRPr="00A10D67">
              <w:rPr>
                <w:color w:val="000000"/>
                <w:sz w:val="22"/>
                <w:szCs w:val="22"/>
                <w:lang w:val="sr-Latn-ME"/>
              </w:rPr>
              <w:t>a, urtikarija, anafilaktičke reakcije, toksična epidermalna nekroliza</w:t>
            </w:r>
          </w:p>
        </w:tc>
      </w:tr>
      <w:tr w:rsidR="00926382" w:rsidRPr="006F57B4" w14:paraId="721130CB" w14:textId="77777777" w:rsidTr="007476CA">
        <w:tc>
          <w:tcPr>
            <w:tcW w:w="4673" w:type="dxa"/>
            <w:shd w:val="clear" w:color="auto" w:fill="auto"/>
            <w:vAlign w:val="center"/>
          </w:tcPr>
          <w:p w14:paraId="54B06E0D"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mišićno-koštanog sistema i vezivnog tkiva</w:t>
            </w:r>
          </w:p>
        </w:tc>
        <w:tc>
          <w:tcPr>
            <w:tcW w:w="4678" w:type="dxa"/>
            <w:shd w:val="clear" w:color="auto" w:fill="auto"/>
          </w:tcPr>
          <w:p w14:paraId="0F7AB8D3" w14:textId="77777777" w:rsidR="00926382" w:rsidRPr="00A10D67" w:rsidRDefault="00926382" w:rsidP="00432709">
            <w:pPr>
              <w:tabs>
                <w:tab w:val="left" w:pos="567"/>
              </w:tabs>
              <w:jc w:val="both"/>
              <w:rPr>
                <w:sz w:val="22"/>
                <w:szCs w:val="22"/>
                <w:lang w:val="sr-Latn-ME"/>
              </w:rPr>
            </w:pPr>
            <w:r w:rsidRPr="00A10D67">
              <w:rPr>
                <w:sz w:val="22"/>
                <w:szCs w:val="22"/>
                <w:lang w:val="sr-Latn-ME"/>
              </w:rPr>
              <w:t>spazam mišića, slabost mišića</w:t>
            </w:r>
          </w:p>
        </w:tc>
      </w:tr>
      <w:tr w:rsidR="00926382" w:rsidRPr="006F57B4" w14:paraId="642A9829" w14:textId="77777777" w:rsidTr="007476CA">
        <w:trPr>
          <w:trHeight w:val="587"/>
        </w:trPr>
        <w:tc>
          <w:tcPr>
            <w:tcW w:w="4673" w:type="dxa"/>
            <w:shd w:val="clear" w:color="auto" w:fill="auto"/>
            <w:vAlign w:val="center"/>
          </w:tcPr>
          <w:p w14:paraId="1889DA27" w14:textId="77777777" w:rsidR="00926382" w:rsidRPr="00A10D67" w:rsidRDefault="00926382" w:rsidP="00432709">
            <w:pPr>
              <w:tabs>
                <w:tab w:val="left" w:pos="567"/>
              </w:tabs>
              <w:jc w:val="both"/>
              <w:rPr>
                <w:b/>
                <w:i/>
                <w:sz w:val="22"/>
                <w:szCs w:val="22"/>
                <w:lang w:val="sr-Latn-ME"/>
              </w:rPr>
            </w:pPr>
            <w:r w:rsidRPr="00A10D67">
              <w:rPr>
                <w:b/>
                <w:i/>
                <w:sz w:val="22"/>
                <w:szCs w:val="22"/>
                <w:lang w:val="sr-Latn-ME"/>
              </w:rPr>
              <w:t>Poremećaji bubrega i mokraćnog sistema</w:t>
            </w:r>
          </w:p>
        </w:tc>
        <w:tc>
          <w:tcPr>
            <w:tcW w:w="4678" w:type="dxa"/>
            <w:shd w:val="clear" w:color="auto" w:fill="auto"/>
          </w:tcPr>
          <w:p w14:paraId="7B82CE20" w14:textId="4EEB0F1F" w:rsidR="00926382" w:rsidRPr="00A10D67" w:rsidRDefault="00926382" w:rsidP="00432709">
            <w:pPr>
              <w:tabs>
                <w:tab w:val="left" w:pos="567"/>
              </w:tabs>
              <w:jc w:val="both"/>
              <w:rPr>
                <w:sz w:val="22"/>
                <w:szCs w:val="22"/>
                <w:lang w:val="sr-Latn-ME"/>
              </w:rPr>
            </w:pPr>
            <w:r w:rsidRPr="00A10D67">
              <w:rPr>
                <w:sz w:val="22"/>
                <w:szCs w:val="22"/>
                <w:lang w:val="sr-Latn-ME"/>
              </w:rPr>
              <w:t xml:space="preserve">disfunkcija bubrega, </w:t>
            </w:r>
            <w:r w:rsidRPr="00A10D67">
              <w:rPr>
                <w:color w:val="000000"/>
                <w:sz w:val="22"/>
                <w:szCs w:val="22"/>
                <w:lang w:val="sr-Latn-ME"/>
              </w:rPr>
              <w:t>intersticijalni nefritis</w:t>
            </w:r>
          </w:p>
        </w:tc>
      </w:tr>
      <w:tr w:rsidR="00926382" w:rsidRPr="006F57B4" w14:paraId="1E446E5E" w14:textId="77777777" w:rsidTr="007476CA">
        <w:trPr>
          <w:trHeight w:val="360"/>
        </w:trPr>
        <w:tc>
          <w:tcPr>
            <w:tcW w:w="4673" w:type="dxa"/>
            <w:shd w:val="clear" w:color="auto" w:fill="auto"/>
            <w:vAlign w:val="center"/>
          </w:tcPr>
          <w:p w14:paraId="511C4485" w14:textId="2AAFE930" w:rsidR="00926382" w:rsidRPr="00A10D67" w:rsidRDefault="00227FE0" w:rsidP="00432709">
            <w:pPr>
              <w:tabs>
                <w:tab w:val="left" w:pos="567"/>
              </w:tabs>
              <w:jc w:val="both"/>
              <w:rPr>
                <w:b/>
                <w:i/>
                <w:sz w:val="22"/>
                <w:szCs w:val="22"/>
                <w:lang w:val="sr-Latn-ME"/>
              </w:rPr>
            </w:pPr>
            <w:r w:rsidRPr="00A10D67">
              <w:rPr>
                <w:b/>
                <w:i/>
                <w:sz w:val="22"/>
                <w:szCs w:val="22"/>
                <w:lang w:val="sr-Latn-ME"/>
              </w:rPr>
              <w:t xml:space="preserve"> </w:t>
            </w:r>
            <w:r w:rsidR="008C47ED" w:rsidRPr="00A10D67">
              <w:rPr>
                <w:b/>
                <w:i/>
                <w:sz w:val="22"/>
                <w:szCs w:val="22"/>
                <w:lang w:val="sr-Latn-ME"/>
              </w:rPr>
              <w:t xml:space="preserve">Opšti </w:t>
            </w:r>
            <w:r w:rsidR="00926382" w:rsidRPr="00A10D67">
              <w:rPr>
                <w:b/>
                <w:i/>
                <w:sz w:val="22"/>
                <w:szCs w:val="22"/>
                <w:lang w:val="sr-Latn-ME"/>
              </w:rPr>
              <w:t>poremećaji i reakcije na mjestu primjene</w:t>
            </w:r>
          </w:p>
        </w:tc>
        <w:tc>
          <w:tcPr>
            <w:tcW w:w="4678" w:type="dxa"/>
            <w:shd w:val="clear" w:color="auto" w:fill="auto"/>
          </w:tcPr>
          <w:p w14:paraId="447D842C" w14:textId="39919082" w:rsidR="00926382" w:rsidRPr="00A10D67" w:rsidRDefault="00926382" w:rsidP="00432709">
            <w:pPr>
              <w:tabs>
                <w:tab w:val="left" w:pos="567"/>
              </w:tabs>
              <w:jc w:val="both"/>
              <w:rPr>
                <w:sz w:val="22"/>
                <w:szCs w:val="22"/>
                <w:lang w:val="sr-Latn-ME"/>
              </w:rPr>
            </w:pPr>
            <w:r w:rsidRPr="00A10D67">
              <w:rPr>
                <w:sz w:val="22"/>
                <w:szCs w:val="22"/>
                <w:lang w:val="sr-Latn-ME"/>
              </w:rPr>
              <w:t>povišena tjelesna temperatura, slabost</w:t>
            </w:r>
          </w:p>
        </w:tc>
      </w:tr>
    </w:tbl>
    <w:p w14:paraId="424AD295" w14:textId="77777777" w:rsidR="00926382" w:rsidRPr="00A10D67" w:rsidRDefault="00926382" w:rsidP="00432709">
      <w:pPr>
        <w:jc w:val="both"/>
        <w:rPr>
          <w:sz w:val="22"/>
          <w:szCs w:val="22"/>
          <w:lang w:val="sr-Latn-ME"/>
        </w:rPr>
      </w:pPr>
    </w:p>
    <w:p w14:paraId="4B7D6E14" w14:textId="77777777" w:rsidR="00926382" w:rsidRPr="00A10D67" w:rsidRDefault="00926382" w:rsidP="00432709">
      <w:pPr>
        <w:keepNext/>
        <w:keepLines/>
        <w:tabs>
          <w:tab w:val="left" w:pos="567"/>
        </w:tabs>
        <w:autoSpaceDE w:val="0"/>
        <w:autoSpaceDN w:val="0"/>
        <w:adjustRightInd w:val="0"/>
        <w:snapToGrid w:val="0"/>
        <w:spacing w:line="260" w:lineRule="exact"/>
        <w:jc w:val="both"/>
        <w:rPr>
          <w:sz w:val="22"/>
          <w:szCs w:val="22"/>
          <w:u w:val="single"/>
          <w:lang w:val="sr-Latn-ME"/>
        </w:rPr>
      </w:pPr>
      <w:r w:rsidRPr="00A10D67">
        <w:rPr>
          <w:sz w:val="22"/>
          <w:szCs w:val="22"/>
          <w:u w:val="single"/>
          <w:lang w:val="sr-Latn-ME"/>
        </w:rPr>
        <w:t>Opis odabranih neželjenih dejstava</w:t>
      </w:r>
    </w:p>
    <w:p w14:paraId="25F4C7D7" w14:textId="61E39421" w:rsidR="00926382" w:rsidRPr="00A10D67" w:rsidRDefault="00926382" w:rsidP="00432709">
      <w:pPr>
        <w:keepNext/>
        <w:keepLines/>
        <w:tabs>
          <w:tab w:val="left" w:pos="567"/>
        </w:tabs>
        <w:autoSpaceDE w:val="0"/>
        <w:autoSpaceDN w:val="0"/>
        <w:adjustRightInd w:val="0"/>
        <w:snapToGrid w:val="0"/>
        <w:spacing w:line="260" w:lineRule="exact"/>
        <w:jc w:val="both"/>
        <w:rPr>
          <w:sz w:val="22"/>
          <w:szCs w:val="22"/>
          <w:lang w:val="sr-Latn-ME"/>
        </w:rPr>
      </w:pPr>
      <w:r w:rsidRPr="00A10D67">
        <w:rPr>
          <w:sz w:val="22"/>
          <w:szCs w:val="22"/>
          <w:lang w:val="sr-Latn-ME"/>
        </w:rPr>
        <w:t xml:space="preserve">Nemelanomski rak kože: Na osnovu dostupnih podataka iz epidemioloških ispitivanja, između hidrohlortiazida i NMSC-a primijećena je povezanost zavisna od kumulativne doze (vidjeti takođe </w:t>
      </w:r>
      <w:r w:rsidR="00514B54" w:rsidRPr="00A10D67">
        <w:rPr>
          <w:sz w:val="22"/>
          <w:szCs w:val="22"/>
          <w:lang w:val="sr-Latn-ME"/>
        </w:rPr>
        <w:t>djelove</w:t>
      </w:r>
      <w:r w:rsidR="00611561" w:rsidRPr="00A10D67">
        <w:rPr>
          <w:sz w:val="22"/>
          <w:szCs w:val="22"/>
          <w:lang w:val="sr-Latn-ME"/>
        </w:rPr>
        <w:t xml:space="preserve"> </w:t>
      </w:r>
      <w:r w:rsidRPr="00A10D67">
        <w:rPr>
          <w:sz w:val="22"/>
          <w:szCs w:val="22"/>
          <w:lang w:val="sr-Latn-ME"/>
        </w:rPr>
        <w:t>4.4. i 5.1.).</w:t>
      </w:r>
    </w:p>
    <w:p w14:paraId="4A2D3B80" w14:textId="77777777" w:rsidR="00926382" w:rsidRPr="00A10D67" w:rsidRDefault="00926382">
      <w:pPr>
        <w:tabs>
          <w:tab w:val="left" w:pos="540"/>
          <w:tab w:val="left" w:pos="569"/>
        </w:tabs>
        <w:jc w:val="both"/>
        <w:rPr>
          <w:b/>
          <w:bCs/>
          <w:sz w:val="22"/>
          <w:szCs w:val="22"/>
          <w:lang w:val="sr-Latn-ME"/>
        </w:rPr>
      </w:pPr>
    </w:p>
    <w:p w14:paraId="042E9C24" w14:textId="77777777" w:rsidR="005A23D2" w:rsidRPr="00A10D67" w:rsidRDefault="005A23D2">
      <w:pPr>
        <w:spacing w:after="200" w:line="276" w:lineRule="auto"/>
        <w:jc w:val="both"/>
        <w:rPr>
          <w:rFonts w:eastAsia="Calibri"/>
          <w:sz w:val="22"/>
          <w:szCs w:val="22"/>
          <w:u w:val="single"/>
          <w:lang w:val="sr-Latn-ME"/>
        </w:rPr>
      </w:pPr>
      <w:r w:rsidRPr="00A10D67">
        <w:rPr>
          <w:rFonts w:eastAsia="Calibri"/>
          <w:sz w:val="22"/>
          <w:szCs w:val="22"/>
          <w:u w:val="single"/>
          <w:lang w:val="sr-Latn-ME"/>
        </w:rPr>
        <w:t>Prijavljivanje sumnji na neželjena dejstva</w:t>
      </w:r>
    </w:p>
    <w:p w14:paraId="0B28C741" w14:textId="77777777" w:rsidR="005A23D2" w:rsidRPr="00A10D67" w:rsidRDefault="005A23D2">
      <w:pPr>
        <w:spacing w:after="200"/>
        <w:jc w:val="both"/>
        <w:rPr>
          <w:rFonts w:eastAsia="Calibri"/>
          <w:sz w:val="22"/>
          <w:szCs w:val="22"/>
          <w:lang w:val="sr-Latn-ME"/>
        </w:rPr>
      </w:pPr>
      <w:r w:rsidRPr="00A10D67">
        <w:rPr>
          <w:rFonts w:eastAsia="Calibri"/>
          <w:sz w:val="22"/>
          <w:szCs w:val="22"/>
          <w:lang w:val="sr-Latn-ME"/>
        </w:rPr>
        <w:t>Prijavljivanje neželjenih dejstava nakon dobijanja dozvole je od velikog značaja jer obezbjeđuje kont</w:t>
      </w:r>
      <w:r w:rsidR="00EA5765" w:rsidRPr="00A10D67">
        <w:rPr>
          <w:rFonts w:eastAsia="Calibri"/>
          <w:sz w:val="22"/>
          <w:szCs w:val="22"/>
          <w:lang w:val="sr-Latn-ME"/>
        </w:rPr>
        <w:t>inuirano praćenje odnosa korist</w:t>
      </w:r>
      <w:r w:rsidRPr="00A10D67">
        <w:rPr>
          <w:rFonts w:eastAsia="Calibri"/>
          <w:sz w:val="22"/>
          <w:szCs w:val="22"/>
          <w:lang w:val="sr-Latn-ME"/>
        </w:rPr>
        <w:t>/rizik primjene lijeka. Zdravstveni radnici treba da prijave svaku sumnju na neželjeno</w:t>
      </w:r>
      <w:r w:rsidR="009B062A" w:rsidRPr="00A10D67">
        <w:rPr>
          <w:rFonts w:eastAsia="Calibri"/>
          <w:sz w:val="22"/>
          <w:szCs w:val="22"/>
          <w:lang w:val="sr-Latn-ME"/>
        </w:rPr>
        <w:t xml:space="preserve"> </w:t>
      </w:r>
      <w:r w:rsidRPr="00A10D67">
        <w:rPr>
          <w:rFonts w:eastAsia="Calibri"/>
          <w:sz w:val="22"/>
          <w:szCs w:val="22"/>
          <w:lang w:val="sr-Latn-ME"/>
        </w:rPr>
        <w:t xml:space="preserve">dejstvo ovog lijeka </w:t>
      </w:r>
      <w:r w:rsidR="004E70AD" w:rsidRPr="00A10D67">
        <w:rPr>
          <w:rFonts w:eastAsia="Calibri"/>
          <w:sz w:val="22"/>
          <w:szCs w:val="22"/>
          <w:lang w:val="sr-Latn-ME"/>
        </w:rPr>
        <w:t>Institutu</w:t>
      </w:r>
      <w:r w:rsidRPr="00A10D67">
        <w:rPr>
          <w:rFonts w:eastAsia="Calibri"/>
          <w:sz w:val="22"/>
          <w:szCs w:val="22"/>
          <w:lang w:val="sr-Latn-ME"/>
        </w:rPr>
        <w:t xml:space="preserve"> za ljekove i medicinska sredstva</w:t>
      </w:r>
      <w:r w:rsidR="004E70AD" w:rsidRPr="00A10D67">
        <w:rPr>
          <w:rFonts w:eastAsia="Calibri"/>
          <w:sz w:val="22"/>
          <w:szCs w:val="22"/>
          <w:lang w:val="sr-Latn-ME"/>
        </w:rPr>
        <w:t xml:space="preserve"> </w:t>
      </w:r>
      <w:r w:rsidRPr="00A10D67">
        <w:rPr>
          <w:rFonts w:eastAsia="Calibri"/>
          <w:sz w:val="22"/>
          <w:szCs w:val="22"/>
          <w:lang w:val="sr-Latn-ME"/>
        </w:rPr>
        <w:t>(</w:t>
      </w:r>
      <w:r w:rsidR="004E70AD" w:rsidRPr="00A10D67">
        <w:rPr>
          <w:rFonts w:eastAsia="Calibri"/>
          <w:sz w:val="22"/>
          <w:szCs w:val="22"/>
          <w:lang w:val="sr-Latn-ME"/>
        </w:rPr>
        <w:t>CInMED</w:t>
      </w:r>
      <w:r w:rsidRPr="00A10D67">
        <w:rPr>
          <w:rFonts w:eastAsia="Calibri"/>
          <w:sz w:val="22"/>
          <w:szCs w:val="22"/>
          <w:lang w:val="sr-Latn-ME"/>
        </w:rPr>
        <w:t>):</w:t>
      </w:r>
    </w:p>
    <w:p w14:paraId="3670C89A" w14:textId="77777777" w:rsidR="005A23D2" w:rsidRPr="00A10D67" w:rsidRDefault="004E70AD">
      <w:pPr>
        <w:pStyle w:val="NoSpacing"/>
        <w:jc w:val="both"/>
        <w:rPr>
          <w:rFonts w:eastAsia="Calibri"/>
          <w:sz w:val="22"/>
          <w:szCs w:val="22"/>
          <w:lang w:val="sr-Latn-ME"/>
        </w:rPr>
      </w:pPr>
      <w:r w:rsidRPr="00A10D67">
        <w:rPr>
          <w:rFonts w:eastAsia="Calibri"/>
          <w:sz w:val="22"/>
          <w:szCs w:val="22"/>
          <w:lang w:val="sr-Latn-ME"/>
        </w:rPr>
        <w:t xml:space="preserve">Institut </w:t>
      </w:r>
      <w:r w:rsidR="005A23D2" w:rsidRPr="00A10D67">
        <w:rPr>
          <w:rFonts w:eastAsia="Calibri"/>
          <w:sz w:val="22"/>
          <w:szCs w:val="22"/>
          <w:lang w:val="sr-Latn-ME"/>
        </w:rPr>
        <w:t xml:space="preserve">za ljekove i medicinska sredstva </w:t>
      </w:r>
    </w:p>
    <w:p w14:paraId="1FCC9A6F" w14:textId="77777777" w:rsidR="005A23D2" w:rsidRPr="00A10D67" w:rsidRDefault="005A23D2">
      <w:pPr>
        <w:pStyle w:val="NoSpacing"/>
        <w:jc w:val="both"/>
        <w:rPr>
          <w:rFonts w:eastAsia="Calibri"/>
          <w:sz w:val="22"/>
          <w:szCs w:val="22"/>
          <w:lang w:val="sr-Latn-ME"/>
        </w:rPr>
      </w:pPr>
      <w:r w:rsidRPr="00A10D67">
        <w:rPr>
          <w:rFonts w:eastAsia="Calibri"/>
          <w:sz w:val="22"/>
          <w:szCs w:val="22"/>
          <w:lang w:val="sr-Latn-ME"/>
        </w:rPr>
        <w:t>Odjeljenje za farmakovigilancu</w:t>
      </w:r>
    </w:p>
    <w:p w14:paraId="074D49AD" w14:textId="77777777" w:rsidR="00EA5765" w:rsidRPr="00A10D67" w:rsidRDefault="005A23D2">
      <w:pPr>
        <w:pStyle w:val="NoSpacing"/>
        <w:jc w:val="both"/>
        <w:rPr>
          <w:rFonts w:eastAsia="Calibri"/>
          <w:sz w:val="22"/>
          <w:szCs w:val="22"/>
          <w:lang w:val="sr-Latn-ME"/>
        </w:rPr>
      </w:pPr>
      <w:r w:rsidRPr="00A10D67">
        <w:rPr>
          <w:rFonts w:eastAsia="Calibri"/>
          <w:sz w:val="22"/>
          <w:szCs w:val="22"/>
          <w:lang w:val="sr-Latn-ME"/>
        </w:rPr>
        <w:t>Bulevar Ivana Crnojevića 64a, 81000 Podgorica</w:t>
      </w:r>
    </w:p>
    <w:p w14:paraId="3B1031E9" w14:textId="77777777" w:rsidR="00EA5765" w:rsidRPr="00A10D67" w:rsidRDefault="00EA5765">
      <w:pPr>
        <w:pStyle w:val="NoSpacing"/>
        <w:jc w:val="both"/>
        <w:rPr>
          <w:rFonts w:eastAsia="Calibri"/>
          <w:sz w:val="22"/>
          <w:szCs w:val="22"/>
          <w:lang w:val="sr-Latn-ME"/>
        </w:rPr>
      </w:pPr>
    </w:p>
    <w:p w14:paraId="77579D18" w14:textId="77777777" w:rsidR="005A23D2" w:rsidRPr="00A10D67" w:rsidRDefault="005A23D2">
      <w:pPr>
        <w:pStyle w:val="NoSpacing"/>
        <w:jc w:val="both"/>
        <w:rPr>
          <w:rFonts w:eastAsia="Calibri"/>
          <w:sz w:val="22"/>
          <w:szCs w:val="22"/>
          <w:lang w:val="sr-Latn-ME"/>
        </w:rPr>
      </w:pPr>
      <w:r w:rsidRPr="00A10D67">
        <w:rPr>
          <w:rFonts w:eastAsia="Calibri"/>
          <w:sz w:val="22"/>
          <w:szCs w:val="22"/>
          <w:lang w:val="sr-Latn-ME"/>
        </w:rPr>
        <w:t>tel: +382 (0) 20 310 280</w:t>
      </w:r>
    </w:p>
    <w:p w14:paraId="77329FAC" w14:textId="77777777" w:rsidR="00EA5765" w:rsidRPr="00A10D67" w:rsidRDefault="005A23D2">
      <w:pPr>
        <w:pStyle w:val="NoSpacing"/>
        <w:tabs>
          <w:tab w:val="left" w:pos="6720"/>
        </w:tabs>
        <w:jc w:val="both"/>
        <w:rPr>
          <w:rFonts w:eastAsia="Calibri"/>
          <w:sz w:val="22"/>
          <w:szCs w:val="22"/>
          <w:lang w:val="sr-Latn-ME"/>
        </w:rPr>
      </w:pPr>
      <w:r w:rsidRPr="00A10D67">
        <w:rPr>
          <w:rFonts w:eastAsia="Calibri"/>
          <w:sz w:val="22"/>
          <w:szCs w:val="22"/>
          <w:lang w:val="sr-Latn-ME"/>
        </w:rPr>
        <w:t>fax:</w:t>
      </w:r>
      <w:r w:rsidR="00EA5765" w:rsidRPr="00A10D67">
        <w:rPr>
          <w:rFonts w:eastAsia="Calibri"/>
          <w:sz w:val="22"/>
          <w:szCs w:val="22"/>
          <w:lang w:val="sr-Latn-ME"/>
        </w:rPr>
        <w:t xml:space="preserve"> </w:t>
      </w:r>
      <w:r w:rsidRPr="00A10D67">
        <w:rPr>
          <w:rFonts w:eastAsia="Calibri"/>
          <w:sz w:val="22"/>
          <w:szCs w:val="22"/>
          <w:lang w:val="sr-Latn-ME"/>
        </w:rPr>
        <w:t>+382 (0) 20 310 581</w:t>
      </w:r>
      <w:r w:rsidR="00FF3EDF" w:rsidRPr="00A10D67">
        <w:rPr>
          <w:rFonts w:eastAsia="Calibri"/>
          <w:sz w:val="22"/>
          <w:szCs w:val="22"/>
          <w:lang w:val="sr-Latn-ME"/>
        </w:rPr>
        <w:tab/>
      </w:r>
    </w:p>
    <w:p w14:paraId="6C24705C" w14:textId="77777777" w:rsidR="005A23D2" w:rsidRPr="00A10D67" w:rsidRDefault="006F5D10">
      <w:pPr>
        <w:pStyle w:val="NoSpacing"/>
        <w:jc w:val="both"/>
        <w:rPr>
          <w:rFonts w:eastAsia="Calibri"/>
          <w:sz w:val="22"/>
          <w:szCs w:val="22"/>
          <w:lang w:val="sr-Latn-ME"/>
        </w:rPr>
      </w:pPr>
      <w:hyperlink r:id="rId8" w:history="1">
        <w:r w:rsidR="004E70AD" w:rsidRPr="00A10D67">
          <w:rPr>
            <w:rStyle w:val="Hyperlink"/>
            <w:rFonts w:eastAsia="Calibri"/>
            <w:sz w:val="22"/>
            <w:szCs w:val="22"/>
            <w:lang w:val="sr-Latn-ME"/>
          </w:rPr>
          <w:t>www.cinmed.me</w:t>
        </w:r>
      </w:hyperlink>
    </w:p>
    <w:p w14:paraId="4CF76265" w14:textId="77777777" w:rsidR="00EA5765" w:rsidRPr="00A10D67" w:rsidRDefault="006F5D10">
      <w:pPr>
        <w:pStyle w:val="NoSpacing"/>
        <w:jc w:val="both"/>
        <w:rPr>
          <w:rFonts w:eastAsia="Calibri"/>
          <w:color w:val="0000FF"/>
          <w:sz w:val="22"/>
          <w:szCs w:val="22"/>
          <w:u w:val="single"/>
          <w:lang w:val="sr-Latn-ME"/>
        </w:rPr>
      </w:pPr>
      <w:hyperlink r:id="rId9" w:history="1">
        <w:r w:rsidR="004E70AD" w:rsidRPr="00A10D67">
          <w:rPr>
            <w:rStyle w:val="Hyperlink"/>
            <w:rFonts w:eastAsia="Calibri"/>
            <w:sz w:val="22"/>
            <w:szCs w:val="22"/>
            <w:lang w:val="sr-Latn-ME"/>
          </w:rPr>
          <w:t>nezeljenadejstva@cinmed.me</w:t>
        </w:r>
      </w:hyperlink>
    </w:p>
    <w:p w14:paraId="4986A8F6" w14:textId="77777777" w:rsidR="005A23D2" w:rsidRPr="00A10D67" w:rsidRDefault="005A23D2">
      <w:pPr>
        <w:pStyle w:val="NoSpacing"/>
        <w:jc w:val="both"/>
        <w:rPr>
          <w:rFonts w:eastAsia="Calibri"/>
          <w:sz w:val="22"/>
          <w:szCs w:val="22"/>
          <w:lang w:val="sr-Latn-ME"/>
        </w:rPr>
      </w:pPr>
      <w:r w:rsidRPr="00A10D67">
        <w:rPr>
          <w:rFonts w:eastAsia="Calibri"/>
          <w:sz w:val="22"/>
          <w:szCs w:val="22"/>
          <w:lang w:val="sr-Latn-ME"/>
        </w:rPr>
        <w:t>putem IS zdravstvene zaštite</w:t>
      </w:r>
    </w:p>
    <w:p w14:paraId="4E0CD143" w14:textId="77777777" w:rsidR="007E31E9" w:rsidRPr="00A10D67" w:rsidRDefault="007E31E9">
      <w:pPr>
        <w:pStyle w:val="NoSpacing"/>
        <w:jc w:val="both"/>
        <w:rPr>
          <w:rFonts w:eastAsia="Calibri"/>
          <w:sz w:val="22"/>
          <w:szCs w:val="22"/>
          <w:lang w:val="sr-Latn-ME"/>
        </w:rPr>
      </w:pPr>
      <w:r w:rsidRPr="00A10D67">
        <w:rPr>
          <w:rFonts w:eastAsia="Calibri"/>
          <w:sz w:val="22"/>
          <w:szCs w:val="22"/>
          <w:lang w:val="sr-Latn-ME"/>
        </w:rPr>
        <w:t>QR kod za online prijavu</w:t>
      </w:r>
      <w:r w:rsidR="00D74CD2" w:rsidRPr="00A10D67">
        <w:rPr>
          <w:rFonts w:eastAsia="Calibri"/>
          <w:sz w:val="22"/>
          <w:szCs w:val="22"/>
          <w:lang w:val="sr-Latn-ME"/>
        </w:rPr>
        <w:t xml:space="preserve"> sumnje na neželjeno dejstvo lijeka</w:t>
      </w:r>
      <w:r w:rsidRPr="00A10D67">
        <w:rPr>
          <w:rFonts w:eastAsia="Calibri"/>
          <w:sz w:val="22"/>
          <w:szCs w:val="22"/>
          <w:lang w:val="sr-Latn-ME"/>
        </w:rPr>
        <w:t>:</w:t>
      </w:r>
    </w:p>
    <w:p w14:paraId="5CC4E6C2" w14:textId="77777777" w:rsidR="007E31E9" w:rsidRPr="00A10D67" w:rsidRDefault="007E31E9">
      <w:pPr>
        <w:pStyle w:val="NoSpacing"/>
        <w:jc w:val="both"/>
        <w:rPr>
          <w:rFonts w:eastAsia="Calibri"/>
          <w:sz w:val="22"/>
          <w:szCs w:val="22"/>
          <w:lang w:val="sr-Latn-ME"/>
        </w:rPr>
      </w:pPr>
    </w:p>
    <w:p w14:paraId="08D57E24" w14:textId="77777777" w:rsidR="004F17E2" w:rsidRPr="00A10D67" w:rsidRDefault="007E31E9">
      <w:pPr>
        <w:pStyle w:val="NoSpacing"/>
        <w:jc w:val="both"/>
        <w:rPr>
          <w:rFonts w:eastAsia="Calibri"/>
          <w:sz w:val="22"/>
          <w:szCs w:val="22"/>
          <w:lang w:val="sr-Latn-ME"/>
        </w:rPr>
      </w:pPr>
      <w:r w:rsidRPr="00A10D67">
        <w:rPr>
          <w:noProof/>
          <w:sz w:val="22"/>
          <w:szCs w:val="22"/>
        </w:rPr>
        <w:drawing>
          <wp:inline distT="0" distB="0" distL="0" distR="0" wp14:anchorId="02B0E0AB" wp14:editId="56A7BF83">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154E082" w14:textId="77777777" w:rsidR="00836B35" w:rsidRPr="00A10D67" w:rsidRDefault="00836B35">
      <w:pPr>
        <w:tabs>
          <w:tab w:val="left" w:pos="540"/>
          <w:tab w:val="left" w:pos="569"/>
        </w:tabs>
        <w:jc w:val="both"/>
        <w:rPr>
          <w:b/>
          <w:bCs/>
          <w:sz w:val="22"/>
          <w:szCs w:val="22"/>
          <w:lang w:val="sr-Latn-ME"/>
        </w:rPr>
      </w:pPr>
    </w:p>
    <w:p w14:paraId="3C524492" w14:textId="6E784452" w:rsidR="00356374" w:rsidRPr="00A10D67" w:rsidRDefault="0072020E" w:rsidP="00544FD6">
      <w:pPr>
        <w:rPr>
          <w:b/>
          <w:bCs/>
          <w:sz w:val="22"/>
          <w:szCs w:val="22"/>
          <w:lang w:val="sr-Latn-ME"/>
        </w:rPr>
      </w:pPr>
      <w:r w:rsidRPr="00A10D67">
        <w:rPr>
          <w:b/>
          <w:bCs/>
          <w:sz w:val="22"/>
          <w:szCs w:val="22"/>
          <w:lang w:val="sr-Latn-ME"/>
        </w:rPr>
        <w:t>4.9. Predoziranje</w:t>
      </w:r>
      <w:r w:rsidR="002846DB" w:rsidRPr="00A10D67">
        <w:rPr>
          <w:b/>
          <w:bCs/>
          <w:sz w:val="22"/>
          <w:szCs w:val="22"/>
          <w:lang w:val="sr-Latn-ME"/>
        </w:rPr>
        <w:t xml:space="preserve"> </w:t>
      </w:r>
    </w:p>
    <w:p w14:paraId="05289BE2" w14:textId="77777777" w:rsidR="00514B54" w:rsidRPr="00A10D67" w:rsidRDefault="00514B54">
      <w:pPr>
        <w:tabs>
          <w:tab w:val="left" w:pos="540"/>
          <w:tab w:val="left" w:pos="569"/>
        </w:tabs>
        <w:jc w:val="both"/>
        <w:rPr>
          <w:b/>
          <w:bCs/>
          <w:sz w:val="22"/>
          <w:szCs w:val="22"/>
          <w:lang w:val="sr-Latn-ME"/>
        </w:rPr>
      </w:pPr>
    </w:p>
    <w:p w14:paraId="679EDF96" w14:textId="31C3466A" w:rsidR="00611561" w:rsidRPr="00A10D67" w:rsidRDefault="00611561">
      <w:pPr>
        <w:tabs>
          <w:tab w:val="left" w:pos="540"/>
          <w:tab w:val="left" w:pos="569"/>
        </w:tabs>
        <w:jc w:val="both"/>
        <w:rPr>
          <w:sz w:val="22"/>
          <w:szCs w:val="22"/>
          <w:u w:val="single"/>
          <w:lang w:val="sr-Latn-ME"/>
        </w:rPr>
      </w:pPr>
      <w:r w:rsidRPr="00A10D67">
        <w:rPr>
          <w:sz w:val="22"/>
          <w:szCs w:val="22"/>
          <w:u w:val="single"/>
          <w:lang w:val="sr-Latn-ME"/>
        </w:rPr>
        <w:t>Simptomi</w:t>
      </w:r>
    </w:p>
    <w:p w14:paraId="4DAC057C" w14:textId="26DE5D37" w:rsidR="00926382" w:rsidRPr="006F57B4" w:rsidRDefault="00926382">
      <w:pPr>
        <w:jc w:val="both"/>
        <w:rPr>
          <w:noProof/>
          <w:sz w:val="22"/>
          <w:szCs w:val="22"/>
          <w:lang w:val="sr-Latn-ME" w:eastAsia="hr-HR"/>
        </w:rPr>
      </w:pPr>
      <w:r w:rsidRPr="006F57B4">
        <w:rPr>
          <w:noProof/>
          <w:sz w:val="22"/>
          <w:szCs w:val="22"/>
          <w:lang w:val="sr-Latn-ME" w:eastAsia="hr-HR"/>
        </w:rPr>
        <w:t>Nedovoljni su podaci o predoziranju kod ljudi. Simptomi povezani sa predoziranjem ACE-inhibitorima mogu biti: hipotenzija, cirkulatorni šok, poremećaj ravnoteže elektrolita, insuficijencij</w:t>
      </w:r>
      <w:r w:rsidR="00514B54" w:rsidRPr="006F57B4">
        <w:rPr>
          <w:noProof/>
          <w:sz w:val="22"/>
          <w:szCs w:val="22"/>
          <w:lang w:val="sr-Latn-ME" w:eastAsia="hr-HR"/>
        </w:rPr>
        <w:t>a</w:t>
      </w:r>
      <w:r w:rsidRPr="006F57B4">
        <w:rPr>
          <w:noProof/>
          <w:sz w:val="22"/>
          <w:szCs w:val="22"/>
          <w:lang w:val="sr-Latn-ME" w:eastAsia="hr-HR"/>
        </w:rPr>
        <w:t xml:space="preserve"> bubrega, hiperventilacija,</w:t>
      </w:r>
      <w:r w:rsidR="00611561" w:rsidRPr="006F57B4">
        <w:rPr>
          <w:noProof/>
          <w:sz w:val="22"/>
          <w:szCs w:val="22"/>
          <w:lang w:val="sr-Latn-ME" w:eastAsia="hr-HR"/>
        </w:rPr>
        <w:t xml:space="preserve"> </w:t>
      </w:r>
      <w:r w:rsidRPr="006F57B4">
        <w:rPr>
          <w:noProof/>
          <w:sz w:val="22"/>
          <w:szCs w:val="22"/>
          <w:lang w:val="sr-Latn-ME" w:eastAsia="hr-HR"/>
        </w:rPr>
        <w:t xml:space="preserve">tahikardija, palpitacije, bradikardija, vrtoglavica, anksioznost i kašalj. </w:t>
      </w:r>
    </w:p>
    <w:p w14:paraId="2B87B96D" w14:textId="77777777" w:rsidR="00611561" w:rsidRPr="006F57B4" w:rsidRDefault="00611561">
      <w:pPr>
        <w:jc w:val="both"/>
        <w:rPr>
          <w:noProof/>
          <w:sz w:val="22"/>
          <w:szCs w:val="22"/>
          <w:lang w:val="sr-Latn-ME" w:eastAsia="hr-HR"/>
        </w:rPr>
      </w:pPr>
    </w:p>
    <w:p w14:paraId="6485D846" w14:textId="4FF05164" w:rsidR="00611561" w:rsidRPr="006F57B4" w:rsidRDefault="00611561">
      <w:pPr>
        <w:tabs>
          <w:tab w:val="left" w:pos="567"/>
        </w:tabs>
        <w:jc w:val="both"/>
        <w:rPr>
          <w:noProof/>
          <w:sz w:val="22"/>
          <w:szCs w:val="22"/>
          <w:lang w:val="sr-Latn-ME" w:eastAsia="hr-HR"/>
        </w:rPr>
      </w:pPr>
      <w:r w:rsidRPr="006F57B4">
        <w:rPr>
          <w:noProof/>
          <w:sz w:val="22"/>
          <w:szCs w:val="22"/>
          <w:lang w:val="sr-Latn-ME" w:eastAsia="hr-HR"/>
        </w:rPr>
        <w:lastRenderedPageBreak/>
        <w:t>Simptomi koji se mogu javiti zbog predoziranja hidrohlortiazidom, uz simptome vezane za lizinopril, su pojačana diureza, depresija svijesti (uključujući komu), konvulzije, pareza, srčana aritmija i akutna insuficijencija bubrega. Ako je istovremeno primijenjen i digitalis, hipokalijemija može potencirati nastanak srčanih aritmija.</w:t>
      </w:r>
    </w:p>
    <w:p w14:paraId="3462FC6E" w14:textId="7DC6D542" w:rsidR="00611561" w:rsidRPr="006F57B4" w:rsidRDefault="00611561">
      <w:pPr>
        <w:jc w:val="both"/>
        <w:rPr>
          <w:noProof/>
          <w:sz w:val="22"/>
          <w:szCs w:val="22"/>
          <w:lang w:val="sr-Latn-ME" w:eastAsia="hr-HR"/>
        </w:rPr>
      </w:pPr>
    </w:p>
    <w:p w14:paraId="3D7A0792" w14:textId="49D8334F" w:rsidR="00611561" w:rsidRPr="006F57B4" w:rsidRDefault="00611561">
      <w:pPr>
        <w:jc w:val="both"/>
        <w:rPr>
          <w:noProof/>
          <w:sz w:val="22"/>
          <w:szCs w:val="22"/>
          <w:u w:val="single"/>
          <w:lang w:val="sr-Latn-ME" w:eastAsia="hr-HR"/>
        </w:rPr>
      </w:pPr>
      <w:r w:rsidRPr="006F57B4">
        <w:rPr>
          <w:noProof/>
          <w:sz w:val="22"/>
          <w:szCs w:val="22"/>
          <w:u w:val="single"/>
          <w:lang w:val="sr-Latn-ME" w:eastAsia="hr-HR"/>
        </w:rPr>
        <w:t>Liječenje predoziranja</w:t>
      </w:r>
    </w:p>
    <w:p w14:paraId="5B5B3505" w14:textId="74997067" w:rsidR="00926382" w:rsidRPr="00A10D67" w:rsidRDefault="00926382">
      <w:pPr>
        <w:jc w:val="both"/>
        <w:rPr>
          <w:sz w:val="22"/>
          <w:szCs w:val="22"/>
          <w:lang w:val="sr-Latn-ME"/>
        </w:rPr>
      </w:pPr>
      <w:r w:rsidRPr="006F57B4">
        <w:rPr>
          <w:noProof/>
          <w:sz w:val="22"/>
          <w:szCs w:val="22"/>
          <w:lang w:val="sr-Latn-ME" w:eastAsia="hr-HR"/>
        </w:rPr>
        <w:t>Preporučuje se primjena intravenske infuzije fiziološkog rastvora. Ukoliko dođe do hipotenzije, pacijent se</w:t>
      </w:r>
      <w:r w:rsidRPr="00A10D67">
        <w:rPr>
          <w:sz w:val="22"/>
          <w:szCs w:val="22"/>
          <w:lang w:val="sr-Latn-ME"/>
        </w:rPr>
        <w:t xml:space="preserve"> mora </w:t>
      </w:r>
      <w:r w:rsidRPr="006F57B4">
        <w:rPr>
          <w:noProof/>
          <w:sz w:val="22"/>
          <w:szCs w:val="22"/>
          <w:lang w:val="sr-Latn-ME" w:eastAsia="hr-HR"/>
        </w:rPr>
        <w:t>postaviti u ležeći položaj. Ukoliko je dostupan, može se primijeniti angiotenzin II u infuziji i/ili intravenski kateholamini.</w:t>
      </w:r>
      <w:r w:rsidRPr="00A10D67">
        <w:rPr>
          <w:sz w:val="22"/>
          <w:szCs w:val="22"/>
          <w:lang w:val="sr-Latn-ME"/>
        </w:rPr>
        <w:t xml:space="preserve"> </w:t>
      </w:r>
    </w:p>
    <w:p w14:paraId="121F52F6" w14:textId="3BAADECC"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 xml:space="preserve">Ako je od predoziranja proteklo kratko vrijeme, neophodno je preduzeti mjere za eliminaciju lizinoprila (tj. izazvati povraćanje, izvršiti ispiranje želuca, primijeniti neki adsorbent i natrijum sulfat). Iz cirkulacije lizinopril se može odstraniti hemodijalizom (vidjeti </w:t>
      </w:r>
      <w:r w:rsidR="00514B54" w:rsidRPr="006F57B4">
        <w:rPr>
          <w:noProof/>
          <w:sz w:val="22"/>
          <w:szCs w:val="22"/>
          <w:lang w:val="sr-Latn-ME" w:eastAsia="hr-HR"/>
        </w:rPr>
        <w:t>dio</w:t>
      </w:r>
      <w:r w:rsidRPr="006F57B4">
        <w:rPr>
          <w:noProof/>
          <w:sz w:val="22"/>
          <w:szCs w:val="22"/>
          <w:lang w:val="sr-Latn-ME" w:eastAsia="hr-HR"/>
        </w:rPr>
        <w:t xml:space="preserve"> 4.4). </w:t>
      </w:r>
    </w:p>
    <w:p w14:paraId="56BE65A2" w14:textId="77777777"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Ukoliko je prisutna bradikardija otporna na terapiju, može se primijeniti srčani elektrostimulator.</w:t>
      </w:r>
    </w:p>
    <w:p w14:paraId="614DCF84" w14:textId="77777777"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Preporučuje se učestali monitoring vitalnih znakova, vrijednosti serumskih elektrolita i koncentracije kreatinina.</w:t>
      </w:r>
    </w:p>
    <w:p w14:paraId="19D2DF05" w14:textId="25320D74"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Bradikardij</w:t>
      </w:r>
      <w:r w:rsidR="00514B54" w:rsidRPr="006F57B4">
        <w:rPr>
          <w:noProof/>
          <w:sz w:val="22"/>
          <w:szCs w:val="22"/>
          <w:lang w:val="sr-Latn-ME" w:eastAsia="hr-HR"/>
        </w:rPr>
        <w:t>u</w:t>
      </w:r>
      <w:r w:rsidRPr="006F57B4">
        <w:rPr>
          <w:noProof/>
          <w:sz w:val="22"/>
          <w:szCs w:val="22"/>
          <w:lang w:val="sr-Latn-ME" w:eastAsia="hr-HR"/>
        </w:rPr>
        <w:t xml:space="preserve"> ili jake reakcije vagusa treba liječiti primjenom atropina.</w:t>
      </w:r>
    </w:p>
    <w:p w14:paraId="0EDEE187" w14:textId="77777777" w:rsidR="00CD6F02" w:rsidRPr="006F57B4" w:rsidRDefault="00CD6F02">
      <w:pPr>
        <w:tabs>
          <w:tab w:val="left" w:pos="540"/>
          <w:tab w:val="left" w:pos="569"/>
        </w:tabs>
        <w:jc w:val="both"/>
        <w:rPr>
          <w:b/>
          <w:bCs/>
          <w:sz w:val="22"/>
          <w:szCs w:val="22"/>
          <w:lang w:val="sr-Latn-ME"/>
        </w:rPr>
      </w:pPr>
    </w:p>
    <w:p w14:paraId="177EB526" w14:textId="77777777" w:rsidR="00227BDB" w:rsidRPr="006F57B4" w:rsidRDefault="00227BDB">
      <w:pPr>
        <w:tabs>
          <w:tab w:val="left" w:pos="540"/>
          <w:tab w:val="left" w:pos="569"/>
        </w:tabs>
        <w:jc w:val="both"/>
        <w:rPr>
          <w:b/>
          <w:bCs/>
          <w:sz w:val="22"/>
          <w:szCs w:val="22"/>
          <w:lang w:val="sr-Latn-ME"/>
        </w:rPr>
      </w:pPr>
    </w:p>
    <w:p w14:paraId="72F83E5E" w14:textId="77777777" w:rsidR="0072020E" w:rsidRPr="006F57B4" w:rsidRDefault="0072020E">
      <w:pPr>
        <w:tabs>
          <w:tab w:val="left" w:pos="540"/>
          <w:tab w:val="left" w:pos="569"/>
        </w:tabs>
        <w:jc w:val="both"/>
        <w:rPr>
          <w:b/>
          <w:bCs/>
          <w:sz w:val="22"/>
          <w:szCs w:val="22"/>
          <w:lang w:val="sr-Latn-ME"/>
        </w:rPr>
      </w:pPr>
      <w:r w:rsidRPr="006F57B4">
        <w:rPr>
          <w:b/>
          <w:bCs/>
          <w:sz w:val="22"/>
          <w:szCs w:val="22"/>
          <w:lang w:val="sr-Latn-ME"/>
        </w:rPr>
        <w:t xml:space="preserve">5. </w:t>
      </w:r>
      <w:r w:rsidR="00480FB1" w:rsidRPr="006F57B4">
        <w:rPr>
          <w:b/>
          <w:bCs/>
          <w:sz w:val="22"/>
          <w:szCs w:val="22"/>
          <w:lang w:val="sr-Latn-ME"/>
        </w:rPr>
        <w:tab/>
      </w:r>
      <w:r w:rsidRPr="00A10D67">
        <w:rPr>
          <w:b/>
          <w:bCs/>
          <w:sz w:val="22"/>
          <w:szCs w:val="22"/>
          <w:lang w:val="sr-Latn-ME"/>
        </w:rPr>
        <w:t>FARMAKOLO</w:t>
      </w:r>
      <w:r w:rsidRPr="006F57B4">
        <w:rPr>
          <w:b/>
          <w:bCs/>
          <w:sz w:val="22"/>
          <w:szCs w:val="22"/>
          <w:lang w:val="sr-Latn-ME"/>
        </w:rPr>
        <w:t>Š</w:t>
      </w:r>
      <w:r w:rsidRPr="00A10D67">
        <w:rPr>
          <w:b/>
          <w:bCs/>
          <w:sz w:val="22"/>
          <w:szCs w:val="22"/>
          <w:lang w:val="sr-Latn-ME"/>
        </w:rPr>
        <w:t>K</w:t>
      </w:r>
      <w:r w:rsidR="000D425A" w:rsidRPr="00A10D67">
        <w:rPr>
          <w:b/>
          <w:bCs/>
          <w:sz w:val="22"/>
          <w:szCs w:val="22"/>
          <w:lang w:val="sr-Latn-ME"/>
        </w:rPr>
        <w:t>I</w:t>
      </w:r>
      <w:r w:rsidRPr="006F57B4">
        <w:rPr>
          <w:b/>
          <w:bCs/>
          <w:sz w:val="22"/>
          <w:szCs w:val="22"/>
          <w:lang w:val="sr-Latn-ME"/>
        </w:rPr>
        <w:t xml:space="preserve"> </w:t>
      </w:r>
      <w:r w:rsidRPr="00A10D67">
        <w:rPr>
          <w:b/>
          <w:bCs/>
          <w:sz w:val="22"/>
          <w:szCs w:val="22"/>
          <w:lang w:val="sr-Latn-ME"/>
        </w:rPr>
        <w:t>PODACI</w:t>
      </w:r>
    </w:p>
    <w:p w14:paraId="387D9040" w14:textId="77777777" w:rsidR="0072020E" w:rsidRPr="006F57B4" w:rsidRDefault="0072020E">
      <w:pPr>
        <w:tabs>
          <w:tab w:val="left" w:pos="540"/>
          <w:tab w:val="left" w:pos="569"/>
        </w:tabs>
        <w:jc w:val="both"/>
        <w:rPr>
          <w:b/>
          <w:bCs/>
          <w:sz w:val="22"/>
          <w:szCs w:val="22"/>
          <w:lang w:val="sr-Latn-ME"/>
        </w:rPr>
      </w:pPr>
    </w:p>
    <w:p w14:paraId="4413BF4A" w14:textId="77777777" w:rsidR="0072020E" w:rsidRPr="006F57B4" w:rsidRDefault="0072020E">
      <w:pPr>
        <w:tabs>
          <w:tab w:val="left" w:pos="540"/>
          <w:tab w:val="left" w:pos="569"/>
        </w:tabs>
        <w:jc w:val="both"/>
        <w:rPr>
          <w:b/>
          <w:bCs/>
          <w:sz w:val="22"/>
          <w:szCs w:val="22"/>
          <w:lang w:val="sr-Latn-ME"/>
        </w:rPr>
      </w:pPr>
      <w:r w:rsidRPr="006F57B4">
        <w:rPr>
          <w:b/>
          <w:bCs/>
          <w:sz w:val="22"/>
          <w:szCs w:val="22"/>
          <w:lang w:val="sr-Latn-ME"/>
        </w:rPr>
        <w:t xml:space="preserve">5.1. </w:t>
      </w:r>
      <w:r w:rsidR="00480FB1" w:rsidRPr="006F57B4">
        <w:rPr>
          <w:b/>
          <w:bCs/>
          <w:sz w:val="22"/>
          <w:szCs w:val="22"/>
          <w:lang w:val="sr-Latn-ME"/>
        </w:rPr>
        <w:tab/>
      </w:r>
      <w:r w:rsidRPr="00A10D67">
        <w:rPr>
          <w:b/>
          <w:bCs/>
          <w:sz w:val="22"/>
          <w:szCs w:val="22"/>
          <w:lang w:val="sr-Latn-ME"/>
        </w:rPr>
        <w:t>Farmakodinamski</w:t>
      </w:r>
      <w:r w:rsidRPr="006F57B4">
        <w:rPr>
          <w:b/>
          <w:bCs/>
          <w:sz w:val="22"/>
          <w:szCs w:val="22"/>
          <w:lang w:val="sr-Latn-ME"/>
        </w:rPr>
        <w:t xml:space="preserve"> </w:t>
      </w:r>
      <w:r w:rsidRPr="00A10D67">
        <w:rPr>
          <w:b/>
          <w:bCs/>
          <w:sz w:val="22"/>
          <w:szCs w:val="22"/>
          <w:lang w:val="sr-Latn-ME"/>
        </w:rPr>
        <w:t>podaci</w:t>
      </w:r>
      <w:r w:rsidR="003A7059" w:rsidRPr="006F57B4">
        <w:rPr>
          <w:b/>
          <w:bCs/>
          <w:sz w:val="22"/>
          <w:szCs w:val="22"/>
          <w:lang w:val="sr-Latn-ME"/>
        </w:rPr>
        <w:t xml:space="preserve"> </w:t>
      </w:r>
    </w:p>
    <w:p w14:paraId="449E6422" w14:textId="77777777" w:rsidR="00F45F77" w:rsidRPr="006F57B4" w:rsidRDefault="00F45F77">
      <w:pPr>
        <w:tabs>
          <w:tab w:val="left" w:pos="540"/>
          <w:tab w:val="left" w:pos="569"/>
        </w:tabs>
        <w:jc w:val="both"/>
        <w:rPr>
          <w:b/>
          <w:bCs/>
          <w:sz w:val="22"/>
          <w:szCs w:val="22"/>
          <w:lang w:val="sr-Latn-ME"/>
        </w:rPr>
      </w:pPr>
    </w:p>
    <w:p w14:paraId="0B74358F" w14:textId="2285CE0A" w:rsidR="0072020E" w:rsidRPr="006F57B4" w:rsidRDefault="0072020E">
      <w:pPr>
        <w:tabs>
          <w:tab w:val="left" w:pos="540"/>
          <w:tab w:val="left" w:pos="569"/>
        </w:tabs>
        <w:jc w:val="both"/>
        <w:rPr>
          <w:bCs/>
          <w:sz w:val="22"/>
          <w:szCs w:val="22"/>
          <w:lang w:val="sr-Latn-ME"/>
        </w:rPr>
      </w:pPr>
      <w:r w:rsidRPr="00A10D67">
        <w:rPr>
          <w:bCs/>
          <w:sz w:val="22"/>
          <w:szCs w:val="22"/>
          <w:lang w:val="sr-Latn-ME"/>
        </w:rPr>
        <w:t>Farmakoterapijska</w:t>
      </w:r>
      <w:r w:rsidRPr="006F57B4">
        <w:rPr>
          <w:bCs/>
          <w:sz w:val="22"/>
          <w:szCs w:val="22"/>
          <w:lang w:val="sr-Latn-ME"/>
        </w:rPr>
        <w:t xml:space="preserve"> </w:t>
      </w:r>
      <w:r w:rsidRPr="00A10D67">
        <w:rPr>
          <w:bCs/>
          <w:sz w:val="22"/>
          <w:szCs w:val="22"/>
          <w:lang w:val="sr-Latn-ME"/>
        </w:rPr>
        <w:t>grupa</w:t>
      </w:r>
      <w:r w:rsidRPr="006F57B4">
        <w:rPr>
          <w:bCs/>
          <w:sz w:val="22"/>
          <w:szCs w:val="22"/>
          <w:lang w:val="sr-Latn-ME"/>
        </w:rPr>
        <w:t>:</w:t>
      </w:r>
      <w:r w:rsidR="00926382" w:rsidRPr="006F57B4">
        <w:rPr>
          <w:sz w:val="22"/>
          <w:szCs w:val="22"/>
          <w:lang w:val="sr-Latn-ME"/>
        </w:rPr>
        <w:t xml:space="preserve"> </w:t>
      </w:r>
      <w:r w:rsidR="00926382" w:rsidRPr="00A10D67">
        <w:rPr>
          <w:sz w:val="22"/>
          <w:szCs w:val="22"/>
          <w:lang w:val="sr-Latn-ME"/>
        </w:rPr>
        <w:t>Ljekovi</w:t>
      </w:r>
      <w:r w:rsidR="00926382" w:rsidRPr="006F57B4">
        <w:rPr>
          <w:sz w:val="22"/>
          <w:szCs w:val="22"/>
          <w:lang w:val="sr-Latn-ME"/>
        </w:rPr>
        <w:t xml:space="preserve"> </w:t>
      </w:r>
      <w:r w:rsidR="00926382" w:rsidRPr="00A10D67">
        <w:rPr>
          <w:sz w:val="22"/>
          <w:szCs w:val="22"/>
          <w:lang w:val="sr-Latn-ME"/>
        </w:rPr>
        <w:t>koji</w:t>
      </w:r>
      <w:r w:rsidR="00926382" w:rsidRPr="006F57B4">
        <w:rPr>
          <w:sz w:val="22"/>
          <w:szCs w:val="22"/>
          <w:lang w:val="sr-Latn-ME"/>
        </w:rPr>
        <w:t xml:space="preserve"> </w:t>
      </w:r>
      <w:r w:rsidR="00926382" w:rsidRPr="00A10D67">
        <w:rPr>
          <w:sz w:val="22"/>
          <w:szCs w:val="22"/>
          <w:lang w:val="sr-Latn-ME"/>
        </w:rPr>
        <w:t>djeluju</w:t>
      </w:r>
      <w:r w:rsidR="00926382" w:rsidRPr="006F57B4">
        <w:rPr>
          <w:sz w:val="22"/>
          <w:szCs w:val="22"/>
          <w:lang w:val="sr-Latn-ME"/>
        </w:rPr>
        <w:t xml:space="preserve"> </w:t>
      </w:r>
      <w:r w:rsidR="00926382" w:rsidRPr="00A10D67">
        <w:rPr>
          <w:sz w:val="22"/>
          <w:szCs w:val="22"/>
          <w:lang w:val="sr-Latn-ME"/>
        </w:rPr>
        <w:t>na</w:t>
      </w:r>
      <w:r w:rsidR="00926382" w:rsidRPr="006F57B4">
        <w:rPr>
          <w:sz w:val="22"/>
          <w:szCs w:val="22"/>
          <w:lang w:val="sr-Latn-ME"/>
        </w:rPr>
        <w:t xml:space="preserve"> </w:t>
      </w:r>
      <w:r w:rsidR="00926382" w:rsidRPr="00A10D67">
        <w:rPr>
          <w:sz w:val="22"/>
          <w:szCs w:val="22"/>
          <w:lang w:val="sr-Latn-ME"/>
        </w:rPr>
        <w:t>renin</w:t>
      </w:r>
      <w:r w:rsidR="00926382" w:rsidRPr="006F57B4">
        <w:rPr>
          <w:sz w:val="22"/>
          <w:szCs w:val="22"/>
          <w:lang w:val="sr-Latn-ME"/>
        </w:rPr>
        <w:t>-</w:t>
      </w:r>
      <w:r w:rsidR="00926382" w:rsidRPr="00A10D67">
        <w:rPr>
          <w:sz w:val="22"/>
          <w:szCs w:val="22"/>
          <w:lang w:val="sr-Latn-ME"/>
        </w:rPr>
        <w:t>angiotenzin</w:t>
      </w:r>
      <w:r w:rsidR="00926382" w:rsidRPr="006F57B4">
        <w:rPr>
          <w:sz w:val="22"/>
          <w:szCs w:val="22"/>
          <w:lang w:val="sr-Latn-ME"/>
        </w:rPr>
        <w:t xml:space="preserve"> </w:t>
      </w:r>
      <w:r w:rsidR="00926382" w:rsidRPr="00A10D67">
        <w:rPr>
          <w:sz w:val="22"/>
          <w:szCs w:val="22"/>
          <w:lang w:val="sr-Latn-ME"/>
        </w:rPr>
        <w:t>sistem</w:t>
      </w:r>
      <w:r w:rsidR="00926382" w:rsidRPr="006F57B4">
        <w:rPr>
          <w:sz w:val="22"/>
          <w:szCs w:val="22"/>
          <w:lang w:val="sr-Latn-ME"/>
        </w:rPr>
        <w:t xml:space="preserve">, </w:t>
      </w:r>
      <w:r w:rsidR="00926382" w:rsidRPr="00A10D67">
        <w:rPr>
          <w:sz w:val="22"/>
          <w:szCs w:val="22"/>
          <w:lang w:val="sr-Latn-ME"/>
        </w:rPr>
        <w:t>ACE</w:t>
      </w:r>
      <w:r w:rsidR="00926382" w:rsidRPr="006F57B4">
        <w:rPr>
          <w:sz w:val="22"/>
          <w:szCs w:val="22"/>
          <w:lang w:val="sr-Latn-ME"/>
        </w:rPr>
        <w:t>-</w:t>
      </w:r>
      <w:r w:rsidR="00926382" w:rsidRPr="00A10D67">
        <w:rPr>
          <w:sz w:val="22"/>
          <w:szCs w:val="22"/>
          <w:lang w:val="sr-Latn-ME"/>
        </w:rPr>
        <w:t>inhibitor</w:t>
      </w:r>
      <w:r w:rsidR="00926382" w:rsidRPr="006F57B4">
        <w:rPr>
          <w:sz w:val="22"/>
          <w:szCs w:val="22"/>
          <w:lang w:val="sr-Latn-ME"/>
        </w:rPr>
        <w:t xml:space="preserve">, </w:t>
      </w:r>
      <w:r w:rsidR="00926382" w:rsidRPr="00A10D67">
        <w:rPr>
          <w:sz w:val="22"/>
          <w:szCs w:val="22"/>
          <w:lang w:val="sr-Latn-ME"/>
        </w:rPr>
        <w:t>kombinacije</w:t>
      </w:r>
      <w:r w:rsidR="00926382" w:rsidRPr="006F57B4">
        <w:rPr>
          <w:sz w:val="22"/>
          <w:szCs w:val="22"/>
          <w:lang w:val="sr-Latn-ME"/>
        </w:rPr>
        <w:t>.</w:t>
      </w:r>
    </w:p>
    <w:p w14:paraId="04377430" w14:textId="77777777" w:rsidR="0072020E" w:rsidRPr="006F57B4" w:rsidRDefault="0072020E">
      <w:pPr>
        <w:tabs>
          <w:tab w:val="left" w:pos="540"/>
          <w:tab w:val="left" w:pos="569"/>
        </w:tabs>
        <w:jc w:val="both"/>
        <w:rPr>
          <w:bCs/>
          <w:sz w:val="22"/>
          <w:szCs w:val="22"/>
          <w:lang w:val="sr-Latn-ME"/>
        </w:rPr>
      </w:pPr>
    </w:p>
    <w:p w14:paraId="5E71029E" w14:textId="10EF0644" w:rsidR="0072020E" w:rsidRPr="00A10D67" w:rsidRDefault="0072020E">
      <w:pPr>
        <w:tabs>
          <w:tab w:val="left" w:pos="540"/>
          <w:tab w:val="left" w:pos="569"/>
        </w:tabs>
        <w:jc w:val="both"/>
        <w:rPr>
          <w:sz w:val="22"/>
          <w:szCs w:val="22"/>
          <w:lang w:val="sr-Latn-ME"/>
        </w:rPr>
      </w:pPr>
      <w:r w:rsidRPr="00A10D67">
        <w:rPr>
          <w:bCs/>
          <w:sz w:val="22"/>
          <w:szCs w:val="22"/>
          <w:lang w:val="sr-Latn-ME"/>
        </w:rPr>
        <w:t>ATC</w:t>
      </w:r>
      <w:r w:rsidRPr="006F57B4">
        <w:rPr>
          <w:bCs/>
          <w:sz w:val="22"/>
          <w:szCs w:val="22"/>
          <w:lang w:val="sr-Latn-ME"/>
        </w:rPr>
        <w:t xml:space="preserve"> </w:t>
      </w:r>
      <w:r w:rsidRPr="00A10D67">
        <w:rPr>
          <w:bCs/>
          <w:sz w:val="22"/>
          <w:szCs w:val="22"/>
          <w:lang w:val="sr-Latn-ME"/>
        </w:rPr>
        <w:t>kod</w:t>
      </w:r>
      <w:r w:rsidRPr="006F57B4">
        <w:rPr>
          <w:bCs/>
          <w:sz w:val="22"/>
          <w:szCs w:val="22"/>
          <w:lang w:val="sr-Latn-ME"/>
        </w:rPr>
        <w:t>:</w:t>
      </w:r>
      <w:r w:rsidR="00926382" w:rsidRPr="00A10D67">
        <w:rPr>
          <w:sz w:val="22"/>
          <w:szCs w:val="22"/>
          <w:lang w:val="sr-Latn-ME"/>
        </w:rPr>
        <w:t xml:space="preserve"> C09BA03</w:t>
      </w:r>
    </w:p>
    <w:p w14:paraId="0837A76E" w14:textId="77777777" w:rsidR="00926382" w:rsidRPr="006F57B4" w:rsidRDefault="00926382">
      <w:pPr>
        <w:tabs>
          <w:tab w:val="left" w:pos="540"/>
          <w:tab w:val="left" w:pos="569"/>
        </w:tabs>
        <w:jc w:val="both"/>
        <w:rPr>
          <w:bCs/>
          <w:sz w:val="22"/>
          <w:szCs w:val="22"/>
          <w:lang w:val="sr-Latn-ME"/>
        </w:rPr>
      </w:pPr>
    </w:p>
    <w:p w14:paraId="6A3B1CB1" w14:textId="11608473" w:rsidR="00926382" w:rsidRPr="00A10D67" w:rsidRDefault="00926382">
      <w:pPr>
        <w:tabs>
          <w:tab w:val="left" w:pos="567"/>
        </w:tabs>
        <w:jc w:val="both"/>
        <w:rPr>
          <w:sz w:val="22"/>
          <w:szCs w:val="22"/>
          <w:lang w:val="sr-Latn-ME"/>
        </w:rPr>
      </w:pPr>
      <w:r w:rsidRPr="00A10D67">
        <w:rPr>
          <w:sz w:val="22"/>
          <w:szCs w:val="22"/>
          <w:lang w:val="sr-Latn-ME"/>
        </w:rPr>
        <w:t>Lijek Iruzid je kombinacija fiksnih doza koja sadrži lizinopril, inhibitor angiotenzin konvertujućeg enzima (ACE) i hidrohlortiazid, tiazidni diuretik. Obje komponente imaju komplementaran način djelovanja i pokazuju aditivan antihipertenzivni efekat.</w:t>
      </w:r>
    </w:p>
    <w:p w14:paraId="78C8B4BF" w14:textId="77777777" w:rsidR="00926382" w:rsidRPr="006F57B4" w:rsidRDefault="00926382">
      <w:pPr>
        <w:autoSpaceDE w:val="0"/>
        <w:autoSpaceDN w:val="0"/>
        <w:adjustRightInd w:val="0"/>
        <w:jc w:val="both"/>
        <w:rPr>
          <w:b/>
          <w:noProof/>
          <w:sz w:val="22"/>
          <w:szCs w:val="22"/>
          <w:lang w:val="sr-Latn-ME" w:eastAsia="hr-HR"/>
        </w:rPr>
      </w:pPr>
    </w:p>
    <w:p w14:paraId="46CB0CA8" w14:textId="77777777" w:rsidR="00926382" w:rsidRPr="00A10D67" w:rsidRDefault="00926382">
      <w:pPr>
        <w:autoSpaceDE w:val="0"/>
        <w:autoSpaceDN w:val="0"/>
        <w:adjustRightInd w:val="0"/>
        <w:jc w:val="both"/>
        <w:rPr>
          <w:noProof/>
          <w:sz w:val="22"/>
          <w:szCs w:val="22"/>
          <w:u w:val="single"/>
          <w:lang w:val="sr-Latn-ME" w:eastAsia="hr-HR"/>
        </w:rPr>
      </w:pPr>
      <w:r w:rsidRPr="00A10D67">
        <w:rPr>
          <w:noProof/>
          <w:sz w:val="22"/>
          <w:szCs w:val="22"/>
          <w:u w:val="single"/>
          <w:lang w:val="sr-Latn-ME" w:eastAsia="hr-HR"/>
        </w:rPr>
        <w:t>Mehanizam djelovanja</w:t>
      </w:r>
    </w:p>
    <w:p w14:paraId="76B159E0" w14:textId="77777777" w:rsidR="00926382" w:rsidRPr="006F57B4" w:rsidRDefault="00926382">
      <w:pPr>
        <w:autoSpaceDE w:val="0"/>
        <w:autoSpaceDN w:val="0"/>
        <w:adjustRightInd w:val="0"/>
        <w:jc w:val="both"/>
        <w:rPr>
          <w:b/>
          <w:noProof/>
          <w:sz w:val="22"/>
          <w:szCs w:val="22"/>
          <w:lang w:val="sr-Latn-ME" w:eastAsia="hr-HR"/>
        </w:rPr>
      </w:pPr>
    </w:p>
    <w:p w14:paraId="0CD1E635" w14:textId="77777777" w:rsidR="00926382" w:rsidRPr="00A10D67" w:rsidRDefault="00926382">
      <w:pPr>
        <w:tabs>
          <w:tab w:val="left" w:pos="567"/>
        </w:tabs>
        <w:jc w:val="both"/>
        <w:rPr>
          <w:b/>
          <w:sz w:val="22"/>
          <w:szCs w:val="22"/>
          <w:lang w:val="sr-Latn-ME"/>
        </w:rPr>
      </w:pPr>
      <w:r w:rsidRPr="00A10D67">
        <w:rPr>
          <w:b/>
          <w:sz w:val="22"/>
          <w:szCs w:val="22"/>
          <w:lang w:val="sr-Latn-ME"/>
        </w:rPr>
        <w:t>Lizinopril</w:t>
      </w:r>
    </w:p>
    <w:p w14:paraId="6B792E3B" w14:textId="0DCB4B9D"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 xml:space="preserve">Lizinopril je inhibitor peptidil-dipeptidaze. Inhibira enzim </w:t>
      </w:r>
      <w:r w:rsidR="008C47ED" w:rsidRPr="006F57B4">
        <w:rPr>
          <w:noProof/>
          <w:sz w:val="22"/>
          <w:szCs w:val="22"/>
          <w:lang w:val="sr-Latn-ME" w:eastAsia="hr-HR"/>
        </w:rPr>
        <w:t xml:space="preserve">konvertovanja </w:t>
      </w:r>
      <w:r w:rsidRPr="006F57B4">
        <w:rPr>
          <w:noProof/>
          <w:sz w:val="22"/>
          <w:szCs w:val="22"/>
          <w:lang w:val="sr-Latn-ME" w:eastAsia="hr-HR"/>
        </w:rPr>
        <w:t xml:space="preserve">angiotenzina (ACE) koji katalizuje konverziju angiotenzina I u </w:t>
      </w:r>
      <w:r w:rsidR="008C47ED" w:rsidRPr="006F57B4">
        <w:rPr>
          <w:noProof/>
          <w:sz w:val="22"/>
          <w:szCs w:val="22"/>
          <w:lang w:val="sr-Latn-ME" w:eastAsia="hr-HR"/>
        </w:rPr>
        <w:t xml:space="preserve">vazokonstriktorni </w:t>
      </w:r>
      <w:r w:rsidRPr="006F57B4">
        <w:rPr>
          <w:noProof/>
          <w:sz w:val="22"/>
          <w:szCs w:val="22"/>
          <w:lang w:val="sr-Latn-ME" w:eastAsia="hr-HR"/>
        </w:rPr>
        <w:t>peptid, angiotenzin II. Angiotenzin II stimuli</w:t>
      </w:r>
      <w:r w:rsidR="008C47ED" w:rsidRPr="006F57B4">
        <w:rPr>
          <w:noProof/>
          <w:sz w:val="22"/>
          <w:szCs w:val="22"/>
          <w:lang w:val="sr-Latn-ME" w:eastAsia="hr-HR"/>
        </w:rPr>
        <w:t>še</w:t>
      </w:r>
      <w:r w:rsidRPr="006F57B4">
        <w:rPr>
          <w:noProof/>
          <w:sz w:val="22"/>
          <w:szCs w:val="22"/>
          <w:lang w:val="sr-Latn-ME" w:eastAsia="hr-HR"/>
        </w:rPr>
        <w:t xml:space="preserve"> sekreciju aldosterona iz kore nadbubrežne žlijezde. Inhibicija ACE ima za posljedicu smanjenu koncentraciju angiotenzina II što smanjuje vazopresorno dejstvo i smanjuje koncentraciju aldosterona. Smanjena koncentracija aldosterona može dovesti do porasta serumskog kalijuma.</w:t>
      </w:r>
    </w:p>
    <w:p w14:paraId="22EF895E" w14:textId="77777777" w:rsidR="00926382" w:rsidRPr="006F57B4" w:rsidRDefault="00926382">
      <w:pPr>
        <w:autoSpaceDE w:val="0"/>
        <w:autoSpaceDN w:val="0"/>
        <w:adjustRightInd w:val="0"/>
        <w:jc w:val="both"/>
        <w:rPr>
          <w:noProof/>
          <w:sz w:val="22"/>
          <w:szCs w:val="22"/>
          <w:lang w:val="sr-Latn-ME" w:eastAsia="hr-HR"/>
        </w:rPr>
      </w:pPr>
    </w:p>
    <w:p w14:paraId="628C3238" w14:textId="77777777" w:rsidR="00926382" w:rsidRPr="006F57B4" w:rsidRDefault="00926382">
      <w:pPr>
        <w:autoSpaceDE w:val="0"/>
        <w:autoSpaceDN w:val="0"/>
        <w:adjustRightInd w:val="0"/>
        <w:jc w:val="both"/>
        <w:rPr>
          <w:b/>
          <w:noProof/>
          <w:sz w:val="22"/>
          <w:szCs w:val="22"/>
          <w:lang w:val="sr-Latn-ME" w:eastAsia="hr-HR"/>
        </w:rPr>
      </w:pPr>
      <w:r w:rsidRPr="006F57B4">
        <w:rPr>
          <w:b/>
          <w:noProof/>
          <w:sz w:val="22"/>
          <w:szCs w:val="22"/>
          <w:lang w:val="sr-Latn-ME" w:eastAsia="hr-HR"/>
        </w:rPr>
        <w:t>Hidrohlortiazid</w:t>
      </w:r>
    </w:p>
    <w:p w14:paraId="376F71D9" w14:textId="4B207730"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Hidrohlortiazid je diuretik i antihipertenziv. Djeluje na reapsorpciju elektrolita u distalnom tubulu bubrega. Povećava izlučivanje natrijuma i hlorida u približno jednakim koncentracijama. Natriureza može biti udružena sa gubitkom kalijuma, magnezijuma i bikarbonata. Mehanizam antihipertenzivnog dejstva tiazida nije poznat.</w:t>
      </w:r>
    </w:p>
    <w:p w14:paraId="496F7410" w14:textId="77777777" w:rsidR="00926382" w:rsidRPr="006F57B4" w:rsidRDefault="00926382">
      <w:pPr>
        <w:autoSpaceDE w:val="0"/>
        <w:autoSpaceDN w:val="0"/>
        <w:adjustRightInd w:val="0"/>
        <w:jc w:val="both"/>
        <w:rPr>
          <w:noProof/>
          <w:sz w:val="22"/>
          <w:szCs w:val="22"/>
          <w:lang w:val="sr-Latn-ME" w:eastAsia="hr-HR"/>
        </w:rPr>
      </w:pPr>
    </w:p>
    <w:p w14:paraId="53C468AC" w14:textId="77777777" w:rsidR="00926382" w:rsidRPr="00A10D67" w:rsidRDefault="00926382">
      <w:pPr>
        <w:tabs>
          <w:tab w:val="left" w:pos="567"/>
        </w:tabs>
        <w:jc w:val="both"/>
        <w:rPr>
          <w:sz w:val="22"/>
          <w:szCs w:val="22"/>
          <w:u w:val="single"/>
          <w:lang w:val="sr-Latn-ME"/>
        </w:rPr>
      </w:pPr>
      <w:r w:rsidRPr="00A10D67">
        <w:rPr>
          <w:sz w:val="22"/>
          <w:szCs w:val="22"/>
          <w:u w:val="single"/>
          <w:lang w:val="sr-Latn-ME"/>
        </w:rPr>
        <w:t>Farmakodinamski efekti</w:t>
      </w:r>
    </w:p>
    <w:p w14:paraId="30F066AD" w14:textId="77777777" w:rsidR="00926382" w:rsidRPr="00A10D67" w:rsidRDefault="00926382">
      <w:pPr>
        <w:tabs>
          <w:tab w:val="left" w:pos="567"/>
        </w:tabs>
        <w:jc w:val="both"/>
        <w:rPr>
          <w:sz w:val="22"/>
          <w:szCs w:val="22"/>
          <w:u w:val="single"/>
          <w:lang w:val="sr-Latn-ME"/>
        </w:rPr>
      </w:pPr>
    </w:p>
    <w:p w14:paraId="119FCCAC" w14:textId="77777777" w:rsidR="00926382" w:rsidRPr="00A10D67" w:rsidRDefault="00926382">
      <w:pPr>
        <w:tabs>
          <w:tab w:val="left" w:pos="567"/>
        </w:tabs>
        <w:jc w:val="both"/>
        <w:rPr>
          <w:sz w:val="22"/>
          <w:szCs w:val="22"/>
          <w:u w:val="single"/>
          <w:lang w:val="sr-Latn-ME"/>
        </w:rPr>
      </w:pPr>
      <w:r w:rsidRPr="00A10D67">
        <w:rPr>
          <w:b/>
          <w:sz w:val="22"/>
          <w:szCs w:val="22"/>
          <w:lang w:val="sr-Latn-ME"/>
        </w:rPr>
        <w:t>Lizinopril</w:t>
      </w:r>
    </w:p>
    <w:p w14:paraId="3A7BA373" w14:textId="37894C46"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 xml:space="preserve">Smatra se da je mehanizam djelovanja lizinoprila u snižavanju krvnog pritiska supresija sistema renin-angiotenzin-aldosteron, iako lizinopril djeluje antihipertenzivno čak i kod pacijenata koji imaju niski renin. ACE je identičan kinazi II, enzimu za razgradnju bradikinina. Još treba istražiti ima li porast koncentracije bradikinina, snažnog vazodilatirajućeg peptida, ulogu u terapijskom dejstvu lizinoprila. </w:t>
      </w:r>
    </w:p>
    <w:p w14:paraId="343A38C3" w14:textId="77777777" w:rsidR="00926382" w:rsidRPr="006F57B4" w:rsidRDefault="00926382">
      <w:pPr>
        <w:autoSpaceDE w:val="0"/>
        <w:autoSpaceDN w:val="0"/>
        <w:adjustRightInd w:val="0"/>
        <w:jc w:val="both"/>
        <w:rPr>
          <w:noProof/>
          <w:sz w:val="22"/>
          <w:szCs w:val="22"/>
          <w:lang w:val="sr-Latn-ME" w:eastAsia="hr-HR"/>
        </w:rPr>
      </w:pPr>
    </w:p>
    <w:p w14:paraId="7B29BDE6" w14:textId="0C3AF0B6" w:rsidR="00926382" w:rsidRPr="006F57B4" w:rsidRDefault="00926382">
      <w:pPr>
        <w:autoSpaceDE w:val="0"/>
        <w:autoSpaceDN w:val="0"/>
        <w:adjustRightInd w:val="0"/>
        <w:jc w:val="both"/>
        <w:rPr>
          <w:noProof/>
          <w:sz w:val="22"/>
          <w:szCs w:val="22"/>
          <w:lang w:val="sr-Latn-ME" w:eastAsia="hr-HR"/>
        </w:rPr>
      </w:pPr>
      <w:r w:rsidRPr="006F57B4">
        <w:rPr>
          <w:b/>
          <w:noProof/>
          <w:sz w:val="22"/>
          <w:szCs w:val="22"/>
          <w:lang w:val="sr-Latn-ME" w:eastAsia="hr-HR"/>
        </w:rPr>
        <w:t>Hidrohlortiazid</w:t>
      </w:r>
    </w:p>
    <w:p w14:paraId="0B6724F5" w14:textId="77777777" w:rsidR="00926382" w:rsidRPr="00A10D67" w:rsidRDefault="00926382">
      <w:pPr>
        <w:autoSpaceDE w:val="0"/>
        <w:autoSpaceDN w:val="0"/>
        <w:adjustRightInd w:val="0"/>
        <w:jc w:val="both"/>
        <w:rPr>
          <w:sz w:val="22"/>
          <w:szCs w:val="22"/>
          <w:u w:val="single"/>
          <w:lang w:val="sr-Latn-ME"/>
        </w:rPr>
      </w:pPr>
      <w:r w:rsidRPr="006F57B4">
        <w:rPr>
          <w:noProof/>
          <w:sz w:val="22"/>
          <w:szCs w:val="22"/>
          <w:lang w:val="sr-Latn-ME" w:eastAsia="hr-HR"/>
        </w:rPr>
        <w:t xml:space="preserve">Tiazidi obično ne djeluju na normalne vrijednosti krvnog pritiska. </w:t>
      </w:r>
    </w:p>
    <w:p w14:paraId="0F017CFC" w14:textId="77777777" w:rsidR="00926382" w:rsidRPr="00A10D67" w:rsidRDefault="00926382">
      <w:pPr>
        <w:autoSpaceDE w:val="0"/>
        <w:autoSpaceDN w:val="0"/>
        <w:adjustRightInd w:val="0"/>
        <w:jc w:val="both"/>
        <w:rPr>
          <w:sz w:val="22"/>
          <w:szCs w:val="22"/>
          <w:u w:val="single"/>
          <w:lang w:val="sr-Latn-ME"/>
        </w:rPr>
      </w:pPr>
    </w:p>
    <w:p w14:paraId="1E787A30" w14:textId="4C313A3A" w:rsidR="00356374" w:rsidRPr="00A10D67" w:rsidRDefault="00926382">
      <w:pPr>
        <w:autoSpaceDE w:val="0"/>
        <w:autoSpaceDN w:val="0"/>
        <w:adjustRightInd w:val="0"/>
        <w:jc w:val="both"/>
        <w:rPr>
          <w:sz w:val="22"/>
          <w:szCs w:val="22"/>
          <w:u w:val="single"/>
          <w:lang w:val="sr-Latn-ME"/>
        </w:rPr>
      </w:pPr>
      <w:r w:rsidRPr="00A10D67">
        <w:rPr>
          <w:sz w:val="22"/>
          <w:szCs w:val="22"/>
          <w:u w:val="single"/>
          <w:lang w:val="sr-Latn-ME"/>
        </w:rPr>
        <w:t>Klinička efikasnost i bezbjednost</w:t>
      </w:r>
      <w:r w:rsidRPr="00A10D67" w:rsidDel="00387B04">
        <w:rPr>
          <w:sz w:val="22"/>
          <w:szCs w:val="22"/>
          <w:u w:val="single"/>
          <w:lang w:val="sr-Latn-ME"/>
        </w:rPr>
        <w:t xml:space="preserve"> </w:t>
      </w:r>
    </w:p>
    <w:p w14:paraId="0C5F3CEF" w14:textId="77777777" w:rsidR="00611561" w:rsidRPr="00A10D67" w:rsidRDefault="00611561">
      <w:pPr>
        <w:autoSpaceDE w:val="0"/>
        <w:autoSpaceDN w:val="0"/>
        <w:adjustRightInd w:val="0"/>
        <w:jc w:val="both"/>
        <w:rPr>
          <w:sz w:val="22"/>
          <w:szCs w:val="22"/>
          <w:u w:val="single"/>
          <w:lang w:val="sr-Latn-ME"/>
        </w:rPr>
      </w:pPr>
    </w:p>
    <w:p w14:paraId="75B606DC" w14:textId="780BCEDE" w:rsidR="00611561" w:rsidRPr="00A10D67" w:rsidRDefault="00611561">
      <w:pPr>
        <w:autoSpaceDE w:val="0"/>
        <w:autoSpaceDN w:val="0"/>
        <w:adjustRightInd w:val="0"/>
        <w:jc w:val="both"/>
        <w:rPr>
          <w:b/>
          <w:bCs/>
          <w:sz w:val="22"/>
          <w:szCs w:val="22"/>
          <w:lang w:val="sr-Latn-ME"/>
        </w:rPr>
      </w:pPr>
      <w:r w:rsidRPr="00A10D67">
        <w:rPr>
          <w:b/>
          <w:bCs/>
          <w:sz w:val="22"/>
          <w:szCs w:val="22"/>
          <w:lang w:val="sr-Latn-ME"/>
        </w:rPr>
        <w:t>Lizinopril</w:t>
      </w:r>
    </w:p>
    <w:p w14:paraId="5FA664A2" w14:textId="7C2F35FB"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 xml:space="preserve">Dva velika </w:t>
      </w:r>
      <w:r w:rsidR="008C47ED" w:rsidRPr="006F57B4">
        <w:rPr>
          <w:noProof/>
          <w:sz w:val="22"/>
          <w:szCs w:val="22"/>
          <w:lang w:val="sr-Latn-ME" w:eastAsia="hr-HR"/>
        </w:rPr>
        <w:t>randomizovana</w:t>
      </w:r>
      <w:r w:rsidRPr="006F57B4">
        <w:rPr>
          <w:noProof/>
          <w:sz w:val="22"/>
          <w:szCs w:val="22"/>
          <w:lang w:val="sr-Latn-ME" w:eastAsia="hr-HR"/>
        </w:rPr>
        <w:t xml:space="preserve">, kontrolisana ispitivanja (ONTARGET (eng. </w:t>
      </w:r>
      <w:r w:rsidRPr="00A10D67">
        <w:rPr>
          <w:i/>
          <w:noProof/>
          <w:sz w:val="22"/>
          <w:szCs w:val="22"/>
          <w:lang w:val="sr-Latn-ME" w:eastAsia="hr-HR"/>
        </w:rPr>
        <w:t>ONgoing Telmisartan Alone and in combination with Ramipril Global Endpoint Trial</w:t>
      </w:r>
      <w:r w:rsidRPr="006F57B4">
        <w:rPr>
          <w:noProof/>
          <w:sz w:val="22"/>
          <w:szCs w:val="22"/>
          <w:lang w:val="sr-Latn-ME" w:eastAsia="hr-HR"/>
        </w:rPr>
        <w:t xml:space="preserve">) i VA NEPHRON-D (eng. </w:t>
      </w:r>
      <w:r w:rsidRPr="00A10D67">
        <w:rPr>
          <w:i/>
          <w:noProof/>
          <w:sz w:val="22"/>
          <w:szCs w:val="22"/>
          <w:lang w:val="sr-Latn-ME" w:eastAsia="hr-HR"/>
        </w:rPr>
        <w:t>The Veterans Affairs Nephropathy in Diabetes</w:t>
      </w:r>
      <w:r w:rsidRPr="006F57B4">
        <w:rPr>
          <w:noProof/>
          <w:sz w:val="22"/>
          <w:szCs w:val="22"/>
          <w:lang w:val="sr-Latn-ME" w:eastAsia="hr-HR"/>
        </w:rPr>
        <w:t>)) ispitivala su primjenu kombinacije ACE</w:t>
      </w:r>
      <w:r w:rsidR="005B52F1" w:rsidRPr="006F57B4">
        <w:rPr>
          <w:noProof/>
          <w:sz w:val="22"/>
          <w:szCs w:val="22"/>
          <w:lang w:val="sr-Latn-ME" w:eastAsia="hr-HR"/>
        </w:rPr>
        <w:t>-</w:t>
      </w:r>
      <w:r w:rsidRPr="006F57B4">
        <w:rPr>
          <w:noProof/>
          <w:sz w:val="22"/>
          <w:szCs w:val="22"/>
          <w:lang w:val="sr-Latn-ME" w:eastAsia="hr-HR"/>
        </w:rPr>
        <w:t>inhibitora sa blokatorom angiotenzin II receptora.</w:t>
      </w:r>
    </w:p>
    <w:p w14:paraId="3A36D864" w14:textId="77777777" w:rsidR="00D90C90" w:rsidRPr="006F57B4" w:rsidRDefault="00D90C90">
      <w:pPr>
        <w:autoSpaceDE w:val="0"/>
        <w:autoSpaceDN w:val="0"/>
        <w:adjustRightInd w:val="0"/>
        <w:jc w:val="both"/>
        <w:rPr>
          <w:noProof/>
          <w:sz w:val="22"/>
          <w:szCs w:val="22"/>
          <w:lang w:val="sr-Latn-ME" w:eastAsia="hr-HR"/>
        </w:rPr>
      </w:pPr>
    </w:p>
    <w:p w14:paraId="0D6F87F3" w14:textId="1793A12F"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ONTARGET je bilo ispitivanje sprovedeno kod pacijenta sa kardiovaskularnom ili cerebrovaskularnom bolešću u anamnezi, ili sa dijabetesom tip 2 uz dokaze oštećenja ciljanih organa. VA NEPHRON-D je bilo ispitivanje kod pacijenata sa dijabetesom tip 2 i dijabetesnom</w:t>
      </w:r>
      <w:r w:rsidR="00432709" w:rsidRPr="006F57B4">
        <w:rPr>
          <w:noProof/>
          <w:sz w:val="22"/>
          <w:szCs w:val="22"/>
          <w:lang w:val="sr-Latn-ME" w:eastAsia="hr-HR"/>
        </w:rPr>
        <w:t xml:space="preserve"> </w:t>
      </w:r>
      <w:r w:rsidRPr="006F57B4">
        <w:rPr>
          <w:noProof/>
          <w:sz w:val="22"/>
          <w:szCs w:val="22"/>
          <w:lang w:val="sr-Latn-ME" w:eastAsia="hr-HR"/>
        </w:rPr>
        <w:t>nefropatijom.</w:t>
      </w:r>
    </w:p>
    <w:p w14:paraId="0ABF3ABD" w14:textId="77777777" w:rsidR="00926382" w:rsidRPr="006F57B4" w:rsidRDefault="00926382">
      <w:pPr>
        <w:autoSpaceDE w:val="0"/>
        <w:autoSpaceDN w:val="0"/>
        <w:adjustRightInd w:val="0"/>
        <w:jc w:val="both"/>
        <w:rPr>
          <w:noProof/>
          <w:sz w:val="22"/>
          <w:szCs w:val="22"/>
          <w:lang w:val="sr-Latn-ME" w:eastAsia="hr-HR"/>
        </w:rPr>
      </w:pPr>
    </w:p>
    <w:p w14:paraId="653D26BF" w14:textId="159B40F3"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Ta ispitivanja ni</w:t>
      </w:r>
      <w:r w:rsidR="00D90C90" w:rsidRPr="006F57B4">
        <w:rPr>
          <w:noProof/>
          <w:sz w:val="22"/>
          <w:szCs w:val="22"/>
          <w:lang w:val="sr-Latn-ME" w:eastAsia="hr-HR"/>
        </w:rPr>
        <w:t>je</w:t>
      </w:r>
      <w:r w:rsidRPr="006F57B4">
        <w:rPr>
          <w:noProof/>
          <w:sz w:val="22"/>
          <w:szCs w:val="22"/>
          <w:lang w:val="sr-Latn-ME" w:eastAsia="hr-HR"/>
        </w:rPr>
        <w:t>su pokazala nikakav značajan povoljan efekat</w:t>
      </w:r>
      <w:r w:rsidR="00432709" w:rsidRPr="006F57B4">
        <w:rPr>
          <w:noProof/>
          <w:sz w:val="22"/>
          <w:szCs w:val="22"/>
          <w:lang w:val="sr-Latn-ME" w:eastAsia="hr-HR"/>
        </w:rPr>
        <w:t xml:space="preserve"> </w:t>
      </w:r>
      <w:r w:rsidRPr="006F57B4">
        <w:rPr>
          <w:noProof/>
          <w:sz w:val="22"/>
          <w:szCs w:val="22"/>
          <w:lang w:val="sr-Latn-ME" w:eastAsia="hr-HR"/>
        </w:rPr>
        <w:t>na bubrežne i/ili kardiovaskularne ishode i smrtnost, a bio je uočen povećani rizik od hiperkalemije, akutne insuficijencije bubrega i/ili hipotenzije u poređenju sa monoterapijom. S obzirom na njihove slične farmakodinamske osobine, ti su rezultati relevantni i za druge ACE-inhibitore i blokatore angiotenzin II receptora.</w:t>
      </w:r>
    </w:p>
    <w:p w14:paraId="2BBF1807" w14:textId="77777777" w:rsidR="00D90C90" w:rsidRPr="006F57B4" w:rsidRDefault="00D90C90">
      <w:pPr>
        <w:autoSpaceDE w:val="0"/>
        <w:autoSpaceDN w:val="0"/>
        <w:adjustRightInd w:val="0"/>
        <w:jc w:val="both"/>
        <w:rPr>
          <w:noProof/>
          <w:sz w:val="22"/>
          <w:szCs w:val="22"/>
          <w:lang w:val="sr-Latn-ME" w:eastAsia="hr-HR"/>
        </w:rPr>
      </w:pPr>
    </w:p>
    <w:p w14:paraId="76044F2A" w14:textId="27691BF5"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ACE-inhibitori i blokatori angiotenzin II receptora zbog toga</w:t>
      </w:r>
      <w:r w:rsidR="00432709" w:rsidRPr="006F57B4">
        <w:rPr>
          <w:noProof/>
          <w:sz w:val="22"/>
          <w:szCs w:val="22"/>
          <w:lang w:val="sr-Latn-ME" w:eastAsia="hr-HR"/>
        </w:rPr>
        <w:t xml:space="preserve"> </w:t>
      </w:r>
      <w:r w:rsidRPr="006F57B4">
        <w:rPr>
          <w:noProof/>
          <w:sz w:val="22"/>
          <w:szCs w:val="22"/>
          <w:lang w:val="sr-Latn-ME" w:eastAsia="hr-HR"/>
        </w:rPr>
        <w:t>se ne smiju istovremeno primjenjivati kod pacijenata sa</w:t>
      </w:r>
      <w:r w:rsidR="00432709" w:rsidRPr="006F57B4">
        <w:rPr>
          <w:noProof/>
          <w:sz w:val="22"/>
          <w:szCs w:val="22"/>
          <w:lang w:val="sr-Latn-ME" w:eastAsia="hr-HR"/>
        </w:rPr>
        <w:t xml:space="preserve"> </w:t>
      </w:r>
      <w:r w:rsidRPr="006F57B4">
        <w:rPr>
          <w:noProof/>
          <w:sz w:val="22"/>
          <w:szCs w:val="22"/>
          <w:lang w:val="sr-Latn-ME" w:eastAsia="hr-HR"/>
        </w:rPr>
        <w:t>dijabetesnom</w:t>
      </w:r>
      <w:r w:rsidR="00432709" w:rsidRPr="006F57B4">
        <w:rPr>
          <w:noProof/>
          <w:sz w:val="22"/>
          <w:szCs w:val="22"/>
          <w:lang w:val="sr-Latn-ME" w:eastAsia="hr-HR"/>
        </w:rPr>
        <w:t xml:space="preserve"> </w:t>
      </w:r>
      <w:r w:rsidRPr="006F57B4">
        <w:rPr>
          <w:noProof/>
          <w:sz w:val="22"/>
          <w:szCs w:val="22"/>
          <w:lang w:val="sr-Latn-ME" w:eastAsia="hr-HR"/>
        </w:rPr>
        <w:t>nefropatijom.</w:t>
      </w:r>
    </w:p>
    <w:p w14:paraId="1E5E0009" w14:textId="77777777" w:rsidR="00926382" w:rsidRPr="006F57B4" w:rsidRDefault="00926382">
      <w:pPr>
        <w:autoSpaceDE w:val="0"/>
        <w:autoSpaceDN w:val="0"/>
        <w:adjustRightInd w:val="0"/>
        <w:jc w:val="both"/>
        <w:rPr>
          <w:noProof/>
          <w:sz w:val="22"/>
          <w:szCs w:val="22"/>
          <w:lang w:val="sr-Latn-ME" w:eastAsia="hr-HR"/>
        </w:rPr>
      </w:pPr>
    </w:p>
    <w:p w14:paraId="173423D3" w14:textId="53AC58B9" w:rsidR="00926382"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 xml:space="preserve">ALTITUDE (eng. </w:t>
      </w:r>
      <w:r w:rsidRPr="00A10D67">
        <w:rPr>
          <w:i/>
          <w:noProof/>
          <w:sz w:val="22"/>
          <w:szCs w:val="22"/>
          <w:lang w:val="sr-Latn-ME" w:eastAsia="hr-HR"/>
        </w:rPr>
        <w:t>Aliskiren Trial in Type 2 Diabetes Using Cardiovascular and Renal Disease Endpoints</w:t>
      </w:r>
      <w:r w:rsidRPr="006F57B4">
        <w:rPr>
          <w:noProof/>
          <w:sz w:val="22"/>
          <w:szCs w:val="22"/>
          <w:lang w:val="sr-Latn-ME" w:eastAsia="hr-HR"/>
        </w:rPr>
        <w:t xml:space="preserve">) je bilo ispitivanje osmišljeno za testiranje koristi dodavanja aliskirena standardnoj terapiji sa ACE-inhibitorom ili blokatorom angiotenzin II receptora kod pacijenata sa dijabetesom tip 2 i hroničnom bolešću bubrega, kardiovaskularnom bolešću ili oboje. Ispitivanje je bilo prijevremeno prekinuto zbog povećanog rizika od </w:t>
      </w:r>
      <w:r w:rsidR="00611561" w:rsidRPr="006F57B4">
        <w:rPr>
          <w:noProof/>
          <w:sz w:val="22"/>
          <w:szCs w:val="22"/>
          <w:lang w:val="sr-Latn-ME" w:eastAsia="hr-HR"/>
        </w:rPr>
        <w:t>štetnih ishoda</w:t>
      </w:r>
      <w:r w:rsidRPr="006F57B4">
        <w:rPr>
          <w:noProof/>
          <w:sz w:val="22"/>
          <w:szCs w:val="22"/>
          <w:lang w:val="sr-Latn-ME" w:eastAsia="hr-HR"/>
        </w:rPr>
        <w:t>.</w:t>
      </w:r>
    </w:p>
    <w:p w14:paraId="15D4A25A" w14:textId="77777777" w:rsidR="00D90C90" w:rsidRPr="006F57B4" w:rsidRDefault="00D90C90">
      <w:pPr>
        <w:autoSpaceDE w:val="0"/>
        <w:autoSpaceDN w:val="0"/>
        <w:adjustRightInd w:val="0"/>
        <w:jc w:val="both"/>
        <w:rPr>
          <w:noProof/>
          <w:sz w:val="22"/>
          <w:szCs w:val="22"/>
          <w:lang w:val="sr-Latn-ME" w:eastAsia="hr-HR"/>
        </w:rPr>
      </w:pPr>
    </w:p>
    <w:p w14:paraId="464F253A" w14:textId="0662480A" w:rsidR="00926382" w:rsidRPr="006F57B4" w:rsidRDefault="005B52F1">
      <w:pPr>
        <w:autoSpaceDE w:val="0"/>
        <w:autoSpaceDN w:val="0"/>
        <w:adjustRightInd w:val="0"/>
        <w:jc w:val="both"/>
        <w:rPr>
          <w:noProof/>
          <w:sz w:val="22"/>
          <w:szCs w:val="22"/>
          <w:lang w:val="sr-Latn-ME" w:eastAsia="hr-HR"/>
        </w:rPr>
      </w:pPr>
      <w:r w:rsidRPr="006F57B4">
        <w:rPr>
          <w:noProof/>
          <w:sz w:val="22"/>
          <w:szCs w:val="22"/>
          <w:lang w:val="sr-Latn-ME" w:eastAsia="hr-HR"/>
        </w:rPr>
        <w:t xml:space="preserve">Oba, kardiovaskularna </w:t>
      </w:r>
      <w:r w:rsidR="00926382" w:rsidRPr="006F57B4">
        <w:rPr>
          <w:noProof/>
          <w:sz w:val="22"/>
          <w:szCs w:val="22"/>
          <w:lang w:val="sr-Latn-ME" w:eastAsia="hr-HR"/>
        </w:rPr>
        <w:t>smrt i moždani udar</w:t>
      </w:r>
      <w:r w:rsidR="00432709" w:rsidRPr="006F57B4">
        <w:rPr>
          <w:noProof/>
          <w:sz w:val="22"/>
          <w:szCs w:val="22"/>
          <w:lang w:val="sr-Latn-ME" w:eastAsia="hr-HR"/>
        </w:rPr>
        <w:t xml:space="preserve"> </w:t>
      </w:r>
      <w:r w:rsidR="00926382" w:rsidRPr="006F57B4">
        <w:rPr>
          <w:noProof/>
          <w:sz w:val="22"/>
          <w:szCs w:val="22"/>
          <w:lang w:val="sr-Latn-ME" w:eastAsia="hr-HR"/>
        </w:rPr>
        <w:t xml:space="preserve">numerički </w:t>
      </w:r>
      <w:r w:rsidRPr="006F57B4">
        <w:rPr>
          <w:noProof/>
          <w:sz w:val="22"/>
          <w:szCs w:val="22"/>
          <w:lang w:val="sr-Latn-ME" w:eastAsia="hr-HR"/>
        </w:rPr>
        <w:t xml:space="preserve">su </w:t>
      </w:r>
      <w:r w:rsidR="00926382" w:rsidRPr="006F57B4">
        <w:rPr>
          <w:noProof/>
          <w:sz w:val="22"/>
          <w:szCs w:val="22"/>
          <w:lang w:val="sr-Latn-ME" w:eastAsia="hr-HR"/>
        </w:rPr>
        <w:t>bili učestaliji u grupi koja je primala aliskiren nego u onoj koja je primala placebo, a neželjena dejstva i ozbiljni neželjeni događaji od značaja (hiperkalemija, hipotenzija i bubrežna disfunkcija) bili su učestalije zabilježeni u grupi koja je primala aliskiren nego u onoj koja je primala placebo.</w:t>
      </w:r>
    </w:p>
    <w:p w14:paraId="6553F829" w14:textId="77777777" w:rsidR="00926382" w:rsidRPr="006F57B4" w:rsidRDefault="00926382">
      <w:pPr>
        <w:autoSpaceDE w:val="0"/>
        <w:autoSpaceDN w:val="0"/>
        <w:adjustRightInd w:val="0"/>
        <w:jc w:val="both"/>
        <w:rPr>
          <w:noProof/>
          <w:sz w:val="22"/>
          <w:szCs w:val="22"/>
          <w:lang w:val="sr-Latn-ME" w:eastAsia="hr-HR"/>
        </w:rPr>
      </w:pPr>
    </w:p>
    <w:p w14:paraId="5EABD59B" w14:textId="5598583A" w:rsidR="00611561" w:rsidRPr="006F57B4" w:rsidRDefault="00611561">
      <w:pPr>
        <w:autoSpaceDE w:val="0"/>
        <w:autoSpaceDN w:val="0"/>
        <w:adjustRightInd w:val="0"/>
        <w:jc w:val="both"/>
        <w:rPr>
          <w:b/>
          <w:bCs/>
          <w:noProof/>
          <w:sz w:val="22"/>
          <w:szCs w:val="22"/>
          <w:u w:val="single"/>
          <w:lang w:val="sr-Latn-ME" w:eastAsia="hr-HR"/>
        </w:rPr>
      </w:pPr>
      <w:r w:rsidRPr="006F57B4">
        <w:rPr>
          <w:b/>
          <w:bCs/>
          <w:noProof/>
          <w:sz w:val="22"/>
          <w:szCs w:val="22"/>
          <w:u w:val="single"/>
          <w:lang w:val="sr-Latn-ME" w:eastAsia="hr-HR"/>
        </w:rPr>
        <w:t>Hidrohlorotiazid</w:t>
      </w:r>
    </w:p>
    <w:p w14:paraId="507D963D" w14:textId="77777777" w:rsidR="00D90C90" w:rsidRPr="006F57B4" w:rsidRDefault="00D90C90">
      <w:pPr>
        <w:autoSpaceDE w:val="0"/>
        <w:autoSpaceDN w:val="0"/>
        <w:adjustRightInd w:val="0"/>
        <w:jc w:val="both"/>
        <w:rPr>
          <w:b/>
          <w:bCs/>
          <w:noProof/>
          <w:sz w:val="22"/>
          <w:szCs w:val="22"/>
          <w:u w:val="single"/>
          <w:lang w:val="sr-Latn-ME" w:eastAsia="hr-HR"/>
        </w:rPr>
      </w:pPr>
    </w:p>
    <w:p w14:paraId="5B812DE9" w14:textId="56AF161C" w:rsidR="00611561" w:rsidRPr="006F57B4" w:rsidRDefault="00926382">
      <w:pPr>
        <w:autoSpaceDE w:val="0"/>
        <w:autoSpaceDN w:val="0"/>
        <w:adjustRightInd w:val="0"/>
        <w:jc w:val="both"/>
        <w:rPr>
          <w:noProof/>
          <w:sz w:val="22"/>
          <w:szCs w:val="22"/>
          <w:u w:val="single"/>
          <w:lang w:val="sr-Latn-ME" w:eastAsia="hr-HR"/>
        </w:rPr>
      </w:pPr>
      <w:r w:rsidRPr="006F57B4">
        <w:rPr>
          <w:noProof/>
          <w:sz w:val="22"/>
          <w:szCs w:val="22"/>
          <w:u w:val="single"/>
          <w:lang w:val="sr-Latn-ME" w:eastAsia="hr-HR"/>
        </w:rPr>
        <w:t xml:space="preserve">Nemelanomski rak kože </w:t>
      </w:r>
    </w:p>
    <w:p w14:paraId="307E558B" w14:textId="687B6BD6" w:rsidR="002E37A5" w:rsidRPr="006F57B4" w:rsidRDefault="00926382">
      <w:pPr>
        <w:autoSpaceDE w:val="0"/>
        <w:autoSpaceDN w:val="0"/>
        <w:adjustRightInd w:val="0"/>
        <w:jc w:val="both"/>
        <w:rPr>
          <w:noProof/>
          <w:sz w:val="22"/>
          <w:szCs w:val="22"/>
          <w:lang w:val="sr-Latn-ME" w:eastAsia="hr-HR"/>
        </w:rPr>
      </w:pPr>
      <w:r w:rsidRPr="006F57B4">
        <w:rPr>
          <w:noProof/>
          <w:sz w:val="22"/>
          <w:szCs w:val="22"/>
          <w:lang w:val="sr-Latn-ME" w:eastAsia="hr-HR"/>
        </w:rPr>
        <w:t>Na osnovu dostupnih podataka iz epidemioloških ispitivanja, između HCTZ-a i NMSC-a uočena je povezanost u zavisnosti od kumulativne doze. Jedno ispitivanje</w:t>
      </w:r>
      <w:r w:rsidR="00432709" w:rsidRPr="006F57B4">
        <w:rPr>
          <w:noProof/>
          <w:sz w:val="22"/>
          <w:szCs w:val="22"/>
          <w:lang w:val="sr-Latn-ME" w:eastAsia="hr-HR"/>
        </w:rPr>
        <w:t xml:space="preserve"> </w:t>
      </w:r>
      <w:r w:rsidRPr="006F57B4">
        <w:rPr>
          <w:noProof/>
          <w:sz w:val="22"/>
          <w:szCs w:val="22"/>
          <w:lang w:val="sr-Latn-ME" w:eastAsia="hr-HR"/>
        </w:rPr>
        <w:t>uključilo je populaciju koja se sastojala od 71 533 slučajeva</w:t>
      </w:r>
      <w:r w:rsidR="00432709" w:rsidRPr="006F57B4">
        <w:rPr>
          <w:noProof/>
          <w:sz w:val="22"/>
          <w:szCs w:val="22"/>
          <w:lang w:val="sr-Latn-ME" w:eastAsia="hr-HR"/>
        </w:rPr>
        <w:t xml:space="preserve"> </w:t>
      </w:r>
      <w:r w:rsidRPr="006F57B4">
        <w:rPr>
          <w:noProof/>
          <w:sz w:val="22"/>
          <w:szCs w:val="22"/>
          <w:lang w:val="sr-Latn-ME" w:eastAsia="hr-HR"/>
        </w:rPr>
        <w:t>bazocelularnog karcinoma (BCC)</w:t>
      </w:r>
      <w:r w:rsidR="00432709" w:rsidRPr="006F57B4">
        <w:rPr>
          <w:noProof/>
          <w:sz w:val="22"/>
          <w:szCs w:val="22"/>
          <w:lang w:val="sr-Latn-ME" w:eastAsia="hr-HR"/>
        </w:rPr>
        <w:t xml:space="preserve"> </w:t>
      </w:r>
      <w:r w:rsidRPr="006F57B4">
        <w:rPr>
          <w:noProof/>
          <w:sz w:val="22"/>
          <w:szCs w:val="22"/>
          <w:lang w:val="sr-Latn-ME" w:eastAsia="hr-HR"/>
        </w:rPr>
        <w:t>i 8 629 slučajeva planocelularnog karcinoma (</w:t>
      </w:r>
      <w:r w:rsidR="005B52F1" w:rsidRPr="006F57B4">
        <w:rPr>
          <w:noProof/>
          <w:sz w:val="22"/>
          <w:szCs w:val="22"/>
          <w:lang w:val="sr-Latn-ME" w:eastAsia="hr-HR"/>
        </w:rPr>
        <w:t>PCC</w:t>
      </w:r>
      <w:r w:rsidRPr="006F57B4">
        <w:rPr>
          <w:noProof/>
          <w:sz w:val="22"/>
          <w:szCs w:val="22"/>
          <w:lang w:val="sr-Latn-ME" w:eastAsia="hr-HR"/>
        </w:rPr>
        <w:t>) koji su bili upoređeni sa kontrolnom populacijom od</w:t>
      </w:r>
      <w:r w:rsidR="00432709" w:rsidRPr="006F57B4">
        <w:rPr>
          <w:noProof/>
          <w:sz w:val="22"/>
          <w:szCs w:val="22"/>
          <w:lang w:val="sr-Latn-ME" w:eastAsia="hr-HR"/>
        </w:rPr>
        <w:t xml:space="preserve"> </w:t>
      </w:r>
      <w:r w:rsidRPr="006F57B4">
        <w:rPr>
          <w:noProof/>
          <w:sz w:val="22"/>
          <w:szCs w:val="22"/>
          <w:lang w:val="sr-Latn-ME" w:eastAsia="hr-HR"/>
        </w:rPr>
        <w:t xml:space="preserve">1 430 833 odnosno 172 462 osoba. Primjena visokih doza hidrohlortiazida (≥50,000 mg kumulativno) bila je povezana sa prilagođenim odnosom vjerovatnoće (OR – </w:t>
      </w:r>
      <w:r w:rsidRPr="00A10D67">
        <w:rPr>
          <w:i/>
          <w:noProof/>
          <w:sz w:val="22"/>
          <w:szCs w:val="22"/>
          <w:lang w:val="sr-Latn-ME" w:eastAsia="hr-HR"/>
        </w:rPr>
        <w:t>odds ratio</w:t>
      </w:r>
      <w:r w:rsidRPr="006F57B4">
        <w:rPr>
          <w:noProof/>
          <w:sz w:val="22"/>
          <w:szCs w:val="22"/>
          <w:lang w:val="sr-Latn-ME" w:eastAsia="hr-HR"/>
        </w:rPr>
        <w:t>)</w:t>
      </w:r>
      <w:r w:rsidR="00432709" w:rsidRPr="006F57B4">
        <w:rPr>
          <w:noProof/>
          <w:sz w:val="22"/>
          <w:szCs w:val="22"/>
          <w:lang w:val="sr-Latn-ME" w:eastAsia="hr-HR"/>
        </w:rPr>
        <w:t xml:space="preserve"> </w:t>
      </w:r>
      <w:r w:rsidRPr="006F57B4">
        <w:rPr>
          <w:noProof/>
          <w:sz w:val="22"/>
          <w:szCs w:val="22"/>
          <w:lang w:val="sr-Latn-ME" w:eastAsia="hr-HR"/>
        </w:rPr>
        <w:t xml:space="preserve">od 1,29 (interval povjerenja 95%, CI – </w:t>
      </w:r>
      <w:r w:rsidRPr="00A10D67">
        <w:rPr>
          <w:i/>
          <w:noProof/>
          <w:sz w:val="22"/>
          <w:szCs w:val="22"/>
          <w:lang w:val="sr-Latn-ME" w:eastAsia="hr-HR"/>
        </w:rPr>
        <w:t>confidence interval</w:t>
      </w:r>
      <w:r w:rsidRPr="006F57B4">
        <w:rPr>
          <w:noProof/>
          <w:sz w:val="22"/>
          <w:szCs w:val="22"/>
          <w:lang w:val="sr-Latn-ME" w:eastAsia="hr-HR"/>
        </w:rPr>
        <w:t xml:space="preserve">: 1,23-1,35) za BCC i 3,98 (95% CI: 3,68-4,31) za </w:t>
      </w:r>
      <w:r w:rsidR="005B52F1" w:rsidRPr="006F57B4">
        <w:rPr>
          <w:noProof/>
          <w:sz w:val="22"/>
          <w:szCs w:val="22"/>
          <w:lang w:val="sr-Latn-ME" w:eastAsia="hr-HR"/>
        </w:rPr>
        <w:t>PCC</w:t>
      </w:r>
      <w:r w:rsidRPr="006F57B4">
        <w:rPr>
          <w:noProof/>
          <w:sz w:val="22"/>
          <w:szCs w:val="22"/>
          <w:lang w:val="sr-Latn-ME" w:eastAsia="hr-HR"/>
        </w:rPr>
        <w:t>.</w:t>
      </w:r>
      <w:r w:rsidR="00432709" w:rsidRPr="006F57B4">
        <w:rPr>
          <w:noProof/>
          <w:sz w:val="22"/>
          <w:szCs w:val="22"/>
          <w:lang w:val="sr-Latn-ME" w:eastAsia="hr-HR"/>
        </w:rPr>
        <w:t xml:space="preserve"> </w:t>
      </w:r>
      <w:r w:rsidRPr="006F57B4">
        <w:rPr>
          <w:noProof/>
          <w:sz w:val="22"/>
          <w:szCs w:val="22"/>
          <w:lang w:val="sr-Latn-ME" w:eastAsia="hr-HR"/>
        </w:rPr>
        <w:t xml:space="preserve"> Uočena</w:t>
      </w:r>
      <w:r w:rsidR="00432709" w:rsidRPr="006F57B4">
        <w:rPr>
          <w:noProof/>
          <w:sz w:val="22"/>
          <w:szCs w:val="22"/>
          <w:lang w:val="sr-Latn-ME" w:eastAsia="hr-HR"/>
        </w:rPr>
        <w:t xml:space="preserve"> </w:t>
      </w:r>
      <w:r w:rsidRPr="006F57B4">
        <w:rPr>
          <w:noProof/>
          <w:sz w:val="22"/>
          <w:szCs w:val="22"/>
          <w:lang w:val="sr-Latn-ME" w:eastAsia="hr-HR"/>
        </w:rPr>
        <w:t xml:space="preserve">je jasna povezanost odgovora i kumulativne doze i za BCC i za </w:t>
      </w:r>
      <w:r w:rsidR="005B52F1" w:rsidRPr="006F57B4">
        <w:rPr>
          <w:noProof/>
          <w:sz w:val="22"/>
          <w:szCs w:val="22"/>
          <w:lang w:val="sr-Latn-ME" w:eastAsia="hr-HR"/>
        </w:rPr>
        <w:t>PCC</w:t>
      </w:r>
      <w:r w:rsidRPr="006F57B4">
        <w:rPr>
          <w:noProof/>
          <w:sz w:val="22"/>
          <w:szCs w:val="22"/>
          <w:lang w:val="sr-Latn-ME" w:eastAsia="hr-HR"/>
        </w:rPr>
        <w:t>. Drugo ispitivanje je pokazalo</w:t>
      </w:r>
      <w:r w:rsidR="00432709" w:rsidRPr="006F57B4">
        <w:rPr>
          <w:noProof/>
          <w:sz w:val="22"/>
          <w:szCs w:val="22"/>
          <w:lang w:val="sr-Latn-ME" w:eastAsia="hr-HR"/>
        </w:rPr>
        <w:t xml:space="preserve"> </w:t>
      </w:r>
      <w:r w:rsidRPr="006F57B4">
        <w:rPr>
          <w:noProof/>
          <w:sz w:val="22"/>
          <w:szCs w:val="22"/>
          <w:lang w:val="sr-Latn-ME" w:eastAsia="hr-HR"/>
        </w:rPr>
        <w:t>moguću povezanost između karcinoma usana (</w:t>
      </w:r>
      <w:r w:rsidR="005B52F1" w:rsidRPr="006F57B4">
        <w:rPr>
          <w:noProof/>
          <w:sz w:val="22"/>
          <w:szCs w:val="22"/>
          <w:lang w:val="sr-Latn-ME" w:eastAsia="hr-HR"/>
        </w:rPr>
        <w:t>PCC</w:t>
      </w:r>
      <w:r w:rsidRPr="006F57B4">
        <w:rPr>
          <w:noProof/>
          <w:sz w:val="22"/>
          <w:szCs w:val="22"/>
          <w:lang w:val="sr-Latn-ME" w:eastAsia="hr-HR"/>
        </w:rPr>
        <w:t xml:space="preserve">) i izlaganja hidrohlortiazidu: 633 slučaja karcinoma usana je upoređeno sa kontrolnom populacijom od 63 067 osoba, primjenom strategije uzorkovanja na osnovu rizika (engl. </w:t>
      </w:r>
      <w:r w:rsidRPr="006F57B4">
        <w:rPr>
          <w:i/>
          <w:noProof/>
          <w:sz w:val="22"/>
          <w:szCs w:val="22"/>
          <w:lang w:val="sr-Latn-ME" w:eastAsia="hr-HR"/>
        </w:rPr>
        <w:t>risk set sampling</w:t>
      </w:r>
      <w:r w:rsidRPr="006F57B4">
        <w:rPr>
          <w:noProof/>
          <w:sz w:val="22"/>
          <w:szCs w:val="22"/>
          <w:lang w:val="sr-Latn-ME" w:eastAsia="hr-HR"/>
        </w:rPr>
        <w:t>). Povezanost odgovora i kumulativne doze dokazan je sa prilagođenim OR 2,1 (95% CI: 1,7-2,6), koji se povećao na OR 3,9 (3,0-4,9) za visoke doze</w:t>
      </w:r>
      <w:r w:rsidR="00432709" w:rsidRPr="006F57B4">
        <w:rPr>
          <w:noProof/>
          <w:sz w:val="22"/>
          <w:szCs w:val="22"/>
          <w:lang w:val="sr-Latn-ME" w:eastAsia="hr-HR"/>
        </w:rPr>
        <w:t xml:space="preserve"> </w:t>
      </w:r>
      <w:r w:rsidRPr="006F57B4">
        <w:rPr>
          <w:noProof/>
          <w:sz w:val="22"/>
          <w:szCs w:val="22"/>
          <w:lang w:val="sr-Latn-ME" w:eastAsia="hr-HR"/>
        </w:rPr>
        <w:t>hidrohlortiazida (~25 000 mg) i OR 7,7 (5,7-10,5) kod najviših kumulativnih doza (~100 000 mg) (vidjeti i odjeljak 4.4.).</w:t>
      </w:r>
    </w:p>
    <w:p w14:paraId="6C0AF3BB" w14:textId="77777777" w:rsidR="00926382" w:rsidRPr="006F57B4" w:rsidRDefault="00926382">
      <w:pPr>
        <w:tabs>
          <w:tab w:val="left" w:pos="540"/>
          <w:tab w:val="left" w:pos="569"/>
        </w:tabs>
        <w:jc w:val="both"/>
        <w:rPr>
          <w:b/>
          <w:bCs/>
          <w:sz w:val="22"/>
          <w:szCs w:val="22"/>
          <w:lang w:val="sr-Latn-ME"/>
        </w:rPr>
      </w:pPr>
    </w:p>
    <w:p w14:paraId="79A48FC8" w14:textId="77777777" w:rsidR="0072020E" w:rsidRPr="006F57B4" w:rsidRDefault="0072020E">
      <w:pPr>
        <w:tabs>
          <w:tab w:val="left" w:pos="540"/>
          <w:tab w:val="left" w:pos="569"/>
        </w:tabs>
        <w:jc w:val="both"/>
        <w:rPr>
          <w:b/>
          <w:bCs/>
          <w:sz w:val="22"/>
          <w:szCs w:val="22"/>
          <w:lang w:val="sr-Latn-ME"/>
        </w:rPr>
      </w:pPr>
      <w:r w:rsidRPr="006F57B4">
        <w:rPr>
          <w:b/>
          <w:bCs/>
          <w:sz w:val="22"/>
          <w:szCs w:val="22"/>
          <w:lang w:val="sr-Latn-ME"/>
        </w:rPr>
        <w:t xml:space="preserve">5.2. </w:t>
      </w:r>
      <w:r w:rsidR="00480FB1" w:rsidRPr="006F57B4">
        <w:rPr>
          <w:b/>
          <w:bCs/>
          <w:sz w:val="22"/>
          <w:szCs w:val="22"/>
          <w:lang w:val="sr-Latn-ME"/>
        </w:rPr>
        <w:tab/>
      </w:r>
      <w:r w:rsidRPr="00A10D67">
        <w:rPr>
          <w:b/>
          <w:bCs/>
          <w:sz w:val="22"/>
          <w:szCs w:val="22"/>
          <w:lang w:val="sr-Latn-ME"/>
        </w:rPr>
        <w:t>Farmakokineti</w:t>
      </w:r>
      <w:r w:rsidRPr="006F57B4">
        <w:rPr>
          <w:b/>
          <w:bCs/>
          <w:sz w:val="22"/>
          <w:szCs w:val="22"/>
          <w:lang w:val="sr-Latn-ME"/>
        </w:rPr>
        <w:t>č</w:t>
      </w:r>
      <w:r w:rsidRPr="00A10D67">
        <w:rPr>
          <w:b/>
          <w:bCs/>
          <w:sz w:val="22"/>
          <w:szCs w:val="22"/>
          <w:lang w:val="sr-Latn-ME"/>
        </w:rPr>
        <w:t>ki</w:t>
      </w:r>
      <w:r w:rsidRPr="006F57B4">
        <w:rPr>
          <w:b/>
          <w:bCs/>
          <w:sz w:val="22"/>
          <w:szCs w:val="22"/>
          <w:lang w:val="sr-Latn-ME"/>
        </w:rPr>
        <w:t xml:space="preserve"> </w:t>
      </w:r>
      <w:r w:rsidRPr="00A10D67">
        <w:rPr>
          <w:b/>
          <w:bCs/>
          <w:sz w:val="22"/>
          <w:szCs w:val="22"/>
          <w:lang w:val="sr-Latn-ME"/>
        </w:rPr>
        <w:t>podaci</w:t>
      </w:r>
      <w:r w:rsidR="003A7059" w:rsidRPr="006F57B4">
        <w:rPr>
          <w:b/>
          <w:bCs/>
          <w:sz w:val="22"/>
          <w:szCs w:val="22"/>
          <w:lang w:val="sr-Latn-ME"/>
        </w:rPr>
        <w:t xml:space="preserve"> </w:t>
      </w:r>
    </w:p>
    <w:p w14:paraId="1587CC02" w14:textId="5718FA68" w:rsidR="00E81F5A" w:rsidRPr="00A10D67" w:rsidRDefault="00E81F5A">
      <w:pPr>
        <w:spacing w:before="120"/>
        <w:jc w:val="both"/>
        <w:rPr>
          <w:sz w:val="22"/>
          <w:szCs w:val="22"/>
          <w:lang w:val="sr-Latn-ME"/>
        </w:rPr>
      </w:pPr>
      <w:r w:rsidRPr="00A10D67">
        <w:rPr>
          <w:sz w:val="22"/>
          <w:szCs w:val="22"/>
          <w:lang w:val="sr-Latn-ME"/>
        </w:rPr>
        <w:t>Istovremena primjena lizinoprila i hidrohlortiazida ima zanemar</w:t>
      </w:r>
      <w:r w:rsidR="005B52F1" w:rsidRPr="00A10D67">
        <w:rPr>
          <w:sz w:val="22"/>
          <w:szCs w:val="22"/>
          <w:lang w:val="sr-Latn-ME"/>
        </w:rPr>
        <w:t>lj</w:t>
      </w:r>
      <w:r w:rsidRPr="00A10D67">
        <w:rPr>
          <w:sz w:val="22"/>
          <w:szCs w:val="22"/>
          <w:lang w:val="sr-Latn-ME"/>
        </w:rPr>
        <w:t>iv efekat na bioraspoloživost pojedinih komponenti. Kombinovana tableta je bioekvivalentna istovremenoj primjeni svake komponente odvojeno.</w:t>
      </w:r>
    </w:p>
    <w:p w14:paraId="15AA15E9" w14:textId="77777777" w:rsidR="00E81F5A" w:rsidRPr="00A10D67" w:rsidRDefault="00E81F5A">
      <w:pPr>
        <w:spacing w:before="120"/>
        <w:jc w:val="both"/>
        <w:rPr>
          <w:b/>
          <w:i/>
          <w:sz w:val="22"/>
          <w:szCs w:val="22"/>
          <w:lang w:val="sr-Latn-ME"/>
        </w:rPr>
      </w:pPr>
      <w:r w:rsidRPr="00A10D67">
        <w:rPr>
          <w:b/>
          <w:i/>
          <w:sz w:val="22"/>
          <w:szCs w:val="22"/>
          <w:lang w:val="sr-Latn-ME"/>
        </w:rPr>
        <w:t>Lizinopril</w:t>
      </w:r>
    </w:p>
    <w:p w14:paraId="3917536D" w14:textId="77777777" w:rsidR="00E81F5A" w:rsidRPr="006F57B4" w:rsidRDefault="00E81F5A">
      <w:pPr>
        <w:spacing w:before="120"/>
        <w:jc w:val="both"/>
        <w:rPr>
          <w:noProof/>
          <w:sz w:val="22"/>
          <w:szCs w:val="22"/>
          <w:lang w:val="sr-Latn-ME" w:eastAsia="hr-HR"/>
        </w:rPr>
      </w:pPr>
      <w:r w:rsidRPr="00A10D67">
        <w:rPr>
          <w:i/>
          <w:sz w:val="22"/>
          <w:szCs w:val="22"/>
          <w:u w:val="single"/>
          <w:lang w:val="sr-Latn-ME"/>
        </w:rPr>
        <w:t>Resorpcija</w:t>
      </w:r>
    </w:p>
    <w:p w14:paraId="62AA40FD" w14:textId="219883AA" w:rsidR="004C58CC" w:rsidRPr="00A10D67" w:rsidRDefault="004C58CC" w:rsidP="00A10D67">
      <w:pPr>
        <w:jc w:val="both"/>
        <w:rPr>
          <w:sz w:val="22"/>
          <w:szCs w:val="22"/>
          <w:lang w:val="sr-Latn-ME"/>
        </w:rPr>
      </w:pPr>
      <w:r w:rsidRPr="00A10D67">
        <w:rPr>
          <w:sz w:val="22"/>
          <w:szCs w:val="22"/>
          <w:lang w:val="sr-Latn-ME"/>
        </w:rPr>
        <w:t>Nakon oralne primjene lizinoprila, maksimalna koncentracija u serumu postiže se za oko 7 sati, iako</w:t>
      </w:r>
      <w:r w:rsidR="00D90C90" w:rsidRPr="00A10D67">
        <w:rPr>
          <w:sz w:val="22"/>
          <w:szCs w:val="22"/>
          <w:lang w:val="sr-Latn-ME"/>
        </w:rPr>
        <w:t xml:space="preserve"> </w:t>
      </w:r>
      <w:r w:rsidRPr="00A10D67">
        <w:rPr>
          <w:sz w:val="22"/>
          <w:szCs w:val="22"/>
          <w:lang w:val="sr-Latn-ME"/>
        </w:rPr>
        <w:t>postoji trend malog kašnjenja u vremenu potrebnom za dostizanje maksimalne koncentracije u serumu</w:t>
      </w:r>
      <w:r w:rsidR="00D90C90" w:rsidRPr="00A10D67">
        <w:rPr>
          <w:sz w:val="22"/>
          <w:szCs w:val="22"/>
          <w:lang w:val="sr-Latn-ME"/>
        </w:rPr>
        <w:t xml:space="preserve"> </w:t>
      </w:r>
      <w:r w:rsidRPr="00A10D67">
        <w:rPr>
          <w:sz w:val="22"/>
          <w:szCs w:val="22"/>
          <w:lang w:val="sr-Latn-ME"/>
        </w:rPr>
        <w:t>kod pacijenata sa akutnim infarktom miokarda. Na osnovu nalaza iz urina, prosječna vrijednost stepena</w:t>
      </w:r>
    </w:p>
    <w:p w14:paraId="388C1595" w14:textId="77777777" w:rsidR="004C58CC" w:rsidRPr="00A10D67" w:rsidRDefault="004C58CC" w:rsidP="00A10D67">
      <w:pPr>
        <w:jc w:val="both"/>
        <w:rPr>
          <w:sz w:val="22"/>
          <w:szCs w:val="22"/>
          <w:lang w:val="sr-Latn-ME"/>
        </w:rPr>
      </w:pPr>
      <w:r w:rsidRPr="00A10D67">
        <w:rPr>
          <w:sz w:val="22"/>
          <w:szCs w:val="22"/>
          <w:lang w:val="sr-Latn-ME"/>
        </w:rPr>
        <w:lastRenderedPageBreak/>
        <w:t>resorpcije lizinoprila iznosi oko 25%, sa interindividualnim razlikama (od 6 do 60%) u svim ispitivanim</w:t>
      </w:r>
    </w:p>
    <w:p w14:paraId="7124CFA4" w14:textId="05795CB8" w:rsidR="004C58CC" w:rsidRPr="00A10D67" w:rsidRDefault="004C58CC" w:rsidP="00A10D67">
      <w:pPr>
        <w:jc w:val="both"/>
        <w:rPr>
          <w:sz w:val="22"/>
          <w:szCs w:val="22"/>
          <w:lang w:val="sr-Latn-ME"/>
        </w:rPr>
      </w:pPr>
      <w:r w:rsidRPr="00A10D67">
        <w:rPr>
          <w:sz w:val="22"/>
          <w:szCs w:val="22"/>
          <w:lang w:val="sr-Latn-ME"/>
        </w:rPr>
        <w:t>dozama (5–80 mg). Apsolutna bioraspoloživost je smanjena za oko 16% kod pacijenata sa srčanom</w:t>
      </w:r>
    </w:p>
    <w:p w14:paraId="08E9C941" w14:textId="5D0C0496" w:rsidR="004C58CC" w:rsidRPr="00A10D67" w:rsidRDefault="004C58CC" w:rsidP="00A10D67">
      <w:pPr>
        <w:jc w:val="both"/>
        <w:rPr>
          <w:sz w:val="22"/>
          <w:szCs w:val="22"/>
          <w:lang w:val="sr-Latn-ME"/>
        </w:rPr>
      </w:pPr>
      <w:r w:rsidRPr="00A10D67">
        <w:rPr>
          <w:sz w:val="22"/>
          <w:szCs w:val="22"/>
          <w:lang w:val="sr-Latn-ME"/>
        </w:rPr>
        <w:t xml:space="preserve">insuficijencijom. </w:t>
      </w:r>
    </w:p>
    <w:p w14:paraId="641317A5" w14:textId="72FFD95C" w:rsidR="004C58CC" w:rsidRPr="00A10D67" w:rsidRDefault="004C58CC" w:rsidP="00A10D67">
      <w:pPr>
        <w:jc w:val="both"/>
        <w:rPr>
          <w:lang w:val="sr-Latn-ME"/>
        </w:rPr>
      </w:pPr>
      <w:r w:rsidRPr="00A10D67">
        <w:rPr>
          <w:sz w:val="22"/>
          <w:szCs w:val="22"/>
          <w:lang w:val="sr-Latn-ME"/>
        </w:rPr>
        <w:t>Prisustvo hrane ne utiče na resorpciju lizinoprila.</w:t>
      </w:r>
    </w:p>
    <w:p w14:paraId="53788302" w14:textId="5C429EFF" w:rsidR="004C58CC" w:rsidRPr="00A10D67" w:rsidRDefault="00E81F5A" w:rsidP="00A10D67">
      <w:pPr>
        <w:spacing w:before="120"/>
        <w:jc w:val="both"/>
        <w:rPr>
          <w:sz w:val="22"/>
          <w:szCs w:val="22"/>
          <w:lang w:val="sr-Latn-ME"/>
        </w:rPr>
      </w:pPr>
      <w:r w:rsidRPr="00A10D67">
        <w:rPr>
          <w:i/>
          <w:iCs/>
          <w:sz w:val="22"/>
          <w:szCs w:val="22"/>
          <w:u w:val="single"/>
          <w:lang w:val="sr-Latn-ME"/>
        </w:rPr>
        <w:t>Distribucija</w:t>
      </w:r>
    </w:p>
    <w:p w14:paraId="151C0046" w14:textId="77777777" w:rsidR="004C58CC" w:rsidRPr="00A10D67" w:rsidRDefault="004C58CC">
      <w:pPr>
        <w:jc w:val="both"/>
        <w:rPr>
          <w:sz w:val="22"/>
          <w:szCs w:val="22"/>
          <w:lang w:val="sr-Latn-ME"/>
        </w:rPr>
      </w:pPr>
      <w:r w:rsidRPr="00A10D67">
        <w:rPr>
          <w:sz w:val="22"/>
          <w:szCs w:val="22"/>
          <w:lang w:val="sr-Latn-ME"/>
        </w:rPr>
        <w:t>Lizinopril se ne vezuje za druge proteine u serumu, osim za cirkulišući angiotenzin konvertujući enzim</w:t>
      </w:r>
    </w:p>
    <w:p w14:paraId="1298CEB2" w14:textId="5B51D153" w:rsidR="004C58CC" w:rsidRPr="00A10D67" w:rsidRDefault="004C58CC">
      <w:pPr>
        <w:jc w:val="both"/>
        <w:rPr>
          <w:sz w:val="22"/>
          <w:szCs w:val="22"/>
          <w:lang w:val="sr-Latn-ME"/>
        </w:rPr>
      </w:pPr>
      <w:r w:rsidRPr="00A10D67">
        <w:rPr>
          <w:sz w:val="22"/>
          <w:szCs w:val="22"/>
          <w:lang w:val="sr-Latn-ME"/>
        </w:rPr>
        <w:t>(ACE). Ispitivanja na pacovima pokazuju da lizinopril slabo prolazi kroz krvno-moždanu barijeru</w:t>
      </w:r>
      <w:r w:rsidR="005B52F1" w:rsidRPr="00A10D67">
        <w:rPr>
          <w:sz w:val="22"/>
          <w:szCs w:val="22"/>
          <w:lang w:val="sr-Latn-ME"/>
        </w:rPr>
        <w:t>.</w:t>
      </w:r>
    </w:p>
    <w:p w14:paraId="4D10BDE5" w14:textId="77777777" w:rsidR="004C58CC" w:rsidRPr="00A10D67" w:rsidRDefault="004C58CC">
      <w:pPr>
        <w:jc w:val="both"/>
        <w:rPr>
          <w:sz w:val="22"/>
          <w:szCs w:val="22"/>
          <w:lang w:val="sr-Latn-ME"/>
        </w:rPr>
      </w:pPr>
    </w:p>
    <w:p w14:paraId="348EFC5A" w14:textId="1C53E6BE" w:rsidR="00E81F5A" w:rsidRPr="00A10D67" w:rsidRDefault="004C58CC">
      <w:pPr>
        <w:jc w:val="both"/>
        <w:rPr>
          <w:i/>
          <w:sz w:val="22"/>
          <w:szCs w:val="22"/>
          <w:u w:val="single"/>
          <w:lang w:val="sr-Latn-ME"/>
        </w:rPr>
      </w:pPr>
      <w:r w:rsidRPr="00A10D67">
        <w:rPr>
          <w:i/>
          <w:sz w:val="22"/>
          <w:szCs w:val="22"/>
          <w:u w:val="single"/>
          <w:lang w:val="sr-Latn-ME"/>
        </w:rPr>
        <w:t>E</w:t>
      </w:r>
      <w:r w:rsidR="00E81F5A" w:rsidRPr="00A10D67">
        <w:rPr>
          <w:i/>
          <w:sz w:val="22"/>
          <w:szCs w:val="22"/>
          <w:u w:val="single"/>
          <w:lang w:val="sr-Latn-ME"/>
        </w:rPr>
        <w:t>liminacija</w:t>
      </w:r>
    </w:p>
    <w:p w14:paraId="0841153F" w14:textId="647E5769" w:rsidR="004C58CC" w:rsidRPr="00A10D67" w:rsidRDefault="004C58CC">
      <w:pPr>
        <w:jc w:val="both"/>
        <w:rPr>
          <w:sz w:val="22"/>
          <w:szCs w:val="22"/>
          <w:lang w:val="sr-Latn-ME"/>
        </w:rPr>
      </w:pPr>
      <w:r w:rsidRPr="00A10D67">
        <w:rPr>
          <w:sz w:val="22"/>
          <w:szCs w:val="22"/>
          <w:lang w:val="sr-Latn-ME"/>
        </w:rPr>
        <w:t>Lizinopril ne podliježe metabolizmu, a resorbovani lijek se potpuno izlučuje nepromijenjen, putem urina.</w:t>
      </w:r>
    </w:p>
    <w:p w14:paraId="43D8B447" w14:textId="72EE9004" w:rsidR="004C58CC" w:rsidRPr="00A10D67" w:rsidRDefault="004C58CC">
      <w:pPr>
        <w:jc w:val="both"/>
        <w:rPr>
          <w:sz w:val="22"/>
          <w:szCs w:val="22"/>
          <w:lang w:val="sr-Latn-ME"/>
        </w:rPr>
      </w:pPr>
      <w:r w:rsidRPr="00A10D67">
        <w:rPr>
          <w:sz w:val="22"/>
          <w:szCs w:val="22"/>
          <w:lang w:val="sr-Latn-ME"/>
        </w:rPr>
        <w:t>Nakon ponovljenog doziranja lizinopril ima efektivno poluvrijeme kumulacije od 12,6 sati. Klirens</w:t>
      </w:r>
    </w:p>
    <w:p w14:paraId="6B88EFF1" w14:textId="15FF49F4" w:rsidR="004C58CC" w:rsidRPr="00A10D67" w:rsidRDefault="004C58CC">
      <w:pPr>
        <w:jc w:val="both"/>
        <w:rPr>
          <w:sz w:val="22"/>
          <w:szCs w:val="22"/>
          <w:lang w:val="sr-Latn-ME"/>
        </w:rPr>
      </w:pPr>
      <w:r w:rsidRPr="00A10D67">
        <w:rPr>
          <w:sz w:val="22"/>
          <w:szCs w:val="22"/>
          <w:lang w:val="sr-Latn-ME"/>
        </w:rPr>
        <w:t xml:space="preserve">lizinoprila kod zdravih ispitanika iznosi oko 50 </w:t>
      </w:r>
      <w:r w:rsidR="005A11DF" w:rsidRPr="00A10D67">
        <w:rPr>
          <w:sz w:val="22"/>
          <w:szCs w:val="22"/>
          <w:lang w:val="sr-Latn-ME"/>
        </w:rPr>
        <w:t>m</w:t>
      </w:r>
      <w:r w:rsidR="005A11DF">
        <w:rPr>
          <w:sz w:val="22"/>
          <w:szCs w:val="22"/>
          <w:lang w:val="sr-Latn-ME"/>
        </w:rPr>
        <w:t>L</w:t>
      </w:r>
      <w:r w:rsidRPr="00A10D67">
        <w:rPr>
          <w:sz w:val="22"/>
          <w:szCs w:val="22"/>
          <w:lang w:val="sr-Latn-ME"/>
        </w:rPr>
        <w:t>/min. Opadajuće koncentracije u serumu pokazuju</w:t>
      </w:r>
    </w:p>
    <w:p w14:paraId="1E545259" w14:textId="5D815B39" w:rsidR="004C58CC" w:rsidRPr="00A10D67" w:rsidRDefault="004C58CC">
      <w:pPr>
        <w:jc w:val="both"/>
        <w:rPr>
          <w:sz w:val="22"/>
          <w:szCs w:val="22"/>
          <w:lang w:val="sr-Latn-ME"/>
        </w:rPr>
      </w:pPr>
      <w:r w:rsidRPr="00A10D67">
        <w:rPr>
          <w:sz w:val="22"/>
          <w:szCs w:val="22"/>
          <w:lang w:val="sr-Latn-ME"/>
        </w:rPr>
        <w:t>produženu terminalnu fazu, što ne doprinosi kumulaciji lijeka. Ova terminalna faza vjerovatno predstavlja</w:t>
      </w:r>
      <w:r w:rsidR="005B52F1" w:rsidRPr="00A10D67">
        <w:rPr>
          <w:sz w:val="22"/>
          <w:szCs w:val="22"/>
          <w:lang w:val="sr-Latn-ME"/>
        </w:rPr>
        <w:t xml:space="preserve"> </w:t>
      </w:r>
      <w:r w:rsidRPr="00A10D67">
        <w:rPr>
          <w:sz w:val="22"/>
          <w:szCs w:val="22"/>
          <w:lang w:val="sr-Latn-ME"/>
        </w:rPr>
        <w:t xml:space="preserve">zasićeno vezivanje za ACE i nije proporcionalno dozi. </w:t>
      </w:r>
      <w:r w:rsidRPr="00A10D67">
        <w:rPr>
          <w:sz w:val="22"/>
          <w:szCs w:val="22"/>
          <w:lang w:val="sr-Latn-ME"/>
        </w:rPr>
        <w:cr/>
      </w:r>
    </w:p>
    <w:p w14:paraId="319FB691" w14:textId="7DC4E5BD" w:rsidR="004C58CC" w:rsidRPr="00A10D67" w:rsidRDefault="004C58CC">
      <w:pPr>
        <w:jc w:val="both"/>
        <w:rPr>
          <w:sz w:val="22"/>
          <w:szCs w:val="22"/>
          <w:lang w:val="sr-Latn-ME"/>
        </w:rPr>
      </w:pPr>
      <w:r w:rsidRPr="00A10D67">
        <w:rPr>
          <w:i/>
          <w:iCs/>
          <w:sz w:val="22"/>
          <w:szCs w:val="22"/>
          <w:lang w:val="sr-Latn-ME"/>
        </w:rPr>
        <w:t>Oštećenje funkcije jetre</w:t>
      </w:r>
    </w:p>
    <w:p w14:paraId="24B68124" w14:textId="7F7E193E" w:rsidR="004C58CC" w:rsidRPr="00A10D67" w:rsidRDefault="004C58CC">
      <w:pPr>
        <w:jc w:val="both"/>
        <w:rPr>
          <w:sz w:val="22"/>
          <w:szCs w:val="22"/>
          <w:lang w:val="sr-Latn-ME"/>
        </w:rPr>
      </w:pPr>
      <w:r w:rsidRPr="00A10D67">
        <w:rPr>
          <w:sz w:val="22"/>
          <w:szCs w:val="22"/>
          <w:lang w:val="sr-Latn-ME"/>
        </w:rPr>
        <w:t>Oštećena funkcija jetre kod pacijenata sa cirozom uzrokuje smanjenje resorpcije lizinoprila (oko 30% kao što je definisano mjerenjem u urinu), ali povećana izloženost može smanjiti resorpciju i do 50% u</w:t>
      </w:r>
    </w:p>
    <w:p w14:paraId="660FF241" w14:textId="44ABFF6E" w:rsidR="004C58CC" w:rsidRPr="00A10D67" w:rsidRDefault="004C58CC">
      <w:pPr>
        <w:jc w:val="both"/>
        <w:rPr>
          <w:sz w:val="22"/>
          <w:szCs w:val="22"/>
          <w:lang w:val="sr-Latn-ME"/>
        </w:rPr>
      </w:pPr>
      <w:r w:rsidRPr="00A10D67">
        <w:rPr>
          <w:sz w:val="22"/>
          <w:szCs w:val="22"/>
          <w:lang w:val="sr-Latn-ME"/>
        </w:rPr>
        <w:t>poređenju sa zdravim ispitanicima usljed smanjenja klirensa.</w:t>
      </w:r>
    </w:p>
    <w:p w14:paraId="6A6CBD60" w14:textId="77777777" w:rsidR="004C58CC" w:rsidRPr="00A10D67" w:rsidRDefault="004C58CC">
      <w:pPr>
        <w:jc w:val="both"/>
        <w:rPr>
          <w:sz w:val="22"/>
          <w:szCs w:val="22"/>
          <w:lang w:val="sr-Latn-ME"/>
        </w:rPr>
      </w:pPr>
    </w:p>
    <w:p w14:paraId="34B0FFF9" w14:textId="29DCA37D" w:rsidR="004C58CC" w:rsidRPr="00A10D67" w:rsidRDefault="004C58CC">
      <w:pPr>
        <w:jc w:val="both"/>
        <w:rPr>
          <w:i/>
          <w:iCs/>
          <w:sz w:val="22"/>
          <w:szCs w:val="22"/>
          <w:lang w:val="sr-Latn-ME"/>
        </w:rPr>
      </w:pPr>
      <w:r w:rsidRPr="00A10D67">
        <w:rPr>
          <w:i/>
          <w:iCs/>
          <w:sz w:val="22"/>
          <w:szCs w:val="22"/>
          <w:lang w:val="sr-Latn-ME"/>
        </w:rPr>
        <w:t>Oštećenje funkcije bubrega</w:t>
      </w:r>
    </w:p>
    <w:p w14:paraId="437ECC4D" w14:textId="77777777" w:rsidR="004C58CC" w:rsidRPr="00A10D67" w:rsidRDefault="004C58CC">
      <w:pPr>
        <w:jc w:val="both"/>
        <w:rPr>
          <w:sz w:val="22"/>
          <w:szCs w:val="22"/>
          <w:lang w:val="sr-Latn-ME"/>
        </w:rPr>
      </w:pPr>
      <w:r w:rsidRPr="00A10D67">
        <w:rPr>
          <w:sz w:val="22"/>
          <w:szCs w:val="22"/>
          <w:lang w:val="sr-Latn-ME"/>
        </w:rPr>
        <w:t>Oštećena bubrežna funkcija usporava eliminaciju lizinoprila koji se izlučuje putem bubrega. Međutim,</w:t>
      </w:r>
    </w:p>
    <w:p w14:paraId="063BAD15" w14:textId="11B81609" w:rsidR="004C58CC" w:rsidRPr="00A10D67" w:rsidRDefault="004C58CC">
      <w:pPr>
        <w:jc w:val="both"/>
        <w:rPr>
          <w:sz w:val="22"/>
          <w:szCs w:val="22"/>
          <w:lang w:val="sr-Latn-ME"/>
        </w:rPr>
      </w:pPr>
      <w:r w:rsidRPr="00A10D67">
        <w:rPr>
          <w:sz w:val="22"/>
          <w:szCs w:val="22"/>
          <w:lang w:val="sr-Latn-ME"/>
        </w:rPr>
        <w:t>smanjenje eliminacije je klinički značajn</w:t>
      </w:r>
      <w:r w:rsidR="005B52F1" w:rsidRPr="00A10D67">
        <w:rPr>
          <w:sz w:val="22"/>
          <w:szCs w:val="22"/>
          <w:lang w:val="sr-Latn-ME"/>
        </w:rPr>
        <w:t>a</w:t>
      </w:r>
      <w:r w:rsidRPr="00A10D67">
        <w:rPr>
          <w:sz w:val="22"/>
          <w:szCs w:val="22"/>
          <w:lang w:val="sr-Latn-ME"/>
        </w:rPr>
        <w:t xml:space="preserve"> samo u slučaju kada je brzina glomerularne filtracije manja od 30 </w:t>
      </w:r>
      <w:r w:rsidR="005A11DF" w:rsidRPr="00A10D67">
        <w:rPr>
          <w:sz w:val="22"/>
          <w:szCs w:val="22"/>
          <w:lang w:val="sr-Latn-ME"/>
        </w:rPr>
        <w:t>m</w:t>
      </w:r>
      <w:r w:rsidR="005A11DF">
        <w:rPr>
          <w:sz w:val="22"/>
          <w:szCs w:val="22"/>
          <w:lang w:val="sr-Latn-ME"/>
        </w:rPr>
        <w:t>L</w:t>
      </w:r>
      <w:r w:rsidRPr="00A10D67">
        <w:rPr>
          <w:sz w:val="22"/>
          <w:szCs w:val="22"/>
          <w:lang w:val="sr-Latn-ME"/>
        </w:rPr>
        <w:t>/min.</w:t>
      </w:r>
    </w:p>
    <w:p w14:paraId="0098A0DF" w14:textId="77777777" w:rsidR="004C58CC" w:rsidRPr="00A10D67" w:rsidRDefault="004C58CC">
      <w:pPr>
        <w:jc w:val="both"/>
        <w:rPr>
          <w:sz w:val="22"/>
          <w:szCs w:val="22"/>
          <w:lang w:val="sr-Latn-ME"/>
        </w:rPr>
      </w:pPr>
    </w:p>
    <w:p w14:paraId="049413CE" w14:textId="77777777" w:rsidR="004C58CC" w:rsidRPr="00A10D67" w:rsidRDefault="004C58CC">
      <w:pPr>
        <w:jc w:val="both"/>
        <w:rPr>
          <w:sz w:val="22"/>
          <w:szCs w:val="22"/>
          <w:lang w:val="sr-Latn-ME"/>
        </w:rPr>
      </w:pPr>
      <w:r w:rsidRPr="00A10D67">
        <w:rPr>
          <w:b/>
          <w:sz w:val="22"/>
          <w:szCs w:val="22"/>
          <w:lang w:val="sr-Latn-ME"/>
        </w:rPr>
        <w:t>Tabela 1.</w:t>
      </w:r>
      <w:r w:rsidRPr="00A10D67">
        <w:rPr>
          <w:sz w:val="22"/>
          <w:szCs w:val="22"/>
          <w:lang w:val="sr-Latn-ME"/>
        </w:rPr>
        <w:t xml:space="preserve"> Farmakokinetički parametri lizinoprila kod različitih grupa pacijenata sa bubrežnom</w:t>
      </w:r>
    </w:p>
    <w:p w14:paraId="5323BA11" w14:textId="3AD71F28" w:rsidR="004C58CC" w:rsidRPr="00A10D67" w:rsidRDefault="004C58CC">
      <w:pPr>
        <w:jc w:val="both"/>
        <w:rPr>
          <w:sz w:val="22"/>
          <w:szCs w:val="22"/>
          <w:lang w:val="sr-Latn-ME"/>
        </w:rPr>
      </w:pPr>
      <w:r w:rsidRPr="00A10D67">
        <w:rPr>
          <w:sz w:val="22"/>
          <w:szCs w:val="22"/>
          <w:lang w:val="sr-Latn-ME"/>
        </w:rPr>
        <w:t>insuficijencijom, nakon prim</w:t>
      </w:r>
      <w:r w:rsidR="005B52F1" w:rsidRPr="00A10D67">
        <w:rPr>
          <w:sz w:val="22"/>
          <w:szCs w:val="22"/>
          <w:lang w:val="sr-Latn-ME"/>
        </w:rPr>
        <w:t>j</w:t>
      </w:r>
      <w:r w:rsidRPr="00A10D67">
        <w:rPr>
          <w:sz w:val="22"/>
          <w:szCs w:val="22"/>
          <w:lang w:val="sr-Latn-ME"/>
        </w:rPr>
        <w:t xml:space="preserve">ene višestrukih doza od 5 mg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785"/>
        <w:gridCol w:w="1254"/>
        <w:gridCol w:w="941"/>
        <w:gridCol w:w="1727"/>
        <w:gridCol w:w="1568"/>
      </w:tblGrid>
      <w:tr w:rsidR="004C58CC" w:rsidRPr="006F57B4" w14:paraId="156DB49E" w14:textId="77777777" w:rsidTr="007476CA">
        <w:trPr>
          <w:jc w:val="center"/>
        </w:trPr>
        <w:tc>
          <w:tcPr>
            <w:tcW w:w="1538" w:type="pct"/>
            <w:shd w:val="clear" w:color="auto" w:fill="auto"/>
          </w:tcPr>
          <w:p w14:paraId="6A90B3F5"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Funkcija bubrega mjerena klirensom kreatinina</w:t>
            </w:r>
          </w:p>
        </w:tc>
        <w:tc>
          <w:tcPr>
            <w:tcW w:w="433" w:type="pct"/>
            <w:shd w:val="clear" w:color="auto" w:fill="auto"/>
          </w:tcPr>
          <w:p w14:paraId="4C54A64E"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n</w:t>
            </w:r>
          </w:p>
        </w:tc>
        <w:tc>
          <w:tcPr>
            <w:tcW w:w="692" w:type="pct"/>
            <w:shd w:val="clear" w:color="auto" w:fill="auto"/>
          </w:tcPr>
          <w:p w14:paraId="667CD22E"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C</w:t>
            </w:r>
            <w:r w:rsidRPr="00A10D67">
              <w:rPr>
                <w:rFonts w:eastAsia="Calibri"/>
                <w:b/>
                <w:sz w:val="22"/>
                <w:szCs w:val="22"/>
                <w:vertAlign w:val="subscript"/>
                <w:lang w:val="sr-Latn-ME"/>
              </w:rPr>
              <w:t>max</w:t>
            </w:r>
          </w:p>
          <w:p w14:paraId="5D98125D" w14:textId="5E3222F2" w:rsidR="004C58CC" w:rsidRPr="00A10D67" w:rsidRDefault="004C58CC">
            <w:pPr>
              <w:jc w:val="both"/>
              <w:rPr>
                <w:rFonts w:eastAsia="Calibri"/>
                <w:b/>
                <w:sz w:val="22"/>
                <w:szCs w:val="22"/>
                <w:lang w:val="sr-Latn-ME"/>
              </w:rPr>
            </w:pPr>
            <w:r w:rsidRPr="00A10D67">
              <w:rPr>
                <w:rFonts w:eastAsia="Calibri"/>
                <w:b/>
                <w:sz w:val="22"/>
                <w:szCs w:val="22"/>
                <w:lang w:val="sr-Latn-ME"/>
              </w:rPr>
              <w:t>(ng/</w:t>
            </w:r>
            <w:r w:rsidR="005A11DF" w:rsidRPr="00A10D67">
              <w:rPr>
                <w:rFonts w:eastAsia="Calibri"/>
                <w:b/>
                <w:sz w:val="22"/>
                <w:szCs w:val="22"/>
                <w:lang w:val="sr-Latn-ME"/>
              </w:rPr>
              <w:t>m</w:t>
            </w:r>
            <w:r w:rsidR="005A11DF">
              <w:rPr>
                <w:rFonts w:eastAsia="Calibri"/>
                <w:b/>
                <w:sz w:val="22"/>
                <w:szCs w:val="22"/>
                <w:lang w:val="sr-Latn-ME"/>
              </w:rPr>
              <w:t>L</w:t>
            </w:r>
            <w:r w:rsidRPr="00A10D67">
              <w:rPr>
                <w:rFonts w:eastAsia="Calibri"/>
                <w:b/>
                <w:sz w:val="22"/>
                <w:szCs w:val="22"/>
                <w:lang w:val="sr-Latn-ME"/>
              </w:rPr>
              <w:t>)</w:t>
            </w:r>
          </w:p>
        </w:tc>
        <w:tc>
          <w:tcPr>
            <w:tcW w:w="519" w:type="pct"/>
            <w:shd w:val="clear" w:color="auto" w:fill="auto"/>
          </w:tcPr>
          <w:p w14:paraId="2E0569F4"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T</w:t>
            </w:r>
            <w:r w:rsidRPr="00A10D67">
              <w:rPr>
                <w:rFonts w:eastAsia="Calibri"/>
                <w:b/>
                <w:sz w:val="22"/>
                <w:szCs w:val="22"/>
                <w:vertAlign w:val="subscript"/>
                <w:lang w:val="sr-Latn-ME"/>
              </w:rPr>
              <w:t>max</w:t>
            </w:r>
          </w:p>
          <w:p w14:paraId="20BE8C43"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(h)</w:t>
            </w:r>
          </w:p>
        </w:tc>
        <w:tc>
          <w:tcPr>
            <w:tcW w:w="953" w:type="pct"/>
            <w:shd w:val="clear" w:color="auto" w:fill="auto"/>
          </w:tcPr>
          <w:p w14:paraId="491798EB" w14:textId="08722D5F" w:rsidR="004C58CC" w:rsidRPr="00A10D67" w:rsidRDefault="005B52F1">
            <w:pPr>
              <w:jc w:val="both"/>
              <w:rPr>
                <w:rFonts w:eastAsia="Calibri"/>
                <w:b/>
                <w:sz w:val="22"/>
                <w:szCs w:val="22"/>
                <w:lang w:val="sr-Latn-ME"/>
              </w:rPr>
            </w:pPr>
            <w:r w:rsidRPr="00A10D67">
              <w:rPr>
                <w:rFonts w:eastAsia="Calibri"/>
                <w:b/>
                <w:sz w:val="22"/>
                <w:szCs w:val="22"/>
                <w:lang w:val="sr-Latn-ME"/>
              </w:rPr>
              <w:t>PIK</w:t>
            </w:r>
          </w:p>
          <w:p w14:paraId="29523A27"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(0-24h)</w:t>
            </w:r>
          </w:p>
          <w:p w14:paraId="528DA848" w14:textId="44738949" w:rsidR="004C58CC" w:rsidRPr="00A10D67" w:rsidRDefault="004C58CC">
            <w:pPr>
              <w:jc w:val="both"/>
              <w:rPr>
                <w:rFonts w:eastAsia="Calibri"/>
                <w:b/>
                <w:sz w:val="22"/>
                <w:szCs w:val="22"/>
                <w:lang w:val="sr-Latn-ME"/>
              </w:rPr>
            </w:pPr>
            <w:r w:rsidRPr="00A10D67">
              <w:rPr>
                <w:rFonts w:eastAsia="Calibri"/>
                <w:b/>
                <w:sz w:val="22"/>
                <w:szCs w:val="22"/>
                <w:lang w:val="sr-Latn-ME"/>
              </w:rPr>
              <w:t>(ng/h/</w:t>
            </w:r>
            <w:r w:rsidR="005A11DF" w:rsidRPr="00A10D67">
              <w:rPr>
                <w:rFonts w:eastAsia="Calibri"/>
                <w:b/>
                <w:sz w:val="22"/>
                <w:szCs w:val="22"/>
                <w:lang w:val="sr-Latn-ME"/>
              </w:rPr>
              <w:t>m</w:t>
            </w:r>
            <w:r w:rsidR="005A11DF">
              <w:rPr>
                <w:rFonts w:eastAsia="Calibri"/>
                <w:b/>
                <w:sz w:val="22"/>
                <w:szCs w:val="22"/>
                <w:lang w:val="sr-Latn-ME"/>
              </w:rPr>
              <w:t>L</w:t>
            </w:r>
            <w:r w:rsidRPr="00A10D67">
              <w:rPr>
                <w:rFonts w:eastAsia="Calibri"/>
                <w:b/>
                <w:sz w:val="22"/>
                <w:szCs w:val="22"/>
                <w:lang w:val="sr-Latn-ME"/>
              </w:rPr>
              <w:t>)</w:t>
            </w:r>
          </w:p>
        </w:tc>
        <w:tc>
          <w:tcPr>
            <w:tcW w:w="865" w:type="pct"/>
            <w:shd w:val="clear" w:color="auto" w:fill="auto"/>
          </w:tcPr>
          <w:p w14:paraId="1F7DC240" w14:textId="77777777" w:rsidR="004C58CC" w:rsidRPr="00A10D67" w:rsidRDefault="004C58CC">
            <w:pPr>
              <w:jc w:val="both"/>
              <w:rPr>
                <w:rFonts w:eastAsia="Calibri"/>
                <w:b/>
                <w:sz w:val="22"/>
                <w:szCs w:val="22"/>
                <w:vertAlign w:val="subscript"/>
                <w:lang w:val="sr-Latn-ME"/>
              </w:rPr>
            </w:pPr>
            <w:r w:rsidRPr="00A10D67">
              <w:rPr>
                <w:rFonts w:eastAsia="Calibri"/>
                <w:b/>
                <w:sz w:val="22"/>
                <w:szCs w:val="22"/>
                <w:lang w:val="sr-Latn-ME"/>
              </w:rPr>
              <w:t>t</w:t>
            </w:r>
            <w:r w:rsidRPr="00A10D67">
              <w:rPr>
                <w:rFonts w:eastAsia="Calibri"/>
                <w:b/>
                <w:sz w:val="22"/>
                <w:szCs w:val="22"/>
                <w:vertAlign w:val="subscript"/>
                <w:lang w:val="sr-Latn-ME"/>
              </w:rPr>
              <w:t>1/2</w:t>
            </w:r>
          </w:p>
          <w:p w14:paraId="3691E0E6" w14:textId="77777777" w:rsidR="004C58CC" w:rsidRPr="00A10D67" w:rsidRDefault="004C58CC">
            <w:pPr>
              <w:jc w:val="both"/>
              <w:rPr>
                <w:rFonts w:eastAsia="Calibri"/>
                <w:b/>
                <w:sz w:val="22"/>
                <w:szCs w:val="22"/>
                <w:lang w:val="sr-Latn-ME"/>
              </w:rPr>
            </w:pPr>
            <w:r w:rsidRPr="00A10D67">
              <w:rPr>
                <w:rFonts w:eastAsia="Calibri"/>
                <w:b/>
                <w:sz w:val="22"/>
                <w:szCs w:val="22"/>
                <w:lang w:val="sr-Latn-ME"/>
              </w:rPr>
              <w:t>(h)</w:t>
            </w:r>
          </w:p>
        </w:tc>
      </w:tr>
      <w:tr w:rsidR="004C58CC" w:rsidRPr="006F57B4" w14:paraId="6262AB7A" w14:textId="77777777" w:rsidTr="007476CA">
        <w:trPr>
          <w:jc w:val="center"/>
        </w:trPr>
        <w:tc>
          <w:tcPr>
            <w:tcW w:w="1538" w:type="pct"/>
            <w:shd w:val="clear" w:color="auto" w:fill="auto"/>
          </w:tcPr>
          <w:p w14:paraId="2CB6DBCE" w14:textId="1F669A86" w:rsidR="004C58CC" w:rsidRPr="00A10D67" w:rsidRDefault="004C58CC">
            <w:pPr>
              <w:jc w:val="both"/>
              <w:rPr>
                <w:rFonts w:eastAsia="Calibri"/>
                <w:sz w:val="22"/>
                <w:szCs w:val="22"/>
                <w:lang w:val="sr-Latn-ME"/>
              </w:rPr>
            </w:pPr>
            <w:r w:rsidRPr="00A10D67">
              <w:rPr>
                <w:rFonts w:eastAsia="Calibri"/>
                <w:sz w:val="22"/>
                <w:szCs w:val="22"/>
                <w:lang w:val="sr-Latn-ME"/>
              </w:rPr>
              <w:t xml:space="preserve">&gt;80 </w:t>
            </w:r>
            <w:r w:rsidR="005A11DF" w:rsidRPr="00A10D67">
              <w:rPr>
                <w:rFonts w:eastAsia="Calibri"/>
                <w:sz w:val="22"/>
                <w:szCs w:val="22"/>
                <w:lang w:val="sr-Latn-ME"/>
              </w:rPr>
              <w:t>m</w:t>
            </w:r>
            <w:r w:rsidR="005A11DF">
              <w:rPr>
                <w:rFonts w:eastAsia="Calibri"/>
                <w:sz w:val="22"/>
                <w:szCs w:val="22"/>
                <w:lang w:val="sr-Latn-ME"/>
              </w:rPr>
              <w:t>L</w:t>
            </w:r>
            <w:r w:rsidRPr="00A10D67">
              <w:rPr>
                <w:rFonts w:eastAsia="Calibri"/>
                <w:sz w:val="22"/>
                <w:szCs w:val="22"/>
                <w:lang w:val="sr-Latn-ME"/>
              </w:rPr>
              <w:t>/min</w:t>
            </w:r>
          </w:p>
        </w:tc>
        <w:tc>
          <w:tcPr>
            <w:tcW w:w="433" w:type="pct"/>
            <w:shd w:val="clear" w:color="auto" w:fill="auto"/>
          </w:tcPr>
          <w:p w14:paraId="7E1B2F78" w14:textId="77777777" w:rsidR="004C58CC" w:rsidRPr="00A10D67" w:rsidRDefault="004C58CC" w:rsidP="00432709">
            <w:pPr>
              <w:jc w:val="both"/>
              <w:rPr>
                <w:rFonts w:eastAsia="Calibri"/>
                <w:sz w:val="22"/>
                <w:szCs w:val="22"/>
                <w:lang w:val="sr-Latn-ME"/>
              </w:rPr>
            </w:pPr>
            <w:r w:rsidRPr="00A10D67">
              <w:rPr>
                <w:rFonts w:eastAsia="Calibri"/>
                <w:sz w:val="22"/>
                <w:szCs w:val="22"/>
                <w:lang w:val="sr-Latn-ME"/>
              </w:rPr>
              <w:t>6</w:t>
            </w:r>
          </w:p>
        </w:tc>
        <w:tc>
          <w:tcPr>
            <w:tcW w:w="692" w:type="pct"/>
            <w:shd w:val="clear" w:color="auto" w:fill="auto"/>
          </w:tcPr>
          <w:p w14:paraId="73F9134A" w14:textId="77777777" w:rsidR="004C58CC" w:rsidRPr="00A10D67" w:rsidRDefault="004C58CC" w:rsidP="00432709">
            <w:pPr>
              <w:jc w:val="both"/>
              <w:rPr>
                <w:rFonts w:eastAsia="Calibri"/>
                <w:sz w:val="22"/>
                <w:szCs w:val="22"/>
                <w:lang w:val="sr-Latn-ME"/>
              </w:rPr>
            </w:pPr>
            <w:r w:rsidRPr="00A10D67">
              <w:rPr>
                <w:rFonts w:eastAsia="Calibri"/>
                <w:sz w:val="22"/>
                <w:szCs w:val="22"/>
                <w:lang w:val="sr-Latn-ME"/>
              </w:rPr>
              <w:t>40.3</w:t>
            </w:r>
          </w:p>
        </w:tc>
        <w:tc>
          <w:tcPr>
            <w:tcW w:w="519" w:type="pct"/>
            <w:shd w:val="clear" w:color="auto" w:fill="auto"/>
          </w:tcPr>
          <w:p w14:paraId="3565F219" w14:textId="77777777" w:rsidR="004C58CC" w:rsidRPr="00A10D67" w:rsidRDefault="004C58CC">
            <w:pPr>
              <w:jc w:val="both"/>
              <w:rPr>
                <w:rFonts w:eastAsia="Calibri"/>
                <w:sz w:val="22"/>
                <w:szCs w:val="22"/>
                <w:lang w:val="sr-Latn-ME"/>
              </w:rPr>
            </w:pPr>
            <w:r w:rsidRPr="00A10D67">
              <w:rPr>
                <w:rFonts w:eastAsia="Calibri"/>
                <w:sz w:val="22"/>
                <w:szCs w:val="22"/>
                <w:lang w:val="sr-Latn-ME"/>
              </w:rPr>
              <w:t>6</w:t>
            </w:r>
          </w:p>
        </w:tc>
        <w:tc>
          <w:tcPr>
            <w:tcW w:w="953" w:type="pct"/>
            <w:shd w:val="clear" w:color="auto" w:fill="auto"/>
          </w:tcPr>
          <w:p w14:paraId="2305786F" w14:textId="77777777" w:rsidR="004C58CC" w:rsidRPr="00A10D67" w:rsidRDefault="004C58CC">
            <w:pPr>
              <w:jc w:val="both"/>
              <w:rPr>
                <w:rFonts w:eastAsia="Calibri"/>
                <w:sz w:val="22"/>
                <w:szCs w:val="22"/>
                <w:lang w:val="sr-Latn-ME"/>
              </w:rPr>
            </w:pPr>
            <w:r w:rsidRPr="00A10D67">
              <w:rPr>
                <w:rFonts w:eastAsia="Calibri"/>
                <w:sz w:val="22"/>
                <w:szCs w:val="22"/>
                <w:lang w:val="sr-Latn-ME"/>
              </w:rPr>
              <w:t>492±172</w:t>
            </w:r>
          </w:p>
        </w:tc>
        <w:tc>
          <w:tcPr>
            <w:tcW w:w="865" w:type="pct"/>
            <w:shd w:val="clear" w:color="auto" w:fill="auto"/>
          </w:tcPr>
          <w:p w14:paraId="23E9FB84" w14:textId="77777777" w:rsidR="004C58CC" w:rsidRPr="00A10D67" w:rsidRDefault="004C58CC">
            <w:pPr>
              <w:jc w:val="both"/>
              <w:rPr>
                <w:rFonts w:eastAsia="Calibri"/>
                <w:sz w:val="22"/>
                <w:szCs w:val="22"/>
                <w:lang w:val="sr-Latn-ME"/>
              </w:rPr>
            </w:pPr>
            <w:r w:rsidRPr="00A10D67">
              <w:rPr>
                <w:rFonts w:eastAsia="Calibri"/>
                <w:sz w:val="22"/>
                <w:szCs w:val="22"/>
                <w:lang w:val="sr-Latn-ME"/>
              </w:rPr>
              <w:t>6,0±1,1</w:t>
            </w:r>
          </w:p>
        </w:tc>
      </w:tr>
      <w:tr w:rsidR="004C58CC" w:rsidRPr="006F57B4" w14:paraId="551C66B9" w14:textId="77777777" w:rsidTr="007476CA">
        <w:trPr>
          <w:jc w:val="center"/>
        </w:trPr>
        <w:tc>
          <w:tcPr>
            <w:tcW w:w="1538" w:type="pct"/>
            <w:shd w:val="clear" w:color="auto" w:fill="auto"/>
          </w:tcPr>
          <w:p w14:paraId="7E594DD2" w14:textId="3E42DAD3" w:rsidR="004C58CC" w:rsidRPr="00A10D67" w:rsidRDefault="004C58CC">
            <w:pPr>
              <w:jc w:val="both"/>
              <w:rPr>
                <w:rFonts w:eastAsia="Calibri"/>
                <w:sz w:val="22"/>
                <w:szCs w:val="22"/>
                <w:lang w:val="sr-Latn-ME"/>
              </w:rPr>
            </w:pPr>
            <w:r w:rsidRPr="00A10D67">
              <w:rPr>
                <w:rFonts w:eastAsia="Calibri"/>
                <w:sz w:val="22"/>
                <w:szCs w:val="22"/>
                <w:lang w:val="sr-Latn-ME"/>
              </w:rPr>
              <w:t xml:space="preserve">30 - 80 </w:t>
            </w:r>
            <w:r w:rsidR="005A11DF" w:rsidRPr="00A10D67">
              <w:rPr>
                <w:rFonts w:eastAsia="Calibri"/>
                <w:sz w:val="22"/>
                <w:szCs w:val="22"/>
                <w:lang w:val="sr-Latn-ME"/>
              </w:rPr>
              <w:t>m</w:t>
            </w:r>
            <w:r w:rsidR="005A11DF">
              <w:rPr>
                <w:rFonts w:eastAsia="Calibri"/>
                <w:sz w:val="22"/>
                <w:szCs w:val="22"/>
                <w:lang w:val="sr-Latn-ME"/>
              </w:rPr>
              <w:t>L</w:t>
            </w:r>
            <w:r w:rsidRPr="00A10D67">
              <w:rPr>
                <w:rFonts w:eastAsia="Calibri"/>
                <w:sz w:val="22"/>
                <w:szCs w:val="22"/>
                <w:lang w:val="sr-Latn-ME"/>
              </w:rPr>
              <w:t>/min</w:t>
            </w:r>
          </w:p>
        </w:tc>
        <w:tc>
          <w:tcPr>
            <w:tcW w:w="433" w:type="pct"/>
            <w:shd w:val="clear" w:color="auto" w:fill="auto"/>
          </w:tcPr>
          <w:p w14:paraId="430B5DB6" w14:textId="77777777" w:rsidR="004C58CC" w:rsidRPr="00A10D67" w:rsidRDefault="004C58CC" w:rsidP="00432709">
            <w:pPr>
              <w:jc w:val="both"/>
              <w:rPr>
                <w:rFonts w:eastAsia="Calibri"/>
                <w:sz w:val="22"/>
                <w:szCs w:val="22"/>
                <w:lang w:val="sr-Latn-ME"/>
              </w:rPr>
            </w:pPr>
            <w:r w:rsidRPr="00A10D67">
              <w:rPr>
                <w:rFonts w:eastAsia="Calibri"/>
                <w:sz w:val="22"/>
                <w:szCs w:val="22"/>
                <w:lang w:val="sr-Latn-ME"/>
              </w:rPr>
              <w:t>6</w:t>
            </w:r>
          </w:p>
        </w:tc>
        <w:tc>
          <w:tcPr>
            <w:tcW w:w="692" w:type="pct"/>
            <w:shd w:val="clear" w:color="auto" w:fill="auto"/>
          </w:tcPr>
          <w:p w14:paraId="2616E2AA" w14:textId="77777777" w:rsidR="004C58CC" w:rsidRPr="00A10D67" w:rsidRDefault="004C58CC" w:rsidP="00432709">
            <w:pPr>
              <w:jc w:val="both"/>
              <w:rPr>
                <w:rFonts w:eastAsia="Calibri"/>
                <w:sz w:val="22"/>
                <w:szCs w:val="22"/>
                <w:lang w:val="sr-Latn-ME"/>
              </w:rPr>
            </w:pPr>
            <w:r w:rsidRPr="00A10D67">
              <w:rPr>
                <w:rFonts w:eastAsia="Calibri"/>
                <w:sz w:val="22"/>
                <w:szCs w:val="22"/>
                <w:lang w:val="sr-Latn-ME"/>
              </w:rPr>
              <w:t>36.6</w:t>
            </w:r>
          </w:p>
        </w:tc>
        <w:tc>
          <w:tcPr>
            <w:tcW w:w="519" w:type="pct"/>
            <w:shd w:val="clear" w:color="auto" w:fill="auto"/>
          </w:tcPr>
          <w:p w14:paraId="57025B8A" w14:textId="77777777" w:rsidR="004C58CC" w:rsidRPr="00A10D67" w:rsidRDefault="004C58CC">
            <w:pPr>
              <w:jc w:val="both"/>
              <w:rPr>
                <w:rFonts w:eastAsia="Calibri"/>
                <w:sz w:val="22"/>
                <w:szCs w:val="22"/>
                <w:lang w:val="sr-Latn-ME"/>
              </w:rPr>
            </w:pPr>
            <w:r w:rsidRPr="00A10D67">
              <w:rPr>
                <w:rFonts w:eastAsia="Calibri"/>
                <w:sz w:val="22"/>
                <w:szCs w:val="22"/>
                <w:lang w:val="sr-Latn-ME"/>
              </w:rPr>
              <w:t>8</w:t>
            </w:r>
          </w:p>
        </w:tc>
        <w:tc>
          <w:tcPr>
            <w:tcW w:w="953" w:type="pct"/>
            <w:shd w:val="clear" w:color="auto" w:fill="auto"/>
          </w:tcPr>
          <w:p w14:paraId="107E976D" w14:textId="77777777" w:rsidR="004C58CC" w:rsidRPr="00A10D67" w:rsidRDefault="004C58CC">
            <w:pPr>
              <w:jc w:val="both"/>
              <w:rPr>
                <w:rFonts w:eastAsia="Calibri"/>
                <w:sz w:val="22"/>
                <w:szCs w:val="22"/>
                <w:lang w:val="sr-Latn-ME"/>
              </w:rPr>
            </w:pPr>
            <w:r w:rsidRPr="00A10D67">
              <w:rPr>
                <w:rFonts w:eastAsia="Calibri"/>
                <w:sz w:val="22"/>
                <w:szCs w:val="22"/>
                <w:lang w:val="sr-Latn-ME"/>
              </w:rPr>
              <w:t>555±364</w:t>
            </w:r>
          </w:p>
        </w:tc>
        <w:tc>
          <w:tcPr>
            <w:tcW w:w="865" w:type="pct"/>
            <w:shd w:val="clear" w:color="auto" w:fill="auto"/>
          </w:tcPr>
          <w:p w14:paraId="6383DF5A" w14:textId="77777777" w:rsidR="004C58CC" w:rsidRPr="00A10D67" w:rsidRDefault="004C58CC">
            <w:pPr>
              <w:jc w:val="both"/>
              <w:rPr>
                <w:rFonts w:eastAsia="Calibri"/>
                <w:sz w:val="22"/>
                <w:szCs w:val="22"/>
                <w:lang w:val="sr-Latn-ME"/>
              </w:rPr>
            </w:pPr>
            <w:r w:rsidRPr="00A10D67">
              <w:rPr>
                <w:rFonts w:eastAsia="Calibri"/>
                <w:sz w:val="22"/>
                <w:szCs w:val="22"/>
                <w:lang w:val="sr-Latn-ME"/>
              </w:rPr>
              <w:t>11,8±1,9</w:t>
            </w:r>
          </w:p>
        </w:tc>
      </w:tr>
      <w:tr w:rsidR="004C58CC" w:rsidRPr="006F57B4" w14:paraId="652BAF1C" w14:textId="77777777" w:rsidTr="007476CA">
        <w:trPr>
          <w:jc w:val="center"/>
        </w:trPr>
        <w:tc>
          <w:tcPr>
            <w:tcW w:w="1538" w:type="pct"/>
            <w:shd w:val="clear" w:color="auto" w:fill="auto"/>
          </w:tcPr>
          <w:p w14:paraId="3D9D97AE" w14:textId="25D1A9D2" w:rsidR="004C58CC" w:rsidRPr="00A10D67" w:rsidRDefault="004C58CC">
            <w:pPr>
              <w:jc w:val="both"/>
              <w:rPr>
                <w:rFonts w:eastAsia="Calibri"/>
                <w:sz w:val="22"/>
                <w:szCs w:val="22"/>
                <w:lang w:val="sr-Latn-ME"/>
              </w:rPr>
            </w:pPr>
            <w:r w:rsidRPr="00A10D67">
              <w:rPr>
                <w:rFonts w:eastAsia="Calibri"/>
                <w:sz w:val="22"/>
                <w:szCs w:val="22"/>
                <w:lang w:val="sr-Latn-ME"/>
              </w:rPr>
              <w:t xml:space="preserve">5 - 30 </w:t>
            </w:r>
            <w:r w:rsidR="005A11DF" w:rsidRPr="00A10D67">
              <w:rPr>
                <w:rFonts w:eastAsia="Calibri"/>
                <w:sz w:val="22"/>
                <w:szCs w:val="22"/>
                <w:lang w:val="sr-Latn-ME"/>
              </w:rPr>
              <w:t>m</w:t>
            </w:r>
            <w:r w:rsidR="005A11DF">
              <w:rPr>
                <w:rFonts w:eastAsia="Calibri"/>
                <w:sz w:val="22"/>
                <w:szCs w:val="22"/>
                <w:lang w:val="sr-Latn-ME"/>
              </w:rPr>
              <w:t>L</w:t>
            </w:r>
            <w:r w:rsidRPr="00A10D67">
              <w:rPr>
                <w:rFonts w:eastAsia="Calibri"/>
                <w:sz w:val="22"/>
                <w:szCs w:val="22"/>
                <w:lang w:val="sr-Latn-ME"/>
              </w:rPr>
              <w:t>/min</w:t>
            </w:r>
          </w:p>
        </w:tc>
        <w:tc>
          <w:tcPr>
            <w:tcW w:w="433" w:type="pct"/>
            <w:shd w:val="clear" w:color="auto" w:fill="auto"/>
          </w:tcPr>
          <w:p w14:paraId="61D0CB32" w14:textId="77777777" w:rsidR="004C58CC" w:rsidRPr="00A10D67" w:rsidRDefault="004C58CC" w:rsidP="00432709">
            <w:pPr>
              <w:jc w:val="both"/>
              <w:rPr>
                <w:rFonts w:eastAsia="Calibri"/>
                <w:sz w:val="22"/>
                <w:szCs w:val="22"/>
                <w:lang w:val="sr-Latn-ME"/>
              </w:rPr>
            </w:pPr>
            <w:r w:rsidRPr="00A10D67">
              <w:rPr>
                <w:rFonts w:eastAsia="Calibri"/>
                <w:sz w:val="22"/>
                <w:szCs w:val="22"/>
                <w:lang w:val="sr-Latn-ME"/>
              </w:rPr>
              <w:t>6</w:t>
            </w:r>
          </w:p>
        </w:tc>
        <w:tc>
          <w:tcPr>
            <w:tcW w:w="692" w:type="pct"/>
            <w:shd w:val="clear" w:color="auto" w:fill="auto"/>
          </w:tcPr>
          <w:p w14:paraId="221026F7" w14:textId="77777777" w:rsidR="004C58CC" w:rsidRPr="00A10D67" w:rsidRDefault="004C58CC" w:rsidP="00432709">
            <w:pPr>
              <w:jc w:val="both"/>
              <w:rPr>
                <w:rFonts w:eastAsia="Calibri"/>
                <w:sz w:val="22"/>
                <w:szCs w:val="22"/>
                <w:lang w:val="sr-Latn-ME"/>
              </w:rPr>
            </w:pPr>
            <w:r w:rsidRPr="00A10D67">
              <w:rPr>
                <w:rFonts w:eastAsia="Calibri"/>
                <w:sz w:val="22"/>
                <w:szCs w:val="22"/>
                <w:lang w:val="sr-Latn-ME"/>
              </w:rPr>
              <w:t>106.7</w:t>
            </w:r>
          </w:p>
        </w:tc>
        <w:tc>
          <w:tcPr>
            <w:tcW w:w="519" w:type="pct"/>
            <w:shd w:val="clear" w:color="auto" w:fill="auto"/>
          </w:tcPr>
          <w:p w14:paraId="60B3977D" w14:textId="77777777" w:rsidR="004C58CC" w:rsidRPr="00A10D67" w:rsidRDefault="004C58CC">
            <w:pPr>
              <w:jc w:val="both"/>
              <w:rPr>
                <w:rFonts w:eastAsia="Calibri"/>
                <w:sz w:val="22"/>
                <w:szCs w:val="22"/>
                <w:lang w:val="sr-Latn-ME"/>
              </w:rPr>
            </w:pPr>
            <w:r w:rsidRPr="00A10D67">
              <w:rPr>
                <w:rFonts w:eastAsia="Calibri"/>
                <w:sz w:val="22"/>
                <w:szCs w:val="22"/>
                <w:lang w:val="sr-Latn-ME"/>
              </w:rPr>
              <w:t>8</w:t>
            </w:r>
          </w:p>
        </w:tc>
        <w:tc>
          <w:tcPr>
            <w:tcW w:w="953" w:type="pct"/>
            <w:shd w:val="clear" w:color="auto" w:fill="auto"/>
          </w:tcPr>
          <w:p w14:paraId="64C7745E" w14:textId="77777777" w:rsidR="004C58CC" w:rsidRPr="00A10D67" w:rsidRDefault="004C58CC">
            <w:pPr>
              <w:jc w:val="both"/>
              <w:rPr>
                <w:rFonts w:eastAsia="Calibri"/>
                <w:sz w:val="22"/>
                <w:szCs w:val="22"/>
                <w:lang w:val="sr-Latn-ME"/>
              </w:rPr>
            </w:pPr>
            <w:r w:rsidRPr="00A10D67">
              <w:rPr>
                <w:rFonts w:eastAsia="Calibri"/>
                <w:sz w:val="22"/>
                <w:szCs w:val="22"/>
                <w:lang w:val="sr-Latn-ME"/>
              </w:rPr>
              <w:t>2228±938</w:t>
            </w:r>
          </w:p>
        </w:tc>
        <w:tc>
          <w:tcPr>
            <w:tcW w:w="865" w:type="pct"/>
            <w:shd w:val="clear" w:color="auto" w:fill="auto"/>
          </w:tcPr>
          <w:p w14:paraId="52C831CF" w14:textId="77777777" w:rsidR="004C58CC" w:rsidRPr="00A10D67" w:rsidRDefault="004C58CC">
            <w:pPr>
              <w:jc w:val="both"/>
              <w:rPr>
                <w:rFonts w:eastAsia="Calibri"/>
                <w:sz w:val="22"/>
                <w:szCs w:val="22"/>
                <w:lang w:val="sr-Latn-ME"/>
              </w:rPr>
            </w:pPr>
            <w:r w:rsidRPr="00A10D67">
              <w:rPr>
                <w:rFonts w:eastAsia="Calibri"/>
                <w:sz w:val="22"/>
                <w:szCs w:val="22"/>
                <w:lang w:val="sr-Latn-ME"/>
              </w:rPr>
              <w:t>19,5±5,2</w:t>
            </w:r>
          </w:p>
        </w:tc>
      </w:tr>
    </w:tbl>
    <w:p w14:paraId="26063086" w14:textId="77777777" w:rsidR="004C58CC" w:rsidRPr="00A10D67" w:rsidRDefault="004C58CC" w:rsidP="00432709">
      <w:pPr>
        <w:jc w:val="both"/>
        <w:rPr>
          <w:sz w:val="22"/>
          <w:szCs w:val="22"/>
          <w:lang w:val="sr-Latn-ME"/>
        </w:rPr>
      </w:pPr>
    </w:p>
    <w:p w14:paraId="6A644367" w14:textId="7F319F3E" w:rsidR="004C58CC" w:rsidRPr="00A10D67" w:rsidRDefault="004C58CC" w:rsidP="00432709">
      <w:pPr>
        <w:jc w:val="both"/>
        <w:rPr>
          <w:sz w:val="22"/>
          <w:szCs w:val="22"/>
          <w:lang w:val="sr-Latn-ME"/>
        </w:rPr>
      </w:pPr>
      <w:r w:rsidRPr="00A10D67">
        <w:rPr>
          <w:sz w:val="22"/>
          <w:szCs w:val="22"/>
          <w:lang w:val="sr-Latn-ME"/>
        </w:rPr>
        <w:t xml:space="preserve">Ukoliko je klirens kreatinina 30-80 </w:t>
      </w:r>
      <w:r w:rsidR="005A11DF" w:rsidRPr="00A10D67">
        <w:rPr>
          <w:sz w:val="22"/>
          <w:szCs w:val="22"/>
          <w:lang w:val="sr-Latn-ME"/>
        </w:rPr>
        <w:t>m</w:t>
      </w:r>
      <w:r w:rsidR="005A11DF">
        <w:rPr>
          <w:sz w:val="22"/>
          <w:szCs w:val="22"/>
          <w:lang w:val="sr-Latn-ME"/>
        </w:rPr>
        <w:t>L</w:t>
      </w:r>
      <w:r w:rsidRPr="00A10D67">
        <w:rPr>
          <w:sz w:val="22"/>
          <w:szCs w:val="22"/>
          <w:lang w:val="sr-Latn-ME"/>
        </w:rPr>
        <w:t>/min, srednja vr</w:t>
      </w:r>
      <w:r w:rsidR="00356374">
        <w:rPr>
          <w:sz w:val="22"/>
          <w:szCs w:val="22"/>
          <w:lang w:val="sr-Latn-ME"/>
        </w:rPr>
        <w:t>ij</w:t>
      </w:r>
      <w:r w:rsidRPr="00A10D67">
        <w:rPr>
          <w:sz w:val="22"/>
          <w:szCs w:val="22"/>
          <w:lang w:val="sr-Latn-ME"/>
        </w:rPr>
        <w:t xml:space="preserve">ednost površine ispod krive (PIK) povećava se za samo 13%, dok se vrednost PIK povećava 4-5 puta ukoliko je klirens kreatinina 5-30 </w:t>
      </w:r>
      <w:r w:rsidR="005A11DF" w:rsidRPr="00A10D67">
        <w:rPr>
          <w:sz w:val="22"/>
          <w:szCs w:val="22"/>
          <w:lang w:val="sr-Latn-ME"/>
        </w:rPr>
        <w:t>m</w:t>
      </w:r>
      <w:r w:rsidR="005A11DF">
        <w:rPr>
          <w:sz w:val="22"/>
          <w:szCs w:val="22"/>
          <w:lang w:val="sr-Latn-ME"/>
        </w:rPr>
        <w:t>L</w:t>
      </w:r>
      <w:r w:rsidRPr="00A10D67">
        <w:rPr>
          <w:sz w:val="22"/>
          <w:szCs w:val="22"/>
          <w:lang w:val="sr-Latn-ME"/>
        </w:rPr>
        <w:t>/min.</w:t>
      </w:r>
    </w:p>
    <w:p w14:paraId="680D778B" w14:textId="5F8E4D3C" w:rsidR="004C58CC" w:rsidRPr="00A10D67" w:rsidRDefault="004C58CC" w:rsidP="00432709">
      <w:pPr>
        <w:jc w:val="both"/>
        <w:rPr>
          <w:sz w:val="22"/>
          <w:szCs w:val="22"/>
          <w:lang w:val="sr-Latn-ME"/>
        </w:rPr>
      </w:pPr>
      <w:r w:rsidRPr="00A10D67">
        <w:rPr>
          <w:sz w:val="22"/>
          <w:szCs w:val="22"/>
          <w:lang w:val="sr-Latn-ME"/>
        </w:rPr>
        <w:t xml:space="preserve">Lizinopril se iz organizma može ukloniti dijalizom. Za četiri sata hemodijalize koncentracija lizinoprila u krvi smanjuje se za 60%, pri klirensu dijalize između 40 i 55 </w:t>
      </w:r>
      <w:r w:rsidR="005A11DF" w:rsidRPr="00A10D67">
        <w:rPr>
          <w:sz w:val="22"/>
          <w:szCs w:val="22"/>
          <w:lang w:val="sr-Latn-ME"/>
        </w:rPr>
        <w:t>m</w:t>
      </w:r>
      <w:r w:rsidR="005A11DF">
        <w:rPr>
          <w:sz w:val="22"/>
          <w:szCs w:val="22"/>
          <w:lang w:val="sr-Latn-ME"/>
        </w:rPr>
        <w:t>L</w:t>
      </w:r>
      <w:r w:rsidRPr="00A10D67">
        <w:rPr>
          <w:sz w:val="22"/>
          <w:szCs w:val="22"/>
          <w:lang w:val="sr-Latn-ME"/>
        </w:rPr>
        <w:t>/min.</w:t>
      </w:r>
    </w:p>
    <w:p w14:paraId="452F11D2" w14:textId="77777777" w:rsidR="004C58CC" w:rsidRPr="00A10D67" w:rsidRDefault="004C58CC">
      <w:pPr>
        <w:jc w:val="both"/>
        <w:rPr>
          <w:sz w:val="22"/>
          <w:szCs w:val="22"/>
          <w:lang w:val="sr-Latn-ME"/>
        </w:rPr>
      </w:pPr>
    </w:p>
    <w:p w14:paraId="498153DA" w14:textId="48246D02" w:rsidR="00E81F5A" w:rsidRPr="00A10D67" w:rsidRDefault="004C58CC">
      <w:pPr>
        <w:jc w:val="both"/>
        <w:rPr>
          <w:sz w:val="22"/>
          <w:szCs w:val="22"/>
          <w:u w:val="single"/>
          <w:lang w:val="sr-Latn-ME"/>
        </w:rPr>
      </w:pPr>
      <w:r w:rsidRPr="00A10D67">
        <w:rPr>
          <w:sz w:val="22"/>
          <w:szCs w:val="22"/>
          <w:u w:val="single"/>
          <w:lang w:val="sr-Latn-ME"/>
        </w:rPr>
        <w:t>Insuficijencija srca</w:t>
      </w:r>
    </w:p>
    <w:p w14:paraId="3826F489" w14:textId="77777777" w:rsidR="004C58CC" w:rsidRPr="00A10D67" w:rsidRDefault="004C58CC">
      <w:pPr>
        <w:jc w:val="both"/>
        <w:rPr>
          <w:sz w:val="22"/>
          <w:szCs w:val="22"/>
          <w:lang w:val="sr-Latn-ME"/>
        </w:rPr>
      </w:pPr>
      <w:r w:rsidRPr="00A10D67">
        <w:rPr>
          <w:sz w:val="22"/>
          <w:szCs w:val="22"/>
          <w:lang w:val="sr-Latn-ME"/>
        </w:rPr>
        <w:t>Pacijenti sa srčanom insuficijencijom imaju veću izloženost lizinoprilu u poređenju sa zdravim</w:t>
      </w:r>
    </w:p>
    <w:p w14:paraId="017AAB97" w14:textId="461B6B9C" w:rsidR="00E81F5A" w:rsidRPr="00A10D67" w:rsidRDefault="004C58CC">
      <w:pPr>
        <w:jc w:val="both"/>
        <w:rPr>
          <w:sz w:val="22"/>
          <w:szCs w:val="22"/>
          <w:lang w:val="sr-Latn-ME"/>
        </w:rPr>
      </w:pPr>
      <w:r w:rsidRPr="00A10D67">
        <w:rPr>
          <w:sz w:val="22"/>
          <w:szCs w:val="22"/>
          <w:lang w:val="sr-Latn-ME"/>
        </w:rPr>
        <w:t xml:space="preserve">ispitanicima (vrijednost PIK-a se povećava prosječno za 125%), ali na osnovu </w:t>
      </w:r>
      <w:r w:rsidRPr="00A10D67">
        <w:rPr>
          <w:i/>
          <w:iCs/>
          <w:sz w:val="22"/>
          <w:szCs w:val="22"/>
          <w:lang w:val="sr-Latn-ME"/>
        </w:rPr>
        <w:t>recovery</w:t>
      </w:r>
      <w:r w:rsidRPr="00A10D67">
        <w:rPr>
          <w:sz w:val="22"/>
          <w:szCs w:val="22"/>
          <w:lang w:val="sr-Latn-ME"/>
        </w:rPr>
        <w:t xml:space="preserve"> vrijednosti lizinoprila u urinu, resorpcija se smanjuje za oko 16% u poređenju sa zdravim ispitanicima.</w:t>
      </w:r>
    </w:p>
    <w:p w14:paraId="6657030D" w14:textId="77777777" w:rsidR="004C58CC" w:rsidRPr="00A10D67" w:rsidRDefault="004C58CC">
      <w:pPr>
        <w:jc w:val="both"/>
        <w:rPr>
          <w:sz w:val="22"/>
          <w:szCs w:val="22"/>
          <w:u w:val="single"/>
          <w:lang w:val="sr-Latn-ME"/>
        </w:rPr>
      </w:pPr>
    </w:p>
    <w:p w14:paraId="4D6DE0E2" w14:textId="4DBBA7F1" w:rsidR="004C58CC" w:rsidRPr="00A10D67" w:rsidRDefault="004C58CC">
      <w:pPr>
        <w:jc w:val="both"/>
        <w:rPr>
          <w:sz w:val="22"/>
          <w:szCs w:val="22"/>
          <w:lang w:val="sr-Latn-ME"/>
        </w:rPr>
      </w:pPr>
      <w:r w:rsidRPr="00A10D67">
        <w:rPr>
          <w:sz w:val="22"/>
          <w:szCs w:val="22"/>
          <w:u w:val="single"/>
          <w:lang w:val="sr-Latn-ME"/>
        </w:rPr>
        <w:t>Stariji pacijenti</w:t>
      </w:r>
    </w:p>
    <w:p w14:paraId="0DCF42EA" w14:textId="4C14EC7F" w:rsidR="004C58CC" w:rsidRPr="00A10D67" w:rsidRDefault="004C58CC" w:rsidP="00A10D67">
      <w:pPr>
        <w:pStyle w:val="Heading2"/>
        <w:jc w:val="both"/>
        <w:rPr>
          <w:sz w:val="22"/>
          <w:szCs w:val="22"/>
          <w:lang w:val="sr-Latn-ME"/>
        </w:rPr>
      </w:pPr>
      <w:r w:rsidRPr="00A10D67">
        <w:rPr>
          <w:rFonts w:ascii="Times New Roman" w:hAnsi="Times New Roman" w:cs="Times New Roman"/>
          <w:i w:val="0"/>
          <w:iCs w:val="0"/>
          <w:color w:val="auto"/>
          <w:sz w:val="22"/>
          <w:szCs w:val="22"/>
          <w:lang w:val="sr-Latn-ME"/>
        </w:rPr>
        <w:t>Stariji pacijenti imaju veće koncentracije lizinoprila u krvi i veće vrijednosti PIK (povećane za približno</w:t>
      </w:r>
    </w:p>
    <w:p w14:paraId="3B913630" w14:textId="3991A361" w:rsidR="005B52F1" w:rsidRPr="00A10D67" w:rsidRDefault="004C58CC" w:rsidP="00A10D67">
      <w:pPr>
        <w:pStyle w:val="Heading2"/>
        <w:jc w:val="both"/>
        <w:rPr>
          <w:i w:val="0"/>
          <w:sz w:val="22"/>
          <w:szCs w:val="22"/>
          <w:lang w:val="sr-Latn-ME"/>
        </w:rPr>
      </w:pPr>
      <w:r w:rsidRPr="00A10D67">
        <w:rPr>
          <w:sz w:val="22"/>
          <w:szCs w:val="22"/>
          <w:lang w:val="sr-Latn-ME"/>
        </w:rPr>
        <w:t>60%) u odnosu na mlađe pacijente.</w:t>
      </w:r>
    </w:p>
    <w:p w14:paraId="0D6AC30D" w14:textId="77777777" w:rsidR="00356374" w:rsidRPr="00A10D67" w:rsidRDefault="00356374" w:rsidP="00A10D67">
      <w:pPr>
        <w:jc w:val="both"/>
        <w:rPr>
          <w:sz w:val="22"/>
          <w:szCs w:val="22"/>
          <w:lang w:val="sr-Latn-ME"/>
        </w:rPr>
      </w:pPr>
    </w:p>
    <w:p w14:paraId="579ACA06" w14:textId="4E50D0E5" w:rsidR="00E81F5A" w:rsidRPr="00A10D67" w:rsidRDefault="00E81F5A" w:rsidP="00A10D67">
      <w:pPr>
        <w:jc w:val="both"/>
        <w:rPr>
          <w:b/>
          <w:i/>
          <w:sz w:val="22"/>
          <w:szCs w:val="22"/>
          <w:lang w:val="sr-Latn-ME"/>
        </w:rPr>
      </w:pPr>
      <w:r w:rsidRPr="00A10D67">
        <w:rPr>
          <w:b/>
          <w:i/>
          <w:sz w:val="22"/>
          <w:szCs w:val="22"/>
          <w:lang w:val="sr-Latn-ME"/>
        </w:rPr>
        <w:t>Hidrohlortiazid</w:t>
      </w:r>
    </w:p>
    <w:p w14:paraId="6845210B" w14:textId="77777777" w:rsidR="00E81F5A" w:rsidRPr="00A10D67" w:rsidRDefault="00E81F5A">
      <w:pPr>
        <w:spacing w:before="120"/>
        <w:jc w:val="both"/>
        <w:rPr>
          <w:sz w:val="22"/>
          <w:szCs w:val="22"/>
          <w:lang w:val="sr-Latn-ME"/>
        </w:rPr>
      </w:pPr>
      <w:r w:rsidRPr="00A10D67">
        <w:rPr>
          <w:sz w:val="22"/>
          <w:szCs w:val="22"/>
          <w:lang w:val="sr-Latn-ME"/>
        </w:rPr>
        <w:t xml:space="preserve">Praćenjem koncentracije lijeka u plazmi tokom najmanje 24 sata uočeno je da poluvrijeme eliminacije lijeka varira između 5,6 i 14,8 sati. </w:t>
      </w:r>
    </w:p>
    <w:p w14:paraId="3F11A42C" w14:textId="23358433" w:rsidR="00E81F5A" w:rsidRPr="00A10D67" w:rsidRDefault="00E81F5A">
      <w:pPr>
        <w:spacing w:before="120"/>
        <w:jc w:val="both"/>
        <w:rPr>
          <w:sz w:val="22"/>
          <w:szCs w:val="22"/>
          <w:lang w:val="sr-Latn-ME"/>
        </w:rPr>
      </w:pPr>
      <w:r w:rsidRPr="00A10D67">
        <w:rPr>
          <w:sz w:val="22"/>
          <w:szCs w:val="22"/>
          <w:lang w:val="sr-Latn-ME"/>
        </w:rPr>
        <w:t>Najmanje 61% oralno primijenjene doze izluči se u nepromijenjenom obliku u roku od</w:t>
      </w:r>
      <w:r w:rsidR="00432709" w:rsidRPr="00A10D67">
        <w:rPr>
          <w:sz w:val="22"/>
          <w:szCs w:val="22"/>
          <w:lang w:val="sr-Latn-ME"/>
        </w:rPr>
        <w:t xml:space="preserve"> </w:t>
      </w:r>
      <w:r w:rsidRPr="00A10D67">
        <w:rPr>
          <w:sz w:val="22"/>
          <w:szCs w:val="22"/>
          <w:lang w:val="sr-Latn-ME"/>
        </w:rPr>
        <w:t xml:space="preserve">24 sata. </w:t>
      </w:r>
      <w:r w:rsidR="004C58CC" w:rsidRPr="00A10D67">
        <w:rPr>
          <w:sz w:val="22"/>
          <w:szCs w:val="22"/>
          <w:lang w:val="sr-Latn-ME"/>
        </w:rPr>
        <w:t>Nakon oralne prim</w:t>
      </w:r>
      <w:r w:rsidR="005B52F1" w:rsidRPr="00A10D67">
        <w:rPr>
          <w:sz w:val="22"/>
          <w:szCs w:val="22"/>
          <w:lang w:val="sr-Latn-ME"/>
        </w:rPr>
        <w:t>j</w:t>
      </w:r>
      <w:r w:rsidR="004C58CC" w:rsidRPr="00A10D67">
        <w:rPr>
          <w:sz w:val="22"/>
          <w:szCs w:val="22"/>
          <w:lang w:val="sr-Latn-ME"/>
        </w:rPr>
        <w:t>ene hidrohlortiazida, diureza počinje za 2 sata, maksimum se postiže za 4 sata i traje 6 do 12 sati.</w:t>
      </w:r>
    </w:p>
    <w:p w14:paraId="392CE724" w14:textId="22D40B85" w:rsidR="0072020E" w:rsidRPr="00A10D67" w:rsidRDefault="00E81F5A">
      <w:pPr>
        <w:tabs>
          <w:tab w:val="left" w:pos="540"/>
          <w:tab w:val="left" w:pos="569"/>
        </w:tabs>
        <w:jc w:val="both"/>
        <w:rPr>
          <w:sz w:val="22"/>
          <w:szCs w:val="22"/>
          <w:lang w:val="sr-Latn-ME"/>
        </w:rPr>
      </w:pPr>
      <w:r w:rsidRPr="00A10D67">
        <w:rPr>
          <w:sz w:val="22"/>
          <w:szCs w:val="22"/>
          <w:lang w:val="sr-Latn-ME"/>
        </w:rPr>
        <w:lastRenderedPageBreak/>
        <w:t>Hidrohlortiazid prolazi kroz placentu, ali ne i kroz krvno-moždanu barijeru.</w:t>
      </w:r>
    </w:p>
    <w:p w14:paraId="39240121" w14:textId="77777777" w:rsidR="00E81F5A" w:rsidRPr="00A10D67" w:rsidRDefault="00E81F5A">
      <w:pPr>
        <w:tabs>
          <w:tab w:val="left" w:pos="540"/>
          <w:tab w:val="left" w:pos="569"/>
        </w:tabs>
        <w:jc w:val="both"/>
        <w:rPr>
          <w:bCs/>
          <w:sz w:val="22"/>
          <w:szCs w:val="22"/>
          <w:lang w:val="sr-Latn-ME"/>
        </w:rPr>
      </w:pPr>
    </w:p>
    <w:p w14:paraId="0AAC10BF" w14:textId="77777777" w:rsidR="0072020E" w:rsidRPr="00A10D67" w:rsidRDefault="0072020E">
      <w:pPr>
        <w:tabs>
          <w:tab w:val="left" w:pos="540"/>
          <w:tab w:val="left" w:pos="569"/>
        </w:tabs>
        <w:jc w:val="both"/>
        <w:rPr>
          <w:b/>
          <w:bCs/>
          <w:sz w:val="22"/>
          <w:szCs w:val="22"/>
          <w:lang w:val="sr-Latn-ME"/>
        </w:rPr>
      </w:pPr>
      <w:r w:rsidRPr="00A10D67">
        <w:rPr>
          <w:b/>
          <w:bCs/>
          <w:sz w:val="22"/>
          <w:szCs w:val="22"/>
          <w:lang w:val="sr-Latn-ME"/>
        </w:rPr>
        <w:t xml:space="preserve">5.3. </w:t>
      </w:r>
      <w:r w:rsidR="00480FB1" w:rsidRPr="00A10D67">
        <w:rPr>
          <w:b/>
          <w:bCs/>
          <w:sz w:val="22"/>
          <w:szCs w:val="22"/>
          <w:lang w:val="sr-Latn-ME"/>
        </w:rPr>
        <w:tab/>
      </w:r>
      <w:r w:rsidRPr="00A10D67">
        <w:rPr>
          <w:b/>
          <w:bCs/>
          <w:sz w:val="22"/>
          <w:szCs w:val="22"/>
          <w:lang w:val="sr-Latn-ME"/>
        </w:rPr>
        <w:t xml:space="preserve">Pretklinički podaci o bezbjednosti </w:t>
      </w:r>
    </w:p>
    <w:p w14:paraId="060B1980" w14:textId="77777777" w:rsidR="00836B35" w:rsidRPr="00A10D67" w:rsidRDefault="00836B35">
      <w:pPr>
        <w:tabs>
          <w:tab w:val="left" w:pos="540"/>
          <w:tab w:val="left" w:pos="569"/>
        </w:tabs>
        <w:jc w:val="both"/>
        <w:rPr>
          <w:bCs/>
          <w:sz w:val="22"/>
          <w:szCs w:val="22"/>
          <w:lang w:val="sr-Latn-ME"/>
        </w:rPr>
      </w:pPr>
    </w:p>
    <w:p w14:paraId="72DDFA1F" w14:textId="571D68B3" w:rsidR="00396DFD" w:rsidRPr="00A10D67" w:rsidRDefault="00E81F5A">
      <w:pPr>
        <w:tabs>
          <w:tab w:val="left" w:pos="540"/>
          <w:tab w:val="left" w:pos="569"/>
        </w:tabs>
        <w:jc w:val="both"/>
        <w:rPr>
          <w:sz w:val="22"/>
          <w:szCs w:val="22"/>
          <w:lang w:val="sr-Latn-ME"/>
        </w:rPr>
      </w:pPr>
      <w:r w:rsidRPr="00A10D67">
        <w:rPr>
          <w:sz w:val="22"/>
          <w:szCs w:val="22"/>
          <w:lang w:val="sr-Latn-ME"/>
        </w:rPr>
        <w:t>Za oba lijeka, lizinopril i hidrohlortiazid, postoji veliko kliničko iskustvo, kako za primjenu svakog lijeka ponaosob, tako i za primjenu kombinacije. Svi relevantni podaci značajni za propisivača navedeni su u odgovarajućim poglavljima Sažetka karakteristika lijeka.</w:t>
      </w:r>
      <w:r w:rsidR="00432709" w:rsidRPr="00A10D67">
        <w:rPr>
          <w:sz w:val="22"/>
          <w:szCs w:val="22"/>
          <w:lang w:val="sr-Latn-ME"/>
        </w:rPr>
        <w:t xml:space="preserve"> </w:t>
      </w:r>
    </w:p>
    <w:p w14:paraId="2A7C6F92" w14:textId="44492E34" w:rsidR="00E81F5A" w:rsidRDefault="00E81F5A">
      <w:pPr>
        <w:tabs>
          <w:tab w:val="left" w:pos="540"/>
          <w:tab w:val="left" w:pos="569"/>
        </w:tabs>
        <w:jc w:val="both"/>
        <w:rPr>
          <w:b/>
          <w:bCs/>
          <w:sz w:val="22"/>
          <w:szCs w:val="22"/>
          <w:lang w:val="sr-Latn-ME"/>
        </w:rPr>
      </w:pPr>
    </w:p>
    <w:p w14:paraId="467E618C" w14:textId="77777777" w:rsidR="00356374" w:rsidRPr="00A10D67" w:rsidRDefault="00356374">
      <w:pPr>
        <w:tabs>
          <w:tab w:val="left" w:pos="540"/>
          <w:tab w:val="left" w:pos="569"/>
        </w:tabs>
        <w:jc w:val="both"/>
        <w:rPr>
          <w:b/>
          <w:bCs/>
          <w:sz w:val="22"/>
          <w:szCs w:val="22"/>
          <w:lang w:val="sr-Latn-ME"/>
        </w:rPr>
      </w:pPr>
    </w:p>
    <w:p w14:paraId="48D1610F"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6. </w:t>
      </w:r>
      <w:r w:rsidR="00480FB1" w:rsidRPr="00A10D67">
        <w:rPr>
          <w:b/>
          <w:bCs/>
          <w:sz w:val="22"/>
          <w:szCs w:val="22"/>
          <w:lang w:val="sr-Latn-ME"/>
        </w:rPr>
        <w:tab/>
      </w:r>
      <w:r w:rsidRPr="00A10D67">
        <w:rPr>
          <w:b/>
          <w:bCs/>
          <w:sz w:val="22"/>
          <w:szCs w:val="22"/>
          <w:lang w:val="sr-Latn-ME"/>
        </w:rPr>
        <w:t>FARMACEUTSKI PODACI</w:t>
      </w:r>
    </w:p>
    <w:p w14:paraId="23856893" w14:textId="77777777" w:rsidR="00836B35" w:rsidRPr="00A10D67" w:rsidRDefault="00836B35" w:rsidP="00757BEE">
      <w:pPr>
        <w:tabs>
          <w:tab w:val="left" w:pos="540"/>
          <w:tab w:val="left" w:pos="569"/>
        </w:tabs>
        <w:jc w:val="both"/>
        <w:rPr>
          <w:bCs/>
          <w:sz w:val="22"/>
          <w:szCs w:val="22"/>
          <w:lang w:val="sr-Latn-ME"/>
        </w:rPr>
      </w:pPr>
    </w:p>
    <w:p w14:paraId="50098700"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6.1. </w:t>
      </w:r>
      <w:r w:rsidR="00480FB1" w:rsidRPr="00A10D67">
        <w:rPr>
          <w:b/>
          <w:bCs/>
          <w:sz w:val="22"/>
          <w:szCs w:val="22"/>
          <w:lang w:val="sr-Latn-ME"/>
        </w:rPr>
        <w:tab/>
      </w:r>
      <w:r w:rsidRPr="00A10D67">
        <w:rPr>
          <w:b/>
          <w:bCs/>
          <w:sz w:val="22"/>
          <w:szCs w:val="22"/>
          <w:lang w:val="sr-Latn-ME"/>
        </w:rPr>
        <w:t>Lista pomoćnih supstanci</w:t>
      </w:r>
      <w:r w:rsidR="002E0135" w:rsidRPr="00A10D67">
        <w:rPr>
          <w:b/>
          <w:bCs/>
          <w:sz w:val="22"/>
          <w:szCs w:val="22"/>
          <w:lang w:val="sr-Latn-ME"/>
        </w:rPr>
        <w:t xml:space="preserve"> (ekscipijenasa)</w:t>
      </w:r>
    </w:p>
    <w:p w14:paraId="0B416402" w14:textId="77777777" w:rsidR="00E81F5A" w:rsidRPr="00A10D67" w:rsidRDefault="00E81F5A" w:rsidP="00757BEE">
      <w:pPr>
        <w:tabs>
          <w:tab w:val="left" w:pos="540"/>
          <w:tab w:val="left" w:pos="569"/>
        </w:tabs>
        <w:jc w:val="both"/>
        <w:rPr>
          <w:b/>
          <w:bCs/>
          <w:sz w:val="22"/>
          <w:szCs w:val="22"/>
          <w:lang w:val="sr-Latn-ME"/>
        </w:rPr>
      </w:pPr>
    </w:p>
    <w:p w14:paraId="4641BAAB" w14:textId="3C11718A" w:rsidR="00E81F5A" w:rsidRDefault="00E81F5A" w:rsidP="00757BEE">
      <w:pPr>
        <w:tabs>
          <w:tab w:val="left" w:pos="567"/>
        </w:tabs>
        <w:jc w:val="both"/>
        <w:rPr>
          <w:b/>
          <w:sz w:val="22"/>
          <w:szCs w:val="22"/>
          <w:lang w:val="sr-Latn-ME"/>
        </w:rPr>
      </w:pPr>
      <w:r w:rsidRPr="00A10D67">
        <w:rPr>
          <w:b/>
          <w:sz w:val="22"/>
          <w:szCs w:val="22"/>
          <w:lang w:val="sr-Latn-ME"/>
        </w:rPr>
        <w:t>IRUZID 10</w:t>
      </w:r>
      <w:r w:rsidR="00356374">
        <w:rPr>
          <w:b/>
          <w:sz w:val="22"/>
          <w:szCs w:val="22"/>
          <w:lang w:val="sr-Latn-ME"/>
        </w:rPr>
        <w:t xml:space="preserve"> mg + </w:t>
      </w:r>
      <w:r w:rsidRPr="00A10D67">
        <w:rPr>
          <w:b/>
          <w:sz w:val="22"/>
          <w:szCs w:val="22"/>
          <w:lang w:val="sr-Latn-ME"/>
        </w:rPr>
        <w:t>12,5 mg tablet</w:t>
      </w:r>
      <w:r w:rsidR="00356374">
        <w:rPr>
          <w:b/>
          <w:sz w:val="22"/>
          <w:szCs w:val="22"/>
          <w:lang w:val="sr-Latn-ME"/>
        </w:rPr>
        <w:t>a</w:t>
      </w:r>
      <w:r w:rsidRPr="00A10D67">
        <w:rPr>
          <w:b/>
          <w:sz w:val="22"/>
          <w:szCs w:val="22"/>
          <w:lang w:val="sr-Latn-ME"/>
        </w:rPr>
        <w:t>:</w:t>
      </w:r>
    </w:p>
    <w:p w14:paraId="043D82D8" w14:textId="77777777" w:rsidR="00FD1B91" w:rsidRPr="00A10D67" w:rsidRDefault="00FD1B91" w:rsidP="00757BEE">
      <w:pPr>
        <w:tabs>
          <w:tab w:val="left" w:pos="567"/>
        </w:tabs>
        <w:jc w:val="both"/>
        <w:rPr>
          <w:b/>
          <w:sz w:val="22"/>
          <w:szCs w:val="22"/>
          <w:lang w:val="sr-Latn-ME"/>
        </w:rPr>
      </w:pPr>
    </w:p>
    <w:p w14:paraId="62A31DF1" w14:textId="77777777" w:rsidR="00E81F5A" w:rsidRPr="00A10D67" w:rsidRDefault="00E81F5A" w:rsidP="00757BEE">
      <w:pPr>
        <w:tabs>
          <w:tab w:val="left" w:pos="567"/>
        </w:tabs>
        <w:jc w:val="both"/>
        <w:rPr>
          <w:sz w:val="22"/>
          <w:szCs w:val="22"/>
          <w:lang w:val="sr-Latn-ME"/>
        </w:rPr>
      </w:pPr>
      <w:r w:rsidRPr="00A10D67">
        <w:rPr>
          <w:sz w:val="22"/>
          <w:szCs w:val="22"/>
          <w:lang w:val="sr-Latn-ME"/>
        </w:rPr>
        <w:t xml:space="preserve">manitol (E421), </w:t>
      </w:r>
    </w:p>
    <w:p w14:paraId="26C08F01" w14:textId="2CD2EBF2" w:rsidR="00E81F5A" w:rsidRPr="00A10D67" w:rsidRDefault="00E81F5A" w:rsidP="00757BEE">
      <w:pPr>
        <w:tabs>
          <w:tab w:val="left" w:pos="567"/>
        </w:tabs>
        <w:jc w:val="both"/>
        <w:rPr>
          <w:sz w:val="22"/>
          <w:szCs w:val="22"/>
          <w:lang w:val="sr-Latn-ME"/>
        </w:rPr>
      </w:pPr>
      <w:r w:rsidRPr="00A10D67">
        <w:rPr>
          <w:sz w:val="22"/>
          <w:szCs w:val="22"/>
          <w:lang w:val="sr-Latn-ME"/>
        </w:rPr>
        <w:t>kalcijum hidrogen</w:t>
      </w:r>
      <w:r w:rsidR="00356374">
        <w:rPr>
          <w:sz w:val="22"/>
          <w:szCs w:val="22"/>
          <w:lang w:val="sr-Latn-ME"/>
        </w:rPr>
        <w:t xml:space="preserve"> </w:t>
      </w:r>
      <w:r w:rsidRPr="00A10D67">
        <w:rPr>
          <w:sz w:val="22"/>
          <w:szCs w:val="22"/>
          <w:lang w:val="sr-Latn-ME"/>
        </w:rPr>
        <w:t xml:space="preserve">fosfat, dihidrat, </w:t>
      </w:r>
    </w:p>
    <w:p w14:paraId="443AD4C8" w14:textId="77777777" w:rsidR="00E81F5A" w:rsidRPr="00A10D67" w:rsidRDefault="00E81F5A" w:rsidP="00757BEE">
      <w:pPr>
        <w:tabs>
          <w:tab w:val="left" w:pos="567"/>
        </w:tabs>
        <w:jc w:val="both"/>
        <w:rPr>
          <w:sz w:val="22"/>
          <w:szCs w:val="22"/>
          <w:lang w:val="sr-Latn-ME"/>
        </w:rPr>
      </w:pPr>
      <w:r w:rsidRPr="00A10D67">
        <w:rPr>
          <w:sz w:val="22"/>
          <w:szCs w:val="22"/>
          <w:lang w:val="sr-Latn-ME"/>
        </w:rPr>
        <w:t>skrob, kukuruzni,</w:t>
      </w:r>
    </w:p>
    <w:p w14:paraId="2001D812" w14:textId="45582026" w:rsidR="00E81F5A" w:rsidRPr="00A10D67" w:rsidRDefault="00E81F5A" w:rsidP="00757BEE">
      <w:pPr>
        <w:tabs>
          <w:tab w:val="left" w:pos="567"/>
        </w:tabs>
        <w:jc w:val="both"/>
        <w:rPr>
          <w:sz w:val="22"/>
          <w:szCs w:val="22"/>
          <w:lang w:val="sr-Latn-ME"/>
        </w:rPr>
      </w:pPr>
      <w:r w:rsidRPr="00A10D67">
        <w:rPr>
          <w:sz w:val="22"/>
          <w:szCs w:val="22"/>
          <w:lang w:val="sr-Latn-ME"/>
        </w:rPr>
        <w:t>skrob, preželatinizovan</w:t>
      </w:r>
      <w:r w:rsidR="00356374">
        <w:rPr>
          <w:sz w:val="22"/>
          <w:szCs w:val="22"/>
          <w:lang w:val="sr-Latn-ME"/>
        </w:rPr>
        <w:t>i</w:t>
      </w:r>
      <w:r w:rsidRPr="00A10D67">
        <w:rPr>
          <w:sz w:val="22"/>
          <w:szCs w:val="22"/>
          <w:lang w:val="sr-Latn-ME"/>
        </w:rPr>
        <w:t>,</w:t>
      </w:r>
    </w:p>
    <w:p w14:paraId="01CAF519" w14:textId="0C15F8D8" w:rsidR="00E81F5A" w:rsidRPr="00A10D67" w:rsidRDefault="00E81F5A" w:rsidP="00757BEE">
      <w:pPr>
        <w:tabs>
          <w:tab w:val="left" w:pos="567"/>
        </w:tabs>
        <w:jc w:val="both"/>
        <w:rPr>
          <w:sz w:val="22"/>
          <w:szCs w:val="22"/>
          <w:lang w:val="sr-Latn-ME"/>
        </w:rPr>
      </w:pPr>
      <w:r w:rsidRPr="00A10D67">
        <w:rPr>
          <w:sz w:val="22"/>
          <w:szCs w:val="22"/>
          <w:lang w:val="sr-Latn-ME"/>
        </w:rPr>
        <w:t>magnezijum</w:t>
      </w:r>
      <w:r w:rsidR="005A11DF">
        <w:rPr>
          <w:sz w:val="22"/>
          <w:szCs w:val="22"/>
          <w:lang w:val="sr-Latn-ME"/>
        </w:rPr>
        <w:t>-</w:t>
      </w:r>
      <w:r w:rsidRPr="00A10D67">
        <w:rPr>
          <w:sz w:val="22"/>
          <w:szCs w:val="22"/>
          <w:lang w:val="sr-Latn-ME"/>
        </w:rPr>
        <w:t>stearat,</w:t>
      </w:r>
    </w:p>
    <w:p w14:paraId="4567EA54" w14:textId="6800BF80" w:rsidR="00E81F5A" w:rsidRPr="00A10D67" w:rsidRDefault="00356374" w:rsidP="00A10D67">
      <w:pPr>
        <w:tabs>
          <w:tab w:val="left" w:pos="567"/>
        </w:tabs>
        <w:jc w:val="both"/>
        <w:rPr>
          <w:lang w:val="sr-Latn-ME"/>
        </w:rPr>
      </w:pPr>
      <w:r w:rsidRPr="0047653B">
        <w:rPr>
          <w:sz w:val="22"/>
          <w:szCs w:val="22"/>
          <w:lang w:val="sr-Latn-ME"/>
        </w:rPr>
        <w:t>FD&amp;C Blue No.2 Aluminium Lake</w:t>
      </w:r>
      <w:r w:rsidR="00E81F5A" w:rsidRPr="00A10D67">
        <w:rPr>
          <w:sz w:val="22"/>
          <w:szCs w:val="22"/>
          <w:lang w:val="sr-Latn-ME"/>
        </w:rPr>
        <w:t>.</w:t>
      </w:r>
    </w:p>
    <w:p w14:paraId="3E956B76" w14:textId="77777777" w:rsidR="00E81F5A" w:rsidRPr="00A10D67" w:rsidRDefault="00E81F5A" w:rsidP="00757BEE">
      <w:pPr>
        <w:pStyle w:val="Header"/>
        <w:tabs>
          <w:tab w:val="left" w:pos="284"/>
        </w:tabs>
        <w:jc w:val="both"/>
        <w:rPr>
          <w:b/>
          <w:sz w:val="22"/>
          <w:szCs w:val="22"/>
          <w:lang w:val="sr-Latn-ME"/>
        </w:rPr>
      </w:pPr>
    </w:p>
    <w:p w14:paraId="05486AA2" w14:textId="6369DE62" w:rsidR="00E81F5A" w:rsidRDefault="00E81F5A" w:rsidP="00757BEE">
      <w:pPr>
        <w:pStyle w:val="Header"/>
        <w:tabs>
          <w:tab w:val="left" w:pos="284"/>
        </w:tabs>
        <w:jc w:val="both"/>
        <w:rPr>
          <w:b/>
          <w:sz w:val="22"/>
          <w:szCs w:val="22"/>
          <w:lang w:val="sr-Latn-ME"/>
        </w:rPr>
      </w:pPr>
      <w:r w:rsidRPr="00A10D67">
        <w:rPr>
          <w:b/>
          <w:sz w:val="22"/>
          <w:szCs w:val="22"/>
          <w:lang w:val="sr-Latn-ME"/>
        </w:rPr>
        <w:t>IRUZID 20</w:t>
      </w:r>
      <w:r w:rsidR="00356374">
        <w:rPr>
          <w:b/>
          <w:sz w:val="22"/>
          <w:szCs w:val="22"/>
          <w:lang w:val="sr-Latn-ME"/>
        </w:rPr>
        <w:t xml:space="preserve"> mg + </w:t>
      </w:r>
      <w:r w:rsidRPr="00A10D67">
        <w:rPr>
          <w:b/>
          <w:sz w:val="22"/>
          <w:szCs w:val="22"/>
          <w:lang w:val="sr-Latn-ME"/>
        </w:rPr>
        <w:t>12,5 mg tablet</w:t>
      </w:r>
      <w:r w:rsidR="00356374">
        <w:rPr>
          <w:b/>
          <w:sz w:val="22"/>
          <w:szCs w:val="22"/>
          <w:lang w:val="sr-Latn-ME"/>
        </w:rPr>
        <w:t>a</w:t>
      </w:r>
      <w:r w:rsidRPr="00A10D67">
        <w:rPr>
          <w:sz w:val="22"/>
          <w:szCs w:val="22"/>
          <w:lang w:val="sr-Latn-ME"/>
        </w:rPr>
        <w:t>:</w:t>
      </w:r>
      <w:r w:rsidR="00432709" w:rsidRPr="00A10D67">
        <w:rPr>
          <w:b/>
          <w:sz w:val="22"/>
          <w:szCs w:val="22"/>
          <w:lang w:val="sr-Latn-ME"/>
        </w:rPr>
        <w:t xml:space="preserve"> </w:t>
      </w:r>
      <w:r w:rsidRPr="00A10D67">
        <w:rPr>
          <w:b/>
          <w:sz w:val="22"/>
          <w:szCs w:val="22"/>
          <w:lang w:val="sr-Latn-ME"/>
        </w:rPr>
        <w:t xml:space="preserve"> </w:t>
      </w:r>
    </w:p>
    <w:p w14:paraId="6F85410C" w14:textId="77777777" w:rsidR="00FD1B91" w:rsidRPr="00A10D67" w:rsidRDefault="00FD1B91" w:rsidP="00757BEE">
      <w:pPr>
        <w:pStyle w:val="Header"/>
        <w:tabs>
          <w:tab w:val="left" w:pos="284"/>
        </w:tabs>
        <w:jc w:val="both"/>
        <w:rPr>
          <w:b/>
          <w:sz w:val="22"/>
          <w:szCs w:val="22"/>
          <w:lang w:val="sr-Latn-ME"/>
        </w:rPr>
      </w:pPr>
    </w:p>
    <w:p w14:paraId="462F7762" w14:textId="63C8AB79" w:rsidR="00E81F5A" w:rsidRPr="00A10D67" w:rsidRDefault="00356374" w:rsidP="00A10D67">
      <w:pPr>
        <w:tabs>
          <w:tab w:val="left" w:pos="567"/>
        </w:tabs>
        <w:jc w:val="both"/>
        <w:rPr>
          <w:sz w:val="22"/>
          <w:szCs w:val="22"/>
          <w:lang w:val="sr-Latn-ME"/>
        </w:rPr>
      </w:pPr>
      <w:r>
        <w:rPr>
          <w:sz w:val="22"/>
          <w:szCs w:val="22"/>
          <w:lang w:val="sr-Latn-ME"/>
        </w:rPr>
        <w:t xml:space="preserve">manitol </w:t>
      </w:r>
      <w:r w:rsidRPr="009C2992">
        <w:rPr>
          <w:sz w:val="22"/>
          <w:szCs w:val="22"/>
          <w:lang w:val="sr-Latn-ME"/>
        </w:rPr>
        <w:t xml:space="preserve">(E421), </w:t>
      </w:r>
      <w:r w:rsidR="00E81F5A" w:rsidRPr="00A10D67">
        <w:rPr>
          <w:sz w:val="22"/>
          <w:szCs w:val="22"/>
          <w:lang w:val="sr-Latn-ME"/>
        </w:rPr>
        <w:t xml:space="preserve"> </w:t>
      </w:r>
    </w:p>
    <w:p w14:paraId="2603BCBA" w14:textId="24673852" w:rsidR="00E81F5A" w:rsidRPr="00A10D67" w:rsidRDefault="00E81F5A" w:rsidP="00757BEE">
      <w:pPr>
        <w:pStyle w:val="Header"/>
        <w:tabs>
          <w:tab w:val="left" w:pos="284"/>
        </w:tabs>
        <w:jc w:val="both"/>
        <w:rPr>
          <w:sz w:val="22"/>
          <w:szCs w:val="22"/>
          <w:lang w:val="sr-Latn-ME"/>
        </w:rPr>
      </w:pPr>
      <w:r w:rsidRPr="00A10D67">
        <w:rPr>
          <w:sz w:val="22"/>
          <w:szCs w:val="22"/>
          <w:lang w:val="sr-Latn-ME"/>
        </w:rPr>
        <w:t>kalcijum hidrogen</w:t>
      </w:r>
      <w:r w:rsidR="00356374">
        <w:rPr>
          <w:sz w:val="22"/>
          <w:szCs w:val="22"/>
          <w:lang w:val="sr-Latn-ME"/>
        </w:rPr>
        <w:t xml:space="preserve"> </w:t>
      </w:r>
      <w:r w:rsidRPr="00A10D67">
        <w:rPr>
          <w:sz w:val="22"/>
          <w:szCs w:val="22"/>
          <w:lang w:val="sr-Latn-ME"/>
        </w:rPr>
        <w:t>fosfat, dihidrat,</w:t>
      </w:r>
    </w:p>
    <w:p w14:paraId="786BE20A" w14:textId="021CB7F1" w:rsidR="00E81F5A" w:rsidRPr="00A10D67" w:rsidRDefault="00E81F5A" w:rsidP="00757BEE">
      <w:pPr>
        <w:pStyle w:val="Header"/>
        <w:tabs>
          <w:tab w:val="left" w:pos="284"/>
        </w:tabs>
        <w:jc w:val="both"/>
        <w:rPr>
          <w:sz w:val="22"/>
          <w:szCs w:val="22"/>
          <w:lang w:val="sr-Latn-ME"/>
        </w:rPr>
      </w:pPr>
      <w:r w:rsidRPr="00A10D67">
        <w:rPr>
          <w:sz w:val="22"/>
          <w:szCs w:val="22"/>
          <w:lang w:val="sr-Latn-ME"/>
        </w:rPr>
        <w:t>skrob</w:t>
      </w:r>
      <w:r w:rsidR="0047653B">
        <w:rPr>
          <w:sz w:val="22"/>
          <w:szCs w:val="22"/>
          <w:lang w:val="sr-Latn-ME"/>
        </w:rPr>
        <w:t>,</w:t>
      </w:r>
      <w:r w:rsidRPr="00A10D67">
        <w:rPr>
          <w:sz w:val="22"/>
          <w:szCs w:val="22"/>
          <w:lang w:val="sr-Latn-ME"/>
        </w:rPr>
        <w:t xml:space="preserve"> kukuruzni,</w:t>
      </w:r>
      <w:r w:rsidR="00432709" w:rsidRPr="00A10D67">
        <w:rPr>
          <w:sz w:val="22"/>
          <w:szCs w:val="22"/>
          <w:lang w:val="sr-Latn-ME"/>
        </w:rPr>
        <w:t xml:space="preserve">                       </w:t>
      </w:r>
    </w:p>
    <w:p w14:paraId="5DCB9BDB" w14:textId="0C662AF6" w:rsidR="00E81F5A" w:rsidRPr="00A10D67" w:rsidRDefault="00E81F5A" w:rsidP="00757BEE">
      <w:pPr>
        <w:pStyle w:val="Header"/>
        <w:tabs>
          <w:tab w:val="left" w:pos="284"/>
        </w:tabs>
        <w:jc w:val="both"/>
        <w:rPr>
          <w:sz w:val="22"/>
          <w:szCs w:val="22"/>
          <w:lang w:val="sr-Latn-ME"/>
        </w:rPr>
      </w:pPr>
      <w:r w:rsidRPr="00A10D67">
        <w:rPr>
          <w:sz w:val="22"/>
          <w:szCs w:val="22"/>
          <w:lang w:val="sr-Latn-ME"/>
        </w:rPr>
        <w:t>skrob, preželatinizovan</w:t>
      </w:r>
      <w:r w:rsidR="0047653B">
        <w:rPr>
          <w:sz w:val="22"/>
          <w:szCs w:val="22"/>
          <w:lang w:val="sr-Latn-ME"/>
        </w:rPr>
        <w:t>i</w:t>
      </w:r>
      <w:r w:rsidRPr="00A10D67">
        <w:rPr>
          <w:sz w:val="22"/>
          <w:szCs w:val="22"/>
          <w:lang w:val="sr-Latn-ME"/>
        </w:rPr>
        <w:t>,</w:t>
      </w:r>
    </w:p>
    <w:p w14:paraId="67271512" w14:textId="1E9EE3EB" w:rsidR="00E81F5A" w:rsidRPr="00A10D67" w:rsidRDefault="00E81F5A" w:rsidP="00757BEE">
      <w:pPr>
        <w:pStyle w:val="Header"/>
        <w:tabs>
          <w:tab w:val="left" w:pos="284"/>
        </w:tabs>
        <w:jc w:val="both"/>
        <w:rPr>
          <w:sz w:val="22"/>
          <w:szCs w:val="22"/>
          <w:lang w:val="sr-Latn-ME"/>
        </w:rPr>
      </w:pPr>
      <w:r w:rsidRPr="00A10D67">
        <w:rPr>
          <w:sz w:val="22"/>
          <w:szCs w:val="22"/>
          <w:lang w:val="sr-Latn-ME"/>
        </w:rPr>
        <w:t>magnezijum</w:t>
      </w:r>
      <w:r w:rsidR="005A11DF">
        <w:rPr>
          <w:sz w:val="22"/>
          <w:szCs w:val="22"/>
          <w:lang w:val="sr-Latn-ME"/>
        </w:rPr>
        <w:t>-</w:t>
      </w:r>
      <w:r w:rsidRPr="00A10D67">
        <w:rPr>
          <w:sz w:val="22"/>
          <w:szCs w:val="22"/>
          <w:lang w:val="sr-Latn-ME"/>
        </w:rPr>
        <w:t xml:space="preserve">stearat, </w:t>
      </w:r>
    </w:p>
    <w:p w14:paraId="61603EAF" w14:textId="6D575210" w:rsidR="00E81F5A" w:rsidRPr="00A10D67" w:rsidRDefault="00E81F5A" w:rsidP="00757BEE">
      <w:pPr>
        <w:pStyle w:val="Header"/>
        <w:tabs>
          <w:tab w:val="left" w:pos="284"/>
        </w:tabs>
        <w:jc w:val="both"/>
        <w:rPr>
          <w:sz w:val="22"/>
          <w:szCs w:val="22"/>
          <w:lang w:val="sr-Latn-ME"/>
        </w:rPr>
      </w:pPr>
      <w:r w:rsidRPr="00A10D67">
        <w:rPr>
          <w:sz w:val="22"/>
          <w:szCs w:val="22"/>
          <w:lang w:val="sr-Latn-ME"/>
        </w:rPr>
        <w:t>gvožđe</w:t>
      </w:r>
      <w:r w:rsidR="0047653B">
        <w:rPr>
          <w:sz w:val="22"/>
          <w:szCs w:val="22"/>
          <w:lang w:val="sr-Latn-ME"/>
        </w:rPr>
        <w:t xml:space="preserve"> </w:t>
      </w:r>
      <w:r w:rsidRPr="00A10D67">
        <w:rPr>
          <w:sz w:val="22"/>
          <w:szCs w:val="22"/>
          <w:lang w:val="sr-Latn-ME"/>
        </w:rPr>
        <w:t>(III) oksid, žuti (boja E172).</w:t>
      </w:r>
    </w:p>
    <w:p w14:paraId="188CDC4D" w14:textId="77777777" w:rsidR="0072020E" w:rsidRPr="00A10D67" w:rsidRDefault="0072020E" w:rsidP="00757BEE">
      <w:pPr>
        <w:tabs>
          <w:tab w:val="left" w:pos="540"/>
          <w:tab w:val="left" w:pos="569"/>
        </w:tabs>
        <w:jc w:val="both"/>
        <w:rPr>
          <w:bCs/>
          <w:sz w:val="22"/>
          <w:szCs w:val="22"/>
          <w:lang w:val="sr-Latn-ME"/>
        </w:rPr>
      </w:pPr>
    </w:p>
    <w:p w14:paraId="6EEC2C85"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6.2. </w:t>
      </w:r>
      <w:r w:rsidR="00480FB1" w:rsidRPr="00A10D67">
        <w:rPr>
          <w:b/>
          <w:bCs/>
          <w:sz w:val="22"/>
          <w:szCs w:val="22"/>
          <w:lang w:val="sr-Latn-ME"/>
        </w:rPr>
        <w:tab/>
      </w:r>
      <w:r w:rsidRPr="00A10D67">
        <w:rPr>
          <w:b/>
          <w:bCs/>
          <w:sz w:val="22"/>
          <w:szCs w:val="22"/>
          <w:lang w:val="sr-Latn-ME"/>
        </w:rPr>
        <w:t>Inkompatibilnost</w:t>
      </w:r>
      <w:r w:rsidR="002846DB" w:rsidRPr="00A10D67">
        <w:rPr>
          <w:b/>
          <w:bCs/>
          <w:sz w:val="22"/>
          <w:szCs w:val="22"/>
          <w:lang w:val="sr-Latn-ME"/>
        </w:rPr>
        <w:t>i</w:t>
      </w:r>
    </w:p>
    <w:p w14:paraId="515AB4F9" w14:textId="77777777" w:rsidR="00E81F5A" w:rsidRPr="00A10D67" w:rsidRDefault="00E81F5A" w:rsidP="00757BEE">
      <w:pPr>
        <w:tabs>
          <w:tab w:val="left" w:pos="540"/>
          <w:tab w:val="left" w:pos="569"/>
        </w:tabs>
        <w:jc w:val="both"/>
        <w:rPr>
          <w:b/>
          <w:bCs/>
          <w:sz w:val="22"/>
          <w:szCs w:val="22"/>
          <w:lang w:val="sr-Latn-ME"/>
        </w:rPr>
      </w:pPr>
    </w:p>
    <w:p w14:paraId="186BC45F" w14:textId="77777777" w:rsidR="00E81F5A" w:rsidRPr="00A10D67" w:rsidRDefault="00E81F5A" w:rsidP="00757BEE">
      <w:pPr>
        <w:jc w:val="both"/>
        <w:rPr>
          <w:color w:val="000000"/>
          <w:sz w:val="22"/>
          <w:szCs w:val="22"/>
          <w:lang w:val="sr-Latn-ME"/>
        </w:rPr>
      </w:pPr>
      <w:r w:rsidRPr="00A10D67">
        <w:rPr>
          <w:color w:val="000000"/>
          <w:sz w:val="22"/>
          <w:szCs w:val="22"/>
          <w:lang w:val="sr-Latn-ME"/>
        </w:rPr>
        <w:t>Nije primjenljivo.</w:t>
      </w:r>
    </w:p>
    <w:p w14:paraId="7574CD25" w14:textId="77777777" w:rsidR="0072020E" w:rsidRPr="00A10D67" w:rsidRDefault="0072020E" w:rsidP="00757BEE">
      <w:pPr>
        <w:tabs>
          <w:tab w:val="left" w:pos="540"/>
          <w:tab w:val="left" w:pos="569"/>
        </w:tabs>
        <w:jc w:val="both"/>
        <w:rPr>
          <w:bCs/>
          <w:sz w:val="22"/>
          <w:szCs w:val="22"/>
          <w:lang w:val="sr-Latn-ME"/>
        </w:rPr>
      </w:pPr>
    </w:p>
    <w:p w14:paraId="1CEEF4C3"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6.3.</w:t>
      </w:r>
      <w:r w:rsidR="00C05DF8" w:rsidRPr="00A10D67">
        <w:rPr>
          <w:b/>
          <w:bCs/>
          <w:sz w:val="22"/>
          <w:szCs w:val="22"/>
          <w:lang w:val="sr-Latn-ME"/>
        </w:rPr>
        <w:t xml:space="preserve"> </w:t>
      </w:r>
      <w:r w:rsidR="00480FB1" w:rsidRPr="00A10D67">
        <w:rPr>
          <w:b/>
          <w:bCs/>
          <w:sz w:val="22"/>
          <w:szCs w:val="22"/>
          <w:lang w:val="sr-Latn-ME"/>
        </w:rPr>
        <w:tab/>
      </w:r>
      <w:r w:rsidRPr="00A10D67">
        <w:rPr>
          <w:b/>
          <w:bCs/>
          <w:sz w:val="22"/>
          <w:szCs w:val="22"/>
          <w:lang w:val="sr-Latn-ME"/>
        </w:rPr>
        <w:t>Rok upotrebe</w:t>
      </w:r>
    </w:p>
    <w:p w14:paraId="404CE173" w14:textId="77777777" w:rsidR="00E81F5A" w:rsidRPr="00A10D67" w:rsidRDefault="00E81F5A" w:rsidP="00757BEE">
      <w:pPr>
        <w:tabs>
          <w:tab w:val="left" w:pos="540"/>
          <w:tab w:val="left" w:pos="569"/>
        </w:tabs>
        <w:jc w:val="both"/>
        <w:rPr>
          <w:b/>
          <w:bCs/>
          <w:sz w:val="22"/>
          <w:szCs w:val="22"/>
          <w:lang w:val="sr-Latn-ME"/>
        </w:rPr>
      </w:pPr>
    </w:p>
    <w:p w14:paraId="16309B1C" w14:textId="117ACD5B" w:rsidR="0072020E" w:rsidRPr="00A10D67" w:rsidRDefault="00E81F5A" w:rsidP="00757BEE">
      <w:pPr>
        <w:tabs>
          <w:tab w:val="left" w:pos="540"/>
          <w:tab w:val="left" w:pos="569"/>
        </w:tabs>
        <w:jc w:val="both"/>
        <w:rPr>
          <w:sz w:val="22"/>
          <w:szCs w:val="22"/>
          <w:lang w:val="sr-Latn-ME"/>
        </w:rPr>
      </w:pPr>
      <w:r w:rsidRPr="00A10D67">
        <w:rPr>
          <w:sz w:val="22"/>
          <w:szCs w:val="22"/>
          <w:lang w:val="sr-Latn-ME"/>
        </w:rPr>
        <w:t>3 godine.</w:t>
      </w:r>
    </w:p>
    <w:p w14:paraId="0850D898" w14:textId="77777777" w:rsidR="00E81F5A" w:rsidRPr="00A10D67" w:rsidRDefault="00E81F5A" w:rsidP="00757BEE">
      <w:pPr>
        <w:tabs>
          <w:tab w:val="left" w:pos="540"/>
          <w:tab w:val="left" w:pos="569"/>
        </w:tabs>
        <w:jc w:val="both"/>
        <w:rPr>
          <w:bCs/>
          <w:sz w:val="22"/>
          <w:szCs w:val="22"/>
          <w:lang w:val="sr-Latn-ME"/>
        </w:rPr>
      </w:pPr>
    </w:p>
    <w:p w14:paraId="61BB3279"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6.4. </w:t>
      </w:r>
      <w:r w:rsidR="00480FB1" w:rsidRPr="00A10D67">
        <w:rPr>
          <w:b/>
          <w:bCs/>
          <w:sz w:val="22"/>
          <w:szCs w:val="22"/>
          <w:lang w:val="sr-Latn-ME"/>
        </w:rPr>
        <w:tab/>
      </w:r>
      <w:r w:rsidRPr="00A10D67">
        <w:rPr>
          <w:b/>
          <w:bCs/>
          <w:sz w:val="22"/>
          <w:szCs w:val="22"/>
          <w:lang w:val="sr-Latn-ME"/>
        </w:rPr>
        <w:t>Posebne mjere upozorenja pri čuvanju</w:t>
      </w:r>
      <w:r w:rsidR="00F8570A" w:rsidRPr="00A10D67">
        <w:rPr>
          <w:b/>
          <w:bCs/>
          <w:sz w:val="22"/>
          <w:szCs w:val="22"/>
          <w:lang w:val="sr-Latn-ME"/>
        </w:rPr>
        <w:t xml:space="preserve"> lijeka</w:t>
      </w:r>
    </w:p>
    <w:p w14:paraId="15CCF116" w14:textId="77777777" w:rsidR="00E81F5A" w:rsidRPr="00A10D67" w:rsidRDefault="00E81F5A" w:rsidP="00757BEE">
      <w:pPr>
        <w:tabs>
          <w:tab w:val="left" w:pos="540"/>
          <w:tab w:val="left" w:pos="569"/>
        </w:tabs>
        <w:jc w:val="both"/>
        <w:rPr>
          <w:b/>
          <w:bCs/>
          <w:sz w:val="22"/>
          <w:szCs w:val="22"/>
          <w:lang w:val="sr-Latn-ME"/>
        </w:rPr>
      </w:pPr>
    </w:p>
    <w:p w14:paraId="658C39BA" w14:textId="0059DF6A" w:rsidR="00EC2532" w:rsidRPr="00A10D67" w:rsidRDefault="00E81F5A" w:rsidP="00757BEE">
      <w:pPr>
        <w:tabs>
          <w:tab w:val="left" w:pos="540"/>
          <w:tab w:val="left" w:pos="569"/>
        </w:tabs>
        <w:jc w:val="both"/>
        <w:rPr>
          <w:sz w:val="22"/>
          <w:szCs w:val="22"/>
          <w:lang w:val="sr-Latn-ME"/>
        </w:rPr>
      </w:pPr>
      <w:r w:rsidRPr="00A10D67">
        <w:rPr>
          <w:sz w:val="22"/>
          <w:szCs w:val="22"/>
          <w:lang w:val="sr-Latn-ME"/>
        </w:rPr>
        <w:t>Lijek čuvati na temperaturi do 25°C.</w:t>
      </w:r>
    </w:p>
    <w:p w14:paraId="0B50E140" w14:textId="77777777" w:rsidR="00E81F5A" w:rsidRPr="00A10D67" w:rsidRDefault="00E81F5A" w:rsidP="00757BEE">
      <w:pPr>
        <w:tabs>
          <w:tab w:val="left" w:pos="540"/>
          <w:tab w:val="left" w:pos="569"/>
        </w:tabs>
        <w:jc w:val="both"/>
        <w:rPr>
          <w:bCs/>
          <w:sz w:val="22"/>
          <w:szCs w:val="22"/>
          <w:lang w:val="sr-Latn-ME"/>
        </w:rPr>
      </w:pPr>
    </w:p>
    <w:p w14:paraId="4F8F7261"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6.5. </w:t>
      </w:r>
      <w:r w:rsidR="00480FB1" w:rsidRPr="00A10D67">
        <w:rPr>
          <w:b/>
          <w:bCs/>
          <w:sz w:val="22"/>
          <w:szCs w:val="22"/>
          <w:lang w:val="sr-Latn-ME"/>
        </w:rPr>
        <w:tab/>
      </w:r>
      <w:r w:rsidR="002846DB" w:rsidRPr="00A10D67">
        <w:rPr>
          <w:b/>
          <w:bCs/>
          <w:sz w:val="22"/>
          <w:szCs w:val="22"/>
          <w:lang w:val="sr-Latn-ME"/>
        </w:rPr>
        <w:t xml:space="preserve">Vrsta i sadržaj </w:t>
      </w:r>
      <w:r w:rsidR="00F8570A" w:rsidRPr="00A10D67">
        <w:rPr>
          <w:b/>
          <w:bCs/>
          <w:sz w:val="22"/>
          <w:szCs w:val="22"/>
          <w:lang w:val="sr-Latn-ME"/>
        </w:rPr>
        <w:t>pakovanja</w:t>
      </w:r>
      <w:r w:rsidR="00C06864" w:rsidRPr="00A10D67">
        <w:rPr>
          <w:b/>
          <w:bCs/>
          <w:sz w:val="22"/>
          <w:szCs w:val="22"/>
          <w:lang w:val="sr-Latn-ME"/>
        </w:rPr>
        <w:t xml:space="preserve"> </w:t>
      </w:r>
    </w:p>
    <w:p w14:paraId="2902036D" w14:textId="77777777" w:rsidR="00E81F5A" w:rsidRPr="00A10D67" w:rsidRDefault="00E81F5A" w:rsidP="00757BEE">
      <w:pPr>
        <w:tabs>
          <w:tab w:val="left" w:pos="540"/>
          <w:tab w:val="left" w:pos="569"/>
        </w:tabs>
        <w:jc w:val="both"/>
        <w:rPr>
          <w:b/>
          <w:bCs/>
          <w:sz w:val="22"/>
          <w:szCs w:val="22"/>
          <w:lang w:val="sr-Latn-ME"/>
        </w:rPr>
      </w:pPr>
    </w:p>
    <w:p w14:paraId="2BD86D8C" w14:textId="7DF4152B" w:rsidR="00E81F5A" w:rsidRDefault="0047653B" w:rsidP="00E03B67">
      <w:pPr>
        <w:keepNext/>
        <w:ind w:firstLine="11"/>
        <w:jc w:val="both"/>
        <w:rPr>
          <w:sz w:val="22"/>
          <w:szCs w:val="22"/>
          <w:lang w:val="sr-Latn-ME"/>
        </w:rPr>
      </w:pPr>
      <w:r>
        <w:rPr>
          <w:sz w:val="22"/>
          <w:szCs w:val="22"/>
          <w:lang w:val="sr-Latn-ME"/>
        </w:rPr>
        <w:t>Unutrašnje pakovanje je</w:t>
      </w:r>
      <w:r w:rsidR="00E81F5A" w:rsidRPr="00A10D67">
        <w:rPr>
          <w:sz w:val="22"/>
          <w:szCs w:val="22"/>
          <w:lang w:val="sr-Latn-ME"/>
        </w:rPr>
        <w:t xml:space="preserve"> PVC/PVDC/Al blister</w:t>
      </w:r>
      <w:r>
        <w:rPr>
          <w:sz w:val="22"/>
          <w:szCs w:val="22"/>
          <w:lang w:val="sr-Latn-ME"/>
        </w:rPr>
        <w:t>, koji sadrži 30 tableta</w:t>
      </w:r>
      <w:r w:rsidR="00E81F5A" w:rsidRPr="00A10D67">
        <w:rPr>
          <w:sz w:val="22"/>
          <w:szCs w:val="22"/>
          <w:lang w:val="sr-Latn-ME"/>
        </w:rPr>
        <w:t>.</w:t>
      </w:r>
    </w:p>
    <w:p w14:paraId="0EAE56DC" w14:textId="0DD3743A" w:rsidR="0047653B" w:rsidRDefault="0047653B" w:rsidP="00E03B67">
      <w:pPr>
        <w:keepNext/>
        <w:ind w:firstLine="11"/>
        <w:jc w:val="both"/>
        <w:rPr>
          <w:sz w:val="22"/>
          <w:szCs w:val="22"/>
          <w:lang w:val="sr-Latn-ME"/>
        </w:rPr>
      </w:pPr>
    </w:p>
    <w:p w14:paraId="041E9F1A" w14:textId="4F191E2B" w:rsidR="0047653B" w:rsidRPr="00A10D67" w:rsidRDefault="0047653B" w:rsidP="00E03B67">
      <w:pPr>
        <w:keepNext/>
        <w:ind w:firstLine="11"/>
        <w:jc w:val="both"/>
        <w:rPr>
          <w:sz w:val="22"/>
          <w:szCs w:val="22"/>
          <w:lang w:val="sr-Latn-ME"/>
        </w:rPr>
      </w:pPr>
      <w:r>
        <w:rPr>
          <w:sz w:val="22"/>
          <w:szCs w:val="22"/>
          <w:lang w:val="sr-Latn-ME"/>
        </w:rPr>
        <w:t xml:space="preserve">Spoljašnje pakovanje je složiva kartonska kutija koja sadrži 1 blister (ukupno 30 tableta) i Uputstvo za lijek. </w:t>
      </w:r>
    </w:p>
    <w:p w14:paraId="4D23DCF6" w14:textId="77777777" w:rsidR="0072020E" w:rsidRPr="00A10D67" w:rsidRDefault="0072020E" w:rsidP="00757BEE">
      <w:pPr>
        <w:tabs>
          <w:tab w:val="left" w:pos="540"/>
          <w:tab w:val="left" w:pos="569"/>
        </w:tabs>
        <w:jc w:val="both"/>
        <w:rPr>
          <w:bCs/>
          <w:sz w:val="22"/>
          <w:szCs w:val="22"/>
          <w:lang w:val="sr-Latn-ME"/>
        </w:rPr>
      </w:pPr>
    </w:p>
    <w:p w14:paraId="73E0AE84" w14:textId="77777777" w:rsidR="002846DB"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6.6. </w:t>
      </w:r>
      <w:r w:rsidR="00480FB1" w:rsidRPr="00A10D67">
        <w:rPr>
          <w:b/>
          <w:bCs/>
          <w:sz w:val="22"/>
          <w:szCs w:val="22"/>
          <w:lang w:val="sr-Latn-ME"/>
        </w:rPr>
        <w:tab/>
      </w:r>
      <w:r w:rsidRPr="00A10D67">
        <w:rPr>
          <w:b/>
          <w:bCs/>
          <w:color w:val="000000"/>
          <w:sz w:val="22"/>
          <w:szCs w:val="22"/>
          <w:lang w:val="sr-Latn-ME"/>
        </w:rPr>
        <w:t>Posebne mjere opreza pri odlaganju materijala koji treba odbaciti nakon primjene lijeka</w:t>
      </w:r>
      <w:r w:rsidRPr="00A10D67">
        <w:rPr>
          <w:b/>
          <w:bCs/>
          <w:sz w:val="22"/>
          <w:szCs w:val="22"/>
          <w:lang w:val="sr-Latn-ME"/>
        </w:rPr>
        <w:t xml:space="preserve"> </w:t>
      </w:r>
      <w:r w:rsidR="00310F03" w:rsidRPr="00A10D67">
        <w:rPr>
          <w:b/>
          <w:bCs/>
          <w:sz w:val="22"/>
          <w:szCs w:val="22"/>
          <w:lang w:val="sr-Latn-ME"/>
        </w:rPr>
        <w:t>(i druga uputs</w:t>
      </w:r>
      <w:r w:rsidR="004109FA" w:rsidRPr="00A10D67">
        <w:rPr>
          <w:b/>
          <w:bCs/>
          <w:sz w:val="22"/>
          <w:szCs w:val="22"/>
          <w:lang w:val="sr-Latn-ME"/>
        </w:rPr>
        <w:t>t</w:t>
      </w:r>
      <w:r w:rsidR="00310F03" w:rsidRPr="00A10D67">
        <w:rPr>
          <w:b/>
          <w:bCs/>
          <w:sz w:val="22"/>
          <w:szCs w:val="22"/>
          <w:lang w:val="sr-Latn-ME"/>
        </w:rPr>
        <w:t xml:space="preserve">va za rukovanje lijekom) </w:t>
      </w:r>
    </w:p>
    <w:p w14:paraId="0D940667" w14:textId="77777777" w:rsidR="00B66A70" w:rsidRPr="00A10D67" w:rsidRDefault="00B66A70" w:rsidP="00757BEE">
      <w:pPr>
        <w:tabs>
          <w:tab w:val="left" w:pos="540"/>
          <w:tab w:val="left" w:pos="569"/>
        </w:tabs>
        <w:jc w:val="both"/>
        <w:rPr>
          <w:b/>
          <w:bCs/>
          <w:sz w:val="22"/>
          <w:szCs w:val="22"/>
          <w:lang w:val="sr-Latn-ME"/>
        </w:rPr>
      </w:pPr>
    </w:p>
    <w:p w14:paraId="317AD688" w14:textId="77777777" w:rsidR="00E81F5A" w:rsidRPr="006F57B4" w:rsidRDefault="00E81F5A" w:rsidP="00757BEE">
      <w:pPr>
        <w:tabs>
          <w:tab w:val="left" w:pos="284"/>
          <w:tab w:val="center" w:pos="4320"/>
          <w:tab w:val="right" w:pos="8640"/>
        </w:tabs>
        <w:jc w:val="both"/>
        <w:rPr>
          <w:noProof/>
          <w:sz w:val="22"/>
          <w:szCs w:val="22"/>
          <w:lang w:val="sr-Latn-ME" w:eastAsia="x-none"/>
        </w:rPr>
      </w:pPr>
      <w:r w:rsidRPr="006F57B4">
        <w:rPr>
          <w:noProof/>
          <w:sz w:val="22"/>
          <w:szCs w:val="22"/>
          <w:lang w:val="sr-Latn-ME" w:eastAsia="x-none"/>
        </w:rPr>
        <w:t>Neupotrijebljeni lijek se uništava u skladu sa važećim propisima.</w:t>
      </w:r>
    </w:p>
    <w:p w14:paraId="02C6480E" w14:textId="46404CF6" w:rsidR="0072020E" w:rsidRDefault="0072020E" w:rsidP="00757BEE">
      <w:pPr>
        <w:tabs>
          <w:tab w:val="left" w:pos="540"/>
          <w:tab w:val="left" w:pos="569"/>
        </w:tabs>
        <w:jc w:val="both"/>
        <w:rPr>
          <w:bCs/>
          <w:sz w:val="22"/>
          <w:szCs w:val="22"/>
          <w:lang w:val="sr-Latn-ME"/>
        </w:rPr>
      </w:pPr>
    </w:p>
    <w:p w14:paraId="2BD54EC9" w14:textId="06E24671" w:rsidR="0047653B" w:rsidRDefault="0047653B" w:rsidP="00757BEE">
      <w:pPr>
        <w:tabs>
          <w:tab w:val="left" w:pos="540"/>
          <w:tab w:val="left" w:pos="569"/>
        </w:tabs>
        <w:jc w:val="both"/>
        <w:rPr>
          <w:bCs/>
          <w:sz w:val="22"/>
          <w:szCs w:val="22"/>
          <w:lang w:val="sr-Latn-ME"/>
        </w:rPr>
      </w:pPr>
    </w:p>
    <w:p w14:paraId="31B50716" w14:textId="77777777" w:rsidR="00FD1B91" w:rsidRPr="006F57B4" w:rsidRDefault="00FD1B91" w:rsidP="00757BEE">
      <w:pPr>
        <w:tabs>
          <w:tab w:val="left" w:pos="540"/>
          <w:tab w:val="left" w:pos="569"/>
        </w:tabs>
        <w:jc w:val="both"/>
        <w:rPr>
          <w:bCs/>
          <w:sz w:val="22"/>
          <w:szCs w:val="22"/>
          <w:lang w:val="sr-Latn-ME"/>
        </w:rPr>
      </w:pPr>
    </w:p>
    <w:p w14:paraId="0BC70221" w14:textId="77777777" w:rsidR="00F8570A" w:rsidRPr="006F57B4" w:rsidRDefault="0072020E" w:rsidP="00757BEE">
      <w:pPr>
        <w:tabs>
          <w:tab w:val="left" w:pos="540"/>
          <w:tab w:val="left" w:pos="569"/>
        </w:tabs>
        <w:jc w:val="both"/>
        <w:rPr>
          <w:b/>
          <w:bCs/>
          <w:sz w:val="22"/>
          <w:szCs w:val="22"/>
          <w:lang w:val="sr-Latn-ME"/>
        </w:rPr>
      </w:pPr>
      <w:r w:rsidRPr="006F57B4">
        <w:rPr>
          <w:b/>
          <w:bCs/>
          <w:sz w:val="22"/>
          <w:szCs w:val="22"/>
          <w:lang w:val="sr-Latn-ME"/>
        </w:rPr>
        <w:lastRenderedPageBreak/>
        <w:t>7</w:t>
      </w:r>
      <w:bookmarkStart w:id="0" w:name="_GoBack"/>
      <w:bookmarkEnd w:id="0"/>
      <w:r w:rsidRPr="006F57B4">
        <w:rPr>
          <w:b/>
          <w:bCs/>
          <w:sz w:val="22"/>
          <w:szCs w:val="22"/>
          <w:lang w:val="sr-Latn-ME"/>
        </w:rPr>
        <w:t xml:space="preserve">. </w:t>
      </w:r>
      <w:r w:rsidR="00480FB1" w:rsidRPr="006F57B4">
        <w:rPr>
          <w:b/>
          <w:bCs/>
          <w:sz w:val="22"/>
          <w:szCs w:val="22"/>
          <w:lang w:val="sr-Latn-ME"/>
        </w:rPr>
        <w:tab/>
      </w:r>
      <w:r w:rsidRPr="00A10D67">
        <w:rPr>
          <w:b/>
          <w:bCs/>
          <w:sz w:val="22"/>
          <w:szCs w:val="22"/>
          <w:lang w:val="sr-Latn-ME"/>
        </w:rPr>
        <w:t>NOSILAC</w:t>
      </w:r>
      <w:r w:rsidRPr="006F57B4">
        <w:rPr>
          <w:b/>
          <w:bCs/>
          <w:sz w:val="22"/>
          <w:szCs w:val="22"/>
          <w:lang w:val="sr-Latn-ME"/>
        </w:rPr>
        <w:t xml:space="preserve"> </w:t>
      </w:r>
      <w:r w:rsidRPr="00A10D67">
        <w:rPr>
          <w:b/>
          <w:bCs/>
          <w:sz w:val="22"/>
          <w:szCs w:val="22"/>
          <w:lang w:val="sr-Latn-ME"/>
        </w:rPr>
        <w:t>DOZVOLE</w:t>
      </w:r>
      <w:r w:rsidR="00483928" w:rsidRPr="006F57B4">
        <w:rPr>
          <w:b/>
          <w:bCs/>
          <w:sz w:val="22"/>
          <w:szCs w:val="22"/>
          <w:lang w:val="sr-Latn-ME"/>
        </w:rPr>
        <w:t xml:space="preserve"> </w:t>
      </w:r>
    </w:p>
    <w:p w14:paraId="6CA95294" w14:textId="77777777" w:rsidR="00C61BE0" w:rsidRPr="006F57B4" w:rsidRDefault="00C61BE0" w:rsidP="00757BEE">
      <w:pPr>
        <w:tabs>
          <w:tab w:val="left" w:pos="540"/>
          <w:tab w:val="left" w:pos="569"/>
        </w:tabs>
        <w:jc w:val="both"/>
        <w:rPr>
          <w:bCs/>
          <w:sz w:val="22"/>
          <w:szCs w:val="22"/>
          <w:lang w:val="sr-Latn-ME"/>
        </w:rPr>
      </w:pPr>
    </w:p>
    <w:p w14:paraId="0611B6BB" w14:textId="3C87A61A" w:rsidR="0047653B" w:rsidRDefault="008B2E71" w:rsidP="00E03B67">
      <w:pPr>
        <w:autoSpaceDE w:val="0"/>
        <w:autoSpaceDN w:val="0"/>
        <w:adjustRightInd w:val="0"/>
        <w:jc w:val="both"/>
        <w:rPr>
          <w:color w:val="000000"/>
          <w:sz w:val="22"/>
          <w:szCs w:val="22"/>
          <w:lang w:val="sr-Latn-ME"/>
        </w:rPr>
      </w:pPr>
      <w:r>
        <w:rPr>
          <w:color w:val="000000"/>
          <w:sz w:val="22"/>
          <w:szCs w:val="22"/>
          <w:lang w:val="sr-Latn-ME"/>
        </w:rPr>
        <w:t>Glosarij d.o.o.</w:t>
      </w:r>
      <w:r w:rsidR="0047653B">
        <w:rPr>
          <w:color w:val="000000"/>
          <w:sz w:val="22"/>
          <w:szCs w:val="22"/>
          <w:lang w:val="sr-Latn-ME"/>
        </w:rPr>
        <w:t>,</w:t>
      </w:r>
    </w:p>
    <w:p w14:paraId="1676A59B" w14:textId="47A4E59F" w:rsidR="00E81F5A" w:rsidRPr="00A10D67" w:rsidRDefault="008B2E71" w:rsidP="00E03B67">
      <w:pPr>
        <w:autoSpaceDE w:val="0"/>
        <w:autoSpaceDN w:val="0"/>
        <w:adjustRightInd w:val="0"/>
        <w:jc w:val="both"/>
        <w:rPr>
          <w:color w:val="000000"/>
          <w:sz w:val="22"/>
          <w:szCs w:val="22"/>
          <w:lang w:val="sr-Latn-ME"/>
        </w:rPr>
      </w:pPr>
      <w:r>
        <w:rPr>
          <w:color w:val="000000"/>
          <w:sz w:val="22"/>
          <w:szCs w:val="22"/>
          <w:lang w:val="sr-Latn-ME"/>
        </w:rPr>
        <w:t>Vojislavljevića 76,</w:t>
      </w:r>
      <w:r w:rsidR="00E81F5A" w:rsidRPr="00A10D67">
        <w:rPr>
          <w:color w:val="000000"/>
          <w:sz w:val="22"/>
          <w:szCs w:val="22"/>
          <w:lang w:val="sr-Latn-ME"/>
        </w:rPr>
        <w:t xml:space="preserve"> 81 000 Podgorica, Crna Gora</w:t>
      </w:r>
    </w:p>
    <w:p w14:paraId="36D1D724" w14:textId="37A6E712" w:rsidR="00C37FD7" w:rsidRDefault="00C37FD7" w:rsidP="00757BEE">
      <w:pPr>
        <w:tabs>
          <w:tab w:val="left" w:pos="540"/>
          <w:tab w:val="left" w:pos="569"/>
        </w:tabs>
        <w:jc w:val="both"/>
        <w:rPr>
          <w:bCs/>
          <w:sz w:val="22"/>
          <w:szCs w:val="22"/>
          <w:lang w:val="sr-Latn-ME"/>
        </w:rPr>
      </w:pPr>
    </w:p>
    <w:p w14:paraId="18FB6E64" w14:textId="77777777" w:rsidR="0047653B" w:rsidRPr="00A10D67" w:rsidRDefault="0047653B" w:rsidP="00757BEE">
      <w:pPr>
        <w:tabs>
          <w:tab w:val="left" w:pos="540"/>
          <w:tab w:val="left" w:pos="569"/>
        </w:tabs>
        <w:jc w:val="both"/>
        <w:rPr>
          <w:bCs/>
          <w:sz w:val="22"/>
          <w:szCs w:val="22"/>
          <w:lang w:val="sr-Latn-ME"/>
        </w:rPr>
      </w:pPr>
    </w:p>
    <w:p w14:paraId="2B37537A"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8. </w:t>
      </w:r>
      <w:r w:rsidR="00480FB1" w:rsidRPr="00A10D67">
        <w:rPr>
          <w:b/>
          <w:bCs/>
          <w:sz w:val="22"/>
          <w:szCs w:val="22"/>
          <w:lang w:val="sr-Latn-ME"/>
        </w:rPr>
        <w:tab/>
      </w:r>
      <w:r w:rsidRPr="00A10D67">
        <w:rPr>
          <w:b/>
          <w:bCs/>
          <w:sz w:val="22"/>
          <w:szCs w:val="22"/>
          <w:lang w:val="sr-Latn-ME"/>
        </w:rPr>
        <w:t>BROJ DOZVOLE</w:t>
      </w:r>
      <w:r w:rsidR="008A6D43" w:rsidRPr="00A10D67">
        <w:rPr>
          <w:b/>
          <w:bCs/>
          <w:sz w:val="22"/>
          <w:szCs w:val="22"/>
          <w:lang w:val="sr-Latn-ME"/>
        </w:rPr>
        <w:t xml:space="preserve"> ZA STAVLJANJE LIJEKA U PROMET</w:t>
      </w:r>
    </w:p>
    <w:p w14:paraId="048A292B" w14:textId="0FAC548E" w:rsidR="0072020E" w:rsidRDefault="0072020E" w:rsidP="00757BEE">
      <w:pPr>
        <w:tabs>
          <w:tab w:val="left" w:pos="540"/>
          <w:tab w:val="left" w:pos="569"/>
        </w:tabs>
        <w:jc w:val="both"/>
        <w:rPr>
          <w:bCs/>
          <w:sz w:val="22"/>
          <w:szCs w:val="22"/>
          <w:lang w:val="sr-Latn-ME"/>
        </w:rPr>
      </w:pPr>
    </w:p>
    <w:p w14:paraId="69AE7287" w14:textId="21B30C91" w:rsidR="009A5669" w:rsidRPr="00A10D67" w:rsidRDefault="009A5669" w:rsidP="005058C0">
      <w:pPr>
        <w:rPr>
          <w:bCs/>
          <w:sz w:val="22"/>
          <w:szCs w:val="22"/>
          <w:lang w:val="sr-Latn-ME"/>
        </w:rPr>
      </w:pPr>
      <w:r>
        <w:rPr>
          <w:bCs/>
          <w:sz w:val="22"/>
          <w:szCs w:val="22"/>
          <w:lang w:val="sr-Latn-ME"/>
        </w:rPr>
        <w:t xml:space="preserve">Iruzid, tableta, 10 mg + 12,5mg: </w:t>
      </w:r>
      <w:r w:rsidR="001F2D45" w:rsidRPr="001F2D45">
        <w:rPr>
          <w:bCs/>
          <w:sz w:val="22"/>
          <w:szCs w:val="22"/>
          <w:lang w:val="sr-Latn-ME"/>
        </w:rPr>
        <w:t xml:space="preserve">2030/24/3028 – 3665 </w:t>
      </w:r>
    </w:p>
    <w:p w14:paraId="0B5A0990" w14:textId="470AD151" w:rsidR="00C04A16" w:rsidRPr="00C04A16" w:rsidRDefault="009A5669" w:rsidP="00C04A16">
      <w:pPr>
        <w:rPr>
          <w:bCs/>
          <w:sz w:val="22"/>
          <w:szCs w:val="22"/>
          <w:lang w:val="sr-Latn-ME"/>
        </w:rPr>
      </w:pPr>
      <w:r>
        <w:rPr>
          <w:bCs/>
          <w:sz w:val="22"/>
          <w:szCs w:val="22"/>
          <w:lang w:val="sr-Latn-ME"/>
        </w:rPr>
        <w:t xml:space="preserve">Iruzid, tableta, 20 mg + 12,5mg: </w:t>
      </w:r>
      <w:r w:rsidR="00C04A16" w:rsidRPr="00C04A16">
        <w:rPr>
          <w:bCs/>
          <w:sz w:val="22"/>
          <w:szCs w:val="22"/>
          <w:lang w:val="sr-Latn-ME"/>
        </w:rPr>
        <w:t xml:space="preserve">2030/24/3642 – 3664 </w:t>
      </w:r>
    </w:p>
    <w:p w14:paraId="7B636880" w14:textId="245411DD" w:rsidR="009A5669" w:rsidRDefault="009A5669" w:rsidP="009A5669">
      <w:pPr>
        <w:tabs>
          <w:tab w:val="left" w:pos="540"/>
          <w:tab w:val="left" w:pos="569"/>
        </w:tabs>
        <w:jc w:val="both"/>
        <w:rPr>
          <w:bCs/>
          <w:sz w:val="22"/>
          <w:szCs w:val="22"/>
          <w:lang w:val="sr-Latn-ME"/>
        </w:rPr>
      </w:pPr>
    </w:p>
    <w:p w14:paraId="3F6E678E" w14:textId="14FC3FC9" w:rsidR="009A5669" w:rsidRPr="00A10D67" w:rsidRDefault="009A5669" w:rsidP="00757BEE">
      <w:pPr>
        <w:tabs>
          <w:tab w:val="left" w:pos="540"/>
          <w:tab w:val="left" w:pos="569"/>
        </w:tabs>
        <w:jc w:val="both"/>
        <w:rPr>
          <w:bCs/>
          <w:sz w:val="22"/>
          <w:szCs w:val="22"/>
          <w:lang w:val="sr-Latn-ME"/>
        </w:rPr>
      </w:pPr>
    </w:p>
    <w:p w14:paraId="718FA3C0" w14:textId="77777777" w:rsidR="0072020E" w:rsidRPr="00A10D67" w:rsidRDefault="0072020E" w:rsidP="00757BEE">
      <w:pPr>
        <w:tabs>
          <w:tab w:val="left" w:pos="540"/>
          <w:tab w:val="left" w:pos="569"/>
        </w:tabs>
        <w:jc w:val="both"/>
        <w:rPr>
          <w:b/>
          <w:bCs/>
          <w:sz w:val="22"/>
          <w:szCs w:val="22"/>
          <w:lang w:val="sr-Latn-ME"/>
        </w:rPr>
      </w:pPr>
      <w:r w:rsidRPr="00A10D67">
        <w:rPr>
          <w:b/>
          <w:bCs/>
          <w:sz w:val="22"/>
          <w:szCs w:val="22"/>
          <w:lang w:val="sr-Latn-ME"/>
        </w:rPr>
        <w:t xml:space="preserve">9. </w:t>
      </w:r>
      <w:r w:rsidR="00480FB1" w:rsidRPr="00A10D67">
        <w:rPr>
          <w:b/>
          <w:bCs/>
          <w:sz w:val="22"/>
          <w:szCs w:val="22"/>
          <w:lang w:val="sr-Latn-ME"/>
        </w:rPr>
        <w:tab/>
      </w:r>
      <w:r w:rsidRPr="00A10D67">
        <w:rPr>
          <w:b/>
          <w:bCs/>
          <w:sz w:val="22"/>
          <w:szCs w:val="22"/>
          <w:lang w:val="sr-Latn-ME"/>
        </w:rPr>
        <w:t xml:space="preserve">DATUM </w:t>
      </w:r>
      <w:r w:rsidR="00C05DF8" w:rsidRPr="00A10D67">
        <w:rPr>
          <w:b/>
          <w:bCs/>
          <w:sz w:val="22"/>
          <w:szCs w:val="22"/>
          <w:lang w:val="sr-Latn-ME"/>
        </w:rPr>
        <w:t xml:space="preserve">PRVE </w:t>
      </w:r>
      <w:r w:rsidR="008A6D43" w:rsidRPr="00A10D67">
        <w:rPr>
          <w:b/>
          <w:bCs/>
          <w:sz w:val="22"/>
          <w:szCs w:val="22"/>
          <w:lang w:val="sr-Latn-ME"/>
        </w:rPr>
        <w:t>DOZVOLE</w:t>
      </w:r>
      <w:r w:rsidR="00C05DF8" w:rsidRPr="00A10D67">
        <w:rPr>
          <w:b/>
          <w:bCs/>
          <w:sz w:val="22"/>
          <w:szCs w:val="22"/>
          <w:lang w:val="sr-Latn-ME"/>
        </w:rPr>
        <w:t>/OBNOVE DOZVOLE</w:t>
      </w:r>
      <w:r w:rsidR="008A6D43" w:rsidRPr="00A10D67">
        <w:rPr>
          <w:b/>
          <w:bCs/>
          <w:sz w:val="22"/>
          <w:szCs w:val="22"/>
          <w:lang w:val="sr-Latn-ME"/>
        </w:rPr>
        <w:t xml:space="preserve"> ZA STAVLJANJE LIJEKA U PROMET</w:t>
      </w:r>
    </w:p>
    <w:p w14:paraId="2E89EAD2" w14:textId="3755B0B0" w:rsidR="0072020E" w:rsidRDefault="0072020E" w:rsidP="00757BEE">
      <w:pPr>
        <w:tabs>
          <w:tab w:val="left" w:pos="540"/>
          <w:tab w:val="left" w:pos="569"/>
        </w:tabs>
        <w:jc w:val="both"/>
        <w:rPr>
          <w:bCs/>
          <w:sz w:val="22"/>
          <w:szCs w:val="22"/>
          <w:lang w:val="sr-Latn-ME"/>
        </w:rPr>
      </w:pPr>
    </w:p>
    <w:p w14:paraId="6D682ECB" w14:textId="12C909CB" w:rsidR="0047653B" w:rsidRDefault="0047653B" w:rsidP="00757BEE">
      <w:pPr>
        <w:tabs>
          <w:tab w:val="left" w:pos="540"/>
          <w:tab w:val="left" w:pos="569"/>
        </w:tabs>
        <w:jc w:val="both"/>
        <w:rPr>
          <w:sz w:val="22"/>
          <w:szCs w:val="22"/>
          <w:lang w:val="sr-Latn-CS" w:eastAsia="sr-Latn-CS"/>
        </w:rPr>
      </w:pPr>
      <w:r>
        <w:rPr>
          <w:bCs/>
          <w:sz w:val="22"/>
          <w:szCs w:val="22"/>
          <w:lang w:val="sr-Latn-ME"/>
        </w:rPr>
        <w:t xml:space="preserve">Datum prve dozvole: </w:t>
      </w:r>
      <w:r w:rsidR="009A5669" w:rsidRPr="00D321E7">
        <w:rPr>
          <w:sz w:val="22"/>
          <w:szCs w:val="22"/>
          <w:lang w:val="sr-Latn-CS" w:eastAsia="sr-Latn-CS"/>
        </w:rPr>
        <w:t>15.06.2011. godine</w:t>
      </w:r>
    </w:p>
    <w:p w14:paraId="45897DEC" w14:textId="1C344477" w:rsidR="009A5669" w:rsidRPr="00A10D67" w:rsidRDefault="009A5669" w:rsidP="00757BEE">
      <w:pPr>
        <w:tabs>
          <w:tab w:val="left" w:pos="540"/>
          <w:tab w:val="left" w:pos="569"/>
        </w:tabs>
        <w:jc w:val="both"/>
        <w:rPr>
          <w:bCs/>
          <w:sz w:val="22"/>
          <w:szCs w:val="22"/>
          <w:lang w:val="sr-Latn-ME"/>
        </w:rPr>
      </w:pPr>
      <w:r>
        <w:rPr>
          <w:sz w:val="22"/>
          <w:szCs w:val="22"/>
          <w:lang w:val="sr-Latn-CS" w:eastAsia="sr-Latn-CS"/>
        </w:rPr>
        <w:t>Datum posljednje obnove dozvole:</w:t>
      </w:r>
      <w:r w:rsidR="001F2D45" w:rsidRPr="001F2D45">
        <w:rPr>
          <w:bCs/>
          <w:sz w:val="22"/>
          <w:szCs w:val="22"/>
          <w:lang w:val="sr-Latn-ME"/>
        </w:rPr>
        <w:t xml:space="preserve"> 08.07.2024. godine</w:t>
      </w:r>
    </w:p>
    <w:p w14:paraId="7C024DAE" w14:textId="11BD1923" w:rsidR="00836B35" w:rsidRDefault="00836B35" w:rsidP="00757BEE">
      <w:pPr>
        <w:tabs>
          <w:tab w:val="left" w:pos="540"/>
          <w:tab w:val="left" w:pos="569"/>
        </w:tabs>
        <w:jc w:val="both"/>
        <w:rPr>
          <w:bCs/>
          <w:sz w:val="22"/>
          <w:szCs w:val="22"/>
          <w:lang w:val="sr-Latn-ME"/>
        </w:rPr>
      </w:pPr>
    </w:p>
    <w:p w14:paraId="1E7A1F78" w14:textId="77777777" w:rsidR="009A5669" w:rsidRPr="00A10D67" w:rsidRDefault="009A5669" w:rsidP="00757BEE">
      <w:pPr>
        <w:tabs>
          <w:tab w:val="left" w:pos="540"/>
          <w:tab w:val="left" w:pos="569"/>
        </w:tabs>
        <w:jc w:val="both"/>
        <w:rPr>
          <w:bCs/>
          <w:sz w:val="22"/>
          <w:szCs w:val="22"/>
          <w:lang w:val="sr-Latn-ME"/>
        </w:rPr>
      </w:pPr>
    </w:p>
    <w:p w14:paraId="7F6B12C7" w14:textId="77777777" w:rsidR="003F6A59" w:rsidRPr="00A10D67" w:rsidRDefault="0072020E" w:rsidP="00757BEE">
      <w:pPr>
        <w:tabs>
          <w:tab w:val="left" w:pos="540"/>
          <w:tab w:val="left" w:pos="569"/>
        </w:tabs>
        <w:ind w:left="540" w:hanging="540"/>
        <w:jc w:val="both"/>
        <w:rPr>
          <w:bCs/>
          <w:sz w:val="22"/>
          <w:szCs w:val="22"/>
          <w:lang w:val="sr-Latn-ME"/>
        </w:rPr>
      </w:pPr>
      <w:r w:rsidRPr="00A10D67">
        <w:rPr>
          <w:b/>
          <w:bCs/>
          <w:sz w:val="22"/>
          <w:szCs w:val="22"/>
          <w:lang w:val="sr-Latn-ME"/>
        </w:rPr>
        <w:t xml:space="preserve">10. </w:t>
      </w:r>
      <w:r w:rsidR="00480FB1" w:rsidRPr="00A10D67">
        <w:rPr>
          <w:b/>
          <w:bCs/>
          <w:sz w:val="22"/>
          <w:szCs w:val="22"/>
          <w:lang w:val="sr-Latn-ME"/>
        </w:rPr>
        <w:tab/>
      </w:r>
      <w:r w:rsidR="002846DB" w:rsidRPr="00A10D67">
        <w:rPr>
          <w:b/>
          <w:bCs/>
          <w:sz w:val="22"/>
          <w:szCs w:val="22"/>
          <w:lang w:val="sr-Latn-ME"/>
        </w:rPr>
        <w:t>D</w:t>
      </w:r>
      <w:r w:rsidR="00EC2532" w:rsidRPr="00A10D67">
        <w:rPr>
          <w:b/>
          <w:bCs/>
          <w:sz w:val="22"/>
          <w:szCs w:val="22"/>
          <w:lang w:val="sr-Latn-ME"/>
        </w:rPr>
        <w:t xml:space="preserve">ATUM REVIZIJE TEKSTA </w:t>
      </w:r>
    </w:p>
    <w:p w14:paraId="49BC6530" w14:textId="77777777" w:rsidR="003F6A59" w:rsidRPr="00A10D67" w:rsidRDefault="003F6A59" w:rsidP="00757BEE">
      <w:pPr>
        <w:tabs>
          <w:tab w:val="left" w:pos="540"/>
          <w:tab w:val="left" w:pos="569"/>
        </w:tabs>
        <w:jc w:val="both"/>
        <w:rPr>
          <w:bCs/>
          <w:sz w:val="22"/>
          <w:szCs w:val="22"/>
          <w:lang w:val="sr-Latn-ME"/>
        </w:rPr>
      </w:pPr>
    </w:p>
    <w:p w14:paraId="19DAE5C5" w14:textId="46F6FAE0" w:rsidR="003F6A59" w:rsidRPr="00A10D67" w:rsidRDefault="001F2D45" w:rsidP="00757BEE">
      <w:pPr>
        <w:jc w:val="both"/>
        <w:rPr>
          <w:sz w:val="22"/>
          <w:szCs w:val="22"/>
          <w:lang w:val="sr-Latn-ME"/>
        </w:rPr>
      </w:pPr>
      <w:r>
        <w:rPr>
          <w:sz w:val="22"/>
          <w:szCs w:val="22"/>
          <w:lang w:val="sr-Latn-ME"/>
        </w:rPr>
        <w:t>Jul, 2024. godine</w:t>
      </w:r>
    </w:p>
    <w:sectPr w:rsidR="003F6A59" w:rsidRPr="00A10D6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B801" w14:textId="77777777" w:rsidR="006F5D10" w:rsidRDefault="006F5D10">
      <w:r>
        <w:separator/>
      </w:r>
    </w:p>
  </w:endnote>
  <w:endnote w:type="continuationSeparator" w:id="0">
    <w:p w14:paraId="3F1567C4" w14:textId="77777777" w:rsidR="006F5D10" w:rsidRDefault="006F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F03D" w14:textId="2C7AB8E1" w:rsidR="00EF4448" w:rsidRPr="00B23F69" w:rsidRDefault="00EF444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B2E71">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B2E71">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5F2AF" w14:textId="77777777" w:rsidR="006F5D10" w:rsidRDefault="006F5D10">
      <w:r>
        <w:separator/>
      </w:r>
    </w:p>
  </w:footnote>
  <w:footnote w:type="continuationSeparator" w:id="0">
    <w:p w14:paraId="48063EFE" w14:textId="77777777" w:rsidR="006F5D10" w:rsidRDefault="006F5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6F1CAC"/>
    <w:multiLevelType w:val="hybridMultilevel"/>
    <w:tmpl w:val="0CA0B278"/>
    <w:lvl w:ilvl="0" w:tplc="9E407BC8">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01601"/>
    <w:multiLevelType w:val="hybridMultilevel"/>
    <w:tmpl w:val="BA3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8"/>
  </w:num>
  <w:num w:numId="10">
    <w:abstractNumId w:val="12"/>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378E"/>
    <w:rsid w:val="00036FA0"/>
    <w:rsid w:val="00037182"/>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19FC"/>
    <w:rsid w:val="00104FF7"/>
    <w:rsid w:val="00107BF7"/>
    <w:rsid w:val="001213EC"/>
    <w:rsid w:val="00126F53"/>
    <w:rsid w:val="0014766D"/>
    <w:rsid w:val="001536CC"/>
    <w:rsid w:val="001A3FBA"/>
    <w:rsid w:val="001A5518"/>
    <w:rsid w:val="001B1C6A"/>
    <w:rsid w:val="001C0EC5"/>
    <w:rsid w:val="001C1263"/>
    <w:rsid w:val="001C1417"/>
    <w:rsid w:val="001E390B"/>
    <w:rsid w:val="001F2D45"/>
    <w:rsid w:val="001F42FB"/>
    <w:rsid w:val="001F719A"/>
    <w:rsid w:val="00201C1F"/>
    <w:rsid w:val="002031B3"/>
    <w:rsid w:val="002056E9"/>
    <w:rsid w:val="00212C4A"/>
    <w:rsid w:val="00215931"/>
    <w:rsid w:val="002211D0"/>
    <w:rsid w:val="0022433E"/>
    <w:rsid w:val="00224C91"/>
    <w:rsid w:val="00227BDB"/>
    <w:rsid w:val="00227FE0"/>
    <w:rsid w:val="00234CB1"/>
    <w:rsid w:val="002352F8"/>
    <w:rsid w:val="002510A5"/>
    <w:rsid w:val="00254A0A"/>
    <w:rsid w:val="002608B5"/>
    <w:rsid w:val="00266046"/>
    <w:rsid w:val="002846DB"/>
    <w:rsid w:val="00284CCD"/>
    <w:rsid w:val="002C1642"/>
    <w:rsid w:val="002C6637"/>
    <w:rsid w:val="002E0135"/>
    <w:rsid w:val="002E37A5"/>
    <w:rsid w:val="00310F03"/>
    <w:rsid w:val="003247D2"/>
    <w:rsid w:val="00327C24"/>
    <w:rsid w:val="00327F21"/>
    <w:rsid w:val="003445C1"/>
    <w:rsid w:val="00355B61"/>
    <w:rsid w:val="00355DF8"/>
    <w:rsid w:val="00356374"/>
    <w:rsid w:val="00362686"/>
    <w:rsid w:val="00371510"/>
    <w:rsid w:val="00382237"/>
    <w:rsid w:val="003852E2"/>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2709"/>
    <w:rsid w:val="00436F42"/>
    <w:rsid w:val="004378B4"/>
    <w:rsid w:val="00451314"/>
    <w:rsid w:val="00452E9D"/>
    <w:rsid w:val="004534C7"/>
    <w:rsid w:val="0046666F"/>
    <w:rsid w:val="004671AA"/>
    <w:rsid w:val="00471DF8"/>
    <w:rsid w:val="00472A9A"/>
    <w:rsid w:val="0047653B"/>
    <w:rsid w:val="00480FB1"/>
    <w:rsid w:val="00483928"/>
    <w:rsid w:val="004C331F"/>
    <w:rsid w:val="004C58CC"/>
    <w:rsid w:val="004C6984"/>
    <w:rsid w:val="004D6103"/>
    <w:rsid w:val="004E3BCE"/>
    <w:rsid w:val="004E70AD"/>
    <w:rsid w:val="004F0E97"/>
    <w:rsid w:val="004F17E2"/>
    <w:rsid w:val="004F4181"/>
    <w:rsid w:val="00501DD1"/>
    <w:rsid w:val="005058C0"/>
    <w:rsid w:val="00513068"/>
    <w:rsid w:val="00514B54"/>
    <w:rsid w:val="00515C21"/>
    <w:rsid w:val="00530BD7"/>
    <w:rsid w:val="00536E61"/>
    <w:rsid w:val="00544FD6"/>
    <w:rsid w:val="00545CD2"/>
    <w:rsid w:val="005476F3"/>
    <w:rsid w:val="005549EE"/>
    <w:rsid w:val="00572527"/>
    <w:rsid w:val="00573E40"/>
    <w:rsid w:val="00576348"/>
    <w:rsid w:val="005A0B2E"/>
    <w:rsid w:val="005A11DF"/>
    <w:rsid w:val="005A23D2"/>
    <w:rsid w:val="005A36CB"/>
    <w:rsid w:val="005B49B8"/>
    <w:rsid w:val="005B52F1"/>
    <w:rsid w:val="005C0741"/>
    <w:rsid w:val="005C5EF4"/>
    <w:rsid w:val="005E2E0B"/>
    <w:rsid w:val="005E67AD"/>
    <w:rsid w:val="005E7A7D"/>
    <w:rsid w:val="00602457"/>
    <w:rsid w:val="00611561"/>
    <w:rsid w:val="00616C95"/>
    <w:rsid w:val="00644FC3"/>
    <w:rsid w:val="00646BD1"/>
    <w:rsid w:val="006561C2"/>
    <w:rsid w:val="00671CB3"/>
    <w:rsid w:val="00674BAF"/>
    <w:rsid w:val="00682200"/>
    <w:rsid w:val="00692BF6"/>
    <w:rsid w:val="006A1351"/>
    <w:rsid w:val="006A1497"/>
    <w:rsid w:val="006B0BD1"/>
    <w:rsid w:val="006B5404"/>
    <w:rsid w:val="006D20A5"/>
    <w:rsid w:val="006D37BF"/>
    <w:rsid w:val="006F57B4"/>
    <w:rsid w:val="006F5D10"/>
    <w:rsid w:val="00702E22"/>
    <w:rsid w:val="00710069"/>
    <w:rsid w:val="0072020E"/>
    <w:rsid w:val="00746DEE"/>
    <w:rsid w:val="007476CA"/>
    <w:rsid w:val="00754902"/>
    <w:rsid w:val="00757BEE"/>
    <w:rsid w:val="00786071"/>
    <w:rsid w:val="00792F50"/>
    <w:rsid w:val="007973D5"/>
    <w:rsid w:val="007A3ECB"/>
    <w:rsid w:val="007D4D85"/>
    <w:rsid w:val="007D7BB3"/>
    <w:rsid w:val="007E31E9"/>
    <w:rsid w:val="007F05E3"/>
    <w:rsid w:val="00824AB9"/>
    <w:rsid w:val="00836B35"/>
    <w:rsid w:val="00843BDE"/>
    <w:rsid w:val="0087588C"/>
    <w:rsid w:val="0089705C"/>
    <w:rsid w:val="008A6D43"/>
    <w:rsid w:val="008B2E71"/>
    <w:rsid w:val="008B491E"/>
    <w:rsid w:val="008C1A28"/>
    <w:rsid w:val="008C2E98"/>
    <w:rsid w:val="008C427C"/>
    <w:rsid w:val="008C47ED"/>
    <w:rsid w:val="008C768B"/>
    <w:rsid w:val="008E49BD"/>
    <w:rsid w:val="008E53E9"/>
    <w:rsid w:val="008E5771"/>
    <w:rsid w:val="008F4ACF"/>
    <w:rsid w:val="00924166"/>
    <w:rsid w:val="00926382"/>
    <w:rsid w:val="00940B9B"/>
    <w:rsid w:val="00953573"/>
    <w:rsid w:val="0095676E"/>
    <w:rsid w:val="00956983"/>
    <w:rsid w:val="00963CF0"/>
    <w:rsid w:val="00964BB1"/>
    <w:rsid w:val="00973182"/>
    <w:rsid w:val="00975848"/>
    <w:rsid w:val="00976EEC"/>
    <w:rsid w:val="009775D9"/>
    <w:rsid w:val="00986A20"/>
    <w:rsid w:val="00997175"/>
    <w:rsid w:val="009A1847"/>
    <w:rsid w:val="009A5669"/>
    <w:rsid w:val="009B062A"/>
    <w:rsid w:val="009C78BF"/>
    <w:rsid w:val="009E7C6F"/>
    <w:rsid w:val="009F1793"/>
    <w:rsid w:val="009F2D23"/>
    <w:rsid w:val="00A01D69"/>
    <w:rsid w:val="00A02335"/>
    <w:rsid w:val="00A10D67"/>
    <w:rsid w:val="00A20F57"/>
    <w:rsid w:val="00A46C9A"/>
    <w:rsid w:val="00A567C2"/>
    <w:rsid w:val="00A619F3"/>
    <w:rsid w:val="00A62A73"/>
    <w:rsid w:val="00A87FF6"/>
    <w:rsid w:val="00AA0A3B"/>
    <w:rsid w:val="00AA2763"/>
    <w:rsid w:val="00AA33B6"/>
    <w:rsid w:val="00AB50CA"/>
    <w:rsid w:val="00AB6D64"/>
    <w:rsid w:val="00AC53CE"/>
    <w:rsid w:val="00AD2193"/>
    <w:rsid w:val="00AF19F4"/>
    <w:rsid w:val="00AF2AC7"/>
    <w:rsid w:val="00AF74CE"/>
    <w:rsid w:val="00B12EF6"/>
    <w:rsid w:val="00B208DB"/>
    <w:rsid w:val="00B21F6B"/>
    <w:rsid w:val="00B23F69"/>
    <w:rsid w:val="00B51B3E"/>
    <w:rsid w:val="00B60619"/>
    <w:rsid w:val="00B66A70"/>
    <w:rsid w:val="00B67366"/>
    <w:rsid w:val="00B80EE1"/>
    <w:rsid w:val="00B84135"/>
    <w:rsid w:val="00BA52C6"/>
    <w:rsid w:val="00C04A16"/>
    <w:rsid w:val="00C04D34"/>
    <w:rsid w:val="00C05DF8"/>
    <w:rsid w:val="00C06864"/>
    <w:rsid w:val="00C10F54"/>
    <w:rsid w:val="00C23D8D"/>
    <w:rsid w:val="00C37AA3"/>
    <w:rsid w:val="00C37FD7"/>
    <w:rsid w:val="00C43419"/>
    <w:rsid w:val="00C44CF3"/>
    <w:rsid w:val="00C528EE"/>
    <w:rsid w:val="00C61BE0"/>
    <w:rsid w:val="00C61D74"/>
    <w:rsid w:val="00C64F6C"/>
    <w:rsid w:val="00C6707E"/>
    <w:rsid w:val="00C70B0E"/>
    <w:rsid w:val="00C773CA"/>
    <w:rsid w:val="00C83785"/>
    <w:rsid w:val="00C87FA8"/>
    <w:rsid w:val="00C94C0D"/>
    <w:rsid w:val="00CA1FEB"/>
    <w:rsid w:val="00CB4E83"/>
    <w:rsid w:val="00CC4FC4"/>
    <w:rsid w:val="00CD4F85"/>
    <w:rsid w:val="00CD6F02"/>
    <w:rsid w:val="00CE246D"/>
    <w:rsid w:val="00CF07A0"/>
    <w:rsid w:val="00CF3E03"/>
    <w:rsid w:val="00D0082A"/>
    <w:rsid w:val="00D21455"/>
    <w:rsid w:val="00D47634"/>
    <w:rsid w:val="00D51D91"/>
    <w:rsid w:val="00D709B3"/>
    <w:rsid w:val="00D74CD2"/>
    <w:rsid w:val="00D90C90"/>
    <w:rsid w:val="00DA2ED6"/>
    <w:rsid w:val="00DB1792"/>
    <w:rsid w:val="00DB1D55"/>
    <w:rsid w:val="00DB76B8"/>
    <w:rsid w:val="00DC2EA1"/>
    <w:rsid w:val="00DD64BA"/>
    <w:rsid w:val="00DD699C"/>
    <w:rsid w:val="00DD6AAF"/>
    <w:rsid w:val="00DE3F5C"/>
    <w:rsid w:val="00DE4D21"/>
    <w:rsid w:val="00DF1D20"/>
    <w:rsid w:val="00DF60E1"/>
    <w:rsid w:val="00E03B67"/>
    <w:rsid w:val="00E21324"/>
    <w:rsid w:val="00E246B9"/>
    <w:rsid w:val="00E31FEA"/>
    <w:rsid w:val="00E32B34"/>
    <w:rsid w:val="00E40653"/>
    <w:rsid w:val="00E40A2A"/>
    <w:rsid w:val="00E45169"/>
    <w:rsid w:val="00E47787"/>
    <w:rsid w:val="00E51C30"/>
    <w:rsid w:val="00E51CA0"/>
    <w:rsid w:val="00E64180"/>
    <w:rsid w:val="00E7117E"/>
    <w:rsid w:val="00E7235D"/>
    <w:rsid w:val="00E72DAA"/>
    <w:rsid w:val="00E74AEE"/>
    <w:rsid w:val="00E81F5A"/>
    <w:rsid w:val="00E868E5"/>
    <w:rsid w:val="00E9237A"/>
    <w:rsid w:val="00E939FA"/>
    <w:rsid w:val="00EA5765"/>
    <w:rsid w:val="00EC2532"/>
    <w:rsid w:val="00ED7812"/>
    <w:rsid w:val="00EF3B86"/>
    <w:rsid w:val="00EF4448"/>
    <w:rsid w:val="00F2462D"/>
    <w:rsid w:val="00F317E9"/>
    <w:rsid w:val="00F34554"/>
    <w:rsid w:val="00F35B68"/>
    <w:rsid w:val="00F45F77"/>
    <w:rsid w:val="00F5167F"/>
    <w:rsid w:val="00F52258"/>
    <w:rsid w:val="00F578FF"/>
    <w:rsid w:val="00F70302"/>
    <w:rsid w:val="00F8570A"/>
    <w:rsid w:val="00F90408"/>
    <w:rsid w:val="00F91C7B"/>
    <w:rsid w:val="00FB4AA5"/>
    <w:rsid w:val="00FD1B91"/>
    <w:rsid w:val="00FD492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6C6D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BA52C6"/>
    <w:rPr>
      <w:sz w:val="24"/>
      <w:szCs w:val="24"/>
      <w:lang w:val="en-US" w:eastAsia="en-US"/>
    </w:rPr>
  </w:style>
  <w:style w:type="paragraph" w:styleId="BodyTextIndent">
    <w:name w:val="Body Text Indent"/>
    <w:basedOn w:val="Normal"/>
    <w:link w:val="BodyTextIndentChar"/>
    <w:rsid w:val="00926382"/>
    <w:pPr>
      <w:spacing w:after="120"/>
      <w:ind w:left="360"/>
    </w:pPr>
    <w:rPr>
      <w:sz w:val="20"/>
      <w:szCs w:val="20"/>
    </w:rPr>
  </w:style>
  <w:style w:type="character" w:customStyle="1" w:styleId="BodyTextIndentChar">
    <w:name w:val="Body Text Indent Char"/>
    <w:basedOn w:val="DefaultParagraphFont"/>
    <w:link w:val="BodyTextIndent"/>
    <w:rsid w:val="00926382"/>
    <w:rPr>
      <w:lang w:val="en-US" w:eastAsia="en-US"/>
    </w:rPr>
  </w:style>
  <w:style w:type="paragraph" w:styleId="Revision">
    <w:name w:val="Revision"/>
    <w:hidden/>
    <w:uiPriority w:val="99"/>
    <w:semiHidden/>
    <w:rsid w:val="00CC4FC4"/>
    <w:rPr>
      <w:sz w:val="24"/>
      <w:szCs w:val="24"/>
      <w:lang w:val="en-US" w:eastAsia="en-US"/>
    </w:rPr>
  </w:style>
  <w:style w:type="paragraph" w:styleId="ListParagraph">
    <w:name w:val="List Paragraph"/>
    <w:basedOn w:val="Normal"/>
    <w:uiPriority w:val="34"/>
    <w:qFormat/>
    <w:rsid w:val="00FB4AA5"/>
    <w:pPr>
      <w:ind w:left="720"/>
      <w:contextualSpacing/>
    </w:pPr>
  </w:style>
  <w:style w:type="paragraph" w:styleId="BodyTextIndent3">
    <w:name w:val="Body Text Indent 3"/>
    <w:basedOn w:val="Normal"/>
    <w:link w:val="BodyTextIndent3Char"/>
    <w:unhideWhenUsed/>
    <w:rsid w:val="002056E9"/>
    <w:pPr>
      <w:spacing w:after="120"/>
      <w:ind w:left="283"/>
    </w:pPr>
    <w:rPr>
      <w:sz w:val="16"/>
      <w:szCs w:val="16"/>
    </w:rPr>
  </w:style>
  <w:style w:type="character" w:customStyle="1" w:styleId="BodyTextIndent3Char">
    <w:name w:val="Body Text Indent 3 Char"/>
    <w:basedOn w:val="DefaultParagraphFont"/>
    <w:link w:val="BodyTextIndent3"/>
    <w:rsid w:val="002056E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C6C9-9546-4FC7-8C23-50588E4C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18</Pages>
  <Words>7916</Words>
  <Characters>45127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52938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59</cp:revision>
  <cp:lastPrinted>2023-02-09T08:16:00Z</cp:lastPrinted>
  <dcterms:created xsi:type="dcterms:W3CDTF">2023-02-13T11:45:00Z</dcterms:created>
  <dcterms:modified xsi:type="dcterms:W3CDTF">2025-05-29T10:13:00Z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