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E801E" w14:textId="42756803" w:rsidR="002510A5" w:rsidRPr="00C12098" w:rsidRDefault="0059051B" w:rsidP="0059051B">
      <w:pPr>
        <w:jc w:val="both"/>
        <w:rPr>
          <w:b/>
          <w:bCs/>
          <w:iCs/>
          <w:sz w:val="22"/>
          <w:szCs w:val="22"/>
          <w:u w:val="single"/>
          <w:lang w:val="sr-Latn-ME"/>
        </w:rPr>
      </w:pPr>
      <w:r w:rsidRPr="00C12098">
        <w:rPr>
          <w:b/>
          <w:bCs/>
          <w:iCs/>
          <w:sz w:val="22"/>
          <w:szCs w:val="22"/>
          <w:lang w:val="sr-Latn-ME"/>
        </w:rPr>
        <w:t xml:space="preserve">                                               </w:t>
      </w:r>
      <w:r w:rsidR="002510A5" w:rsidRPr="00C12098">
        <w:rPr>
          <w:b/>
          <w:bCs/>
          <w:iCs/>
          <w:sz w:val="22"/>
          <w:szCs w:val="22"/>
          <w:u w:val="single"/>
          <w:lang w:val="sr-Latn-ME"/>
        </w:rPr>
        <w:t>SAŽETAK KARAKTERISTIKA LIJEKA</w:t>
      </w:r>
    </w:p>
    <w:p w14:paraId="4045DE95" w14:textId="77777777" w:rsidR="002510A5" w:rsidRPr="00C12098" w:rsidRDefault="002510A5" w:rsidP="0059051B">
      <w:pPr>
        <w:jc w:val="both"/>
        <w:rPr>
          <w:b/>
          <w:bCs/>
          <w:i/>
          <w:iCs/>
          <w:sz w:val="22"/>
          <w:szCs w:val="22"/>
          <w:lang w:val="sr-Latn-ME"/>
        </w:rPr>
      </w:pPr>
    </w:p>
    <w:p w14:paraId="5378D252" w14:textId="77777777" w:rsidR="003C17AB" w:rsidRPr="00C12098" w:rsidRDefault="003C17AB" w:rsidP="0059051B">
      <w:pPr>
        <w:jc w:val="both"/>
        <w:rPr>
          <w:sz w:val="22"/>
          <w:szCs w:val="22"/>
          <w:lang w:val="sr-Latn-ME"/>
        </w:rPr>
      </w:pPr>
    </w:p>
    <w:p w14:paraId="69FC3AFB" w14:textId="77777777" w:rsidR="00C37FD7" w:rsidRPr="00C12098" w:rsidRDefault="00C37FD7" w:rsidP="0059051B">
      <w:pPr>
        <w:tabs>
          <w:tab w:val="left" w:pos="540"/>
          <w:tab w:val="left" w:pos="569"/>
        </w:tabs>
        <w:jc w:val="both"/>
        <w:rPr>
          <w:bCs/>
          <w:sz w:val="22"/>
          <w:szCs w:val="22"/>
          <w:lang w:val="sr-Latn-ME"/>
        </w:rPr>
      </w:pPr>
    </w:p>
    <w:p w14:paraId="0C6FA20D" w14:textId="77777777"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t>1.</w:t>
      </w:r>
      <w:r w:rsidR="00F5167F" w:rsidRPr="00C12098">
        <w:rPr>
          <w:b/>
          <w:bCs/>
          <w:sz w:val="22"/>
          <w:szCs w:val="22"/>
          <w:lang w:val="sr-Latn-ME"/>
        </w:rPr>
        <w:tab/>
      </w:r>
      <w:r w:rsidR="002846DB" w:rsidRPr="00C12098">
        <w:rPr>
          <w:b/>
          <w:bCs/>
          <w:sz w:val="22"/>
          <w:szCs w:val="22"/>
          <w:lang w:val="sr-Latn-ME"/>
        </w:rPr>
        <w:t xml:space="preserve">NAZIV </w:t>
      </w:r>
      <w:r w:rsidRPr="00C12098">
        <w:rPr>
          <w:b/>
          <w:bCs/>
          <w:sz w:val="22"/>
          <w:szCs w:val="22"/>
          <w:lang w:val="sr-Latn-ME"/>
        </w:rPr>
        <w:t>LIJEKA</w:t>
      </w:r>
    </w:p>
    <w:p w14:paraId="31A891A8" w14:textId="77777777" w:rsidR="00EC2532" w:rsidRPr="00C12098" w:rsidRDefault="00EC2532" w:rsidP="0059051B">
      <w:pPr>
        <w:jc w:val="both"/>
        <w:rPr>
          <w:sz w:val="22"/>
          <w:szCs w:val="22"/>
          <w:lang w:val="sr-Latn-ME"/>
        </w:rPr>
      </w:pPr>
    </w:p>
    <w:p w14:paraId="322F04FB" w14:textId="77777777" w:rsidR="00412551" w:rsidRPr="00C12098" w:rsidRDefault="00412551" w:rsidP="0059051B">
      <w:pPr>
        <w:jc w:val="both"/>
        <w:rPr>
          <w:sz w:val="22"/>
          <w:szCs w:val="22"/>
          <w:lang w:val="sr-Latn-ME"/>
        </w:rPr>
      </w:pPr>
      <w:r w:rsidRPr="00C12098">
        <w:rPr>
          <w:sz w:val="22"/>
          <w:szCs w:val="22"/>
          <w:lang w:val="sr-Latn-ME"/>
        </w:rPr>
        <w:t>SONA DUO 1 mg/g + 25 mg/g gel</w:t>
      </w:r>
    </w:p>
    <w:p w14:paraId="3CEA3C71" w14:textId="77777777" w:rsidR="000D425A" w:rsidRPr="00C12098" w:rsidRDefault="000D425A" w:rsidP="0059051B">
      <w:pPr>
        <w:jc w:val="both"/>
        <w:rPr>
          <w:bCs/>
          <w:sz w:val="22"/>
          <w:szCs w:val="22"/>
          <w:lang w:val="sr-Latn-ME"/>
        </w:rPr>
      </w:pPr>
    </w:p>
    <w:p w14:paraId="011D93D8" w14:textId="0F68D4D3" w:rsidR="006D20A5" w:rsidRPr="00C12098" w:rsidRDefault="006D20A5" w:rsidP="0059051B">
      <w:pPr>
        <w:tabs>
          <w:tab w:val="left" w:pos="1005"/>
        </w:tabs>
        <w:jc w:val="both"/>
        <w:rPr>
          <w:sz w:val="22"/>
          <w:szCs w:val="22"/>
          <w:lang w:val="sr-Latn-ME"/>
        </w:rPr>
      </w:pPr>
      <w:r w:rsidRPr="00C12098">
        <w:rPr>
          <w:sz w:val="22"/>
          <w:szCs w:val="22"/>
          <w:lang w:val="sr-Latn-ME"/>
        </w:rPr>
        <w:t>INN:</w:t>
      </w:r>
      <w:r w:rsidR="00412551" w:rsidRPr="00C12098">
        <w:rPr>
          <w:sz w:val="22"/>
          <w:szCs w:val="22"/>
          <w:lang w:val="sr-Latn-ME"/>
        </w:rPr>
        <w:t xml:space="preserve"> adapalen, benzoil peroksid</w:t>
      </w:r>
      <w:r w:rsidR="00412551" w:rsidRPr="00C12098">
        <w:rPr>
          <w:sz w:val="22"/>
          <w:szCs w:val="22"/>
          <w:lang w:val="sr-Latn-ME"/>
        </w:rPr>
        <w:tab/>
      </w:r>
    </w:p>
    <w:p w14:paraId="66BD824F" w14:textId="77777777" w:rsidR="006D20A5" w:rsidRPr="00C12098" w:rsidRDefault="006D20A5" w:rsidP="0059051B">
      <w:pPr>
        <w:jc w:val="both"/>
        <w:rPr>
          <w:bCs/>
          <w:sz w:val="22"/>
          <w:szCs w:val="22"/>
          <w:lang w:val="sr-Latn-ME"/>
        </w:rPr>
      </w:pPr>
    </w:p>
    <w:p w14:paraId="0F3CFD6D" w14:textId="77777777" w:rsidR="00530BD7" w:rsidRPr="00C12098" w:rsidRDefault="00530BD7" w:rsidP="0059051B">
      <w:pPr>
        <w:jc w:val="both"/>
        <w:rPr>
          <w:bCs/>
          <w:sz w:val="22"/>
          <w:szCs w:val="22"/>
          <w:lang w:val="sr-Latn-ME"/>
        </w:rPr>
      </w:pPr>
    </w:p>
    <w:p w14:paraId="31D2ECAE" w14:textId="77777777"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t xml:space="preserve">2. </w:t>
      </w:r>
      <w:r w:rsidR="00F5167F" w:rsidRPr="00C12098">
        <w:rPr>
          <w:b/>
          <w:bCs/>
          <w:sz w:val="22"/>
          <w:szCs w:val="22"/>
          <w:lang w:val="sr-Latn-ME"/>
        </w:rPr>
        <w:tab/>
      </w:r>
      <w:r w:rsidRPr="00C12098">
        <w:rPr>
          <w:b/>
          <w:bCs/>
          <w:sz w:val="22"/>
          <w:szCs w:val="22"/>
          <w:lang w:val="sr-Latn-ME"/>
        </w:rPr>
        <w:t>KVALITATIVNI I KVANTITATIVNI SASTAV</w:t>
      </w:r>
    </w:p>
    <w:p w14:paraId="03CE9DE4" w14:textId="64E9F997" w:rsidR="005A0B2E" w:rsidRPr="00C12098" w:rsidRDefault="005A0B2E" w:rsidP="0059051B">
      <w:pPr>
        <w:jc w:val="both"/>
        <w:rPr>
          <w:sz w:val="22"/>
          <w:szCs w:val="22"/>
          <w:lang w:val="sr-Latn-ME"/>
        </w:rPr>
      </w:pPr>
    </w:p>
    <w:p w14:paraId="245DA7DB" w14:textId="4202C68C" w:rsidR="00412551" w:rsidRPr="00C12098" w:rsidRDefault="00412551" w:rsidP="0059051B">
      <w:pPr>
        <w:jc w:val="both"/>
        <w:rPr>
          <w:sz w:val="22"/>
          <w:szCs w:val="22"/>
          <w:lang w:val="sr-Latn-ME"/>
        </w:rPr>
      </w:pPr>
      <w:r w:rsidRPr="00C12098">
        <w:rPr>
          <w:sz w:val="22"/>
          <w:szCs w:val="22"/>
          <w:lang w:val="sr-Latn-ME"/>
        </w:rPr>
        <w:t>Jedan gram gela sadrži 1 mg adapalena i 25 mg benzoil peroksida (u obliku benzoil peroksida s</w:t>
      </w:r>
      <w:r w:rsidR="0059051B" w:rsidRPr="00C12098">
        <w:rPr>
          <w:sz w:val="22"/>
          <w:szCs w:val="22"/>
          <w:lang w:val="sr-Latn-ME"/>
        </w:rPr>
        <w:t>a</w:t>
      </w:r>
      <w:r w:rsidRPr="00C12098">
        <w:rPr>
          <w:sz w:val="22"/>
          <w:szCs w:val="22"/>
          <w:lang w:val="sr-Latn-ME"/>
        </w:rPr>
        <w:t xml:space="preserve"> vodom).</w:t>
      </w:r>
    </w:p>
    <w:p w14:paraId="37FD4251" w14:textId="77777777" w:rsidR="00412551" w:rsidRPr="00C12098" w:rsidRDefault="00412551" w:rsidP="0059051B">
      <w:pPr>
        <w:jc w:val="both"/>
        <w:rPr>
          <w:sz w:val="22"/>
          <w:szCs w:val="22"/>
          <w:lang w:val="sr-Latn-ME"/>
        </w:rPr>
      </w:pPr>
    </w:p>
    <w:p w14:paraId="09E5FB64" w14:textId="77777777" w:rsidR="00412551" w:rsidRPr="00C12098" w:rsidRDefault="00412551" w:rsidP="0059051B">
      <w:pPr>
        <w:jc w:val="both"/>
        <w:rPr>
          <w:sz w:val="22"/>
          <w:szCs w:val="22"/>
          <w:lang w:val="sr-Latn-ME"/>
        </w:rPr>
      </w:pPr>
      <w:r w:rsidRPr="00C12098">
        <w:rPr>
          <w:sz w:val="22"/>
          <w:szCs w:val="22"/>
          <w:lang w:val="sr-Latn-ME"/>
        </w:rPr>
        <w:t xml:space="preserve">Pomoćna supstanca sa poznatim dejstvom: </w:t>
      </w:r>
    </w:p>
    <w:p w14:paraId="7F18FA08" w14:textId="5E51C0AD" w:rsidR="00412551" w:rsidRPr="00C12098" w:rsidRDefault="00412551" w:rsidP="0059051B">
      <w:pPr>
        <w:jc w:val="both"/>
        <w:rPr>
          <w:sz w:val="22"/>
          <w:szCs w:val="22"/>
          <w:lang w:val="sr-Latn-ME"/>
        </w:rPr>
      </w:pPr>
      <w:r w:rsidRPr="00C12098">
        <w:rPr>
          <w:sz w:val="22"/>
          <w:szCs w:val="22"/>
          <w:lang w:val="sr-Latn-ME"/>
        </w:rPr>
        <w:t>1 g gela sadrži 40 mg propilen</w:t>
      </w:r>
      <w:r w:rsidR="00E674B0" w:rsidRPr="00C12098">
        <w:rPr>
          <w:sz w:val="22"/>
          <w:szCs w:val="22"/>
          <w:lang w:val="sr-Latn-ME"/>
        </w:rPr>
        <w:t xml:space="preserve"> </w:t>
      </w:r>
      <w:r w:rsidRPr="00C12098">
        <w:rPr>
          <w:sz w:val="22"/>
          <w:szCs w:val="22"/>
          <w:lang w:val="sr-Latn-ME"/>
        </w:rPr>
        <w:t>glikola.</w:t>
      </w:r>
    </w:p>
    <w:p w14:paraId="13F8B662" w14:textId="77777777" w:rsidR="00412551" w:rsidRPr="00C12098" w:rsidRDefault="00412551" w:rsidP="0059051B">
      <w:pPr>
        <w:jc w:val="both"/>
        <w:rPr>
          <w:sz w:val="22"/>
          <w:szCs w:val="22"/>
          <w:lang w:val="sr-Latn-ME"/>
        </w:rPr>
      </w:pPr>
    </w:p>
    <w:p w14:paraId="288BDCAA" w14:textId="77777777" w:rsidR="0003793F" w:rsidRPr="00C12098" w:rsidRDefault="0003793F" w:rsidP="0059051B">
      <w:pPr>
        <w:jc w:val="both"/>
        <w:rPr>
          <w:sz w:val="22"/>
          <w:szCs w:val="22"/>
          <w:lang w:val="sr-Latn-ME"/>
        </w:rPr>
      </w:pPr>
      <w:r w:rsidRPr="00C12098">
        <w:rPr>
          <w:sz w:val="22"/>
          <w:szCs w:val="22"/>
          <w:lang w:val="sr-Latn-ME"/>
        </w:rPr>
        <w:t>Za spisak svih ekscipijenasa, pogledati dio 6.1.</w:t>
      </w:r>
    </w:p>
    <w:p w14:paraId="189D3F60" w14:textId="77777777" w:rsidR="0003793F" w:rsidRPr="00C12098" w:rsidRDefault="0003793F" w:rsidP="0059051B">
      <w:pPr>
        <w:jc w:val="both"/>
        <w:rPr>
          <w:sz w:val="22"/>
          <w:szCs w:val="22"/>
          <w:lang w:val="sr-Latn-ME"/>
        </w:rPr>
      </w:pPr>
    </w:p>
    <w:p w14:paraId="639502A4" w14:textId="77777777" w:rsidR="00C37FD7" w:rsidRPr="00C12098" w:rsidRDefault="00C37FD7" w:rsidP="0059051B">
      <w:pPr>
        <w:jc w:val="both"/>
        <w:rPr>
          <w:sz w:val="22"/>
          <w:szCs w:val="22"/>
          <w:lang w:val="sr-Latn-ME"/>
        </w:rPr>
      </w:pPr>
    </w:p>
    <w:p w14:paraId="66933354" w14:textId="77777777"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t xml:space="preserve">3. </w:t>
      </w:r>
      <w:r w:rsidR="00F5167F" w:rsidRPr="00C12098">
        <w:rPr>
          <w:b/>
          <w:bCs/>
          <w:sz w:val="22"/>
          <w:szCs w:val="22"/>
          <w:lang w:val="sr-Latn-ME"/>
        </w:rPr>
        <w:tab/>
      </w:r>
      <w:r w:rsidRPr="00C12098">
        <w:rPr>
          <w:b/>
          <w:bCs/>
          <w:sz w:val="22"/>
          <w:szCs w:val="22"/>
          <w:lang w:val="sr-Latn-ME"/>
        </w:rPr>
        <w:t>FARMACEUTSKI OBLIK</w:t>
      </w:r>
      <w:r w:rsidR="009F2D23" w:rsidRPr="00C12098">
        <w:rPr>
          <w:b/>
          <w:bCs/>
          <w:sz w:val="22"/>
          <w:szCs w:val="22"/>
          <w:lang w:val="sr-Latn-ME"/>
        </w:rPr>
        <w:t xml:space="preserve"> </w:t>
      </w:r>
    </w:p>
    <w:p w14:paraId="382510FB" w14:textId="77777777" w:rsidR="00411B4B" w:rsidRPr="00C12098" w:rsidRDefault="00411B4B" w:rsidP="0059051B">
      <w:pPr>
        <w:jc w:val="both"/>
        <w:rPr>
          <w:bCs/>
          <w:sz w:val="22"/>
          <w:szCs w:val="22"/>
          <w:lang w:val="sr-Latn-ME"/>
        </w:rPr>
      </w:pPr>
    </w:p>
    <w:p w14:paraId="208C1333" w14:textId="77777777" w:rsidR="005C0E13" w:rsidRPr="00C12098" w:rsidRDefault="005C0E13" w:rsidP="0059051B">
      <w:pPr>
        <w:jc w:val="both"/>
        <w:rPr>
          <w:bCs/>
          <w:sz w:val="22"/>
          <w:szCs w:val="22"/>
          <w:lang w:val="sr-Latn-ME"/>
        </w:rPr>
      </w:pPr>
      <w:r w:rsidRPr="00C12098">
        <w:rPr>
          <w:bCs/>
          <w:sz w:val="22"/>
          <w:szCs w:val="22"/>
          <w:lang w:val="sr-Latn-ME"/>
        </w:rPr>
        <w:t>Gel.</w:t>
      </w:r>
    </w:p>
    <w:p w14:paraId="01094381" w14:textId="35070075" w:rsidR="00EC2532" w:rsidRPr="00C12098" w:rsidRDefault="005C0E13" w:rsidP="0059051B">
      <w:pPr>
        <w:jc w:val="both"/>
        <w:rPr>
          <w:bCs/>
          <w:sz w:val="22"/>
          <w:szCs w:val="22"/>
          <w:lang w:val="sr-Latn-ME"/>
        </w:rPr>
      </w:pPr>
      <w:r w:rsidRPr="00C12098">
        <w:rPr>
          <w:bCs/>
          <w:sz w:val="22"/>
          <w:szCs w:val="22"/>
          <w:lang w:val="sr-Latn-ME"/>
        </w:rPr>
        <w:t>Bijeli do</w:t>
      </w:r>
      <w:r w:rsidR="00580E88" w:rsidRPr="00C12098">
        <w:rPr>
          <w:bCs/>
          <w:sz w:val="22"/>
          <w:szCs w:val="22"/>
          <w:lang w:val="sr-Latn-ME"/>
        </w:rPr>
        <w:t xml:space="preserve"> </w:t>
      </w:r>
      <w:r w:rsidRPr="00C12098">
        <w:rPr>
          <w:bCs/>
          <w:sz w:val="22"/>
          <w:szCs w:val="22"/>
          <w:lang w:val="sr-Latn-ME"/>
        </w:rPr>
        <w:t>svijetložuti neprovidan gel.</w:t>
      </w:r>
    </w:p>
    <w:p w14:paraId="14A18FF3" w14:textId="6228E4A2" w:rsidR="005C0E13" w:rsidRPr="00C12098" w:rsidRDefault="005C0E13" w:rsidP="0059051B">
      <w:pPr>
        <w:jc w:val="both"/>
        <w:rPr>
          <w:bCs/>
          <w:sz w:val="22"/>
          <w:szCs w:val="22"/>
          <w:lang w:val="sr-Latn-ME"/>
        </w:rPr>
      </w:pPr>
    </w:p>
    <w:p w14:paraId="55D80C11" w14:textId="77777777" w:rsidR="00E674B0" w:rsidRPr="00C12098" w:rsidRDefault="00E674B0" w:rsidP="0059051B">
      <w:pPr>
        <w:jc w:val="both"/>
        <w:rPr>
          <w:bCs/>
          <w:sz w:val="22"/>
          <w:szCs w:val="22"/>
          <w:lang w:val="sr-Latn-ME"/>
        </w:rPr>
      </w:pPr>
    </w:p>
    <w:p w14:paraId="5B6F68EE" w14:textId="77777777"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t xml:space="preserve">4. </w:t>
      </w:r>
      <w:r w:rsidR="00480FB1" w:rsidRPr="00C12098">
        <w:rPr>
          <w:b/>
          <w:bCs/>
          <w:sz w:val="22"/>
          <w:szCs w:val="22"/>
          <w:lang w:val="sr-Latn-ME"/>
        </w:rPr>
        <w:tab/>
      </w:r>
      <w:r w:rsidRPr="00C12098">
        <w:rPr>
          <w:b/>
          <w:bCs/>
          <w:sz w:val="22"/>
          <w:szCs w:val="22"/>
          <w:lang w:val="sr-Latn-ME"/>
        </w:rPr>
        <w:t>KLINIČKI PODACI</w:t>
      </w:r>
    </w:p>
    <w:p w14:paraId="5C194DB9" w14:textId="77777777" w:rsidR="00CD6F02" w:rsidRPr="00C12098" w:rsidRDefault="00CD6F02" w:rsidP="0059051B">
      <w:pPr>
        <w:tabs>
          <w:tab w:val="left" w:pos="540"/>
          <w:tab w:val="left" w:pos="569"/>
        </w:tabs>
        <w:jc w:val="both"/>
        <w:rPr>
          <w:bCs/>
          <w:sz w:val="22"/>
          <w:szCs w:val="22"/>
          <w:lang w:val="sr-Latn-ME"/>
        </w:rPr>
      </w:pPr>
    </w:p>
    <w:p w14:paraId="51C7A0A7" w14:textId="77777777"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t xml:space="preserve">4.1. </w:t>
      </w:r>
      <w:r w:rsidR="00480FB1" w:rsidRPr="00C12098">
        <w:rPr>
          <w:b/>
          <w:bCs/>
          <w:sz w:val="22"/>
          <w:szCs w:val="22"/>
          <w:lang w:val="sr-Latn-ME"/>
        </w:rPr>
        <w:tab/>
      </w:r>
      <w:r w:rsidRPr="00C12098">
        <w:rPr>
          <w:b/>
          <w:bCs/>
          <w:sz w:val="22"/>
          <w:szCs w:val="22"/>
          <w:lang w:val="sr-Latn-ME"/>
        </w:rPr>
        <w:t>Terapijske indikacije</w:t>
      </w:r>
    </w:p>
    <w:p w14:paraId="726AF677" w14:textId="1F931330" w:rsidR="00411B4B" w:rsidRPr="00C12098" w:rsidRDefault="00411B4B" w:rsidP="0059051B">
      <w:pPr>
        <w:tabs>
          <w:tab w:val="left" w:pos="540"/>
          <w:tab w:val="left" w:pos="569"/>
        </w:tabs>
        <w:jc w:val="both"/>
        <w:rPr>
          <w:bCs/>
          <w:sz w:val="22"/>
          <w:szCs w:val="22"/>
          <w:lang w:val="sr-Latn-ME"/>
        </w:rPr>
      </w:pPr>
    </w:p>
    <w:p w14:paraId="6F0AE4AE" w14:textId="77777777"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 xml:space="preserve">Kožno liječenje </w:t>
      </w:r>
      <w:r w:rsidRPr="00C12098">
        <w:rPr>
          <w:bCs/>
          <w:i/>
          <w:sz w:val="22"/>
          <w:szCs w:val="22"/>
          <w:lang w:val="sr-Latn-ME"/>
        </w:rPr>
        <w:t>acne vulgaris</w:t>
      </w:r>
      <w:r w:rsidRPr="00C12098">
        <w:rPr>
          <w:bCs/>
          <w:sz w:val="22"/>
          <w:szCs w:val="22"/>
          <w:lang w:val="sr-Latn-ME"/>
        </w:rPr>
        <w:t xml:space="preserve"> kada su prisutni komedoni, papule i pustule (vidjeti dio 5.1).</w:t>
      </w:r>
    </w:p>
    <w:p w14:paraId="6853DDE5" w14:textId="6929DBC7"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 xml:space="preserve">Lijek SONA DUO je indikovan kod odraslih, adolescenata i djece uzrasta od 9 godina i starije.  </w:t>
      </w:r>
    </w:p>
    <w:p w14:paraId="05E13EA8" w14:textId="77777777" w:rsidR="005C0E13" w:rsidRPr="00C12098" w:rsidRDefault="005C0E13" w:rsidP="0059051B">
      <w:pPr>
        <w:tabs>
          <w:tab w:val="left" w:pos="540"/>
          <w:tab w:val="left" w:pos="569"/>
        </w:tabs>
        <w:jc w:val="both"/>
        <w:rPr>
          <w:bCs/>
          <w:sz w:val="22"/>
          <w:szCs w:val="22"/>
          <w:lang w:val="sr-Latn-ME"/>
        </w:rPr>
      </w:pPr>
    </w:p>
    <w:p w14:paraId="0C7E1E3B" w14:textId="77777777"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t xml:space="preserve">4.2. </w:t>
      </w:r>
      <w:r w:rsidR="00480FB1" w:rsidRPr="00C12098">
        <w:rPr>
          <w:b/>
          <w:bCs/>
          <w:sz w:val="22"/>
          <w:szCs w:val="22"/>
          <w:lang w:val="sr-Latn-ME"/>
        </w:rPr>
        <w:tab/>
      </w:r>
      <w:r w:rsidRPr="00C12098">
        <w:rPr>
          <w:b/>
          <w:bCs/>
          <w:sz w:val="22"/>
          <w:szCs w:val="22"/>
          <w:lang w:val="sr-Latn-ME"/>
        </w:rPr>
        <w:t>Doziranje i način primjene</w:t>
      </w:r>
    </w:p>
    <w:p w14:paraId="5D5A7F98" w14:textId="77777777" w:rsidR="0072020E" w:rsidRPr="00C12098" w:rsidRDefault="0072020E" w:rsidP="0059051B">
      <w:pPr>
        <w:tabs>
          <w:tab w:val="left" w:pos="540"/>
          <w:tab w:val="left" w:pos="569"/>
        </w:tabs>
        <w:jc w:val="both"/>
        <w:rPr>
          <w:bCs/>
          <w:sz w:val="22"/>
          <w:szCs w:val="22"/>
          <w:lang w:val="sr-Latn-ME"/>
        </w:rPr>
      </w:pPr>
    </w:p>
    <w:p w14:paraId="73DDD2F7" w14:textId="5384EE9F" w:rsidR="00452E9D" w:rsidRPr="00C12098" w:rsidRDefault="00452E9D" w:rsidP="0059051B">
      <w:pPr>
        <w:tabs>
          <w:tab w:val="left" w:pos="540"/>
          <w:tab w:val="left" w:pos="569"/>
        </w:tabs>
        <w:jc w:val="both"/>
        <w:rPr>
          <w:bCs/>
          <w:sz w:val="22"/>
          <w:szCs w:val="22"/>
          <w:u w:val="single"/>
          <w:lang w:val="sr-Latn-ME"/>
        </w:rPr>
      </w:pPr>
      <w:r w:rsidRPr="00C12098">
        <w:rPr>
          <w:bCs/>
          <w:sz w:val="22"/>
          <w:szCs w:val="22"/>
          <w:u w:val="single"/>
          <w:lang w:val="sr-Latn-ME"/>
        </w:rPr>
        <w:t>Doziranje</w:t>
      </w:r>
    </w:p>
    <w:p w14:paraId="741CE4B4" w14:textId="65C54A2E"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SONA DUO gel je potrebno prim</w:t>
      </w:r>
      <w:r w:rsidR="00E674B0" w:rsidRPr="00C12098">
        <w:rPr>
          <w:bCs/>
          <w:sz w:val="22"/>
          <w:szCs w:val="22"/>
          <w:lang w:val="sr-Latn-ME"/>
        </w:rPr>
        <w:t>i</w:t>
      </w:r>
      <w:r w:rsidRPr="00C12098">
        <w:rPr>
          <w:bCs/>
          <w:sz w:val="22"/>
          <w:szCs w:val="22"/>
          <w:lang w:val="sr-Latn-ME"/>
        </w:rPr>
        <w:t>jeniti na cijelo područje zahvaćeno aknama jednom dnevno uveče na čistu i suvu kožu. Potrebno je vrhovima prstiju nanijeti tanki sloj gela, izbjegavajući oči i usne (vidjeti dio 4.4).</w:t>
      </w:r>
    </w:p>
    <w:p w14:paraId="137EB372" w14:textId="77777777" w:rsidR="005C0E13" w:rsidRPr="00C12098" w:rsidRDefault="005C0E13" w:rsidP="0059051B">
      <w:pPr>
        <w:tabs>
          <w:tab w:val="left" w:pos="540"/>
          <w:tab w:val="left" w:pos="569"/>
        </w:tabs>
        <w:jc w:val="both"/>
        <w:rPr>
          <w:bCs/>
          <w:sz w:val="22"/>
          <w:szCs w:val="22"/>
          <w:lang w:val="sr-Latn-ME"/>
        </w:rPr>
      </w:pPr>
    </w:p>
    <w:p w14:paraId="7EB6DF2C" w14:textId="77777777"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 xml:space="preserve">Tuba: Količina gela koja stane na vrh prsta je otprilike 2,5 cm gela što odgovara prosječnoj količini gela od oko 0,5 g. </w:t>
      </w:r>
    </w:p>
    <w:p w14:paraId="489C951E" w14:textId="77777777"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 xml:space="preserve">Bočica: Jedan potisak daje prosječnu količinu gela od oko 0,5 g. </w:t>
      </w:r>
    </w:p>
    <w:p w14:paraId="3A117CBC" w14:textId="77777777" w:rsidR="005C0E13" w:rsidRPr="00C12098" w:rsidRDefault="005C0E13" w:rsidP="0059051B">
      <w:pPr>
        <w:tabs>
          <w:tab w:val="left" w:pos="540"/>
          <w:tab w:val="left" w:pos="569"/>
        </w:tabs>
        <w:jc w:val="both"/>
        <w:rPr>
          <w:bCs/>
          <w:sz w:val="22"/>
          <w:szCs w:val="22"/>
          <w:lang w:val="sr-Latn-ME"/>
        </w:rPr>
      </w:pPr>
    </w:p>
    <w:p w14:paraId="4BEB1429" w14:textId="713C7B5A"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 xml:space="preserve">Ako se pojavi iritacija, pacijentu treba preporučiti da primjenjuje nekomedogene proizvode za hidrataciju kože, rjeđe uzima lijek (npr. svaki drugi dan), privremeno ili potpuno prestane </w:t>
      </w:r>
      <w:r w:rsidR="006609C2" w:rsidRPr="00C12098">
        <w:rPr>
          <w:bCs/>
          <w:sz w:val="22"/>
          <w:szCs w:val="22"/>
          <w:lang w:val="sr-Latn-ME"/>
        </w:rPr>
        <w:t xml:space="preserve">sa primjenom </w:t>
      </w:r>
      <w:r w:rsidRPr="00C12098">
        <w:rPr>
          <w:bCs/>
          <w:sz w:val="22"/>
          <w:szCs w:val="22"/>
          <w:lang w:val="sr-Latn-ME"/>
        </w:rPr>
        <w:t>lijek</w:t>
      </w:r>
      <w:r w:rsidR="006609C2" w:rsidRPr="00C12098">
        <w:rPr>
          <w:bCs/>
          <w:sz w:val="22"/>
          <w:szCs w:val="22"/>
          <w:lang w:val="sr-Latn-ME"/>
        </w:rPr>
        <w:t>a</w:t>
      </w:r>
      <w:r w:rsidRPr="00C12098">
        <w:rPr>
          <w:bCs/>
          <w:sz w:val="22"/>
          <w:szCs w:val="22"/>
          <w:lang w:val="sr-Latn-ME"/>
        </w:rPr>
        <w:t>.</w:t>
      </w:r>
    </w:p>
    <w:p w14:paraId="147136E6" w14:textId="77777777" w:rsidR="005C0E13" w:rsidRPr="00C12098" w:rsidRDefault="005C0E13" w:rsidP="0059051B">
      <w:pPr>
        <w:tabs>
          <w:tab w:val="left" w:pos="540"/>
          <w:tab w:val="left" w:pos="569"/>
        </w:tabs>
        <w:jc w:val="both"/>
        <w:rPr>
          <w:bCs/>
          <w:sz w:val="22"/>
          <w:szCs w:val="22"/>
          <w:lang w:val="sr-Latn-ME"/>
        </w:rPr>
      </w:pPr>
    </w:p>
    <w:p w14:paraId="2DC32912" w14:textId="7BE03F2D"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Trajanje liječenja određuje ljekar na osnovu kliničkog stanja. Rani znakovi kliničkog poboljšanja obično se javljaju nakon jedne do četiri ned</w:t>
      </w:r>
      <w:r w:rsidR="00A75891" w:rsidRPr="00C12098">
        <w:rPr>
          <w:bCs/>
          <w:sz w:val="22"/>
          <w:szCs w:val="22"/>
          <w:lang w:val="sr-Latn-ME"/>
        </w:rPr>
        <w:t>j</w:t>
      </w:r>
      <w:r w:rsidRPr="00C12098">
        <w:rPr>
          <w:bCs/>
          <w:sz w:val="22"/>
          <w:szCs w:val="22"/>
          <w:lang w:val="sr-Latn-ME"/>
        </w:rPr>
        <w:t>elje liječenja.</w:t>
      </w:r>
    </w:p>
    <w:p w14:paraId="35F8C296" w14:textId="234DD826" w:rsidR="005C0E13" w:rsidRPr="00C12098" w:rsidRDefault="005C0E13" w:rsidP="0059051B">
      <w:pPr>
        <w:tabs>
          <w:tab w:val="left" w:pos="540"/>
          <w:tab w:val="left" w:pos="569"/>
        </w:tabs>
        <w:jc w:val="both"/>
        <w:rPr>
          <w:bCs/>
          <w:sz w:val="22"/>
          <w:szCs w:val="22"/>
          <w:lang w:val="sr-Latn-ME"/>
        </w:rPr>
      </w:pPr>
    </w:p>
    <w:p w14:paraId="7C69F39B" w14:textId="0FA84A2E"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Bezbjednost i efikasnost SONA DUO gela nije ispitivana kod djece mlađe od 9 godina.</w:t>
      </w:r>
    </w:p>
    <w:p w14:paraId="1FF34B63" w14:textId="77777777" w:rsidR="00452E9D" w:rsidRPr="00C12098" w:rsidRDefault="00452E9D" w:rsidP="0059051B">
      <w:pPr>
        <w:tabs>
          <w:tab w:val="left" w:pos="540"/>
          <w:tab w:val="left" w:pos="569"/>
        </w:tabs>
        <w:jc w:val="both"/>
        <w:rPr>
          <w:bCs/>
          <w:sz w:val="22"/>
          <w:szCs w:val="22"/>
          <w:u w:val="single"/>
          <w:lang w:val="sr-Latn-ME"/>
        </w:rPr>
      </w:pPr>
    </w:p>
    <w:p w14:paraId="539FDFF8" w14:textId="46328CD8" w:rsidR="00452E9D" w:rsidRPr="00C12098" w:rsidRDefault="00452E9D" w:rsidP="0059051B">
      <w:pPr>
        <w:tabs>
          <w:tab w:val="left" w:pos="540"/>
          <w:tab w:val="left" w:pos="569"/>
        </w:tabs>
        <w:jc w:val="both"/>
        <w:rPr>
          <w:bCs/>
          <w:sz w:val="22"/>
          <w:szCs w:val="22"/>
          <w:u w:val="single"/>
          <w:lang w:val="sr-Latn-ME"/>
        </w:rPr>
      </w:pPr>
      <w:r w:rsidRPr="00C12098">
        <w:rPr>
          <w:bCs/>
          <w:sz w:val="22"/>
          <w:szCs w:val="22"/>
          <w:u w:val="single"/>
          <w:lang w:val="sr-Latn-ME"/>
        </w:rPr>
        <w:t>Način primjene</w:t>
      </w:r>
    </w:p>
    <w:p w14:paraId="1C5214E9" w14:textId="77777777" w:rsidR="005C0E13" w:rsidRPr="00C12098" w:rsidRDefault="005C0E13" w:rsidP="0059051B">
      <w:pPr>
        <w:tabs>
          <w:tab w:val="left" w:pos="540"/>
          <w:tab w:val="left" w:pos="569"/>
        </w:tabs>
        <w:jc w:val="both"/>
        <w:rPr>
          <w:bCs/>
          <w:sz w:val="22"/>
          <w:szCs w:val="22"/>
          <w:u w:val="single"/>
          <w:lang w:val="sr-Latn-ME"/>
        </w:rPr>
      </w:pPr>
    </w:p>
    <w:p w14:paraId="3760001D" w14:textId="6A8A695F" w:rsidR="00452E9D" w:rsidRPr="00C12098" w:rsidRDefault="00B918FF" w:rsidP="0059051B">
      <w:pPr>
        <w:tabs>
          <w:tab w:val="left" w:pos="540"/>
          <w:tab w:val="left" w:pos="569"/>
        </w:tabs>
        <w:jc w:val="both"/>
        <w:rPr>
          <w:bCs/>
          <w:sz w:val="22"/>
          <w:szCs w:val="22"/>
          <w:lang w:val="sr-Latn-ME"/>
        </w:rPr>
      </w:pPr>
      <w:r w:rsidRPr="00C12098">
        <w:rPr>
          <w:bCs/>
          <w:sz w:val="22"/>
          <w:szCs w:val="22"/>
          <w:lang w:val="sr-Latn-ME"/>
        </w:rPr>
        <w:t>Za dermalnu upotrebu.</w:t>
      </w:r>
    </w:p>
    <w:p w14:paraId="78F13C43" w14:textId="3DCE2A84"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lastRenderedPageBreak/>
        <w:t xml:space="preserve">4.3. </w:t>
      </w:r>
      <w:r w:rsidR="00480FB1" w:rsidRPr="00C12098">
        <w:rPr>
          <w:b/>
          <w:bCs/>
          <w:sz w:val="22"/>
          <w:szCs w:val="22"/>
          <w:lang w:val="sr-Latn-ME"/>
        </w:rPr>
        <w:tab/>
      </w:r>
      <w:r w:rsidRPr="00C12098">
        <w:rPr>
          <w:b/>
          <w:bCs/>
          <w:sz w:val="22"/>
          <w:szCs w:val="22"/>
          <w:lang w:val="sr-Latn-ME"/>
        </w:rPr>
        <w:t>Kontraindikacije</w:t>
      </w:r>
    </w:p>
    <w:p w14:paraId="2941D675" w14:textId="77777777" w:rsidR="005C0E13" w:rsidRPr="00C12098" w:rsidRDefault="005C0E13" w:rsidP="0059051B">
      <w:pPr>
        <w:tabs>
          <w:tab w:val="left" w:pos="540"/>
          <w:tab w:val="left" w:pos="569"/>
        </w:tabs>
        <w:jc w:val="both"/>
        <w:rPr>
          <w:b/>
          <w:bCs/>
          <w:sz w:val="22"/>
          <w:szCs w:val="22"/>
          <w:lang w:val="sr-Latn-ME"/>
        </w:rPr>
      </w:pPr>
    </w:p>
    <w:p w14:paraId="33DBB5B5" w14:textId="27282E0F"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w:t>
      </w:r>
      <w:r w:rsidRPr="00C12098">
        <w:rPr>
          <w:bCs/>
          <w:sz w:val="22"/>
          <w:szCs w:val="22"/>
          <w:lang w:val="sr-Latn-ME"/>
        </w:rPr>
        <w:tab/>
        <w:t>Preosjetljivost na aktivne supstance ili neku od pomoćnih supstanci navedenih u dijelu 6.1.</w:t>
      </w:r>
    </w:p>
    <w:p w14:paraId="0ED6BF9E" w14:textId="77777777"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w:t>
      </w:r>
      <w:r w:rsidRPr="00C12098">
        <w:rPr>
          <w:bCs/>
          <w:sz w:val="22"/>
          <w:szCs w:val="22"/>
          <w:lang w:val="sr-Latn-ME"/>
        </w:rPr>
        <w:tab/>
        <w:t>Trudnoća (vidjeti dio 4.6);</w:t>
      </w:r>
    </w:p>
    <w:p w14:paraId="59A1CD79" w14:textId="5DCD0B70" w:rsidR="0072020E" w:rsidRPr="00C12098" w:rsidRDefault="005C0E13" w:rsidP="0059051B">
      <w:pPr>
        <w:tabs>
          <w:tab w:val="left" w:pos="540"/>
          <w:tab w:val="left" w:pos="569"/>
        </w:tabs>
        <w:jc w:val="both"/>
        <w:rPr>
          <w:bCs/>
          <w:sz w:val="22"/>
          <w:szCs w:val="22"/>
          <w:lang w:val="sr-Latn-ME"/>
        </w:rPr>
      </w:pPr>
      <w:r w:rsidRPr="00C12098">
        <w:rPr>
          <w:bCs/>
          <w:sz w:val="22"/>
          <w:szCs w:val="22"/>
          <w:lang w:val="sr-Latn-ME"/>
        </w:rPr>
        <w:t>-</w:t>
      </w:r>
      <w:r w:rsidRPr="00C12098">
        <w:rPr>
          <w:bCs/>
          <w:sz w:val="22"/>
          <w:szCs w:val="22"/>
          <w:lang w:val="sr-Latn-ME"/>
        </w:rPr>
        <w:tab/>
        <w:t>Žene koje planiraju trudnoću (vidjeti dio 4.6).</w:t>
      </w:r>
    </w:p>
    <w:p w14:paraId="1E3CA5BA" w14:textId="77777777" w:rsidR="005C0E13" w:rsidRPr="00C12098" w:rsidRDefault="005C0E13" w:rsidP="0059051B">
      <w:pPr>
        <w:tabs>
          <w:tab w:val="left" w:pos="540"/>
          <w:tab w:val="left" w:pos="569"/>
        </w:tabs>
        <w:jc w:val="both"/>
        <w:rPr>
          <w:bCs/>
          <w:sz w:val="22"/>
          <w:szCs w:val="22"/>
          <w:lang w:val="sr-Latn-ME"/>
        </w:rPr>
      </w:pPr>
    </w:p>
    <w:p w14:paraId="2F5493F8" w14:textId="77777777"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t xml:space="preserve">4.4. </w:t>
      </w:r>
      <w:r w:rsidR="00480FB1" w:rsidRPr="00C12098">
        <w:rPr>
          <w:b/>
          <w:bCs/>
          <w:sz w:val="22"/>
          <w:szCs w:val="22"/>
          <w:lang w:val="sr-Latn-ME"/>
        </w:rPr>
        <w:tab/>
      </w:r>
      <w:r w:rsidRPr="00C12098">
        <w:rPr>
          <w:b/>
          <w:bCs/>
          <w:sz w:val="22"/>
          <w:szCs w:val="22"/>
          <w:lang w:val="sr-Latn-ME"/>
        </w:rPr>
        <w:t>Posebna upozorenja i mjere opreza pri upotrebi lijeka</w:t>
      </w:r>
    </w:p>
    <w:p w14:paraId="5ABD51FB" w14:textId="77777777" w:rsidR="0072020E" w:rsidRPr="00C12098" w:rsidRDefault="0072020E" w:rsidP="0059051B">
      <w:pPr>
        <w:tabs>
          <w:tab w:val="left" w:pos="540"/>
          <w:tab w:val="left" w:pos="569"/>
        </w:tabs>
        <w:jc w:val="both"/>
        <w:rPr>
          <w:bCs/>
          <w:sz w:val="22"/>
          <w:szCs w:val="22"/>
          <w:lang w:val="sr-Latn-ME"/>
        </w:rPr>
      </w:pPr>
    </w:p>
    <w:p w14:paraId="669D4BFC" w14:textId="644374EA" w:rsidR="005C0E13" w:rsidRPr="00C12098" w:rsidRDefault="005C0E13" w:rsidP="0059051B">
      <w:pPr>
        <w:tabs>
          <w:tab w:val="left" w:pos="540"/>
          <w:tab w:val="left" w:pos="569"/>
        </w:tabs>
        <w:jc w:val="both"/>
        <w:rPr>
          <w:sz w:val="22"/>
          <w:szCs w:val="22"/>
          <w:lang w:val="sr-Latn-ME"/>
        </w:rPr>
      </w:pPr>
      <w:r w:rsidRPr="00C12098">
        <w:rPr>
          <w:sz w:val="22"/>
          <w:szCs w:val="22"/>
          <w:lang w:val="sr-Latn-ME"/>
        </w:rPr>
        <w:t>SONA DUO gel se ne smije primjenjivati na oštećenu kožu: posjekotine</w:t>
      </w:r>
      <w:r w:rsidR="00E674B0" w:rsidRPr="00C12098">
        <w:rPr>
          <w:sz w:val="22"/>
          <w:szCs w:val="22"/>
          <w:lang w:val="sr-Latn-ME"/>
        </w:rPr>
        <w:t xml:space="preserve">, </w:t>
      </w:r>
      <w:r w:rsidRPr="00C12098">
        <w:rPr>
          <w:sz w:val="22"/>
          <w:szCs w:val="22"/>
          <w:lang w:val="sr-Latn-ME"/>
        </w:rPr>
        <w:t xml:space="preserve">ogrebotine, ekcematoznu ili </w:t>
      </w:r>
      <w:r w:rsidR="00E674B0" w:rsidRPr="00C12098">
        <w:rPr>
          <w:sz w:val="22"/>
          <w:szCs w:val="22"/>
          <w:lang w:val="sr-Latn-ME"/>
        </w:rPr>
        <w:t xml:space="preserve">kožu </w:t>
      </w:r>
      <w:r w:rsidRPr="00C12098">
        <w:rPr>
          <w:sz w:val="22"/>
          <w:szCs w:val="22"/>
          <w:lang w:val="sr-Latn-ME"/>
        </w:rPr>
        <w:t>s opekotinama od sunca.</w:t>
      </w:r>
    </w:p>
    <w:p w14:paraId="3B78F93C" w14:textId="77777777" w:rsidR="005C0E13" w:rsidRPr="00C12098" w:rsidRDefault="005C0E13" w:rsidP="0059051B">
      <w:pPr>
        <w:tabs>
          <w:tab w:val="left" w:pos="540"/>
          <w:tab w:val="left" w:pos="569"/>
        </w:tabs>
        <w:jc w:val="both"/>
        <w:rPr>
          <w:sz w:val="22"/>
          <w:szCs w:val="22"/>
          <w:lang w:val="sr-Latn-ME"/>
        </w:rPr>
      </w:pPr>
    </w:p>
    <w:p w14:paraId="2AFE41D9" w14:textId="41949D9C" w:rsidR="005C0E13" w:rsidRDefault="00B918FF" w:rsidP="0059051B">
      <w:pPr>
        <w:tabs>
          <w:tab w:val="left" w:pos="540"/>
          <w:tab w:val="left" w:pos="569"/>
        </w:tabs>
        <w:jc w:val="both"/>
        <w:rPr>
          <w:sz w:val="22"/>
          <w:szCs w:val="22"/>
          <w:lang w:val="sr-Latn-ME"/>
        </w:rPr>
      </w:pPr>
      <w:r w:rsidRPr="00C12098">
        <w:rPr>
          <w:sz w:val="22"/>
          <w:szCs w:val="22"/>
          <w:lang w:val="sr-Latn-ME"/>
        </w:rPr>
        <w:t xml:space="preserve">Lijek </w:t>
      </w:r>
      <w:r w:rsidR="005C0E13" w:rsidRPr="00C12098">
        <w:rPr>
          <w:sz w:val="22"/>
          <w:szCs w:val="22"/>
          <w:lang w:val="sr-Latn-ME"/>
        </w:rPr>
        <w:t xml:space="preserve">SONA DUO ne smije doći u kontakt s očima, ustima, nozdrvama ili sluznicom. Ako lijek dospije u oči, potrebno ga je odmah isprati toplom vodom.  </w:t>
      </w:r>
    </w:p>
    <w:p w14:paraId="656399F5" w14:textId="77777777" w:rsidR="00E83625" w:rsidRDefault="00E83625" w:rsidP="0059051B">
      <w:pPr>
        <w:tabs>
          <w:tab w:val="left" w:pos="540"/>
          <w:tab w:val="left" w:pos="569"/>
        </w:tabs>
        <w:jc w:val="both"/>
        <w:rPr>
          <w:sz w:val="22"/>
          <w:szCs w:val="22"/>
          <w:lang w:val="sr-Latn-ME"/>
        </w:rPr>
      </w:pPr>
    </w:p>
    <w:p w14:paraId="3391607E" w14:textId="77777777" w:rsidR="00E83625" w:rsidRPr="00E83625" w:rsidRDefault="00E83625" w:rsidP="00E83625">
      <w:pPr>
        <w:autoSpaceDE w:val="0"/>
        <w:autoSpaceDN w:val="0"/>
        <w:adjustRightInd w:val="0"/>
        <w:jc w:val="both"/>
        <w:rPr>
          <w:sz w:val="22"/>
          <w:szCs w:val="22"/>
          <w:lang w:val="sr-Latn-ME"/>
        </w:rPr>
      </w:pPr>
      <w:proofErr w:type="spellStart"/>
      <w:r>
        <w:rPr>
          <w:sz w:val="22"/>
          <w:szCs w:val="22"/>
        </w:rPr>
        <w:t>Ovaj</w:t>
      </w:r>
      <w:proofErr w:type="spellEnd"/>
      <w:r w:rsidRPr="00E83625">
        <w:rPr>
          <w:sz w:val="22"/>
          <w:szCs w:val="22"/>
          <w:lang w:val="sr-Latn-ME"/>
        </w:rPr>
        <w:t xml:space="preserve"> </w:t>
      </w:r>
      <w:proofErr w:type="spellStart"/>
      <w:r>
        <w:rPr>
          <w:sz w:val="22"/>
          <w:szCs w:val="22"/>
        </w:rPr>
        <w:t>lijek</w:t>
      </w:r>
      <w:proofErr w:type="spellEnd"/>
      <w:r w:rsidRPr="00E83625">
        <w:rPr>
          <w:sz w:val="22"/>
          <w:szCs w:val="22"/>
          <w:lang w:val="sr-Latn-ME"/>
        </w:rPr>
        <w:t xml:space="preserve"> </w:t>
      </w:r>
      <w:proofErr w:type="spellStart"/>
      <w:r>
        <w:rPr>
          <w:sz w:val="22"/>
          <w:szCs w:val="22"/>
        </w:rPr>
        <w:t>sadr</w:t>
      </w:r>
      <w:proofErr w:type="spellEnd"/>
      <w:r w:rsidRPr="00E83625">
        <w:rPr>
          <w:sz w:val="22"/>
          <w:szCs w:val="22"/>
          <w:lang w:val="sr-Latn-ME"/>
        </w:rPr>
        <w:t>ž</w:t>
      </w:r>
      <w:proofErr w:type="spellStart"/>
      <w:r>
        <w:rPr>
          <w:sz w:val="22"/>
          <w:szCs w:val="22"/>
        </w:rPr>
        <w:t>i</w:t>
      </w:r>
      <w:proofErr w:type="spellEnd"/>
      <w:r w:rsidRPr="00E83625">
        <w:rPr>
          <w:sz w:val="22"/>
          <w:szCs w:val="22"/>
          <w:lang w:val="sr-Latn-ME"/>
        </w:rPr>
        <w:t xml:space="preserve"> 40 </w:t>
      </w:r>
      <w:r>
        <w:rPr>
          <w:sz w:val="22"/>
          <w:szCs w:val="22"/>
        </w:rPr>
        <w:t>mg</w:t>
      </w:r>
      <w:r w:rsidRPr="00E83625">
        <w:rPr>
          <w:sz w:val="22"/>
          <w:szCs w:val="22"/>
          <w:lang w:val="sr-Latn-ME"/>
        </w:rPr>
        <w:t xml:space="preserve"> </w:t>
      </w:r>
      <w:proofErr w:type="spellStart"/>
      <w:r>
        <w:rPr>
          <w:sz w:val="22"/>
          <w:szCs w:val="22"/>
        </w:rPr>
        <w:t>propilenglikola</w:t>
      </w:r>
      <w:proofErr w:type="spellEnd"/>
      <w:r w:rsidRPr="00E83625">
        <w:rPr>
          <w:sz w:val="22"/>
          <w:szCs w:val="22"/>
          <w:lang w:val="sr-Latn-ME"/>
        </w:rPr>
        <w:t xml:space="preserve"> (</w:t>
      </w:r>
      <w:r>
        <w:rPr>
          <w:sz w:val="22"/>
          <w:szCs w:val="22"/>
        </w:rPr>
        <w:t>E</w:t>
      </w:r>
      <w:r w:rsidRPr="00E83625">
        <w:rPr>
          <w:sz w:val="22"/>
          <w:szCs w:val="22"/>
          <w:lang w:val="sr-Latn-ME"/>
        </w:rPr>
        <w:t xml:space="preserve">1520) </w:t>
      </w:r>
      <w:r>
        <w:rPr>
          <w:sz w:val="22"/>
          <w:szCs w:val="22"/>
        </w:rPr>
        <w:t>u</w:t>
      </w:r>
      <w:r w:rsidRPr="00E83625">
        <w:rPr>
          <w:sz w:val="22"/>
          <w:szCs w:val="22"/>
          <w:lang w:val="sr-Latn-ME"/>
        </w:rPr>
        <w:t xml:space="preserve"> </w:t>
      </w:r>
      <w:proofErr w:type="spellStart"/>
      <w:r>
        <w:rPr>
          <w:sz w:val="22"/>
          <w:szCs w:val="22"/>
        </w:rPr>
        <w:t>jednom</w:t>
      </w:r>
      <w:proofErr w:type="spellEnd"/>
      <w:r w:rsidRPr="00E83625">
        <w:rPr>
          <w:sz w:val="22"/>
          <w:szCs w:val="22"/>
          <w:lang w:val="sr-Latn-ME"/>
        </w:rPr>
        <w:t xml:space="preserve"> </w:t>
      </w:r>
      <w:proofErr w:type="spellStart"/>
      <w:r>
        <w:rPr>
          <w:sz w:val="22"/>
          <w:szCs w:val="22"/>
        </w:rPr>
        <w:t>gramu</w:t>
      </w:r>
      <w:proofErr w:type="spellEnd"/>
      <w:r w:rsidRPr="00E83625">
        <w:rPr>
          <w:sz w:val="22"/>
          <w:szCs w:val="22"/>
          <w:lang w:val="sr-Latn-ME"/>
        </w:rPr>
        <w:t xml:space="preserve"> š</w:t>
      </w:r>
      <w:r>
        <w:rPr>
          <w:sz w:val="22"/>
          <w:szCs w:val="22"/>
        </w:rPr>
        <w:t>to</w:t>
      </w:r>
      <w:r w:rsidRPr="00E83625">
        <w:rPr>
          <w:sz w:val="22"/>
          <w:szCs w:val="22"/>
          <w:lang w:val="sr-Latn-ME"/>
        </w:rPr>
        <w:t xml:space="preserve"> </w:t>
      </w:r>
      <w:proofErr w:type="spellStart"/>
      <w:r>
        <w:rPr>
          <w:sz w:val="22"/>
          <w:szCs w:val="22"/>
        </w:rPr>
        <w:t>odgovara</w:t>
      </w:r>
      <w:proofErr w:type="spellEnd"/>
      <w:r w:rsidRPr="00E83625">
        <w:rPr>
          <w:sz w:val="22"/>
          <w:szCs w:val="22"/>
          <w:lang w:val="sr-Latn-ME"/>
        </w:rPr>
        <w:t xml:space="preserve"> 4% </w:t>
      </w:r>
      <w:r>
        <w:rPr>
          <w:sz w:val="22"/>
          <w:szCs w:val="22"/>
        </w:rPr>
        <w:t>w</w:t>
      </w:r>
      <w:r w:rsidRPr="00E83625">
        <w:rPr>
          <w:sz w:val="22"/>
          <w:szCs w:val="22"/>
          <w:lang w:val="sr-Latn-ME"/>
        </w:rPr>
        <w:t>/</w:t>
      </w:r>
      <w:r>
        <w:rPr>
          <w:sz w:val="22"/>
          <w:szCs w:val="22"/>
        </w:rPr>
        <w:t>w</w:t>
      </w:r>
      <w:r w:rsidRPr="00E83625">
        <w:rPr>
          <w:sz w:val="22"/>
          <w:szCs w:val="22"/>
          <w:lang w:val="sr-Latn-ME"/>
        </w:rPr>
        <w:t xml:space="preserve">. </w:t>
      </w:r>
    </w:p>
    <w:p w14:paraId="7730ED82" w14:textId="77777777" w:rsidR="005C0E13" w:rsidRPr="00C12098" w:rsidRDefault="005C0E13" w:rsidP="0059051B">
      <w:pPr>
        <w:tabs>
          <w:tab w:val="left" w:pos="540"/>
          <w:tab w:val="left" w:pos="569"/>
        </w:tabs>
        <w:jc w:val="both"/>
        <w:rPr>
          <w:sz w:val="22"/>
          <w:szCs w:val="22"/>
          <w:lang w:val="sr-Latn-ME"/>
        </w:rPr>
      </w:pPr>
    </w:p>
    <w:p w14:paraId="2B147F9A" w14:textId="77777777" w:rsidR="005C0E13" w:rsidRPr="00C12098" w:rsidRDefault="005C0E13" w:rsidP="0059051B">
      <w:pPr>
        <w:tabs>
          <w:tab w:val="left" w:pos="540"/>
          <w:tab w:val="left" w:pos="569"/>
        </w:tabs>
        <w:jc w:val="both"/>
        <w:rPr>
          <w:sz w:val="22"/>
          <w:szCs w:val="22"/>
          <w:lang w:val="sr-Latn-ME"/>
        </w:rPr>
      </w:pPr>
      <w:r w:rsidRPr="00C12098">
        <w:rPr>
          <w:sz w:val="22"/>
          <w:szCs w:val="22"/>
          <w:lang w:val="sr-Latn-ME"/>
        </w:rPr>
        <w:t xml:space="preserve">U slučaju pojave reakcije koja ukazuje na osjetljivost na bilo koju supstancu, potrebno je prekinuti primjenu lijeka SONA DUO. </w:t>
      </w:r>
    </w:p>
    <w:p w14:paraId="4C6FF5A9" w14:textId="77777777" w:rsidR="005C0E13" w:rsidRPr="00C12098" w:rsidRDefault="005C0E13" w:rsidP="0059051B">
      <w:pPr>
        <w:tabs>
          <w:tab w:val="left" w:pos="540"/>
          <w:tab w:val="left" w:pos="569"/>
        </w:tabs>
        <w:jc w:val="both"/>
        <w:rPr>
          <w:sz w:val="22"/>
          <w:szCs w:val="22"/>
          <w:lang w:val="sr-Latn-ME"/>
        </w:rPr>
      </w:pPr>
    </w:p>
    <w:p w14:paraId="7E302F81" w14:textId="77777777" w:rsidR="005C0E13" w:rsidRPr="00C12098" w:rsidRDefault="005C0E13" w:rsidP="0059051B">
      <w:pPr>
        <w:tabs>
          <w:tab w:val="left" w:pos="540"/>
          <w:tab w:val="left" w:pos="569"/>
        </w:tabs>
        <w:jc w:val="both"/>
        <w:rPr>
          <w:sz w:val="22"/>
          <w:szCs w:val="22"/>
          <w:lang w:val="sr-Latn-ME"/>
        </w:rPr>
      </w:pPr>
      <w:r w:rsidRPr="00C12098">
        <w:rPr>
          <w:sz w:val="22"/>
          <w:szCs w:val="22"/>
          <w:lang w:val="sr-Latn-ME"/>
        </w:rPr>
        <w:t>Potrebno je izbjegavati pretjerano izlaganje suncu i UV zračenju.</w:t>
      </w:r>
    </w:p>
    <w:p w14:paraId="199B6346" w14:textId="77777777" w:rsidR="005C0E13" w:rsidRPr="00C12098" w:rsidRDefault="005C0E13" w:rsidP="0059051B">
      <w:pPr>
        <w:tabs>
          <w:tab w:val="left" w:pos="540"/>
          <w:tab w:val="left" w:pos="569"/>
        </w:tabs>
        <w:jc w:val="both"/>
        <w:rPr>
          <w:sz w:val="22"/>
          <w:szCs w:val="22"/>
          <w:lang w:val="sr-Latn-ME"/>
        </w:rPr>
      </w:pPr>
    </w:p>
    <w:p w14:paraId="2BFEEF90" w14:textId="793C2E32" w:rsidR="00057E35" w:rsidRPr="00C12098" w:rsidRDefault="005C0E13" w:rsidP="0059051B">
      <w:pPr>
        <w:tabs>
          <w:tab w:val="left" w:pos="540"/>
          <w:tab w:val="left" w:pos="569"/>
        </w:tabs>
        <w:jc w:val="both"/>
        <w:rPr>
          <w:sz w:val="22"/>
          <w:szCs w:val="22"/>
          <w:lang w:val="sr-Latn-ME"/>
        </w:rPr>
      </w:pPr>
      <w:r w:rsidRPr="00C12098">
        <w:rPr>
          <w:sz w:val="22"/>
          <w:szCs w:val="22"/>
          <w:lang w:val="sr-Latn-ME"/>
        </w:rPr>
        <w:t>Lijek SONA DUO ne smije doći u kontakt sa bilo kakvim obojenim materijalima, uključujući kosu i obojene tkanine, jer može dovesti do izbjeljivanja i diskoloracije.</w:t>
      </w:r>
    </w:p>
    <w:p w14:paraId="6E3937EF" w14:textId="77777777" w:rsidR="00057E35" w:rsidRPr="00C12098" w:rsidRDefault="00057E35" w:rsidP="0059051B">
      <w:pPr>
        <w:tabs>
          <w:tab w:val="left" w:pos="540"/>
          <w:tab w:val="left" w:pos="569"/>
        </w:tabs>
        <w:jc w:val="both"/>
        <w:rPr>
          <w:bCs/>
          <w:sz w:val="22"/>
          <w:szCs w:val="22"/>
          <w:lang w:val="sr-Latn-ME"/>
        </w:rPr>
      </w:pPr>
    </w:p>
    <w:p w14:paraId="2423B6C0" w14:textId="50E1A499" w:rsidR="00411B4B" w:rsidRPr="00C12098" w:rsidRDefault="00411B4B" w:rsidP="0059051B">
      <w:pPr>
        <w:tabs>
          <w:tab w:val="left" w:pos="540"/>
          <w:tab w:val="left" w:pos="569"/>
        </w:tabs>
        <w:jc w:val="both"/>
        <w:rPr>
          <w:b/>
          <w:bCs/>
          <w:sz w:val="22"/>
          <w:szCs w:val="22"/>
          <w:lang w:val="sr-Latn-ME"/>
        </w:rPr>
      </w:pPr>
      <w:r w:rsidRPr="00C12098">
        <w:rPr>
          <w:b/>
          <w:bCs/>
          <w:sz w:val="22"/>
          <w:szCs w:val="22"/>
          <w:lang w:val="sr-Latn-ME"/>
        </w:rPr>
        <w:t>4.5.</w:t>
      </w:r>
      <w:r w:rsidR="000D60CC" w:rsidRPr="00C12098">
        <w:rPr>
          <w:b/>
          <w:bCs/>
          <w:sz w:val="22"/>
          <w:szCs w:val="22"/>
          <w:lang w:val="sr-Latn-ME"/>
        </w:rPr>
        <w:tab/>
      </w:r>
      <w:r w:rsidRPr="00C12098">
        <w:rPr>
          <w:b/>
          <w:bCs/>
          <w:sz w:val="22"/>
          <w:szCs w:val="22"/>
          <w:lang w:val="sr-Latn-ME"/>
        </w:rPr>
        <w:t>Interakcije sa drugim ljekovima i druge vrste interakcija</w:t>
      </w:r>
    </w:p>
    <w:p w14:paraId="7B746B27" w14:textId="77777777" w:rsidR="005C0E13" w:rsidRPr="00C12098" w:rsidRDefault="005C0E13" w:rsidP="0059051B">
      <w:pPr>
        <w:tabs>
          <w:tab w:val="left" w:pos="540"/>
          <w:tab w:val="left" w:pos="569"/>
        </w:tabs>
        <w:jc w:val="both"/>
        <w:rPr>
          <w:b/>
          <w:bCs/>
          <w:sz w:val="22"/>
          <w:szCs w:val="22"/>
          <w:lang w:val="sr-Latn-ME"/>
        </w:rPr>
      </w:pPr>
    </w:p>
    <w:p w14:paraId="2DC5A0B3" w14:textId="77777777"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 xml:space="preserve">Nisu sprovedena ispitivanja interakcija.  </w:t>
      </w:r>
    </w:p>
    <w:p w14:paraId="11B2B2B8" w14:textId="77777777" w:rsidR="005C0E13" w:rsidRPr="00C12098" w:rsidRDefault="005C0E13" w:rsidP="0059051B">
      <w:pPr>
        <w:tabs>
          <w:tab w:val="left" w:pos="540"/>
          <w:tab w:val="left" w:pos="569"/>
        </w:tabs>
        <w:jc w:val="both"/>
        <w:rPr>
          <w:bCs/>
          <w:sz w:val="22"/>
          <w:szCs w:val="22"/>
          <w:lang w:val="sr-Latn-ME"/>
        </w:rPr>
      </w:pPr>
    </w:p>
    <w:p w14:paraId="0F7EFF75" w14:textId="0AE91B23"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Iz prethodnog iskustva sa adapalenom i benzoil</w:t>
      </w:r>
      <w:r w:rsidR="00B918FF" w:rsidRPr="00C12098">
        <w:rPr>
          <w:bCs/>
          <w:sz w:val="22"/>
          <w:szCs w:val="22"/>
          <w:lang w:val="sr-Latn-ME"/>
        </w:rPr>
        <w:t xml:space="preserve"> </w:t>
      </w:r>
      <w:r w:rsidRPr="00C12098">
        <w:rPr>
          <w:bCs/>
          <w:sz w:val="22"/>
          <w:szCs w:val="22"/>
          <w:lang w:val="sr-Latn-ME"/>
        </w:rPr>
        <w:t>peroksidom, ne postoje poznate interakcije s ostalim ljekovima koji se mogu primjenjivati na kožu i istovremeno sa lijekom SONA DUO. Međutim, drugi retinoidi ili benzoil</w:t>
      </w:r>
      <w:r w:rsidR="00B918FF" w:rsidRPr="00C12098">
        <w:rPr>
          <w:bCs/>
          <w:sz w:val="22"/>
          <w:szCs w:val="22"/>
          <w:lang w:val="sr-Latn-ME"/>
        </w:rPr>
        <w:t xml:space="preserve"> </w:t>
      </w:r>
      <w:r w:rsidRPr="00C12098">
        <w:rPr>
          <w:bCs/>
          <w:sz w:val="22"/>
          <w:szCs w:val="22"/>
          <w:lang w:val="sr-Latn-ME"/>
        </w:rPr>
        <w:t>peroksid ili ljekovi sličnog načina djelovanja ne smiju se primjenjivati istovremeno. Potreban je oprez ako se primjenjuju kozmetički proizvodi sa deskvamacijskim, nadražujućim ili isušujućim efektom, jer mogu prouzrokovati dodatne iritirajuće efekte sa lijekom SONA DUO.</w:t>
      </w:r>
    </w:p>
    <w:p w14:paraId="161AF157" w14:textId="77777777" w:rsidR="005C0E13" w:rsidRPr="00C12098" w:rsidRDefault="005C0E13" w:rsidP="0059051B">
      <w:pPr>
        <w:tabs>
          <w:tab w:val="left" w:pos="540"/>
          <w:tab w:val="left" w:pos="569"/>
        </w:tabs>
        <w:jc w:val="both"/>
        <w:rPr>
          <w:bCs/>
          <w:sz w:val="22"/>
          <w:szCs w:val="22"/>
          <w:lang w:val="sr-Latn-ME"/>
        </w:rPr>
      </w:pPr>
    </w:p>
    <w:p w14:paraId="22A9552C" w14:textId="77777777"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 xml:space="preserve">Resorpcija adapalena kroz kožu kod ljudi je niska (vidjeti dio 5.2), pa je zato interakcija sa sistemskim ljekovima malo vjerovatna. </w:t>
      </w:r>
    </w:p>
    <w:p w14:paraId="55354629" w14:textId="77777777" w:rsidR="005C0E13" w:rsidRPr="00C12098" w:rsidRDefault="005C0E13" w:rsidP="0059051B">
      <w:pPr>
        <w:tabs>
          <w:tab w:val="left" w:pos="540"/>
          <w:tab w:val="left" w:pos="569"/>
        </w:tabs>
        <w:jc w:val="both"/>
        <w:rPr>
          <w:bCs/>
          <w:sz w:val="22"/>
          <w:szCs w:val="22"/>
          <w:lang w:val="sr-Latn-ME"/>
        </w:rPr>
      </w:pPr>
    </w:p>
    <w:p w14:paraId="09269F06" w14:textId="6E47BA32" w:rsidR="0072020E" w:rsidRPr="00C12098" w:rsidRDefault="005C0E13" w:rsidP="0059051B">
      <w:pPr>
        <w:tabs>
          <w:tab w:val="left" w:pos="540"/>
          <w:tab w:val="left" w:pos="569"/>
        </w:tabs>
        <w:jc w:val="both"/>
        <w:rPr>
          <w:bCs/>
          <w:sz w:val="22"/>
          <w:szCs w:val="22"/>
          <w:lang w:val="sr-Latn-ME"/>
        </w:rPr>
      </w:pPr>
      <w:r w:rsidRPr="00C12098">
        <w:rPr>
          <w:bCs/>
          <w:sz w:val="22"/>
          <w:szCs w:val="22"/>
          <w:lang w:val="sr-Latn-ME"/>
        </w:rPr>
        <w:t>Penetracija benzoil</w:t>
      </w:r>
      <w:r w:rsidR="00B918FF" w:rsidRPr="00C12098">
        <w:rPr>
          <w:bCs/>
          <w:sz w:val="22"/>
          <w:szCs w:val="22"/>
          <w:lang w:val="sr-Latn-ME"/>
        </w:rPr>
        <w:t xml:space="preserve"> </w:t>
      </w:r>
      <w:r w:rsidRPr="00C12098">
        <w:rPr>
          <w:bCs/>
          <w:sz w:val="22"/>
          <w:szCs w:val="22"/>
          <w:lang w:val="sr-Latn-ME"/>
        </w:rPr>
        <w:t>peroksida u kožu je niska i aktivna supstanca se u potpunosti metaboliše u benzojevu kiselinu koja se brzo eliminiše. Mogućnost interakcije benzojeve kiseline sa sistemskim ljekovima je zato malo vjerovatna.</w:t>
      </w:r>
    </w:p>
    <w:p w14:paraId="7305EDB5" w14:textId="77777777" w:rsidR="005C0E13" w:rsidRPr="00C12098" w:rsidRDefault="005C0E13" w:rsidP="0059051B">
      <w:pPr>
        <w:tabs>
          <w:tab w:val="left" w:pos="540"/>
          <w:tab w:val="left" w:pos="569"/>
        </w:tabs>
        <w:jc w:val="both"/>
        <w:rPr>
          <w:bCs/>
          <w:sz w:val="22"/>
          <w:szCs w:val="22"/>
          <w:lang w:val="sr-Latn-ME"/>
        </w:rPr>
      </w:pPr>
    </w:p>
    <w:p w14:paraId="29AF504B" w14:textId="25422AF8" w:rsidR="0072020E" w:rsidRPr="00C12098" w:rsidRDefault="0072020E" w:rsidP="0059051B">
      <w:pPr>
        <w:tabs>
          <w:tab w:val="left" w:pos="540"/>
          <w:tab w:val="left" w:pos="569"/>
        </w:tabs>
        <w:jc w:val="both"/>
        <w:rPr>
          <w:b/>
          <w:sz w:val="22"/>
          <w:szCs w:val="22"/>
          <w:lang w:val="sr-Latn-ME"/>
        </w:rPr>
      </w:pPr>
      <w:r w:rsidRPr="00C12098">
        <w:rPr>
          <w:b/>
          <w:bCs/>
          <w:sz w:val="22"/>
          <w:szCs w:val="22"/>
          <w:lang w:val="sr-Latn-ME"/>
        </w:rPr>
        <w:t xml:space="preserve">4.6. </w:t>
      </w:r>
      <w:r w:rsidR="00480FB1" w:rsidRPr="00C12098">
        <w:rPr>
          <w:b/>
          <w:bCs/>
          <w:sz w:val="22"/>
          <w:szCs w:val="22"/>
          <w:lang w:val="sr-Latn-ME"/>
        </w:rPr>
        <w:tab/>
      </w:r>
      <w:r w:rsidR="006D20A5" w:rsidRPr="00C12098">
        <w:rPr>
          <w:b/>
          <w:sz w:val="22"/>
          <w:szCs w:val="22"/>
          <w:lang w:val="sr-Latn-ME"/>
        </w:rPr>
        <w:t>Plodnost, trudnoća i dojenje</w:t>
      </w:r>
    </w:p>
    <w:p w14:paraId="76773FB6" w14:textId="77777777" w:rsidR="005C0E13" w:rsidRPr="00C12098" w:rsidRDefault="005C0E13" w:rsidP="0059051B">
      <w:pPr>
        <w:tabs>
          <w:tab w:val="left" w:pos="540"/>
          <w:tab w:val="left" w:pos="569"/>
        </w:tabs>
        <w:jc w:val="both"/>
        <w:rPr>
          <w:b/>
          <w:sz w:val="22"/>
          <w:szCs w:val="22"/>
          <w:lang w:val="sr-Latn-ME"/>
        </w:rPr>
      </w:pPr>
    </w:p>
    <w:p w14:paraId="27262A29" w14:textId="2BC2D74C" w:rsidR="005C0E13" w:rsidRPr="00C12098" w:rsidRDefault="005C0E13" w:rsidP="0059051B">
      <w:pPr>
        <w:tabs>
          <w:tab w:val="left" w:pos="540"/>
          <w:tab w:val="left" w:pos="569"/>
        </w:tabs>
        <w:jc w:val="both"/>
        <w:rPr>
          <w:bCs/>
          <w:sz w:val="22"/>
          <w:szCs w:val="22"/>
          <w:lang w:val="sr-Latn-ME"/>
        </w:rPr>
      </w:pPr>
      <w:r w:rsidRPr="00C12098">
        <w:rPr>
          <w:bCs/>
          <w:sz w:val="22"/>
          <w:szCs w:val="22"/>
          <w:lang w:val="sr-Latn-ME"/>
        </w:rPr>
        <w:t>Oralno prim</w:t>
      </w:r>
      <w:r w:rsidR="00E674B0" w:rsidRPr="00C12098">
        <w:rPr>
          <w:bCs/>
          <w:sz w:val="22"/>
          <w:szCs w:val="22"/>
          <w:lang w:val="sr-Latn-ME"/>
        </w:rPr>
        <w:t>i</w:t>
      </w:r>
      <w:r w:rsidRPr="00C12098">
        <w:rPr>
          <w:bCs/>
          <w:sz w:val="22"/>
          <w:szCs w:val="22"/>
          <w:lang w:val="sr-Latn-ME"/>
        </w:rPr>
        <w:t>jenjeni retinoidi povezani su s urođenim manama. Kada se topikalni retinoidi primjenjuju u skladu sa informacijama o lijeku, u načelu se smatra da dovode do male sistemske izloženosti zbog minimalne resorpcije kroz kožu. Međutim, određeni činioci (npr. oštećena kožna barijera, prekomjerna upotreba) mogu doprinijeti povećanoj sistemskoj izloženosti.</w:t>
      </w:r>
    </w:p>
    <w:p w14:paraId="45A8200B" w14:textId="77777777" w:rsidR="002031B3" w:rsidRPr="00C12098" w:rsidRDefault="002031B3" w:rsidP="0059051B">
      <w:pPr>
        <w:tabs>
          <w:tab w:val="left" w:pos="540"/>
          <w:tab w:val="left" w:pos="569"/>
        </w:tabs>
        <w:jc w:val="both"/>
        <w:rPr>
          <w:sz w:val="22"/>
          <w:szCs w:val="22"/>
          <w:u w:val="single"/>
          <w:lang w:val="sr-Latn-ME"/>
        </w:rPr>
      </w:pPr>
    </w:p>
    <w:p w14:paraId="0A0CC834" w14:textId="77777777" w:rsidR="005C0E13" w:rsidRPr="00C12098" w:rsidRDefault="005C0E13" w:rsidP="0059051B">
      <w:pPr>
        <w:jc w:val="both"/>
        <w:rPr>
          <w:sz w:val="22"/>
          <w:szCs w:val="22"/>
          <w:u w:val="single"/>
          <w:lang w:val="sr-Latn-ME"/>
        </w:rPr>
      </w:pPr>
      <w:r w:rsidRPr="00C12098">
        <w:rPr>
          <w:sz w:val="22"/>
          <w:szCs w:val="22"/>
          <w:u w:val="single"/>
          <w:lang w:val="sr-Latn-ME"/>
        </w:rPr>
        <w:t>Trudnoća</w:t>
      </w:r>
    </w:p>
    <w:p w14:paraId="27692744" w14:textId="77777777" w:rsidR="005C0E13" w:rsidRPr="00C12098" w:rsidRDefault="005C0E13" w:rsidP="0059051B">
      <w:pPr>
        <w:autoSpaceDE w:val="0"/>
        <w:autoSpaceDN w:val="0"/>
        <w:adjustRightInd w:val="0"/>
        <w:jc w:val="both"/>
        <w:rPr>
          <w:sz w:val="22"/>
          <w:szCs w:val="22"/>
          <w:lang w:val="sr-Latn-ME"/>
        </w:rPr>
      </w:pPr>
      <w:r w:rsidRPr="00C12098">
        <w:rPr>
          <w:sz w:val="22"/>
          <w:szCs w:val="22"/>
          <w:lang w:val="sr-Latn-ME"/>
        </w:rPr>
        <w:t xml:space="preserve">Lijek SONA DUO je kontraindikovan (vidjeti dio 4.3) tokom trudnoće, kao i kod žena koje planiraju trudnoću. Podataka o topikalnoj primjeni adapalena kod trudnica nema ili su ograničeni. </w:t>
      </w:r>
    </w:p>
    <w:p w14:paraId="08143446" w14:textId="77777777" w:rsidR="005C0E13" w:rsidRPr="00C12098" w:rsidRDefault="005C0E13" w:rsidP="0059051B">
      <w:pPr>
        <w:autoSpaceDE w:val="0"/>
        <w:autoSpaceDN w:val="0"/>
        <w:adjustRightInd w:val="0"/>
        <w:jc w:val="both"/>
        <w:rPr>
          <w:sz w:val="22"/>
          <w:szCs w:val="22"/>
          <w:lang w:val="sr-Latn-ME"/>
        </w:rPr>
      </w:pPr>
      <w:r w:rsidRPr="00C12098">
        <w:rPr>
          <w:sz w:val="22"/>
          <w:szCs w:val="22"/>
          <w:lang w:val="sr-Latn-ME"/>
        </w:rPr>
        <w:t xml:space="preserve">Ispitivanja lijeka na životinjama oralnom primjenom ukazuju na reproduktivnu toksičnost pri visokoj sistemskoj izloženosti (vidjeti dio 5.3). </w:t>
      </w:r>
    </w:p>
    <w:p w14:paraId="0A26095F" w14:textId="47563BB7" w:rsidR="005C0E13" w:rsidRPr="00C12098" w:rsidRDefault="005C0E13" w:rsidP="0059051B">
      <w:pPr>
        <w:autoSpaceDE w:val="0"/>
        <w:autoSpaceDN w:val="0"/>
        <w:adjustRightInd w:val="0"/>
        <w:jc w:val="both"/>
        <w:rPr>
          <w:sz w:val="22"/>
          <w:szCs w:val="22"/>
          <w:lang w:val="sr-Latn-ME"/>
        </w:rPr>
      </w:pPr>
      <w:r w:rsidRPr="00C12098">
        <w:rPr>
          <w:sz w:val="22"/>
          <w:szCs w:val="22"/>
          <w:lang w:val="sr-Latn-ME"/>
        </w:rPr>
        <w:t>Kliničko iskustvo sa lokalnom primjenom adapalena i benzoil</w:t>
      </w:r>
      <w:r w:rsidR="0079798C" w:rsidRPr="00C12098">
        <w:rPr>
          <w:sz w:val="22"/>
          <w:szCs w:val="22"/>
          <w:lang w:val="sr-Latn-ME"/>
        </w:rPr>
        <w:t xml:space="preserve"> </w:t>
      </w:r>
      <w:r w:rsidRPr="00C12098">
        <w:rPr>
          <w:sz w:val="22"/>
          <w:szCs w:val="22"/>
          <w:lang w:val="sr-Latn-ME"/>
        </w:rPr>
        <w:t>peroksida u trudnoći je ograničeno; ako se ovaj lijek primjenjuje tokom trudnoće ili ako pacijentkinja zatrudni tokom uzimanja ovog lijeka, liječenje treba prekinuti.</w:t>
      </w:r>
    </w:p>
    <w:p w14:paraId="70422DDE" w14:textId="77777777" w:rsidR="005C0E13" w:rsidRPr="00C12098" w:rsidRDefault="005C0E13" w:rsidP="0059051B">
      <w:pPr>
        <w:autoSpaceDE w:val="0"/>
        <w:autoSpaceDN w:val="0"/>
        <w:adjustRightInd w:val="0"/>
        <w:jc w:val="both"/>
        <w:rPr>
          <w:b/>
          <w:i/>
          <w:sz w:val="22"/>
          <w:szCs w:val="22"/>
          <w:lang w:val="sr-Latn-ME"/>
        </w:rPr>
      </w:pPr>
    </w:p>
    <w:p w14:paraId="4985A0F1" w14:textId="77777777" w:rsidR="00C12098" w:rsidRDefault="00C12098" w:rsidP="0059051B">
      <w:pPr>
        <w:jc w:val="both"/>
        <w:rPr>
          <w:sz w:val="22"/>
          <w:szCs w:val="22"/>
          <w:u w:val="single"/>
          <w:lang w:val="sr-Latn-ME"/>
        </w:rPr>
      </w:pPr>
    </w:p>
    <w:p w14:paraId="12BAC25E" w14:textId="77777777" w:rsidR="00C12098" w:rsidRDefault="00C12098" w:rsidP="0059051B">
      <w:pPr>
        <w:jc w:val="both"/>
        <w:rPr>
          <w:sz w:val="22"/>
          <w:szCs w:val="22"/>
          <w:u w:val="single"/>
          <w:lang w:val="sr-Latn-ME"/>
        </w:rPr>
      </w:pPr>
    </w:p>
    <w:p w14:paraId="35E68BDE" w14:textId="0FD252AF" w:rsidR="005C0E13" w:rsidRPr="00C12098" w:rsidRDefault="005C0E13" w:rsidP="0059051B">
      <w:pPr>
        <w:jc w:val="both"/>
        <w:rPr>
          <w:sz w:val="22"/>
          <w:szCs w:val="22"/>
          <w:u w:val="single"/>
          <w:lang w:val="sr-Latn-ME"/>
        </w:rPr>
      </w:pPr>
      <w:r w:rsidRPr="00C12098">
        <w:rPr>
          <w:sz w:val="22"/>
          <w:szCs w:val="22"/>
          <w:u w:val="single"/>
          <w:lang w:val="sr-Latn-ME"/>
        </w:rPr>
        <w:t>Dojenje</w:t>
      </w:r>
    </w:p>
    <w:p w14:paraId="6890A4FA" w14:textId="523DA9EE" w:rsidR="005C0E13" w:rsidRPr="00C12098" w:rsidRDefault="005C0E13" w:rsidP="0059051B">
      <w:pPr>
        <w:jc w:val="both"/>
        <w:rPr>
          <w:sz w:val="22"/>
          <w:szCs w:val="22"/>
          <w:lang w:val="sr-Latn-ME"/>
        </w:rPr>
      </w:pPr>
      <w:r w:rsidRPr="00C12098">
        <w:rPr>
          <w:sz w:val="22"/>
          <w:szCs w:val="22"/>
          <w:lang w:val="sr-Latn-ME"/>
        </w:rPr>
        <w:t>Nisu sprovedena ispitivanja o izlučivanju u mlijeko životinja ili ljudi nakon primjene fiksne kombinacije adapalena i benzoil</w:t>
      </w:r>
      <w:r w:rsidR="0079798C" w:rsidRPr="00C12098">
        <w:rPr>
          <w:sz w:val="22"/>
          <w:szCs w:val="22"/>
          <w:lang w:val="sr-Latn-ME"/>
        </w:rPr>
        <w:t xml:space="preserve"> </w:t>
      </w:r>
      <w:r w:rsidRPr="00C12098">
        <w:rPr>
          <w:sz w:val="22"/>
          <w:szCs w:val="22"/>
          <w:lang w:val="sr-Latn-ME"/>
        </w:rPr>
        <w:t xml:space="preserve">peroksid gela na kožu. </w:t>
      </w:r>
    </w:p>
    <w:p w14:paraId="10160927" w14:textId="77777777" w:rsidR="005C0E13" w:rsidRPr="00C12098" w:rsidRDefault="005C0E13" w:rsidP="0059051B">
      <w:pPr>
        <w:jc w:val="both"/>
        <w:rPr>
          <w:sz w:val="22"/>
          <w:szCs w:val="22"/>
          <w:lang w:val="sr-Latn-ME"/>
        </w:rPr>
      </w:pPr>
      <w:r w:rsidRPr="00C12098">
        <w:rPr>
          <w:sz w:val="22"/>
          <w:szCs w:val="22"/>
          <w:lang w:val="sr-Latn-ME"/>
        </w:rPr>
        <w:t xml:space="preserve">Ne očekuju se efekti na odojčad s obzirom na to da je sistemska izloženost dojilja lijeku SONA DUO zanemarljiva. Lijek SONA DUO se može primjenjivati tokom dojenja. </w:t>
      </w:r>
    </w:p>
    <w:p w14:paraId="3869DA16" w14:textId="77777777" w:rsidR="005C0E13" w:rsidRPr="00C12098" w:rsidRDefault="005C0E13" w:rsidP="0059051B">
      <w:pPr>
        <w:jc w:val="both"/>
        <w:rPr>
          <w:sz w:val="22"/>
          <w:szCs w:val="22"/>
          <w:lang w:val="sr-Latn-ME"/>
        </w:rPr>
      </w:pPr>
    </w:p>
    <w:p w14:paraId="4FE04B51" w14:textId="77777777" w:rsidR="005C0E13" w:rsidRPr="00C12098" w:rsidRDefault="005C0E13" w:rsidP="0059051B">
      <w:pPr>
        <w:jc w:val="both"/>
        <w:rPr>
          <w:sz w:val="22"/>
          <w:szCs w:val="22"/>
          <w:lang w:val="sr-Latn-ME"/>
        </w:rPr>
      </w:pPr>
      <w:r w:rsidRPr="00C12098">
        <w:rPr>
          <w:sz w:val="22"/>
          <w:szCs w:val="22"/>
          <w:lang w:val="sr-Latn-ME"/>
        </w:rPr>
        <w:t>Kako bi se izbjegla kontaktna izloženost odojčadi, potrebno je izbjegavati primjenu lijeka SONA DUO u predjelu grudi ako se lijek primjenjuje tokom dojenja.</w:t>
      </w:r>
    </w:p>
    <w:p w14:paraId="6AB64DA5" w14:textId="77777777" w:rsidR="005C0E13" w:rsidRPr="00C12098" w:rsidRDefault="005C0E13" w:rsidP="0059051B">
      <w:pPr>
        <w:jc w:val="both"/>
        <w:rPr>
          <w:sz w:val="22"/>
          <w:szCs w:val="22"/>
          <w:lang w:val="sr-Latn-ME"/>
        </w:rPr>
      </w:pPr>
    </w:p>
    <w:p w14:paraId="6ECDB05E" w14:textId="77777777" w:rsidR="005C0E13" w:rsidRPr="00C12098" w:rsidRDefault="005C0E13" w:rsidP="0059051B">
      <w:pPr>
        <w:jc w:val="both"/>
        <w:rPr>
          <w:i/>
          <w:iCs/>
          <w:sz w:val="22"/>
          <w:szCs w:val="22"/>
          <w:u w:val="single"/>
          <w:lang w:val="sr-Latn-ME"/>
        </w:rPr>
      </w:pPr>
      <w:r w:rsidRPr="00C12098">
        <w:rPr>
          <w:sz w:val="22"/>
          <w:szCs w:val="22"/>
          <w:u w:val="single"/>
          <w:lang w:val="sr-Latn-ME"/>
        </w:rPr>
        <w:t>Plodnost</w:t>
      </w:r>
    </w:p>
    <w:p w14:paraId="63F408E5" w14:textId="6674C173" w:rsidR="005C0E13" w:rsidRPr="00C12098" w:rsidRDefault="005C0E13" w:rsidP="0059051B">
      <w:pPr>
        <w:jc w:val="both"/>
        <w:rPr>
          <w:sz w:val="22"/>
          <w:szCs w:val="22"/>
          <w:lang w:val="sr-Latn-ME"/>
        </w:rPr>
      </w:pPr>
      <w:r w:rsidRPr="00C12098">
        <w:rPr>
          <w:sz w:val="22"/>
          <w:szCs w:val="22"/>
          <w:lang w:val="sr-Latn-ME"/>
        </w:rPr>
        <w:t>Nisu sprovedena ispitivanja plodnosti kod ljudi sa fiksnom kombinacijom adapalena i benzoil</w:t>
      </w:r>
      <w:r w:rsidR="0079798C" w:rsidRPr="00C12098">
        <w:rPr>
          <w:sz w:val="22"/>
          <w:szCs w:val="22"/>
          <w:lang w:val="sr-Latn-ME"/>
        </w:rPr>
        <w:t xml:space="preserve"> </w:t>
      </w:r>
      <w:r w:rsidRPr="00C12098">
        <w:rPr>
          <w:sz w:val="22"/>
          <w:szCs w:val="22"/>
          <w:lang w:val="sr-Latn-ME"/>
        </w:rPr>
        <w:t xml:space="preserve">peroksida.  </w:t>
      </w:r>
    </w:p>
    <w:p w14:paraId="2406380C" w14:textId="77777777" w:rsidR="005C0E13" w:rsidRPr="00C12098" w:rsidRDefault="005C0E13" w:rsidP="0059051B">
      <w:pPr>
        <w:jc w:val="both"/>
        <w:rPr>
          <w:sz w:val="22"/>
          <w:szCs w:val="22"/>
          <w:lang w:val="sr-Latn-ME"/>
        </w:rPr>
      </w:pPr>
    </w:p>
    <w:p w14:paraId="1DA0EBB2" w14:textId="282E36AA" w:rsidR="005C0E13" w:rsidRPr="00C12098" w:rsidRDefault="005C0E13" w:rsidP="0059051B">
      <w:pPr>
        <w:jc w:val="both"/>
        <w:rPr>
          <w:sz w:val="22"/>
          <w:szCs w:val="22"/>
          <w:lang w:val="sr-Latn-ME"/>
        </w:rPr>
      </w:pPr>
      <w:r w:rsidRPr="00C12098">
        <w:rPr>
          <w:sz w:val="22"/>
          <w:szCs w:val="22"/>
          <w:lang w:val="sr-Latn-ME"/>
        </w:rPr>
        <w:t>Međutim, efekti adapalena ili benzoil</w:t>
      </w:r>
      <w:r w:rsidR="0079798C" w:rsidRPr="00C12098">
        <w:rPr>
          <w:sz w:val="22"/>
          <w:szCs w:val="22"/>
          <w:lang w:val="sr-Latn-ME"/>
        </w:rPr>
        <w:t xml:space="preserve"> </w:t>
      </w:r>
      <w:r w:rsidRPr="00C12098">
        <w:rPr>
          <w:sz w:val="22"/>
          <w:szCs w:val="22"/>
          <w:lang w:val="sr-Latn-ME"/>
        </w:rPr>
        <w:t>peroksida na plodnost nisu nađeni u reproduktivnim ispitivanjima sprovedenim na pacovima (vidjeti dio 5.3).</w:t>
      </w:r>
    </w:p>
    <w:p w14:paraId="2E23414F" w14:textId="77777777" w:rsidR="005C0E13" w:rsidRPr="00C12098" w:rsidRDefault="005C0E13" w:rsidP="0059051B">
      <w:pPr>
        <w:jc w:val="both"/>
        <w:rPr>
          <w:sz w:val="22"/>
          <w:szCs w:val="22"/>
          <w:lang w:val="sr-Latn-ME"/>
        </w:rPr>
      </w:pPr>
    </w:p>
    <w:p w14:paraId="7609AD70" w14:textId="1B1BD988" w:rsidR="0072020E" w:rsidRPr="00C12098" w:rsidRDefault="0072020E" w:rsidP="0059051B">
      <w:pPr>
        <w:tabs>
          <w:tab w:val="left" w:pos="540"/>
          <w:tab w:val="left" w:pos="569"/>
        </w:tabs>
        <w:ind w:left="540" w:hanging="540"/>
        <w:jc w:val="both"/>
        <w:rPr>
          <w:b/>
          <w:bCs/>
          <w:sz w:val="22"/>
          <w:szCs w:val="22"/>
          <w:lang w:val="sr-Latn-ME"/>
        </w:rPr>
      </w:pPr>
      <w:r w:rsidRPr="00C12098">
        <w:rPr>
          <w:b/>
          <w:bCs/>
          <w:sz w:val="22"/>
          <w:szCs w:val="22"/>
          <w:lang w:val="sr-Latn-ME"/>
        </w:rPr>
        <w:t xml:space="preserve">4.7. </w:t>
      </w:r>
      <w:r w:rsidR="00480FB1" w:rsidRPr="00C12098">
        <w:rPr>
          <w:b/>
          <w:bCs/>
          <w:sz w:val="22"/>
          <w:szCs w:val="22"/>
          <w:lang w:val="sr-Latn-ME"/>
        </w:rPr>
        <w:tab/>
      </w:r>
      <w:r w:rsidRPr="00C12098">
        <w:rPr>
          <w:b/>
          <w:bCs/>
          <w:sz w:val="22"/>
          <w:szCs w:val="22"/>
          <w:lang w:val="sr-Latn-ME"/>
        </w:rPr>
        <w:t xml:space="preserve">Uticaj na </w:t>
      </w:r>
      <w:r w:rsidR="002031B3" w:rsidRPr="00C12098">
        <w:rPr>
          <w:b/>
          <w:bCs/>
          <w:sz w:val="22"/>
          <w:szCs w:val="22"/>
          <w:lang w:val="sr-Latn-ME"/>
        </w:rPr>
        <w:t xml:space="preserve">sposobnost </w:t>
      </w:r>
      <w:r w:rsidR="00F34554" w:rsidRPr="00C12098">
        <w:rPr>
          <w:b/>
          <w:bCs/>
          <w:sz w:val="22"/>
          <w:szCs w:val="22"/>
          <w:lang w:val="sr-Latn-ME"/>
        </w:rPr>
        <w:t>upravljanja vozili</w:t>
      </w:r>
      <w:r w:rsidRPr="00C12098">
        <w:rPr>
          <w:b/>
          <w:bCs/>
          <w:sz w:val="22"/>
          <w:szCs w:val="22"/>
          <w:lang w:val="sr-Latn-ME"/>
        </w:rPr>
        <w:t>m</w:t>
      </w:r>
      <w:r w:rsidR="00F34554" w:rsidRPr="00C12098">
        <w:rPr>
          <w:b/>
          <w:bCs/>
          <w:sz w:val="22"/>
          <w:szCs w:val="22"/>
          <w:lang w:val="sr-Latn-ME"/>
        </w:rPr>
        <w:t>a</w:t>
      </w:r>
      <w:r w:rsidRPr="00C12098">
        <w:rPr>
          <w:b/>
          <w:bCs/>
          <w:sz w:val="22"/>
          <w:szCs w:val="22"/>
          <w:lang w:val="sr-Latn-ME"/>
        </w:rPr>
        <w:t xml:space="preserve"> i </w:t>
      </w:r>
      <w:r w:rsidR="000D3449" w:rsidRPr="00C12098">
        <w:rPr>
          <w:b/>
          <w:bCs/>
          <w:sz w:val="22"/>
          <w:szCs w:val="22"/>
          <w:lang w:val="sr-Latn-ME"/>
        </w:rPr>
        <w:t xml:space="preserve">rukovanje </w:t>
      </w:r>
      <w:r w:rsidRPr="00C12098">
        <w:rPr>
          <w:b/>
          <w:bCs/>
          <w:sz w:val="22"/>
          <w:szCs w:val="22"/>
          <w:lang w:val="sr-Latn-ME"/>
        </w:rPr>
        <w:t>mašinama</w:t>
      </w:r>
    </w:p>
    <w:p w14:paraId="1674FECA" w14:textId="77777777" w:rsidR="003E36F2" w:rsidRPr="00C12098" w:rsidRDefault="003E36F2" w:rsidP="0059051B">
      <w:pPr>
        <w:tabs>
          <w:tab w:val="left" w:pos="540"/>
          <w:tab w:val="left" w:pos="569"/>
        </w:tabs>
        <w:ind w:left="540" w:hanging="540"/>
        <w:jc w:val="both"/>
        <w:rPr>
          <w:b/>
          <w:bCs/>
          <w:sz w:val="22"/>
          <w:szCs w:val="22"/>
          <w:lang w:val="sr-Latn-ME"/>
        </w:rPr>
      </w:pPr>
    </w:p>
    <w:p w14:paraId="6C4F8843" w14:textId="215F50B2" w:rsidR="0072020E" w:rsidRPr="00C12098" w:rsidRDefault="003E36F2" w:rsidP="0059051B">
      <w:pPr>
        <w:tabs>
          <w:tab w:val="left" w:pos="540"/>
          <w:tab w:val="left" w:pos="569"/>
        </w:tabs>
        <w:jc w:val="both"/>
        <w:rPr>
          <w:sz w:val="22"/>
          <w:szCs w:val="22"/>
          <w:lang w:val="sr-Latn-ME"/>
        </w:rPr>
      </w:pPr>
      <w:r w:rsidRPr="00C12098">
        <w:rPr>
          <w:sz w:val="22"/>
          <w:szCs w:val="22"/>
          <w:lang w:val="sr-Latn-ME"/>
        </w:rPr>
        <w:t>Nije značajno.</w:t>
      </w:r>
    </w:p>
    <w:p w14:paraId="60A770D0" w14:textId="77777777" w:rsidR="003E36F2" w:rsidRPr="00C12098" w:rsidRDefault="003E36F2" w:rsidP="0059051B">
      <w:pPr>
        <w:tabs>
          <w:tab w:val="left" w:pos="540"/>
          <w:tab w:val="left" w:pos="569"/>
        </w:tabs>
        <w:jc w:val="both"/>
        <w:rPr>
          <w:b/>
          <w:bCs/>
          <w:sz w:val="22"/>
          <w:szCs w:val="22"/>
          <w:lang w:val="sr-Latn-ME"/>
        </w:rPr>
      </w:pPr>
    </w:p>
    <w:p w14:paraId="422B65CE" w14:textId="09C310CC"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4.8. </w:t>
      </w:r>
      <w:r w:rsidR="00480FB1" w:rsidRPr="00C12098">
        <w:rPr>
          <w:b/>
          <w:bCs/>
          <w:sz w:val="22"/>
          <w:szCs w:val="22"/>
          <w:lang w:val="sr-Latn-ME"/>
        </w:rPr>
        <w:tab/>
      </w:r>
      <w:r w:rsidRPr="00C12098">
        <w:rPr>
          <w:b/>
          <w:bCs/>
          <w:sz w:val="22"/>
          <w:szCs w:val="22"/>
          <w:lang w:val="sr-Latn-ME"/>
        </w:rPr>
        <w:t>Neželjena dejstva</w:t>
      </w:r>
    </w:p>
    <w:p w14:paraId="1B6807BA" w14:textId="00FD2518" w:rsidR="0068194C" w:rsidRPr="00C12098" w:rsidRDefault="0068194C" w:rsidP="0059051B">
      <w:pPr>
        <w:tabs>
          <w:tab w:val="left" w:pos="540"/>
          <w:tab w:val="left" w:pos="569"/>
        </w:tabs>
        <w:jc w:val="both"/>
        <w:rPr>
          <w:b/>
          <w:bCs/>
          <w:sz w:val="22"/>
          <w:szCs w:val="22"/>
          <w:lang w:val="sr-Latn-ME"/>
        </w:rPr>
      </w:pPr>
    </w:p>
    <w:p w14:paraId="05115D11" w14:textId="77777777" w:rsidR="0068194C" w:rsidRPr="00C12098" w:rsidRDefault="0068194C" w:rsidP="0059051B">
      <w:pPr>
        <w:keepNext/>
        <w:keepLines/>
        <w:jc w:val="both"/>
        <w:rPr>
          <w:sz w:val="22"/>
          <w:szCs w:val="22"/>
          <w:lang w:val="sr-Latn-ME"/>
        </w:rPr>
      </w:pPr>
      <w:r w:rsidRPr="00C12098">
        <w:rPr>
          <w:sz w:val="22"/>
          <w:szCs w:val="22"/>
          <w:lang w:val="sr-Latn-ME"/>
        </w:rPr>
        <w:t xml:space="preserve">Učestalost i klasifikacija neželjenih dejstava prema sistemima organa prikazane su prema MedDRA klasifikaciji na sljedeći način: </w:t>
      </w:r>
    </w:p>
    <w:p w14:paraId="062BFA58" w14:textId="77777777" w:rsidR="0068194C" w:rsidRPr="00C12098" w:rsidRDefault="0068194C" w:rsidP="0059051B">
      <w:pPr>
        <w:keepNext/>
        <w:keepLines/>
        <w:jc w:val="both"/>
        <w:rPr>
          <w:sz w:val="22"/>
          <w:szCs w:val="22"/>
          <w:lang w:val="sr-Latn-ME"/>
        </w:rPr>
      </w:pPr>
      <w:r w:rsidRPr="00C12098">
        <w:rPr>
          <w:sz w:val="22"/>
          <w:szCs w:val="22"/>
          <w:lang w:val="sr-Latn-ME"/>
        </w:rPr>
        <w:t>veoma često</w:t>
      </w:r>
      <w:r w:rsidRPr="00C12098">
        <w:rPr>
          <w:sz w:val="22"/>
          <w:szCs w:val="22"/>
          <w:lang w:val="sr-Latn-ME"/>
        </w:rPr>
        <w:tab/>
        <w:t>(≥ 1/10)</w:t>
      </w:r>
    </w:p>
    <w:p w14:paraId="602FB90A" w14:textId="77777777" w:rsidR="0068194C" w:rsidRPr="00C12098" w:rsidRDefault="0068194C" w:rsidP="0059051B">
      <w:pPr>
        <w:jc w:val="both"/>
        <w:rPr>
          <w:sz w:val="22"/>
          <w:szCs w:val="22"/>
          <w:lang w:val="sr-Latn-ME"/>
        </w:rPr>
      </w:pPr>
      <w:r w:rsidRPr="00C12098">
        <w:rPr>
          <w:sz w:val="22"/>
          <w:szCs w:val="22"/>
          <w:lang w:val="sr-Latn-ME"/>
        </w:rPr>
        <w:t xml:space="preserve">često      </w:t>
      </w:r>
      <w:r w:rsidRPr="00C12098">
        <w:rPr>
          <w:sz w:val="22"/>
          <w:szCs w:val="22"/>
          <w:lang w:val="sr-Latn-ME"/>
        </w:rPr>
        <w:tab/>
        <w:t>(≥ 1/100 i &lt; 1/10)</w:t>
      </w:r>
    </w:p>
    <w:p w14:paraId="21DAA1E1" w14:textId="77777777" w:rsidR="0068194C" w:rsidRPr="00C12098" w:rsidRDefault="0068194C" w:rsidP="0059051B">
      <w:pPr>
        <w:jc w:val="both"/>
        <w:rPr>
          <w:sz w:val="22"/>
          <w:szCs w:val="22"/>
          <w:lang w:val="sr-Latn-ME"/>
        </w:rPr>
      </w:pPr>
      <w:r w:rsidRPr="00C12098">
        <w:rPr>
          <w:sz w:val="22"/>
          <w:szCs w:val="22"/>
          <w:lang w:val="sr-Latn-ME"/>
        </w:rPr>
        <w:t>povremeno</w:t>
      </w:r>
      <w:r w:rsidRPr="00C12098">
        <w:rPr>
          <w:sz w:val="22"/>
          <w:szCs w:val="22"/>
          <w:lang w:val="sr-Latn-ME"/>
        </w:rPr>
        <w:tab/>
        <w:t>(≥ 1/1000 i &lt;1/100)</w:t>
      </w:r>
    </w:p>
    <w:p w14:paraId="5B810822" w14:textId="77777777" w:rsidR="0068194C" w:rsidRPr="00C12098" w:rsidRDefault="0068194C" w:rsidP="0059051B">
      <w:pPr>
        <w:jc w:val="both"/>
        <w:rPr>
          <w:sz w:val="22"/>
          <w:szCs w:val="22"/>
          <w:lang w:val="sr-Latn-ME"/>
        </w:rPr>
      </w:pPr>
      <w:r w:rsidRPr="00C12098">
        <w:rPr>
          <w:sz w:val="22"/>
          <w:szCs w:val="22"/>
          <w:lang w:val="sr-Latn-ME"/>
        </w:rPr>
        <w:t>rijetko</w:t>
      </w:r>
      <w:r w:rsidRPr="00C12098">
        <w:rPr>
          <w:sz w:val="22"/>
          <w:szCs w:val="22"/>
          <w:lang w:val="sr-Latn-ME"/>
        </w:rPr>
        <w:tab/>
      </w:r>
      <w:r w:rsidRPr="00C12098">
        <w:rPr>
          <w:sz w:val="22"/>
          <w:szCs w:val="22"/>
          <w:lang w:val="sr-Latn-ME"/>
        </w:rPr>
        <w:tab/>
        <w:t>(≥ 1/10 000 i &lt; 1/1000)</w:t>
      </w:r>
    </w:p>
    <w:p w14:paraId="0021E090" w14:textId="77777777" w:rsidR="0068194C" w:rsidRPr="00C12098" w:rsidRDefault="0068194C" w:rsidP="0059051B">
      <w:pPr>
        <w:jc w:val="both"/>
        <w:rPr>
          <w:sz w:val="22"/>
          <w:szCs w:val="22"/>
          <w:lang w:val="sr-Latn-ME"/>
        </w:rPr>
      </w:pPr>
      <w:r w:rsidRPr="00C12098">
        <w:rPr>
          <w:sz w:val="22"/>
          <w:szCs w:val="22"/>
          <w:lang w:val="sr-Latn-ME"/>
        </w:rPr>
        <w:t>veoma rijetko</w:t>
      </w:r>
      <w:r w:rsidRPr="00C12098">
        <w:rPr>
          <w:sz w:val="22"/>
          <w:szCs w:val="22"/>
          <w:lang w:val="sr-Latn-ME"/>
        </w:rPr>
        <w:tab/>
        <w:t>(&lt;1/10 000)</w:t>
      </w:r>
    </w:p>
    <w:p w14:paraId="2EB0B07B" w14:textId="77777777" w:rsidR="0068194C" w:rsidRPr="00C12098" w:rsidRDefault="0068194C" w:rsidP="0059051B">
      <w:pPr>
        <w:jc w:val="both"/>
        <w:rPr>
          <w:sz w:val="22"/>
          <w:szCs w:val="22"/>
          <w:lang w:val="sr-Latn-ME"/>
        </w:rPr>
      </w:pPr>
      <w:r w:rsidRPr="00C12098">
        <w:rPr>
          <w:sz w:val="22"/>
          <w:szCs w:val="22"/>
          <w:lang w:val="sr-Latn-ME"/>
        </w:rPr>
        <w:t>nepoznato</w:t>
      </w:r>
      <w:r w:rsidRPr="00C12098">
        <w:rPr>
          <w:sz w:val="22"/>
          <w:szCs w:val="22"/>
          <w:lang w:val="sr-Latn-ME"/>
        </w:rPr>
        <w:tab/>
        <w:t>(ne može se procijeniti iz dostupnih podataka).</w:t>
      </w:r>
    </w:p>
    <w:p w14:paraId="4B6F330E" w14:textId="77777777" w:rsidR="0068194C" w:rsidRPr="00C12098" w:rsidRDefault="0068194C" w:rsidP="0059051B">
      <w:pPr>
        <w:autoSpaceDE w:val="0"/>
        <w:autoSpaceDN w:val="0"/>
        <w:adjustRightInd w:val="0"/>
        <w:ind w:left="12"/>
        <w:jc w:val="both"/>
        <w:rPr>
          <w:color w:val="000000"/>
          <w:sz w:val="22"/>
          <w:szCs w:val="22"/>
          <w:lang w:val="sr-Latn-ME" w:eastAsia="sl-SI"/>
        </w:rPr>
      </w:pPr>
    </w:p>
    <w:p w14:paraId="0406762F" w14:textId="77777777" w:rsidR="0068194C" w:rsidRPr="00C12098" w:rsidRDefault="0068194C" w:rsidP="0059051B">
      <w:pPr>
        <w:keepNext/>
        <w:keepLines/>
        <w:autoSpaceDE w:val="0"/>
        <w:autoSpaceDN w:val="0"/>
        <w:adjustRightInd w:val="0"/>
        <w:ind w:left="12"/>
        <w:jc w:val="both"/>
        <w:rPr>
          <w:color w:val="000000"/>
          <w:sz w:val="22"/>
          <w:szCs w:val="22"/>
          <w:u w:val="single"/>
          <w:lang w:val="sr-Latn-ME" w:eastAsia="sl-SI"/>
        </w:rPr>
      </w:pPr>
      <w:r w:rsidRPr="00C12098">
        <w:rPr>
          <w:color w:val="000000"/>
          <w:sz w:val="22"/>
          <w:szCs w:val="22"/>
          <w:u w:val="single"/>
          <w:lang w:val="sr-Latn-ME" w:eastAsia="sl-SI"/>
        </w:rPr>
        <w:t>Poremećaji oka</w:t>
      </w:r>
    </w:p>
    <w:p w14:paraId="06F0913D" w14:textId="77777777" w:rsidR="0068194C" w:rsidRPr="00C12098" w:rsidRDefault="0068194C" w:rsidP="0059051B">
      <w:pPr>
        <w:keepNext/>
        <w:keepLines/>
        <w:autoSpaceDE w:val="0"/>
        <w:autoSpaceDN w:val="0"/>
        <w:adjustRightInd w:val="0"/>
        <w:ind w:left="12"/>
        <w:jc w:val="both"/>
        <w:rPr>
          <w:color w:val="000000"/>
          <w:sz w:val="22"/>
          <w:szCs w:val="22"/>
          <w:lang w:val="sr-Latn-ME" w:eastAsia="sl-SI"/>
        </w:rPr>
      </w:pPr>
      <w:r w:rsidRPr="00C12098">
        <w:rPr>
          <w:color w:val="000000"/>
          <w:sz w:val="22"/>
          <w:szCs w:val="22"/>
          <w:lang w:val="sr-Latn-ME" w:eastAsia="sl-SI"/>
        </w:rPr>
        <w:t>Nepoznato*: edem kapaka.</w:t>
      </w:r>
    </w:p>
    <w:p w14:paraId="5600926C" w14:textId="77777777" w:rsidR="0068194C" w:rsidRPr="00C12098" w:rsidRDefault="0068194C" w:rsidP="0059051B">
      <w:pPr>
        <w:keepNext/>
        <w:keepLines/>
        <w:jc w:val="both"/>
        <w:rPr>
          <w:b/>
          <w:sz w:val="22"/>
          <w:szCs w:val="22"/>
          <w:lang w:val="sr-Latn-ME"/>
        </w:rPr>
      </w:pPr>
    </w:p>
    <w:p w14:paraId="6EFE1B17" w14:textId="77777777" w:rsidR="0068194C" w:rsidRPr="00C12098" w:rsidRDefault="0068194C" w:rsidP="0059051B">
      <w:pPr>
        <w:keepNext/>
        <w:keepLines/>
        <w:jc w:val="both"/>
        <w:rPr>
          <w:sz w:val="22"/>
          <w:szCs w:val="22"/>
          <w:u w:val="single"/>
          <w:lang w:val="sr-Latn-ME"/>
        </w:rPr>
      </w:pPr>
      <w:r w:rsidRPr="00C12098">
        <w:rPr>
          <w:sz w:val="22"/>
          <w:szCs w:val="22"/>
          <w:u w:val="single"/>
          <w:lang w:val="sr-Latn-ME"/>
        </w:rPr>
        <w:t>Poremećaji imunog sistema</w:t>
      </w:r>
    </w:p>
    <w:p w14:paraId="256223BD" w14:textId="77777777" w:rsidR="0068194C" w:rsidRPr="00C12098" w:rsidRDefault="0068194C" w:rsidP="0059051B">
      <w:pPr>
        <w:keepNext/>
        <w:keepLines/>
        <w:jc w:val="both"/>
        <w:rPr>
          <w:sz w:val="22"/>
          <w:szCs w:val="22"/>
          <w:u w:val="single"/>
          <w:lang w:val="sr-Latn-ME"/>
        </w:rPr>
      </w:pPr>
      <w:r w:rsidRPr="00C12098">
        <w:rPr>
          <w:sz w:val="22"/>
          <w:szCs w:val="22"/>
          <w:lang w:val="sr-Latn-ME"/>
        </w:rPr>
        <w:t xml:space="preserve">Nepoznato*: anafilaktička reakcija. </w:t>
      </w:r>
    </w:p>
    <w:p w14:paraId="4101D02B" w14:textId="77777777" w:rsidR="0068194C" w:rsidRPr="00C12098" w:rsidRDefault="0068194C" w:rsidP="0059051B">
      <w:pPr>
        <w:jc w:val="both"/>
        <w:rPr>
          <w:sz w:val="22"/>
          <w:szCs w:val="22"/>
          <w:u w:val="single"/>
          <w:lang w:val="sr-Latn-ME"/>
        </w:rPr>
      </w:pPr>
    </w:p>
    <w:p w14:paraId="7D9BD889" w14:textId="77777777" w:rsidR="0068194C" w:rsidRPr="00C12098" w:rsidRDefault="0068194C" w:rsidP="0059051B">
      <w:pPr>
        <w:ind w:left="12"/>
        <w:jc w:val="both"/>
        <w:rPr>
          <w:sz w:val="22"/>
          <w:szCs w:val="22"/>
          <w:u w:val="single"/>
          <w:lang w:val="sr-Latn-ME"/>
        </w:rPr>
      </w:pPr>
      <w:r w:rsidRPr="00C12098">
        <w:rPr>
          <w:sz w:val="22"/>
          <w:szCs w:val="22"/>
          <w:u w:val="single"/>
          <w:lang w:val="sr-Latn-ME"/>
        </w:rPr>
        <w:t>Respiratorni, torakalni i medijastinalni poremećaji</w:t>
      </w:r>
    </w:p>
    <w:p w14:paraId="5ECEF495" w14:textId="77777777" w:rsidR="0068194C" w:rsidRPr="00C12098" w:rsidRDefault="0068194C" w:rsidP="0059051B">
      <w:pPr>
        <w:ind w:left="12"/>
        <w:jc w:val="both"/>
        <w:rPr>
          <w:sz w:val="22"/>
          <w:szCs w:val="22"/>
          <w:lang w:val="sr-Latn-ME"/>
        </w:rPr>
      </w:pPr>
      <w:r w:rsidRPr="00C12098">
        <w:rPr>
          <w:sz w:val="22"/>
          <w:szCs w:val="22"/>
          <w:lang w:val="sr-Latn-ME"/>
        </w:rPr>
        <w:t>Nepoznato*: stezanje u grlu, dispneja.</w:t>
      </w:r>
    </w:p>
    <w:p w14:paraId="4489D8DD" w14:textId="77777777" w:rsidR="0068194C" w:rsidRPr="00C12098" w:rsidRDefault="0068194C" w:rsidP="0059051B">
      <w:pPr>
        <w:ind w:left="12"/>
        <w:jc w:val="both"/>
        <w:rPr>
          <w:sz w:val="22"/>
          <w:szCs w:val="22"/>
          <w:lang w:val="sr-Latn-ME"/>
        </w:rPr>
      </w:pPr>
    </w:p>
    <w:p w14:paraId="77515CDD" w14:textId="77777777" w:rsidR="0068194C" w:rsidRPr="00C12098" w:rsidRDefault="0068194C" w:rsidP="0059051B">
      <w:pPr>
        <w:jc w:val="both"/>
        <w:rPr>
          <w:sz w:val="22"/>
          <w:szCs w:val="22"/>
          <w:u w:val="single"/>
          <w:lang w:val="sr-Latn-ME"/>
        </w:rPr>
      </w:pPr>
      <w:r w:rsidRPr="00C12098">
        <w:rPr>
          <w:sz w:val="22"/>
          <w:szCs w:val="22"/>
          <w:u w:val="single"/>
          <w:lang w:val="sr-Latn-ME"/>
        </w:rPr>
        <w:t>Poremećaji kože i potkožnog tkiva</w:t>
      </w:r>
    </w:p>
    <w:p w14:paraId="07648E8A" w14:textId="77777777" w:rsidR="0068194C" w:rsidRPr="00C12098" w:rsidRDefault="0068194C" w:rsidP="0059051B">
      <w:pPr>
        <w:ind w:left="12"/>
        <w:jc w:val="both"/>
        <w:rPr>
          <w:sz w:val="22"/>
          <w:szCs w:val="22"/>
          <w:lang w:val="sr-Latn-ME"/>
        </w:rPr>
      </w:pPr>
      <w:r w:rsidRPr="00C12098">
        <w:rPr>
          <w:sz w:val="22"/>
          <w:szCs w:val="22"/>
          <w:lang w:val="sr-Latn-ME"/>
        </w:rPr>
        <w:t xml:space="preserve">Često: suva koža, nadražujući kontaktni dermatitis, iritacija kože, osjećaj žarenja na koži, eritem, eksfolijacija (ljuštenje kože). </w:t>
      </w:r>
    </w:p>
    <w:p w14:paraId="37BCE82D" w14:textId="77777777" w:rsidR="0068194C" w:rsidRPr="00C12098" w:rsidRDefault="0068194C" w:rsidP="0059051B">
      <w:pPr>
        <w:ind w:left="12"/>
        <w:jc w:val="both"/>
        <w:rPr>
          <w:sz w:val="22"/>
          <w:szCs w:val="22"/>
          <w:lang w:val="sr-Latn-ME"/>
        </w:rPr>
      </w:pPr>
      <w:r w:rsidRPr="00C12098">
        <w:rPr>
          <w:sz w:val="22"/>
          <w:szCs w:val="22"/>
          <w:lang w:val="sr-Latn-ME"/>
        </w:rPr>
        <w:t xml:space="preserve">Povremeno: svrab, opekotine od sunca. </w:t>
      </w:r>
    </w:p>
    <w:p w14:paraId="6523C7FC" w14:textId="77777777" w:rsidR="0068194C" w:rsidRPr="00C12098" w:rsidRDefault="0068194C" w:rsidP="0059051B">
      <w:pPr>
        <w:ind w:left="12"/>
        <w:jc w:val="both"/>
        <w:rPr>
          <w:sz w:val="22"/>
          <w:szCs w:val="22"/>
          <w:lang w:val="sr-Latn-ME"/>
        </w:rPr>
      </w:pPr>
      <w:r w:rsidRPr="00C12098">
        <w:rPr>
          <w:sz w:val="22"/>
          <w:szCs w:val="22"/>
          <w:lang w:val="sr-Latn-ME"/>
        </w:rPr>
        <w:t>Nepoznato*: alergijski kontaktni dermatitis, oticanje lica, bol kože (bockajući bol), mjehurići (vezikule), promjena boje kože (hiperpigmentacija i hipopigmentacija), urtikarija, opekotine na mjestu primjene**.</w:t>
      </w:r>
    </w:p>
    <w:p w14:paraId="28BBECE2" w14:textId="77777777" w:rsidR="0068194C" w:rsidRPr="00C12098" w:rsidRDefault="0068194C" w:rsidP="0059051B">
      <w:pPr>
        <w:ind w:left="12"/>
        <w:jc w:val="both"/>
        <w:rPr>
          <w:sz w:val="22"/>
          <w:szCs w:val="22"/>
          <w:lang w:val="sr-Latn-ME"/>
        </w:rPr>
      </w:pPr>
    </w:p>
    <w:p w14:paraId="4C7B67E0" w14:textId="77777777" w:rsidR="0068194C" w:rsidRPr="00C12098" w:rsidRDefault="0068194C" w:rsidP="0059051B">
      <w:pPr>
        <w:ind w:left="12"/>
        <w:jc w:val="both"/>
        <w:rPr>
          <w:sz w:val="22"/>
          <w:szCs w:val="22"/>
          <w:lang w:val="sr-Latn-ME"/>
        </w:rPr>
      </w:pPr>
      <w:r w:rsidRPr="00C12098">
        <w:rPr>
          <w:sz w:val="22"/>
          <w:szCs w:val="22"/>
          <w:lang w:val="sr-Latn-ME"/>
        </w:rPr>
        <w:t>*podaci postmarketinškog praćenja</w:t>
      </w:r>
    </w:p>
    <w:p w14:paraId="354CEB0C" w14:textId="77777777" w:rsidR="0068194C" w:rsidRPr="00C12098" w:rsidRDefault="0068194C" w:rsidP="0059051B">
      <w:pPr>
        <w:ind w:left="12"/>
        <w:jc w:val="both"/>
        <w:rPr>
          <w:sz w:val="22"/>
          <w:szCs w:val="22"/>
          <w:lang w:val="sr-Latn-ME"/>
        </w:rPr>
      </w:pPr>
      <w:r w:rsidRPr="00C12098">
        <w:rPr>
          <w:sz w:val="22"/>
          <w:szCs w:val="22"/>
          <w:lang w:val="sr-Latn-ME"/>
        </w:rPr>
        <w:t xml:space="preserve">**u većini slučajeva opekotine na mjestu primjene bile su površinske opekotine, ali prijavljeni su i slučajevi opekotina drugog stepena ili teških opekotina.  </w:t>
      </w:r>
    </w:p>
    <w:p w14:paraId="62E1E9B3" w14:textId="77777777" w:rsidR="0068194C" w:rsidRPr="00C12098" w:rsidRDefault="0068194C" w:rsidP="0059051B">
      <w:pPr>
        <w:ind w:left="12"/>
        <w:jc w:val="both"/>
        <w:rPr>
          <w:sz w:val="22"/>
          <w:szCs w:val="22"/>
          <w:lang w:val="sr-Latn-ME"/>
        </w:rPr>
      </w:pPr>
    </w:p>
    <w:p w14:paraId="0A84B7E1" w14:textId="0FF3E217" w:rsidR="0068194C" w:rsidRPr="00C12098" w:rsidRDefault="0068194C" w:rsidP="0059051B">
      <w:pPr>
        <w:ind w:left="12"/>
        <w:jc w:val="both"/>
        <w:rPr>
          <w:bCs/>
          <w:sz w:val="22"/>
          <w:szCs w:val="22"/>
          <w:u w:val="single"/>
          <w:lang w:val="sr-Latn-ME" w:eastAsia="hr-HR"/>
        </w:rPr>
      </w:pPr>
      <w:r w:rsidRPr="00C12098">
        <w:rPr>
          <w:sz w:val="22"/>
          <w:szCs w:val="22"/>
          <w:lang w:val="sr-Latn-ME"/>
        </w:rPr>
        <w:t>Ako se iritacija kože pojavi nakon primjene lijeka SONA DUO, intenzitet je uglavnom blag ili umjeren, uz znakove i simptome lokalne podnošljivosti (eritem, suvoća, ljuštenje, žarenje i bol kože (bockajući bol)), koji kulminiraju u prvoj ned</w:t>
      </w:r>
      <w:r w:rsidR="0079798C" w:rsidRPr="00C12098">
        <w:rPr>
          <w:sz w:val="22"/>
          <w:szCs w:val="22"/>
          <w:lang w:val="sr-Latn-ME"/>
        </w:rPr>
        <w:t>j</w:t>
      </w:r>
      <w:r w:rsidRPr="00C12098">
        <w:rPr>
          <w:sz w:val="22"/>
          <w:szCs w:val="22"/>
          <w:lang w:val="sr-Latn-ME"/>
        </w:rPr>
        <w:t>elji, a zatim spontano slabe.</w:t>
      </w:r>
    </w:p>
    <w:p w14:paraId="29D1FC2F" w14:textId="77C45509" w:rsidR="00AB7D96" w:rsidRPr="00C12098" w:rsidRDefault="00AB7D96" w:rsidP="0059051B">
      <w:pPr>
        <w:ind w:left="12"/>
        <w:jc w:val="both"/>
        <w:rPr>
          <w:bCs/>
          <w:sz w:val="22"/>
          <w:szCs w:val="22"/>
          <w:u w:val="single"/>
          <w:lang w:val="sr-Latn-ME" w:eastAsia="hr-HR"/>
        </w:rPr>
      </w:pPr>
    </w:p>
    <w:p w14:paraId="41FF42CA" w14:textId="78B2176C" w:rsidR="00AB7D96" w:rsidRPr="00C12098" w:rsidRDefault="00AB7D96" w:rsidP="0059051B">
      <w:pPr>
        <w:ind w:left="12"/>
        <w:jc w:val="both"/>
        <w:rPr>
          <w:bCs/>
          <w:sz w:val="22"/>
          <w:szCs w:val="22"/>
          <w:u w:val="single"/>
          <w:lang w:val="sr-Latn-ME" w:eastAsia="hr-HR"/>
        </w:rPr>
      </w:pPr>
    </w:p>
    <w:p w14:paraId="6339747B" w14:textId="77777777" w:rsidR="00AB7D96" w:rsidRPr="00C12098" w:rsidRDefault="00AB7D96" w:rsidP="0059051B">
      <w:pPr>
        <w:ind w:left="12"/>
        <w:jc w:val="both"/>
        <w:rPr>
          <w:bCs/>
          <w:sz w:val="22"/>
          <w:szCs w:val="22"/>
          <w:u w:val="single"/>
          <w:lang w:val="sr-Latn-ME" w:eastAsia="hr-HR"/>
        </w:rPr>
      </w:pPr>
    </w:p>
    <w:p w14:paraId="15ED663B" w14:textId="77777777" w:rsidR="004E70AD" w:rsidRPr="00C12098" w:rsidRDefault="004E70AD" w:rsidP="0059051B">
      <w:pPr>
        <w:tabs>
          <w:tab w:val="left" w:pos="540"/>
          <w:tab w:val="left" w:pos="569"/>
        </w:tabs>
        <w:jc w:val="both"/>
        <w:rPr>
          <w:b/>
          <w:bCs/>
          <w:sz w:val="22"/>
          <w:szCs w:val="22"/>
          <w:lang w:val="sr-Latn-ME"/>
        </w:rPr>
      </w:pPr>
    </w:p>
    <w:p w14:paraId="4F77A978" w14:textId="77777777" w:rsidR="005A23D2" w:rsidRPr="00C12098" w:rsidRDefault="005A23D2" w:rsidP="0059051B">
      <w:pPr>
        <w:spacing w:after="200" w:line="276" w:lineRule="auto"/>
        <w:jc w:val="both"/>
        <w:rPr>
          <w:rFonts w:eastAsia="Calibri"/>
          <w:sz w:val="22"/>
          <w:szCs w:val="22"/>
          <w:u w:val="single"/>
          <w:lang w:val="sr-Latn-ME"/>
        </w:rPr>
      </w:pPr>
      <w:r w:rsidRPr="00C12098">
        <w:rPr>
          <w:rFonts w:eastAsia="Calibri"/>
          <w:sz w:val="22"/>
          <w:szCs w:val="22"/>
          <w:u w:val="single"/>
          <w:lang w:val="sr-Latn-ME"/>
        </w:rPr>
        <w:t>Prijavljivanje sumnji na neželjena dejstva</w:t>
      </w:r>
    </w:p>
    <w:p w14:paraId="3CAD37BC" w14:textId="26126F18" w:rsidR="005A23D2" w:rsidRPr="00C12098" w:rsidRDefault="005A23D2" w:rsidP="0059051B">
      <w:pPr>
        <w:spacing w:after="200"/>
        <w:jc w:val="both"/>
        <w:rPr>
          <w:rFonts w:eastAsia="Calibri"/>
          <w:sz w:val="22"/>
          <w:szCs w:val="22"/>
          <w:lang w:val="sr-Latn-ME"/>
        </w:rPr>
      </w:pPr>
      <w:r w:rsidRPr="00C12098">
        <w:rPr>
          <w:rFonts w:eastAsia="Calibri"/>
          <w:sz w:val="22"/>
          <w:szCs w:val="22"/>
          <w:lang w:val="sr-Latn-ME"/>
        </w:rPr>
        <w:t>Prijavljivanje neželjenih dejstava nakon dobijanja dozvole</w:t>
      </w:r>
      <w:r w:rsidR="0059051B" w:rsidRPr="00C12098">
        <w:rPr>
          <w:rFonts w:eastAsia="Calibri"/>
          <w:sz w:val="22"/>
          <w:szCs w:val="22"/>
          <w:lang w:val="sr-Latn-ME"/>
        </w:rPr>
        <w:t xml:space="preserve"> </w:t>
      </w:r>
      <w:r w:rsidRPr="00C12098">
        <w:rPr>
          <w:rFonts w:eastAsia="Calibri"/>
          <w:sz w:val="22"/>
          <w:szCs w:val="22"/>
          <w:lang w:val="sr-Latn-ME"/>
        </w:rPr>
        <w:t>je od velikog značaja jer obezbjeđuje kont</w:t>
      </w:r>
      <w:r w:rsidR="00EA5765" w:rsidRPr="00C12098">
        <w:rPr>
          <w:rFonts w:eastAsia="Calibri"/>
          <w:sz w:val="22"/>
          <w:szCs w:val="22"/>
          <w:lang w:val="sr-Latn-ME"/>
        </w:rPr>
        <w:t>inuirano praćenje odnosa korist</w:t>
      </w:r>
      <w:r w:rsidRPr="00C12098">
        <w:rPr>
          <w:rFonts w:eastAsia="Calibri"/>
          <w:sz w:val="22"/>
          <w:szCs w:val="22"/>
          <w:lang w:val="sr-Latn-ME"/>
        </w:rPr>
        <w:t>/rizik primjene lijeka. Zdravstveni radnici treba da prijave svaku sumnju na neželjeno</w:t>
      </w:r>
      <w:r w:rsidR="009B062A" w:rsidRPr="00C12098">
        <w:rPr>
          <w:rFonts w:eastAsia="Calibri"/>
          <w:sz w:val="22"/>
          <w:szCs w:val="22"/>
          <w:lang w:val="sr-Latn-ME"/>
        </w:rPr>
        <w:t xml:space="preserve"> </w:t>
      </w:r>
      <w:r w:rsidRPr="00C12098">
        <w:rPr>
          <w:rFonts w:eastAsia="Calibri"/>
          <w:sz w:val="22"/>
          <w:szCs w:val="22"/>
          <w:lang w:val="sr-Latn-ME"/>
        </w:rPr>
        <w:t xml:space="preserve">dejstvo ovog lijeka </w:t>
      </w:r>
      <w:r w:rsidR="004E70AD" w:rsidRPr="00C12098">
        <w:rPr>
          <w:rFonts w:eastAsia="Calibri"/>
          <w:sz w:val="22"/>
          <w:szCs w:val="22"/>
          <w:lang w:val="sr-Latn-ME"/>
        </w:rPr>
        <w:t>Institutu</w:t>
      </w:r>
      <w:r w:rsidRPr="00C12098">
        <w:rPr>
          <w:rFonts w:eastAsia="Calibri"/>
          <w:sz w:val="22"/>
          <w:szCs w:val="22"/>
          <w:lang w:val="sr-Latn-ME"/>
        </w:rPr>
        <w:t xml:space="preserve"> za ljekove i medicinska sredstva</w:t>
      </w:r>
      <w:r w:rsidR="004E70AD" w:rsidRPr="00C12098">
        <w:rPr>
          <w:rFonts w:eastAsia="Calibri"/>
          <w:sz w:val="22"/>
          <w:szCs w:val="22"/>
          <w:lang w:val="sr-Latn-ME"/>
        </w:rPr>
        <w:t xml:space="preserve"> </w:t>
      </w:r>
      <w:r w:rsidRPr="00C12098">
        <w:rPr>
          <w:rFonts w:eastAsia="Calibri"/>
          <w:sz w:val="22"/>
          <w:szCs w:val="22"/>
          <w:lang w:val="sr-Latn-ME"/>
        </w:rPr>
        <w:t>(</w:t>
      </w:r>
      <w:r w:rsidR="004E70AD" w:rsidRPr="00C12098">
        <w:rPr>
          <w:rFonts w:eastAsia="Calibri"/>
          <w:sz w:val="22"/>
          <w:szCs w:val="22"/>
          <w:lang w:val="sr-Latn-ME"/>
        </w:rPr>
        <w:t>CInMED</w:t>
      </w:r>
      <w:r w:rsidRPr="00C12098">
        <w:rPr>
          <w:rFonts w:eastAsia="Calibri"/>
          <w:sz w:val="22"/>
          <w:szCs w:val="22"/>
          <w:lang w:val="sr-Latn-ME"/>
        </w:rPr>
        <w:t>):</w:t>
      </w:r>
    </w:p>
    <w:p w14:paraId="5C400AA6" w14:textId="77777777" w:rsidR="005A23D2" w:rsidRPr="00C12098" w:rsidRDefault="004E70AD" w:rsidP="0059051B">
      <w:pPr>
        <w:pStyle w:val="NoSpacing"/>
        <w:jc w:val="both"/>
        <w:rPr>
          <w:rFonts w:eastAsia="Calibri"/>
          <w:sz w:val="22"/>
          <w:szCs w:val="22"/>
          <w:lang w:val="sr-Latn-ME"/>
        </w:rPr>
      </w:pPr>
      <w:r w:rsidRPr="00C12098">
        <w:rPr>
          <w:rFonts w:eastAsia="Calibri"/>
          <w:sz w:val="22"/>
          <w:szCs w:val="22"/>
          <w:lang w:val="sr-Latn-ME"/>
        </w:rPr>
        <w:t xml:space="preserve">Institut </w:t>
      </w:r>
      <w:r w:rsidR="005A23D2" w:rsidRPr="00C12098">
        <w:rPr>
          <w:rFonts w:eastAsia="Calibri"/>
          <w:sz w:val="22"/>
          <w:szCs w:val="22"/>
          <w:lang w:val="sr-Latn-ME"/>
        </w:rPr>
        <w:t xml:space="preserve">za ljekove i medicinska sredstva </w:t>
      </w:r>
    </w:p>
    <w:p w14:paraId="1FE57CF7" w14:textId="77777777" w:rsidR="005A23D2" w:rsidRPr="00C12098" w:rsidRDefault="005A23D2" w:rsidP="0059051B">
      <w:pPr>
        <w:pStyle w:val="NoSpacing"/>
        <w:jc w:val="both"/>
        <w:rPr>
          <w:rFonts w:eastAsia="Calibri"/>
          <w:sz w:val="22"/>
          <w:szCs w:val="22"/>
          <w:lang w:val="sr-Latn-ME"/>
        </w:rPr>
      </w:pPr>
      <w:r w:rsidRPr="00C12098">
        <w:rPr>
          <w:rFonts w:eastAsia="Calibri"/>
          <w:sz w:val="22"/>
          <w:szCs w:val="22"/>
          <w:lang w:val="sr-Latn-ME"/>
        </w:rPr>
        <w:t>Odjeljenje za farmakovigilancu</w:t>
      </w:r>
    </w:p>
    <w:p w14:paraId="41F7D078" w14:textId="77777777" w:rsidR="00EA5765" w:rsidRPr="00C12098" w:rsidRDefault="005A23D2" w:rsidP="0059051B">
      <w:pPr>
        <w:pStyle w:val="NoSpacing"/>
        <w:jc w:val="both"/>
        <w:rPr>
          <w:rFonts w:eastAsia="Calibri"/>
          <w:sz w:val="22"/>
          <w:szCs w:val="22"/>
          <w:lang w:val="sr-Latn-ME"/>
        </w:rPr>
      </w:pPr>
      <w:r w:rsidRPr="00C12098">
        <w:rPr>
          <w:rFonts w:eastAsia="Calibri"/>
          <w:sz w:val="22"/>
          <w:szCs w:val="22"/>
          <w:lang w:val="sr-Latn-ME"/>
        </w:rPr>
        <w:t>Bulevar Ivana Crnojevića 64a, 81000 Podgorica</w:t>
      </w:r>
    </w:p>
    <w:p w14:paraId="5B056309" w14:textId="77777777" w:rsidR="00EA5765" w:rsidRPr="00C12098" w:rsidRDefault="00EA5765" w:rsidP="0059051B">
      <w:pPr>
        <w:pStyle w:val="NoSpacing"/>
        <w:jc w:val="both"/>
        <w:rPr>
          <w:rFonts w:eastAsia="Calibri"/>
          <w:sz w:val="22"/>
          <w:szCs w:val="22"/>
          <w:lang w:val="sr-Latn-ME"/>
        </w:rPr>
      </w:pPr>
    </w:p>
    <w:p w14:paraId="78B52922" w14:textId="77777777" w:rsidR="005A23D2" w:rsidRPr="00C12098" w:rsidRDefault="005A23D2" w:rsidP="0059051B">
      <w:pPr>
        <w:pStyle w:val="NoSpacing"/>
        <w:jc w:val="both"/>
        <w:rPr>
          <w:rFonts w:eastAsia="Calibri"/>
          <w:sz w:val="22"/>
          <w:szCs w:val="22"/>
          <w:lang w:val="sr-Latn-ME"/>
        </w:rPr>
      </w:pPr>
      <w:r w:rsidRPr="00C12098">
        <w:rPr>
          <w:rFonts w:eastAsia="Calibri"/>
          <w:sz w:val="22"/>
          <w:szCs w:val="22"/>
          <w:lang w:val="sr-Latn-ME"/>
        </w:rPr>
        <w:t>tel: +382 (0) 20 310 280</w:t>
      </w:r>
    </w:p>
    <w:p w14:paraId="58F7E786" w14:textId="77777777" w:rsidR="00EA5765" w:rsidRPr="00C12098" w:rsidRDefault="005A23D2" w:rsidP="0059051B">
      <w:pPr>
        <w:pStyle w:val="NoSpacing"/>
        <w:tabs>
          <w:tab w:val="left" w:pos="6720"/>
        </w:tabs>
        <w:jc w:val="both"/>
        <w:rPr>
          <w:rFonts w:eastAsia="Calibri"/>
          <w:sz w:val="22"/>
          <w:szCs w:val="22"/>
          <w:lang w:val="sr-Latn-ME"/>
        </w:rPr>
      </w:pPr>
      <w:r w:rsidRPr="00C12098">
        <w:rPr>
          <w:rFonts w:eastAsia="Calibri"/>
          <w:sz w:val="22"/>
          <w:szCs w:val="22"/>
          <w:lang w:val="sr-Latn-ME"/>
        </w:rPr>
        <w:t>fax:</w:t>
      </w:r>
      <w:r w:rsidR="00EA5765" w:rsidRPr="00C12098">
        <w:rPr>
          <w:rFonts w:eastAsia="Calibri"/>
          <w:sz w:val="22"/>
          <w:szCs w:val="22"/>
          <w:lang w:val="sr-Latn-ME"/>
        </w:rPr>
        <w:t xml:space="preserve"> </w:t>
      </w:r>
      <w:r w:rsidRPr="00C12098">
        <w:rPr>
          <w:rFonts w:eastAsia="Calibri"/>
          <w:sz w:val="22"/>
          <w:szCs w:val="22"/>
          <w:lang w:val="sr-Latn-ME"/>
        </w:rPr>
        <w:t>+382 (0) 20 310 581</w:t>
      </w:r>
      <w:r w:rsidR="00FF3EDF" w:rsidRPr="00C12098">
        <w:rPr>
          <w:rFonts w:eastAsia="Calibri"/>
          <w:sz w:val="22"/>
          <w:szCs w:val="22"/>
          <w:lang w:val="sr-Latn-ME"/>
        </w:rPr>
        <w:tab/>
      </w:r>
    </w:p>
    <w:p w14:paraId="3979E85B" w14:textId="77777777" w:rsidR="005A23D2" w:rsidRPr="00C12098" w:rsidRDefault="005E2EA4" w:rsidP="0059051B">
      <w:pPr>
        <w:pStyle w:val="NoSpacing"/>
        <w:jc w:val="both"/>
        <w:rPr>
          <w:rFonts w:eastAsia="Calibri"/>
          <w:sz w:val="22"/>
          <w:szCs w:val="22"/>
          <w:lang w:val="sr-Latn-ME"/>
        </w:rPr>
      </w:pPr>
      <w:hyperlink r:id="rId8" w:history="1">
        <w:r w:rsidR="004E70AD" w:rsidRPr="00C12098">
          <w:rPr>
            <w:rStyle w:val="Hyperlink"/>
            <w:rFonts w:eastAsia="Calibri"/>
            <w:sz w:val="22"/>
            <w:szCs w:val="22"/>
            <w:lang w:val="sr-Latn-ME"/>
          </w:rPr>
          <w:t>www.cinmed.me</w:t>
        </w:r>
      </w:hyperlink>
    </w:p>
    <w:p w14:paraId="14D3BB62" w14:textId="77777777" w:rsidR="00EA5765" w:rsidRPr="00C12098" w:rsidRDefault="005E2EA4" w:rsidP="0059051B">
      <w:pPr>
        <w:pStyle w:val="NoSpacing"/>
        <w:jc w:val="both"/>
        <w:rPr>
          <w:rFonts w:eastAsia="Calibri"/>
          <w:color w:val="0000FF"/>
          <w:sz w:val="22"/>
          <w:szCs w:val="22"/>
          <w:u w:val="single"/>
          <w:lang w:val="sr-Latn-ME"/>
        </w:rPr>
      </w:pPr>
      <w:hyperlink r:id="rId9" w:history="1">
        <w:r w:rsidR="004E70AD" w:rsidRPr="00C12098">
          <w:rPr>
            <w:rStyle w:val="Hyperlink"/>
            <w:rFonts w:eastAsia="Calibri"/>
            <w:sz w:val="22"/>
            <w:szCs w:val="22"/>
            <w:lang w:val="sr-Latn-ME"/>
          </w:rPr>
          <w:t>nezeljenadejstva@cinmed.me</w:t>
        </w:r>
      </w:hyperlink>
    </w:p>
    <w:p w14:paraId="19C86DA7" w14:textId="77777777" w:rsidR="005A23D2" w:rsidRPr="00C12098" w:rsidRDefault="005A23D2" w:rsidP="0059051B">
      <w:pPr>
        <w:pStyle w:val="NoSpacing"/>
        <w:jc w:val="both"/>
        <w:rPr>
          <w:rFonts w:eastAsia="Calibri"/>
          <w:sz w:val="22"/>
          <w:szCs w:val="22"/>
          <w:lang w:val="sr-Latn-ME"/>
        </w:rPr>
      </w:pPr>
      <w:r w:rsidRPr="00C12098">
        <w:rPr>
          <w:rFonts w:eastAsia="Calibri"/>
          <w:sz w:val="22"/>
          <w:szCs w:val="22"/>
          <w:lang w:val="sr-Latn-ME"/>
        </w:rPr>
        <w:t>putem IS zdravstvene zaštite</w:t>
      </w:r>
    </w:p>
    <w:p w14:paraId="39236B59" w14:textId="77777777" w:rsidR="007E31E9" w:rsidRPr="00C12098" w:rsidRDefault="007E31E9" w:rsidP="0059051B">
      <w:pPr>
        <w:pStyle w:val="NoSpacing"/>
        <w:jc w:val="both"/>
        <w:rPr>
          <w:rFonts w:eastAsia="Calibri"/>
          <w:sz w:val="22"/>
          <w:szCs w:val="22"/>
          <w:lang w:val="sr-Latn-ME"/>
        </w:rPr>
      </w:pPr>
      <w:r w:rsidRPr="00C12098">
        <w:rPr>
          <w:rFonts w:eastAsia="Calibri"/>
          <w:sz w:val="22"/>
          <w:szCs w:val="22"/>
          <w:lang w:val="sr-Latn-ME"/>
        </w:rPr>
        <w:t>QR kod za online prijavu</w:t>
      </w:r>
      <w:r w:rsidR="00D74CD2" w:rsidRPr="00C12098">
        <w:rPr>
          <w:rFonts w:eastAsia="Calibri"/>
          <w:sz w:val="22"/>
          <w:szCs w:val="22"/>
          <w:lang w:val="sr-Latn-ME"/>
        </w:rPr>
        <w:t xml:space="preserve"> sumnje na neželjeno dejstvo lijeka</w:t>
      </w:r>
      <w:r w:rsidRPr="00C12098">
        <w:rPr>
          <w:rFonts w:eastAsia="Calibri"/>
          <w:sz w:val="22"/>
          <w:szCs w:val="22"/>
          <w:lang w:val="sr-Latn-ME"/>
        </w:rPr>
        <w:t>:</w:t>
      </w:r>
    </w:p>
    <w:p w14:paraId="1ED9FA58" w14:textId="77777777" w:rsidR="007E31E9" w:rsidRPr="00C12098" w:rsidRDefault="007E31E9" w:rsidP="0059051B">
      <w:pPr>
        <w:pStyle w:val="NoSpacing"/>
        <w:jc w:val="both"/>
        <w:rPr>
          <w:rFonts w:eastAsia="Calibri"/>
          <w:sz w:val="22"/>
          <w:szCs w:val="22"/>
          <w:lang w:val="sr-Latn-ME"/>
        </w:rPr>
      </w:pPr>
    </w:p>
    <w:p w14:paraId="2B65C09C" w14:textId="77777777" w:rsidR="004F17E2" w:rsidRPr="00C12098" w:rsidRDefault="007E31E9" w:rsidP="0059051B">
      <w:pPr>
        <w:pStyle w:val="NoSpacing"/>
        <w:jc w:val="both"/>
        <w:rPr>
          <w:rFonts w:eastAsia="Calibri"/>
          <w:sz w:val="22"/>
          <w:szCs w:val="22"/>
          <w:lang w:val="sr-Latn-ME"/>
        </w:rPr>
      </w:pPr>
      <w:r w:rsidRPr="00C12098">
        <w:rPr>
          <w:noProof/>
          <w:sz w:val="22"/>
          <w:szCs w:val="22"/>
        </w:rPr>
        <w:drawing>
          <wp:inline distT="0" distB="0" distL="0" distR="0" wp14:anchorId="46DA9662" wp14:editId="4AC80B9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99AF4D0" w14:textId="77777777" w:rsidR="00836B35" w:rsidRPr="00C12098" w:rsidRDefault="00836B35" w:rsidP="0059051B">
      <w:pPr>
        <w:tabs>
          <w:tab w:val="left" w:pos="540"/>
          <w:tab w:val="left" w:pos="569"/>
        </w:tabs>
        <w:jc w:val="both"/>
        <w:rPr>
          <w:b/>
          <w:bCs/>
          <w:sz w:val="22"/>
          <w:szCs w:val="22"/>
          <w:lang w:val="sr-Latn-ME"/>
        </w:rPr>
      </w:pPr>
    </w:p>
    <w:p w14:paraId="48AECF17" w14:textId="77777777" w:rsidR="00CD6F02"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4.9. </w:t>
      </w:r>
      <w:r w:rsidR="00480FB1" w:rsidRPr="00C12098">
        <w:rPr>
          <w:b/>
          <w:bCs/>
          <w:sz w:val="22"/>
          <w:szCs w:val="22"/>
          <w:lang w:val="sr-Latn-ME"/>
        </w:rPr>
        <w:tab/>
      </w:r>
      <w:r w:rsidRPr="00C12098">
        <w:rPr>
          <w:b/>
          <w:bCs/>
          <w:sz w:val="22"/>
          <w:szCs w:val="22"/>
          <w:lang w:val="sr-Latn-ME"/>
        </w:rPr>
        <w:t>Predoziranje</w:t>
      </w:r>
      <w:r w:rsidR="002846DB" w:rsidRPr="00C12098">
        <w:rPr>
          <w:b/>
          <w:bCs/>
          <w:sz w:val="22"/>
          <w:szCs w:val="22"/>
          <w:lang w:val="sr-Latn-ME"/>
        </w:rPr>
        <w:t xml:space="preserve"> </w:t>
      </w:r>
    </w:p>
    <w:p w14:paraId="754B8530" w14:textId="77777777" w:rsidR="00CD6F02" w:rsidRPr="00C12098" w:rsidRDefault="00CD6F02" w:rsidP="0059051B">
      <w:pPr>
        <w:tabs>
          <w:tab w:val="left" w:pos="540"/>
          <w:tab w:val="left" w:pos="569"/>
        </w:tabs>
        <w:jc w:val="both"/>
        <w:rPr>
          <w:b/>
          <w:bCs/>
          <w:sz w:val="22"/>
          <w:szCs w:val="22"/>
          <w:lang w:val="sr-Latn-ME"/>
        </w:rPr>
      </w:pPr>
    </w:p>
    <w:p w14:paraId="61A40F1D" w14:textId="77777777" w:rsidR="008D738F" w:rsidRPr="00C12098" w:rsidRDefault="008D738F" w:rsidP="0059051B">
      <w:pPr>
        <w:autoSpaceDE w:val="0"/>
        <w:autoSpaceDN w:val="0"/>
        <w:adjustRightInd w:val="0"/>
        <w:jc w:val="both"/>
        <w:rPr>
          <w:sz w:val="22"/>
          <w:szCs w:val="22"/>
          <w:lang w:val="sr-Latn-ME"/>
        </w:rPr>
      </w:pPr>
      <w:r w:rsidRPr="00C12098">
        <w:rPr>
          <w:sz w:val="22"/>
          <w:szCs w:val="22"/>
          <w:lang w:val="sr-Latn-ME"/>
        </w:rPr>
        <w:t xml:space="preserve">Lijek SONA DUO je namijenjen isključivo za upotrebu na kožu jednom dnevno.  </w:t>
      </w:r>
    </w:p>
    <w:p w14:paraId="6DE4AFDD" w14:textId="77777777" w:rsidR="008D738F" w:rsidRPr="00C12098" w:rsidRDefault="008D738F" w:rsidP="0059051B">
      <w:pPr>
        <w:autoSpaceDE w:val="0"/>
        <w:autoSpaceDN w:val="0"/>
        <w:adjustRightInd w:val="0"/>
        <w:jc w:val="both"/>
        <w:rPr>
          <w:sz w:val="22"/>
          <w:szCs w:val="22"/>
          <w:lang w:val="sr-Latn-ME"/>
        </w:rPr>
      </w:pPr>
    </w:p>
    <w:p w14:paraId="793B9370" w14:textId="77777777" w:rsidR="008D738F" w:rsidRPr="00C12098" w:rsidRDefault="008D738F" w:rsidP="0059051B">
      <w:pPr>
        <w:jc w:val="both"/>
        <w:rPr>
          <w:b/>
          <w:sz w:val="22"/>
          <w:szCs w:val="22"/>
          <w:lang w:val="sr-Latn-ME"/>
        </w:rPr>
      </w:pPr>
      <w:r w:rsidRPr="00C12098">
        <w:rPr>
          <w:sz w:val="22"/>
          <w:szCs w:val="22"/>
          <w:lang w:val="sr-Latn-ME"/>
        </w:rPr>
        <w:t>U slučaju nenamjernog gutanja potrebno je preduzeti odgovarajuće mjere simptomatskog liječenja.</w:t>
      </w:r>
    </w:p>
    <w:p w14:paraId="6D41687D" w14:textId="1FE2259B" w:rsidR="00227BDB" w:rsidRPr="00C12098" w:rsidRDefault="00227BDB" w:rsidP="0059051B">
      <w:pPr>
        <w:tabs>
          <w:tab w:val="left" w:pos="540"/>
          <w:tab w:val="left" w:pos="569"/>
        </w:tabs>
        <w:jc w:val="both"/>
        <w:rPr>
          <w:b/>
          <w:bCs/>
          <w:sz w:val="22"/>
          <w:szCs w:val="22"/>
          <w:lang w:val="sr-Latn-ME"/>
        </w:rPr>
      </w:pPr>
    </w:p>
    <w:p w14:paraId="41C96215" w14:textId="77777777" w:rsidR="008E3E30" w:rsidRPr="00C12098" w:rsidRDefault="008E3E30" w:rsidP="0059051B">
      <w:pPr>
        <w:tabs>
          <w:tab w:val="left" w:pos="540"/>
          <w:tab w:val="left" w:pos="569"/>
        </w:tabs>
        <w:jc w:val="both"/>
        <w:rPr>
          <w:b/>
          <w:bCs/>
          <w:sz w:val="22"/>
          <w:szCs w:val="22"/>
          <w:lang w:val="sr-Latn-ME"/>
        </w:rPr>
      </w:pPr>
    </w:p>
    <w:p w14:paraId="01526C8A" w14:textId="77777777"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5. </w:t>
      </w:r>
      <w:r w:rsidR="00480FB1" w:rsidRPr="00C12098">
        <w:rPr>
          <w:b/>
          <w:bCs/>
          <w:sz w:val="22"/>
          <w:szCs w:val="22"/>
          <w:lang w:val="sr-Latn-ME"/>
        </w:rPr>
        <w:tab/>
      </w:r>
      <w:r w:rsidRPr="00C12098">
        <w:rPr>
          <w:b/>
          <w:bCs/>
          <w:sz w:val="22"/>
          <w:szCs w:val="22"/>
          <w:lang w:val="sr-Latn-ME"/>
        </w:rPr>
        <w:t>FARMAKOLOŠK</w:t>
      </w:r>
      <w:r w:rsidR="000D425A" w:rsidRPr="00C12098">
        <w:rPr>
          <w:b/>
          <w:bCs/>
          <w:sz w:val="22"/>
          <w:szCs w:val="22"/>
          <w:lang w:val="sr-Latn-ME"/>
        </w:rPr>
        <w:t>I</w:t>
      </w:r>
      <w:r w:rsidRPr="00C12098">
        <w:rPr>
          <w:b/>
          <w:bCs/>
          <w:sz w:val="22"/>
          <w:szCs w:val="22"/>
          <w:lang w:val="sr-Latn-ME"/>
        </w:rPr>
        <w:t xml:space="preserve"> PODACI</w:t>
      </w:r>
    </w:p>
    <w:p w14:paraId="521A979D" w14:textId="77777777" w:rsidR="0072020E" w:rsidRPr="00C12098" w:rsidRDefault="0072020E" w:rsidP="0059051B">
      <w:pPr>
        <w:tabs>
          <w:tab w:val="left" w:pos="540"/>
          <w:tab w:val="left" w:pos="569"/>
        </w:tabs>
        <w:jc w:val="both"/>
        <w:rPr>
          <w:b/>
          <w:bCs/>
          <w:sz w:val="22"/>
          <w:szCs w:val="22"/>
          <w:lang w:val="sr-Latn-ME"/>
        </w:rPr>
      </w:pPr>
    </w:p>
    <w:p w14:paraId="613745B0" w14:textId="77777777"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5.1. </w:t>
      </w:r>
      <w:r w:rsidR="00480FB1" w:rsidRPr="00C12098">
        <w:rPr>
          <w:b/>
          <w:bCs/>
          <w:sz w:val="22"/>
          <w:szCs w:val="22"/>
          <w:lang w:val="sr-Latn-ME"/>
        </w:rPr>
        <w:tab/>
      </w:r>
      <w:r w:rsidRPr="00C12098">
        <w:rPr>
          <w:b/>
          <w:bCs/>
          <w:sz w:val="22"/>
          <w:szCs w:val="22"/>
          <w:lang w:val="sr-Latn-ME"/>
        </w:rPr>
        <w:t>Farmakodinamski podaci</w:t>
      </w:r>
      <w:r w:rsidR="003A7059" w:rsidRPr="00C12098">
        <w:rPr>
          <w:b/>
          <w:bCs/>
          <w:sz w:val="22"/>
          <w:szCs w:val="22"/>
          <w:lang w:val="sr-Latn-ME"/>
        </w:rPr>
        <w:t xml:space="preserve"> </w:t>
      </w:r>
    </w:p>
    <w:p w14:paraId="20796C92" w14:textId="77777777" w:rsidR="00F45F77" w:rsidRPr="00C12098" w:rsidRDefault="00F45F77" w:rsidP="0059051B">
      <w:pPr>
        <w:tabs>
          <w:tab w:val="left" w:pos="540"/>
          <w:tab w:val="left" w:pos="569"/>
        </w:tabs>
        <w:jc w:val="both"/>
        <w:rPr>
          <w:b/>
          <w:bCs/>
          <w:sz w:val="22"/>
          <w:szCs w:val="22"/>
          <w:lang w:val="sr-Latn-ME"/>
        </w:rPr>
      </w:pPr>
    </w:p>
    <w:p w14:paraId="54CABACF" w14:textId="11D76321" w:rsidR="0072020E" w:rsidRPr="00C12098" w:rsidRDefault="00E80834" w:rsidP="0059051B">
      <w:pPr>
        <w:tabs>
          <w:tab w:val="left" w:pos="540"/>
          <w:tab w:val="left" w:pos="569"/>
        </w:tabs>
        <w:jc w:val="both"/>
        <w:rPr>
          <w:bCs/>
          <w:sz w:val="22"/>
          <w:szCs w:val="22"/>
          <w:lang w:val="sr-Latn-ME"/>
        </w:rPr>
      </w:pPr>
      <w:r w:rsidRPr="00C12098">
        <w:rPr>
          <w:bCs/>
          <w:sz w:val="22"/>
          <w:szCs w:val="22"/>
          <w:lang w:val="sr-Latn-ME"/>
        </w:rPr>
        <w:t xml:space="preserve">Farmakoterapijska grupa: Preparati za liječenje akni za lokalnu primjenu, Retinoidi za lokalnu primjenu za liječenje akni; </w:t>
      </w:r>
    </w:p>
    <w:p w14:paraId="0F02925A" w14:textId="77777777" w:rsidR="008E3E30" w:rsidRPr="00C12098" w:rsidRDefault="008E3E30" w:rsidP="0059051B">
      <w:pPr>
        <w:tabs>
          <w:tab w:val="left" w:pos="540"/>
          <w:tab w:val="left" w:pos="569"/>
        </w:tabs>
        <w:jc w:val="both"/>
        <w:rPr>
          <w:bCs/>
          <w:sz w:val="22"/>
          <w:szCs w:val="22"/>
          <w:lang w:val="sr-Latn-ME"/>
        </w:rPr>
      </w:pPr>
    </w:p>
    <w:p w14:paraId="006D74F0" w14:textId="006948F9" w:rsidR="0072020E" w:rsidRPr="00C12098" w:rsidRDefault="0072020E" w:rsidP="0059051B">
      <w:pPr>
        <w:tabs>
          <w:tab w:val="left" w:pos="540"/>
          <w:tab w:val="left" w:pos="569"/>
        </w:tabs>
        <w:jc w:val="both"/>
        <w:rPr>
          <w:bCs/>
          <w:sz w:val="22"/>
          <w:szCs w:val="22"/>
          <w:lang w:val="sr-Latn-ME"/>
        </w:rPr>
      </w:pPr>
      <w:r w:rsidRPr="00C12098">
        <w:rPr>
          <w:bCs/>
          <w:sz w:val="22"/>
          <w:szCs w:val="22"/>
          <w:lang w:val="sr-Latn-ME"/>
        </w:rPr>
        <w:t>ATC kod:</w:t>
      </w:r>
      <w:r w:rsidR="00E80834" w:rsidRPr="00C12098">
        <w:rPr>
          <w:sz w:val="22"/>
          <w:szCs w:val="22"/>
          <w:lang w:val="sr-Latn-ME"/>
        </w:rPr>
        <w:t xml:space="preserve"> </w:t>
      </w:r>
      <w:r w:rsidR="00E80834" w:rsidRPr="00C12098">
        <w:rPr>
          <w:bCs/>
          <w:sz w:val="22"/>
          <w:szCs w:val="22"/>
          <w:lang w:val="sr-Latn-ME"/>
        </w:rPr>
        <w:t>D10AD53</w:t>
      </w:r>
    </w:p>
    <w:p w14:paraId="6221287C" w14:textId="77777777" w:rsidR="008E3E30" w:rsidRPr="00C12098" w:rsidRDefault="008E3E30" w:rsidP="0059051B">
      <w:pPr>
        <w:tabs>
          <w:tab w:val="left" w:pos="540"/>
          <w:tab w:val="left" w:pos="569"/>
        </w:tabs>
        <w:jc w:val="both"/>
        <w:rPr>
          <w:bCs/>
          <w:sz w:val="22"/>
          <w:szCs w:val="22"/>
          <w:lang w:val="sr-Latn-ME"/>
        </w:rPr>
      </w:pPr>
    </w:p>
    <w:p w14:paraId="5B5B2393" w14:textId="77777777" w:rsidR="00C41C90" w:rsidRPr="00C12098" w:rsidRDefault="00C41C90" w:rsidP="0059051B">
      <w:pPr>
        <w:autoSpaceDE w:val="0"/>
        <w:autoSpaceDN w:val="0"/>
        <w:adjustRightInd w:val="0"/>
        <w:jc w:val="both"/>
        <w:rPr>
          <w:sz w:val="22"/>
          <w:szCs w:val="22"/>
          <w:u w:val="single"/>
          <w:lang w:val="sr-Latn-ME"/>
        </w:rPr>
      </w:pPr>
      <w:r w:rsidRPr="00C12098">
        <w:rPr>
          <w:sz w:val="22"/>
          <w:szCs w:val="22"/>
          <w:u w:val="single"/>
          <w:lang w:val="sr-Latn-ME"/>
        </w:rPr>
        <w:t>Mehanizam djelovanja i farmakodinamički efekti</w:t>
      </w:r>
    </w:p>
    <w:p w14:paraId="5270AD72" w14:textId="77777777" w:rsidR="00C41C90" w:rsidRPr="00C12098" w:rsidRDefault="00C41C90" w:rsidP="0059051B">
      <w:pPr>
        <w:autoSpaceDE w:val="0"/>
        <w:autoSpaceDN w:val="0"/>
        <w:adjustRightInd w:val="0"/>
        <w:jc w:val="both"/>
        <w:rPr>
          <w:sz w:val="22"/>
          <w:szCs w:val="22"/>
          <w:lang w:val="sr-Latn-ME"/>
        </w:rPr>
      </w:pPr>
      <w:r w:rsidRPr="00C12098">
        <w:rPr>
          <w:sz w:val="22"/>
          <w:szCs w:val="22"/>
          <w:lang w:val="sr-Latn-ME"/>
        </w:rPr>
        <w:t xml:space="preserve">Lijek SONA DUO sadrži dvije aktivne supstance koje djeluju kroz različite, ali komplementarne mehanizme djelovanja. </w:t>
      </w:r>
    </w:p>
    <w:p w14:paraId="47BACF99" w14:textId="77777777" w:rsidR="00C41C90" w:rsidRPr="00C12098" w:rsidRDefault="00C41C90" w:rsidP="0059051B">
      <w:pPr>
        <w:numPr>
          <w:ilvl w:val="0"/>
          <w:numId w:val="12"/>
        </w:numPr>
        <w:autoSpaceDE w:val="0"/>
        <w:autoSpaceDN w:val="0"/>
        <w:adjustRightInd w:val="0"/>
        <w:ind w:left="360"/>
        <w:jc w:val="both"/>
        <w:rPr>
          <w:sz w:val="22"/>
          <w:szCs w:val="22"/>
          <w:lang w:val="sr-Latn-ME" w:eastAsia="hr-HR"/>
        </w:rPr>
      </w:pPr>
      <w:r w:rsidRPr="00C12098">
        <w:rPr>
          <w:sz w:val="22"/>
          <w:szCs w:val="22"/>
          <w:u w:val="single"/>
          <w:lang w:val="sr-Latn-ME"/>
        </w:rPr>
        <w:t>Adapalen:</w:t>
      </w:r>
      <w:r w:rsidRPr="00C12098">
        <w:rPr>
          <w:sz w:val="22"/>
          <w:szCs w:val="22"/>
          <w:lang w:val="sr-Latn-ME"/>
        </w:rPr>
        <w:t xml:space="preserve"> Adapalen je hemijski stabilan derivat naftoične kiseline, djelovanja sličnog retinoidima. Biohemijska i farmakološka istraživanja profila ukazala su da adapalen djeluje na patologiju </w:t>
      </w:r>
      <w:r w:rsidRPr="00C12098">
        <w:rPr>
          <w:i/>
          <w:iCs/>
          <w:sz w:val="22"/>
          <w:szCs w:val="22"/>
          <w:lang w:val="sr-Latn-ME"/>
        </w:rPr>
        <w:t>acne vulgaris:</w:t>
      </w:r>
      <w:r w:rsidRPr="00C12098">
        <w:rPr>
          <w:sz w:val="22"/>
          <w:szCs w:val="22"/>
          <w:lang w:val="sr-Latn-ME"/>
        </w:rPr>
        <w:t xml:space="preserve"> adapalen je potentan modulator ćelijske diferencijacije i keratinizacije i ima antiinflamatorno dejstvo. Adapalen se mehanički veže na specifične nuklearne receptore retinoinske kiseline. Dostupni podaci ukazuju na to da topikalna primjena adapalena normalizuje diferencijaciju folikularnih epitelnih ćelija i rezultira smanjenjem stvaranja mikrokomedona. Adapalen inhibira hemotaktične (usmjerene) i hemokinetičke (nasumične) odgovore humanih polimorfonuklearnih leukocita u </w:t>
      </w:r>
      <w:r w:rsidRPr="00C12098">
        <w:rPr>
          <w:i/>
          <w:iCs/>
          <w:sz w:val="22"/>
          <w:szCs w:val="22"/>
          <w:lang w:val="sr-Latn-ME"/>
        </w:rPr>
        <w:t>in vitro</w:t>
      </w:r>
      <w:r w:rsidRPr="00C12098">
        <w:rPr>
          <w:sz w:val="22"/>
          <w:szCs w:val="22"/>
          <w:lang w:val="sr-Latn-ME"/>
        </w:rPr>
        <w:t xml:space="preserve"> eksperimentalnim modelima; adapalen takođe inhibira pretvaranje arahidonske kiseline u medijatore zapaljenja. </w:t>
      </w:r>
      <w:r w:rsidRPr="00C12098">
        <w:rPr>
          <w:i/>
          <w:iCs/>
          <w:sz w:val="22"/>
          <w:szCs w:val="22"/>
          <w:lang w:val="sr-Latn-ME"/>
        </w:rPr>
        <w:t>In vitro</w:t>
      </w:r>
      <w:r w:rsidRPr="00C12098">
        <w:rPr>
          <w:sz w:val="22"/>
          <w:szCs w:val="22"/>
          <w:lang w:val="sr-Latn-ME"/>
        </w:rPr>
        <w:t xml:space="preserve"> ispitivanja su ukazala na inhibiciju AP-1 faktora i inhibiciju ekspresije </w:t>
      </w:r>
      <w:r w:rsidRPr="00C12098">
        <w:rPr>
          <w:i/>
          <w:iCs/>
          <w:sz w:val="22"/>
          <w:szCs w:val="22"/>
          <w:lang w:val="sr-Latn-ME"/>
        </w:rPr>
        <w:t>toll-like</w:t>
      </w:r>
      <w:r w:rsidRPr="00C12098">
        <w:rPr>
          <w:sz w:val="22"/>
          <w:szCs w:val="22"/>
          <w:lang w:val="sr-Latn-ME"/>
        </w:rPr>
        <w:t xml:space="preserve"> receptora 2. Ovaj profil ukazuje da je ćelijski posredovana inflamatorna komponenta akni smanjena uz adapalen. </w:t>
      </w:r>
    </w:p>
    <w:p w14:paraId="64BAEA9C" w14:textId="2C3CB560" w:rsidR="00C41C90" w:rsidRPr="00C12098" w:rsidRDefault="00C41C90" w:rsidP="0059051B">
      <w:pPr>
        <w:numPr>
          <w:ilvl w:val="0"/>
          <w:numId w:val="12"/>
        </w:numPr>
        <w:autoSpaceDE w:val="0"/>
        <w:autoSpaceDN w:val="0"/>
        <w:adjustRightInd w:val="0"/>
        <w:ind w:left="360"/>
        <w:jc w:val="both"/>
        <w:rPr>
          <w:sz w:val="22"/>
          <w:szCs w:val="22"/>
          <w:lang w:val="sr-Latn-ME" w:eastAsia="hr-HR"/>
        </w:rPr>
      </w:pPr>
      <w:r w:rsidRPr="00C12098">
        <w:rPr>
          <w:sz w:val="22"/>
          <w:szCs w:val="22"/>
          <w:u w:val="single"/>
          <w:lang w:val="sr-Latn-ME"/>
        </w:rPr>
        <w:lastRenderedPageBreak/>
        <w:t>Benzoil</w:t>
      </w:r>
      <w:r w:rsidR="00154842" w:rsidRPr="00C12098">
        <w:rPr>
          <w:sz w:val="22"/>
          <w:szCs w:val="22"/>
          <w:u w:val="single"/>
          <w:lang w:val="sr-Latn-ME"/>
        </w:rPr>
        <w:t xml:space="preserve"> </w:t>
      </w:r>
      <w:r w:rsidRPr="00C12098">
        <w:rPr>
          <w:sz w:val="22"/>
          <w:szCs w:val="22"/>
          <w:u w:val="single"/>
          <w:lang w:val="sr-Latn-ME"/>
        </w:rPr>
        <w:t>peroksid:</w:t>
      </w:r>
      <w:r w:rsidRPr="00C12098">
        <w:rPr>
          <w:sz w:val="22"/>
          <w:szCs w:val="22"/>
          <w:lang w:val="sr-Latn-ME"/>
        </w:rPr>
        <w:t xml:space="preserve"> Pokazalo se da benzoil</w:t>
      </w:r>
      <w:r w:rsidR="00154842" w:rsidRPr="00C12098">
        <w:rPr>
          <w:sz w:val="22"/>
          <w:szCs w:val="22"/>
          <w:lang w:val="sr-Latn-ME"/>
        </w:rPr>
        <w:t xml:space="preserve"> </w:t>
      </w:r>
      <w:r w:rsidRPr="00C12098">
        <w:rPr>
          <w:sz w:val="22"/>
          <w:szCs w:val="22"/>
          <w:lang w:val="sr-Latn-ME"/>
        </w:rPr>
        <w:t xml:space="preserve">peroksid ima antimikrobno djelovanje, naročito protiv         </w:t>
      </w:r>
      <w:r w:rsidRPr="00C12098">
        <w:rPr>
          <w:i/>
          <w:iCs/>
          <w:sz w:val="22"/>
          <w:szCs w:val="22"/>
          <w:lang w:val="sr-Latn-ME"/>
        </w:rPr>
        <w:t>P. acnes</w:t>
      </w:r>
      <w:r w:rsidRPr="00C12098">
        <w:rPr>
          <w:sz w:val="22"/>
          <w:szCs w:val="22"/>
          <w:lang w:val="sr-Latn-ME"/>
        </w:rPr>
        <w:t>, bakterije koja je abnormalno prisutna u aknama zahvaćenoj pilosebacealnoj jedinici. Osim toga, pokazalo se da benzoil</w:t>
      </w:r>
      <w:r w:rsidR="00154842" w:rsidRPr="00C12098">
        <w:rPr>
          <w:sz w:val="22"/>
          <w:szCs w:val="22"/>
          <w:lang w:val="sr-Latn-ME"/>
        </w:rPr>
        <w:t xml:space="preserve"> </w:t>
      </w:r>
      <w:r w:rsidRPr="00C12098">
        <w:rPr>
          <w:sz w:val="22"/>
          <w:szCs w:val="22"/>
          <w:lang w:val="sr-Latn-ME"/>
        </w:rPr>
        <w:t>peroksid ima eksfolijativno i keratolitičko djelovanje. Benzoil</w:t>
      </w:r>
      <w:r w:rsidR="00154842" w:rsidRPr="00C12098">
        <w:rPr>
          <w:sz w:val="22"/>
          <w:szCs w:val="22"/>
          <w:lang w:val="sr-Latn-ME"/>
        </w:rPr>
        <w:t xml:space="preserve"> </w:t>
      </w:r>
      <w:r w:rsidRPr="00C12098">
        <w:rPr>
          <w:sz w:val="22"/>
          <w:szCs w:val="22"/>
          <w:lang w:val="sr-Latn-ME"/>
        </w:rPr>
        <w:t>peroksid je takođe sebosupresivan jer suzbija prekomjerno izlučivanje sebuma koje se povezuje s aknama.</w:t>
      </w:r>
    </w:p>
    <w:p w14:paraId="71C74E31" w14:textId="77777777" w:rsidR="00C41C90" w:rsidRPr="00C12098" w:rsidRDefault="00C41C90" w:rsidP="0059051B">
      <w:pPr>
        <w:autoSpaceDE w:val="0"/>
        <w:autoSpaceDN w:val="0"/>
        <w:adjustRightInd w:val="0"/>
        <w:jc w:val="both"/>
        <w:rPr>
          <w:sz w:val="22"/>
          <w:szCs w:val="22"/>
          <w:lang w:val="sr-Latn-ME" w:eastAsia="hr-HR"/>
        </w:rPr>
      </w:pPr>
    </w:p>
    <w:p w14:paraId="060FA0BF" w14:textId="7646CDF8" w:rsidR="00C41C90" w:rsidRPr="00C12098" w:rsidRDefault="00C41C90" w:rsidP="0059051B">
      <w:pPr>
        <w:autoSpaceDE w:val="0"/>
        <w:autoSpaceDN w:val="0"/>
        <w:adjustRightInd w:val="0"/>
        <w:jc w:val="both"/>
        <w:rPr>
          <w:sz w:val="22"/>
          <w:szCs w:val="22"/>
          <w:u w:val="single"/>
          <w:lang w:val="sr-Latn-ME"/>
        </w:rPr>
      </w:pPr>
      <w:r w:rsidRPr="00C12098">
        <w:rPr>
          <w:sz w:val="22"/>
          <w:szCs w:val="22"/>
          <w:u w:val="single"/>
          <w:lang w:val="sr-Latn-ME" w:eastAsia="hr-HR"/>
        </w:rPr>
        <w:t>Klinička efikasnost fiksne kombinacije lijeka adapalen/benzoil</w:t>
      </w:r>
      <w:r w:rsidR="00154842" w:rsidRPr="00C12098">
        <w:rPr>
          <w:sz w:val="22"/>
          <w:szCs w:val="22"/>
          <w:u w:val="single"/>
          <w:lang w:val="sr-Latn-ME" w:eastAsia="hr-HR"/>
        </w:rPr>
        <w:t xml:space="preserve"> </w:t>
      </w:r>
      <w:r w:rsidRPr="00C12098">
        <w:rPr>
          <w:sz w:val="22"/>
          <w:szCs w:val="22"/>
          <w:u w:val="single"/>
          <w:lang w:val="sr-Latn-ME" w:eastAsia="hr-HR"/>
        </w:rPr>
        <w:t>peroksid kod pacijenata uzrasta od 12 godina i starijih</w:t>
      </w:r>
      <w:r w:rsidRPr="00C12098">
        <w:rPr>
          <w:sz w:val="22"/>
          <w:szCs w:val="22"/>
          <w:u w:val="single"/>
          <w:lang w:val="sr-Latn-ME"/>
        </w:rPr>
        <w:t xml:space="preserve"> </w:t>
      </w:r>
    </w:p>
    <w:p w14:paraId="20966514" w14:textId="66F4EAE4" w:rsidR="00C41C90" w:rsidRPr="00C12098" w:rsidRDefault="00C41C90" w:rsidP="0059051B">
      <w:pPr>
        <w:autoSpaceDE w:val="0"/>
        <w:autoSpaceDN w:val="0"/>
        <w:adjustRightInd w:val="0"/>
        <w:jc w:val="both"/>
        <w:rPr>
          <w:sz w:val="22"/>
          <w:szCs w:val="22"/>
          <w:lang w:val="sr-Latn-ME"/>
        </w:rPr>
      </w:pPr>
      <w:r w:rsidRPr="00C12098">
        <w:rPr>
          <w:sz w:val="22"/>
          <w:szCs w:val="22"/>
          <w:lang w:val="sr-Latn-ME"/>
        </w:rPr>
        <w:t>Bezbjednost i efikasnost lijeka adapalen/benzoil</w:t>
      </w:r>
      <w:r w:rsidR="00154842" w:rsidRPr="00C12098">
        <w:rPr>
          <w:sz w:val="22"/>
          <w:szCs w:val="22"/>
          <w:lang w:val="sr-Latn-ME"/>
        </w:rPr>
        <w:t xml:space="preserve"> </w:t>
      </w:r>
      <w:r w:rsidRPr="00C12098">
        <w:rPr>
          <w:sz w:val="22"/>
          <w:szCs w:val="22"/>
          <w:lang w:val="sr-Latn-ME"/>
        </w:rPr>
        <w:t xml:space="preserve">peroksid primijenjenog jednom dnevno za liječenje </w:t>
      </w:r>
      <w:r w:rsidRPr="00C12098">
        <w:rPr>
          <w:i/>
          <w:iCs/>
          <w:sz w:val="22"/>
          <w:szCs w:val="22"/>
          <w:lang w:val="sr-Latn-ME"/>
        </w:rPr>
        <w:t>acne vulgaris</w:t>
      </w:r>
      <w:r w:rsidRPr="00C12098">
        <w:rPr>
          <w:sz w:val="22"/>
          <w:szCs w:val="22"/>
          <w:lang w:val="sr-Latn-ME"/>
        </w:rPr>
        <w:t xml:space="preserve"> procijenjeni su u dva multicentrična, kontrolisana klinička ispitivanja sličnog dizajna u trajanju od 12 ned</w:t>
      </w:r>
      <w:r w:rsidR="0059051B" w:rsidRPr="00C12098">
        <w:rPr>
          <w:sz w:val="22"/>
          <w:szCs w:val="22"/>
          <w:lang w:val="sr-Latn-ME"/>
        </w:rPr>
        <w:t>j</w:t>
      </w:r>
      <w:r w:rsidRPr="00C12098">
        <w:rPr>
          <w:sz w:val="22"/>
          <w:szCs w:val="22"/>
          <w:lang w:val="sr-Latn-ME"/>
        </w:rPr>
        <w:t>elja poređenjem lijeka adapalen/benzoil</w:t>
      </w:r>
      <w:r w:rsidR="00BD0AF1" w:rsidRPr="00C12098">
        <w:rPr>
          <w:sz w:val="22"/>
          <w:szCs w:val="22"/>
          <w:lang w:val="sr-Latn-ME"/>
        </w:rPr>
        <w:t xml:space="preserve"> </w:t>
      </w:r>
      <w:r w:rsidRPr="00C12098">
        <w:rPr>
          <w:sz w:val="22"/>
          <w:szCs w:val="22"/>
          <w:lang w:val="sr-Latn-ME"/>
        </w:rPr>
        <w:t>peroksid s</w:t>
      </w:r>
      <w:r w:rsidR="008E3E30" w:rsidRPr="00C12098">
        <w:rPr>
          <w:sz w:val="22"/>
          <w:szCs w:val="22"/>
          <w:lang w:val="sr-Latn-ME"/>
        </w:rPr>
        <w:t>a</w:t>
      </w:r>
      <w:r w:rsidRPr="00C12098">
        <w:rPr>
          <w:sz w:val="22"/>
          <w:szCs w:val="22"/>
          <w:lang w:val="sr-Latn-ME"/>
        </w:rPr>
        <w:t xml:space="preserve"> njegovim pojedinačnim aktivnim supstancama, adapalenom i benzoil</w:t>
      </w:r>
      <w:r w:rsidR="00BD0AF1" w:rsidRPr="00C12098">
        <w:rPr>
          <w:sz w:val="22"/>
          <w:szCs w:val="22"/>
          <w:lang w:val="sr-Latn-ME"/>
        </w:rPr>
        <w:t xml:space="preserve"> </w:t>
      </w:r>
      <w:r w:rsidRPr="00C12098">
        <w:rPr>
          <w:sz w:val="22"/>
          <w:szCs w:val="22"/>
          <w:lang w:val="sr-Latn-ME"/>
        </w:rPr>
        <w:t>peroksidom, i s</w:t>
      </w:r>
      <w:r w:rsidR="0059051B" w:rsidRPr="00C12098">
        <w:rPr>
          <w:sz w:val="22"/>
          <w:szCs w:val="22"/>
          <w:lang w:val="sr-Latn-ME"/>
        </w:rPr>
        <w:t>a</w:t>
      </w:r>
      <w:r w:rsidRPr="00C12098">
        <w:rPr>
          <w:sz w:val="22"/>
          <w:szCs w:val="22"/>
          <w:lang w:val="sr-Latn-ME"/>
        </w:rPr>
        <w:t xml:space="preserve"> podlogom gela kod pacijenta oboljelih od akni. U ispitivanje 1 i ispitivanje 2 bilo je uključeno 2185 pacijenta. Raspodjela pacijenta u dva ispitivanja bila je približno 49% muškaraca i 51% žena uzrasta 12 ili više godina (srednji uzrast: 18,3 godina; raspon 12 – 50), s prisutnih 20 do 50 inflamatornih lezija i 30 do 100 neinflamatornih lezija na početku ispitivanja. Pacijenti su primjenjivali lijek na lice i ostala područja zahvaćena aknama, zavisno od potrebe, jednom dnevno u večernjim satima.</w:t>
      </w:r>
    </w:p>
    <w:p w14:paraId="44B071C1" w14:textId="77777777" w:rsidR="00C41C90" w:rsidRPr="00C12098" w:rsidRDefault="00C41C90" w:rsidP="0059051B">
      <w:pPr>
        <w:autoSpaceDE w:val="0"/>
        <w:autoSpaceDN w:val="0"/>
        <w:adjustRightInd w:val="0"/>
        <w:jc w:val="both"/>
        <w:rPr>
          <w:sz w:val="22"/>
          <w:szCs w:val="22"/>
          <w:lang w:val="sr-Latn-ME"/>
        </w:rPr>
      </w:pPr>
    </w:p>
    <w:p w14:paraId="4008C983" w14:textId="77777777" w:rsidR="00C41C90" w:rsidRPr="00C12098" w:rsidRDefault="00C41C90" w:rsidP="0059051B">
      <w:pPr>
        <w:autoSpaceDE w:val="0"/>
        <w:autoSpaceDN w:val="0"/>
        <w:adjustRightInd w:val="0"/>
        <w:jc w:val="both"/>
        <w:rPr>
          <w:sz w:val="22"/>
          <w:szCs w:val="22"/>
          <w:lang w:val="sr-Latn-ME"/>
        </w:rPr>
      </w:pPr>
      <w:r w:rsidRPr="00C12098">
        <w:rPr>
          <w:sz w:val="22"/>
          <w:szCs w:val="22"/>
          <w:lang w:val="sr-Latn-ME"/>
        </w:rPr>
        <w:t xml:space="preserve">Kriterijumi efikasnosti uključivali su: </w:t>
      </w:r>
    </w:p>
    <w:p w14:paraId="2C277C9C" w14:textId="3006EC8F" w:rsidR="00C41C90" w:rsidRPr="00C12098" w:rsidRDefault="00C41C90" w:rsidP="0059051B">
      <w:pPr>
        <w:numPr>
          <w:ilvl w:val="0"/>
          <w:numId w:val="13"/>
        </w:numPr>
        <w:autoSpaceDE w:val="0"/>
        <w:autoSpaceDN w:val="0"/>
        <w:adjustRightInd w:val="0"/>
        <w:ind w:left="360"/>
        <w:jc w:val="both"/>
        <w:rPr>
          <w:sz w:val="22"/>
          <w:szCs w:val="22"/>
          <w:lang w:val="sr-Latn-ME" w:eastAsia="hr-HR"/>
        </w:rPr>
      </w:pPr>
      <w:r w:rsidRPr="00C12098">
        <w:rPr>
          <w:sz w:val="22"/>
          <w:szCs w:val="22"/>
          <w:lang w:val="sr-Latn-ME"/>
        </w:rPr>
        <w:t xml:space="preserve">Stopu uspjeha, procenat pacijenta ocijenjenih sa „Čisto“ i „Gotovo čisto“ u </w:t>
      </w:r>
      <w:r w:rsidR="0059051B" w:rsidRPr="00C12098">
        <w:rPr>
          <w:sz w:val="22"/>
          <w:szCs w:val="22"/>
          <w:lang w:val="sr-Latn-ME"/>
        </w:rPr>
        <w:t xml:space="preserve">12-oj </w:t>
      </w:r>
      <w:r w:rsidRPr="00C12098">
        <w:rPr>
          <w:sz w:val="22"/>
          <w:szCs w:val="22"/>
          <w:lang w:val="sr-Latn-ME"/>
        </w:rPr>
        <w:t>ned</w:t>
      </w:r>
      <w:r w:rsidR="00154842" w:rsidRPr="00C12098">
        <w:rPr>
          <w:sz w:val="22"/>
          <w:szCs w:val="22"/>
          <w:lang w:val="sr-Latn-ME"/>
        </w:rPr>
        <w:t>j</w:t>
      </w:r>
      <w:r w:rsidRPr="00C12098">
        <w:rPr>
          <w:sz w:val="22"/>
          <w:szCs w:val="22"/>
          <w:lang w:val="sr-Latn-ME"/>
        </w:rPr>
        <w:t>elji  na osnovu globalne procjene ispitivača (IGA);</w:t>
      </w:r>
    </w:p>
    <w:p w14:paraId="01E4343C" w14:textId="14ADE4C5" w:rsidR="00C41C90" w:rsidRPr="00C12098" w:rsidRDefault="00C41C90" w:rsidP="0059051B">
      <w:pPr>
        <w:numPr>
          <w:ilvl w:val="0"/>
          <w:numId w:val="13"/>
        </w:numPr>
        <w:autoSpaceDE w:val="0"/>
        <w:autoSpaceDN w:val="0"/>
        <w:adjustRightInd w:val="0"/>
        <w:ind w:left="360"/>
        <w:jc w:val="both"/>
        <w:rPr>
          <w:sz w:val="22"/>
          <w:szCs w:val="22"/>
          <w:lang w:val="sr-Latn-ME" w:eastAsia="hr-HR"/>
        </w:rPr>
      </w:pPr>
      <w:r w:rsidRPr="00C12098">
        <w:rPr>
          <w:sz w:val="22"/>
          <w:szCs w:val="22"/>
          <w:lang w:val="sr-Latn-ME"/>
        </w:rPr>
        <w:t xml:space="preserve">Promjenu i procenat promjene od početka ispitivanja do </w:t>
      </w:r>
      <w:r w:rsidR="0059051B" w:rsidRPr="00C12098">
        <w:rPr>
          <w:sz w:val="22"/>
          <w:szCs w:val="22"/>
          <w:lang w:val="sr-Latn-ME"/>
        </w:rPr>
        <w:t xml:space="preserve">12-e </w:t>
      </w:r>
      <w:r w:rsidRPr="00C12098">
        <w:rPr>
          <w:sz w:val="22"/>
          <w:szCs w:val="22"/>
          <w:lang w:val="sr-Latn-ME"/>
        </w:rPr>
        <w:t>ned</w:t>
      </w:r>
      <w:r w:rsidR="00154842" w:rsidRPr="00C12098">
        <w:rPr>
          <w:sz w:val="22"/>
          <w:szCs w:val="22"/>
          <w:lang w:val="sr-Latn-ME"/>
        </w:rPr>
        <w:t>j</w:t>
      </w:r>
      <w:r w:rsidRPr="00C12098">
        <w:rPr>
          <w:sz w:val="22"/>
          <w:szCs w:val="22"/>
          <w:lang w:val="sr-Latn-ME"/>
        </w:rPr>
        <w:t>elje   u:</w:t>
      </w:r>
    </w:p>
    <w:p w14:paraId="2AB480D2" w14:textId="77777777" w:rsidR="00C41C90" w:rsidRPr="00C12098" w:rsidRDefault="00C41C90" w:rsidP="0059051B">
      <w:pPr>
        <w:autoSpaceDE w:val="0"/>
        <w:autoSpaceDN w:val="0"/>
        <w:adjustRightInd w:val="0"/>
        <w:ind w:left="360"/>
        <w:jc w:val="both"/>
        <w:rPr>
          <w:sz w:val="22"/>
          <w:szCs w:val="22"/>
          <w:lang w:val="sr-Latn-ME"/>
        </w:rPr>
      </w:pPr>
      <w:r w:rsidRPr="00C12098">
        <w:rPr>
          <w:sz w:val="22"/>
          <w:szCs w:val="22"/>
          <w:lang w:val="sr-Latn-ME"/>
        </w:rPr>
        <w:t>- broju inflamatornih lezija;</w:t>
      </w:r>
    </w:p>
    <w:p w14:paraId="69BEB368" w14:textId="77777777" w:rsidR="00C41C90" w:rsidRPr="00C12098" w:rsidRDefault="00C41C90" w:rsidP="0059051B">
      <w:pPr>
        <w:autoSpaceDE w:val="0"/>
        <w:autoSpaceDN w:val="0"/>
        <w:adjustRightInd w:val="0"/>
        <w:ind w:left="360"/>
        <w:jc w:val="both"/>
        <w:rPr>
          <w:sz w:val="22"/>
          <w:szCs w:val="22"/>
          <w:lang w:val="sr-Latn-ME"/>
        </w:rPr>
      </w:pPr>
      <w:r w:rsidRPr="00C12098">
        <w:rPr>
          <w:sz w:val="22"/>
          <w:szCs w:val="22"/>
          <w:lang w:val="sr-Latn-ME"/>
        </w:rPr>
        <w:t>- broju neinflamatornih lezija;</w:t>
      </w:r>
    </w:p>
    <w:p w14:paraId="53F599B0" w14:textId="77777777" w:rsidR="00C41C90" w:rsidRPr="00C12098" w:rsidRDefault="00C41C90" w:rsidP="0059051B">
      <w:pPr>
        <w:autoSpaceDE w:val="0"/>
        <w:autoSpaceDN w:val="0"/>
        <w:adjustRightInd w:val="0"/>
        <w:ind w:left="360"/>
        <w:jc w:val="both"/>
        <w:rPr>
          <w:sz w:val="22"/>
          <w:szCs w:val="22"/>
          <w:lang w:val="sr-Latn-ME"/>
        </w:rPr>
      </w:pPr>
      <w:r w:rsidRPr="00C12098">
        <w:rPr>
          <w:sz w:val="22"/>
          <w:szCs w:val="22"/>
          <w:lang w:val="sr-Latn-ME"/>
        </w:rPr>
        <w:t>- ukupnom broju lezija.</w:t>
      </w:r>
    </w:p>
    <w:p w14:paraId="1015C6EA" w14:textId="77777777" w:rsidR="00C41C90" w:rsidRPr="00C12098" w:rsidRDefault="00C41C90" w:rsidP="0059051B">
      <w:pPr>
        <w:autoSpaceDE w:val="0"/>
        <w:autoSpaceDN w:val="0"/>
        <w:adjustRightInd w:val="0"/>
        <w:ind w:left="360"/>
        <w:jc w:val="both"/>
        <w:rPr>
          <w:sz w:val="22"/>
          <w:szCs w:val="22"/>
          <w:lang w:val="sr-Latn-ME"/>
        </w:rPr>
      </w:pPr>
    </w:p>
    <w:p w14:paraId="2E7CA78C" w14:textId="320C8F73" w:rsidR="00C41C90" w:rsidRPr="00C12098" w:rsidRDefault="00C41C90" w:rsidP="0059051B">
      <w:pPr>
        <w:autoSpaceDE w:val="0"/>
        <w:autoSpaceDN w:val="0"/>
        <w:adjustRightInd w:val="0"/>
        <w:jc w:val="both"/>
        <w:rPr>
          <w:sz w:val="22"/>
          <w:szCs w:val="22"/>
          <w:lang w:val="sr-Latn-ME"/>
        </w:rPr>
      </w:pPr>
      <w:r w:rsidRPr="00C12098">
        <w:rPr>
          <w:sz w:val="22"/>
          <w:szCs w:val="22"/>
          <w:lang w:val="sr-Latn-ME"/>
        </w:rPr>
        <w:t>Rezultati efikasnosti za svako ispitivanje ponaosob prikazani su u Tabeli 1, a zajednički rezultati u Tabeli 2. Fiksna kombinacija adapalena i benzoil</w:t>
      </w:r>
      <w:r w:rsidR="00154842" w:rsidRPr="00C12098">
        <w:rPr>
          <w:sz w:val="22"/>
          <w:szCs w:val="22"/>
          <w:lang w:val="sr-Latn-ME"/>
        </w:rPr>
        <w:t xml:space="preserve"> </w:t>
      </w:r>
      <w:r w:rsidRPr="00C12098">
        <w:rPr>
          <w:sz w:val="22"/>
          <w:szCs w:val="22"/>
          <w:lang w:val="sr-Latn-ME"/>
        </w:rPr>
        <w:t>peroksida se pokazala efikasnija u poređenju sa svojim pojedinačnim aktivnim supstancama i podloge gela u oba ispitivanja. U cjelini, ukupno korisno dejstvo (aktivna supstanca umanjena za podlogu) dobijeno iz lijeka adapalen/benzoil</w:t>
      </w:r>
      <w:r w:rsidR="00154842" w:rsidRPr="00C12098">
        <w:rPr>
          <w:sz w:val="22"/>
          <w:szCs w:val="22"/>
          <w:lang w:val="sr-Latn-ME"/>
        </w:rPr>
        <w:t xml:space="preserve"> </w:t>
      </w:r>
      <w:r w:rsidRPr="00C12098">
        <w:rPr>
          <w:sz w:val="22"/>
          <w:szCs w:val="22"/>
          <w:lang w:val="sr-Latn-ME"/>
        </w:rPr>
        <w:t>peroksid je veće od zbira ukupne koristi pojedinih supstanci, što ukazuje na potencijaciju terapijskog djelovanja tih supstanci kada se koriste u obliku fiksne kombinacije. Rano terapijsko dejstvo lijeka adapalen/benzoil</w:t>
      </w:r>
      <w:r w:rsidR="00154842" w:rsidRPr="00C12098">
        <w:rPr>
          <w:sz w:val="22"/>
          <w:szCs w:val="22"/>
          <w:lang w:val="sr-Latn-ME"/>
        </w:rPr>
        <w:t xml:space="preserve"> </w:t>
      </w:r>
      <w:r w:rsidRPr="00C12098">
        <w:rPr>
          <w:sz w:val="22"/>
          <w:szCs w:val="22"/>
          <w:lang w:val="sr-Latn-ME"/>
        </w:rPr>
        <w:t>peroksid na inflamatorne lezije zapaženo u prvoj nedjelji liječenja bilo je konzistentno u ispitivanju 1 i ispitivanju 2. Za neinflamatorne lezije (otvoreni i zatvoreni komedoni) zapažen je značajan odgovor između prve i četvrte nedjelje liječenja. Efikasnost na nodule kod akni nije utvrđena.</w:t>
      </w:r>
    </w:p>
    <w:p w14:paraId="03578B04" w14:textId="77777777" w:rsidR="00B71704" w:rsidRPr="00C12098" w:rsidRDefault="00B71704" w:rsidP="0059051B">
      <w:pPr>
        <w:autoSpaceDE w:val="0"/>
        <w:autoSpaceDN w:val="0"/>
        <w:adjustRightInd w:val="0"/>
        <w:jc w:val="both"/>
        <w:rPr>
          <w:sz w:val="22"/>
          <w:szCs w:val="22"/>
          <w:lang w:val="sr-Latn-ME"/>
        </w:rPr>
      </w:pPr>
    </w:p>
    <w:p w14:paraId="022EAB69" w14:textId="1F2A829C"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Tabela 1. Klinička efikasnost u dva uporedna ispitivanja</w:t>
      </w:r>
    </w:p>
    <w:p w14:paraId="537286C0" w14:textId="77777777" w:rsidR="00B71704" w:rsidRPr="00C12098" w:rsidRDefault="00B71704" w:rsidP="0059051B">
      <w:pPr>
        <w:autoSpaceDE w:val="0"/>
        <w:autoSpaceDN w:val="0"/>
        <w:adjustRightInd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823"/>
        <w:gridCol w:w="1231"/>
        <w:gridCol w:w="1823"/>
        <w:gridCol w:w="1233"/>
      </w:tblGrid>
      <w:tr w:rsidR="00B71704" w:rsidRPr="00C12098" w14:paraId="36D19333" w14:textId="77777777" w:rsidTr="006A2657">
        <w:tc>
          <w:tcPr>
            <w:tcW w:w="5000" w:type="pct"/>
            <w:gridSpan w:val="5"/>
            <w:shd w:val="clear" w:color="auto" w:fill="auto"/>
            <w:vAlign w:val="center"/>
          </w:tcPr>
          <w:p w14:paraId="6BA86903"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Ispitivanje 1</w:t>
            </w:r>
          </w:p>
        </w:tc>
      </w:tr>
      <w:tr w:rsidR="00B71704" w:rsidRPr="00C12098" w14:paraId="63BE276C" w14:textId="77777777" w:rsidTr="006A2657">
        <w:tc>
          <w:tcPr>
            <w:tcW w:w="1629" w:type="pct"/>
            <w:shd w:val="clear" w:color="auto" w:fill="auto"/>
            <w:vAlign w:val="center"/>
          </w:tcPr>
          <w:p w14:paraId="2108CFCA"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Ispitivanje 1</w:t>
            </w:r>
          </w:p>
          <w:p w14:paraId="6A183E10" w14:textId="6E2E2398" w:rsidR="00B71704" w:rsidRPr="00C12098" w:rsidRDefault="0059051B" w:rsidP="0059051B">
            <w:pPr>
              <w:autoSpaceDE w:val="0"/>
              <w:autoSpaceDN w:val="0"/>
              <w:adjustRightInd w:val="0"/>
              <w:jc w:val="both"/>
              <w:rPr>
                <w:b/>
                <w:bCs/>
                <w:sz w:val="22"/>
                <w:szCs w:val="22"/>
                <w:lang w:val="sr-Latn-ME"/>
              </w:rPr>
            </w:pPr>
            <w:r w:rsidRPr="00C12098">
              <w:rPr>
                <w:b/>
                <w:bCs/>
                <w:sz w:val="22"/>
                <w:szCs w:val="22"/>
                <w:lang w:val="sr-Latn-ME"/>
              </w:rPr>
              <w:t xml:space="preserve">12. </w:t>
            </w:r>
            <w:r w:rsidR="00B71704" w:rsidRPr="00C12098">
              <w:rPr>
                <w:b/>
                <w:bCs/>
                <w:sz w:val="22"/>
                <w:szCs w:val="22"/>
                <w:lang w:val="sr-Latn-ME"/>
              </w:rPr>
              <w:t xml:space="preserve">Nedjelja </w:t>
            </w:r>
          </w:p>
          <w:p w14:paraId="3F11E92B"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Zadnje zapažanje preneseno</w:t>
            </w:r>
          </w:p>
          <w:p w14:paraId="2D2AEC0A"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nadalje  (LOCF);</w:t>
            </w:r>
          </w:p>
          <w:p w14:paraId="62AE182B"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Namjera liječenja (ITT)</w:t>
            </w:r>
          </w:p>
        </w:tc>
        <w:tc>
          <w:tcPr>
            <w:tcW w:w="1006" w:type="pct"/>
            <w:shd w:val="clear" w:color="auto" w:fill="auto"/>
            <w:vAlign w:val="center"/>
          </w:tcPr>
          <w:p w14:paraId="4BE20FF9"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 xml:space="preserve">Adapalen + </w:t>
            </w:r>
          </w:p>
          <w:p w14:paraId="3A8BA1F1" w14:textId="6F562547" w:rsidR="00B71704" w:rsidRPr="00C12098" w:rsidRDefault="00154842" w:rsidP="0059051B">
            <w:pPr>
              <w:autoSpaceDE w:val="0"/>
              <w:autoSpaceDN w:val="0"/>
              <w:adjustRightInd w:val="0"/>
              <w:jc w:val="both"/>
              <w:rPr>
                <w:b/>
                <w:bCs/>
                <w:sz w:val="22"/>
                <w:szCs w:val="22"/>
                <w:lang w:val="sr-Latn-ME"/>
              </w:rPr>
            </w:pPr>
            <w:r w:rsidRPr="00C12098">
              <w:rPr>
                <w:b/>
                <w:bCs/>
                <w:sz w:val="22"/>
                <w:szCs w:val="22"/>
                <w:lang w:val="sr-Latn-ME"/>
              </w:rPr>
              <w:t>b</w:t>
            </w:r>
            <w:r w:rsidR="00B71704" w:rsidRPr="00C12098">
              <w:rPr>
                <w:b/>
                <w:bCs/>
                <w:sz w:val="22"/>
                <w:szCs w:val="22"/>
                <w:lang w:val="sr-Latn-ME"/>
              </w:rPr>
              <w:t>enzoil</w:t>
            </w:r>
            <w:r w:rsidRPr="00C12098">
              <w:rPr>
                <w:b/>
                <w:bCs/>
                <w:sz w:val="22"/>
                <w:szCs w:val="22"/>
                <w:lang w:val="sr-Latn-ME"/>
              </w:rPr>
              <w:t xml:space="preserve"> </w:t>
            </w:r>
            <w:r w:rsidR="00B71704" w:rsidRPr="00C12098">
              <w:rPr>
                <w:b/>
                <w:bCs/>
                <w:sz w:val="22"/>
                <w:szCs w:val="22"/>
                <w:lang w:val="sr-Latn-ME"/>
              </w:rPr>
              <w:t>peroksid</w:t>
            </w:r>
          </w:p>
          <w:p w14:paraId="19D07644"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N=149</w:t>
            </w:r>
          </w:p>
        </w:tc>
        <w:tc>
          <w:tcPr>
            <w:tcW w:w="679" w:type="pct"/>
            <w:shd w:val="clear" w:color="auto" w:fill="auto"/>
            <w:vAlign w:val="center"/>
          </w:tcPr>
          <w:p w14:paraId="6D55CEC4"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Adapalen</w:t>
            </w:r>
          </w:p>
          <w:p w14:paraId="0FEA1AA9"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N=148</w:t>
            </w:r>
          </w:p>
        </w:tc>
        <w:tc>
          <w:tcPr>
            <w:tcW w:w="1006" w:type="pct"/>
            <w:shd w:val="clear" w:color="auto" w:fill="auto"/>
            <w:vAlign w:val="center"/>
          </w:tcPr>
          <w:p w14:paraId="230D76C6" w14:textId="56E103D6"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Benzoil</w:t>
            </w:r>
            <w:r w:rsidR="00154842" w:rsidRPr="00C12098">
              <w:rPr>
                <w:b/>
                <w:bCs/>
                <w:sz w:val="22"/>
                <w:szCs w:val="22"/>
                <w:lang w:val="sr-Latn-ME"/>
              </w:rPr>
              <w:t xml:space="preserve"> </w:t>
            </w:r>
            <w:r w:rsidRPr="00C12098">
              <w:rPr>
                <w:b/>
                <w:bCs/>
                <w:sz w:val="22"/>
                <w:szCs w:val="22"/>
                <w:lang w:val="sr-Latn-ME"/>
              </w:rPr>
              <w:t>peroksid</w:t>
            </w:r>
          </w:p>
          <w:p w14:paraId="5692584E"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N=149</w:t>
            </w:r>
          </w:p>
        </w:tc>
        <w:tc>
          <w:tcPr>
            <w:tcW w:w="679" w:type="pct"/>
            <w:shd w:val="clear" w:color="auto" w:fill="auto"/>
            <w:vAlign w:val="center"/>
          </w:tcPr>
          <w:p w14:paraId="47528206"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Podloga</w:t>
            </w:r>
          </w:p>
          <w:p w14:paraId="43530A47"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N=71</w:t>
            </w:r>
          </w:p>
        </w:tc>
      </w:tr>
      <w:tr w:rsidR="00B71704" w:rsidRPr="00C12098" w14:paraId="7D7D084B" w14:textId="77777777" w:rsidTr="006A2657">
        <w:tc>
          <w:tcPr>
            <w:tcW w:w="1629" w:type="pct"/>
            <w:shd w:val="clear" w:color="auto" w:fill="auto"/>
            <w:vAlign w:val="center"/>
          </w:tcPr>
          <w:p w14:paraId="10FB4E14"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Uspjeh (Čisto, Gotovo čisto)</w:t>
            </w:r>
          </w:p>
        </w:tc>
        <w:tc>
          <w:tcPr>
            <w:tcW w:w="1006" w:type="pct"/>
            <w:shd w:val="clear" w:color="auto" w:fill="auto"/>
            <w:vAlign w:val="center"/>
          </w:tcPr>
          <w:p w14:paraId="13EF01B3" w14:textId="77777777" w:rsidR="00B71704" w:rsidRPr="00C12098" w:rsidRDefault="00B71704" w:rsidP="0059051B">
            <w:pPr>
              <w:spacing w:line="260" w:lineRule="exact"/>
              <w:jc w:val="both"/>
              <w:rPr>
                <w:rFonts w:eastAsia="Segoe UI"/>
                <w:w w:val="99"/>
                <w:sz w:val="22"/>
                <w:szCs w:val="22"/>
                <w:lang w:val="sr-Latn-ME"/>
              </w:rPr>
            </w:pPr>
            <w:r w:rsidRPr="00C12098">
              <w:rPr>
                <w:rFonts w:eastAsia="Segoe UI"/>
                <w:w w:val="99"/>
                <w:sz w:val="22"/>
                <w:szCs w:val="22"/>
                <w:lang w:val="sr-Latn-ME"/>
              </w:rPr>
              <w:t>41 (27,5%)</w:t>
            </w:r>
          </w:p>
        </w:tc>
        <w:tc>
          <w:tcPr>
            <w:tcW w:w="679" w:type="pct"/>
            <w:shd w:val="clear" w:color="auto" w:fill="auto"/>
            <w:vAlign w:val="center"/>
          </w:tcPr>
          <w:p w14:paraId="5320FED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23 (15,5%)</w:t>
            </w:r>
          </w:p>
          <w:p w14:paraId="33DDCE55"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p=0,008</w:t>
            </w:r>
          </w:p>
        </w:tc>
        <w:tc>
          <w:tcPr>
            <w:tcW w:w="1006" w:type="pct"/>
            <w:shd w:val="clear" w:color="auto" w:fill="auto"/>
            <w:vAlign w:val="center"/>
          </w:tcPr>
          <w:p w14:paraId="5F416440"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23 (15,4%)</w:t>
            </w:r>
          </w:p>
          <w:p w14:paraId="6AAFCF21"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p=0,003</w:t>
            </w:r>
          </w:p>
        </w:tc>
        <w:tc>
          <w:tcPr>
            <w:tcW w:w="679" w:type="pct"/>
            <w:shd w:val="clear" w:color="auto" w:fill="auto"/>
            <w:vAlign w:val="center"/>
          </w:tcPr>
          <w:p w14:paraId="75AA03B2"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7 (9,9%)</w:t>
            </w:r>
          </w:p>
          <w:p w14:paraId="165CB449"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p=0,002</w:t>
            </w:r>
          </w:p>
        </w:tc>
      </w:tr>
      <w:tr w:rsidR="00B71704" w:rsidRPr="00C12098" w14:paraId="400FA024" w14:textId="77777777" w:rsidTr="006A2657">
        <w:trPr>
          <w:trHeight w:val="485"/>
        </w:trPr>
        <w:tc>
          <w:tcPr>
            <w:tcW w:w="1629" w:type="pct"/>
            <w:shd w:val="clear" w:color="auto" w:fill="auto"/>
            <w:vAlign w:val="center"/>
          </w:tcPr>
          <w:p w14:paraId="40B412CB"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 xml:space="preserve">Smanjenje medijane </w:t>
            </w:r>
          </w:p>
          <w:p w14:paraId="5741BECD"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 smanjenja) u:</w:t>
            </w:r>
          </w:p>
        </w:tc>
        <w:tc>
          <w:tcPr>
            <w:tcW w:w="3371" w:type="pct"/>
            <w:gridSpan w:val="4"/>
            <w:shd w:val="clear" w:color="auto" w:fill="auto"/>
            <w:vAlign w:val="center"/>
          </w:tcPr>
          <w:p w14:paraId="10419C23" w14:textId="77777777" w:rsidR="00B71704" w:rsidRPr="00C12098" w:rsidRDefault="00B71704" w:rsidP="0059051B">
            <w:pPr>
              <w:autoSpaceDE w:val="0"/>
              <w:autoSpaceDN w:val="0"/>
              <w:adjustRightInd w:val="0"/>
              <w:jc w:val="both"/>
              <w:rPr>
                <w:sz w:val="22"/>
                <w:szCs w:val="22"/>
                <w:lang w:val="sr-Latn-ME"/>
              </w:rPr>
            </w:pPr>
          </w:p>
        </w:tc>
      </w:tr>
      <w:tr w:rsidR="00B71704" w:rsidRPr="00C12098" w14:paraId="281FD901" w14:textId="77777777" w:rsidTr="006A2657">
        <w:tc>
          <w:tcPr>
            <w:tcW w:w="1629" w:type="pct"/>
            <w:shd w:val="clear" w:color="auto" w:fill="auto"/>
            <w:vAlign w:val="center"/>
          </w:tcPr>
          <w:p w14:paraId="327F4C1C"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Broju inflamatornih lezija</w:t>
            </w:r>
          </w:p>
        </w:tc>
        <w:tc>
          <w:tcPr>
            <w:tcW w:w="1006" w:type="pct"/>
            <w:shd w:val="clear" w:color="auto" w:fill="auto"/>
            <w:vAlign w:val="center"/>
          </w:tcPr>
          <w:p w14:paraId="5897AF81"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17 (62,8%)</w:t>
            </w:r>
          </w:p>
        </w:tc>
        <w:tc>
          <w:tcPr>
            <w:tcW w:w="679" w:type="pct"/>
            <w:shd w:val="clear" w:color="auto" w:fill="auto"/>
            <w:vAlign w:val="center"/>
          </w:tcPr>
          <w:p w14:paraId="4E34BFD4"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13 (45,7%)</w:t>
            </w:r>
          </w:p>
          <w:p w14:paraId="58B00B4B"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1006" w:type="pct"/>
            <w:shd w:val="clear" w:color="auto" w:fill="auto"/>
            <w:vAlign w:val="center"/>
          </w:tcPr>
          <w:p w14:paraId="74AE2FEF"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13 (43,6%)</w:t>
            </w:r>
          </w:p>
          <w:p w14:paraId="5971CF0C"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679" w:type="pct"/>
            <w:shd w:val="clear" w:color="auto" w:fill="auto"/>
            <w:vAlign w:val="center"/>
          </w:tcPr>
          <w:p w14:paraId="7E20D67F"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11 (37,8%)</w:t>
            </w:r>
          </w:p>
          <w:p w14:paraId="4CD1CFDB"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r>
      <w:tr w:rsidR="00B71704" w:rsidRPr="00C12098" w14:paraId="2CCAFA41" w14:textId="77777777" w:rsidTr="006A2657">
        <w:tc>
          <w:tcPr>
            <w:tcW w:w="1629" w:type="pct"/>
            <w:shd w:val="clear" w:color="auto" w:fill="auto"/>
            <w:vAlign w:val="center"/>
          </w:tcPr>
          <w:p w14:paraId="68D4CA09"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Broju neinflamatornih lezija</w:t>
            </w:r>
          </w:p>
        </w:tc>
        <w:tc>
          <w:tcPr>
            <w:tcW w:w="1006" w:type="pct"/>
            <w:shd w:val="clear" w:color="auto" w:fill="auto"/>
            <w:vAlign w:val="center"/>
          </w:tcPr>
          <w:p w14:paraId="4657B0D5"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22 (51,2%)</w:t>
            </w:r>
          </w:p>
        </w:tc>
        <w:tc>
          <w:tcPr>
            <w:tcW w:w="679" w:type="pct"/>
            <w:shd w:val="clear" w:color="auto" w:fill="auto"/>
            <w:vAlign w:val="center"/>
          </w:tcPr>
          <w:p w14:paraId="2D27B4FF"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17 (33,3%)</w:t>
            </w:r>
          </w:p>
          <w:p w14:paraId="67575767"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1006" w:type="pct"/>
            <w:shd w:val="clear" w:color="auto" w:fill="auto"/>
            <w:vAlign w:val="center"/>
          </w:tcPr>
          <w:p w14:paraId="1CC0F02C"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16 (36,4%)</w:t>
            </w:r>
          </w:p>
          <w:p w14:paraId="30CA9516"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679" w:type="pct"/>
            <w:shd w:val="clear" w:color="auto" w:fill="auto"/>
            <w:vAlign w:val="center"/>
          </w:tcPr>
          <w:p w14:paraId="66C6434F"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14 (37,5%)</w:t>
            </w:r>
          </w:p>
          <w:p w14:paraId="5F111121"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r>
      <w:tr w:rsidR="00B71704" w:rsidRPr="00C12098" w14:paraId="11061D81" w14:textId="77777777" w:rsidTr="006A2657">
        <w:tc>
          <w:tcPr>
            <w:tcW w:w="1629" w:type="pct"/>
            <w:shd w:val="clear" w:color="auto" w:fill="auto"/>
            <w:vAlign w:val="center"/>
          </w:tcPr>
          <w:p w14:paraId="01EF4C3C"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Ukupnom broju lezija</w:t>
            </w:r>
          </w:p>
        </w:tc>
        <w:tc>
          <w:tcPr>
            <w:tcW w:w="1006" w:type="pct"/>
            <w:shd w:val="clear" w:color="auto" w:fill="auto"/>
            <w:vAlign w:val="center"/>
          </w:tcPr>
          <w:p w14:paraId="544C4B40"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40 (51,0%)</w:t>
            </w:r>
          </w:p>
        </w:tc>
        <w:tc>
          <w:tcPr>
            <w:tcW w:w="679" w:type="pct"/>
            <w:shd w:val="clear" w:color="auto" w:fill="auto"/>
            <w:vAlign w:val="center"/>
          </w:tcPr>
          <w:p w14:paraId="0DEFAB99"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29 (35,4%)</w:t>
            </w:r>
          </w:p>
          <w:p w14:paraId="3E96D2C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1006" w:type="pct"/>
            <w:shd w:val="clear" w:color="auto" w:fill="auto"/>
            <w:vAlign w:val="center"/>
          </w:tcPr>
          <w:p w14:paraId="3B2170C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27 (35,6%)</w:t>
            </w:r>
          </w:p>
          <w:p w14:paraId="0CF0D452"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679" w:type="pct"/>
            <w:shd w:val="clear" w:color="auto" w:fill="auto"/>
            <w:vAlign w:val="center"/>
          </w:tcPr>
          <w:p w14:paraId="0E0E0697"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26 (31,0%)</w:t>
            </w:r>
          </w:p>
          <w:p w14:paraId="4B1F7631"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r>
      <w:tr w:rsidR="00B71704" w:rsidRPr="00C12098" w14:paraId="3D616E6A" w14:textId="77777777" w:rsidTr="006A2657">
        <w:tc>
          <w:tcPr>
            <w:tcW w:w="5000" w:type="pct"/>
            <w:gridSpan w:val="5"/>
            <w:shd w:val="clear" w:color="auto" w:fill="auto"/>
            <w:vAlign w:val="center"/>
          </w:tcPr>
          <w:p w14:paraId="32A6A053"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Ispitivanje 2</w:t>
            </w:r>
          </w:p>
        </w:tc>
      </w:tr>
      <w:tr w:rsidR="00B71704" w:rsidRPr="00C12098" w14:paraId="4A72CA01" w14:textId="77777777" w:rsidTr="006A2657">
        <w:tc>
          <w:tcPr>
            <w:tcW w:w="1629" w:type="pct"/>
            <w:shd w:val="clear" w:color="auto" w:fill="auto"/>
            <w:vAlign w:val="center"/>
          </w:tcPr>
          <w:p w14:paraId="5DD59F50"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Ispitivanje 2</w:t>
            </w:r>
          </w:p>
          <w:p w14:paraId="674DB2DA" w14:textId="7B1869BD" w:rsidR="00B71704" w:rsidRPr="00C12098" w:rsidRDefault="0059051B" w:rsidP="0059051B">
            <w:pPr>
              <w:autoSpaceDE w:val="0"/>
              <w:autoSpaceDN w:val="0"/>
              <w:adjustRightInd w:val="0"/>
              <w:jc w:val="both"/>
              <w:rPr>
                <w:b/>
                <w:bCs/>
                <w:sz w:val="22"/>
                <w:szCs w:val="22"/>
                <w:lang w:val="sr-Latn-ME"/>
              </w:rPr>
            </w:pPr>
            <w:r w:rsidRPr="00C12098">
              <w:rPr>
                <w:b/>
                <w:bCs/>
                <w:sz w:val="22"/>
                <w:szCs w:val="22"/>
                <w:lang w:val="sr-Latn-ME"/>
              </w:rPr>
              <w:t xml:space="preserve">12. </w:t>
            </w:r>
            <w:r w:rsidR="00B71704" w:rsidRPr="00C12098">
              <w:rPr>
                <w:b/>
                <w:bCs/>
                <w:sz w:val="22"/>
                <w:szCs w:val="22"/>
                <w:lang w:val="sr-Latn-ME"/>
              </w:rPr>
              <w:t>Ned</w:t>
            </w:r>
            <w:r w:rsidR="00154842" w:rsidRPr="00C12098">
              <w:rPr>
                <w:b/>
                <w:bCs/>
                <w:sz w:val="22"/>
                <w:szCs w:val="22"/>
                <w:lang w:val="sr-Latn-ME"/>
              </w:rPr>
              <w:t>j</w:t>
            </w:r>
            <w:r w:rsidR="00B71704" w:rsidRPr="00C12098">
              <w:rPr>
                <w:b/>
                <w:bCs/>
                <w:sz w:val="22"/>
                <w:szCs w:val="22"/>
                <w:lang w:val="sr-Latn-ME"/>
              </w:rPr>
              <w:t xml:space="preserve">elja </w:t>
            </w:r>
          </w:p>
          <w:p w14:paraId="2AD33987"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 xml:space="preserve">Zadnje zapažanje preneseno </w:t>
            </w:r>
          </w:p>
          <w:p w14:paraId="0452ABD7"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lastRenderedPageBreak/>
              <w:t xml:space="preserve">nadalje (LOCF); </w:t>
            </w:r>
          </w:p>
          <w:p w14:paraId="729708A1"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Namjera liječenja (ITT)</w:t>
            </w:r>
          </w:p>
        </w:tc>
        <w:tc>
          <w:tcPr>
            <w:tcW w:w="1006" w:type="pct"/>
            <w:shd w:val="clear" w:color="auto" w:fill="auto"/>
            <w:vAlign w:val="center"/>
          </w:tcPr>
          <w:p w14:paraId="27330B2A"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lastRenderedPageBreak/>
              <w:t xml:space="preserve">Adapalen + </w:t>
            </w:r>
          </w:p>
          <w:p w14:paraId="6C401BB4" w14:textId="0C6FF1EF" w:rsidR="00B71704" w:rsidRPr="00C12098" w:rsidRDefault="00154842" w:rsidP="0059051B">
            <w:pPr>
              <w:autoSpaceDE w:val="0"/>
              <w:autoSpaceDN w:val="0"/>
              <w:adjustRightInd w:val="0"/>
              <w:jc w:val="both"/>
              <w:rPr>
                <w:b/>
                <w:bCs/>
                <w:sz w:val="22"/>
                <w:szCs w:val="22"/>
                <w:lang w:val="sr-Latn-ME"/>
              </w:rPr>
            </w:pPr>
            <w:r w:rsidRPr="00C12098">
              <w:rPr>
                <w:b/>
                <w:bCs/>
                <w:sz w:val="22"/>
                <w:szCs w:val="22"/>
                <w:lang w:val="sr-Latn-ME"/>
              </w:rPr>
              <w:t>B</w:t>
            </w:r>
            <w:r w:rsidR="00B71704" w:rsidRPr="00C12098">
              <w:rPr>
                <w:b/>
                <w:bCs/>
                <w:sz w:val="22"/>
                <w:szCs w:val="22"/>
                <w:lang w:val="sr-Latn-ME"/>
              </w:rPr>
              <w:t>enzoil</w:t>
            </w:r>
            <w:r w:rsidRPr="00C12098">
              <w:rPr>
                <w:b/>
                <w:bCs/>
                <w:sz w:val="22"/>
                <w:szCs w:val="22"/>
                <w:lang w:val="sr-Latn-ME"/>
              </w:rPr>
              <w:t xml:space="preserve"> </w:t>
            </w:r>
            <w:r w:rsidR="00B71704" w:rsidRPr="00C12098">
              <w:rPr>
                <w:b/>
                <w:bCs/>
                <w:sz w:val="22"/>
                <w:szCs w:val="22"/>
                <w:lang w:val="sr-Latn-ME"/>
              </w:rPr>
              <w:t>peroksid</w:t>
            </w:r>
          </w:p>
          <w:p w14:paraId="7273B33C"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N=415</w:t>
            </w:r>
          </w:p>
        </w:tc>
        <w:tc>
          <w:tcPr>
            <w:tcW w:w="679" w:type="pct"/>
            <w:shd w:val="clear" w:color="auto" w:fill="auto"/>
            <w:vAlign w:val="center"/>
          </w:tcPr>
          <w:p w14:paraId="5BB005E6"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Adapalen</w:t>
            </w:r>
          </w:p>
          <w:p w14:paraId="0ADF2133"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N=420</w:t>
            </w:r>
          </w:p>
        </w:tc>
        <w:tc>
          <w:tcPr>
            <w:tcW w:w="1006" w:type="pct"/>
            <w:shd w:val="clear" w:color="auto" w:fill="auto"/>
            <w:vAlign w:val="center"/>
          </w:tcPr>
          <w:p w14:paraId="2D09506F" w14:textId="3DA104CA"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Benzoil</w:t>
            </w:r>
            <w:r w:rsidR="00154842" w:rsidRPr="00C12098">
              <w:rPr>
                <w:b/>
                <w:bCs/>
                <w:sz w:val="22"/>
                <w:szCs w:val="22"/>
                <w:lang w:val="sr-Latn-ME"/>
              </w:rPr>
              <w:t xml:space="preserve"> </w:t>
            </w:r>
            <w:r w:rsidRPr="00C12098">
              <w:rPr>
                <w:b/>
                <w:bCs/>
                <w:sz w:val="22"/>
                <w:szCs w:val="22"/>
                <w:lang w:val="sr-Latn-ME"/>
              </w:rPr>
              <w:t>peroksid</w:t>
            </w:r>
          </w:p>
          <w:p w14:paraId="595F80EC"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N=415</w:t>
            </w:r>
          </w:p>
        </w:tc>
        <w:tc>
          <w:tcPr>
            <w:tcW w:w="679" w:type="pct"/>
            <w:shd w:val="clear" w:color="auto" w:fill="auto"/>
            <w:vAlign w:val="center"/>
          </w:tcPr>
          <w:p w14:paraId="3FE1CC54"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Podloga</w:t>
            </w:r>
          </w:p>
          <w:p w14:paraId="54689040"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N=418</w:t>
            </w:r>
          </w:p>
        </w:tc>
      </w:tr>
      <w:tr w:rsidR="00B71704" w:rsidRPr="00C12098" w14:paraId="1581A1C3" w14:textId="77777777" w:rsidTr="006A2657">
        <w:tc>
          <w:tcPr>
            <w:tcW w:w="1629" w:type="pct"/>
            <w:shd w:val="clear" w:color="auto" w:fill="auto"/>
            <w:vAlign w:val="center"/>
          </w:tcPr>
          <w:p w14:paraId="30BC71A4"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Uspjeh (Čisto, Gotovo čisto)</w:t>
            </w:r>
          </w:p>
        </w:tc>
        <w:tc>
          <w:tcPr>
            <w:tcW w:w="1006" w:type="pct"/>
            <w:shd w:val="clear" w:color="auto" w:fill="auto"/>
            <w:vAlign w:val="center"/>
          </w:tcPr>
          <w:p w14:paraId="48605BEC"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125 (30,1%)</w:t>
            </w:r>
          </w:p>
        </w:tc>
        <w:tc>
          <w:tcPr>
            <w:tcW w:w="679" w:type="pct"/>
            <w:shd w:val="clear" w:color="auto" w:fill="auto"/>
            <w:vAlign w:val="center"/>
          </w:tcPr>
          <w:p w14:paraId="33B3412E"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83 (19,8%)</w:t>
            </w:r>
          </w:p>
          <w:p w14:paraId="7ED85062"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1006" w:type="pct"/>
            <w:shd w:val="clear" w:color="auto" w:fill="auto"/>
            <w:vAlign w:val="center"/>
          </w:tcPr>
          <w:p w14:paraId="4B90B52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92 (22,2%)</w:t>
            </w:r>
          </w:p>
          <w:p w14:paraId="0982E5F3"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P=0,006</w:t>
            </w:r>
          </w:p>
        </w:tc>
        <w:tc>
          <w:tcPr>
            <w:tcW w:w="679" w:type="pct"/>
            <w:shd w:val="clear" w:color="auto" w:fill="auto"/>
            <w:vAlign w:val="center"/>
          </w:tcPr>
          <w:p w14:paraId="7DBC5F02"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47 (11,3%)</w:t>
            </w:r>
          </w:p>
          <w:p w14:paraId="3E95D7B9"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r>
      <w:tr w:rsidR="00B71704" w:rsidRPr="00C12098" w14:paraId="6C84CB0A" w14:textId="77777777" w:rsidTr="006A2657">
        <w:tc>
          <w:tcPr>
            <w:tcW w:w="1629" w:type="pct"/>
            <w:shd w:val="clear" w:color="auto" w:fill="auto"/>
            <w:vAlign w:val="center"/>
          </w:tcPr>
          <w:p w14:paraId="2927693E"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 xml:space="preserve">Smanjenje medijane </w:t>
            </w:r>
          </w:p>
          <w:p w14:paraId="67FD3A3A"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 smanjenja) u:</w:t>
            </w:r>
          </w:p>
        </w:tc>
        <w:tc>
          <w:tcPr>
            <w:tcW w:w="1006" w:type="pct"/>
            <w:shd w:val="clear" w:color="auto" w:fill="auto"/>
            <w:vAlign w:val="center"/>
          </w:tcPr>
          <w:p w14:paraId="78AFA094" w14:textId="77777777" w:rsidR="00B71704" w:rsidRPr="00C12098" w:rsidRDefault="00B71704" w:rsidP="0059051B">
            <w:pPr>
              <w:autoSpaceDE w:val="0"/>
              <w:autoSpaceDN w:val="0"/>
              <w:adjustRightInd w:val="0"/>
              <w:jc w:val="both"/>
              <w:rPr>
                <w:sz w:val="22"/>
                <w:szCs w:val="22"/>
                <w:lang w:val="sr-Latn-ME"/>
              </w:rPr>
            </w:pPr>
          </w:p>
        </w:tc>
        <w:tc>
          <w:tcPr>
            <w:tcW w:w="679" w:type="pct"/>
            <w:shd w:val="clear" w:color="auto" w:fill="auto"/>
            <w:vAlign w:val="center"/>
          </w:tcPr>
          <w:p w14:paraId="04B041FC" w14:textId="77777777" w:rsidR="00B71704" w:rsidRPr="00C12098" w:rsidRDefault="00B71704" w:rsidP="0059051B">
            <w:pPr>
              <w:autoSpaceDE w:val="0"/>
              <w:autoSpaceDN w:val="0"/>
              <w:adjustRightInd w:val="0"/>
              <w:jc w:val="both"/>
              <w:rPr>
                <w:sz w:val="22"/>
                <w:szCs w:val="22"/>
                <w:lang w:val="sr-Latn-ME"/>
              </w:rPr>
            </w:pPr>
          </w:p>
        </w:tc>
        <w:tc>
          <w:tcPr>
            <w:tcW w:w="1006" w:type="pct"/>
            <w:shd w:val="clear" w:color="auto" w:fill="auto"/>
            <w:vAlign w:val="center"/>
          </w:tcPr>
          <w:p w14:paraId="78E00988" w14:textId="77777777" w:rsidR="00B71704" w:rsidRPr="00C12098" w:rsidRDefault="00B71704" w:rsidP="0059051B">
            <w:pPr>
              <w:autoSpaceDE w:val="0"/>
              <w:autoSpaceDN w:val="0"/>
              <w:adjustRightInd w:val="0"/>
              <w:jc w:val="both"/>
              <w:rPr>
                <w:sz w:val="22"/>
                <w:szCs w:val="22"/>
                <w:lang w:val="sr-Latn-ME"/>
              </w:rPr>
            </w:pPr>
          </w:p>
        </w:tc>
        <w:tc>
          <w:tcPr>
            <w:tcW w:w="679" w:type="pct"/>
            <w:shd w:val="clear" w:color="auto" w:fill="auto"/>
            <w:vAlign w:val="center"/>
          </w:tcPr>
          <w:p w14:paraId="45DA8DF5" w14:textId="77777777" w:rsidR="00B71704" w:rsidRPr="00C12098" w:rsidRDefault="00B71704" w:rsidP="0059051B">
            <w:pPr>
              <w:autoSpaceDE w:val="0"/>
              <w:autoSpaceDN w:val="0"/>
              <w:adjustRightInd w:val="0"/>
              <w:jc w:val="both"/>
              <w:rPr>
                <w:sz w:val="22"/>
                <w:szCs w:val="22"/>
                <w:lang w:val="sr-Latn-ME"/>
              </w:rPr>
            </w:pPr>
          </w:p>
        </w:tc>
      </w:tr>
      <w:tr w:rsidR="00B71704" w:rsidRPr="00C12098" w14:paraId="522DD3D4" w14:textId="77777777" w:rsidTr="006A2657">
        <w:tc>
          <w:tcPr>
            <w:tcW w:w="1629" w:type="pct"/>
            <w:shd w:val="clear" w:color="auto" w:fill="auto"/>
            <w:vAlign w:val="center"/>
          </w:tcPr>
          <w:p w14:paraId="3D6E3312"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Broju inflamatornih lezija</w:t>
            </w:r>
          </w:p>
        </w:tc>
        <w:tc>
          <w:tcPr>
            <w:tcW w:w="1006" w:type="pct"/>
            <w:shd w:val="clear" w:color="auto" w:fill="auto"/>
            <w:vAlign w:val="center"/>
          </w:tcPr>
          <w:p w14:paraId="47AA1DDE"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16 (62,1%)</w:t>
            </w:r>
          </w:p>
        </w:tc>
        <w:tc>
          <w:tcPr>
            <w:tcW w:w="679" w:type="pct"/>
            <w:shd w:val="clear" w:color="auto" w:fill="auto"/>
            <w:vAlign w:val="center"/>
          </w:tcPr>
          <w:p w14:paraId="6448AFCD"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14 (50,0%)</w:t>
            </w:r>
          </w:p>
          <w:p w14:paraId="538D49B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1006" w:type="pct"/>
            <w:shd w:val="clear" w:color="auto" w:fill="auto"/>
            <w:vAlign w:val="center"/>
          </w:tcPr>
          <w:p w14:paraId="6E5240E1"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 xml:space="preserve">16 (55,6%) </w:t>
            </w:r>
          </w:p>
          <w:p w14:paraId="648FEF8C"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P=0,068</w:t>
            </w:r>
          </w:p>
        </w:tc>
        <w:tc>
          <w:tcPr>
            <w:tcW w:w="679" w:type="pct"/>
            <w:shd w:val="clear" w:color="auto" w:fill="auto"/>
            <w:vAlign w:val="center"/>
          </w:tcPr>
          <w:p w14:paraId="00E5B8C9"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10 (34,3%)</w:t>
            </w:r>
          </w:p>
          <w:p w14:paraId="07EEB237"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p w14:paraId="6B37AE7D" w14:textId="77777777" w:rsidR="00B71704" w:rsidRPr="00C12098" w:rsidRDefault="00B71704" w:rsidP="0059051B">
            <w:pPr>
              <w:autoSpaceDE w:val="0"/>
              <w:autoSpaceDN w:val="0"/>
              <w:adjustRightInd w:val="0"/>
              <w:jc w:val="both"/>
              <w:rPr>
                <w:sz w:val="22"/>
                <w:szCs w:val="22"/>
                <w:lang w:val="sr-Latn-ME"/>
              </w:rPr>
            </w:pPr>
          </w:p>
        </w:tc>
      </w:tr>
      <w:tr w:rsidR="00B71704" w:rsidRPr="00C12098" w14:paraId="51BE9D9A" w14:textId="77777777" w:rsidTr="006A2657">
        <w:tc>
          <w:tcPr>
            <w:tcW w:w="1629" w:type="pct"/>
            <w:shd w:val="clear" w:color="auto" w:fill="auto"/>
            <w:vAlign w:val="center"/>
          </w:tcPr>
          <w:p w14:paraId="43244927"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Broju neinflamatornih lezija</w:t>
            </w:r>
          </w:p>
        </w:tc>
        <w:tc>
          <w:tcPr>
            <w:tcW w:w="1006" w:type="pct"/>
            <w:shd w:val="clear" w:color="auto" w:fill="auto"/>
            <w:vAlign w:val="center"/>
          </w:tcPr>
          <w:p w14:paraId="62172E8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24 (53,8%)</w:t>
            </w:r>
          </w:p>
          <w:p w14:paraId="2E614803" w14:textId="77777777" w:rsidR="00B71704" w:rsidRPr="00C12098" w:rsidRDefault="00B71704" w:rsidP="0059051B">
            <w:pPr>
              <w:autoSpaceDE w:val="0"/>
              <w:autoSpaceDN w:val="0"/>
              <w:adjustRightInd w:val="0"/>
              <w:jc w:val="both"/>
              <w:rPr>
                <w:sz w:val="22"/>
                <w:szCs w:val="22"/>
                <w:lang w:val="sr-Latn-ME"/>
              </w:rPr>
            </w:pPr>
          </w:p>
        </w:tc>
        <w:tc>
          <w:tcPr>
            <w:tcW w:w="679" w:type="pct"/>
            <w:shd w:val="clear" w:color="auto" w:fill="auto"/>
            <w:vAlign w:val="center"/>
          </w:tcPr>
          <w:p w14:paraId="651479CC"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22 (49,1%)</w:t>
            </w:r>
          </w:p>
          <w:p w14:paraId="5D9177B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p=0,048</w:t>
            </w:r>
          </w:p>
        </w:tc>
        <w:tc>
          <w:tcPr>
            <w:tcW w:w="1006" w:type="pct"/>
            <w:shd w:val="clear" w:color="auto" w:fill="auto"/>
            <w:vAlign w:val="center"/>
          </w:tcPr>
          <w:p w14:paraId="30AAF4A3"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20 (44,1%)</w:t>
            </w:r>
          </w:p>
          <w:p w14:paraId="2977D16E"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679" w:type="pct"/>
            <w:shd w:val="clear" w:color="auto" w:fill="auto"/>
            <w:vAlign w:val="center"/>
          </w:tcPr>
          <w:p w14:paraId="74AA35FC"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14 (29,5%)</w:t>
            </w:r>
          </w:p>
          <w:p w14:paraId="40E5FA42"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r>
      <w:tr w:rsidR="00B71704" w:rsidRPr="00C12098" w14:paraId="17449D34" w14:textId="77777777" w:rsidTr="006A2657">
        <w:tc>
          <w:tcPr>
            <w:tcW w:w="1629" w:type="pct"/>
            <w:shd w:val="clear" w:color="auto" w:fill="auto"/>
            <w:vAlign w:val="center"/>
          </w:tcPr>
          <w:p w14:paraId="18B0FECE"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Ukupnom broju lezija</w:t>
            </w:r>
          </w:p>
        </w:tc>
        <w:tc>
          <w:tcPr>
            <w:tcW w:w="1006" w:type="pct"/>
            <w:shd w:val="clear" w:color="auto" w:fill="auto"/>
            <w:vAlign w:val="center"/>
          </w:tcPr>
          <w:p w14:paraId="592BE0D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45 (56,3%)</w:t>
            </w:r>
          </w:p>
        </w:tc>
        <w:tc>
          <w:tcPr>
            <w:tcW w:w="679" w:type="pct"/>
            <w:shd w:val="clear" w:color="auto" w:fill="auto"/>
            <w:vAlign w:val="center"/>
          </w:tcPr>
          <w:p w14:paraId="035DF7FF"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39 (46,9%)</w:t>
            </w:r>
          </w:p>
          <w:p w14:paraId="46FF9B39"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p=0,002</w:t>
            </w:r>
          </w:p>
        </w:tc>
        <w:tc>
          <w:tcPr>
            <w:tcW w:w="1006" w:type="pct"/>
            <w:shd w:val="clear" w:color="auto" w:fill="auto"/>
            <w:vAlign w:val="center"/>
          </w:tcPr>
          <w:p w14:paraId="56F2AC47"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38 (48,1%)</w:t>
            </w:r>
          </w:p>
          <w:p w14:paraId="36C80014"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c>
          <w:tcPr>
            <w:tcW w:w="679" w:type="pct"/>
            <w:shd w:val="clear" w:color="auto" w:fill="auto"/>
            <w:vAlign w:val="center"/>
          </w:tcPr>
          <w:p w14:paraId="31B7C267"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24 (28,0%)</w:t>
            </w:r>
          </w:p>
          <w:p w14:paraId="71A9B9AA"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p&lt;0,001</w:t>
            </w:r>
          </w:p>
        </w:tc>
      </w:tr>
    </w:tbl>
    <w:p w14:paraId="3E4FA3D7" w14:textId="77777777" w:rsidR="00B71704" w:rsidRPr="00C12098" w:rsidRDefault="00B71704" w:rsidP="0059051B">
      <w:pPr>
        <w:autoSpaceDE w:val="0"/>
        <w:autoSpaceDN w:val="0"/>
        <w:adjustRightInd w:val="0"/>
        <w:ind w:left="720"/>
        <w:jc w:val="both"/>
        <w:rPr>
          <w:sz w:val="22"/>
          <w:szCs w:val="22"/>
          <w:lang w:val="sr-Latn-ME"/>
        </w:rPr>
      </w:pPr>
    </w:p>
    <w:p w14:paraId="104D41AE" w14:textId="5F8C2F53" w:rsidR="00B71704" w:rsidRPr="00C12098" w:rsidRDefault="00B71704" w:rsidP="0059051B">
      <w:pPr>
        <w:autoSpaceDE w:val="0"/>
        <w:autoSpaceDN w:val="0"/>
        <w:adjustRightInd w:val="0"/>
        <w:jc w:val="both"/>
        <w:rPr>
          <w:b/>
          <w:bCs/>
          <w:sz w:val="22"/>
          <w:szCs w:val="22"/>
          <w:lang w:val="sr-Latn-ME" w:eastAsia="hr-HR"/>
        </w:rPr>
      </w:pPr>
      <w:r w:rsidRPr="00C12098">
        <w:rPr>
          <w:b/>
          <w:bCs/>
          <w:sz w:val="22"/>
          <w:szCs w:val="22"/>
          <w:lang w:val="sr-Latn-ME" w:eastAsia="hr-HR"/>
        </w:rPr>
        <w:t>Tabela 2. Klinička efikasnost oba uporedna ispitivanja</w:t>
      </w:r>
    </w:p>
    <w:p w14:paraId="7EDD6A21" w14:textId="77777777" w:rsidR="00B71704" w:rsidRPr="00C12098" w:rsidRDefault="00B71704" w:rsidP="0059051B">
      <w:pPr>
        <w:autoSpaceDE w:val="0"/>
        <w:autoSpaceDN w:val="0"/>
        <w:adjustRightInd w:val="0"/>
        <w:jc w:val="both"/>
        <w:rPr>
          <w:b/>
          <w:bCs/>
          <w:sz w:val="22"/>
          <w:szCs w:val="22"/>
          <w:lang w:val="sr-Latn-ME"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1620"/>
        <w:gridCol w:w="1454"/>
        <w:gridCol w:w="1642"/>
        <w:gridCol w:w="1459"/>
      </w:tblGrid>
      <w:tr w:rsidR="00B71704" w:rsidRPr="00C12098" w14:paraId="36D1248E" w14:textId="77777777" w:rsidTr="006A2657">
        <w:tc>
          <w:tcPr>
            <w:tcW w:w="1593" w:type="pct"/>
            <w:shd w:val="clear" w:color="auto" w:fill="auto"/>
          </w:tcPr>
          <w:p w14:paraId="0F3D5D7E" w14:textId="77777777" w:rsidR="00B71704" w:rsidRPr="00C12098" w:rsidRDefault="00B71704" w:rsidP="0059051B">
            <w:pPr>
              <w:autoSpaceDE w:val="0"/>
              <w:autoSpaceDN w:val="0"/>
              <w:adjustRightInd w:val="0"/>
              <w:jc w:val="both"/>
              <w:rPr>
                <w:sz w:val="22"/>
                <w:szCs w:val="22"/>
                <w:lang w:val="sr-Latn-ME"/>
              </w:rPr>
            </w:pPr>
          </w:p>
        </w:tc>
        <w:tc>
          <w:tcPr>
            <w:tcW w:w="894" w:type="pct"/>
            <w:shd w:val="clear" w:color="auto" w:fill="auto"/>
          </w:tcPr>
          <w:p w14:paraId="403854A9" w14:textId="65417E3D"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Adapalen + benzoil</w:t>
            </w:r>
            <w:r w:rsidR="00154842" w:rsidRPr="00C12098">
              <w:rPr>
                <w:b/>
                <w:bCs/>
                <w:sz w:val="22"/>
                <w:szCs w:val="22"/>
                <w:lang w:val="sr-Latn-ME"/>
              </w:rPr>
              <w:t xml:space="preserve"> </w:t>
            </w:r>
            <w:r w:rsidRPr="00C12098">
              <w:rPr>
                <w:b/>
                <w:bCs/>
                <w:sz w:val="22"/>
                <w:szCs w:val="22"/>
                <w:lang w:val="sr-Latn-ME"/>
              </w:rPr>
              <w:t>peroksid</w:t>
            </w:r>
          </w:p>
          <w:p w14:paraId="4C149F7A"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N=564</w:t>
            </w:r>
          </w:p>
        </w:tc>
        <w:tc>
          <w:tcPr>
            <w:tcW w:w="802" w:type="pct"/>
            <w:shd w:val="clear" w:color="auto" w:fill="auto"/>
          </w:tcPr>
          <w:p w14:paraId="4E36DB1E"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Adapalen</w:t>
            </w:r>
          </w:p>
          <w:p w14:paraId="2980F8E6"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N=568</w:t>
            </w:r>
          </w:p>
        </w:tc>
        <w:tc>
          <w:tcPr>
            <w:tcW w:w="906" w:type="pct"/>
            <w:shd w:val="clear" w:color="auto" w:fill="auto"/>
          </w:tcPr>
          <w:p w14:paraId="53D951B7" w14:textId="1C94E798"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Benzoil</w:t>
            </w:r>
            <w:r w:rsidR="00154842" w:rsidRPr="00C12098">
              <w:rPr>
                <w:b/>
                <w:bCs/>
                <w:sz w:val="22"/>
                <w:szCs w:val="22"/>
                <w:lang w:val="sr-Latn-ME"/>
              </w:rPr>
              <w:t xml:space="preserve"> </w:t>
            </w:r>
            <w:r w:rsidRPr="00C12098">
              <w:rPr>
                <w:b/>
                <w:bCs/>
                <w:sz w:val="22"/>
                <w:szCs w:val="22"/>
                <w:lang w:val="sr-Latn-ME"/>
              </w:rPr>
              <w:t>peroksid</w:t>
            </w:r>
          </w:p>
          <w:p w14:paraId="5320C23B"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N=564</w:t>
            </w:r>
          </w:p>
        </w:tc>
        <w:tc>
          <w:tcPr>
            <w:tcW w:w="806" w:type="pct"/>
            <w:shd w:val="clear" w:color="auto" w:fill="auto"/>
          </w:tcPr>
          <w:p w14:paraId="2AC828BA"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Podloga gela</w:t>
            </w:r>
          </w:p>
          <w:p w14:paraId="5BCF327F"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N=489</w:t>
            </w:r>
          </w:p>
        </w:tc>
      </w:tr>
      <w:tr w:rsidR="00B71704" w:rsidRPr="00C12098" w14:paraId="03708653" w14:textId="77777777" w:rsidTr="006A2657">
        <w:tc>
          <w:tcPr>
            <w:tcW w:w="1593" w:type="pct"/>
            <w:shd w:val="clear" w:color="auto" w:fill="auto"/>
          </w:tcPr>
          <w:p w14:paraId="10741D14" w14:textId="77777777" w:rsidR="00B71704" w:rsidRPr="00C12098" w:rsidRDefault="00B71704" w:rsidP="0059051B">
            <w:pPr>
              <w:autoSpaceDE w:val="0"/>
              <w:autoSpaceDN w:val="0"/>
              <w:adjustRightInd w:val="0"/>
              <w:jc w:val="both"/>
              <w:rPr>
                <w:b/>
                <w:bCs/>
                <w:sz w:val="22"/>
                <w:szCs w:val="22"/>
                <w:lang w:val="sr-Latn-ME"/>
              </w:rPr>
            </w:pPr>
            <w:r w:rsidRPr="00C12098">
              <w:rPr>
                <w:b/>
                <w:bCs/>
                <w:sz w:val="22"/>
                <w:szCs w:val="22"/>
                <w:lang w:val="sr-Latn-ME"/>
              </w:rPr>
              <w:t>Uspjeh (Čisto, Gotovo čisto)</w:t>
            </w:r>
          </w:p>
        </w:tc>
        <w:tc>
          <w:tcPr>
            <w:tcW w:w="894" w:type="pct"/>
            <w:shd w:val="clear" w:color="auto" w:fill="auto"/>
          </w:tcPr>
          <w:p w14:paraId="518C324D"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166 (29,4%)</w:t>
            </w:r>
          </w:p>
        </w:tc>
        <w:tc>
          <w:tcPr>
            <w:tcW w:w="802" w:type="pct"/>
            <w:shd w:val="clear" w:color="auto" w:fill="auto"/>
          </w:tcPr>
          <w:p w14:paraId="0A7289FE"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106 (18,7%)</w:t>
            </w:r>
          </w:p>
        </w:tc>
        <w:tc>
          <w:tcPr>
            <w:tcW w:w="906" w:type="pct"/>
            <w:shd w:val="clear" w:color="auto" w:fill="auto"/>
          </w:tcPr>
          <w:p w14:paraId="67249CD4"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115 (20,4%)</w:t>
            </w:r>
          </w:p>
        </w:tc>
        <w:tc>
          <w:tcPr>
            <w:tcW w:w="806" w:type="pct"/>
            <w:shd w:val="clear" w:color="auto" w:fill="auto"/>
          </w:tcPr>
          <w:p w14:paraId="02A15CC4"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54 (11,1%)</w:t>
            </w:r>
          </w:p>
        </w:tc>
      </w:tr>
      <w:tr w:rsidR="00B71704" w:rsidRPr="00C12098" w14:paraId="2F9BB601" w14:textId="77777777" w:rsidTr="006A2657">
        <w:tc>
          <w:tcPr>
            <w:tcW w:w="1593" w:type="pct"/>
            <w:shd w:val="clear" w:color="auto" w:fill="auto"/>
          </w:tcPr>
          <w:p w14:paraId="0EDDDDB2" w14:textId="729D6AAC" w:rsidR="00B71704" w:rsidRPr="00C12098" w:rsidRDefault="00B71704" w:rsidP="001819B1">
            <w:pPr>
              <w:autoSpaceDE w:val="0"/>
              <w:autoSpaceDN w:val="0"/>
              <w:adjustRightInd w:val="0"/>
              <w:rPr>
                <w:b/>
                <w:bCs/>
                <w:sz w:val="22"/>
                <w:szCs w:val="22"/>
                <w:lang w:val="sr-Latn-ME"/>
              </w:rPr>
            </w:pPr>
            <w:r w:rsidRPr="00C12098">
              <w:rPr>
                <w:b/>
                <w:bCs/>
                <w:sz w:val="22"/>
                <w:szCs w:val="22"/>
                <w:lang w:val="sr-Latn-ME"/>
              </w:rPr>
              <w:t>Smanjenje medijane (% smanjenja) u</w:t>
            </w:r>
            <w:r w:rsidR="0059051B" w:rsidRPr="00C12098">
              <w:rPr>
                <w:b/>
                <w:bCs/>
                <w:sz w:val="22"/>
                <w:szCs w:val="22"/>
                <w:lang w:val="sr-Latn-ME"/>
              </w:rPr>
              <w:t>:</w:t>
            </w:r>
          </w:p>
        </w:tc>
        <w:tc>
          <w:tcPr>
            <w:tcW w:w="3407" w:type="pct"/>
            <w:gridSpan w:val="4"/>
            <w:shd w:val="clear" w:color="auto" w:fill="auto"/>
          </w:tcPr>
          <w:p w14:paraId="708EC154" w14:textId="77777777" w:rsidR="00B71704" w:rsidRPr="00C12098" w:rsidRDefault="00B71704" w:rsidP="0059051B">
            <w:pPr>
              <w:autoSpaceDE w:val="0"/>
              <w:autoSpaceDN w:val="0"/>
              <w:adjustRightInd w:val="0"/>
              <w:jc w:val="both"/>
              <w:rPr>
                <w:sz w:val="22"/>
                <w:szCs w:val="22"/>
                <w:lang w:val="sr-Latn-ME"/>
              </w:rPr>
            </w:pPr>
          </w:p>
        </w:tc>
      </w:tr>
      <w:tr w:rsidR="00B71704" w:rsidRPr="00C12098" w14:paraId="0F178546" w14:textId="77777777" w:rsidTr="006A2657">
        <w:tc>
          <w:tcPr>
            <w:tcW w:w="1593" w:type="pct"/>
            <w:shd w:val="clear" w:color="auto" w:fill="auto"/>
          </w:tcPr>
          <w:p w14:paraId="03A2179D"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Broju inflamatornih lezija</w:t>
            </w:r>
          </w:p>
        </w:tc>
        <w:tc>
          <w:tcPr>
            <w:tcW w:w="894" w:type="pct"/>
            <w:shd w:val="clear" w:color="auto" w:fill="auto"/>
          </w:tcPr>
          <w:p w14:paraId="7C708DF1"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16,0 (62,1)</w:t>
            </w:r>
          </w:p>
        </w:tc>
        <w:tc>
          <w:tcPr>
            <w:tcW w:w="802" w:type="pct"/>
            <w:shd w:val="clear" w:color="auto" w:fill="auto"/>
          </w:tcPr>
          <w:p w14:paraId="05024154"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14,0 (50,0)</w:t>
            </w:r>
          </w:p>
        </w:tc>
        <w:tc>
          <w:tcPr>
            <w:tcW w:w="906" w:type="pct"/>
            <w:shd w:val="clear" w:color="auto" w:fill="auto"/>
          </w:tcPr>
          <w:p w14:paraId="4290E0D9"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15,0 (54,0)</w:t>
            </w:r>
          </w:p>
        </w:tc>
        <w:tc>
          <w:tcPr>
            <w:tcW w:w="806" w:type="pct"/>
            <w:shd w:val="clear" w:color="auto" w:fill="auto"/>
          </w:tcPr>
          <w:p w14:paraId="4B0EBA8D"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10,0 (35,0)</w:t>
            </w:r>
          </w:p>
        </w:tc>
      </w:tr>
      <w:tr w:rsidR="00B71704" w:rsidRPr="00C12098" w14:paraId="509EBEBE" w14:textId="77777777" w:rsidTr="006A2657">
        <w:tc>
          <w:tcPr>
            <w:tcW w:w="1593" w:type="pct"/>
            <w:shd w:val="clear" w:color="auto" w:fill="auto"/>
          </w:tcPr>
          <w:p w14:paraId="14607DF0"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Broju neinflamatornih lezija</w:t>
            </w:r>
          </w:p>
        </w:tc>
        <w:tc>
          <w:tcPr>
            <w:tcW w:w="894" w:type="pct"/>
            <w:shd w:val="clear" w:color="auto" w:fill="auto"/>
          </w:tcPr>
          <w:p w14:paraId="54CC19CE"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23,25 (52,8)</w:t>
            </w:r>
          </w:p>
        </w:tc>
        <w:tc>
          <w:tcPr>
            <w:tcW w:w="802" w:type="pct"/>
            <w:shd w:val="clear" w:color="auto" w:fill="auto"/>
          </w:tcPr>
          <w:p w14:paraId="3506E7D3"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21,0 (45,0)</w:t>
            </w:r>
          </w:p>
        </w:tc>
        <w:tc>
          <w:tcPr>
            <w:tcW w:w="906" w:type="pct"/>
            <w:shd w:val="clear" w:color="auto" w:fill="auto"/>
          </w:tcPr>
          <w:p w14:paraId="64F86A62"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19,0 (42,5)</w:t>
            </w:r>
          </w:p>
        </w:tc>
        <w:tc>
          <w:tcPr>
            <w:tcW w:w="806" w:type="pct"/>
            <w:shd w:val="clear" w:color="auto" w:fill="auto"/>
          </w:tcPr>
          <w:p w14:paraId="29161E8D"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14,0 (30,7)</w:t>
            </w:r>
          </w:p>
        </w:tc>
      </w:tr>
      <w:tr w:rsidR="00B71704" w:rsidRPr="00C12098" w14:paraId="1FB08C46" w14:textId="77777777" w:rsidTr="006A2657">
        <w:tc>
          <w:tcPr>
            <w:tcW w:w="1593" w:type="pct"/>
            <w:shd w:val="clear" w:color="auto" w:fill="auto"/>
          </w:tcPr>
          <w:p w14:paraId="75086FB6"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Ukupnom broju lezija</w:t>
            </w:r>
          </w:p>
        </w:tc>
        <w:tc>
          <w:tcPr>
            <w:tcW w:w="894" w:type="pct"/>
            <w:shd w:val="clear" w:color="auto" w:fill="auto"/>
          </w:tcPr>
          <w:p w14:paraId="5FB2A083"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41,0 (54,8)</w:t>
            </w:r>
          </w:p>
        </w:tc>
        <w:tc>
          <w:tcPr>
            <w:tcW w:w="802" w:type="pct"/>
            <w:shd w:val="clear" w:color="auto" w:fill="auto"/>
          </w:tcPr>
          <w:p w14:paraId="62C4A41E"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34,0 (44,0)</w:t>
            </w:r>
          </w:p>
        </w:tc>
        <w:tc>
          <w:tcPr>
            <w:tcW w:w="906" w:type="pct"/>
            <w:shd w:val="clear" w:color="auto" w:fill="auto"/>
          </w:tcPr>
          <w:p w14:paraId="2CD90DA2"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33,0 (44,9)</w:t>
            </w:r>
          </w:p>
        </w:tc>
        <w:tc>
          <w:tcPr>
            <w:tcW w:w="806" w:type="pct"/>
            <w:shd w:val="clear" w:color="auto" w:fill="auto"/>
          </w:tcPr>
          <w:p w14:paraId="1DECC78F" w14:textId="77777777" w:rsidR="00B71704" w:rsidRPr="00C12098" w:rsidRDefault="00B71704" w:rsidP="0059051B">
            <w:pPr>
              <w:autoSpaceDE w:val="0"/>
              <w:autoSpaceDN w:val="0"/>
              <w:adjustRightInd w:val="0"/>
              <w:jc w:val="both"/>
              <w:rPr>
                <w:sz w:val="22"/>
                <w:szCs w:val="22"/>
                <w:lang w:val="sr-Latn-ME"/>
              </w:rPr>
            </w:pPr>
            <w:r w:rsidRPr="00C12098">
              <w:rPr>
                <w:sz w:val="22"/>
                <w:szCs w:val="22"/>
                <w:lang w:val="sr-Latn-ME"/>
              </w:rPr>
              <w:t>23,0 (29,1)</w:t>
            </w:r>
          </w:p>
        </w:tc>
      </w:tr>
    </w:tbl>
    <w:p w14:paraId="53020C4E" w14:textId="77777777" w:rsidR="00B71704" w:rsidRPr="00C12098" w:rsidRDefault="00B71704" w:rsidP="0059051B">
      <w:pPr>
        <w:autoSpaceDE w:val="0"/>
        <w:autoSpaceDN w:val="0"/>
        <w:adjustRightInd w:val="0"/>
        <w:jc w:val="both"/>
        <w:rPr>
          <w:sz w:val="22"/>
          <w:szCs w:val="22"/>
          <w:lang w:val="sr-Latn-ME"/>
        </w:rPr>
      </w:pPr>
    </w:p>
    <w:p w14:paraId="578EEDBF" w14:textId="1785683F" w:rsidR="00D67889" w:rsidRPr="00C12098" w:rsidRDefault="00D67889" w:rsidP="0059051B">
      <w:pPr>
        <w:autoSpaceDE w:val="0"/>
        <w:autoSpaceDN w:val="0"/>
        <w:adjustRightInd w:val="0"/>
        <w:jc w:val="both"/>
        <w:rPr>
          <w:sz w:val="22"/>
          <w:szCs w:val="22"/>
          <w:u w:val="single"/>
          <w:lang w:val="sr-Latn-ME"/>
        </w:rPr>
      </w:pPr>
      <w:r w:rsidRPr="00C12098">
        <w:rPr>
          <w:sz w:val="22"/>
          <w:szCs w:val="22"/>
          <w:u w:val="single"/>
          <w:lang w:val="sr-Latn-ME"/>
        </w:rPr>
        <w:t>Klinička efikasnost fiksne kombinacije adapalena i benzoil</w:t>
      </w:r>
      <w:r w:rsidR="00154842" w:rsidRPr="00C12098">
        <w:rPr>
          <w:sz w:val="22"/>
          <w:szCs w:val="22"/>
          <w:u w:val="single"/>
          <w:lang w:val="sr-Latn-ME"/>
        </w:rPr>
        <w:t xml:space="preserve"> </w:t>
      </w:r>
      <w:r w:rsidRPr="00C12098">
        <w:rPr>
          <w:sz w:val="22"/>
          <w:szCs w:val="22"/>
          <w:u w:val="single"/>
          <w:lang w:val="sr-Latn-ME"/>
        </w:rPr>
        <w:t>peroksida kod djece uzrasta od 9 do 11 godina</w:t>
      </w:r>
    </w:p>
    <w:p w14:paraId="2143A868" w14:textId="0372E596" w:rsidR="00D67889" w:rsidRPr="00C12098" w:rsidRDefault="00D67889" w:rsidP="0059051B">
      <w:pPr>
        <w:autoSpaceDE w:val="0"/>
        <w:autoSpaceDN w:val="0"/>
        <w:adjustRightInd w:val="0"/>
        <w:jc w:val="both"/>
        <w:rPr>
          <w:sz w:val="22"/>
          <w:szCs w:val="22"/>
          <w:lang w:val="sr-Latn-ME"/>
        </w:rPr>
      </w:pPr>
      <w:r w:rsidRPr="00C12098">
        <w:rPr>
          <w:sz w:val="22"/>
          <w:szCs w:val="22"/>
          <w:lang w:val="sr-Latn-ME"/>
        </w:rPr>
        <w:t xml:space="preserve">Tokom pedijatrijskog kliničkog ispitivanja kod 285 djece oboljele od </w:t>
      </w:r>
      <w:r w:rsidRPr="00C12098">
        <w:rPr>
          <w:i/>
          <w:iCs/>
          <w:sz w:val="22"/>
          <w:szCs w:val="22"/>
          <w:lang w:val="sr-Latn-ME"/>
        </w:rPr>
        <w:t>acne vulgaris</w:t>
      </w:r>
      <w:r w:rsidRPr="00C12098">
        <w:rPr>
          <w:sz w:val="22"/>
          <w:szCs w:val="22"/>
          <w:lang w:val="sr-Latn-ME"/>
        </w:rPr>
        <w:t xml:space="preserve"> uzrasta od 9 do           11 godina (53 % ispitanika uzrasta od 11 godina, 33 % uzrasta od 10 godina i 14 % uzrasta od 9 godina) s</w:t>
      </w:r>
      <w:r w:rsidR="0059051B" w:rsidRPr="00C12098">
        <w:rPr>
          <w:sz w:val="22"/>
          <w:szCs w:val="22"/>
          <w:lang w:val="sr-Latn-ME"/>
        </w:rPr>
        <w:t>a</w:t>
      </w:r>
      <w:r w:rsidRPr="00C12098">
        <w:rPr>
          <w:sz w:val="22"/>
          <w:szCs w:val="22"/>
          <w:lang w:val="sr-Latn-ME"/>
        </w:rPr>
        <w:t xml:space="preserve"> rezultatom 3 (umjereno) na </w:t>
      </w:r>
      <w:r w:rsidR="0059051B" w:rsidRPr="00C12098">
        <w:rPr>
          <w:sz w:val="22"/>
          <w:szCs w:val="22"/>
          <w:lang w:val="sr-Latn-ME"/>
        </w:rPr>
        <w:t xml:space="preserve">skali </w:t>
      </w:r>
      <w:r w:rsidRPr="00C12098">
        <w:rPr>
          <w:sz w:val="22"/>
          <w:szCs w:val="22"/>
          <w:lang w:val="sr-Latn-ME"/>
        </w:rPr>
        <w:t>globalne procjene ispitivača (IGA) s minimalno 20, ali ne više od 100 ukupnih lezija (neinflamatornih i/ili inflamatornih) na licu (uključujući nos) na početku ispitivanja liječeno je fiksnom kombinacijom adapalen/benzoil</w:t>
      </w:r>
      <w:r w:rsidR="00BD0AF1" w:rsidRPr="00C12098">
        <w:rPr>
          <w:sz w:val="22"/>
          <w:szCs w:val="22"/>
          <w:lang w:val="sr-Latn-ME"/>
        </w:rPr>
        <w:t xml:space="preserve"> </w:t>
      </w:r>
      <w:r w:rsidRPr="00C12098">
        <w:rPr>
          <w:sz w:val="22"/>
          <w:szCs w:val="22"/>
          <w:lang w:val="sr-Latn-ME"/>
        </w:rPr>
        <w:t>peroksid gelom jednom dnevno tokom 12 ned</w:t>
      </w:r>
      <w:r w:rsidR="00154842" w:rsidRPr="00C12098">
        <w:rPr>
          <w:sz w:val="22"/>
          <w:szCs w:val="22"/>
          <w:lang w:val="sr-Latn-ME"/>
        </w:rPr>
        <w:t>j</w:t>
      </w:r>
      <w:r w:rsidRPr="00C12098">
        <w:rPr>
          <w:sz w:val="22"/>
          <w:szCs w:val="22"/>
          <w:lang w:val="sr-Latn-ME"/>
        </w:rPr>
        <w:t xml:space="preserve">elja. </w:t>
      </w:r>
    </w:p>
    <w:p w14:paraId="3BA06676" w14:textId="77777777" w:rsidR="00D67889" w:rsidRPr="00C12098" w:rsidRDefault="00D67889" w:rsidP="0059051B">
      <w:pPr>
        <w:autoSpaceDE w:val="0"/>
        <w:autoSpaceDN w:val="0"/>
        <w:adjustRightInd w:val="0"/>
        <w:jc w:val="both"/>
        <w:rPr>
          <w:sz w:val="22"/>
          <w:szCs w:val="22"/>
          <w:lang w:val="sr-Latn-ME"/>
        </w:rPr>
      </w:pPr>
    </w:p>
    <w:p w14:paraId="13879E0D" w14:textId="28AE387D" w:rsidR="00D67889" w:rsidRPr="00C12098" w:rsidRDefault="00D67889" w:rsidP="0059051B">
      <w:pPr>
        <w:autoSpaceDE w:val="0"/>
        <w:autoSpaceDN w:val="0"/>
        <w:adjustRightInd w:val="0"/>
        <w:jc w:val="both"/>
        <w:rPr>
          <w:sz w:val="22"/>
          <w:szCs w:val="22"/>
          <w:lang w:val="sr-Latn-ME"/>
        </w:rPr>
      </w:pPr>
      <w:r w:rsidRPr="00C12098">
        <w:rPr>
          <w:sz w:val="22"/>
          <w:szCs w:val="22"/>
          <w:lang w:val="sr-Latn-ME"/>
        </w:rPr>
        <w:t>Ispitivanjem se zaključilo da je profil efikasnosti i bezbjednosti fiksne kombinacije adapalen/benzoil</w:t>
      </w:r>
      <w:r w:rsidR="00BD0AF1" w:rsidRPr="00C12098">
        <w:rPr>
          <w:sz w:val="22"/>
          <w:szCs w:val="22"/>
          <w:lang w:val="sr-Latn-ME"/>
        </w:rPr>
        <w:t xml:space="preserve"> </w:t>
      </w:r>
      <w:r w:rsidR="00154842" w:rsidRPr="00C12098">
        <w:rPr>
          <w:sz w:val="22"/>
          <w:szCs w:val="22"/>
          <w:lang w:val="sr-Latn-ME"/>
        </w:rPr>
        <w:t xml:space="preserve"> </w:t>
      </w:r>
      <w:r w:rsidRPr="00C12098">
        <w:rPr>
          <w:sz w:val="22"/>
          <w:szCs w:val="22"/>
          <w:lang w:val="sr-Latn-ME"/>
        </w:rPr>
        <w:t>peroksid gela u liječenju akni lica u ovoj specifičnoj, mlađoj uzrasnoj grupi u skladu s</w:t>
      </w:r>
      <w:r w:rsidR="0059051B" w:rsidRPr="00C12098">
        <w:rPr>
          <w:sz w:val="22"/>
          <w:szCs w:val="22"/>
          <w:lang w:val="sr-Latn-ME"/>
        </w:rPr>
        <w:t>a</w:t>
      </w:r>
      <w:r w:rsidRPr="00C12098">
        <w:rPr>
          <w:sz w:val="22"/>
          <w:szCs w:val="22"/>
          <w:lang w:val="sr-Latn-ME"/>
        </w:rPr>
        <w:t xml:space="preserve"> rezultatima drugih ključnih ispitivanja kod ispitanika oboljelih od </w:t>
      </w:r>
      <w:r w:rsidRPr="00C12098">
        <w:rPr>
          <w:i/>
          <w:iCs/>
          <w:sz w:val="22"/>
          <w:szCs w:val="22"/>
          <w:lang w:val="sr-Latn-ME"/>
        </w:rPr>
        <w:t>acne vulgaris</w:t>
      </w:r>
      <w:r w:rsidRPr="00C12098">
        <w:rPr>
          <w:sz w:val="22"/>
          <w:szCs w:val="22"/>
          <w:lang w:val="sr-Latn-ME"/>
        </w:rPr>
        <w:t xml:space="preserve"> uzrasta od 12 i više godina koja pokazuju značajnu efiokasnost lijeka uz prihvatljivu podnošljivost. Rani terapijski efekat fiksne kombinacije adapalen/benzoil</w:t>
      </w:r>
      <w:r w:rsidR="00154842" w:rsidRPr="00C12098">
        <w:rPr>
          <w:sz w:val="22"/>
          <w:szCs w:val="22"/>
          <w:lang w:val="sr-Latn-ME"/>
        </w:rPr>
        <w:t xml:space="preserve"> </w:t>
      </w:r>
      <w:r w:rsidRPr="00C12098">
        <w:rPr>
          <w:sz w:val="22"/>
          <w:szCs w:val="22"/>
          <w:lang w:val="sr-Latn-ME"/>
        </w:rPr>
        <w:t>peroksid gela u odnosu na podlogu gela kontinuirano je uočen za sve vrste lezija (inflamatorne, neinflamatorne i ukupne) od prve do dvanaeste ned</w:t>
      </w:r>
      <w:r w:rsidR="00154842" w:rsidRPr="00C12098">
        <w:rPr>
          <w:sz w:val="22"/>
          <w:szCs w:val="22"/>
          <w:lang w:val="sr-Latn-ME"/>
        </w:rPr>
        <w:t>j</w:t>
      </w:r>
      <w:r w:rsidRPr="00C12098">
        <w:rPr>
          <w:sz w:val="22"/>
          <w:szCs w:val="22"/>
          <w:lang w:val="sr-Latn-ME"/>
        </w:rPr>
        <w:t>elje.</w:t>
      </w:r>
    </w:p>
    <w:p w14:paraId="30207425" w14:textId="68146C0E" w:rsidR="00A14417" w:rsidRPr="00C12098" w:rsidRDefault="00A14417" w:rsidP="0059051B">
      <w:pPr>
        <w:autoSpaceDE w:val="0"/>
        <w:autoSpaceDN w:val="0"/>
        <w:adjustRightInd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2877"/>
        <w:gridCol w:w="2819"/>
      </w:tblGrid>
      <w:tr w:rsidR="00A14417" w:rsidRPr="00C12098" w14:paraId="25644635" w14:textId="77777777" w:rsidTr="006A2657">
        <w:tc>
          <w:tcPr>
            <w:tcW w:w="5000" w:type="pct"/>
            <w:gridSpan w:val="3"/>
            <w:shd w:val="clear" w:color="auto" w:fill="auto"/>
          </w:tcPr>
          <w:p w14:paraId="1B1590E4" w14:textId="77777777" w:rsidR="00A14417" w:rsidRPr="00C12098" w:rsidRDefault="00A14417" w:rsidP="0059051B">
            <w:pPr>
              <w:autoSpaceDE w:val="0"/>
              <w:autoSpaceDN w:val="0"/>
              <w:adjustRightInd w:val="0"/>
              <w:jc w:val="both"/>
              <w:rPr>
                <w:sz w:val="22"/>
                <w:szCs w:val="22"/>
                <w:lang w:val="sr-Latn-ME"/>
              </w:rPr>
            </w:pPr>
            <w:r w:rsidRPr="00C12098">
              <w:rPr>
                <w:b/>
                <w:bCs/>
                <w:sz w:val="22"/>
                <w:szCs w:val="22"/>
                <w:lang w:val="sr-Latn-ME"/>
              </w:rPr>
              <w:t>Ispitivanje 3</w:t>
            </w:r>
          </w:p>
        </w:tc>
      </w:tr>
      <w:tr w:rsidR="00A14417" w:rsidRPr="00C12098" w14:paraId="33915CA0" w14:textId="77777777" w:rsidTr="006A2657">
        <w:tc>
          <w:tcPr>
            <w:tcW w:w="1858" w:type="pct"/>
            <w:shd w:val="clear" w:color="auto" w:fill="auto"/>
          </w:tcPr>
          <w:p w14:paraId="12E62EC2" w14:textId="37F2312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Ned</w:t>
            </w:r>
            <w:r w:rsidR="009B6089" w:rsidRPr="00C12098">
              <w:rPr>
                <w:sz w:val="22"/>
                <w:szCs w:val="22"/>
                <w:lang w:val="sr-Latn-ME"/>
              </w:rPr>
              <w:t>j</w:t>
            </w:r>
            <w:r w:rsidRPr="00C12098">
              <w:rPr>
                <w:sz w:val="22"/>
                <w:szCs w:val="22"/>
                <w:lang w:val="sr-Latn-ME"/>
              </w:rPr>
              <w:t xml:space="preserve">elja 12. </w:t>
            </w:r>
          </w:p>
          <w:p w14:paraId="239C713D"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 xml:space="preserve">Zadnje zapažanje preneseno nadalje </w:t>
            </w:r>
          </w:p>
          <w:p w14:paraId="43B103CE"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 xml:space="preserve">(LOCF); </w:t>
            </w:r>
          </w:p>
          <w:p w14:paraId="78EBDD15"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Namjera liječenja (ITT)</w:t>
            </w:r>
          </w:p>
        </w:tc>
        <w:tc>
          <w:tcPr>
            <w:tcW w:w="1587" w:type="pct"/>
            <w:shd w:val="clear" w:color="auto" w:fill="auto"/>
            <w:vAlign w:val="center"/>
          </w:tcPr>
          <w:p w14:paraId="0B8D7A60" w14:textId="77611F80"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Adapalen + benzoil</w:t>
            </w:r>
            <w:r w:rsidR="00154842" w:rsidRPr="00C12098">
              <w:rPr>
                <w:sz w:val="22"/>
                <w:szCs w:val="22"/>
                <w:lang w:val="sr-Latn-ME"/>
              </w:rPr>
              <w:t xml:space="preserve"> </w:t>
            </w:r>
            <w:r w:rsidRPr="00C12098">
              <w:rPr>
                <w:sz w:val="22"/>
                <w:szCs w:val="22"/>
                <w:lang w:val="sr-Latn-ME"/>
              </w:rPr>
              <w:t>peroksid</w:t>
            </w:r>
          </w:p>
          <w:p w14:paraId="4D9C5F36"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N=142</w:t>
            </w:r>
          </w:p>
        </w:tc>
        <w:tc>
          <w:tcPr>
            <w:tcW w:w="1554" w:type="pct"/>
            <w:shd w:val="clear" w:color="auto" w:fill="auto"/>
          </w:tcPr>
          <w:p w14:paraId="02FD6626"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Podloga gela</w:t>
            </w:r>
          </w:p>
          <w:p w14:paraId="4E4476E0"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N=143</w:t>
            </w:r>
          </w:p>
        </w:tc>
      </w:tr>
      <w:tr w:rsidR="00A14417" w:rsidRPr="00C12098" w14:paraId="4204486B" w14:textId="77777777" w:rsidTr="006A2657">
        <w:tc>
          <w:tcPr>
            <w:tcW w:w="1858" w:type="pct"/>
            <w:shd w:val="clear" w:color="auto" w:fill="auto"/>
          </w:tcPr>
          <w:p w14:paraId="6A9B2A28"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Uspjeh (Čisto, Gotovo čisto)</w:t>
            </w:r>
          </w:p>
        </w:tc>
        <w:tc>
          <w:tcPr>
            <w:tcW w:w="1587" w:type="pct"/>
            <w:shd w:val="clear" w:color="auto" w:fill="auto"/>
          </w:tcPr>
          <w:p w14:paraId="5DAD3E09"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67 (47,2%)</w:t>
            </w:r>
          </w:p>
        </w:tc>
        <w:tc>
          <w:tcPr>
            <w:tcW w:w="1554" w:type="pct"/>
            <w:shd w:val="clear" w:color="auto" w:fill="auto"/>
          </w:tcPr>
          <w:p w14:paraId="5A31C2A0"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22 (15,4%)</w:t>
            </w:r>
          </w:p>
        </w:tc>
      </w:tr>
      <w:tr w:rsidR="00A14417" w:rsidRPr="00C12098" w14:paraId="5FB18A6B" w14:textId="77777777" w:rsidTr="006A2657">
        <w:tc>
          <w:tcPr>
            <w:tcW w:w="1858" w:type="pct"/>
            <w:shd w:val="clear" w:color="auto" w:fill="auto"/>
          </w:tcPr>
          <w:p w14:paraId="395B17F9" w14:textId="5D4E33E8"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Smanjenje medijane (% smanjenja) u</w:t>
            </w:r>
            <w:r w:rsidR="0059051B" w:rsidRPr="00C12098">
              <w:rPr>
                <w:sz w:val="22"/>
                <w:szCs w:val="22"/>
                <w:lang w:val="sr-Latn-ME"/>
              </w:rPr>
              <w:t>:</w:t>
            </w:r>
          </w:p>
        </w:tc>
        <w:tc>
          <w:tcPr>
            <w:tcW w:w="3142" w:type="pct"/>
            <w:gridSpan w:val="2"/>
            <w:shd w:val="clear" w:color="auto" w:fill="auto"/>
          </w:tcPr>
          <w:p w14:paraId="76B382E5" w14:textId="77777777" w:rsidR="00A14417" w:rsidRPr="00C12098" w:rsidRDefault="00A14417" w:rsidP="0059051B">
            <w:pPr>
              <w:autoSpaceDE w:val="0"/>
              <w:autoSpaceDN w:val="0"/>
              <w:adjustRightInd w:val="0"/>
              <w:jc w:val="both"/>
              <w:rPr>
                <w:sz w:val="22"/>
                <w:szCs w:val="22"/>
                <w:lang w:val="sr-Latn-ME"/>
              </w:rPr>
            </w:pPr>
          </w:p>
        </w:tc>
      </w:tr>
      <w:tr w:rsidR="00A14417" w:rsidRPr="00C12098" w14:paraId="76EA6FD6" w14:textId="77777777" w:rsidTr="006A2657">
        <w:tc>
          <w:tcPr>
            <w:tcW w:w="1858" w:type="pct"/>
            <w:shd w:val="clear" w:color="auto" w:fill="auto"/>
          </w:tcPr>
          <w:p w14:paraId="39181532"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Broju inflamatornih lezija</w:t>
            </w:r>
          </w:p>
        </w:tc>
        <w:tc>
          <w:tcPr>
            <w:tcW w:w="1587" w:type="pct"/>
            <w:shd w:val="clear" w:color="auto" w:fill="auto"/>
          </w:tcPr>
          <w:p w14:paraId="6BF1EF56"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6 (62,5%)</w:t>
            </w:r>
          </w:p>
        </w:tc>
        <w:tc>
          <w:tcPr>
            <w:tcW w:w="1554" w:type="pct"/>
            <w:shd w:val="clear" w:color="auto" w:fill="auto"/>
          </w:tcPr>
          <w:p w14:paraId="3B779DB8"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1 (11,5%)</w:t>
            </w:r>
          </w:p>
        </w:tc>
      </w:tr>
      <w:tr w:rsidR="00A14417" w:rsidRPr="00C12098" w14:paraId="7B762CEF" w14:textId="77777777" w:rsidTr="006A2657">
        <w:tc>
          <w:tcPr>
            <w:tcW w:w="1858" w:type="pct"/>
            <w:shd w:val="clear" w:color="auto" w:fill="auto"/>
          </w:tcPr>
          <w:p w14:paraId="1AD15656"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Broju neinflamatornih lezija</w:t>
            </w:r>
          </w:p>
        </w:tc>
        <w:tc>
          <w:tcPr>
            <w:tcW w:w="1587" w:type="pct"/>
            <w:shd w:val="clear" w:color="auto" w:fill="auto"/>
          </w:tcPr>
          <w:p w14:paraId="6BE9E2CD"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19 (67,6%)</w:t>
            </w:r>
          </w:p>
        </w:tc>
        <w:tc>
          <w:tcPr>
            <w:tcW w:w="1554" w:type="pct"/>
            <w:shd w:val="clear" w:color="auto" w:fill="auto"/>
          </w:tcPr>
          <w:p w14:paraId="06AED035"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5 (13,2%)</w:t>
            </w:r>
          </w:p>
        </w:tc>
      </w:tr>
      <w:tr w:rsidR="00A14417" w:rsidRPr="00C12098" w14:paraId="2324CDA5" w14:textId="77777777" w:rsidTr="006A2657">
        <w:tc>
          <w:tcPr>
            <w:tcW w:w="1858" w:type="pct"/>
            <w:shd w:val="clear" w:color="auto" w:fill="auto"/>
          </w:tcPr>
          <w:p w14:paraId="7FA6C90D"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Ukupnom broju lezija</w:t>
            </w:r>
          </w:p>
        </w:tc>
        <w:tc>
          <w:tcPr>
            <w:tcW w:w="1587" w:type="pct"/>
            <w:shd w:val="clear" w:color="auto" w:fill="auto"/>
          </w:tcPr>
          <w:p w14:paraId="3C7BFE38"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26 (66,9%)</w:t>
            </w:r>
          </w:p>
        </w:tc>
        <w:tc>
          <w:tcPr>
            <w:tcW w:w="1554" w:type="pct"/>
            <w:shd w:val="clear" w:color="auto" w:fill="auto"/>
          </w:tcPr>
          <w:p w14:paraId="7BD485FA" w14:textId="77777777" w:rsidR="00A14417" w:rsidRPr="00C12098" w:rsidRDefault="00A14417" w:rsidP="0059051B">
            <w:pPr>
              <w:autoSpaceDE w:val="0"/>
              <w:autoSpaceDN w:val="0"/>
              <w:adjustRightInd w:val="0"/>
              <w:jc w:val="both"/>
              <w:rPr>
                <w:sz w:val="22"/>
                <w:szCs w:val="22"/>
                <w:lang w:val="sr-Latn-ME"/>
              </w:rPr>
            </w:pPr>
            <w:r w:rsidRPr="00C12098">
              <w:rPr>
                <w:sz w:val="22"/>
                <w:szCs w:val="22"/>
                <w:lang w:val="sr-Latn-ME"/>
              </w:rPr>
              <w:t>8 (18,4%)</w:t>
            </w:r>
          </w:p>
        </w:tc>
      </w:tr>
    </w:tbl>
    <w:p w14:paraId="72825343" w14:textId="77777777" w:rsidR="00A14417" w:rsidRPr="00C12098" w:rsidRDefault="00A14417" w:rsidP="0059051B">
      <w:pPr>
        <w:autoSpaceDE w:val="0"/>
        <w:autoSpaceDN w:val="0"/>
        <w:adjustRightInd w:val="0"/>
        <w:jc w:val="both"/>
        <w:rPr>
          <w:sz w:val="22"/>
          <w:szCs w:val="22"/>
          <w:lang w:val="sr-Latn-ME"/>
        </w:rPr>
      </w:pPr>
    </w:p>
    <w:p w14:paraId="66FA320A" w14:textId="06424A53"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5.2. </w:t>
      </w:r>
      <w:r w:rsidR="00480FB1" w:rsidRPr="00C12098">
        <w:rPr>
          <w:b/>
          <w:bCs/>
          <w:sz w:val="22"/>
          <w:szCs w:val="22"/>
          <w:lang w:val="sr-Latn-ME"/>
        </w:rPr>
        <w:tab/>
      </w:r>
      <w:r w:rsidRPr="00C12098">
        <w:rPr>
          <w:b/>
          <w:bCs/>
          <w:sz w:val="22"/>
          <w:szCs w:val="22"/>
          <w:lang w:val="sr-Latn-ME"/>
        </w:rPr>
        <w:t>Farmakokinetički podaci</w:t>
      </w:r>
      <w:r w:rsidR="003A7059" w:rsidRPr="00C12098">
        <w:rPr>
          <w:b/>
          <w:bCs/>
          <w:sz w:val="22"/>
          <w:szCs w:val="22"/>
          <w:lang w:val="sr-Latn-ME"/>
        </w:rPr>
        <w:t xml:space="preserve"> </w:t>
      </w:r>
    </w:p>
    <w:p w14:paraId="382A0D0C" w14:textId="4043565B" w:rsidR="00B22AB5" w:rsidRPr="00C12098" w:rsidRDefault="00B22AB5" w:rsidP="0059051B">
      <w:pPr>
        <w:tabs>
          <w:tab w:val="left" w:pos="540"/>
          <w:tab w:val="left" w:pos="569"/>
        </w:tabs>
        <w:jc w:val="both"/>
        <w:rPr>
          <w:b/>
          <w:bCs/>
          <w:sz w:val="22"/>
          <w:szCs w:val="22"/>
          <w:lang w:val="sr-Latn-ME"/>
        </w:rPr>
      </w:pPr>
    </w:p>
    <w:p w14:paraId="66F03D78" w14:textId="61547EC8" w:rsidR="00B22AB5" w:rsidRPr="00C12098" w:rsidRDefault="00B22AB5" w:rsidP="0059051B">
      <w:pPr>
        <w:autoSpaceDE w:val="0"/>
        <w:autoSpaceDN w:val="0"/>
        <w:adjustRightInd w:val="0"/>
        <w:jc w:val="both"/>
        <w:rPr>
          <w:sz w:val="22"/>
          <w:szCs w:val="22"/>
          <w:lang w:val="sr-Latn-ME"/>
        </w:rPr>
      </w:pPr>
      <w:r w:rsidRPr="00C12098">
        <w:rPr>
          <w:sz w:val="22"/>
          <w:szCs w:val="22"/>
          <w:lang w:val="sr-Latn-ME" w:eastAsia="hr-HR"/>
        </w:rPr>
        <w:lastRenderedPageBreak/>
        <w:t>Farmakokinetička (PK) svojstva fiksne kombinacije lijeka adapalen/benzoil</w:t>
      </w:r>
      <w:r w:rsidR="009B6089" w:rsidRPr="00C12098">
        <w:rPr>
          <w:sz w:val="22"/>
          <w:szCs w:val="22"/>
          <w:lang w:val="sr-Latn-ME" w:eastAsia="hr-HR"/>
        </w:rPr>
        <w:t xml:space="preserve"> </w:t>
      </w:r>
      <w:r w:rsidRPr="00C12098">
        <w:rPr>
          <w:sz w:val="22"/>
          <w:szCs w:val="22"/>
          <w:lang w:val="sr-Latn-ME" w:eastAsia="hr-HR"/>
        </w:rPr>
        <w:t xml:space="preserve">peroksid su slična PK profilu </w:t>
      </w:r>
      <w:r w:rsidRPr="00C12098">
        <w:rPr>
          <w:sz w:val="22"/>
          <w:szCs w:val="22"/>
          <w:lang w:val="sr-Latn-ME"/>
        </w:rPr>
        <w:t xml:space="preserve"> 0,1% gela samog adapalena. </w:t>
      </w:r>
    </w:p>
    <w:p w14:paraId="29731BBB" w14:textId="77777777" w:rsidR="00B22AB5" w:rsidRPr="00C12098" w:rsidRDefault="00B22AB5" w:rsidP="0059051B">
      <w:pPr>
        <w:autoSpaceDE w:val="0"/>
        <w:autoSpaceDN w:val="0"/>
        <w:adjustRightInd w:val="0"/>
        <w:jc w:val="both"/>
        <w:rPr>
          <w:sz w:val="22"/>
          <w:szCs w:val="22"/>
          <w:lang w:val="sr-Latn-ME"/>
        </w:rPr>
      </w:pPr>
    </w:p>
    <w:p w14:paraId="3FFBA76E" w14:textId="69DE60FD" w:rsidR="00B22AB5" w:rsidRPr="00C12098" w:rsidRDefault="00B22AB5" w:rsidP="0059051B">
      <w:pPr>
        <w:autoSpaceDE w:val="0"/>
        <w:autoSpaceDN w:val="0"/>
        <w:adjustRightInd w:val="0"/>
        <w:jc w:val="both"/>
        <w:rPr>
          <w:sz w:val="22"/>
          <w:szCs w:val="22"/>
          <w:lang w:val="sr-Latn-ME"/>
        </w:rPr>
      </w:pPr>
      <w:r w:rsidRPr="00C12098">
        <w:rPr>
          <w:sz w:val="22"/>
          <w:szCs w:val="22"/>
          <w:lang w:val="sr-Latn-ME"/>
        </w:rPr>
        <w:t>U kliničkom PK ispitivanju u trajanju od 30 dana sprovedenom kod pacijenta oboljelih od akni koji su primali fiksnu kombinaciju gela ili podudarnu formulu adapalena 0,1 % pod maksim</w:t>
      </w:r>
      <w:r w:rsidR="0059051B" w:rsidRPr="00C12098">
        <w:rPr>
          <w:sz w:val="22"/>
          <w:szCs w:val="22"/>
          <w:lang w:val="sr-Latn-ME"/>
        </w:rPr>
        <w:t>alizovanim</w:t>
      </w:r>
      <w:r w:rsidRPr="00C12098">
        <w:rPr>
          <w:sz w:val="22"/>
          <w:szCs w:val="22"/>
          <w:lang w:val="sr-Latn-ME"/>
        </w:rPr>
        <w:t xml:space="preserve"> uslovima (primjenom 2 g gela na dan) adapalen nije bio mjerljiv u većini uzoraka plazme (granica kvantifikacije od 0,1 ng/mL). Niski nivoi adapalena (C</w:t>
      </w:r>
      <w:r w:rsidRPr="00C12098">
        <w:rPr>
          <w:sz w:val="22"/>
          <w:szCs w:val="22"/>
          <w:vertAlign w:val="subscript"/>
          <w:lang w:val="sr-Latn-ME"/>
        </w:rPr>
        <w:t>max</w:t>
      </w:r>
      <w:r w:rsidRPr="00C12098">
        <w:rPr>
          <w:sz w:val="22"/>
          <w:szCs w:val="22"/>
          <w:lang w:val="sr-Latn-ME"/>
        </w:rPr>
        <w:t xml:space="preserve"> između 0,1 i 0,2 ng/mL) su izmjereni u dva uzorka krvi pacijenta liječenih lijekom adapalen/benzoil</w:t>
      </w:r>
      <w:r w:rsidR="009B6089" w:rsidRPr="00C12098">
        <w:rPr>
          <w:sz w:val="22"/>
          <w:szCs w:val="22"/>
          <w:lang w:val="sr-Latn-ME"/>
        </w:rPr>
        <w:t xml:space="preserve"> </w:t>
      </w:r>
      <w:r w:rsidRPr="00C12098">
        <w:rPr>
          <w:sz w:val="22"/>
          <w:szCs w:val="22"/>
          <w:lang w:val="sr-Latn-ME"/>
        </w:rPr>
        <w:t>peroksid i tri uzorka pacijenta liječenih 0,1 % gelom adapalena. Najveća površina ispod krive (PIK</w:t>
      </w:r>
      <w:r w:rsidRPr="00C12098">
        <w:rPr>
          <w:sz w:val="22"/>
          <w:szCs w:val="22"/>
          <w:vertAlign w:val="subscript"/>
          <w:lang w:val="sr-Latn-ME"/>
        </w:rPr>
        <w:t>0-24h</w:t>
      </w:r>
      <w:r w:rsidRPr="00C12098">
        <w:rPr>
          <w:sz w:val="22"/>
          <w:szCs w:val="22"/>
          <w:lang w:val="sr-Latn-ME"/>
        </w:rPr>
        <w:t>) za adapalen određena u grupi sa fiksnom kombinacijom bila je 1,99 ng·h/mL.</w:t>
      </w:r>
    </w:p>
    <w:p w14:paraId="34530047" w14:textId="77777777" w:rsidR="00B22AB5" w:rsidRPr="00C12098" w:rsidRDefault="00B22AB5" w:rsidP="0059051B">
      <w:pPr>
        <w:autoSpaceDE w:val="0"/>
        <w:autoSpaceDN w:val="0"/>
        <w:adjustRightInd w:val="0"/>
        <w:jc w:val="both"/>
        <w:rPr>
          <w:sz w:val="22"/>
          <w:szCs w:val="22"/>
          <w:lang w:val="sr-Latn-ME"/>
        </w:rPr>
      </w:pPr>
    </w:p>
    <w:p w14:paraId="6F3E6B0C" w14:textId="77777777" w:rsidR="00B22AB5" w:rsidRPr="00C12098" w:rsidRDefault="00B22AB5" w:rsidP="0059051B">
      <w:pPr>
        <w:autoSpaceDE w:val="0"/>
        <w:autoSpaceDN w:val="0"/>
        <w:adjustRightInd w:val="0"/>
        <w:jc w:val="both"/>
        <w:rPr>
          <w:sz w:val="22"/>
          <w:szCs w:val="22"/>
          <w:lang w:val="sr-Latn-ME"/>
        </w:rPr>
      </w:pPr>
      <w:r w:rsidRPr="00C12098">
        <w:rPr>
          <w:sz w:val="22"/>
          <w:szCs w:val="22"/>
          <w:lang w:val="sr-Latn-ME"/>
        </w:rPr>
        <w:t>Ovi rezultati su uporedivi s onima dobijenim u prethodnim kliničkim farmakokinetičkim ispitivanjima raznih formulacija adapalena 0,1 % gdje je sistemska izloženost adapalenu bila konzistentno niska.</w:t>
      </w:r>
    </w:p>
    <w:p w14:paraId="489DA199" w14:textId="77777777" w:rsidR="00B22AB5" w:rsidRPr="00C12098" w:rsidRDefault="00B22AB5" w:rsidP="0059051B">
      <w:pPr>
        <w:autoSpaceDE w:val="0"/>
        <w:autoSpaceDN w:val="0"/>
        <w:adjustRightInd w:val="0"/>
        <w:jc w:val="both"/>
        <w:rPr>
          <w:sz w:val="22"/>
          <w:szCs w:val="22"/>
          <w:lang w:val="sr-Latn-ME"/>
        </w:rPr>
      </w:pPr>
    </w:p>
    <w:p w14:paraId="624D3655" w14:textId="249B81C6" w:rsidR="00B22AB5" w:rsidRPr="00C12098" w:rsidRDefault="00B22AB5" w:rsidP="0059051B">
      <w:pPr>
        <w:autoSpaceDE w:val="0"/>
        <w:autoSpaceDN w:val="0"/>
        <w:adjustRightInd w:val="0"/>
        <w:jc w:val="both"/>
        <w:rPr>
          <w:sz w:val="22"/>
          <w:szCs w:val="22"/>
          <w:lang w:val="sr-Latn-ME" w:eastAsia="hr-HR"/>
        </w:rPr>
      </w:pPr>
      <w:r w:rsidRPr="00C12098">
        <w:rPr>
          <w:sz w:val="22"/>
          <w:szCs w:val="22"/>
          <w:lang w:val="sr-Latn-ME"/>
        </w:rPr>
        <w:t>Penetracija benzoil</w:t>
      </w:r>
      <w:r w:rsidR="009B6089" w:rsidRPr="00C12098">
        <w:rPr>
          <w:sz w:val="22"/>
          <w:szCs w:val="22"/>
          <w:lang w:val="sr-Latn-ME"/>
        </w:rPr>
        <w:t xml:space="preserve"> </w:t>
      </w:r>
      <w:r w:rsidRPr="00C12098">
        <w:rPr>
          <w:sz w:val="22"/>
          <w:szCs w:val="22"/>
          <w:lang w:val="sr-Latn-ME"/>
        </w:rPr>
        <w:t>peroksida kroz kožu je niska; kada se primjenjuje na kožu, u potpunosti se pretvara u benzojevu kiselinu koja se brzo eliminiše.</w:t>
      </w:r>
      <w:r w:rsidRPr="00C12098">
        <w:rPr>
          <w:sz w:val="22"/>
          <w:szCs w:val="22"/>
          <w:lang w:val="sr-Latn-ME" w:eastAsia="hr-HR"/>
        </w:rPr>
        <w:t xml:space="preserve"> </w:t>
      </w:r>
    </w:p>
    <w:p w14:paraId="275E96D7" w14:textId="77777777" w:rsidR="0072020E" w:rsidRPr="00C12098" w:rsidRDefault="0072020E" w:rsidP="0059051B">
      <w:pPr>
        <w:tabs>
          <w:tab w:val="left" w:pos="540"/>
          <w:tab w:val="left" w:pos="569"/>
        </w:tabs>
        <w:jc w:val="both"/>
        <w:rPr>
          <w:bCs/>
          <w:sz w:val="22"/>
          <w:szCs w:val="22"/>
          <w:lang w:val="sr-Latn-ME"/>
        </w:rPr>
      </w:pPr>
    </w:p>
    <w:p w14:paraId="72CD823B" w14:textId="77777777"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5.3. </w:t>
      </w:r>
      <w:r w:rsidR="00480FB1" w:rsidRPr="00C12098">
        <w:rPr>
          <w:b/>
          <w:bCs/>
          <w:sz w:val="22"/>
          <w:szCs w:val="22"/>
          <w:lang w:val="sr-Latn-ME"/>
        </w:rPr>
        <w:tab/>
      </w:r>
      <w:r w:rsidRPr="00C12098">
        <w:rPr>
          <w:b/>
          <w:bCs/>
          <w:sz w:val="22"/>
          <w:szCs w:val="22"/>
          <w:lang w:val="sr-Latn-ME"/>
        </w:rPr>
        <w:t xml:space="preserve">Pretklinički podaci o bezbjednosti </w:t>
      </w:r>
    </w:p>
    <w:p w14:paraId="510A0040" w14:textId="77777777" w:rsidR="00836B35" w:rsidRPr="00C12098" w:rsidRDefault="00836B35" w:rsidP="0059051B">
      <w:pPr>
        <w:tabs>
          <w:tab w:val="left" w:pos="540"/>
          <w:tab w:val="left" w:pos="569"/>
        </w:tabs>
        <w:jc w:val="both"/>
        <w:rPr>
          <w:bCs/>
          <w:sz w:val="22"/>
          <w:szCs w:val="22"/>
          <w:lang w:val="sr-Latn-ME"/>
        </w:rPr>
      </w:pPr>
    </w:p>
    <w:p w14:paraId="059B975D" w14:textId="0A065E7B" w:rsidR="00F75C9A" w:rsidRPr="00C12098" w:rsidRDefault="00BD164A" w:rsidP="0059051B">
      <w:pPr>
        <w:keepNext/>
        <w:keepLines/>
        <w:jc w:val="both"/>
        <w:rPr>
          <w:sz w:val="22"/>
          <w:szCs w:val="22"/>
          <w:lang w:val="sr-Latn-ME"/>
        </w:rPr>
      </w:pPr>
      <w:r w:rsidRPr="00C12098">
        <w:rPr>
          <w:sz w:val="22"/>
          <w:szCs w:val="22"/>
          <w:lang w:val="sr-Latn-ME"/>
        </w:rPr>
        <w:t>Pret</w:t>
      </w:r>
      <w:r w:rsidR="00F75C9A" w:rsidRPr="00C12098">
        <w:rPr>
          <w:sz w:val="22"/>
          <w:szCs w:val="22"/>
          <w:lang w:val="sr-Latn-ME"/>
        </w:rPr>
        <w:t xml:space="preserve">klinički podaci ne ukazuju na poseban rizik za ljude na osnovu konvencionalnih ispitivanja bezbjednosne farmakologije, toksičnosti ponovljenih doza, genotoksičnosti, fototoksičnosti i kancerogenosti. </w:t>
      </w:r>
    </w:p>
    <w:p w14:paraId="3D0A7F76" w14:textId="77777777" w:rsidR="00F75C9A" w:rsidRPr="00C12098" w:rsidRDefault="00F75C9A" w:rsidP="0059051B">
      <w:pPr>
        <w:keepNext/>
        <w:keepLines/>
        <w:jc w:val="both"/>
        <w:rPr>
          <w:sz w:val="22"/>
          <w:szCs w:val="22"/>
          <w:lang w:val="sr-Latn-ME"/>
        </w:rPr>
      </w:pPr>
    </w:p>
    <w:p w14:paraId="56C89FF1" w14:textId="77777777" w:rsidR="00F75C9A" w:rsidRPr="00C12098" w:rsidRDefault="00F75C9A" w:rsidP="0059051B">
      <w:pPr>
        <w:keepNext/>
        <w:keepLines/>
        <w:jc w:val="both"/>
        <w:rPr>
          <w:sz w:val="22"/>
          <w:szCs w:val="22"/>
          <w:lang w:val="sr-Latn-ME"/>
        </w:rPr>
      </w:pPr>
      <w:r w:rsidRPr="00C12098">
        <w:rPr>
          <w:sz w:val="22"/>
          <w:szCs w:val="22"/>
          <w:lang w:val="sr-Latn-ME"/>
        </w:rPr>
        <w:t xml:space="preserve">Ispitivanja reproduktivne toksičnosti adapalena su sprovedena na pacovima i zečevima putem primjene kroz usta i kožu. Teratogeno dejstvo je dokazano pri visokoj sistemskoj izloženosti (oralne doze od             25 mg/kg/dan). Pri nižim izloženostima (dermalna doza od 6 mg/kg/dan) uočene su promjene u broju rebara ili pršljenova. </w:t>
      </w:r>
    </w:p>
    <w:p w14:paraId="69ACC4BA" w14:textId="77777777" w:rsidR="00F75C9A" w:rsidRPr="00C12098" w:rsidRDefault="00F75C9A" w:rsidP="0059051B">
      <w:pPr>
        <w:keepNext/>
        <w:keepLines/>
        <w:jc w:val="both"/>
        <w:rPr>
          <w:sz w:val="22"/>
          <w:szCs w:val="22"/>
          <w:lang w:val="sr-Latn-ME"/>
        </w:rPr>
      </w:pPr>
    </w:p>
    <w:p w14:paraId="07B889F8" w14:textId="74C6FD02" w:rsidR="00396DFD" w:rsidRPr="00C12098" w:rsidRDefault="00F75C9A" w:rsidP="0059051B">
      <w:pPr>
        <w:tabs>
          <w:tab w:val="left" w:pos="540"/>
          <w:tab w:val="left" w:pos="569"/>
        </w:tabs>
        <w:jc w:val="both"/>
        <w:rPr>
          <w:sz w:val="22"/>
          <w:szCs w:val="22"/>
          <w:lang w:val="sr-Latn-ME"/>
        </w:rPr>
      </w:pPr>
      <w:r w:rsidRPr="00C12098">
        <w:rPr>
          <w:sz w:val="22"/>
          <w:szCs w:val="22"/>
          <w:lang w:val="sr-Latn-ME"/>
        </w:rPr>
        <w:t>Ispitivanja fiksne kombinacije adapalen/benzoil</w:t>
      </w:r>
      <w:r w:rsidR="00BD164A" w:rsidRPr="00C12098">
        <w:rPr>
          <w:sz w:val="22"/>
          <w:szCs w:val="22"/>
          <w:lang w:val="sr-Latn-ME"/>
        </w:rPr>
        <w:t xml:space="preserve"> </w:t>
      </w:r>
      <w:r w:rsidRPr="00C12098">
        <w:rPr>
          <w:sz w:val="22"/>
          <w:szCs w:val="22"/>
          <w:lang w:val="sr-Latn-ME"/>
        </w:rPr>
        <w:t>peroksid gela na životinjama uključivala su ispitivanja lokalne tolerancije i ispitivanja dermalne toksičnosti ponovljene doze kod pacova, pasa i minijaturnih svinja do 13 nedelja i ukazala su na lokalni nadražaj i senzibilizacijski potencijal, kao što je očekivano za kombinaciju koja sadrži benzoil</w:t>
      </w:r>
      <w:r w:rsidR="00BD164A" w:rsidRPr="00C12098">
        <w:rPr>
          <w:sz w:val="22"/>
          <w:szCs w:val="22"/>
          <w:lang w:val="sr-Latn-ME"/>
        </w:rPr>
        <w:t xml:space="preserve"> </w:t>
      </w:r>
      <w:r w:rsidRPr="00C12098">
        <w:rPr>
          <w:sz w:val="22"/>
          <w:szCs w:val="22"/>
          <w:lang w:val="sr-Latn-ME"/>
        </w:rPr>
        <w:t>peroksid. Sistemska izloženost adapalenu nakon ponovljene primjene fiksne kombinacije na kožu kod životinja je vrlo niska, u skladu sa kliničkim farmakokinetičkim podacima. Benzoil</w:t>
      </w:r>
      <w:r w:rsidR="00BD164A" w:rsidRPr="00C12098">
        <w:rPr>
          <w:sz w:val="22"/>
          <w:szCs w:val="22"/>
          <w:lang w:val="sr-Latn-ME"/>
        </w:rPr>
        <w:t xml:space="preserve"> </w:t>
      </w:r>
      <w:r w:rsidRPr="00C12098">
        <w:rPr>
          <w:sz w:val="22"/>
          <w:szCs w:val="22"/>
          <w:lang w:val="sr-Latn-ME"/>
        </w:rPr>
        <w:t>peroksid se brzo i potpuno pretvara u benzojevu kiselinu u koži i nakon resorpcije se eliminiše urinom, uz ograničenu sistemsku izloženost.</w:t>
      </w:r>
      <w:r w:rsidRPr="00C12098">
        <w:rPr>
          <w:sz w:val="22"/>
          <w:szCs w:val="22"/>
          <w:lang w:val="sr-Latn-ME"/>
        </w:rPr>
        <w:cr/>
      </w:r>
    </w:p>
    <w:p w14:paraId="10E52526" w14:textId="77777777" w:rsidR="008E3E30" w:rsidRPr="00C12098" w:rsidRDefault="008E3E30" w:rsidP="0059051B">
      <w:pPr>
        <w:tabs>
          <w:tab w:val="left" w:pos="540"/>
          <w:tab w:val="left" w:pos="569"/>
        </w:tabs>
        <w:jc w:val="both"/>
        <w:rPr>
          <w:b/>
          <w:bCs/>
          <w:sz w:val="22"/>
          <w:szCs w:val="22"/>
          <w:lang w:val="sr-Latn-ME"/>
        </w:rPr>
      </w:pPr>
    </w:p>
    <w:p w14:paraId="4D91A617" w14:textId="77777777"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6. </w:t>
      </w:r>
      <w:r w:rsidR="00480FB1" w:rsidRPr="00C12098">
        <w:rPr>
          <w:b/>
          <w:bCs/>
          <w:sz w:val="22"/>
          <w:szCs w:val="22"/>
          <w:lang w:val="sr-Latn-ME"/>
        </w:rPr>
        <w:tab/>
      </w:r>
      <w:r w:rsidRPr="00C12098">
        <w:rPr>
          <w:b/>
          <w:bCs/>
          <w:sz w:val="22"/>
          <w:szCs w:val="22"/>
          <w:lang w:val="sr-Latn-ME"/>
        </w:rPr>
        <w:t>FARMACEUTSKI PODACI</w:t>
      </w:r>
    </w:p>
    <w:p w14:paraId="679DA6A1" w14:textId="77777777" w:rsidR="00836B35" w:rsidRPr="00C12098" w:rsidRDefault="00836B35" w:rsidP="0059051B">
      <w:pPr>
        <w:tabs>
          <w:tab w:val="left" w:pos="540"/>
          <w:tab w:val="left" w:pos="569"/>
        </w:tabs>
        <w:jc w:val="both"/>
        <w:rPr>
          <w:bCs/>
          <w:sz w:val="22"/>
          <w:szCs w:val="22"/>
          <w:lang w:val="sr-Latn-ME"/>
        </w:rPr>
      </w:pPr>
    </w:p>
    <w:p w14:paraId="260E6C5F" w14:textId="0ABC758B"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6.1. </w:t>
      </w:r>
      <w:r w:rsidR="00480FB1" w:rsidRPr="00C12098">
        <w:rPr>
          <w:b/>
          <w:bCs/>
          <w:sz w:val="22"/>
          <w:szCs w:val="22"/>
          <w:lang w:val="sr-Latn-ME"/>
        </w:rPr>
        <w:tab/>
      </w:r>
      <w:r w:rsidRPr="00C12098">
        <w:rPr>
          <w:b/>
          <w:bCs/>
          <w:sz w:val="22"/>
          <w:szCs w:val="22"/>
          <w:lang w:val="sr-Latn-ME"/>
        </w:rPr>
        <w:t>Lista pomoćnih supstanci</w:t>
      </w:r>
      <w:r w:rsidR="002E0135" w:rsidRPr="00C12098">
        <w:rPr>
          <w:b/>
          <w:bCs/>
          <w:sz w:val="22"/>
          <w:szCs w:val="22"/>
          <w:lang w:val="sr-Latn-ME"/>
        </w:rPr>
        <w:t xml:space="preserve"> (ekscipijenasa)</w:t>
      </w:r>
    </w:p>
    <w:p w14:paraId="7AF600E1" w14:textId="4A8CA399" w:rsidR="00A400F6" w:rsidRPr="00C12098" w:rsidRDefault="00A400F6" w:rsidP="0059051B">
      <w:pPr>
        <w:tabs>
          <w:tab w:val="left" w:pos="540"/>
          <w:tab w:val="left" w:pos="569"/>
        </w:tabs>
        <w:jc w:val="both"/>
        <w:rPr>
          <w:b/>
          <w:bCs/>
          <w:sz w:val="22"/>
          <w:szCs w:val="22"/>
          <w:lang w:val="sr-Latn-ME"/>
        </w:rPr>
      </w:pPr>
    </w:p>
    <w:p w14:paraId="106CFD60" w14:textId="133BBE47" w:rsidR="00A400F6" w:rsidRPr="00C12098" w:rsidRDefault="00A400F6" w:rsidP="0059051B">
      <w:pPr>
        <w:tabs>
          <w:tab w:val="left" w:pos="540"/>
          <w:tab w:val="left" w:pos="569"/>
        </w:tabs>
        <w:jc w:val="both"/>
        <w:rPr>
          <w:b/>
          <w:bCs/>
          <w:sz w:val="22"/>
          <w:szCs w:val="22"/>
          <w:lang w:val="sr-Latn-ME"/>
        </w:rPr>
      </w:pPr>
      <w:r w:rsidRPr="00C12098">
        <w:rPr>
          <w:sz w:val="22"/>
          <w:szCs w:val="22"/>
          <w:lang w:val="sr-Latn-ME"/>
        </w:rPr>
        <w:t>dinatrijum edetat;</w:t>
      </w:r>
      <w:r w:rsidRPr="00C12098">
        <w:rPr>
          <w:sz w:val="22"/>
          <w:szCs w:val="22"/>
          <w:lang w:val="sr-Latn-ME"/>
        </w:rPr>
        <w:cr/>
        <w:t xml:space="preserve">natrijum </w:t>
      </w:r>
      <w:r w:rsidR="008E3E30" w:rsidRPr="00C12098">
        <w:rPr>
          <w:sz w:val="22"/>
          <w:szCs w:val="22"/>
          <w:lang w:val="sr-Latn-ME"/>
        </w:rPr>
        <w:t>dokusat</w:t>
      </w:r>
      <w:r w:rsidRPr="00C12098">
        <w:rPr>
          <w:sz w:val="22"/>
          <w:szCs w:val="22"/>
          <w:lang w:val="sr-Latn-ME"/>
        </w:rPr>
        <w:t>;</w:t>
      </w:r>
      <w:r w:rsidRPr="00C12098">
        <w:rPr>
          <w:sz w:val="22"/>
          <w:szCs w:val="22"/>
          <w:lang w:val="sr-Latn-ME"/>
        </w:rPr>
        <w:cr/>
        <w:t>glicerol;</w:t>
      </w:r>
      <w:r w:rsidRPr="00C12098">
        <w:rPr>
          <w:sz w:val="22"/>
          <w:szCs w:val="22"/>
          <w:lang w:val="sr-Latn-ME"/>
        </w:rPr>
        <w:cr/>
        <w:t>poloksamer 124;</w:t>
      </w:r>
      <w:r w:rsidRPr="00C12098">
        <w:rPr>
          <w:sz w:val="22"/>
          <w:szCs w:val="22"/>
          <w:lang w:val="sr-Latn-ME"/>
        </w:rPr>
        <w:cr/>
        <w:t>propilen</w:t>
      </w:r>
      <w:r w:rsidR="008E3E30" w:rsidRPr="00C12098">
        <w:rPr>
          <w:sz w:val="22"/>
          <w:szCs w:val="22"/>
          <w:lang w:val="sr-Latn-ME"/>
        </w:rPr>
        <w:t xml:space="preserve"> </w:t>
      </w:r>
      <w:r w:rsidRPr="00C12098">
        <w:rPr>
          <w:sz w:val="22"/>
          <w:szCs w:val="22"/>
          <w:lang w:val="sr-Latn-ME"/>
        </w:rPr>
        <w:t>glikol (E1520);</w:t>
      </w:r>
      <w:r w:rsidRPr="00C12098">
        <w:rPr>
          <w:sz w:val="22"/>
          <w:szCs w:val="22"/>
          <w:lang w:val="sr-Latn-ME"/>
        </w:rPr>
        <w:cr/>
        <w:t xml:space="preserve">sepineo P 600 (kopolimer </w:t>
      </w:r>
      <w:r w:rsidRPr="00C12098">
        <w:rPr>
          <w:color w:val="000000"/>
          <w:sz w:val="22"/>
          <w:szCs w:val="22"/>
          <w:lang w:val="sr-Latn-ME"/>
        </w:rPr>
        <w:t>akrilamida i natrijum akriloil dimetil taurata u izoheksadekanu s</w:t>
      </w:r>
      <w:r w:rsidR="008E3E30" w:rsidRPr="00C12098">
        <w:rPr>
          <w:color w:val="000000"/>
          <w:sz w:val="22"/>
          <w:szCs w:val="22"/>
          <w:lang w:val="sr-Latn-ME"/>
        </w:rPr>
        <w:t>a</w:t>
      </w:r>
      <w:r w:rsidRPr="00C12098">
        <w:rPr>
          <w:color w:val="000000"/>
          <w:sz w:val="22"/>
          <w:szCs w:val="22"/>
          <w:lang w:val="sr-Latn-ME"/>
        </w:rPr>
        <w:t xml:space="preserve"> polisorbatom 80</w:t>
      </w:r>
      <w:r w:rsidRPr="00C12098">
        <w:rPr>
          <w:sz w:val="22"/>
          <w:szCs w:val="22"/>
          <w:lang w:val="sr-Latn-ME"/>
        </w:rPr>
        <w:t>);</w:t>
      </w:r>
      <w:r w:rsidRPr="00C12098">
        <w:rPr>
          <w:sz w:val="22"/>
          <w:szCs w:val="22"/>
          <w:lang w:val="sr-Latn-ME"/>
        </w:rPr>
        <w:cr/>
        <w:t>sorbitan</w:t>
      </w:r>
      <w:r w:rsidR="008E3E30" w:rsidRPr="00C12098">
        <w:rPr>
          <w:sz w:val="22"/>
          <w:szCs w:val="22"/>
          <w:lang w:val="sr-Latn-ME"/>
        </w:rPr>
        <w:t xml:space="preserve"> </w:t>
      </w:r>
      <w:r w:rsidRPr="00C12098">
        <w:rPr>
          <w:sz w:val="22"/>
          <w:szCs w:val="22"/>
          <w:lang w:val="sr-Latn-ME"/>
        </w:rPr>
        <w:t>oleat;</w:t>
      </w:r>
      <w:r w:rsidRPr="00C12098">
        <w:rPr>
          <w:sz w:val="22"/>
          <w:szCs w:val="22"/>
          <w:lang w:val="sr-Latn-ME"/>
        </w:rPr>
        <w:cr/>
        <w:t>voda, prečišćena.</w:t>
      </w:r>
    </w:p>
    <w:p w14:paraId="126031FC" w14:textId="77777777" w:rsidR="0072020E" w:rsidRPr="00C12098" w:rsidRDefault="0072020E" w:rsidP="0059051B">
      <w:pPr>
        <w:tabs>
          <w:tab w:val="left" w:pos="540"/>
          <w:tab w:val="left" w:pos="569"/>
        </w:tabs>
        <w:jc w:val="both"/>
        <w:rPr>
          <w:bCs/>
          <w:sz w:val="22"/>
          <w:szCs w:val="22"/>
          <w:lang w:val="sr-Latn-ME"/>
        </w:rPr>
      </w:pPr>
    </w:p>
    <w:p w14:paraId="0F6A503D" w14:textId="4C30DBFF"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6.2. </w:t>
      </w:r>
      <w:r w:rsidR="00480FB1" w:rsidRPr="00C12098">
        <w:rPr>
          <w:b/>
          <w:bCs/>
          <w:sz w:val="22"/>
          <w:szCs w:val="22"/>
          <w:lang w:val="sr-Latn-ME"/>
        </w:rPr>
        <w:tab/>
      </w:r>
      <w:r w:rsidRPr="00C12098">
        <w:rPr>
          <w:b/>
          <w:bCs/>
          <w:sz w:val="22"/>
          <w:szCs w:val="22"/>
          <w:lang w:val="sr-Latn-ME"/>
        </w:rPr>
        <w:t>Inkompatibilnost</w:t>
      </w:r>
      <w:r w:rsidR="002846DB" w:rsidRPr="00C12098">
        <w:rPr>
          <w:b/>
          <w:bCs/>
          <w:sz w:val="22"/>
          <w:szCs w:val="22"/>
          <w:lang w:val="sr-Latn-ME"/>
        </w:rPr>
        <w:t>i</w:t>
      </w:r>
    </w:p>
    <w:p w14:paraId="09749CEF" w14:textId="77777777" w:rsidR="00933ED1" w:rsidRPr="00C12098" w:rsidRDefault="00933ED1" w:rsidP="0059051B">
      <w:pPr>
        <w:tabs>
          <w:tab w:val="left" w:pos="540"/>
          <w:tab w:val="left" w:pos="569"/>
        </w:tabs>
        <w:jc w:val="both"/>
        <w:rPr>
          <w:b/>
          <w:bCs/>
          <w:sz w:val="22"/>
          <w:szCs w:val="22"/>
          <w:lang w:val="sr-Latn-ME"/>
        </w:rPr>
      </w:pPr>
    </w:p>
    <w:p w14:paraId="7C94F6C5" w14:textId="2E9EF51E" w:rsidR="0072020E" w:rsidRPr="00C12098" w:rsidRDefault="00933ED1" w:rsidP="0059051B">
      <w:pPr>
        <w:tabs>
          <w:tab w:val="left" w:pos="540"/>
          <w:tab w:val="left" w:pos="569"/>
        </w:tabs>
        <w:jc w:val="both"/>
        <w:rPr>
          <w:bCs/>
          <w:sz w:val="22"/>
          <w:szCs w:val="22"/>
          <w:lang w:val="sr-Latn-ME"/>
        </w:rPr>
      </w:pPr>
      <w:r w:rsidRPr="00C12098">
        <w:rPr>
          <w:bCs/>
          <w:sz w:val="22"/>
          <w:szCs w:val="22"/>
          <w:lang w:val="sr-Latn-ME"/>
        </w:rPr>
        <w:t>Nije primjen</w:t>
      </w:r>
      <w:r w:rsidR="008E3E30" w:rsidRPr="00C12098">
        <w:rPr>
          <w:bCs/>
          <w:sz w:val="22"/>
          <w:szCs w:val="22"/>
          <w:lang w:val="sr-Latn-ME"/>
        </w:rPr>
        <w:t>l</w:t>
      </w:r>
      <w:r w:rsidRPr="00C12098">
        <w:rPr>
          <w:bCs/>
          <w:sz w:val="22"/>
          <w:szCs w:val="22"/>
          <w:lang w:val="sr-Latn-ME"/>
        </w:rPr>
        <w:t>jivo.</w:t>
      </w:r>
    </w:p>
    <w:p w14:paraId="14CEC562" w14:textId="77777777" w:rsidR="00933ED1" w:rsidRPr="00C12098" w:rsidRDefault="00933ED1" w:rsidP="0059051B">
      <w:pPr>
        <w:tabs>
          <w:tab w:val="left" w:pos="540"/>
          <w:tab w:val="left" w:pos="569"/>
        </w:tabs>
        <w:jc w:val="both"/>
        <w:rPr>
          <w:bCs/>
          <w:sz w:val="22"/>
          <w:szCs w:val="22"/>
          <w:lang w:val="sr-Latn-ME"/>
        </w:rPr>
      </w:pPr>
    </w:p>
    <w:p w14:paraId="1FE48DD4" w14:textId="77777777" w:rsidR="00C12098" w:rsidRDefault="00C12098" w:rsidP="0059051B">
      <w:pPr>
        <w:tabs>
          <w:tab w:val="left" w:pos="540"/>
          <w:tab w:val="left" w:pos="569"/>
        </w:tabs>
        <w:jc w:val="both"/>
        <w:rPr>
          <w:b/>
          <w:bCs/>
          <w:sz w:val="22"/>
          <w:szCs w:val="22"/>
          <w:lang w:val="sr-Latn-ME"/>
        </w:rPr>
      </w:pPr>
    </w:p>
    <w:p w14:paraId="1606396B" w14:textId="77777777" w:rsidR="00C12098" w:rsidRDefault="00C12098" w:rsidP="0059051B">
      <w:pPr>
        <w:tabs>
          <w:tab w:val="left" w:pos="540"/>
          <w:tab w:val="left" w:pos="569"/>
        </w:tabs>
        <w:jc w:val="both"/>
        <w:rPr>
          <w:b/>
          <w:bCs/>
          <w:sz w:val="22"/>
          <w:szCs w:val="22"/>
          <w:lang w:val="sr-Latn-ME"/>
        </w:rPr>
      </w:pPr>
    </w:p>
    <w:p w14:paraId="79CBCFC2" w14:textId="0EBD7A37"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lastRenderedPageBreak/>
        <w:t>6.3.</w:t>
      </w:r>
      <w:r w:rsidR="00C05DF8" w:rsidRPr="00C12098">
        <w:rPr>
          <w:b/>
          <w:bCs/>
          <w:sz w:val="22"/>
          <w:szCs w:val="22"/>
          <w:lang w:val="sr-Latn-ME"/>
        </w:rPr>
        <w:t xml:space="preserve"> </w:t>
      </w:r>
      <w:r w:rsidR="00480FB1" w:rsidRPr="00C12098">
        <w:rPr>
          <w:b/>
          <w:bCs/>
          <w:sz w:val="22"/>
          <w:szCs w:val="22"/>
          <w:lang w:val="sr-Latn-ME"/>
        </w:rPr>
        <w:tab/>
      </w:r>
      <w:r w:rsidRPr="00C12098">
        <w:rPr>
          <w:b/>
          <w:bCs/>
          <w:sz w:val="22"/>
          <w:szCs w:val="22"/>
          <w:lang w:val="sr-Latn-ME"/>
        </w:rPr>
        <w:t>Rok upotrebe</w:t>
      </w:r>
    </w:p>
    <w:p w14:paraId="136A35E9" w14:textId="6CA2F107" w:rsidR="00933ED1" w:rsidRPr="00C12098" w:rsidRDefault="00933ED1" w:rsidP="0059051B">
      <w:pPr>
        <w:tabs>
          <w:tab w:val="left" w:pos="540"/>
          <w:tab w:val="left" w:pos="569"/>
        </w:tabs>
        <w:jc w:val="both"/>
        <w:rPr>
          <w:b/>
          <w:bCs/>
          <w:sz w:val="22"/>
          <w:szCs w:val="22"/>
          <w:lang w:val="sr-Latn-ME"/>
        </w:rPr>
      </w:pPr>
    </w:p>
    <w:p w14:paraId="28E3ACA3" w14:textId="5553EEF1" w:rsidR="00031AC9" w:rsidRPr="00C12098" w:rsidRDefault="00933ED1" w:rsidP="0059051B">
      <w:pPr>
        <w:tabs>
          <w:tab w:val="left" w:pos="540"/>
          <w:tab w:val="left" w:pos="569"/>
        </w:tabs>
        <w:jc w:val="both"/>
        <w:rPr>
          <w:bCs/>
          <w:sz w:val="22"/>
          <w:szCs w:val="22"/>
          <w:lang w:val="sr-Latn-ME"/>
        </w:rPr>
      </w:pPr>
      <w:r w:rsidRPr="00C12098">
        <w:rPr>
          <w:bCs/>
          <w:sz w:val="22"/>
          <w:szCs w:val="22"/>
          <w:lang w:val="sr-Latn-ME"/>
        </w:rPr>
        <w:t>24 mjeseca za lijek pakovan u višeslojn</w:t>
      </w:r>
      <w:r w:rsidR="006F57B5" w:rsidRPr="00C12098">
        <w:rPr>
          <w:bCs/>
          <w:sz w:val="22"/>
          <w:szCs w:val="22"/>
          <w:lang w:val="sr-Latn-ME"/>
        </w:rPr>
        <w:t>oj</w:t>
      </w:r>
      <w:r w:rsidRPr="00C12098">
        <w:rPr>
          <w:bCs/>
          <w:sz w:val="22"/>
          <w:szCs w:val="22"/>
          <w:lang w:val="sr-Latn-ME"/>
        </w:rPr>
        <w:t xml:space="preserve"> tub</w:t>
      </w:r>
      <w:r w:rsidR="006F57B5" w:rsidRPr="00C12098">
        <w:rPr>
          <w:bCs/>
          <w:sz w:val="22"/>
          <w:szCs w:val="22"/>
          <w:lang w:val="sr-Latn-ME"/>
        </w:rPr>
        <w:t>i</w:t>
      </w:r>
      <w:r w:rsidRPr="00C12098">
        <w:rPr>
          <w:bCs/>
          <w:sz w:val="22"/>
          <w:szCs w:val="22"/>
          <w:lang w:val="sr-Latn-ME"/>
        </w:rPr>
        <w:t xml:space="preserve"> sa aluminijskom barijerom.</w:t>
      </w:r>
      <w:r w:rsidRPr="00C12098">
        <w:rPr>
          <w:bCs/>
          <w:sz w:val="22"/>
          <w:szCs w:val="22"/>
          <w:lang w:val="sr-Latn-ME"/>
        </w:rPr>
        <w:cr/>
      </w:r>
      <w:r w:rsidR="00031AC9" w:rsidRPr="00C12098">
        <w:rPr>
          <w:bCs/>
          <w:sz w:val="22"/>
          <w:szCs w:val="22"/>
          <w:lang w:val="sr-Latn-ME"/>
        </w:rPr>
        <w:t>24 mjeseca za lijek pakovan u polipropilensk</w:t>
      </w:r>
      <w:r w:rsidR="006F57B5" w:rsidRPr="00C12098">
        <w:rPr>
          <w:bCs/>
          <w:sz w:val="22"/>
          <w:szCs w:val="22"/>
          <w:lang w:val="sr-Latn-ME"/>
        </w:rPr>
        <w:t>oj</w:t>
      </w:r>
      <w:r w:rsidR="00031AC9" w:rsidRPr="00C12098">
        <w:rPr>
          <w:bCs/>
          <w:sz w:val="22"/>
          <w:szCs w:val="22"/>
          <w:lang w:val="sr-Latn-ME"/>
        </w:rPr>
        <w:t xml:space="preserve"> bočic</w:t>
      </w:r>
      <w:r w:rsidR="006F57B5" w:rsidRPr="00C12098">
        <w:rPr>
          <w:bCs/>
          <w:sz w:val="22"/>
          <w:szCs w:val="22"/>
          <w:lang w:val="sr-Latn-ME"/>
        </w:rPr>
        <w:t>i</w:t>
      </w:r>
      <w:r w:rsidR="00031AC9" w:rsidRPr="00C12098">
        <w:rPr>
          <w:bCs/>
          <w:sz w:val="22"/>
          <w:szCs w:val="22"/>
          <w:lang w:val="sr-Latn-ME"/>
        </w:rPr>
        <w:t xml:space="preserve"> sa </w:t>
      </w:r>
      <w:r w:rsidR="00BD164A" w:rsidRPr="00C12098">
        <w:rPr>
          <w:bCs/>
          <w:sz w:val="22"/>
          <w:szCs w:val="22"/>
          <w:lang w:val="sr-Latn-ME"/>
        </w:rPr>
        <w:t xml:space="preserve">vakuum </w:t>
      </w:r>
      <w:r w:rsidR="00031AC9" w:rsidRPr="00C12098">
        <w:rPr>
          <w:bCs/>
          <w:sz w:val="22"/>
          <w:szCs w:val="22"/>
          <w:lang w:val="sr-Latn-ME"/>
        </w:rPr>
        <w:t>pumpicom.</w:t>
      </w:r>
    </w:p>
    <w:p w14:paraId="42057B06" w14:textId="4FEF42D4" w:rsidR="00933ED1" w:rsidRPr="00C12098" w:rsidRDefault="00933ED1" w:rsidP="0059051B">
      <w:pPr>
        <w:tabs>
          <w:tab w:val="left" w:pos="540"/>
          <w:tab w:val="left" w:pos="569"/>
        </w:tabs>
        <w:jc w:val="both"/>
        <w:rPr>
          <w:b/>
          <w:bCs/>
          <w:sz w:val="22"/>
          <w:szCs w:val="22"/>
          <w:lang w:val="sr-Latn-ME"/>
        </w:rPr>
      </w:pPr>
      <w:r w:rsidRPr="00C12098">
        <w:rPr>
          <w:sz w:val="22"/>
          <w:szCs w:val="22"/>
          <w:lang w:val="sr-Latn-ME"/>
        </w:rPr>
        <w:t>Rok upotrebe nakon prvog otvaranja: 6 mjeseci ako se čuva na temperaturi do 25 °C.</w:t>
      </w:r>
    </w:p>
    <w:p w14:paraId="1AEE50C5" w14:textId="77777777" w:rsidR="0072020E" w:rsidRPr="00C12098" w:rsidRDefault="0072020E" w:rsidP="0059051B">
      <w:pPr>
        <w:tabs>
          <w:tab w:val="left" w:pos="540"/>
          <w:tab w:val="left" w:pos="569"/>
        </w:tabs>
        <w:jc w:val="both"/>
        <w:rPr>
          <w:bCs/>
          <w:sz w:val="22"/>
          <w:szCs w:val="22"/>
          <w:lang w:val="sr-Latn-ME"/>
        </w:rPr>
      </w:pPr>
    </w:p>
    <w:p w14:paraId="439D62D1" w14:textId="52769809"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6.4. </w:t>
      </w:r>
      <w:r w:rsidR="00480FB1" w:rsidRPr="00C12098">
        <w:rPr>
          <w:b/>
          <w:bCs/>
          <w:sz w:val="22"/>
          <w:szCs w:val="22"/>
          <w:lang w:val="sr-Latn-ME"/>
        </w:rPr>
        <w:tab/>
      </w:r>
      <w:r w:rsidRPr="00C12098">
        <w:rPr>
          <w:b/>
          <w:bCs/>
          <w:sz w:val="22"/>
          <w:szCs w:val="22"/>
          <w:lang w:val="sr-Latn-ME"/>
        </w:rPr>
        <w:t>Posebne mjere upozorenja pri čuvanju</w:t>
      </w:r>
      <w:r w:rsidR="00F8570A" w:rsidRPr="00C12098">
        <w:rPr>
          <w:b/>
          <w:bCs/>
          <w:sz w:val="22"/>
          <w:szCs w:val="22"/>
          <w:lang w:val="sr-Latn-ME"/>
        </w:rPr>
        <w:t xml:space="preserve"> lijeka</w:t>
      </w:r>
    </w:p>
    <w:p w14:paraId="2AB37527" w14:textId="41A21184" w:rsidR="006D1225" w:rsidRPr="00C12098" w:rsidRDefault="006D1225" w:rsidP="0059051B">
      <w:pPr>
        <w:tabs>
          <w:tab w:val="left" w:pos="540"/>
          <w:tab w:val="left" w:pos="569"/>
        </w:tabs>
        <w:jc w:val="both"/>
        <w:rPr>
          <w:b/>
          <w:bCs/>
          <w:sz w:val="22"/>
          <w:szCs w:val="22"/>
          <w:lang w:val="sr-Latn-ME"/>
        </w:rPr>
      </w:pPr>
    </w:p>
    <w:p w14:paraId="652910CB" w14:textId="77777777" w:rsidR="006D1225" w:rsidRPr="00C12098" w:rsidRDefault="006D1225" w:rsidP="0059051B">
      <w:pPr>
        <w:keepNext/>
        <w:keepLines/>
        <w:jc w:val="both"/>
        <w:rPr>
          <w:bCs/>
          <w:sz w:val="22"/>
          <w:szCs w:val="22"/>
          <w:lang w:val="sr-Latn-ME"/>
        </w:rPr>
      </w:pPr>
      <w:r w:rsidRPr="00C12098">
        <w:rPr>
          <w:bCs/>
          <w:sz w:val="22"/>
          <w:szCs w:val="22"/>
          <w:lang w:val="sr-Latn-ME"/>
        </w:rPr>
        <w:t>Čuvati na temperaturi do 30 °C.</w:t>
      </w:r>
    </w:p>
    <w:p w14:paraId="73762AB6" w14:textId="77777777" w:rsidR="006D1225" w:rsidRPr="00C12098" w:rsidRDefault="006D1225" w:rsidP="0059051B">
      <w:pPr>
        <w:keepNext/>
        <w:keepLines/>
        <w:jc w:val="both"/>
        <w:rPr>
          <w:bCs/>
          <w:sz w:val="22"/>
          <w:szCs w:val="22"/>
          <w:lang w:val="sr-Latn-ME"/>
        </w:rPr>
      </w:pPr>
      <w:r w:rsidRPr="00C12098">
        <w:rPr>
          <w:bCs/>
          <w:sz w:val="22"/>
          <w:szCs w:val="22"/>
          <w:lang w:val="sr-Latn-ME"/>
        </w:rPr>
        <w:t>Uslove čuvanja nakon prvog otvaranja lijeka vidjeti u dijelu 6.3.</w:t>
      </w:r>
    </w:p>
    <w:p w14:paraId="07E4D02F" w14:textId="77777777" w:rsidR="00EC2532" w:rsidRPr="00C12098" w:rsidRDefault="00EC2532" w:rsidP="0059051B">
      <w:pPr>
        <w:tabs>
          <w:tab w:val="left" w:pos="540"/>
          <w:tab w:val="left" w:pos="569"/>
        </w:tabs>
        <w:jc w:val="both"/>
        <w:rPr>
          <w:bCs/>
          <w:sz w:val="22"/>
          <w:szCs w:val="22"/>
          <w:lang w:val="sr-Latn-ME"/>
        </w:rPr>
      </w:pPr>
    </w:p>
    <w:p w14:paraId="70134FE5" w14:textId="695F7CD6"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6.5. </w:t>
      </w:r>
      <w:r w:rsidR="00480FB1" w:rsidRPr="00C12098">
        <w:rPr>
          <w:b/>
          <w:bCs/>
          <w:sz w:val="22"/>
          <w:szCs w:val="22"/>
          <w:lang w:val="sr-Latn-ME"/>
        </w:rPr>
        <w:tab/>
      </w:r>
      <w:r w:rsidR="002846DB" w:rsidRPr="00C12098">
        <w:rPr>
          <w:b/>
          <w:bCs/>
          <w:sz w:val="22"/>
          <w:szCs w:val="22"/>
          <w:lang w:val="sr-Latn-ME"/>
        </w:rPr>
        <w:t xml:space="preserve">Vrsta i sadržaj </w:t>
      </w:r>
      <w:r w:rsidR="00F8570A" w:rsidRPr="00C12098">
        <w:rPr>
          <w:b/>
          <w:bCs/>
          <w:sz w:val="22"/>
          <w:szCs w:val="22"/>
          <w:lang w:val="sr-Latn-ME"/>
        </w:rPr>
        <w:t>pakovanja</w:t>
      </w:r>
      <w:r w:rsidR="00C06864" w:rsidRPr="00C12098">
        <w:rPr>
          <w:b/>
          <w:bCs/>
          <w:sz w:val="22"/>
          <w:szCs w:val="22"/>
          <w:lang w:val="sr-Latn-ME"/>
        </w:rPr>
        <w:t xml:space="preserve"> </w:t>
      </w:r>
    </w:p>
    <w:p w14:paraId="0F450D50" w14:textId="671C7B4B" w:rsidR="00BB6C32" w:rsidRPr="00C12098" w:rsidRDefault="00BB6C32" w:rsidP="0059051B">
      <w:pPr>
        <w:tabs>
          <w:tab w:val="left" w:pos="540"/>
          <w:tab w:val="left" w:pos="569"/>
        </w:tabs>
        <w:jc w:val="both"/>
        <w:rPr>
          <w:b/>
          <w:bCs/>
          <w:sz w:val="22"/>
          <w:szCs w:val="22"/>
          <w:lang w:val="sr-Latn-ME"/>
        </w:rPr>
      </w:pPr>
    </w:p>
    <w:p w14:paraId="12415B55" w14:textId="77777777" w:rsidR="00BB6C32" w:rsidRPr="00C12098" w:rsidRDefault="00BB6C32" w:rsidP="0059051B">
      <w:pPr>
        <w:jc w:val="both"/>
        <w:rPr>
          <w:sz w:val="22"/>
          <w:szCs w:val="22"/>
          <w:lang w:val="sr-Latn-ME"/>
        </w:rPr>
      </w:pPr>
      <w:r w:rsidRPr="00C12098">
        <w:rPr>
          <w:sz w:val="22"/>
          <w:szCs w:val="22"/>
          <w:lang w:val="sr-Latn-ME"/>
        </w:rPr>
        <w:t>SONA DUO 1 mg/g + 25 mg/g gel dostupan je kao:</w:t>
      </w:r>
    </w:p>
    <w:p w14:paraId="705982A6" w14:textId="633A9E35" w:rsidR="00BB6C32" w:rsidRPr="00C12098" w:rsidRDefault="00BB6C32" w:rsidP="0059051B">
      <w:pPr>
        <w:jc w:val="both"/>
        <w:rPr>
          <w:rFonts w:eastAsia="Calibri"/>
          <w:sz w:val="22"/>
          <w:szCs w:val="22"/>
          <w:lang w:val="sr-Latn-ME"/>
        </w:rPr>
      </w:pPr>
      <w:r w:rsidRPr="00C12098">
        <w:rPr>
          <w:rFonts w:eastAsia="Calibri"/>
          <w:sz w:val="22"/>
          <w:szCs w:val="22"/>
          <w:lang w:val="sr-Latn-ME"/>
        </w:rPr>
        <w:t>30 g gela u višeslojnoj tubi sa aluminij</w:t>
      </w:r>
      <w:r w:rsidR="00920D05" w:rsidRPr="00C12098">
        <w:rPr>
          <w:rFonts w:eastAsia="Calibri"/>
          <w:sz w:val="22"/>
          <w:szCs w:val="22"/>
          <w:lang w:val="sr-Latn-ME"/>
        </w:rPr>
        <w:t>um</w:t>
      </w:r>
      <w:r w:rsidRPr="00C12098">
        <w:rPr>
          <w:rFonts w:eastAsia="Calibri"/>
          <w:sz w:val="22"/>
          <w:szCs w:val="22"/>
          <w:lang w:val="sr-Latn-ME"/>
        </w:rPr>
        <w:t>skom barijerom sa zaštitnom aluminij</w:t>
      </w:r>
      <w:r w:rsidR="006F57B5" w:rsidRPr="00C12098">
        <w:rPr>
          <w:rFonts w:eastAsia="Calibri"/>
          <w:sz w:val="22"/>
          <w:szCs w:val="22"/>
          <w:lang w:val="sr-Latn-ME"/>
        </w:rPr>
        <w:t>um</w:t>
      </w:r>
      <w:r w:rsidRPr="00C12098">
        <w:rPr>
          <w:rFonts w:eastAsia="Calibri"/>
          <w:sz w:val="22"/>
          <w:szCs w:val="22"/>
          <w:lang w:val="sr-Latn-ME"/>
        </w:rPr>
        <w:t>skom membranom i plastičnim polipropilenskim zatvaračem sa navojem.</w:t>
      </w:r>
    </w:p>
    <w:p w14:paraId="34F6120B" w14:textId="7F17EBA0" w:rsidR="00BB6C32" w:rsidRPr="00C12098" w:rsidRDefault="00BB6C32" w:rsidP="0059051B">
      <w:pPr>
        <w:jc w:val="both"/>
        <w:rPr>
          <w:rFonts w:eastAsia="Calibri"/>
          <w:sz w:val="22"/>
          <w:szCs w:val="22"/>
          <w:lang w:val="sr-Latn-ME"/>
        </w:rPr>
      </w:pPr>
      <w:r w:rsidRPr="00C12098">
        <w:rPr>
          <w:rFonts w:eastAsia="Calibri"/>
          <w:sz w:val="22"/>
          <w:szCs w:val="22"/>
          <w:lang w:val="sr-Latn-ME"/>
        </w:rPr>
        <w:t>30 g gela u vakuum, bijeloj polipropilenskoj bočici sa vakuum pumpicom izrađenom od polipropilena, polietilena vrlo niske gustine i etilen</w:t>
      </w:r>
      <w:r w:rsidR="00343F66" w:rsidRPr="00C12098">
        <w:rPr>
          <w:rFonts w:eastAsia="Calibri"/>
          <w:sz w:val="22"/>
          <w:szCs w:val="22"/>
          <w:lang w:val="sr-Latn-ME"/>
        </w:rPr>
        <w:t>-</w:t>
      </w:r>
      <w:r w:rsidRPr="00C12098">
        <w:rPr>
          <w:rFonts w:eastAsia="Calibri"/>
          <w:sz w:val="22"/>
          <w:szCs w:val="22"/>
          <w:lang w:val="sr-Latn-ME"/>
        </w:rPr>
        <w:t>vinil acetata opremljenom sa raspršivačem i zaštitnim poklopcem izrađenim od polipropilena.</w:t>
      </w:r>
    </w:p>
    <w:p w14:paraId="2FED0691" w14:textId="77777777" w:rsidR="0072020E" w:rsidRPr="00C12098" w:rsidRDefault="0072020E" w:rsidP="0059051B">
      <w:pPr>
        <w:tabs>
          <w:tab w:val="left" w:pos="540"/>
          <w:tab w:val="left" w:pos="569"/>
        </w:tabs>
        <w:jc w:val="both"/>
        <w:rPr>
          <w:bCs/>
          <w:sz w:val="22"/>
          <w:szCs w:val="22"/>
          <w:lang w:val="sr-Latn-ME"/>
        </w:rPr>
      </w:pPr>
    </w:p>
    <w:p w14:paraId="3321C49D" w14:textId="359DAF01" w:rsidR="002846DB"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6.6. </w:t>
      </w:r>
      <w:r w:rsidR="00480FB1" w:rsidRPr="00C12098">
        <w:rPr>
          <w:b/>
          <w:bCs/>
          <w:sz w:val="22"/>
          <w:szCs w:val="22"/>
          <w:lang w:val="sr-Latn-ME"/>
        </w:rPr>
        <w:tab/>
      </w:r>
      <w:r w:rsidRPr="00C12098">
        <w:rPr>
          <w:b/>
          <w:bCs/>
          <w:color w:val="000000"/>
          <w:sz w:val="22"/>
          <w:szCs w:val="22"/>
          <w:lang w:val="sr-Latn-ME"/>
        </w:rPr>
        <w:t>Posebne mjere opreza pri odlaganju materijala koji treba odbaciti nakon primjene lijeka</w:t>
      </w:r>
      <w:r w:rsidRPr="00C12098">
        <w:rPr>
          <w:b/>
          <w:bCs/>
          <w:sz w:val="22"/>
          <w:szCs w:val="22"/>
          <w:lang w:val="sr-Latn-ME"/>
        </w:rPr>
        <w:t xml:space="preserve"> </w:t>
      </w:r>
      <w:r w:rsidR="00310F03" w:rsidRPr="00C12098">
        <w:rPr>
          <w:b/>
          <w:bCs/>
          <w:sz w:val="22"/>
          <w:szCs w:val="22"/>
          <w:lang w:val="sr-Latn-ME"/>
        </w:rPr>
        <w:t>(i druga uputs</w:t>
      </w:r>
      <w:r w:rsidR="004109FA" w:rsidRPr="00C12098">
        <w:rPr>
          <w:b/>
          <w:bCs/>
          <w:sz w:val="22"/>
          <w:szCs w:val="22"/>
          <w:lang w:val="sr-Latn-ME"/>
        </w:rPr>
        <w:t>t</w:t>
      </w:r>
      <w:r w:rsidR="00310F03" w:rsidRPr="00C12098">
        <w:rPr>
          <w:b/>
          <w:bCs/>
          <w:sz w:val="22"/>
          <w:szCs w:val="22"/>
          <w:lang w:val="sr-Latn-ME"/>
        </w:rPr>
        <w:t xml:space="preserve">va za rukovanje lijekom) </w:t>
      </w:r>
    </w:p>
    <w:p w14:paraId="7D4F8018" w14:textId="77777777" w:rsidR="00A91046" w:rsidRPr="00C12098" w:rsidRDefault="00A91046" w:rsidP="0059051B">
      <w:pPr>
        <w:tabs>
          <w:tab w:val="left" w:pos="540"/>
          <w:tab w:val="left" w:pos="569"/>
        </w:tabs>
        <w:jc w:val="both"/>
        <w:rPr>
          <w:b/>
          <w:bCs/>
          <w:sz w:val="22"/>
          <w:szCs w:val="22"/>
          <w:lang w:val="sr-Latn-ME"/>
        </w:rPr>
      </w:pPr>
    </w:p>
    <w:p w14:paraId="4B28D50C" w14:textId="77777777" w:rsidR="00A91046" w:rsidRPr="00C12098" w:rsidRDefault="00A91046" w:rsidP="0059051B">
      <w:pPr>
        <w:spacing w:line="276" w:lineRule="auto"/>
        <w:jc w:val="both"/>
        <w:rPr>
          <w:rFonts w:eastAsia="Calibri"/>
          <w:sz w:val="22"/>
          <w:szCs w:val="22"/>
          <w:lang w:val="sr-Latn-ME"/>
        </w:rPr>
      </w:pPr>
      <w:r w:rsidRPr="00C12098">
        <w:rPr>
          <w:rFonts w:eastAsia="Calibri"/>
          <w:sz w:val="22"/>
          <w:szCs w:val="22"/>
          <w:lang w:val="sr-Latn-ME"/>
        </w:rPr>
        <w:t>Nema posebnih zahtjeva.</w:t>
      </w:r>
    </w:p>
    <w:p w14:paraId="78820CAA" w14:textId="10027C87" w:rsidR="00A91046" w:rsidRPr="00C12098" w:rsidRDefault="00A91046" w:rsidP="0059051B">
      <w:pPr>
        <w:jc w:val="both"/>
        <w:rPr>
          <w:rFonts w:eastAsia="Calibri"/>
          <w:sz w:val="22"/>
          <w:szCs w:val="22"/>
          <w:lang w:val="sr-Latn-ME"/>
        </w:rPr>
      </w:pPr>
      <w:r w:rsidRPr="00C12098">
        <w:rPr>
          <w:rFonts w:eastAsia="Calibri"/>
          <w:sz w:val="22"/>
          <w:szCs w:val="22"/>
          <w:lang w:val="sr-Latn-ME"/>
        </w:rPr>
        <w:t xml:space="preserve">Neupotrijebljeni lijek i otpadni materijal potrebno je </w:t>
      </w:r>
      <w:r w:rsidR="006F57B5" w:rsidRPr="00C12098">
        <w:rPr>
          <w:rFonts w:eastAsia="Calibri"/>
          <w:sz w:val="22"/>
          <w:szCs w:val="22"/>
          <w:lang w:val="sr-Latn-ME"/>
        </w:rPr>
        <w:t xml:space="preserve">odložiti </w:t>
      </w:r>
      <w:r w:rsidRPr="00C12098">
        <w:rPr>
          <w:rFonts w:eastAsia="Calibri"/>
          <w:sz w:val="22"/>
          <w:szCs w:val="22"/>
          <w:lang w:val="sr-Latn-ME"/>
        </w:rPr>
        <w:t>u skladu sa važećim propisima.</w:t>
      </w:r>
    </w:p>
    <w:p w14:paraId="31809001" w14:textId="77777777" w:rsidR="00B66A70" w:rsidRPr="00C12098" w:rsidRDefault="00B66A70" w:rsidP="0059051B">
      <w:pPr>
        <w:tabs>
          <w:tab w:val="left" w:pos="540"/>
          <w:tab w:val="left" w:pos="569"/>
        </w:tabs>
        <w:jc w:val="both"/>
        <w:rPr>
          <w:b/>
          <w:bCs/>
          <w:sz w:val="22"/>
          <w:szCs w:val="22"/>
          <w:lang w:val="sr-Latn-ME"/>
        </w:rPr>
      </w:pPr>
    </w:p>
    <w:p w14:paraId="2C214F74" w14:textId="77777777" w:rsidR="0072020E" w:rsidRPr="00C12098" w:rsidRDefault="0072020E" w:rsidP="0059051B">
      <w:pPr>
        <w:tabs>
          <w:tab w:val="left" w:pos="540"/>
          <w:tab w:val="left" w:pos="569"/>
        </w:tabs>
        <w:jc w:val="both"/>
        <w:rPr>
          <w:bCs/>
          <w:sz w:val="22"/>
          <w:szCs w:val="22"/>
          <w:lang w:val="sr-Latn-ME"/>
        </w:rPr>
      </w:pPr>
    </w:p>
    <w:p w14:paraId="14F1EDDC" w14:textId="06DD8334" w:rsidR="00F8570A"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7. </w:t>
      </w:r>
      <w:r w:rsidR="00480FB1" w:rsidRPr="00C12098">
        <w:rPr>
          <w:b/>
          <w:bCs/>
          <w:sz w:val="22"/>
          <w:szCs w:val="22"/>
          <w:lang w:val="sr-Latn-ME"/>
        </w:rPr>
        <w:tab/>
      </w:r>
      <w:r w:rsidRPr="00C12098">
        <w:rPr>
          <w:b/>
          <w:bCs/>
          <w:sz w:val="22"/>
          <w:szCs w:val="22"/>
          <w:lang w:val="sr-Latn-ME"/>
        </w:rPr>
        <w:t>NOSILAC DOZVOLE</w:t>
      </w:r>
      <w:r w:rsidR="00483928" w:rsidRPr="00C12098">
        <w:rPr>
          <w:b/>
          <w:bCs/>
          <w:sz w:val="22"/>
          <w:szCs w:val="22"/>
          <w:lang w:val="sr-Latn-ME"/>
        </w:rPr>
        <w:t xml:space="preserve"> </w:t>
      </w:r>
    </w:p>
    <w:p w14:paraId="7AFF1417" w14:textId="77777777" w:rsidR="00A91046" w:rsidRPr="00C12098" w:rsidRDefault="00A91046" w:rsidP="0059051B">
      <w:pPr>
        <w:tabs>
          <w:tab w:val="left" w:pos="540"/>
          <w:tab w:val="left" w:pos="569"/>
        </w:tabs>
        <w:jc w:val="both"/>
        <w:rPr>
          <w:b/>
          <w:bCs/>
          <w:sz w:val="22"/>
          <w:szCs w:val="22"/>
          <w:lang w:val="sr-Latn-ME"/>
        </w:rPr>
      </w:pPr>
    </w:p>
    <w:p w14:paraId="5DC68241" w14:textId="34088217" w:rsidR="00A91046" w:rsidRPr="00C12098" w:rsidRDefault="001431A5" w:rsidP="0059051B">
      <w:pPr>
        <w:tabs>
          <w:tab w:val="left" w:pos="540"/>
          <w:tab w:val="left" w:pos="569"/>
        </w:tabs>
        <w:jc w:val="both"/>
        <w:rPr>
          <w:bCs/>
          <w:sz w:val="22"/>
          <w:szCs w:val="22"/>
          <w:lang w:val="sr-Latn-ME"/>
        </w:rPr>
      </w:pPr>
      <w:r>
        <w:rPr>
          <w:bCs/>
          <w:sz w:val="22"/>
          <w:szCs w:val="22"/>
          <w:lang w:val="sr-Latn-ME"/>
        </w:rPr>
        <w:t>Glosarij</w:t>
      </w:r>
      <w:r w:rsidR="00A91046" w:rsidRPr="00C12098">
        <w:rPr>
          <w:bCs/>
          <w:sz w:val="22"/>
          <w:szCs w:val="22"/>
          <w:lang w:val="sr-Latn-ME"/>
        </w:rPr>
        <w:t xml:space="preserve"> d.o.o</w:t>
      </w:r>
      <w:r w:rsidR="006F57B5" w:rsidRPr="00C12098">
        <w:rPr>
          <w:bCs/>
          <w:sz w:val="22"/>
          <w:szCs w:val="22"/>
          <w:lang w:val="sr-Latn-ME"/>
        </w:rPr>
        <w:t>.</w:t>
      </w:r>
      <w:r>
        <w:rPr>
          <w:bCs/>
          <w:sz w:val="22"/>
          <w:szCs w:val="22"/>
          <w:lang w:val="sr-Latn-ME"/>
        </w:rPr>
        <w:t>,</w:t>
      </w:r>
    </w:p>
    <w:p w14:paraId="203EC6CC" w14:textId="6DCFC2E7" w:rsidR="00C61BE0" w:rsidRPr="00C12098" w:rsidRDefault="001431A5" w:rsidP="0059051B">
      <w:pPr>
        <w:tabs>
          <w:tab w:val="left" w:pos="540"/>
          <w:tab w:val="left" w:pos="569"/>
        </w:tabs>
        <w:jc w:val="both"/>
        <w:rPr>
          <w:bCs/>
          <w:sz w:val="22"/>
          <w:szCs w:val="22"/>
          <w:lang w:val="sr-Latn-ME"/>
        </w:rPr>
      </w:pPr>
      <w:r>
        <w:rPr>
          <w:bCs/>
          <w:sz w:val="22"/>
          <w:szCs w:val="22"/>
          <w:lang w:val="sr-Latn-ME"/>
        </w:rPr>
        <w:t>Vojislavljevića 76</w:t>
      </w:r>
      <w:r w:rsidR="00A91046" w:rsidRPr="00C12098">
        <w:rPr>
          <w:bCs/>
          <w:sz w:val="22"/>
          <w:szCs w:val="22"/>
          <w:lang w:val="sr-Latn-ME"/>
        </w:rPr>
        <w:t>, 81</w:t>
      </w:r>
      <w:r>
        <w:rPr>
          <w:bCs/>
          <w:sz w:val="22"/>
          <w:szCs w:val="22"/>
          <w:lang w:val="sr-Latn-ME"/>
        </w:rPr>
        <w:t xml:space="preserve"> </w:t>
      </w:r>
      <w:r w:rsidR="00A91046" w:rsidRPr="00C12098">
        <w:rPr>
          <w:bCs/>
          <w:sz w:val="22"/>
          <w:szCs w:val="22"/>
          <w:lang w:val="sr-Latn-ME"/>
        </w:rPr>
        <w:t>000 Podgorica, Crna Gora</w:t>
      </w:r>
    </w:p>
    <w:p w14:paraId="235D4A97" w14:textId="302E840E" w:rsidR="00C37FD7" w:rsidRPr="00C12098" w:rsidRDefault="00C37FD7" w:rsidP="0059051B">
      <w:pPr>
        <w:tabs>
          <w:tab w:val="left" w:pos="540"/>
          <w:tab w:val="left" w:pos="569"/>
        </w:tabs>
        <w:jc w:val="both"/>
        <w:rPr>
          <w:bCs/>
          <w:sz w:val="22"/>
          <w:szCs w:val="22"/>
          <w:lang w:val="sr-Latn-ME"/>
        </w:rPr>
      </w:pPr>
    </w:p>
    <w:p w14:paraId="038CCFB4" w14:textId="77777777" w:rsidR="006F57B5" w:rsidRPr="00C12098" w:rsidRDefault="006F57B5" w:rsidP="0059051B">
      <w:pPr>
        <w:tabs>
          <w:tab w:val="left" w:pos="540"/>
          <w:tab w:val="left" w:pos="569"/>
        </w:tabs>
        <w:jc w:val="both"/>
        <w:rPr>
          <w:bCs/>
          <w:sz w:val="22"/>
          <w:szCs w:val="22"/>
          <w:lang w:val="sr-Latn-ME"/>
        </w:rPr>
      </w:pPr>
    </w:p>
    <w:p w14:paraId="4D034B76" w14:textId="77777777"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8. </w:t>
      </w:r>
      <w:r w:rsidR="00480FB1" w:rsidRPr="00C12098">
        <w:rPr>
          <w:b/>
          <w:bCs/>
          <w:sz w:val="22"/>
          <w:szCs w:val="22"/>
          <w:lang w:val="sr-Latn-ME"/>
        </w:rPr>
        <w:tab/>
      </w:r>
      <w:r w:rsidRPr="00C12098">
        <w:rPr>
          <w:b/>
          <w:bCs/>
          <w:sz w:val="22"/>
          <w:szCs w:val="22"/>
          <w:lang w:val="sr-Latn-ME"/>
        </w:rPr>
        <w:t>BROJ DOZVOLE</w:t>
      </w:r>
      <w:r w:rsidR="008A6D43" w:rsidRPr="00C12098">
        <w:rPr>
          <w:b/>
          <w:bCs/>
          <w:sz w:val="22"/>
          <w:szCs w:val="22"/>
          <w:lang w:val="sr-Latn-ME"/>
        </w:rPr>
        <w:t xml:space="preserve"> ZA STAVLJANJE LIJEKA U PROMET</w:t>
      </w:r>
    </w:p>
    <w:p w14:paraId="1272C815" w14:textId="7B6418BF" w:rsidR="0072020E" w:rsidRDefault="0072020E" w:rsidP="0059051B">
      <w:pPr>
        <w:tabs>
          <w:tab w:val="left" w:pos="540"/>
          <w:tab w:val="left" w:pos="569"/>
        </w:tabs>
        <w:jc w:val="both"/>
        <w:rPr>
          <w:bCs/>
          <w:sz w:val="22"/>
          <w:szCs w:val="22"/>
          <w:lang w:val="sr-Latn-ME"/>
        </w:rPr>
      </w:pPr>
    </w:p>
    <w:p w14:paraId="0BEF93F5" w14:textId="0BF2DCE0" w:rsidR="00C12098" w:rsidRDefault="00C12098" w:rsidP="00C12098">
      <w:pPr>
        <w:tabs>
          <w:tab w:val="left" w:pos="540"/>
          <w:tab w:val="left" w:pos="569"/>
        </w:tabs>
        <w:jc w:val="both"/>
        <w:rPr>
          <w:bCs/>
          <w:sz w:val="22"/>
          <w:szCs w:val="22"/>
          <w:lang w:val="sr-Latn-ME"/>
        </w:rPr>
      </w:pPr>
      <w:r w:rsidRPr="00C12098">
        <w:rPr>
          <w:bCs/>
          <w:sz w:val="22"/>
          <w:szCs w:val="22"/>
          <w:lang w:val="sr-Latn-ME"/>
        </w:rPr>
        <w:t>Sona Duo, gel, 1 mg/g + 25 mg/g, tuba, 1x30</w:t>
      </w:r>
      <w:r>
        <w:rPr>
          <w:bCs/>
          <w:sz w:val="22"/>
          <w:szCs w:val="22"/>
          <w:lang w:val="sr-Latn-ME"/>
        </w:rPr>
        <w:t xml:space="preserve"> g: </w:t>
      </w:r>
      <w:r w:rsidRPr="001431A5">
        <w:rPr>
          <w:bCs/>
          <w:sz w:val="22"/>
          <w:szCs w:val="22"/>
          <w:lang w:val="sr-Latn-ME"/>
        </w:rPr>
        <w:t>2030/23/4792 - 4004</w:t>
      </w:r>
    </w:p>
    <w:p w14:paraId="4A1645C1" w14:textId="3CDA9090" w:rsidR="00C12098" w:rsidRDefault="00C12098" w:rsidP="0059051B">
      <w:pPr>
        <w:tabs>
          <w:tab w:val="left" w:pos="540"/>
          <w:tab w:val="left" w:pos="569"/>
        </w:tabs>
        <w:jc w:val="both"/>
        <w:rPr>
          <w:bCs/>
          <w:sz w:val="22"/>
          <w:szCs w:val="22"/>
          <w:lang w:val="sr-Latn-ME"/>
        </w:rPr>
      </w:pPr>
      <w:r w:rsidRPr="00C12098">
        <w:rPr>
          <w:bCs/>
          <w:sz w:val="22"/>
          <w:szCs w:val="22"/>
          <w:lang w:val="sr-Latn-ME"/>
        </w:rPr>
        <w:t>Sona Duo, gel, 1</w:t>
      </w:r>
      <w:r>
        <w:rPr>
          <w:bCs/>
          <w:sz w:val="22"/>
          <w:szCs w:val="22"/>
          <w:lang w:val="sr-Latn-ME"/>
        </w:rPr>
        <w:t xml:space="preserve"> </w:t>
      </w:r>
      <w:r w:rsidRPr="00C12098">
        <w:rPr>
          <w:bCs/>
          <w:sz w:val="22"/>
          <w:szCs w:val="22"/>
          <w:lang w:val="sr-Latn-ME"/>
        </w:rPr>
        <w:t>mg/g + 25</w:t>
      </w:r>
      <w:r>
        <w:rPr>
          <w:bCs/>
          <w:sz w:val="22"/>
          <w:szCs w:val="22"/>
          <w:lang w:val="sr-Latn-ME"/>
        </w:rPr>
        <w:t xml:space="preserve"> </w:t>
      </w:r>
      <w:r w:rsidRPr="00C12098">
        <w:rPr>
          <w:bCs/>
          <w:sz w:val="22"/>
          <w:szCs w:val="22"/>
          <w:lang w:val="sr-Latn-ME"/>
        </w:rPr>
        <w:t>mg/g, bočica</w:t>
      </w:r>
      <w:r>
        <w:rPr>
          <w:bCs/>
          <w:sz w:val="22"/>
          <w:szCs w:val="22"/>
          <w:lang w:val="sr-Latn-ME"/>
        </w:rPr>
        <w:t xml:space="preserve"> sa pumpom za doziranje, 1x30 g:</w:t>
      </w:r>
      <w:r w:rsidRPr="00C12098">
        <w:rPr>
          <w:rFonts w:ascii="TimesNewRoman" w:hAnsi="TimesNewRoman" w:cs="TimesNewRoman"/>
          <w:sz w:val="22"/>
          <w:szCs w:val="22"/>
          <w:lang w:val="sr-Latn-ME" w:eastAsia="sr-Latn-ME"/>
        </w:rPr>
        <w:t xml:space="preserve"> </w:t>
      </w:r>
      <w:r w:rsidRPr="001431A5">
        <w:rPr>
          <w:bCs/>
          <w:sz w:val="22"/>
          <w:szCs w:val="22"/>
          <w:lang w:val="sr-Latn-ME"/>
        </w:rPr>
        <w:t>2030/23/4793 - 4006</w:t>
      </w:r>
    </w:p>
    <w:p w14:paraId="3FBAE423" w14:textId="77777777" w:rsidR="00C12098" w:rsidRPr="00C12098" w:rsidRDefault="00C12098" w:rsidP="0059051B">
      <w:pPr>
        <w:tabs>
          <w:tab w:val="left" w:pos="540"/>
          <w:tab w:val="left" w:pos="569"/>
        </w:tabs>
        <w:jc w:val="both"/>
        <w:rPr>
          <w:bCs/>
          <w:sz w:val="22"/>
          <w:szCs w:val="22"/>
          <w:lang w:val="sr-Latn-ME"/>
        </w:rPr>
      </w:pPr>
    </w:p>
    <w:p w14:paraId="58729BC7" w14:textId="77777777" w:rsidR="00F45F77" w:rsidRPr="00C12098" w:rsidRDefault="00F45F77" w:rsidP="0059051B">
      <w:pPr>
        <w:tabs>
          <w:tab w:val="left" w:pos="540"/>
          <w:tab w:val="left" w:pos="569"/>
        </w:tabs>
        <w:jc w:val="both"/>
        <w:rPr>
          <w:bCs/>
          <w:sz w:val="22"/>
          <w:szCs w:val="22"/>
          <w:lang w:val="sr-Latn-ME"/>
        </w:rPr>
      </w:pPr>
    </w:p>
    <w:p w14:paraId="3FCF0C71" w14:textId="77777777" w:rsidR="0072020E" w:rsidRPr="00C12098" w:rsidRDefault="0072020E" w:rsidP="0059051B">
      <w:pPr>
        <w:tabs>
          <w:tab w:val="left" w:pos="540"/>
          <w:tab w:val="left" w:pos="569"/>
        </w:tabs>
        <w:jc w:val="both"/>
        <w:rPr>
          <w:b/>
          <w:bCs/>
          <w:sz w:val="22"/>
          <w:szCs w:val="22"/>
          <w:lang w:val="sr-Latn-ME"/>
        </w:rPr>
      </w:pPr>
      <w:r w:rsidRPr="00C12098">
        <w:rPr>
          <w:b/>
          <w:bCs/>
          <w:sz w:val="22"/>
          <w:szCs w:val="22"/>
          <w:lang w:val="sr-Latn-ME"/>
        </w:rPr>
        <w:t xml:space="preserve">9. </w:t>
      </w:r>
      <w:r w:rsidR="00480FB1" w:rsidRPr="00C12098">
        <w:rPr>
          <w:b/>
          <w:bCs/>
          <w:sz w:val="22"/>
          <w:szCs w:val="22"/>
          <w:lang w:val="sr-Latn-ME"/>
        </w:rPr>
        <w:tab/>
      </w:r>
      <w:r w:rsidRPr="00C12098">
        <w:rPr>
          <w:b/>
          <w:bCs/>
          <w:sz w:val="22"/>
          <w:szCs w:val="22"/>
          <w:lang w:val="sr-Latn-ME"/>
        </w:rPr>
        <w:t xml:space="preserve">DATUM </w:t>
      </w:r>
      <w:r w:rsidR="00C05DF8" w:rsidRPr="00C12098">
        <w:rPr>
          <w:b/>
          <w:bCs/>
          <w:sz w:val="22"/>
          <w:szCs w:val="22"/>
          <w:lang w:val="sr-Latn-ME"/>
        </w:rPr>
        <w:t xml:space="preserve">PRVE </w:t>
      </w:r>
      <w:r w:rsidR="008A6D43" w:rsidRPr="00C12098">
        <w:rPr>
          <w:b/>
          <w:bCs/>
          <w:sz w:val="22"/>
          <w:szCs w:val="22"/>
          <w:lang w:val="sr-Latn-ME"/>
        </w:rPr>
        <w:t>DOZVOLE</w:t>
      </w:r>
      <w:r w:rsidR="00C05DF8" w:rsidRPr="00C12098">
        <w:rPr>
          <w:b/>
          <w:bCs/>
          <w:sz w:val="22"/>
          <w:szCs w:val="22"/>
          <w:lang w:val="sr-Latn-ME"/>
        </w:rPr>
        <w:t>/OBNOVE DOZ</w:t>
      </w:r>
      <w:bookmarkStart w:id="0" w:name="_GoBack"/>
      <w:bookmarkEnd w:id="0"/>
      <w:r w:rsidR="00C05DF8" w:rsidRPr="00C12098">
        <w:rPr>
          <w:b/>
          <w:bCs/>
          <w:sz w:val="22"/>
          <w:szCs w:val="22"/>
          <w:lang w:val="sr-Latn-ME"/>
        </w:rPr>
        <w:t>VOLE</w:t>
      </w:r>
      <w:r w:rsidR="008A6D43" w:rsidRPr="00C12098">
        <w:rPr>
          <w:b/>
          <w:bCs/>
          <w:sz w:val="22"/>
          <w:szCs w:val="22"/>
          <w:lang w:val="sr-Latn-ME"/>
        </w:rPr>
        <w:t xml:space="preserve"> ZA STAVLJANJE LIJEKA U PROMET</w:t>
      </w:r>
    </w:p>
    <w:p w14:paraId="051D1B27" w14:textId="55A3B590" w:rsidR="0072020E" w:rsidRDefault="0072020E" w:rsidP="0059051B">
      <w:pPr>
        <w:tabs>
          <w:tab w:val="left" w:pos="540"/>
          <w:tab w:val="left" w:pos="569"/>
        </w:tabs>
        <w:jc w:val="both"/>
        <w:rPr>
          <w:bCs/>
          <w:sz w:val="22"/>
          <w:szCs w:val="22"/>
          <w:lang w:val="sr-Latn-ME"/>
        </w:rPr>
      </w:pPr>
    </w:p>
    <w:p w14:paraId="04792AE2" w14:textId="6AC53E5C" w:rsidR="00C12098" w:rsidRDefault="00C12098" w:rsidP="0059051B">
      <w:pPr>
        <w:tabs>
          <w:tab w:val="left" w:pos="540"/>
          <w:tab w:val="left" w:pos="569"/>
        </w:tabs>
        <w:jc w:val="both"/>
        <w:rPr>
          <w:bCs/>
          <w:sz w:val="22"/>
          <w:szCs w:val="22"/>
          <w:lang w:val="sr-Latn-ME"/>
        </w:rPr>
      </w:pPr>
      <w:r>
        <w:rPr>
          <w:bCs/>
          <w:sz w:val="22"/>
          <w:szCs w:val="22"/>
          <w:lang w:val="sr-Latn-ME"/>
        </w:rPr>
        <w:t>25.12.2023. godine</w:t>
      </w:r>
    </w:p>
    <w:p w14:paraId="2BF62F55" w14:textId="77777777" w:rsidR="00C12098" w:rsidRPr="00C12098" w:rsidRDefault="00C12098" w:rsidP="0059051B">
      <w:pPr>
        <w:tabs>
          <w:tab w:val="left" w:pos="540"/>
          <w:tab w:val="left" w:pos="569"/>
        </w:tabs>
        <w:jc w:val="both"/>
        <w:rPr>
          <w:bCs/>
          <w:sz w:val="22"/>
          <w:szCs w:val="22"/>
          <w:lang w:val="sr-Latn-ME"/>
        </w:rPr>
      </w:pPr>
    </w:p>
    <w:p w14:paraId="48A76150" w14:textId="77777777" w:rsidR="00836B35" w:rsidRPr="00C12098" w:rsidRDefault="00836B35" w:rsidP="0059051B">
      <w:pPr>
        <w:tabs>
          <w:tab w:val="left" w:pos="540"/>
          <w:tab w:val="left" w:pos="569"/>
        </w:tabs>
        <w:jc w:val="both"/>
        <w:rPr>
          <w:bCs/>
          <w:sz w:val="22"/>
          <w:szCs w:val="22"/>
          <w:lang w:val="sr-Latn-ME"/>
        </w:rPr>
      </w:pPr>
    </w:p>
    <w:p w14:paraId="584D121A" w14:textId="77777777" w:rsidR="003F6A59" w:rsidRPr="00C12098" w:rsidRDefault="0072020E" w:rsidP="0059051B">
      <w:pPr>
        <w:tabs>
          <w:tab w:val="left" w:pos="540"/>
          <w:tab w:val="left" w:pos="569"/>
        </w:tabs>
        <w:ind w:left="540" w:hanging="540"/>
        <w:jc w:val="both"/>
        <w:rPr>
          <w:bCs/>
          <w:sz w:val="22"/>
          <w:szCs w:val="22"/>
          <w:lang w:val="sr-Latn-ME"/>
        </w:rPr>
      </w:pPr>
      <w:r w:rsidRPr="00C12098">
        <w:rPr>
          <w:b/>
          <w:bCs/>
          <w:sz w:val="22"/>
          <w:szCs w:val="22"/>
          <w:lang w:val="sr-Latn-ME"/>
        </w:rPr>
        <w:t xml:space="preserve">10. </w:t>
      </w:r>
      <w:r w:rsidR="00480FB1" w:rsidRPr="00C12098">
        <w:rPr>
          <w:b/>
          <w:bCs/>
          <w:sz w:val="22"/>
          <w:szCs w:val="22"/>
          <w:lang w:val="sr-Latn-ME"/>
        </w:rPr>
        <w:tab/>
      </w:r>
      <w:r w:rsidR="002846DB" w:rsidRPr="00C12098">
        <w:rPr>
          <w:b/>
          <w:bCs/>
          <w:sz w:val="22"/>
          <w:szCs w:val="22"/>
          <w:lang w:val="sr-Latn-ME"/>
        </w:rPr>
        <w:t>D</w:t>
      </w:r>
      <w:r w:rsidR="00EC2532" w:rsidRPr="00C12098">
        <w:rPr>
          <w:b/>
          <w:bCs/>
          <w:sz w:val="22"/>
          <w:szCs w:val="22"/>
          <w:lang w:val="sr-Latn-ME"/>
        </w:rPr>
        <w:t xml:space="preserve">ATUM REVIZIJE TEKSTA </w:t>
      </w:r>
    </w:p>
    <w:p w14:paraId="1FBC59B2" w14:textId="77777777" w:rsidR="003F6A59" w:rsidRPr="00C12098" w:rsidRDefault="003F6A59" w:rsidP="0059051B">
      <w:pPr>
        <w:tabs>
          <w:tab w:val="left" w:pos="540"/>
          <w:tab w:val="left" w:pos="569"/>
        </w:tabs>
        <w:jc w:val="both"/>
        <w:rPr>
          <w:bCs/>
          <w:sz w:val="22"/>
          <w:szCs w:val="22"/>
          <w:lang w:val="sr-Latn-ME"/>
        </w:rPr>
      </w:pPr>
    </w:p>
    <w:p w14:paraId="6A24090F" w14:textId="7FA59488" w:rsidR="003F6A59" w:rsidRPr="00C12098" w:rsidRDefault="00450B0D" w:rsidP="0059051B">
      <w:pPr>
        <w:jc w:val="both"/>
        <w:rPr>
          <w:sz w:val="22"/>
          <w:szCs w:val="22"/>
          <w:lang w:val="sr-Latn-ME"/>
        </w:rPr>
      </w:pPr>
      <w:r>
        <w:rPr>
          <w:sz w:val="22"/>
          <w:szCs w:val="22"/>
          <w:lang w:val="sr-Latn-ME"/>
        </w:rPr>
        <w:t>Jun</w:t>
      </w:r>
      <w:r w:rsidR="00C12098">
        <w:rPr>
          <w:sz w:val="22"/>
          <w:szCs w:val="22"/>
          <w:lang w:val="sr-Latn-ME"/>
        </w:rPr>
        <w:t>, 202</w:t>
      </w:r>
      <w:r w:rsidR="006A2657">
        <w:rPr>
          <w:sz w:val="22"/>
          <w:szCs w:val="22"/>
          <w:lang w:val="sr-Latn-ME"/>
        </w:rPr>
        <w:t>4</w:t>
      </w:r>
      <w:r w:rsidR="00C12098">
        <w:rPr>
          <w:sz w:val="22"/>
          <w:szCs w:val="22"/>
          <w:lang w:val="sr-Latn-ME"/>
        </w:rPr>
        <w:t>. godine</w:t>
      </w:r>
    </w:p>
    <w:sectPr w:rsidR="003F6A59" w:rsidRPr="00C12098"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7B2D9" w14:textId="77777777" w:rsidR="005E2EA4" w:rsidRDefault="005E2EA4">
      <w:r>
        <w:separator/>
      </w:r>
    </w:p>
  </w:endnote>
  <w:endnote w:type="continuationSeparator" w:id="0">
    <w:p w14:paraId="7EDF76E6" w14:textId="77777777" w:rsidR="005E2EA4" w:rsidRDefault="005E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FD00" w14:textId="0454B617"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431A5">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431A5">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8442" w14:textId="77777777" w:rsidR="005E2EA4" w:rsidRDefault="005E2EA4">
      <w:r>
        <w:separator/>
      </w:r>
    </w:p>
  </w:footnote>
  <w:footnote w:type="continuationSeparator" w:id="0">
    <w:p w14:paraId="1A0C6B9D" w14:textId="77777777" w:rsidR="005E2EA4" w:rsidRDefault="005E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55pt;height:12.65pt;visibility:visible" o:bullet="t">
        <v:imagedata r:id="rId1" o:title="BT_1000x858px"/>
      </v:shape>
    </w:pict>
  </w:numPicBullet>
  <w:abstractNum w:abstractNumId="0" w15:restartNumberingAfterBreak="0">
    <w:nsid w:val="01EA2F22"/>
    <w:multiLevelType w:val="hybridMultilevel"/>
    <w:tmpl w:val="53C63302"/>
    <w:lvl w:ilvl="0" w:tplc="5812017C">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7B2C5B"/>
    <w:multiLevelType w:val="hybridMultilevel"/>
    <w:tmpl w:val="C5A83FF2"/>
    <w:lvl w:ilvl="0" w:tplc="910CE9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12"/>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1B8"/>
    <w:rsid w:val="00031AC9"/>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3025E"/>
    <w:rsid w:val="00140335"/>
    <w:rsid w:val="001431A5"/>
    <w:rsid w:val="0014766D"/>
    <w:rsid w:val="001536CC"/>
    <w:rsid w:val="00154842"/>
    <w:rsid w:val="001819B1"/>
    <w:rsid w:val="001A3FBA"/>
    <w:rsid w:val="001A5518"/>
    <w:rsid w:val="001B1C6A"/>
    <w:rsid w:val="001C1263"/>
    <w:rsid w:val="001C1417"/>
    <w:rsid w:val="001E390B"/>
    <w:rsid w:val="001F42FB"/>
    <w:rsid w:val="001F719A"/>
    <w:rsid w:val="002031B3"/>
    <w:rsid w:val="00205FA6"/>
    <w:rsid w:val="00215931"/>
    <w:rsid w:val="00224C91"/>
    <w:rsid w:val="00227BDB"/>
    <w:rsid w:val="00234CB1"/>
    <w:rsid w:val="002352F8"/>
    <w:rsid w:val="002510A5"/>
    <w:rsid w:val="00254A0A"/>
    <w:rsid w:val="00266046"/>
    <w:rsid w:val="002846DB"/>
    <w:rsid w:val="00284CCD"/>
    <w:rsid w:val="002C6637"/>
    <w:rsid w:val="002E0135"/>
    <w:rsid w:val="002E37A5"/>
    <w:rsid w:val="002F2607"/>
    <w:rsid w:val="00310F03"/>
    <w:rsid w:val="003247D2"/>
    <w:rsid w:val="00343F66"/>
    <w:rsid w:val="003445C1"/>
    <w:rsid w:val="00355B61"/>
    <w:rsid w:val="00362686"/>
    <w:rsid w:val="00371510"/>
    <w:rsid w:val="00396DFD"/>
    <w:rsid w:val="003A7059"/>
    <w:rsid w:val="003B7A36"/>
    <w:rsid w:val="003C155C"/>
    <w:rsid w:val="003C17AB"/>
    <w:rsid w:val="003C7823"/>
    <w:rsid w:val="003C7B28"/>
    <w:rsid w:val="003E1DCC"/>
    <w:rsid w:val="003E36F2"/>
    <w:rsid w:val="003F11A1"/>
    <w:rsid w:val="003F6A59"/>
    <w:rsid w:val="0040654F"/>
    <w:rsid w:val="004065C8"/>
    <w:rsid w:val="004109FA"/>
    <w:rsid w:val="00411B4B"/>
    <w:rsid w:val="00412551"/>
    <w:rsid w:val="00415BEE"/>
    <w:rsid w:val="004254E9"/>
    <w:rsid w:val="00427F85"/>
    <w:rsid w:val="00436F42"/>
    <w:rsid w:val="004378B4"/>
    <w:rsid w:val="00450B0D"/>
    <w:rsid w:val="00451314"/>
    <w:rsid w:val="00452E9D"/>
    <w:rsid w:val="004534C7"/>
    <w:rsid w:val="00465B7E"/>
    <w:rsid w:val="004671AA"/>
    <w:rsid w:val="00471DF8"/>
    <w:rsid w:val="00480FB1"/>
    <w:rsid w:val="00483928"/>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80E88"/>
    <w:rsid w:val="0059051B"/>
    <w:rsid w:val="005A0B2E"/>
    <w:rsid w:val="005A23D2"/>
    <w:rsid w:val="005A36CB"/>
    <w:rsid w:val="005A6834"/>
    <w:rsid w:val="005B49B8"/>
    <w:rsid w:val="005C0741"/>
    <w:rsid w:val="005C0E13"/>
    <w:rsid w:val="005C5EF4"/>
    <w:rsid w:val="005D588F"/>
    <w:rsid w:val="005E2E0B"/>
    <w:rsid w:val="005E2EA4"/>
    <w:rsid w:val="005E67AD"/>
    <w:rsid w:val="005E7A7D"/>
    <w:rsid w:val="00602457"/>
    <w:rsid w:val="00644FC3"/>
    <w:rsid w:val="00646BD1"/>
    <w:rsid w:val="006561C2"/>
    <w:rsid w:val="00657505"/>
    <w:rsid w:val="006609C2"/>
    <w:rsid w:val="00671CB3"/>
    <w:rsid w:val="00674BAF"/>
    <w:rsid w:val="0068194C"/>
    <w:rsid w:val="00682200"/>
    <w:rsid w:val="00692BF6"/>
    <w:rsid w:val="006A1351"/>
    <w:rsid w:val="006A1497"/>
    <w:rsid w:val="006A2445"/>
    <w:rsid w:val="006A2657"/>
    <w:rsid w:val="006B0BD1"/>
    <w:rsid w:val="006B5404"/>
    <w:rsid w:val="006D1225"/>
    <w:rsid w:val="006D20A5"/>
    <w:rsid w:val="006D37BF"/>
    <w:rsid w:val="006F57B5"/>
    <w:rsid w:val="00702E22"/>
    <w:rsid w:val="0072020E"/>
    <w:rsid w:val="00754902"/>
    <w:rsid w:val="00786071"/>
    <w:rsid w:val="0079798C"/>
    <w:rsid w:val="007A3ECB"/>
    <w:rsid w:val="007D7BB3"/>
    <w:rsid w:val="007E31E9"/>
    <w:rsid w:val="007F05E3"/>
    <w:rsid w:val="00824AB9"/>
    <w:rsid w:val="00836B35"/>
    <w:rsid w:val="00843BDE"/>
    <w:rsid w:val="0087588C"/>
    <w:rsid w:val="00893F69"/>
    <w:rsid w:val="0089705C"/>
    <w:rsid w:val="008A6D43"/>
    <w:rsid w:val="008B491E"/>
    <w:rsid w:val="008C1A28"/>
    <w:rsid w:val="008C2E98"/>
    <w:rsid w:val="008D738F"/>
    <w:rsid w:val="008E3E30"/>
    <w:rsid w:val="008E49BD"/>
    <w:rsid w:val="008E53E9"/>
    <w:rsid w:val="008E5771"/>
    <w:rsid w:val="008F4ACF"/>
    <w:rsid w:val="00920D05"/>
    <w:rsid w:val="00924166"/>
    <w:rsid w:val="00933ED1"/>
    <w:rsid w:val="00940B9B"/>
    <w:rsid w:val="00953573"/>
    <w:rsid w:val="0095676E"/>
    <w:rsid w:val="00956983"/>
    <w:rsid w:val="00963CF0"/>
    <w:rsid w:val="00964BB1"/>
    <w:rsid w:val="009775D9"/>
    <w:rsid w:val="00997175"/>
    <w:rsid w:val="009A1847"/>
    <w:rsid w:val="009B062A"/>
    <w:rsid w:val="009B6089"/>
    <w:rsid w:val="009E7C6F"/>
    <w:rsid w:val="009F1793"/>
    <w:rsid w:val="009F2D23"/>
    <w:rsid w:val="00A01D69"/>
    <w:rsid w:val="00A02335"/>
    <w:rsid w:val="00A14417"/>
    <w:rsid w:val="00A400F6"/>
    <w:rsid w:val="00A46C9A"/>
    <w:rsid w:val="00A619F3"/>
    <w:rsid w:val="00A62A73"/>
    <w:rsid w:val="00A73C96"/>
    <w:rsid w:val="00A75891"/>
    <w:rsid w:val="00A87FF6"/>
    <w:rsid w:val="00A91046"/>
    <w:rsid w:val="00AA0A3B"/>
    <w:rsid w:val="00AA2763"/>
    <w:rsid w:val="00AA33B6"/>
    <w:rsid w:val="00AB50CA"/>
    <w:rsid w:val="00AB6D64"/>
    <w:rsid w:val="00AB7D96"/>
    <w:rsid w:val="00AC53CE"/>
    <w:rsid w:val="00AD2193"/>
    <w:rsid w:val="00AF19F4"/>
    <w:rsid w:val="00AF2AC7"/>
    <w:rsid w:val="00AF74CE"/>
    <w:rsid w:val="00B208DB"/>
    <w:rsid w:val="00B22AB5"/>
    <w:rsid w:val="00B23F69"/>
    <w:rsid w:val="00B60619"/>
    <w:rsid w:val="00B66A70"/>
    <w:rsid w:val="00B67366"/>
    <w:rsid w:val="00B71704"/>
    <w:rsid w:val="00B80EE1"/>
    <w:rsid w:val="00B84135"/>
    <w:rsid w:val="00B918FF"/>
    <w:rsid w:val="00BB6C32"/>
    <w:rsid w:val="00BD0AF1"/>
    <w:rsid w:val="00BD164A"/>
    <w:rsid w:val="00C04D34"/>
    <w:rsid w:val="00C05DF8"/>
    <w:rsid w:val="00C06864"/>
    <w:rsid w:val="00C10F54"/>
    <w:rsid w:val="00C12098"/>
    <w:rsid w:val="00C23D8D"/>
    <w:rsid w:val="00C37AA3"/>
    <w:rsid w:val="00C37FD7"/>
    <w:rsid w:val="00C41C90"/>
    <w:rsid w:val="00C43419"/>
    <w:rsid w:val="00C44CF3"/>
    <w:rsid w:val="00C61BE0"/>
    <w:rsid w:val="00C6707E"/>
    <w:rsid w:val="00C70B0E"/>
    <w:rsid w:val="00C773CA"/>
    <w:rsid w:val="00C83785"/>
    <w:rsid w:val="00C87FA8"/>
    <w:rsid w:val="00C94C0D"/>
    <w:rsid w:val="00CA1FEB"/>
    <w:rsid w:val="00CA5A81"/>
    <w:rsid w:val="00CD4F85"/>
    <w:rsid w:val="00CD6F02"/>
    <w:rsid w:val="00CE246D"/>
    <w:rsid w:val="00CF07A0"/>
    <w:rsid w:val="00CF3E03"/>
    <w:rsid w:val="00D0082A"/>
    <w:rsid w:val="00D21455"/>
    <w:rsid w:val="00D47634"/>
    <w:rsid w:val="00D67889"/>
    <w:rsid w:val="00D709B3"/>
    <w:rsid w:val="00D74CD2"/>
    <w:rsid w:val="00DA2ED6"/>
    <w:rsid w:val="00DB1D55"/>
    <w:rsid w:val="00DB76B8"/>
    <w:rsid w:val="00DC2EA1"/>
    <w:rsid w:val="00DD6AAF"/>
    <w:rsid w:val="00DE3F5C"/>
    <w:rsid w:val="00DF1D20"/>
    <w:rsid w:val="00DF4260"/>
    <w:rsid w:val="00E07386"/>
    <w:rsid w:val="00E21324"/>
    <w:rsid w:val="00E246B9"/>
    <w:rsid w:val="00E31FEA"/>
    <w:rsid w:val="00E45169"/>
    <w:rsid w:val="00E47787"/>
    <w:rsid w:val="00E51C30"/>
    <w:rsid w:val="00E64180"/>
    <w:rsid w:val="00E674B0"/>
    <w:rsid w:val="00E7235D"/>
    <w:rsid w:val="00E74AEE"/>
    <w:rsid w:val="00E80834"/>
    <w:rsid w:val="00E83625"/>
    <w:rsid w:val="00E868E5"/>
    <w:rsid w:val="00E9237A"/>
    <w:rsid w:val="00E939FA"/>
    <w:rsid w:val="00EA5765"/>
    <w:rsid w:val="00EC2532"/>
    <w:rsid w:val="00ED7812"/>
    <w:rsid w:val="00EF292D"/>
    <w:rsid w:val="00EF3B86"/>
    <w:rsid w:val="00F317E9"/>
    <w:rsid w:val="00F34554"/>
    <w:rsid w:val="00F35B68"/>
    <w:rsid w:val="00F45F77"/>
    <w:rsid w:val="00F5167F"/>
    <w:rsid w:val="00F52258"/>
    <w:rsid w:val="00F75C9A"/>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D3B4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6575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64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3263-E4ED-41CC-8FB2-3D3A2EBF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19459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8</cp:revision>
  <cp:lastPrinted>2023-02-09T08:16:00Z</cp:lastPrinted>
  <dcterms:created xsi:type="dcterms:W3CDTF">2023-12-28T09:30:00Z</dcterms:created>
  <dcterms:modified xsi:type="dcterms:W3CDTF">2025-05-29T11:04:00Z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