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DFFEA" w14:textId="77777777" w:rsidR="002510A5" w:rsidRPr="002A6AB6" w:rsidRDefault="002510A5" w:rsidP="00122792">
      <w:pPr>
        <w:jc w:val="center"/>
        <w:rPr>
          <w:b/>
          <w:bCs/>
          <w:iCs/>
          <w:sz w:val="22"/>
          <w:szCs w:val="22"/>
          <w:u w:val="single"/>
          <w:lang w:val="sr-Latn-ME"/>
        </w:rPr>
      </w:pPr>
      <w:r w:rsidRPr="002A6AB6">
        <w:rPr>
          <w:b/>
          <w:bCs/>
          <w:iCs/>
          <w:sz w:val="22"/>
          <w:szCs w:val="22"/>
          <w:u w:val="single"/>
          <w:lang w:val="sr-Latn-ME"/>
        </w:rPr>
        <w:t>SAŽETAK KARAKTERISTIKA LIJEKA</w:t>
      </w:r>
    </w:p>
    <w:p w14:paraId="0B7FA71A" w14:textId="77777777" w:rsidR="002510A5" w:rsidRPr="002A6AB6" w:rsidRDefault="002510A5" w:rsidP="00587700">
      <w:pPr>
        <w:jc w:val="both"/>
        <w:rPr>
          <w:b/>
          <w:bCs/>
          <w:i/>
          <w:iCs/>
          <w:sz w:val="22"/>
          <w:szCs w:val="22"/>
          <w:u w:val="single"/>
          <w:lang w:val="sr-Latn-ME"/>
        </w:rPr>
      </w:pPr>
    </w:p>
    <w:p w14:paraId="3B3A43EC" w14:textId="77777777" w:rsidR="003C17AB" w:rsidRPr="002A6AB6" w:rsidRDefault="003C17AB" w:rsidP="00587700">
      <w:pPr>
        <w:jc w:val="both"/>
        <w:rPr>
          <w:sz w:val="22"/>
          <w:szCs w:val="22"/>
          <w:lang w:val="sr-Latn-ME"/>
        </w:rPr>
      </w:pPr>
    </w:p>
    <w:p w14:paraId="454C8668" w14:textId="77777777" w:rsidR="00C37FD7" w:rsidRPr="002A6AB6" w:rsidRDefault="00C37FD7" w:rsidP="00587700">
      <w:pPr>
        <w:tabs>
          <w:tab w:val="left" w:pos="540"/>
          <w:tab w:val="left" w:pos="569"/>
        </w:tabs>
        <w:jc w:val="both"/>
        <w:rPr>
          <w:bCs/>
          <w:sz w:val="22"/>
          <w:szCs w:val="22"/>
          <w:lang w:val="sr-Latn-ME"/>
        </w:rPr>
      </w:pPr>
    </w:p>
    <w:p w14:paraId="23CD1D2C" w14:textId="77777777" w:rsidR="00411B4B" w:rsidRPr="002A6AB6" w:rsidRDefault="00411B4B" w:rsidP="00587700">
      <w:pPr>
        <w:tabs>
          <w:tab w:val="left" w:pos="540"/>
          <w:tab w:val="left" w:pos="569"/>
        </w:tabs>
        <w:jc w:val="both"/>
        <w:rPr>
          <w:b/>
          <w:bCs/>
          <w:sz w:val="22"/>
          <w:szCs w:val="22"/>
          <w:lang w:val="sr-Latn-ME"/>
        </w:rPr>
      </w:pPr>
      <w:r w:rsidRPr="002A6AB6">
        <w:rPr>
          <w:b/>
          <w:bCs/>
          <w:sz w:val="22"/>
          <w:szCs w:val="22"/>
          <w:lang w:val="sr-Latn-ME"/>
        </w:rPr>
        <w:t>1.</w:t>
      </w:r>
      <w:r w:rsidR="00F5167F" w:rsidRPr="002A6AB6">
        <w:rPr>
          <w:b/>
          <w:bCs/>
          <w:sz w:val="22"/>
          <w:szCs w:val="22"/>
          <w:lang w:val="sr-Latn-ME"/>
        </w:rPr>
        <w:tab/>
      </w:r>
      <w:r w:rsidR="002846DB" w:rsidRPr="002A6AB6">
        <w:rPr>
          <w:b/>
          <w:bCs/>
          <w:sz w:val="22"/>
          <w:szCs w:val="22"/>
          <w:lang w:val="sr-Latn-ME"/>
        </w:rPr>
        <w:t xml:space="preserve">NAZIV </w:t>
      </w:r>
      <w:r w:rsidRPr="002A6AB6">
        <w:rPr>
          <w:b/>
          <w:bCs/>
          <w:sz w:val="22"/>
          <w:szCs w:val="22"/>
          <w:lang w:val="sr-Latn-ME"/>
        </w:rPr>
        <w:t>LIJEKA</w:t>
      </w:r>
    </w:p>
    <w:p w14:paraId="0EE4EF36" w14:textId="77777777" w:rsidR="00EC2532" w:rsidRPr="002A6AB6" w:rsidRDefault="00EC2532" w:rsidP="00587700">
      <w:pPr>
        <w:jc w:val="both"/>
        <w:rPr>
          <w:sz w:val="22"/>
          <w:szCs w:val="22"/>
          <w:lang w:val="sr-Latn-ME"/>
        </w:rPr>
      </w:pPr>
    </w:p>
    <w:p w14:paraId="7FB9B65E" w14:textId="77777777" w:rsidR="00466B8B" w:rsidRPr="002A6AB6" w:rsidRDefault="00466B8B" w:rsidP="00587700">
      <w:pPr>
        <w:pStyle w:val="QRDEnBodyText"/>
        <w:spacing w:before="0" w:after="0" w:line="240" w:lineRule="auto"/>
        <w:jc w:val="both"/>
        <w:rPr>
          <w:rStyle w:val="Variables"/>
          <w:b/>
          <w:caps/>
          <w:color w:val="auto"/>
          <w:szCs w:val="22"/>
          <w:lang w:val="sr-Latn-ME"/>
        </w:rPr>
      </w:pPr>
      <w:proofErr w:type="spellStart"/>
      <w:r w:rsidRPr="002A6AB6">
        <w:rPr>
          <w:rStyle w:val="PlaceholderText"/>
          <w:color w:val="auto"/>
          <w:szCs w:val="22"/>
          <w:lang w:val="sr-Latn-ME"/>
        </w:rPr>
        <w:t>Ocrevus</w:t>
      </w:r>
      <w:proofErr w:type="spellEnd"/>
      <w:r w:rsidRPr="002A6AB6">
        <w:rPr>
          <w:rStyle w:val="PlaceholderText"/>
          <w:color w:val="auto"/>
          <w:szCs w:val="22"/>
          <w:lang w:val="sr-Latn-ME"/>
        </w:rPr>
        <w:t>, 920 mg, rastvor za injekciju</w:t>
      </w:r>
    </w:p>
    <w:p w14:paraId="1296267E" w14:textId="77777777" w:rsidR="000D425A" w:rsidRPr="002A6AB6" w:rsidRDefault="000D425A" w:rsidP="00587700">
      <w:pPr>
        <w:jc w:val="both"/>
        <w:rPr>
          <w:bCs/>
          <w:sz w:val="22"/>
          <w:szCs w:val="22"/>
          <w:lang w:val="sr-Latn-ME"/>
        </w:rPr>
      </w:pPr>
    </w:p>
    <w:p w14:paraId="254F6A72" w14:textId="77777777" w:rsidR="006D20A5" w:rsidRPr="002A6AB6" w:rsidRDefault="006D20A5" w:rsidP="00587700">
      <w:pPr>
        <w:jc w:val="both"/>
        <w:rPr>
          <w:sz w:val="22"/>
          <w:szCs w:val="22"/>
          <w:lang w:val="sr-Latn-ME"/>
        </w:rPr>
      </w:pPr>
      <w:r w:rsidRPr="002A6AB6">
        <w:rPr>
          <w:sz w:val="22"/>
          <w:szCs w:val="22"/>
          <w:lang w:val="sr-Latn-ME"/>
        </w:rPr>
        <w:t>INN:</w:t>
      </w:r>
      <w:r w:rsidR="00466B8B" w:rsidRPr="002A6AB6">
        <w:rPr>
          <w:sz w:val="22"/>
          <w:szCs w:val="22"/>
          <w:lang w:val="sr-Latn-ME"/>
        </w:rPr>
        <w:t xml:space="preserve"> </w:t>
      </w:r>
      <w:proofErr w:type="spellStart"/>
      <w:r w:rsidR="00466B8B" w:rsidRPr="002A6AB6">
        <w:rPr>
          <w:sz w:val="22"/>
          <w:szCs w:val="22"/>
          <w:lang w:val="sr-Latn-ME"/>
        </w:rPr>
        <w:t>okrelizumab</w:t>
      </w:r>
      <w:proofErr w:type="spellEnd"/>
    </w:p>
    <w:p w14:paraId="72B35381" w14:textId="77777777" w:rsidR="006D20A5" w:rsidRPr="002A6AB6" w:rsidRDefault="006D20A5" w:rsidP="00587700">
      <w:pPr>
        <w:jc w:val="both"/>
        <w:rPr>
          <w:bCs/>
          <w:sz w:val="22"/>
          <w:szCs w:val="22"/>
          <w:lang w:val="sr-Latn-ME"/>
        </w:rPr>
      </w:pPr>
    </w:p>
    <w:p w14:paraId="64976FA0" w14:textId="77777777" w:rsidR="00530BD7" w:rsidRPr="002A6AB6" w:rsidRDefault="00530BD7" w:rsidP="00587700">
      <w:pPr>
        <w:jc w:val="both"/>
        <w:rPr>
          <w:bCs/>
          <w:sz w:val="22"/>
          <w:szCs w:val="22"/>
          <w:lang w:val="sr-Latn-ME"/>
        </w:rPr>
      </w:pPr>
    </w:p>
    <w:p w14:paraId="20A23F65" w14:textId="77777777" w:rsidR="00411B4B" w:rsidRPr="002A6AB6" w:rsidRDefault="00411B4B" w:rsidP="00587700">
      <w:pPr>
        <w:tabs>
          <w:tab w:val="left" w:pos="540"/>
          <w:tab w:val="left" w:pos="569"/>
        </w:tabs>
        <w:jc w:val="both"/>
        <w:rPr>
          <w:b/>
          <w:bCs/>
          <w:sz w:val="22"/>
          <w:szCs w:val="22"/>
          <w:lang w:val="sr-Latn-ME"/>
        </w:rPr>
      </w:pPr>
      <w:r w:rsidRPr="002A6AB6">
        <w:rPr>
          <w:b/>
          <w:bCs/>
          <w:sz w:val="22"/>
          <w:szCs w:val="22"/>
          <w:lang w:val="sr-Latn-ME"/>
        </w:rPr>
        <w:t xml:space="preserve">2. </w:t>
      </w:r>
      <w:r w:rsidR="00F5167F" w:rsidRPr="002A6AB6">
        <w:rPr>
          <w:b/>
          <w:bCs/>
          <w:sz w:val="22"/>
          <w:szCs w:val="22"/>
          <w:lang w:val="sr-Latn-ME"/>
        </w:rPr>
        <w:tab/>
      </w:r>
      <w:r w:rsidRPr="002A6AB6">
        <w:rPr>
          <w:b/>
          <w:bCs/>
          <w:sz w:val="22"/>
          <w:szCs w:val="22"/>
          <w:lang w:val="sr-Latn-ME"/>
        </w:rPr>
        <w:t>KVALITATIVNI I KVANTITATIVNI SASTAV</w:t>
      </w:r>
    </w:p>
    <w:p w14:paraId="0B66B93F" w14:textId="77777777" w:rsidR="005A0B2E" w:rsidRPr="002A6AB6" w:rsidRDefault="005A0B2E" w:rsidP="00587700">
      <w:pPr>
        <w:jc w:val="both"/>
        <w:rPr>
          <w:sz w:val="22"/>
          <w:szCs w:val="22"/>
          <w:lang w:val="sr-Latn-ME"/>
        </w:rPr>
      </w:pPr>
    </w:p>
    <w:p w14:paraId="7EDD5829" w14:textId="7D9E2F96" w:rsidR="00466B8B" w:rsidRPr="002A6AB6" w:rsidRDefault="00466B8B" w:rsidP="00587700">
      <w:pPr>
        <w:jc w:val="both"/>
        <w:rPr>
          <w:sz w:val="22"/>
          <w:szCs w:val="22"/>
          <w:lang w:val="sr-Latn-ME"/>
        </w:rPr>
      </w:pPr>
      <w:r w:rsidRPr="002A6AB6">
        <w:rPr>
          <w:sz w:val="22"/>
          <w:szCs w:val="22"/>
          <w:lang w:val="sr-Latn-ME"/>
        </w:rPr>
        <w:t xml:space="preserve">Jedna bočica sadrži 920 mg </w:t>
      </w:r>
      <w:proofErr w:type="spellStart"/>
      <w:r w:rsidRPr="002A6AB6">
        <w:rPr>
          <w:sz w:val="22"/>
          <w:szCs w:val="22"/>
          <w:lang w:val="sr-Latn-ME"/>
        </w:rPr>
        <w:t>okrelizumaba</w:t>
      </w:r>
      <w:proofErr w:type="spellEnd"/>
      <w:r w:rsidRPr="002A6AB6">
        <w:rPr>
          <w:sz w:val="22"/>
          <w:szCs w:val="22"/>
          <w:lang w:val="sr-Latn-ME"/>
        </w:rPr>
        <w:t xml:space="preserve"> u 23 m</w:t>
      </w:r>
      <w:r w:rsidR="00587700" w:rsidRPr="002A6AB6">
        <w:rPr>
          <w:sz w:val="22"/>
          <w:szCs w:val="22"/>
          <w:lang w:val="sr-Latn-ME"/>
        </w:rPr>
        <w:t>l rastvora</w:t>
      </w:r>
      <w:r w:rsidRPr="002A6AB6">
        <w:rPr>
          <w:sz w:val="22"/>
          <w:szCs w:val="22"/>
          <w:lang w:val="sr-Latn-ME"/>
        </w:rPr>
        <w:t xml:space="preserve"> (40 mg/m</w:t>
      </w:r>
      <w:r w:rsidR="00587700" w:rsidRPr="002A6AB6">
        <w:rPr>
          <w:sz w:val="22"/>
          <w:szCs w:val="22"/>
          <w:lang w:val="sr-Latn-ME"/>
        </w:rPr>
        <w:t>l</w:t>
      </w:r>
      <w:r w:rsidRPr="002A6AB6">
        <w:rPr>
          <w:sz w:val="22"/>
          <w:szCs w:val="22"/>
          <w:lang w:val="sr-Latn-ME"/>
        </w:rPr>
        <w:t>).</w:t>
      </w:r>
    </w:p>
    <w:p w14:paraId="0C8C1888" w14:textId="77777777" w:rsidR="00466B8B" w:rsidRPr="002A6AB6" w:rsidRDefault="00466B8B" w:rsidP="00587700">
      <w:pPr>
        <w:jc w:val="both"/>
        <w:rPr>
          <w:sz w:val="22"/>
          <w:szCs w:val="22"/>
          <w:lang w:val="sr-Latn-ME"/>
        </w:rPr>
      </w:pPr>
    </w:p>
    <w:p w14:paraId="7595C1CA" w14:textId="77777777" w:rsidR="00466B8B" w:rsidRPr="002A6AB6" w:rsidRDefault="00466B8B" w:rsidP="00587700">
      <w:pPr>
        <w:jc w:val="both"/>
        <w:rPr>
          <w:sz w:val="22"/>
          <w:szCs w:val="22"/>
          <w:lang w:val="sr-Latn-ME"/>
        </w:rPr>
      </w:pPr>
      <w:proofErr w:type="spellStart"/>
      <w:r w:rsidRPr="002A6AB6">
        <w:rPr>
          <w:sz w:val="22"/>
          <w:szCs w:val="22"/>
          <w:lang w:val="sr-Latn-ME"/>
        </w:rPr>
        <w:t>Okrelizumab</w:t>
      </w:r>
      <w:proofErr w:type="spellEnd"/>
      <w:r w:rsidRPr="002A6AB6">
        <w:rPr>
          <w:sz w:val="22"/>
          <w:szCs w:val="22"/>
          <w:lang w:val="sr-Latn-ME"/>
        </w:rPr>
        <w:t xml:space="preserve"> je humanizovano </w:t>
      </w:r>
      <w:proofErr w:type="spellStart"/>
      <w:r w:rsidRPr="002A6AB6">
        <w:rPr>
          <w:sz w:val="22"/>
          <w:szCs w:val="22"/>
          <w:lang w:val="sr-Latn-ME"/>
        </w:rPr>
        <w:t>monoklonsko</w:t>
      </w:r>
      <w:proofErr w:type="spellEnd"/>
      <w:r w:rsidRPr="002A6AB6">
        <w:rPr>
          <w:sz w:val="22"/>
          <w:szCs w:val="22"/>
          <w:lang w:val="sr-Latn-ME"/>
        </w:rPr>
        <w:t xml:space="preserve"> antitijelo koje se proizvodi u ćelijama jajnika kineskog hrčka pomoću tehnologije </w:t>
      </w:r>
      <w:proofErr w:type="spellStart"/>
      <w:r w:rsidRPr="002A6AB6">
        <w:rPr>
          <w:sz w:val="22"/>
          <w:szCs w:val="22"/>
          <w:lang w:val="sr-Latn-ME"/>
        </w:rPr>
        <w:t>rekombinantne</w:t>
      </w:r>
      <w:proofErr w:type="spellEnd"/>
      <w:r w:rsidRPr="002A6AB6">
        <w:rPr>
          <w:sz w:val="22"/>
          <w:szCs w:val="22"/>
          <w:lang w:val="sr-Latn-ME"/>
        </w:rPr>
        <w:t xml:space="preserve"> DNK.  </w:t>
      </w:r>
    </w:p>
    <w:p w14:paraId="0D385EEB" w14:textId="77777777" w:rsidR="00466B8B" w:rsidRPr="002A6AB6" w:rsidRDefault="00466B8B" w:rsidP="00587700">
      <w:pPr>
        <w:jc w:val="both"/>
        <w:rPr>
          <w:sz w:val="22"/>
          <w:szCs w:val="22"/>
          <w:lang w:val="sr-Latn-ME"/>
        </w:rPr>
      </w:pPr>
    </w:p>
    <w:p w14:paraId="469E0CA7" w14:textId="77777777" w:rsidR="0003793F" w:rsidRPr="002A6AB6" w:rsidRDefault="0003793F" w:rsidP="00587700">
      <w:pPr>
        <w:jc w:val="both"/>
        <w:rPr>
          <w:sz w:val="22"/>
          <w:szCs w:val="22"/>
          <w:lang w:val="sr-Latn-ME"/>
        </w:rPr>
      </w:pPr>
      <w:r w:rsidRPr="002A6AB6">
        <w:rPr>
          <w:sz w:val="22"/>
          <w:szCs w:val="22"/>
          <w:lang w:val="sr-Latn-ME"/>
        </w:rPr>
        <w:t xml:space="preserve">Za spisak svih </w:t>
      </w:r>
      <w:proofErr w:type="spellStart"/>
      <w:r w:rsidRPr="002A6AB6">
        <w:rPr>
          <w:sz w:val="22"/>
          <w:szCs w:val="22"/>
          <w:lang w:val="sr-Latn-ME"/>
        </w:rPr>
        <w:t>ekscipijenasa</w:t>
      </w:r>
      <w:proofErr w:type="spellEnd"/>
      <w:r w:rsidRPr="002A6AB6">
        <w:rPr>
          <w:sz w:val="22"/>
          <w:szCs w:val="22"/>
          <w:lang w:val="sr-Latn-ME"/>
        </w:rPr>
        <w:t>, pogledati dio 6.1.</w:t>
      </w:r>
    </w:p>
    <w:p w14:paraId="38582DBF" w14:textId="77777777" w:rsidR="0003793F" w:rsidRPr="002A6AB6" w:rsidRDefault="0003793F" w:rsidP="00587700">
      <w:pPr>
        <w:jc w:val="both"/>
        <w:rPr>
          <w:sz w:val="22"/>
          <w:szCs w:val="22"/>
          <w:lang w:val="sr-Latn-ME"/>
        </w:rPr>
      </w:pPr>
    </w:p>
    <w:p w14:paraId="29DFD261" w14:textId="77777777" w:rsidR="00C37FD7" w:rsidRPr="002A6AB6" w:rsidRDefault="00C37FD7" w:rsidP="00587700">
      <w:pPr>
        <w:jc w:val="both"/>
        <w:rPr>
          <w:sz w:val="22"/>
          <w:szCs w:val="22"/>
          <w:lang w:val="sr-Latn-ME"/>
        </w:rPr>
      </w:pPr>
    </w:p>
    <w:p w14:paraId="0A968C7D" w14:textId="77777777" w:rsidR="00411B4B" w:rsidRPr="002A6AB6" w:rsidRDefault="00411B4B" w:rsidP="00587700">
      <w:pPr>
        <w:tabs>
          <w:tab w:val="left" w:pos="540"/>
          <w:tab w:val="left" w:pos="569"/>
        </w:tabs>
        <w:jc w:val="both"/>
        <w:rPr>
          <w:b/>
          <w:bCs/>
          <w:sz w:val="22"/>
          <w:szCs w:val="22"/>
          <w:lang w:val="sr-Latn-ME"/>
        </w:rPr>
      </w:pPr>
      <w:r w:rsidRPr="002A6AB6">
        <w:rPr>
          <w:b/>
          <w:bCs/>
          <w:sz w:val="22"/>
          <w:szCs w:val="22"/>
          <w:lang w:val="sr-Latn-ME"/>
        </w:rPr>
        <w:t xml:space="preserve">3. </w:t>
      </w:r>
      <w:r w:rsidR="00F5167F" w:rsidRPr="002A6AB6">
        <w:rPr>
          <w:b/>
          <w:bCs/>
          <w:sz w:val="22"/>
          <w:szCs w:val="22"/>
          <w:lang w:val="sr-Latn-ME"/>
        </w:rPr>
        <w:tab/>
      </w:r>
      <w:r w:rsidRPr="002A6AB6">
        <w:rPr>
          <w:b/>
          <w:bCs/>
          <w:sz w:val="22"/>
          <w:szCs w:val="22"/>
          <w:lang w:val="sr-Latn-ME"/>
        </w:rPr>
        <w:t>FARMACEUTSKI OBLIK</w:t>
      </w:r>
      <w:r w:rsidR="009F2D23" w:rsidRPr="002A6AB6">
        <w:rPr>
          <w:b/>
          <w:bCs/>
          <w:sz w:val="22"/>
          <w:szCs w:val="22"/>
          <w:lang w:val="sr-Latn-ME"/>
        </w:rPr>
        <w:t xml:space="preserve"> </w:t>
      </w:r>
    </w:p>
    <w:p w14:paraId="4C984232" w14:textId="77777777" w:rsidR="00411B4B" w:rsidRPr="002A6AB6" w:rsidRDefault="00411B4B" w:rsidP="00587700">
      <w:pPr>
        <w:jc w:val="both"/>
        <w:rPr>
          <w:bCs/>
          <w:sz w:val="22"/>
          <w:szCs w:val="22"/>
          <w:lang w:val="sr-Latn-ME"/>
        </w:rPr>
      </w:pPr>
    </w:p>
    <w:p w14:paraId="08304724" w14:textId="77777777" w:rsidR="00466B8B" w:rsidRPr="002A6AB6" w:rsidRDefault="00466B8B" w:rsidP="00587700">
      <w:pPr>
        <w:tabs>
          <w:tab w:val="left" w:pos="540"/>
          <w:tab w:val="left" w:pos="567"/>
        </w:tabs>
        <w:jc w:val="both"/>
        <w:rPr>
          <w:bCs/>
          <w:sz w:val="22"/>
          <w:szCs w:val="22"/>
          <w:lang w:val="sr-Latn-ME"/>
        </w:rPr>
      </w:pPr>
      <w:r w:rsidRPr="002A6AB6">
        <w:rPr>
          <w:bCs/>
          <w:sz w:val="22"/>
          <w:szCs w:val="22"/>
          <w:lang w:val="sr-Latn-ME"/>
        </w:rPr>
        <w:t>Rastvor za injekciju.</w:t>
      </w:r>
    </w:p>
    <w:p w14:paraId="3F25F4CA" w14:textId="77777777" w:rsidR="00466B8B" w:rsidRPr="002A6AB6" w:rsidRDefault="00466B8B" w:rsidP="00587700">
      <w:pPr>
        <w:tabs>
          <w:tab w:val="left" w:pos="540"/>
          <w:tab w:val="left" w:pos="567"/>
        </w:tabs>
        <w:jc w:val="both"/>
        <w:rPr>
          <w:bCs/>
          <w:sz w:val="22"/>
          <w:szCs w:val="22"/>
          <w:lang w:val="sr-Latn-ME"/>
        </w:rPr>
      </w:pPr>
    </w:p>
    <w:p w14:paraId="2E2CB284" w14:textId="38949530" w:rsidR="00466B8B" w:rsidRPr="002A6AB6" w:rsidRDefault="00466B8B" w:rsidP="00587700">
      <w:pPr>
        <w:tabs>
          <w:tab w:val="left" w:pos="540"/>
          <w:tab w:val="left" w:pos="567"/>
        </w:tabs>
        <w:jc w:val="both"/>
        <w:rPr>
          <w:bCs/>
          <w:sz w:val="22"/>
          <w:szCs w:val="22"/>
          <w:lang w:val="sr-Latn-ME"/>
        </w:rPr>
      </w:pPr>
      <w:r w:rsidRPr="002A6AB6">
        <w:rPr>
          <w:bCs/>
          <w:sz w:val="22"/>
          <w:szCs w:val="22"/>
          <w:lang w:val="sr-Latn-ME"/>
        </w:rPr>
        <w:t xml:space="preserve">Bistar do blago </w:t>
      </w:r>
      <w:proofErr w:type="spellStart"/>
      <w:r w:rsidRPr="002A6AB6">
        <w:rPr>
          <w:bCs/>
          <w:sz w:val="22"/>
          <w:szCs w:val="22"/>
          <w:lang w:val="sr-Latn-ME"/>
        </w:rPr>
        <w:t>opalescentan</w:t>
      </w:r>
      <w:proofErr w:type="spellEnd"/>
      <w:r w:rsidRPr="002A6AB6">
        <w:rPr>
          <w:bCs/>
          <w:sz w:val="22"/>
          <w:szCs w:val="22"/>
          <w:lang w:val="sr-Latn-ME"/>
        </w:rPr>
        <w:t xml:space="preserve"> i bezbojan do </w:t>
      </w:r>
      <w:proofErr w:type="spellStart"/>
      <w:r w:rsidRPr="002A6AB6">
        <w:rPr>
          <w:bCs/>
          <w:sz w:val="22"/>
          <w:szCs w:val="22"/>
          <w:lang w:val="sr-Latn-ME"/>
        </w:rPr>
        <w:t>blijedobraon</w:t>
      </w:r>
      <w:proofErr w:type="spellEnd"/>
      <w:r w:rsidRPr="002A6AB6">
        <w:rPr>
          <w:bCs/>
          <w:sz w:val="22"/>
          <w:szCs w:val="22"/>
          <w:lang w:val="sr-Latn-ME"/>
        </w:rPr>
        <w:t xml:space="preserve"> rastvor.  </w:t>
      </w:r>
    </w:p>
    <w:p w14:paraId="03C93039" w14:textId="77777777" w:rsidR="00466B8B" w:rsidRPr="002A6AB6" w:rsidRDefault="00466B8B" w:rsidP="00587700">
      <w:pPr>
        <w:tabs>
          <w:tab w:val="left" w:pos="540"/>
          <w:tab w:val="left" w:pos="569"/>
        </w:tabs>
        <w:jc w:val="both"/>
        <w:rPr>
          <w:b/>
          <w:bCs/>
          <w:sz w:val="22"/>
          <w:szCs w:val="22"/>
          <w:lang w:val="sr-Latn-ME"/>
        </w:rPr>
      </w:pPr>
    </w:p>
    <w:p w14:paraId="584BAC02" w14:textId="77777777" w:rsidR="00587700" w:rsidRPr="002A6AB6" w:rsidRDefault="00587700" w:rsidP="00587700">
      <w:pPr>
        <w:tabs>
          <w:tab w:val="left" w:pos="540"/>
          <w:tab w:val="left" w:pos="569"/>
        </w:tabs>
        <w:jc w:val="both"/>
        <w:rPr>
          <w:b/>
          <w:bCs/>
          <w:sz w:val="22"/>
          <w:szCs w:val="22"/>
          <w:lang w:val="sr-Latn-ME"/>
        </w:rPr>
      </w:pPr>
    </w:p>
    <w:p w14:paraId="6A12B67F" w14:textId="77777777" w:rsidR="00411B4B" w:rsidRPr="002A6AB6" w:rsidRDefault="00411B4B" w:rsidP="00587700">
      <w:pPr>
        <w:tabs>
          <w:tab w:val="left" w:pos="540"/>
          <w:tab w:val="left" w:pos="569"/>
        </w:tabs>
        <w:jc w:val="both"/>
        <w:rPr>
          <w:b/>
          <w:bCs/>
          <w:sz w:val="22"/>
          <w:szCs w:val="22"/>
          <w:lang w:val="sr-Latn-ME"/>
        </w:rPr>
      </w:pPr>
      <w:r w:rsidRPr="002A6AB6">
        <w:rPr>
          <w:b/>
          <w:bCs/>
          <w:sz w:val="22"/>
          <w:szCs w:val="22"/>
          <w:lang w:val="sr-Latn-ME"/>
        </w:rPr>
        <w:t xml:space="preserve">4. </w:t>
      </w:r>
      <w:r w:rsidR="00480FB1" w:rsidRPr="002A6AB6">
        <w:rPr>
          <w:b/>
          <w:bCs/>
          <w:sz w:val="22"/>
          <w:szCs w:val="22"/>
          <w:lang w:val="sr-Latn-ME"/>
        </w:rPr>
        <w:tab/>
      </w:r>
      <w:r w:rsidRPr="002A6AB6">
        <w:rPr>
          <w:b/>
          <w:bCs/>
          <w:sz w:val="22"/>
          <w:szCs w:val="22"/>
          <w:lang w:val="sr-Latn-ME"/>
        </w:rPr>
        <w:t>KLINIČKI PODACI</w:t>
      </w:r>
    </w:p>
    <w:p w14:paraId="6AF003F2" w14:textId="77777777" w:rsidR="00CD6F02" w:rsidRPr="002A6AB6" w:rsidRDefault="00CD6F02" w:rsidP="00587700">
      <w:pPr>
        <w:tabs>
          <w:tab w:val="left" w:pos="540"/>
          <w:tab w:val="left" w:pos="569"/>
        </w:tabs>
        <w:jc w:val="both"/>
        <w:rPr>
          <w:bCs/>
          <w:sz w:val="22"/>
          <w:szCs w:val="22"/>
          <w:lang w:val="sr-Latn-ME"/>
        </w:rPr>
      </w:pPr>
    </w:p>
    <w:p w14:paraId="14D444A4" w14:textId="77777777" w:rsidR="00411B4B" w:rsidRPr="002A6AB6" w:rsidRDefault="00411B4B" w:rsidP="00587700">
      <w:pPr>
        <w:tabs>
          <w:tab w:val="left" w:pos="540"/>
          <w:tab w:val="left" w:pos="569"/>
        </w:tabs>
        <w:jc w:val="both"/>
        <w:rPr>
          <w:b/>
          <w:bCs/>
          <w:sz w:val="22"/>
          <w:szCs w:val="22"/>
          <w:lang w:val="sr-Latn-ME"/>
        </w:rPr>
      </w:pPr>
      <w:r w:rsidRPr="002A6AB6">
        <w:rPr>
          <w:b/>
          <w:bCs/>
          <w:sz w:val="22"/>
          <w:szCs w:val="22"/>
          <w:lang w:val="sr-Latn-ME"/>
        </w:rPr>
        <w:t xml:space="preserve">4.1. </w:t>
      </w:r>
      <w:r w:rsidR="00480FB1" w:rsidRPr="002A6AB6">
        <w:rPr>
          <w:b/>
          <w:bCs/>
          <w:sz w:val="22"/>
          <w:szCs w:val="22"/>
          <w:lang w:val="sr-Latn-ME"/>
        </w:rPr>
        <w:tab/>
      </w:r>
      <w:r w:rsidRPr="002A6AB6">
        <w:rPr>
          <w:b/>
          <w:bCs/>
          <w:sz w:val="22"/>
          <w:szCs w:val="22"/>
          <w:lang w:val="sr-Latn-ME"/>
        </w:rPr>
        <w:t>Terapijske indikacije</w:t>
      </w:r>
    </w:p>
    <w:p w14:paraId="2E5A0672" w14:textId="77777777" w:rsidR="00411B4B" w:rsidRPr="002A6AB6" w:rsidRDefault="00411B4B" w:rsidP="00587700">
      <w:pPr>
        <w:tabs>
          <w:tab w:val="left" w:pos="540"/>
          <w:tab w:val="left" w:pos="569"/>
        </w:tabs>
        <w:jc w:val="both"/>
        <w:rPr>
          <w:bCs/>
          <w:sz w:val="22"/>
          <w:szCs w:val="22"/>
          <w:lang w:val="sr-Latn-ME"/>
        </w:rPr>
      </w:pPr>
    </w:p>
    <w:p w14:paraId="4EB6061A" w14:textId="77777777" w:rsidR="00466B8B" w:rsidRPr="002A6AB6" w:rsidRDefault="00466B8B" w:rsidP="00587700">
      <w:pPr>
        <w:tabs>
          <w:tab w:val="left" w:pos="540"/>
          <w:tab w:val="left" w:pos="567"/>
        </w:tabs>
        <w:jc w:val="both"/>
        <w:rPr>
          <w:bCs/>
          <w:sz w:val="22"/>
          <w:szCs w:val="22"/>
          <w:lang w:val="sr-Latn-ME"/>
        </w:rPr>
      </w:pPr>
      <w:r w:rsidRPr="002A6AB6">
        <w:rPr>
          <w:bCs/>
          <w:sz w:val="22"/>
          <w:szCs w:val="22"/>
          <w:lang w:val="sr-Latn-ME"/>
        </w:rPr>
        <w:t xml:space="preserve">Lijek </w:t>
      </w:r>
      <w:proofErr w:type="spellStart"/>
      <w:r w:rsidRPr="002A6AB6">
        <w:rPr>
          <w:bCs/>
          <w:sz w:val="22"/>
          <w:szCs w:val="22"/>
          <w:lang w:val="sr-Latn-ME"/>
        </w:rPr>
        <w:t>Ocrevus</w:t>
      </w:r>
      <w:proofErr w:type="spellEnd"/>
      <w:r w:rsidRPr="002A6AB6">
        <w:rPr>
          <w:bCs/>
          <w:sz w:val="22"/>
          <w:szCs w:val="22"/>
          <w:lang w:val="sr-Latn-ME"/>
        </w:rPr>
        <w:t xml:space="preserve"> je </w:t>
      </w:r>
      <w:proofErr w:type="spellStart"/>
      <w:r w:rsidRPr="002A6AB6">
        <w:rPr>
          <w:bCs/>
          <w:sz w:val="22"/>
          <w:szCs w:val="22"/>
          <w:lang w:val="sr-Latn-ME"/>
        </w:rPr>
        <w:t>indikovan</w:t>
      </w:r>
      <w:proofErr w:type="spellEnd"/>
      <w:r w:rsidRPr="002A6AB6">
        <w:rPr>
          <w:bCs/>
          <w:sz w:val="22"/>
          <w:szCs w:val="22"/>
          <w:lang w:val="sr-Latn-ME"/>
        </w:rPr>
        <w:t xml:space="preserve"> za liječenje odraslih pacijenata sa </w:t>
      </w:r>
      <w:proofErr w:type="spellStart"/>
      <w:r w:rsidRPr="002A6AB6">
        <w:rPr>
          <w:bCs/>
          <w:sz w:val="22"/>
          <w:szCs w:val="22"/>
          <w:lang w:val="sr-Latn-ME"/>
        </w:rPr>
        <w:t>relapsnim</w:t>
      </w:r>
      <w:proofErr w:type="spellEnd"/>
      <w:r w:rsidRPr="002A6AB6">
        <w:rPr>
          <w:bCs/>
          <w:sz w:val="22"/>
          <w:szCs w:val="22"/>
          <w:lang w:val="sr-Latn-ME"/>
        </w:rPr>
        <w:t xml:space="preserve"> oblicima multiple skleroze (RMS) sa aktivnom bolešću definisanom kliničkim karakteristikama ili karakteristikama koje se javljaju na snimcima (</w:t>
      </w:r>
      <w:proofErr w:type="spellStart"/>
      <w:r w:rsidRPr="002A6AB6">
        <w:rPr>
          <w:bCs/>
          <w:sz w:val="22"/>
          <w:szCs w:val="22"/>
          <w:lang w:val="sr-Latn-ME"/>
        </w:rPr>
        <w:t>imidžingu</w:t>
      </w:r>
      <w:proofErr w:type="spellEnd"/>
      <w:r w:rsidRPr="002A6AB6">
        <w:rPr>
          <w:bCs/>
          <w:sz w:val="22"/>
          <w:szCs w:val="22"/>
          <w:lang w:val="sr-Latn-ME"/>
        </w:rPr>
        <w:t xml:space="preserve">) (vidjeti </w:t>
      </w:r>
      <w:r w:rsidR="00ED0D01" w:rsidRPr="002A6AB6">
        <w:rPr>
          <w:bCs/>
          <w:sz w:val="22"/>
          <w:szCs w:val="22"/>
          <w:lang w:val="sr-Latn-ME"/>
        </w:rPr>
        <w:t xml:space="preserve">dio </w:t>
      </w:r>
      <w:r w:rsidRPr="002A6AB6">
        <w:rPr>
          <w:bCs/>
          <w:sz w:val="22"/>
          <w:szCs w:val="22"/>
          <w:lang w:val="sr-Latn-ME"/>
        </w:rPr>
        <w:t>5.1).</w:t>
      </w:r>
    </w:p>
    <w:p w14:paraId="3814E03F" w14:textId="77777777" w:rsidR="00466B8B" w:rsidRPr="002A6AB6" w:rsidRDefault="00466B8B" w:rsidP="00587700">
      <w:pPr>
        <w:tabs>
          <w:tab w:val="left" w:pos="540"/>
          <w:tab w:val="left" w:pos="567"/>
        </w:tabs>
        <w:jc w:val="both"/>
        <w:rPr>
          <w:bCs/>
          <w:sz w:val="22"/>
          <w:szCs w:val="22"/>
          <w:lang w:val="sr-Latn-ME"/>
        </w:rPr>
      </w:pPr>
    </w:p>
    <w:p w14:paraId="13EBB1B2"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Lijek </w:t>
      </w:r>
      <w:proofErr w:type="spellStart"/>
      <w:r w:rsidRPr="002A6AB6">
        <w:rPr>
          <w:bCs/>
          <w:sz w:val="22"/>
          <w:szCs w:val="22"/>
          <w:lang w:val="sr-Latn-ME"/>
        </w:rPr>
        <w:t>Ocrevus</w:t>
      </w:r>
      <w:proofErr w:type="spellEnd"/>
      <w:r w:rsidRPr="002A6AB6">
        <w:rPr>
          <w:bCs/>
          <w:sz w:val="22"/>
          <w:szCs w:val="22"/>
          <w:lang w:val="sr-Latn-ME"/>
        </w:rPr>
        <w:t xml:space="preserve"> je </w:t>
      </w:r>
      <w:proofErr w:type="spellStart"/>
      <w:r w:rsidRPr="002A6AB6">
        <w:rPr>
          <w:bCs/>
          <w:sz w:val="22"/>
          <w:szCs w:val="22"/>
          <w:lang w:val="sr-Latn-ME"/>
        </w:rPr>
        <w:t>indikovan</w:t>
      </w:r>
      <w:proofErr w:type="spellEnd"/>
      <w:r w:rsidRPr="002A6AB6">
        <w:rPr>
          <w:bCs/>
          <w:sz w:val="22"/>
          <w:szCs w:val="22"/>
          <w:lang w:val="sr-Latn-ME"/>
        </w:rPr>
        <w:t xml:space="preserve"> za liječenje odraslih pacijenata sa ranim oblikom primarno progresivne multiple skleroze (PPMS) u pogledu trajanja bolesti i nivoa </w:t>
      </w:r>
      <w:proofErr w:type="spellStart"/>
      <w:r w:rsidRPr="002A6AB6">
        <w:rPr>
          <w:bCs/>
          <w:sz w:val="22"/>
          <w:szCs w:val="22"/>
          <w:lang w:val="sr-Latn-ME"/>
        </w:rPr>
        <w:t>onesposobljenosti</w:t>
      </w:r>
      <w:proofErr w:type="spellEnd"/>
      <w:r w:rsidRPr="002A6AB6">
        <w:rPr>
          <w:bCs/>
          <w:sz w:val="22"/>
          <w:szCs w:val="22"/>
          <w:lang w:val="sr-Latn-ME"/>
        </w:rPr>
        <w:t xml:space="preserve"> i sa karakteristikama </w:t>
      </w:r>
      <w:proofErr w:type="spellStart"/>
      <w:r w:rsidRPr="002A6AB6">
        <w:rPr>
          <w:bCs/>
          <w:sz w:val="22"/>
          <w:szCs w:val="22"/>
          <w:lang w:val="sr-Latn-ME"/>
        </w:rPr>
        <w:t>inflamatorne</w:t>
      </w:r>
      <w:proofErr w:type="spellEnd"/>
      <w:r w:rsidRPr="002A6AB6">
        <w:rPr>
          <w:bCs/>
          <w:sz w:val="22"/>
          <w:szCs w:val="22"/>
          <w:lang w:val="sr-Latn-ME"/>
        </w:rPr>
        <w:t xml:space="preserve"> aktivnosti koje se javljaju na snimcima (vidjeti </w:t>
      </w:r>
      <w:r w:rsidR="00ED0D01" w:rsidRPr="002A6AB6">
        <w:rPr>
          <w:bCs/>
          <w:sz w:val="22"/>
          <w:szCs w:val="22"/>
          <w:lang w:val="sr-Latn-ME"/>
        </w:rPr>
        <w:t xml:space="preserve">dio </w:t>
      </w:r>
      <w:r w:rsidRPr="002A6AB6">
        <w:rPr>
          <w:bCs/>
          <w:sz w:val="22"/>
          <w:szCs w:val="22"/>
          <w:lang w:val="sr-Latn-ME"/>
        </w:rPr>
        <w:t>5.1).</w:t>
      </w:r>
    </w:p>
    <w:p w14:paraId="540CC737" w14:textId="77777777" w:rsidR="00466B8B" w:rsidRPr="002A6AB6" w:rsidRDefault="00466B8B" w:rsidP="00587700">
      <w:pPr>
        <w:tabs>
          <w:tab w:val="left" w:pos="540"/>
          <w:tab w:val="left" w:pos="569"/>
        </w:tabs>
        <w:jc w:val="both"/>
        <w:rPr>
          <w:bCs/>
          <w:sz w:val="22"/>
          <w:szCs w:val="22"/>
          <w:lang w:val="sr-Latn-ME"/>
        </w:rPr>
      </w:pPr>
    </w:p>
    <w:p w14:paraId="094362C0" w14:textId="77777777" w:rsidR="00411B4B" w:rsidRPr="002A6AB6" w:rsidRDefault="00411B4B" w:rsidP="00587700">
      <w:pPr>
        <w:tabs>
          <w:tab w:val="left" w:pos="540"/>
          <w:tab w:val="left" w:pos="569"/>
        </w:tabs>
        <w:jc w:val="both"/>
        <w:rPr>
          <w:b/>
          <w:bCs/>
          <w:sz w:val="22"/>
          <w:szCs w:val="22"/>
          <w:lang w:val="sr-Latn-ME"/>
        </w:rPr>
      </w:pPr>
      <w:r w:rsidRPr="002A6AB6">
        <w:rPr>
          <w:b/>
          <w:bCs/>
          <w:sz w:val="22"/>
          <w:szCs w:val="22"/>
          <w:lang w:val="sr-Latn-ME"/>
        </w:rPr>
        <w:t xml:space="preserve">4.2. </w:t>
      </w:r>
      <w:r w:rsidR="00480FB1" w:rsidRPr="002A6AB6">
        <w:rPr>
          <w:b/>
          <w:bCs/>
          <w:sz w:val="22"/>
          <w:szCs w:val="22"/>
          <w:lang w:val="sr-Latn-ME"/>
        </w:rPr>
        <w:tab/>
      </w:r>
      <w:r w:rsidRPr="002A6AB6">
        <w:rPr>
          <w:b/>
          <w:bCs/>
          <w:sz w:val="22"/>
          <w:szCs w:val="22"/>
          <w:lang w:val="sr-Latn-ME"/>
        </w:rPr>
        <w:t>Doziranje i način primjene</w:t>
      </w:r>
    </w:p>
    <w:p w14:paraId="79300416" w14:textId="77777777" w:rsidR="00466B8B" w:rsidRPr="002A6AB6" w:rsidRDefault="00466B8B" w:rsidP="00587700">
      <w:pPr>
        <w:tabs>
          <w:tab w:val="left" w:pos="540"/>
          <w:tab w:val="left" w:pos="569"/>
        </w:tabs>
        <w:jc w:val="both"/>
        <w:rPr>
          <w:b/>
          <w:bCs/>
          <w:sz w:val="22"/>
          <w:szCs w:val="22"/>
          <w:lang w:val="sr-Latn-ME"/>
        </w:rPr>
      </w:pPr>
    </w:p>
    <w:p w14:paraId="4219C3DE" w14:textId="77777777" w:rsidR="00466B8B" w:rsidRPr="002A6AB6" w:rsidRDefault="00466B8B" w:rsidP="00587700">
      <w:pPr>
        <w:tabs>
          <w:tab w:val="left" w:pos="540"/>
          <w:tab w:val="left" w:pos="567"/>
        </w:tabs>
        <w:jc w:val="both"/>
        <w:rPr>
          <w:bCs/>
          <w:sz w:val="22"/>
          <w:szCs w:val="22"/>
          <w:lang w:val="sr-Latn-ME"/>
        </w:rPr>
      </w:pPr>
      <w:r w:rsidRPr="002A6AB6">
        <w:rPr>
          <w:bCs/>
          <w:sz w:val="22"/>
          <w:szCs w:val="22"/>
          <w:lang w:val="sr-Latn-ME"/>
        </w:rPr>
        <w:t xml:space="preserve">Terapiju treba da započnu i nadziru ljekari specijalisti sa iskustvom u postavljanju dijagnoze i terapiji neuroloških stanja. Prvu primjenu treba izvršiti pod kliničkim nadzorom uz odgovarajuću medicinsku potporu za postupanje u slučaju teških reakcija kao što su teške reakcije na injekciju, reakcije preosjetljivosti i/ili </w:t>
      </w:r>
      <w:proofErr w:type="spellStart"/>
      <w:r w:rsidRPr="002A6AB6">
        <w:rPr>
          <w:bCs/>
          <w:sz w:val="22"/>
          <w:szCs w:val="22"/>
          <w:lang w:val="sr-Latn-ME"/>
        </w:rPr>
        <w:t>anafilaktičke</w:t>
      </w:r>
      <w:proofErr w:type="spellEnd"/>
      <w:r w:rsidRPr="002A6AB6">
        <w:rPr>
          <w:bCs/>
          <w:sz w:val="22"/>
          <w:szCs w:val="22"/>
          <w:lang w:val="sr-Latn-ME"/>
        </w:rPr>
        <w:t xml:space="preserve"> reakcije (vidjeti </w:t>
      </w:r>
      <w:r w:rsidR="00ED0D01" w:rsidRPr="002A6AB6">
        <w:rPr>
          <w:bCs/>
          <w:sz w:val="22"/>
          <w:szCs w:val="22"/>
          <w:lang w:val="sr-Latn-ME"/>
        </w:rPr>
        <w:t xml:space="preserve">dio </w:t>
      </w:r>
      <w:r w:rsidRPr="002A6AB6">
        <w:rPr>
          <w:bCs/>
          <w:sz w:val="22"/>
          <w:szCs w:val="22"/>
          <w:lang w:val="sr-Latn-ME"/>
        </w:rPr>
        <w:t>4.4).</w:t>
      </w:r>
    </w:p>
    <w:p w14:paraId="717BE97F" w14:textId="77777777" w:rsidR="00466B8B" w:rsidRPr="002A6AB6" w:rsidRDefault="00466B8B" w:rsidP="00587700">
      <w:pPr>
        <w:tabs>
          <w:tab w:val="left" w:pos="540"/>
          <w:tab w:val="left" w:pos="567"/>
        </w:tabs>
        <w:jc w:val="both"/>
        <w:rPr>
          <w:bCs/>
          <w:sz w:val="22"/>
          <w:szCs w:val="22"/>
          <w:lang w:val="sr-Latn-ME"/>
        </w:rPr>
      </w:pPr>
    </w:p>
    <w:p w14:paraId="39B9A2C6" w14:textId="77777777" w:rsidR="00466B8B" w:rsidRPr="002A6AB6" w:rsidRDefault="00466B8B" w:rsidP="00587700">
      <w:pPr>
        <w:tabs>
          <w:tab w:val="left" w:pos="540"/>
          <w:tab w:val="left" w:pos="569"/>
        </w:tabs>
        <w:jc w:val="both"/>
        <w:rPr>
          <w:bCs/>
          <w:sz w:val="22"/>
          <w:szCs w:val="22"/>
          <w:u w:val="single"/>
          <w:lang w:val="sr-Latn-ME"/>
        </w:rPr>
      </w:pPr>
      <w:bookmarkStart w:id="0" w:name="_Hlk134374885"/>
      <w:bookmarkStart w:id="1" w:name="_Hlk129004598"/>
      <w:bookmarkStart w:id="2" w:name="_Hlk138874011"/>
      <w:bookmarkStart w:id="3" w:name="_Hlk129006977"/>
      <w:proofErr w:type="spellStart"/>
      <w:r w:rsidRPr="002A6AB6">
        <w:rPr>
          <w:bCs/>
          <w:sz w:val="22"/>
          <w:szCs w:val="22"/>
          <w:u w:val="single"/>
          <w:lang w:val="sr-Latn-ME"/>
        </w:rPr>
        <w:t>Premedikacija</w:t>
      </w:r>
      <w:proofErr w:type="spellEnd"/>
      <w:r w:rsidRPr="002A6AB6">
        <w:rPr>
          <w:bCs/>
          <w:sz w:val="22"/>
          <w:szCs w:val="22"/>
          <w:u w:val="single"/>
          <w:lang w:val="sr-Latn-ME"/>
        </w:rPr>
        <w:t xml:space="preserve"> za reakcije na injekciju </w:t>
      </w:r>
    </w:p>
    <w:p w14:paraId="07BD4E58"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Sljedeće dvije vrste </w:t>
      </w:r>
      <w:proofErr w:type="spellStart"/>
      <w:r w:rsidRPr="002A6AB6">
        <w:rPr>
          <w:bCs/>
          <w:sz w:val="22"/>
          <w:szCs w:val="22"/>
          <w:lang w:val="sr-Latn-ME"/>
        </w:rPr>
        <w:t>premedikacije</w:t>
      </w:r>
      <w:proofErr w:type="spellEnd"/>
      <w:r w:rsidRPr="002A6AB6">
        <w:rPr>
          <w:bCs/>
          <w:sz w:val="22"/>
          <w:szCs w:val="22"/>
          <w:lang w:val="sr-Latn-ME"/>
        </w:rPr>
        <w:t xml:space="preserve"> neophodno je dati prije svake injekcije </w:t>
      </w:r>
      <w:proofErr w:type="spellStart"/>
      <w:r w:rsidRPr="002A6AB6">
        <w:rPr>
          <w:bCs/>
          <w:sz w:val="22"/>
          <w:szCs w:val="22"/>
          <w:lang w:val="sr-Latn-ME"/>
        </w:rPr>
        <w:t>okrelizumaba</w:t>
      </w:r>
      <w:proofErr w:type="spellEnd"/>
      <w:r w:rsidRPr="002A6AB6">
        <w:rPr>
          <w:bCs/>
          <w:sz w:val="22"/>
          <w:szCs w:val="22"/>
          <w:lang w:val="sr-Latn-ME"/>
        </w:rPr>
        <w:t xml:space="preserve"> kako bi se smanjio rizik od lokalnih i sistemskih reakcija na injekciju (IR):</w:t>
      </w:r>
      <w:r w:rsidRPr="002A6AB6">
        <w:rPr>
          <w:bCs/>
          <w:sz w:val="22"/>
          <w:szCs w:val="22"/>
          <w:lang w:val="sr-Latn-ME"/>
        </w:rPr>
        <w:tab/>
      </w:r>
    </w:p>
    <w:p w14:paraId="04733D7F"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sym w:font="Symbol" w:char="F0B7"/>
      </w:r>
      <w:r w:rsidRPr="002A6AB6">
        <w:rPr>
          <w:bCs/>
          <w:sz w:val="22"/>
          <w:szCs w:val="22"/>
          <w:lang w:val="sr-Latn-ME"/>
        </w:rPr>
        <w:tab/>
        <w:t xml:space="preserve">20 mg oralno </w:t>
      </w:r>
      <w:proofErr w:type="spellStart"/>
      <w:r w:rsidRPr="002A6AB6">
        <w:rPr>
          <w:bCs/>
          <w:sz w:val="22"/>
          <w:szCs w:val="22"/>
          <w:lang w:val="sr-Latn-ME"/>
        </w:rPr>
        <w:t>deksametazona</w:t>
      </w:r>
      <w:proofErr w:type="spellEnd"/>
      <w:r w:rsidRPr="002A6AB6">
        <w:rPr>
          <w:bCs/>
          <w:sz w:val="22"/>
          <w:szCs w:val="22"/>
          <w:lang w:val="sr-Latn-ME"/>
        </w:rPr>
        <w:t xml:space="preserve"> (ili ekvivalenta)</w:t>
      </w:r>
    </w:p>
    <w:p w14:paraId="540AD51A"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sym w:font="Symbol" w:char="F0B7"/>
      </w:r>
      <w:r w:rsidRPr="002A6AB6">
        <w:rPr>
          <w:bCs/>
          <w:sz w:val="22"/>
          <w:szCs w:val="22"/>
          <w:lang w:val="sr-Latn-ME"/>
        </w:rPr>
        <w:tab/>
        <w:t xml:space="preserve">Oralni antihistaminik (npr. </w:t>
      </w:r>
      <w:proofErr w:type="spellStart"/>
      <w:r w:rsidRPr="002A6AB6">
        <w:rPr>
          <w:bCs/>
          <w:sz w:val="22"/>
          <w:szCs w:val="22"/>
          <w:lang w:val="sr-Latn-ME"/>
        </w:rPr>
        <w:t>desloratadin</w:t>
      </w:r>
      <w:proofErr w:type="spellEnd"/>
      <w:r w:rsidRPr="002A6AB6">
        <w:rPr>
          <w:bCs/>
          <w:sz w:val="22"/>
          <w:szCs w:val="22"/>
          <w:lang w:val="sr-Latn-ME"/>
        </w:rPr>
        <w:t xml:space="preserve"> ili ekvivalent) </w:t>
      </w:r>
    </w:p>
    <w:p w14:paraId="3E9E277A"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Osim toga, može se razmotriti i </w:t>
      </w:r>
      <w:proofErr w:type="spellStart"/>
      <w:r w:rsidRPr="002A6AB6">
        <w:rPr>
          <w:bCs/>
          <w:sz w:val="22"/>
          <w:szCs w:val="22"/>
          <w:lang w:val="sr-Latn-ME"/>
        </w:rPr>
        <w:t>premedikacija</w:t>
      </w:r>
      <w:proofErr w:type="spellEnd"/>
      <w:r w:rsidRPr="002A6AB6">
        <w:rPr>
          <w:bCs/>
          <w:sz w:val="22"/>
          <w:szCs w:val="22"/>
          <w:lang w:val="sr-Latn-ME"/>
        </w:rPr>
        <w:t xml:space="preserve"> </w:t>
      </w:r>
      <w:proofErr w:type="spellStart"/>
      <w:r w:rsidRPr="002A6AB6">
        <w:rPr>
          <w:bCs/>
          <w:sz w:val="22"/>
          <w:szCs w:val="22"/>
          <w:lang w:val="sr-Latn-ME"/>
        </w:rPr>
        <w:t>antipiretikom</w:t>
      </w:r>
      <w:proofErr w:type="spellEnd"/>
      <w:r w:rsidRPr="002A6AB6">
        <w:rPr>
          <w:bCs/>
          <w:sz w:val="22"/>
          <w:szCs w:val="22"/>
          <w:lang w:val="sr-Latn-ME"/>
        </w:rPr>
        <w:t xml:space="preserve"> (npr. </w:t>
      </w:r>
      <w:proofErr w:type="spellStart"/>
      <w:r w:rsidRPr="002A6AB6">
        <w:rPr>
          <w:bCs/>
          <w:sz w:val="22"/>
          <w:szCs w:val="22"/>
          <w:lang w:val="sr-Latn-ME"/>
        </w:rPr>
        <w:t>paracetamolom</w:t>
      </w:r>
      <w:proofErr w:type="spellEnd"/>
      <w:r w:rsidRPr="002A6AB6">
        <w:rPr>
          <w:bCs/>
          <w:sz w:val="22"/>
          <w:szCs w:val="22"/>
          <w:lang w:val="sr-Latn-ME"/>
        </w:rPr>
        <w:t>) neposredno prije svake primjene.</w:t>
      </w:r>
    </w:p>
    <w:p w14:paraId="1BB080B2" w14:textId="77777777" w:rsidR="00466B8B" w:rsidRPr="002A6AB6" w:rsidRDefault="00466B8B" w:rsidP="00587700">
      <w:pPr>
        <w:tabs>
          <w:tab w:val="left" w:pos="540"/>
          <w:tab w:val="left" w:pos="569"/>
        </w:tabs>
        <w:jc w:val="both"/>
        <w:rPr>
          <w:bCs/>
          <w:sz w:val="22"/>
          <w:szCs w:val="22"/>
          <w:lang w:val="sr-Latn-ME"/>
        </w:rPr>
      </w:pPr>
    </w:p>
    <w:p w14:paraId="5D45F87D" w14:textId="77777777" w:rsidR="00466B8B" w:rsidRPr="002A6AB6" w:rsidRDefault="00466B8B" w:rsidP="00587700">
      <w:pPr>
        <w:tabs>
          <w:tab w:val="left" w:pos="540"/>
          <w:tab w:val="left" w:pos="569"/>
        </w:tabs>
        <w:jc w:val="both"/>
        <w:rPr>
          <w:bCs/>
          <w:sz w:val="22"/>
          <w:szCs w:val="22"/>
          <w:u w:val="single"/>
          <w:lang w:val="sr-Latn-ME"/>
        </w:rPr>
      </w:pPr>
      <w:r w:rsidRPr="002A6AB6">
        <w:rPr>
          <w:bCs/>
          <w:sz w:val="22"/>
          <w:szCs w:val="22"/>
          <w:u w:val="single"/>
          <w:lang w:val="sr-Latn-ME"/>
        </w:rPr>
        <w:t>Doziranje</w:t>
      </w:r>
    </w:p>
    <w:bookmarkEnd w:id="0"/>
    <w:bookmarkEnd w:id="1"/>
    <w:bookmarkEnd w:id="2"/>
    <w:bookmarkEnd w:id="3"/>
    <w:p w14:paraId="166C8B9C" w14:textId="77777777" w:rsidR="00466B8B" w:rsidRPr="002A6AB6" w:rsidRDefault="00466B8B" w:rsidP="00587700">
      <w:pPr>
        <w:tabs>
          <w:tab w:val="left" w:pos="540"/>
          <w:tab w:val="left" w:pos="567"/>
        </w:tabs>
        <w:jc w:val="both"/>
        <w:rPr>
          <w:bCs/>
          <w:sz w:val="22"/>
          <w:szCs w:val="22"/>
          <w:lang w:val="sr-Latn-ME"/>
        </w:rPr>
      </w:pPr>
      <w:r w:rsidRPr="002A6AB6">
        <w:rPr>
          <w:bCs/>
          <w:sz w:val="22"/>
          <w:szCs w:val="22"/>
          <w:lang w:val="sr-Latn-ME"/>
        </w:rPr>
        <w:t>Preporučena doza iznosi 920 mg i daje se svakih 6 mjeseci.</w:t>
      </w:r>
    </w:p>
    <w:p w14:paraId="5D348E33" w14:textId="77777777" w:rsidR="00466B8B" w:rsidRPr="002A6AB6" w:rsidRDefault="00466B8B" w:rsidP="00587700">
      <w:pPr>
        <w:tabs>
          <w:tab w:val="left" w:pos="540"/>
          <w:tab w:val="left" w:pos="567"/>
        </w:tabs>
        <w:jc w:val="both"/>
        <w:rPr>
          <w:bCs/>
          <w:sz w:val="22"/>
          <w:szCs w:val="22"/>
          <w:lang w:val="sr-Latn-ME"/>
        </w:rPr>
      </w:pPr>
      <w:r w:rsidRPr="002A6AB6">
        <w:rPr>
          <w:bCs/>
          <w:sz w:val="22"/>
          <w:szCs w:val="22"/>
          <w:lang w:val="sr-Latn-ME"/>
        </w:rPr>
        <w:lastRenderedPageBreak/>
        <w:t xml:space="preserve">Nije potrebna podjela početne doze ili narednih doza na zasebne primjene. </w:t>
      </w:r>
    </w:p>
    <w:p w14:paraId="44403303"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Između svake doze </w:t>
      </w:r>
      <w:proofErr w:type="spellStart"/>
      <w:r w:rsidRPr="002A6AB6">
        <w:rPr>
          <w:bCs/>
          <w:sz w:val="22"/>
          <w:szCs w:val="22"/>
          <w:lang w:val="sr-Latn-ME"/>
        </w:rPr>
        <w:t>okrelizumaba</w:t>
      </w:r>
      <w:proofErr w:type="spellEnd"/>
      <w:r w:rsidRPr="002A6AB6">
        <w:rPr>
          <w:bCs/>
          <w:sz w:val="22"/>
          <w:szCs w:val="22"/>
          <w:lang w:val="sr-Latn-ME"/>
        </w:rPr>
        <w:t xml:space="preserve"> treba da prođe najmanje 5 mjeseci.  </w:t>
      </w:r>
    </w:p>
    <w:p w14:paraId="6DF1D6EC" w14:textId="77777777" w:rsidR="00466B8B" w:rsidRPr="002A6AB6" w:rsidRDefault="00466B8B" w:rsidP="00587700">
      <w:pPr>
        <w:tabs>
          <w:tab w:val="left" w:pos="540"/>
          <w:tab w:val="left" w:pos="569"/>
        </w:tabs>
        <w:jc w:val="both"/>
        <w:rPr>
          <w:bCs/>
          <w:sz w:val="22"/>
          <w:szCs w:val="22"/>
          <w:lang w:val="sr-Latn-ME"/>
        </w:rPr>
      </w:pPr>
    </w:p>
    <w:p w14:paraId="71CF1DF5" w14:textId="77777777" w:rsidR="00466B8B" w:rsidRPr="002A6AB6" w:rsidRDefault="00466B8B" w:rsidP="00587700">
      <w:pPr>
        <w:tabs>
          <w:tab w:val="left" w:pos="540"/>
          <w:tab w:val="left" w:pos="569"/>
        </w:tabs>
        <w:jc w:val="both"/>
        <w:rPr>
          <w:bCs/>
          <w:sz w:val="22"/>
          <w:szCs w:val="22"/>
          <w:u w:val="single"/>
          <w:lang w:val="sr-Latn-ME"/>
        </w:rPr>
      </w:pPr>
      <w:r w:rsidRPr="002A6AB6">
        <w:rPr>
          <w:bCs/>
          <w:sz w:val="22"/>
          <w:szCs w:val="22"/>
          <w:u w:val="single"/>
          <w:lang w:val="sr-Latn-ME"/>
        </w:rPr>
        <w:t>Prekid injekcije ili liječenja u slučaju reakcija na injekciju</w:t>
      </w:r>
    </w:p>
    <w:p w14:paraId="4294972D" w14:textId="77777777" w:rsidR="00587700" w:rsidRPr="002A6AB6" w:rsidRDefault="00587700" w:rsidP="00587700">
      <w:pPr>
        <w:tabs>
          <w:tab w:val="left" w:pos="540"/>
          <w:tab w:val="left" w:pos="569"/>
        </w:tabs>
        <w:jc w:val="both"/>
        <w:rPr>
          <w:bCs/>
          <w:i/>
          <w:iCs/>
          <w:sz w:val="22"/>
          <w:szCs w:val="22"/>
          <w:lang w:val="sr-Latn-ME"/>
        </w:rPr>
      </w:pPr>
    </w:p>
    <w:p w14:paraId="5978706A" w14:textId="77777777" w:rsidR="00466B8B" w:rsidRPr="002A6AB6" w:rsidRDefault="00466B8B" w:rsidP="00587700">
      <w:pPr>
        <w:tabs>
          <w:tab w:val="left" w:pos="540"/>
          <w:tab w:val="left" w:pos="569"/>
        </w:tabs>
        <w:jc w:val="both"/>
        <w:rPr>
          <w:bCs/>
          <w:i/>
          <w:iCs/>
          <w:sz w:val="22"/>
          <w:szCs w:val="22"/>
          <w:lang w:val="sr-Latn-ME"/>
        </w:rPr>
      </w:pPr>
      <w:r w:rsidRPr="002A6AB6">
        <w:rPr>
          <w:bCs/>
          <w:i/>
          <w:iCs/>
          <w:sz w:val="22"/>
          <w:szCs w:val="22"/>
          <w:lang w:val="sr-Latn-ME"/>
        </w:rPr>
        <w:t xml:space="preserve">Reakcije na injekciju koje su životno </w:t>
      </w:r>
      <w:proofErr w:type="spellStart"/>
      <w:r w:rsidRPr="002A6AB6">
        <w:rPr>
          <w:bCs/>
          <w:i/>
          <w:iCs/>
          <w:sz w:val="22"/>
          <w:szCs w:val="22"/>
          <w:lang w:val="sr-Latn-ME"/>
        </w:rPr>
        <w:t>ugrožavajuće</w:t>
      </w:r>
      <w:proofErr w:type="spellEnd"/>
    </w:p>
    <w:p w14:paraId="73141F9B"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Ukoliko postoje znaci reakcije na injekciju koja je životno </w:t>
      </w:r>
      <w:proofErr w:type="spellStart"/>
      <w:r w:rsidRPr="002A6AB6">
        <w:rPr>
          <w:bCs/>
          <w:sz w:val="22"/>
          <w:szCs w:val="22"/>
          <w:lang w:val="sr-Latn-ME"/>
        </w:rPr>
        <w:t>ugrožavajuća</w:t>
      </w:r>
      <w:proofErr w:type="spellEnd"/>
      <w:r w:rsidRPr="002A6AB6">
        <w:rPr>
          <w:bCs/>
          <w:sz w:val="22"/>
          <w:szCs w:val="22"/>
          <w:lang w:val="sr-Latn-ME"/>
        </w:rPr>
        <w:t xml:space="preserve">, injekcija se mora odmah prekinuti, a pacijent treba da primi odgovarajuću terapiju. Liječenje se mora trajno prekinuti kod takvih pacijenata (vidjeti </w:t>
      </w:r>
      <w:r w:rsidR="00ED0D01" w:rsidRPr="002A6AB6">
        <w:rPr>
          <w:bCs/>
          <w:sz w:val="22"/>
          <w:szCs w:val="22"/>
          <w:lang w:val="sr-Latn-ME"/>
        </w:rPr>
        <w:t xml:space="preserve">dio </w:t>
      </w:r>
      <w:r w:rsidRPr="002A6AB6">
        <w:rPr>
          <w:bCs/>
          <w:sz w:val="22"/>
          <w:szCs w:val="22"/>
          <w:lang w:val="sr-Latn-ME"/>
        </w:rPr>
        <w:t xml:space="preserve">4.3). </w:t>
      </w:r>
    </w:p>
    <w:p w14:paraId="660D6409" w14:textId="77777777" w:rsidR="00466B8B" w:rsidRPr="002A6AB6" w:rsidRDefault="00466B8B" w:rsidP="00587700">
      <w:pPr>
        <w:tabs>
          <w:tab w:val="left" w:pos="540"/>
          <w:tab w:val="left" w:pos="569"/>
        </w:tabs>
        <w:jc w:val="both"/>
        <w:rPr>
          <w:bCs/>
          <w:sz w:val="22"/>
          <w:szCs w:val="22"/>
          <w:u w:val="single"/>
          <w:lang w:val="sr-Latn-ME"/>
        </w:rPr>
      </w:pPr>
    </w:p>
    <w:p w14:paraId="2AC3884F" w14:textId="77777777" w:rsidR="00466B8B" w:rsidRPr="002A6AB6" w:rsidRDefault="00466B8B" w:rsidP="00587700">
      <w:pPr>
        <w:tabs>
          <w:tab w:val="left" w:pos="540"/>
          <w:tab w:val="left" w:pos="569"/>
        </w:tabs>
        <w:jc w:val="both"/>
        <w:rPr>
          <w:bCs/>
          <w:i/>
          <w:iCs/>
          <w:sz w:val="22"/>
          <w:szCs w:val="22"/>
          <w:lang w:val="sr-Latn-ME"/>
        </w:rPr>
      </w:pPr>
      <w:r w:rsidRPr="002A6AB6">
        <w:rPr>
          <w:bCs/>
          <w:i/>
          <w:iCs/>
          <w:sz w:val="22"/>
          <w:szCs w:val="22"/>
          <w:lang w:val="sr-Latn-ME"/>
        </w:rPr>
        <w:t>Teške reakcije na injekciju</w:t>
      </w:r>
    </w:p>
    <w:p w14:paraId="0263EC1D"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Ukoliko se kod pacijenta javi teška reakcija na injekciju, injekciju treba odmah prekinuti, a pacijentu dati </w:t>
      </w:r>
      <w:proofErr w:type="spellStart"/>
      <w:r w:rsidRPr="002A6AB6">
        <w:rPr>
          <w:bCs/>
          <w:sz w:val="22"/>
          <w:szCs w:val="22"/>
          <w:lang w:val="sr-Latn-ME"/>
        </w:rPr>
        <w:t>simptomatsku</w:t>
      </w:r>
      <w:proofErr w:type="spellEnd"/>
      <w:r w:rsidRPr="002A6AB6">
        <w:rPr>
          <w:bCs/>
          <w:sz w:val="22"/>
          <w:szCs w:val="22"/>
          <w:lang w:val="sr-Latn-ME"/>
        </w:rPr>
        <w:t xml:space="preserve"> terapiju. Injekciju treba završiti tek nakon što se svi simptomi povuku (vidjeti </w:t>
      </w:r>
      <w:r w:rsidR="00ED0D01" w:rsidRPr="002A6AB6">
        <w:rPr>
          <w:bCs/>
          <w:sz w:val="22"/>
          <w:szCs w:val="22"/>
          <w:lang w:val="sr-Latn-ME"/>
        </w:rPr>
        <w:t xml:space="preserve">dio </w:t>
      </w:r>
      <w:r w:rsidRPr="002A6AB6">
        <w:rPr>
          <w:bCs/>
          <w:sz w:val="22"/>
          <w:szCs w:val="22"/>
          <w:lang w:val="sr-Latn-ME"/>
        </w:rPr>
        <w:t>4.4).</w:t>
      </w:r>
    </w:p>
    <w:p w14:paraId="4E65C264" w14:textId="77777777" w:rsidR="00466B8B" w:rsidRPr="002A6AB6" w:rsidRDefault="00466B8B" w:rsidP="00587700">
      <w:pPr>
        <w:tabs>
          <w:tab w:val="left" w:pos="540"/>
          <w:tab w:val="left" w:pos="569"/>
        </w:tabs>
        <w:jc w:val="both"/>
        <w:rPr>
          <w:bCs/>
          <w:sz w:val="22"/>
          <w:szCs w:val="22"/>
          <w:lang w:val="sr-Latn-ME"/>
        </w:rPr>
      </w:pPr>
    </w:p>
    <w:p w14:paraId="30DF5677" w14:textId="77777777" w:rsidR="00466B8B" w:rsidRPr="002A6AB6" w:rsidRDefault="00466B8B" w:rsidP="00587700">
      <w:pPr>
        <w:tabs>
          <w:tab w:val="left" w:pos="540"/>
          <w:tab w:val="left" w:pos="567"/>
        </w:tabs>
        <w:jc w:val="both"/>
        <w:rPr>
          <w:bCs/>
          <w:sz w:val="22"/>
          <w:szCs w:val="22"/>
          <w:u w:val="single"/>
          <w:lang w:val="sr-Latn-ME"/>
        </w:rPr>
      </w:pPr>
      <w:r w:rsidRPr="002A6AB6">
        <w:rPr>
          <w:bCs/>
          <w:sz w:val="22"/>
          <w:szCs w:val="22"/>
          <w:u w:val="single"/>
          <w:lang w:val="sr-Latn-ME"/>
        </w:rPr>
        <w:t>Zakašnjele ili propuštene doze</w:t>
      </w:r>
    </w:p>
    <w:p w14:paraId="6CFC74BF" w14:textId="77777777" w:rsidR="00466B8B" w:rsidRPr="002A6AB6" w:rsidRDefault="00466B8B" w:rsidP="00587700">
      <w:pPr>
        <w:tabs>
          <w:tab w:val="left" w:pos="540"/>
          <w:tab w:val="left" w:pos="567"/>
        </w:tabs>
        <w:jc w:val="both"/>
        <w:rPr>
          <w:bCs/>
          <w:sz w:val="22"/>
          <w:szCs w:val="22"/>
          <w:lang w:val="sr-Latn-ME"/>
        </w:rPr>
      </w:pPr>
      <w:r w:rsidRPr="002A6AB6">
        <w:rPr>
          <w:bCs/>
          <w:sz w:val="22"/>
          <w:szCs w:val="22"/>
          <w:lang w:val="sr-Latn-ME"/>
        </w:rPr>
        <w:t>Ukoliko se propusti injekcija, treba je dati što je moguće prije; nemojte čekati do sljedeće planirane doze. Između dvije doze treba održavati interval terapije od 6 mjeseci (minimalno 5 mjeseci).</w:t>
      </w:r>
    </w:p>
    <w:p w14:paraId="2C17B1E9" w14:textId="77777777" w:rsidR="00466B8B" w:rsidRPr="002A6AB6" w:rsidRDefault="00466B8B" w:rsidP="00587700">
      <w:pPr>
        <w:tabs>
          <w:tab w:val="left" w:pos="540"/>
          <w:tab w:val="left" w:pos="569"/>
        </w:tabs>
        <w:jc w:val="both"/>
        <w:rPr>
          <w:bCs/>
          <w:sz w:val="22"/>
          <w:szCs w:val="22"/>
          <w:lang w:val="sr-Latn-ME"/>
        </w:rPr>
      </w:pPr>
    </w:p>
    <w:p w14:paraId="2410FF0E" w14:textId="77777777" w:rsidR="00466B8B" w:rsidRPr="002A6AB6" w:rsidRDefault="00466B8B" w:rsidP="00587700">
      <w:pPr>
        <w:tabs>
          <w:tab w:val="left" w:pos="540"/>
          <w:tab w:val="left" w:pos="567"/>
        </w:tabs>
        <w:jc w:val="both"/>
        <w:rPr>
          <w:bCs/>
          <w:sz w:val="22"/>
          <w:szCs w:val="22"/>
          <w:u w:val="single"/>
          <w:lang w:val="sr-Latn-ME"/>
        </w:rPr>
      </w:pPr>
      <w:r w:rsidRPr="002A6AB6">
        <w:rPr>
          <w:bCs/>
          <w:sz w:val="22"/>
          <w:szCs w:val="22"/>
          <w:u w:val="single"/>
          <w:lang w:val="sr-Latn-ME"/>
        </w:rPr>
        <w:t>Posebne populacije</w:t>
      </w:r>
    </w:p>
    <w:p w14:paraId="3B157389" w14:textId="77777777" w:rsidR="00466B8B" w:rsidRPr="002A6AB6" w:rsidRDefault="00466B8B" w:rsidP="00587700">
      <w:pPr>
        <w:tabs>
          <w:tab w:val="left" w:pos="540"/>
          <w:tab w:val="left" w:pos="567"/>
        </w:tabs>
        <w:jc w:val="both"/>
        <w:rPr>
          <w:bCs/>
          <w:i/>
          <w:iCs/>
          <w:sz w:val="22"/>
          <w:szCs w:val="22"/>
          <w:lang w:val="sr-Latn-ME"/>
        </w:rPr>
      </w:pPr>
    </w:p>
    <w:p w14:paraId="40FE1221" w14:textId="77777777" w:rsidR="00466B8B" w:rsidRPr="002A6AB6" w:rsidRDefault="00466B8B" w:rsidP="00587700">
      <w:pPr>
        <w:tabs>
          <w:tab w:val="left" w:pos="540"/>
          <w:tab w:val="left" w:pos="567"/>
        </w:tabs>
        <w:jc w:val="both"/>
        <w:rPr>
          <w:bCs/>
          <w:i/>
          <w:iCs/>
          <w:sz w:val="22"/>
          <w:szCs w:val="22"/>
          <w:lang w:val="sr-Latn-ME"/>
        </w:rPr>
      </w:pPr>
      <w:r w:rsidRPr="002A6AB6">
        <w:rPr>
          <w:bCs/>
          <w:i/>
          <w:iCs/>
          <w:sz w:val="22"/>
          <w:szCs w:val="22"/>
          <w:lang w:val="sr-Latn-ME"/>
        </w:rPr>
        <w:t>Odrasli stariji od 55 godina</w:t>
      </w:r>
    </w:p>
    <w:p w14:paraId="1F3D8429" w14:textId="3770D10E" w:rsidR="00466B8B" w:rsidRPr="002A6AB6" w:rsidRDefault="00466B8B" w:rsidP="00587700">
      <w:pPr>
        <w:tabs>
          <w:tab w:val="left" w:pos="540"/>
          <w:tab w:val="left" w:pos="567"/>
        </w:tabs>
        <w:jc w:val="both"/>
        <w:rPr>
          <w:bCs/>
          <w:sz w:val="22"/>
          <w:szCs w:val="22"/>
          <w:lang w:val="sr-Latn-ME"/>
        </w:rPr>
      </w:pPr>
      <w:r w:rsidRPr="002A6AB6">
        <w:rPr>
          <w:bCs/>
          <w:sz w:val="22"/>
          <w:szCs w:val="22"/>
          <w:lang w:val="sr-Latn-ME"/>
        </w:rPr>
        <w:t xml:space="preserve">Na osnovu ograničenih dostupnih podataka za </w:t>
      </w:r>
      <w:proofErr w:type="spellStart"/>
      <w:r w:rsidRPr="002A6AB6">
        <w:rPr>
          <w:bCs/>
          <w:sz w:val="22"/>
          <w:szCs w:val="22"/>
          <w:lang w:val="sr-Latn-ME"/>
        </w:rPr>
        <w:t>intravenski</w:t>
      </w:r>
      <w:proofErr w:type="spellEnd"/>
      <w:r w:rsidRPr="002A6AB6">
        <w:rPr>
          <w:bCs/>
          <w:sz w:val="22"/>
          <w:szCs w:val="22"/>
          <w:lang w:val="sr-Latn-ME"/>
        </w:rPr>
        <w:t xml:space="preserve"> </w:t>
      </w:r>
      <w:proofErr w:type="spellStart"/>
      <w:r w:rsidRPr="002A6AB6">
        <w:rPr>
          <w:bCs/>
          <w:sz w:val="22"/>
          <w:szCs w:val="22"/>
          <w:lang w:val="sr-Latn-ME"/>
        </w:rPr>
        <w:t>okrelizumab</w:t>
      </w:r>
      <w:proofErr w:type="spellEnd"/>
      <w:r w:rsidRPr="002A6AB6">
        <w:rPr>
          <w:bCs/>
          <w:sz w:val="22"/>
          <w:szCs w:val="22"/>
          <w:lang w:val="sr-Latn-ME"/>
        </w:rPr>
        <w:t xml:space="preserve"> (vidjeti </w:t>
      </w:r>
      <w:r w:rsidR="0002688D" w:rsidRPr="002A6AB6">
        <w:rPr>
          <w:bCs/>
          <w:sz w:val="22"/>
          <w:szCs w:val="22"/>
          <w:lang w:val="sr-Latn-ME"/>
        </w:rPr>
        <w:t xml:space="preserve">djelove </w:t>
      </w:r>
      <w:r w:rsidRPr="002A6AB6">
        <w:rPr>
          <w:bCs/>
          <w:sz w:val="22"/>
          <w:szCs w:val="22"/>
          <w:lang w:val="sr-Latn-ME"/>
        </w:rPr>
        <w:t xml:space="preserve">5.1 i 5.2), nije potrebno prilagođavanje doze kod pacijenata starijih od 55 godina. Pacijenti uključeni u klinička ispitivanja koja su u toku nastavljaju da primaju doze od 600 mg </w:t>
      </w:r>
      <w:proofErr w:type="spellStart"/>
      <w:r w:rsidRPr="002A6AB6">
        <w:rPr>
          <w:bCs/>
          <w:sz w:val="22"/>
          <w:szCs w:val="22"/>
          <w:lang w:val="sr-Latn-ME"/>
        </w:rPr>
        <w:t>intravenskog</w:t>
      </w:r>
      <w:proofErr w:type="spellEnd"/>
      <w:r w:rsidRPr="002A6AB6">
        <w:rPr>
          <w:bCs/>
          <w:sz w:val="22"/>
          <w:szCs w:val="22"/>
          <w:lang w:val="sr-Latn-ME"/>
        </w:rPr>
        <w:t xml:space="preserve"> </w:t>
      </w:r>
      <w:proofErr w:type="spellStart"/>
      <w:r w:rsidRPr="002A6AB6">
        <w:rPr>
          <w:bCs/>
          <w:sz w:val="22"/>
          <w:szCs w:val="22"/>
          <w:lang w:val="sr-Latn-ME"/>
        </w:rPr>
        <w:t>okrelizumaba</w:t>
      </w:r>
      <w:proofErr w:type="spellEnd"/>
      <w:r w:rsidRPr="002A6AB6">
        <w:rPr>
          <w:bCs/>
          <w:sz w:val="22"/>
          <w:szCs w:val="22"/>
          <w:lang w:val="sr-Latn-ME"/>
        </w:rPr>
        <w:t xml:space="preserve"> svakih šest mjeseci nakon što napune 55 i više godina. Primjena </w:t>
      </w:r>
      <w:proofErr w:type="spellStart"/>
      <w:r w:rsidRPr="002A6AB6">
        <w:rPr>
          <w:bCs/>
          <w:sz w:val="22"/>
          <w:szCs w:val="22"/>
          <w:lang w:val="sr-Latn-ME"/>
        </w:rPr>
        <w:t>subkutanog</w:t>
      </w:r>
      <w:proofErr w:type="spellEnd"/>
      <w:r w:rsidRPr="002A6AB6">
        <w:rPr>
          <w:bCs/>
          <w:sz w:val="22"/>
          <w:szCs w:val="22"/>
          <w:lang w:val="sr-Latn-ME"/>
        </w:rPr>
        <w:t xml:space="preserve"> </w:t>
      </w:r>
      <w:proofErr w:type="spellStart"/>
      <w:r w:rsidRPr="002A6AB6">
        <w:rPr>
          <w:bCs/>
          <w:sz w:val="22"/>
          <w:szCs w:val="22"/>
          <w:lang w:val="sr-Latn-ME"/>
        </w:rPr>
        <w:t>okrelizumaba</w:t>
      </w:r>
      <w:proofErr w:type="spellEnd"/>
      <w:r w:rsidRPr="002A6AB6">
        <w:rPr>
          <w:bCs/>
          <w:sz w:val="22"/>
          <w:szCs w:val="22"/>
          <w:lang w:val="sr-Latn-ME"/>
        </w:rPr>
        <w:t xml:space="preserve"> nije proučavana kod pacijenata starijih od 65 godina.</w:t>
      </w:r>
    </w:p>
    <w:p w14:paraId="1603E9E5" w14:textId="77777777" w:rsidR="00466B8B" w:rsidRPr="002A6AB6" w:rsidRDefault="00466B8B" w:rsidP="00587700">
      <w:pPr>
        <w:tabs>
          <w:tab w:val="left" w:pos="540"/>
          <w:tab w:val="left" w:pos="569"/>
        </w:tabs>
        <w:jc w:val="both"/>
        <w:rPr>
          <w:bCs/>
          <w:sz w:val="22"/>
          <w:szCs w:val="22"/>
          <w:lang w:val="sr-Latn-ME"/>
        </w:rPr>
      </w:pPr>
    </w:p>
    <w:p w14:paraId="2F30B73B" w14:textId="77777777" w:rsidR="00466B8B" w:rsidRPr="002A6AB6" w:rsidRDefault="00466B8B" w:rsidP="00587700">
      <w:pPr>
        <w:tabs>
          <w:tab w:val="left" w:pos="540"/>
          <w:tab w:val="left" w:pos="567"/>
        </w:tabs>
        <w:jc w:val="both"/>
        <w:rPr>
          <w:bCs/>
          <w:i/>
          <w:iCs/>
          <w:sz w:val="22"/>
          <w:szCs w:val="22"/>
          <w:lang w:val="sr-Latn-ME"/>
        </w:rPr>
      </w:pPr>
      <w:r w:rsidRPr="002A6AB6">
        <w:rPr>
          <w:bCs/>
          <w:i/>
          <w:iCs/>
          <w:sz w:val="22"/>
          <w:szCs w:val="22"/>
          <w:lang w:val="sr-Latn-ME"/>
        </w:rPr>
        <w:t>Oštećenje funkcije bubrega</w:t>
      </w:r>
    </w:p>
    <w:p w14:paraId="35AAE159" w14:textId="77777777" w:rsidR="00466B8B" w:rsidRPr="002A6AB6" w:rsidRDefault="00466B8B" w:rsidP="00587700">
      <w:pPr>
        <w:tabs>
          <w:tab w:val="left" w:pos="540"/>
          <w:tab w:val="left" w:pos="567"/>
        </w:tabs>
        <w:jc w:val="both"/>
        <w:rPr>
          <w:bCs/>
          <w:sz w:val="22"/>
          <w:szCs w:val="22"/>
          <w:lang w:val="sr-Latn-ME"/>
        </w:rPr>
      </w:pPr>
      <w:r w:rsidRPr="002A6AB6">
        <w:rPr>
          <w:bCs/>
          <w:sz w:val="22"/>
          <w:szCs w:val="22"/>
          <w:lang w:val="sr-Latn-ME"/>
        </w:rPr>
        <w:t xml:space="preserve">Bezbjednost i efikasnost </w:t>
      </w:r>
      <w:proofErr w:type="spellStart"/>
      <w:r w:rsidRPr="002A6AB6">
        <w:rPr>
          <w:bCs/>
          <w:sz w:val="22"/>
          <w:szCs w:val="22"/>
          <w:lang w:val="sr-Latn-ME"/>
        </w:rPr>
        <w:t>okrelizumaba</w:t>
      </w:r>
      <w:proofErr w:type="spellEnd"/>
      <w:r w:rsidRPr="002A6AB6">
        <w:rPr>
          <w:bCs/>
          <w:sz w:val="22"/>
          <w:szCs w:val="22"/>
          <w:lang w:val="sr-Latn-ME"/>
        </w:rPr>
        <w:t xml:space="preserve"> kod pacijenata sa oštećenjem funkcije bubrega nisu formalno proučavane. Pacijenti sa blago oštećenom funkcijom bubrega uključivani su u klinička ispitivanja. Nema iskustva sa pacijentima sa umjereno do teško oštećenom funkcijom bubrega. </w:t>
      </w:r>
      <w:proofErr w:type="spellStart"/>
      <w:r w:rsidRPr="002A6AB6">
        <w:rPr>
          <w:bCs/>
          <w:sz w:val="22"/>
          <w:szCs w:val="22"/>
          <w:lang w:val="sr-Latn-ME"/>
        </w:rPr>
        <w:t>Okrelizumab</w:t>
      </w:r>
      <w:proofErr w:type="spellEnd"/>
      <w:r w:rsidRPr="002A6AB6">
        <w:rPr>
          <w:bCs/>
          <w:sz w:val="22"/>
          <w:szCs w:val="22"/>
          <w:lang w:val="sr-Latn-ME"/>
        </w:rPr>
        <w:t xml:space="preserve"> je </w:t>
      </w:r>
      <w:proofErr w:type="spellStart"/>
      <w:r w:rsidRPr="002A6AB6">
        <w:rPr>
          <w:bCs/>
          <w:sz w:val="22"/>
          <w:szCs w:val="22"/>
          <w:lang w:val="sr-Latn-ME"/>
        </w:rPr>
        <w:t>monoklonsko</w:t>
      </w:r>
      <w:proofErr w:type="spellEnd"/>
      <w:r w:rsidRPr="002A6AB6">
        <w:rPr>
          <w:bCs/>
          <w:sz w:val="22"/>
          <w:szCs w:val="22"/>
          <w:lang w:val="sr-Latn-ME"/>
        </w:rPr>
        <w:t xml:space="preserve"> antitijelo i izlučuje se putem </w:t>
      </w:r>
      <w:proofErr w:type="spellStart"/>
      <w:r w:rsidRPr="002A6AB6">
        <w:rPr>
          <w:bCs/>
          <w:sz w:val="22"/>
          <w:szCs w:val="22"/>
          <w:lang w:val="sr-Latn-ME"/>
        </w:rPr>
        <w:t>katabolizma</w:t>
      </w:r>
      <w:proofErr w:type="spellEnd"/>
      <w:r w:rsidRPr="002A6AB6">
        <w:rPr>
          <w:bCs/>
          <w:sz w:val="22"/>
          <w:szCs w:val="22"/>
          <w:lang w:val="sr-Latn-ME"/>
        </w:rPr>
        <w:t xml:space="preserve"> (tj. razlaže se na </w:t>
      </w:r>
      <w:proofErr w:type="spellStart"/>
      <w:r w:rsidRPr="002A6AB6">
        <w:rPr>
          <w:bCs/>
          <w:sz w:val="22"/>
          <w:szCs w:val="22"/>
          <w:lang w:val="sr-Latn-ME"/>
        </w:rPr>
        <w:t>peptide</w:t>
      </w:r>
      <w:proofErr w:type="spellEnd"/>
      <w:r w:rsidRPr="002A6AB6">
        <w:rPr>
          <w:bCs/>
          <w:sz w:val="22"/>
          <w:szCs w:val="22"/>
          <w:lang w:val="sr-Latn-ME"/>
        </w:rPr>
        <w:t xml:space="preserve"> i </w:t>
      </w:r>
      <w:proofErr w:type="spellStart"/>
      <w:r w:rsidRPr="002A6AB6">
        <w:rPr>
          <w:bCs/>
          <w:sz w:val="22"/>
          <w:szCs w:val="22"/>
          <w:lang w:val="sr-Latn-ME"/>
        </w:rPr>
        <w:t>aminokiseline</w:t>
      </w:r>
      <w:proofErr w:type="spellEnd"/>
      <w:r w:rsidRPr="002A6AB6">
        <w:rPr>
          <w:bCs/>
          <w:sz w:val="22"/>
          <w:szCs w:val="22"/>
          <w:lang w:val="sr-Latn-ME"/>
        </w:rPr>
        <w:t xml:space="preserve">), te se ne očekuje da će za pacijente sa oštećenom funkcijom bubrega biti potrebno prilagođavanje doze (vidjeti </w:t>
      </w:r>
      <w:r w:rsidR="00ED0D01" w:rsidRPr="002A6AB6">
        <w:rPr>
          <w:bCs/>
          <w:sz w:val="22"/>
          <w:szCs w:val="22"/>
          <w:lang w:val="sr-Latn-ME"/>
        </w:rPr>
        <w:t xml:space="preserve">dio </w:t>
      </w:r>
      <w:r w:rsidRPr="002A6AB6">
        <w:rPr>
          <w:bCs/>
          <w:sz w:val="22"/>
          <w:szCs w:val="22"/>
          <w:lang w:val="sr-Latn-ME"/>
        </w:rPr>
        <w:t xml:space="preserve">5.2).  </w:t>
      </w:r>
    </w:p>
    <w:p w14:paraId="7793D8CA" w14:textId="77777777" w:rsidR="00466B8B" w:rsidRPr="002A6AB6" w:rsidRDefault="00466B8B" w:rsidP="00587700">
      <w:pPr>
        <w:tabs>
          <w:tab w:val="left" w:pos="540"/>
          <w:tab w:val="left" w:pos="567"/>
        </w:tabs>
        <w:jc w:val="both"/>
        <w:rPr>
          <w:bCs/>
          <w:sz w:val="22"/>
          <w:szCs w:val="22"/>
          <w:lang w:val="sr-Latn-ME"/>
        </w:rPr>
      </w:pPr>
    </w:p>
    <w:p w14:paraId="7DF0A5D4" w14:textId="77777777" w:rsidR="00466B8B" w:rsidRPr="002A6AB6" w:rsidRDefault="00466B8B" w:rsidP="00587700">
      <w:pPr>
        <w:tabs>
          <w:tab w:val="left" w:pos="540"/>
          <w:tab w:val="left" w:pos="567"/>
        </w:tabs>
        <w:jc w:val="both"/>
        <w:rPr>
          <w:bCs/>
          <w:i/>
          <w:iCs/>
          <w:sz w:val="22"/>
          <w:szCs w:val="22"/>
          <w:lang w:val="sr-Latn-ME"/>
        </w:rPr>
      </w:pPr>
      <w:r w:rsidRPr="002A6AB6">
        <w:rPr>
          <w:bCs/>
          <w:i/>
          <w:iCs/>
          <w:sz w:val="22"/>
          <w:szCs w:val="22"/>
          <w:lang w:val="sr-Latn-ME"/>
        </w:rPr>
        <w:t>Oštećenje funkcije jetre</w:t>
      </w:r>
    </w:p>
    <w:p w14:paraId="478FC620" w14:textId="77777777" w:rsidR="00466B8B" w:rsidRPr="002A6AB6" w:rsidRDefault="00466B8B" w:rsidP="00587700">
      <w:pPr>
        <w:tabs>
          <w:tab w:val="left" w:pos="540"/>
          <w:tab w:val="left" w:pos="567"/>
        </w:tabs>
        <w:jc w:val="both"/>
        <w:rPr>
          <w:bCs/>
          <w:sz w:val="22"/>
          <w:szCs w:val="22"/>
          <w:lang w:val="sr-Latn-ME"/>
        </w:rPr>
      </w:pPr>
      <w:r w:rsidRPr="002A6AB6">
        <w:rPr>
          <w:bCs/>
          <w:sz w:val="22"/>
          <w:szCs w:val="22"/>
          <w:lang w:val="sr-Latn-ME"/>
        </w:rPr>
        <w:t xml:space="preserve">Bezbjednost i efikasnost </w:t>
      </w:r>
      <w:proofErr w:type="spellStart"/>
      <w:r w:rsidRPr="002A6AB6">
        <w:rPr>
          <w:bCs/>
          <w:sz w:val="22"/>
          <w:szCs w:val="22"/>
          <w:lang w:val="sr-Latn-ME"/>
        </w:rPr>
        <w:t>okrelizumaba</w:t>
      </w:r>
      <w:proofErr w:type="spellEnd"/>
      <w:r w:rsidRPr="002A6AB6">
        <w:rPr>
          <w:bCs/>
          <w:sz w:val="22"/>
          <w:szCs w:val="22"/>
          <w:lang w:val="sr-Latn-ME"/>
        </w:rPr>
        <w:t xml:space="preserve"> kod pacijenata sa oštećenjem funkcije jetre nisu formalno proučavane. Pacijenti sa blago oštećenom funkcijom jetre su uključivani u klinička ispitivanja. Nema iskustva sa pacijentima sa umjerenim do teškim oštećenjem funkcije jetre. </w:t>
      </w:r>
      <w:proofErr w:type="spellStart"/>
      <w:r w:rsidRPr="002A6AB6">
        <w:rPr>
          <w:bCs/>
          <w:sz w:val="22"/>
          <w:szCs w:val="22"/>
          <w:lang w:val="sr-Latn-ME"/>
        </w:rPr>
        <w:t>Okrelizumab</w:t>
      </w:r>
      <w:proofErr w:type="spellEnd"/>
      <w:r w:rsidRPr="002A6AB6">
        <w:rPr>
          <w:bCs/>
          <w:sz w:val="22"/>
          <w:szCs w:val="22"/>
          <w:lang w:val="sr-Latn-ME"/>
        </w:rPr>
        <w:t xml:space="preserve"> je </w:t>
      </w:r>
      <w:proofErr w:type="spellStart"/>
      <w:r w:rsidRPr="002A6AB6">
        <w:rPr>
          <w:bCs/>
          <w:sz w:val="22"/>
          <w:szCs w:val="22"/>
          <w:lang w:val="sr-Latn-ME"/>
        </w:rPr>
        <w:t>monoklonsko</w:t>
      </w:r>
      <w:proofErr w:type="spellEnd"/>
      <w:r w:rsidRPr="002A6AB6">
        <w:rPr>
          <w:bCs/>
          <w:sz w:val="22"/>
          <w:szCs w:val="22"/>
          <w:lang w:val="sr-Latn-ME"/>
        </w:rPr>
        <w:t xml:space="preserve"> antitijelo i izlučuje se putem </w:t>
      </w:r>
      <w:proofErr w:type="spellStart"/>
      <w:r w:rsidRPr="002A6AB6">
        <w:rPr>
          <w:bCs/>
          <w:sz w:val="22"/>
          <w:szCs w:val="22"/>
          <w:lang w:val="sr-Latn-ME"/>
        </w:rPr>
        <w:t>katabolizma</w:t>
      </w:r>
      <w:proofErr w:type="spellEnd"/>
      <w:r w:rsidRPr="002A6AB6">
        <w:rPr>
          <w:bCs/>
          <w:sz w:val="22"/>
          <w:szCs w:val="22"/>
          <w:lang w:val="sr-Latn-ME"/>
        </w:rPr>
        <w:t xml:space="preserve"> (prije nego putem metabolizma u jetri), te se ne očekuje da će za pacijente sa oštećenom funkcijom jetre biti potrebno prilagođavanje doze (vidjeti </w:t>
      </w:r>
      <w:r w:rsidR="00ED0D01" w:rsidRPr="002A6AB6">
        <w:rPr>
          <w:bCs/>
          <w:sz w:val="22"/>
          <w:szCs w:val="22"/>
          <w:lang w:val="sr-Latn-ME"/>
        </w:rPr>
        <w:t xml:space="preserve">dio </w:t>
      </w:r>
      <w:r w:rsidRPr="002A6AB6">
        <w:rPr>
          <w:bCs/>
          <w:sz w:val="22"/>
          <w:szCs w:val="22"/>
          <w:lang w:val="sr-Latn-ME"/>
        </w:rPr>
        <w:t xml:space="preserve">5.2).  </w:t>
      </w:r>
    </w:p>
    <w:p w14:paraId="71B082E7" w14:textId="77777777" w:rsidR="00466B8B" w:rsidRPr="002A6AB6" w:rsidRDefault="00466B8B" w:rsidP="00587700">
      <w:pPr>
        <w:tabs>
          <w:tab w:val="left" w:pos="540"/>
          <w:tab w:val="left" w:pos="567"/>
        </w:tabs>
        <w:jc w:val="both"/>
        <w:rPr>
          <w:bCs/>
          <w:sz w:val="22"/>
          <w:szCs w:val="22"/>
          <w:lang w:val="sr-Latn-ME"/>
        </w:rPr>
      </w:pPr>
    </w:p>
    <w:p w14:paraId="1B9ACA7C" w14:textId="77777777" w:rsidR="00466B8B" w:rsidRPr="002A6AB6" w:rsidRDefault="00466B8B" w:rsidP="00587700">
      <w:pPr>
        <w:tabs>
          <w:tab w:val="left" w:pos="540"/>
          <w:tab w:val="left" w:pos="567"/>
        </w:tabs>
        <w:jc w:val="both"/>
        <w:rPr>
          <w:bCs/>
          <w:i/>
          <w:iCs/>
          <w:sz w:val="22"/>
          <w:szCs w:val="22"/>
          <w:lang w:val="sr-Latn-ME"/>
        </w:rPr>
      </w:pPr>
      <w:r w:rsidRPr="002A6AB6">
        <w:rPr>
          <w:bCs/>
          <w:i/>
          <w:iCs/>
          <w:sz w:val="22"/>
          <w:szCs w:val="22"/>
          <w:lang w:val="sr-Latn-ME"/>
        </w:rPr>
        <w:t>Pedijatrijska populacija</w:t>
      </w:r>
    </w:p>
    <w:p w14:paraId="480BB7FC" w14:textId="77777777" w:rsidR="00466B8B" w:rsidRPr="002A6AB6" w:rsidRDefault="00466B8B" w:rsidP="00587700">
      <w:pPr>
        <w:tabs>
          <w:tab w:val="left" w:pos="540"/>
          <w:tab w:val="left" w:pos="567"/>
        </w:tabs>
        <w:jc w:val="both"/>
        <w:rPr>
          <w:bCs/>
          <w:sz w:val="22"/>
          <w:szCs w:val="22"/>
          <w:lang w:val="sr-Latn-ME"/>
        </w:rPr>
      </w:pPr>
      <w:r w:rsidRPr="002A6AB6">
        <w:rPr>
          <w:bCs/>
          <w:sz w:val="22"/>
          <w:szCs w:val="22"/>
          <w:lang w:val="sr-Latn-ME"/>
        </w:rPr>
        <w:t xml:space="preserve">Bezbjednost i efikasnost </w:t>
      </w:r>
      <w:proofErr w:type="spellStart"/>
      <w:r w:rsidRPr="002A6AB6">
        <w:rPr>
          <w:bCs/>
          <w:sz w:val="22"/>
          <w:szCs w:val="22"/>
          <w:lang w:val="sr-Latn-ME"/>
        </w:rPr>
        <w:t>okrelizumaba</w:t>
      </w:r>
      <w:proofErr w:type="spellEnd"/>
      <w:r w:rsidRPr="002A6AB6">
        <w:rPr>
          <w:bCs/>
          <w:sz w:val="22"/>
          <w:szCs w:val="22"/>
          <w:lang w:val="sr-Latn-ME"/>
        </w:rPr>
        <w:t xml:space="preserve"> kod djece i adolescenata uzrasta od 0 do 18 godina još nije ustanovljena. Nema dostupnih podataka.  </w:t>
      </w:r>
    </w:p>
    <w:p w14:paraId="049E1132" w14:textId="77777777" w:rsidR="00466B8B" w:rsidRPr="002A6AB6" w:rsidRDefault="00466B8B" w:rsidP="00587700">
      <w:pPr>
        <w:tabs>
          <w:tab w:val="left" w:pos="540"/>
          <w:tab w:val="left" w:pos="569"/>
        </w:tabs>
        <w:jc w:val="both"/>
        <w:rPr>
          <w:bCs/>
          <w:sz w:val="22"/>
          <w:szCs w:val="22"/>
          <w:lang w:val="sr-Latn-ME"/>
        </w:rPr>
      </w:pPr>
    </w:p>
    <w:p w14:paraId="3F066C0D" w14:textId="77777777" w:rsidR="00452E9D" w:rsidRPr="002A6AB6" w:rsidRDefault="00452E9D" w:rsidP="00587700">
      <w:pPr>
        <w:tabs>
          <w:tab w:val="left" w:pos="540"/>
          <w:tab w:val="left" w:pos="569"/>
        </w:tabs>
        <w:jc w:val="both"/>
        <w:rPr>
          <w:bCs/>
          <w:sz w:val="22"/>
          <w:szCs w:val="22"/>
          <w:u w:val="single"/>
          <w:lang w:val="sr-Latn-ME"/>
        </w:rPr>
      </w:pPr>
      <w:r w:rsidRPr="002A6AB6">
        <w:rPr>
          <w:bCs/>
          <w:sz w:val="22"/>
          <w:szCs w:val="22"/>
          <w:u w:val="single"/>
          <w:lang w:val="sr-Latn-ME"/>
        </w:rPr>
        <w:t>Način primjene</w:t>
      </w:r>
    </w:p>
    <w:p w14:paraId="714BFA11" w14:textId="77777777" w:rsidR="00466B8B" w:rsidRPr="002A6AB6" w:rsidRDefault="00466B8B" w:rsidP="00587700">
      <w:pPr>
        <w:tabs>
          <w:tab w:val="left" w:pos="540"/>
          <w:tab w:val="left" w:pos="569"/>
        </w:tabs>
        <w:jc w:val="both"/>
        <w:rPr>
          <w:bCs/>
          <w:sz w:val="22"/>
          <w:szCs w:val="22"/>
          <w:lang w:val="sr-Latn-ME"/>
        </w:rPr>
      </w:pPr>
      <w:proofErr w:type="spellStart"/>
      <w:r w:rsidRPr="002A6AB6">
        <w:rPr>
          <w:bCs/>
          <w:sz w:val="22"/>
          <w:szCs w:val="22"/>
          <w:lang w:val="sr-Latn-ME"/>
        </w:rPr>
        <w:t>Ocrevus</w:t>
      </w:r>
      <w:proofErr w:type="spellEnd"/>
      <w:r w:rsidRPr="002A6AB6">
        <w:rPr>
          <w:bCs/>
          <w:sz w:val="22"/>
          <w:szCs w:val="22"/>
          <w:lang w:val="sr-Latn-ME"/>
        </w:rPr>
        <w:t xml:space="preserve"> 920 mg rastvor za injekciju nije namijenjen za </w:t>
      </w:r>
      <w:proofErr w:type="spellStart"/>
      <w:r w:rsidRPr="002A6AB6">
        <w:rPr>
          <w:bCs/>
          <w:sz w:val="22"/>
          <w:szCs w:val="22"/>
          <w:lang w:val="sr-Latn-ME"/>
        </w:rPr>
        <w:t>intravensku</w:t>
      </w:r>
      <w:proofErr w:type="spellEnd"/>
      <w:r w:rsidRPr="002A6AB6">
        <w:rPr>
          <w:bCs/>
          <w:sz w:val="22"/>
          <w:szCs w:val="22"/>
          <w:lang w:val="sr-Latn-ME"/>
        </w:rPr>
        <w:t xml:space="preserve"> primjenu i uvijek treba da ga daje zdravstveni radnik kao </w:t>
      </w:r>
      <w:proofErr w:type="spellStart"/>
      <w:r w:rsidRPr="002A6AB6">
        <w:rPr>
          <w:bCs/>
          <w:sz w:val="22"/>
          <w:szCs w:val="22"/>
          <w:lang w:val="sr-Latn-ME"/>
        </w:rPr>
        <w:t>subkutanu</w:t>
      </w:r>
      <w:proofErr w:type="spellEnd"/>
      <w:r w:rsidRPr="002A6AB6">
        <w:rPr>
          <w:bCs/>
          <w:sz w:val="22"/>
          <w:szCs w:val="22"/>
          <w:lang w:val="sr-Latn-ME"/>
        </w:rPr>
        <w:t xml:space="preserve"> injekciju. </w:t>
      </w:r>
    </w:p>
    <w:p w14:paraId="0AC5491A" w14:textId="77777777" w:rsidR="00466B8B" w:rsidRPr="002A6AB6" w:rsidRDefault="00466B8B" w:rsidP="00587700">
      <w:pPr>
        <w:tabs>
          <w:tab w:val="left" w:pos="540"/>
          <w:tab w:val="left" w:pos="569"/>
        </w:tabs>
        <w:jc w:val="both"/>
        <w:rPr>
          <w:bCs/>
          <w:sz w:val="22"/>
          <w:szCs w:val="22"/>
          <w:lang w:val="sr-Latn-ME"/>
        </w:rPr>
      </w:pPr>
    </w:p>
    <w:p w14:paraId="4D9225B7"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Važno je provjeriti oznake na proizvodu kako bi se potvrdilo da se pacijentu daje prava formulacija (</w:t>
      </w:r>
      <w:proofErr w:type="spellStart"/>
      <w:r w:rsidRPr="002A6AB6">
        <w:rPr>
          <w:bCs/>
          <w:sz w:val="22"/>
          <w:szCs w:val="22"/>
          <w:lang w:val="sr-Latn-ME"/>
        </w:rPr>
        <w:t>intravenska</w:t>
      </w:r>
      <w:proofErr w:type="spellEnd"/>
      <w:r w:rsidRPr="002A6AB6">
        <w:rPr>
          <w:bCs/>
          <w:sz w:val="22"/>
          <w:szCs w:val="22"/>
          <w:lang w:val="sr-Latn-ME"/>
        </w:rPr>
        <w:t xml:space="preserve"> ili </w:t>
      </w:r>
      <w:proofErr w:type="spellStart"/>
      <w:r w:rsidRPr="002A6AB6">
        <w:rPr>
          <w:bCs/>
          <w:sz w:val="22"/>
          <w:szCs w:val="22"/>
          <w:lang w:val="sr-Latn-ME"/>
        </w:rPr>
        <w:t>subkutana</w:t>
      </w:r>
      <w:proofErr w:type="spellEnd"/>
      <w:r w:rsidRPr="002A6AB6">
        <w:rPr>
          <w:bCs/>
          <w:sz w:val="22"/>
          <w:szCs w:val="22"/>
          <w:lang w:val="sr-Latn-ME"/>
        </w:rPr>
        <w:t xml:space="preserve">) pravilnim načinom primjene, kako je propisano. </w:t>
      </w:r>
    </w:p>
    <w:p w14:paraId="7ABDAAF4" w14:textId="77777777" w:rsidR="00466B8B" w:rsidRPr="002A6AB6" w:rsidRDefault="00466B8B" w:rsidP="00587700">
      <w:pPr>
        <w:tabs>
          <w:tab w:val="left" w:pos="540"/>
          <w:tab w:val="left" w:pos="569"/>
        </w:tabs>
        <w:jc w:val="both"/>
        <w:rPr>
          <w:bCs/>
          <w:sz w:val="22"/>
          <w:szCs w:val="22"/>
          <w:lang w:val="sr-Latn-ME"/>
        </w:rPr>
      </w:pPr>
    </w:p>
    <w:p w14:paraId="59544BCC"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Pacijenti mogu da započnu terapiju koristeći </w:t>
      </w:r>
      <w:proofErr w:type="spellStart"/>
      <w:r w:rsidRPr="002A6AB6">
        <w:rPr>
          <w:bCs/>
          <w:sz w:val="22"/>
          <w:szCs w:val="22"/>
          <w:lang w:val="sr-Latn-ME"/>
        </w:rPr>
        <w:t>intravenski</w:t>
      </w:r>
      <w:proofErr w:type="spellEnd"/>
      <w:r w:rsidRPr="002A6AB6">
        <w:rPr>
          <w:bCs/>
          <w:sz w:val="22"/>
          <w:szCs w:val="22"/>
          <w:lang w:val="sr-Latn-ME"/>
        </w:rPr>
        <w:t xml:space="preserve"> ili </w:t>
      </w:r>
      <w:proofErr w:type="spellStart"/>
      <w:r w:rsidRPr="002A6AB6">
        <w:rPr>
          <w:bCs/>
          <w:sz w:val="22"/>
          <w:szCs w:val="22"/>
          <w:lang w:val="sr-Latn-ME"/>
        </w:rPr>
        <w:t>subkutani</w:t>
      </w:r>
      <w:proofErr w:type="spellEnd"/>
      <w:r w:rsidRPr="002A6AB6">
        <w:rPr>
          <w:bCs/>
          <w:sz w:val="22"/>
          <w:szCs w:val="22"/>
          <w:lang w:val="sr-Latn-ME"/>
        </w:rPr>
        <w:t xml:space="preserve"> </w:t>
      </w:r>
      <w:proofErr w:type="spellStart"/>
      <w:r w:rsidRPr="002A6AB6">
        <w:rPr>
          <w:bCs/>
          <w:sz w:val="22"/>
          <w:szCs w:val="22"/>
          <w:lang w:val="sr-Latn-ME"/>
        </w:rPr>
        <w:t>okrelizumab</w:t>
      </w:r>
      <w:proofErr w:type="spellEnd"/>
      <w:r w:rsidRPr="002A6AB6">
        <w:rPr>
          <w:bCs/>
          <w:sz w:val="22"/>
          <w:szCs w:val="22"/>
          <w:lang w:val="sr-Latn-ME"/>
        </w:rPr>
        <w:t xml:space="preserve">, a pacijenti koji trenutno primaju </w:t>
      </w:r>
      <w:proofErr w:type="spellStart"/>
      <w:r w:rsidRPr="002A6AB6">
        <w:rPr>
          <w:bCs/>
          <w:sz w:val="22"/>
          <w:szCs w:val="22"/>
          <w:lang w:val="sr-Latn-ME"/>
        </w:rPr>
        <w:t>intravenski</w:t>
      </w:r>
      <w:proofErr w:type="spellEnd"/>
      <w:r w:rsidRPr="002A6AB6">
        <w:rPr>
          <w:bCs/>
          <w:sz w:val="22"/>
          <w:szCs w:val="22"/>
          <w:lang w:val="sr-Latn-ME"/>
        </w:rPr>
        <w:t xml:space="preserve"> </w:t>
      </w:r>
      <w:proofErr w:type="spellStart"/>
      <w:r w:rsidRPr="002A6AB6">
        <w:rPr>
          <w:bCs/>
          <w:sz w:val="22"/>
          <w:szCs w:val="22"/>
          <w:lang w:val="sr-Latn-ME"/>
        </w:rPr>
        <w:t>okrelizumab</w:t>
      </w:r>
      <w:proofErr w:type="spellEnd"/>
      <w:r w:rsidRPr="002A6AB6">
        <w:rPr>
          <w:bCs/>
          <w:sz w:val="22"/>
          <w:szCs w:val="22"/>
          <w:lang w:val="sr-Latn-ME"/>
        </w:rPr>
        <w:t xml:space="preserve"> mogu da nastave sa terapijom </w:t>
      </w:r>
      <w:proofErr w:type="spellStart"/>
      <w:r w:rsidRPr="002A6AB6">
        <w:rPr>
          <w:bCs/>
          <w:sz w:val="22"/>
          <w:szCs w:val="22"/>
          <w:lang w:val="sr-Latn-ME"/>
        </w:rPr>
        <w:t>intravenskim</w:t>
      </w:r>
      <w:proofErr w:type="spellEnd"/>
      <w:r w:rsidRPr="002A6AB6">
        <w:rPr>
          <w:bCs/>
          <w:sz w:val="22"/>
          <w:szCs w:val="22"/>
          <w:lang w:val="sr-Latn-ME"/>
        </w:rPr>
        <w:t xml:space="preserve"> </w:t>
      </w:r>
      <w:proofErr w:type="spellStart"/>
      <w:r w:rsidRPr="002A6AB6">
        <w:rPr>
          <w:bCs/>
          <w:sz w:val="22"/>
          <w:szCs w:val="22"/>
          <w:lang w:val="sr-Latn-ME"/>
        </w:rPr>
        <w:t>okrelizumabom</w:t>
      </w:r>
      <w:proofErr w:type="spellEnd"/>
      <w:r w:rsidRPr="002A6AB6">
        <w:rPr>
          <w:bCs/>
          <w:sz w:val="22"/>
          <w:szCs w:val="22"/>
          <w:lang w:val="sr-Latn-ME"/>
        </w:rPr>
        <w:t xml:space="preserve"> ili da pređu na </w:t>
      </w:r>
      <w:proofErr w:type="spellStart"/>
      <w:r w:rsidRPr="002A6AB6">
        <w:rPr>
          <w:bCs/>
          <w:sz w:val="22"/>
          <w:szCs w:val="22"/>
          <w:lang w:val="sr-Latn-ME"/>
        </w:rPr>
        <w:t>Ocrevus</w:t>
      </w:r>
      <w:proofErr w:type="spellEnd"/>
      <w:r w:rsidRPr="002A6AB6">
        <w:rPr>
          <w:bCs/>
          <w:sz w:val="22"/>
          <w:szCs w:val="22"/>
          <w:lang w:val="sr-Latn-ME"/>
        </w:rPr>
        <w:t xml:space="preserve"> 920 mg rastvor za injekciju.  </w:t>
      </w:r>
    </w:p>
    <w:p w14:paraId="11ECC660" w14:textId="77777777" w:rsidR="00466B8B" w:rsidRPr="002A6AB6" w:rsidRDefault="00466B8B" w:rsidP="00587700">
      <w:pPr>
        <w:tabs>
          <w:tab w:val="left" w:pos="540"/>
          <w:tab w:val="left" w:pos="569"/>
        </w:tabs>
        <w:jc w:val="both"/>
        <w:rPr>
          <w:bCs/>
          <w:sz w:val="22"/>
          <w:szCs w:val="22"/>
          <w:lang w:val="sr-Latn-ME"/>
        </w:rPr>
      </w:pPr>
    </w:p>
    <w:p w14:paraId="43830E9E"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Dozu od 920 mg treba davati kao </w:t>
      </w:r>
      <w:proofErr w:type="spellStart"/>
      <w:r w:rsidRPr="002A6AB6">
        <w:rPr>
          <w:bCs/>
          <w:sz w:val="22"/>
          <w:szCs w:val="22"/>
          <w:lang w:val="sr-Latn-ME"/>
        </w:rPr>
        <w:t>subkutanu</w:t>
      </w:r>
      <w:proofErr w:type="spellEnd"/>
      <w:r w:rsidRPr="002A6AB6">
        <w:rPr>
          <w:bCs/>
          <w:sz w:val="22"/>
          <w:szCs w:val="22"/>
          <w:lang w:val="sr-Latn-ME"/>
        </w:rPr>
        <w:t xml:space="preserve"> injekciju u abdomen tokom približno 10 minuta. Preporučuje se upotreba seta za </w:t>
      </w:r>
      <w:proofErr w:type="spellStart"/>
      <w:r w:rsidRPr="002A6AB6">
        <w:rPr>
          <w:bCs/>
          <w:sz w:val="22"/>
          <w:szCs w:val="22"/>
          <w:lang w:val="sr-Latn-ME"/>
        </w:rPr>
        <w:t>subkutanu</w:t>
      </w:r>
      <w:proofErr w:type="spellEnd"/>
      <w:r w:rsidRPr="002A6AB6">
        <w:rPr>
          <w:bCs/>
          <w:sz w:val="22"/>
          <w:szCs w:val="22"/>
          <w:lang w:val="sr-Latn-ME"/>
        </w:rPr>
        <w:t xml:space="preserve"> infuziju (npr. sa krilcima/leptir). Sav </w:t>
      </w:r>
      <w:proofErr w:type="spellStart"/>
      <w:r w:rsidRPr="002A6AB6">
        <w:rPr>
          <w:bCs/>
          <w:sz w:val="22"/>
          <w:szCs w:val="22"/>
          <w:lang w:val="sr-Latn-ME"/>
        </w:rPr>
        <w:t>rezidualni</w:t>
      </w:r>
      <w:proofErr w:type="spellEnd"/>
      <w:r w:rsidRPr="002A6AB6">
        <w:rPr>
          <w:bCs/>
          <w:sz w:val="22"/>
          <w:szCs w:val="22"/>
          <w:lang w:val="sr-Latn-ME"/>
        </w:rPr>
        <w:t xml:space="preserve"> volumen koji je zaostao u setu za </w:t>
      </w:r>
      <w:proofErr w:type="spellStart"/>
      <w:r w:rsidRPr="002A6AB6">
        <w:rPr>
          <w:bCs/>
          <w:sz w:val="22"/>
          <w:szCs w:val="22"/>
          <w:lang w:val="sr-Latn-ME"/>
        </w:rPr>
        <w:t>subkutanu</w:t>
      </w:r>
      <w:proofErr w:type="spellEnd"/>
      <w:r w:rsidRPr="002A6AB6">
        <w:rPr>
          <w:bCs/>
          <w:sz w:val="22"/>
          <w:szCs w:val="22"/>
          <w:lang w:val="sr-Latn-ME"/>
        </w:rPr>
        <w:t xml:space="preserve"> infuziju ne treba davati pacijentu. </w:t>
      </w:r>
    </w:p>
    <w:p w14:paraId="15D490A7" w14:textId="77777777" w:rsidR="00466B8B" w:rsidRPr="002A6AB6" w:rsidRDefault="00466B8B" w:rsidP="00587700">
      <w:pPr>
        <w:tabs>
          <w:tab w:val="left" w:pos="540"/>
          <w:tab w:val="left" w:pos="569"/>
        </w:tabs>
        <w:jc w:val="both"/>
        <w:rPr>
          <w:bCs/>
          <w:sz w:val="22"/>
          <w:szCs w:val="22"/>
          <w:lang w:val="sr-Latn-ME"/>
        </w:rPr>
      </w:pPr>
    </w:p>
    <w:p w14:paraId="16BE1490"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Injekciju treba davati u abdomen, osim u </w:t>
      </w:r>
      <w:proofErr w:type="spellStart"/>
      <w:r w:rsidRPr="002A6AB6">
        <w:rPr>
          <w:bCs/>
          <w:sz w:val="22"/>
          <w:szCs w:val="22"/>
          <w:lang w:val="sr-Latn-ME"/>
        </w:rPr>
        <w:t>predio</w:t>
      </w:r>
      <w:proofErr w:type="spellEnd"/>
      <w:r w:rsidRPr="002A6AB6">
        <w:rPr>
          <w:bCs/>
          <w:sz w:val="22"/>
          <w:szCs w:val="22"/>
          <w:lang w:val="sr-Latn-ME"/>
        </w:rPr>
        <w:t xml:space="preserve"> od 5 cm oko pupka. Injekcije nikada ne treba davati u mjesta na kojima je koža crvena, u modricama, osjetljiva ili tvrda, kao i na kojima postoje mladeži ili ožiljci.</w:t>
      </w:r>
    </w:p>
    <w:p w14:paraId="15278D24" w14:textId="77777777" w:rsidR="00466B8B" w:rsidRPr="002A6AB6" w:rsidRDefault="00466B8B" w:rsidP="00587700">
      <w:pPr>
        <w:tabs>
          <w:tab w:val="left" w:pos="540"/>
          <w:tab w:val="left" w:pos="569"/>
        </w:tabs>
        <w:jc w:val="both"/>
        <w:rPr>
          <w:bCs/>
          <w:sz w:val="22"/>
          <w:szCs w:val="22"/>
          <w:lang w:val="sr-Latn-ME"/>
        </w:rPr>
      </w:pPr>
    </w:p>
    <w:p w14:paraId="295E53BA" w14:textId="77777777" w:rsidR="00466B8B" w:rsidRPr="002A6AB6" w:rsidRDefault="00466B8B" w:rsidP="00587700">
      <w:pPr>
        <w:tabs>
          <w:tab w:val="left" w:pos="540"/>
          <w:tab w:val="left" w:pos="569"/>
        </w:tabs>
        <w:jc w:val="both"/>
        <w:rPr>
          <w:bCs/>
          <w:sz w:val="22"/>
          <w:szCs w:val="22"/>
          <w:lang w:val="sr-Latn-ME"/>
        </w:rPr>
      </w:pPr>
      <w:proofErr w:type="spellStart"/>
      <w:r w:rsidRPr="002A6AB6">
        <w:rPr>
          <w:bCs/>
          <w:sz w:val="22"/>
          <w:szCs w:val="22"/>
          <w:lang w:val="sr-Latn-ME"/>
        </w:rPr>
        <w:t>Ocrevus</w:t>
      </w:r>
      <w:proofErr w:type="spellEnd"/>
      <w:r w:rsidRPr="002A6AB6">
        <w:rPr>
          <w:bCs/>
          <w:sz w:val="22"/>
          <w:szCs w:val="22"/>
          <w:lang w:val="sr-Latn-ME"/>
        </w:rPr>
        <w:t xml:space="preserve"> rastvor za injekciju uvijek treba da daje zdravstveni radnik. Za početnu dozu se preporučuje praćenje stanja nakon primjene injekcije uz dostupnost odgovarajuće medicinske potpore za postupanje u slučaju teških reakcija kao što su reakcije na injekciju u periodu od barem jednog sata nakon injekcije. Za naredne doze ordinirajući ljekar odlučuje o potrebi za praćenjem stanja nakon primjene injekcije (vidjeti </w:t>
      </w:r>
      <w:r w:rsidR="00ED0D01" w:rsidRPr="002A6AB6">
        <w:rPr>
          <w:bCs/>
          <w:sz w:val="22"/>
          <w:szCs w:val="22"/>
          <w:lang w:val="sr-Latn-ME"/>
        </w:rPr>
        <w:t xml:space="preserve">dio </w:t>
      </w:r>
      <w:r w:rsidRPr="002A6AB6">
        <w:rPr>
          <w:bCs/>
          <w:sz w:val="22"/>
          <w:szCs w:val="22"/>
          <w:lang w:val="sr-Latn-ME"/>
        </w:rPr>
        <w:t xml:space="preserve">4.4). </w:t>
      </w:r>
    </w:p>
    <w:p w14:paraId="22BEE282" w14:textId="77777777" w:rsidR="00466B8B" w:rsidRPr="002A6AB6" w:rsidRDefault="00466B8B" w:rsidP="00587700">
      <w:pPr>
        <w:tabs>
          <w:tab w:val="left" w:pos="540"/>
          <w:tab w:val="left" w:pos="569"/>
        </w:tabs>
        <w:jc w:val="both"/>
        <w:rPr>
          <w:b/>
          <w:bCs/>
          <w:sz w:val="22"/>
          <w:szCs w:val="22"/>
          <w:lang w:val="sr-Latn-ME"/>
        </w:rPr>
      </w:pPr>
    </w:p>
    <w:p w14:paraId="10046A33"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Za uputstva o upotrebi i rukovanju lijekom prije primjene vidjeti </w:t>
      </w:r>
      <w:r w:rsidR="00ED0D01" w:rsidRPr="002A6AB6">
        <w:rPr>
          <w:bCs/>
          <w:sz w:val="22"/>
          <w:szCs w:val="22"/>
          <w:lang w:val="sr-Latn-ME"/>
        </w:rPr>
        <w:t xml:space="preserve">dio </w:t>
      </w:r>
      <w:r w:rsidRPr="002A6AB6">
        <w:rPr>
          <w:bCs/>
          <w:sz w:val="22"/>
          <w:szCs w:val="22"/>
          <w:lang w:val="sr-Latn-ME"/>
        </w:rPr>
        <w:t xml:space="preserve">6.6. </w:t>
      </w:r>
    </w:p>
    <w:p w14:paraId="146AD942" w14:textId="77777777" w:rsidR="00466B8B" w:rsidRPr="002A6AB6" w:rsidRDefault="00466B8B" w:rsidP="00587700">
      <w:pPr>
        <w:tabs>
          <w:tab w:val="left" w:pos="540"/>
          <w:tab w:val="left" w:pos="569"/>
        </w:tabs>
        <w:jc w:val="both"/>
        <w:rPr>
          <w:bCs/>
          <w:sz w:val="22"/>
          <w:szCs w:val="22"/>
          <w:lang w:val="sr-Latn-ME"/>
        </w:rPr>
      </w:pPr>
    </w:p>
    <w:p w14:paraId="621D6B54" w14:textId="77777777" w:rsidR="00411B4B" w:rsidRPr="002A6AB6" w:rsidRDefault="00411B4B" w:rsidP="00587700">
      <w:pPr>
        <w:tabs>
          <w:tab w:val="left" w:pos="540"/>
          <w:tab w:val="left" w:pos="569"/>
        </w:tabs>
        <w:jc w:val="both"/>
        <w:rPr>
          <w:b/>
          <w:bCs/>
          <w:sz w:val="22"/>
          <w:szCs w:val="22"/>
          <w:lang w:val="sr-Latn-ME"/>
        </w:rPr>
      </w:pPr>
      <w:r w:rsidRPr="002A6AB6">
        <w:rPr>
          <w:b/>
          <w:bCs/>
          <w:sz w:val="22"/>
          <w:szCs w:val="22"/>
          <w:lang w:val="sr-Latn-ME"/>
        </w:rPr>
        <w:t xml:space="preserve">4.3. </w:t>
      </w:r>
      <w:r w:rsidR="00480FB1" w:rsidRPr="002A6AB6">
        <w:rPr>
          <w:b/>
          <w:bCs/>
          <w:sz w:val="22"/>
          <w:szCs w:val="22"/>
          <w:lang w:val="sr-Latn-ME"/>
        </w:rPr>
        <w:tab/>
      </w:r>
      <w:proofErr w:type="spellStart"/>
      <w:r w:rsidRPr="002A6AB6">
        <w:rPr>
          <w:b/>
          <w:bCs/>
          <w:sz w:val="22"/>
          <w:szCs w:val="22"/>
          <w:lang w:val="sr-Latn-ME"/>
        </w:rPr>
        <w:t>Kontraindikacije</w:t>
      </w:r>
      <w:proofErr w:type="spellEnd"/>
    </w:p>
    <w:p w14:paraId="1DAB51C1" w14:textId="77777777" w:rsidR="0072020E" w:rsidRPr="002A6AB6" w:rsidRDefault="0072020E" w:rsidP="00587700">
      <w:pPr>
        <w:tabs>
          <w:tab w:val="left" w:pos="540"/>
          <w:tab w:val="left" w:pos="569"/>
        </w:tabs>
        <w:jc w:val="both"/>
        <w:rPr>
          <w:bCs/>
          <w:sz w:val="22"/>
          <w:szCs w:val="22"/>
          <w:lang w:val="sr-Latn-ME"/>
        </w:rPr>
      </w:pPr>
    </w:p>
    <w:p w14:paraId="506C2397" w14:textId="7E10E757" w:rsidR="00466B8B" w:rsidRPr="002A6AB6" w:rsidRDefault="00466B8B" w:rsidP="00587700">
      <w:pPr>
        <w:tabs>
          <w:tab w:val="left" w:pos="540"/>
          <w:tab w:val="left" w:pos="567"/>
        </w:tabs>
        <w:jc w:val="both"/>
        <w:rPr>
          <w:bCs/>
          <w:sz w:val="22"/>
          <w:szCs w:val="22"/>
          <w:lang w:val="sr-Latn-ME"/>
        </w:rPr>
      </w:pPr>
      <w:r w:rsidRPr="002A6AB6">
        <w:rPr>
          <w:bCs/>
          <w:sz w:val="22"/>
          <w:szCs w:val="22"/>
          <w:lang w:val="sr-Latn-ME"/>
        </w:rPr>
        <w:sym w:font="Symbol" w:char="F0B7"/>
      </w:r>
      <w:r w:rsidRPr="002A6AB6">
        <w:rPr>
          <w:bCs/>
          <w:sz w:val="22"/>
          <w:szCs w:val="22"/>
          <w:lang w:val="sr-Latn-ME"/>
        </w:rPr>
        <w:tab/>
        <w:t xml:space="preserve">Preosjetljivost na aktivnu supstancu ili neku od pomoćnih supstanci navedenih u </w:t>
      </w:r>
      <w:r w:rsidR="0002688D" w:rsidRPr="002A6AB6">
        <w:rPr>
          <w:bCs/>
          <w:sz w:val="22"/>
          <w:szCs w:val="22"/>
          <w:lang w:val="sr-Latn-ME"/>
        </w:rPr>
        <w:t xml:space="preserve">dijelu </w:t>
      </w:r>
      <w:r w:rsidRPr="002A6AB6">
        <w:rPr>
          <w:bCs/>
          <w:sz w:val="22"/>
          <w:szCs w:val="22"/>
          <w:lang w:val="sr-Latn-ME"/>
        </w:rPr>
        <w:t>6.1.</w:t>
      </w:r>
    </w:p>
    <w:p w14:paraId="5F9E46D3" w14:textId="77777777" w:rsidR="00466B8B" w:rsidRPr="002A6AB6" w:rsidRDefault="00466B8B" w:rsidP="00587700">
      <w:pPr>
        <w:tabs>
          <w:tab w:val="left" w:pos="540"/>
          <w:tab w:val="left" w:pos="567"/>
        </w:tabs>
        <w:jc w:val="both"/>
        <w:rPr>
          <w:bCs/>
          <w:sz w:val="22"/>
          <w:szCs w:val="22"/>
          <w:lang w:val="sr-Latn-ME"/>
        </w:rPr>
      </w:pPr>
      <w:r w:rsidRPr="002A6AB6">
        <w:rPr>
          <w:bCs/>
          <w:sz w:val="22"/>
          <w:szCs w:val="22"/>
          <w:lang w:val="sr-Latn-ME"/>
        </w:rPr>
        <w:sym w:font="Symbol" w:char="F0B7"/>
      </w:r>
      <w:r w:rsidRPr="002A6AB6">
        <w:rPr>
          <w:bCs/>
          <w:sz w:val="22"/>
          <w:szCs w:val="22"/>
          <w:lang w:val="sr-Latn-ME"/>
        </w:rPr>
        <w:tab/>
        <w:t xml:space="preserve">Postojeća aktivna infekcija (vidjeti </w:t>
      </w:r>
      <w:r w:rsidR="00ED0D01" w:rsidRPr="002A6AB6">
        <w:rPr>
          <w:bCs/>
          <w:sz w:val="22"/>
          <w:szCs w:val="22"/>
          <w:lang w:val="sr-Latn-ME"/>
        </w:rPr>
        <w:t xml:space="preserve">dio </w:t>
      </w:r>
      <w:r w:rsidRPr="002A6AB6">
        <w:rPr>
          <w:bCs/>
          <w:sz w:val="22"/>
          <w:szCs w:val="22"/>
          <w:lang w:val="sr-Latn-ME"/>
        </w:rPr>
        <w:t>4.4).</w:t>
      </w:r>
    </w:p>
    <w:p w14:paraId="560FE6DD" w14:textId="77777777" w:rsidR="00466B8B" w:rsidRPr="002A6AB6" w:rsidRDefault="00466B8B" w:rsidP="00587700">
      <w:pPr>
        <w:tabs>
          <w:tab w:val="left" w:pos="540"/>
          <w:tab w:val="left" w:pos="567"/>
        </w:tabs>
        <w:jc w:val="both"/>
        <w:rPr>
          <w:bCs/>
          <w:sz w:val="22"/>
          <w:szCs w:val="22"/>
          <w:lang w:val="sr-Latn-ME"/>
        </w:rPr>
      </w:pPr>
      <w:r w:rsidRPr="002A6AB6">
        <w:rPr>
          <w:bCs/>
          <w:sz w:val="22"/>
          <w:szCs w:val="22"/>
          <w:lang w:val="sr-Latn-ME"/>
        </w:rPr>
        <w:sym w:font="Symbol" w:char="F0B7"/>
      </w:r>
      <w:r w:rsidRPr="002A6AB6">
        <w:rPr>
          <w:bCs/>
          <w:sz w:val="22"/>
          <w:szCs w:val="22"/>
          <w:lang w:val="sr-Latn-ME"/>
        </w:rPr>
        <w:tab/>
        <w:t xml:space="preserve">Pacijenti u ozbiljno </w:t>
      </w:r>
      <w:proofErr w:type="spellStart"/>
      <w:r w:rsidRPr="002A6AB6">
        <w:rPr>
          <w:bCs/>
          <w:sz w:val="22"/>
          <w:szCs w:val="22"/>
          <w:lang w:val="sr-Latn-ME"/>
        </w:rPr>
        <w:t>imunokompromitovanom</w:t>
      </w:r>
      <w:proofErr w:type="spellEnd"/>
      <w:r w:rsidRPr="002A6AB6">
        <w:rPr>
          <w:bCs/>
          <w:sz w:val="22"/>
          <w:szCs w:val="22"/>
          <w:lang w:val="sr-Latn-ME"/>
        </w:rPr>
        <w:t xml:space="preserve"> stanju (vidjeti </w:t>
      </w:r>
      <w:r w:rsidR="00ED0D01" w:rsidRPr="002A6AB6">
        <w:rPr>
          <w:bCs/>
          <w:sz w:val="22"/>
          <w:szCs w:val="22"/>
          <w:lang w:val="sr-Latn-ME"/>
        </w:rPr>
        <w:t xml:space="preserve">dio </w:t>
      </w:r>
      <w:r w:rsidRPr="002A6AB6">
        <w:rPr>
          <w:bCs/>
          <w:sz w:val="22"/>
          <w:szCs w:val="22"/>
          <w:lang w:val="sr-Latn-ME"/>
        </w:rPr>
        <w:t>4.4).</w:t>
      </w:r>
    </w:p>
    <w:p w14:paraId="3B18A0CD" w14:textId="77777777" w:rsidR="00466B8B" w:rsidRPr="002A6AB6" w:rsidRDefault="00466B8B" w:rsidP="00587700">
      <w:pPr>
        <w:tabs>
          <w:tab w:val="left" w:pos="540"/>
          <w:tab w:val="left" w:pos="567"/>
        </w:tabs>
        <w:jc w:val="both"/>
        <w:rPr>
          <w:bCs/>
          <w:sz w:val="22"/>
          <w:szCs w:val="22"/>
          <w:lang w:val="sr-Latn-ME"/>
        </w:rPr>
      </w:pPr>
      <w:r w:rsidRPr="002A6AB6">
        <w:rPr>
          <w:bCs/>
          <w:sz w:val="22"/>
          <w:szCs w:val="22"/>
          <w:lang w:val="sr-Latn-ME"/>
        </w:rPr>
        <w:sym w:font="Symbol" w:char="F0B7"/>
      </w:r>
      <w:r w:rsidRPr="002A6AB6">
        <w:rPr>
          <w:bCs/>
          <w:sz w:val="22"/>
          <w:szCs w:val="22"/>
          <w:lang w:val="sr-Latn-ME"/>
        </w:rPr>
        <w:tab/>
        <w:t xml:space="preserve">Poznati aktivni </w:t>
      </w:r>
      <w:proofErr w:type="spellStart"/>
      <w:r w:rsidRPr="002A6AB6">
        <w:rPr>
          <w:bCs/>
          <w:sz w:val="22"/>
          <w:szCs w:val="22"/>
          <w:lang w:val="sr-Latn-ME"/>
        </w:rPr>
        <w:t>maligniteti</w:t>
      </w:r>
      <w:proofErr w:type="spellEnd"/>
      <w:r w:rsidRPr="002A6AB6">
        <w:rPr>
          <w:bCs/>
          <w:sz w:val="22"/>
          <w:szCs w:val="22"/>
          <w:lang w:val="sr-Latn-ME"/>
        </w:rPr>
        <w:t xml:space="preserve"> (vidjeti </w:t>
      </w:r>
      <w:r w:rsidR="00ED0D01" w:rsidRPr="002A6AB6">
        <w:rPr>
          <w:bCs/>
          <w:sz w:val="22"/>
          <w:szCs w:val="22"/>
          <w:lang w:val="sr-Latn-ME"/>
        </w:rPr>
        <w:t xml:space="preserve">dio </w:t>
      </w:r>
      <w:r w:rsidRPr="002A6AB6">
        <w:rPr>
          <w:bCs/>
          <w:sz w:val="22"/>
          <w:szCs w:val="22"/>
          <w:lang w:val="sr-Latn-ME"/>
        </w:rPr>
        <w:t xml:space="preserve">4.4).   </w:t>
      </w:r>
    </w:p>
    <w:p w14:paraId="3ADD9D42" w14:textId="77777777" w:rsidR="00466B8B" w:rsidRPr="002A6AB6" w:rsidRDefault="00466B8B" w:rsidP="00587700">
      <w:pPr>
        <w:tabs>
          <w:tab w:val="left" w:pos="540"/>
          <w:tab w:val="left" w:pos="569"/>
        </w:tabs>
        <w:jc w:val="both"/>
        <w:rPr>
          <w:bCs/>
          <w:sz w:val="22"/>
          <w:szCs w:val="22"/>
          <w:lang w:val="sr-Latn-ME"/>
        </w:rPr>
      </w:pPr>
    </w:p>
    <w:p w14:paraId="62E6BD13" w14:textId="77777777" w:rsidR="00411B4B" w:rsidRPr="002A6AB6" w:rsidRDefault="00411B4B" w:rsidP="00587700">
      <w:pPr>
        <w:tabs>
          <w:tab w:val="left" w:pos="540"/>
          <w:tab w:val="left" w:pos="569"/>
        </w:tabs>
        <w:jc w:val="both"/>
        <w:rPr>
          <w:b/>
          <w:bCs/>
          <w:sz w:val="22"/>
          <w:szCs w:val="22"/>
          <w:lang w:val="sr-Latn-ME"/>
        </w:rPr>
      </w:pPr>
      <w:r w:rsidRPr="002A6AB6">
        <w:rPr>
          <w:b/>
          <w:bCs/>
          <w:sz w:val="22"/>
          <w:szCs w:val="22"/>
          <w:lang w:val="sr-Latn-ME"/>
        </w:rPr>
        <w:t xml:space="preserve">4.4. </w:t>
      </w:r>
      <w:r w:rsidR="00480FB1" w:rsidRPr="002A6AB6">
        <w:rPr>
          <w:b/>
          <w:bCs/>
          <w:sz w:val="22"/>
          <w:szCs w:val="22"/>
          <w:lang w:val="sr-Latn-ME"/>
        </w:rPr>
        <w:tab/>
      </w:r>
      <w:r w:rsidRPr="002A6AB6">
        <w:rPr>
          <w:b/>
          <w:bCs/>
          <w:sz w:val="22"/>
          <w:szCs w:val="22"/>
          <w:lang w:val="sr-Latn-ME"/>
        </w:rPr>
        <w:t>Posebna upozorenja i mjere opreza pri upotrebi lijeka</w:t>
      </w:r>
    </w:p>
    <w:p w14:paraId="48F06269" w14:textId="77777777" w:rsidR="0072020E" w:rsidRPr="002A6AB6" w:rsidRDefault="0072020E" w:rsidP="00587700">
      <w:pPr>
        <w:tabs>
          <w:tab w:val="left" w:pos="540"/>
          <w:tab w:val="left" w:pos="569"/>
        </w:tabs>
        <w:jc w:val="both"/>
        <w:rPr>
          <w:bCs/>
          <w:sz w:val="22"/>
          <w:szCs w:val="22"/>
          <w:lang w:val="sr-Latn-ME"/>
        </w:rPr>
      </w:pPr>
    </w:p>
    <w:p w14:paraId="48FC2E2F" w14:textId="77777777" w:rsidR="00466B8B" w:rsidRPr="002A6AB6" w:rsidRDefault="00466B8B" w:rsidP="00587700">
      <w:pPr>
        <w:tabs>
          <w:tab w:val="left" w:pos="540"/>
          <w:tab w:val="left" w:pos="567"/>
        </w:tabs>
        <w:jc w:val="both"/>
        <w:rPr>
          <w:bCs/>
          <w:sz w:val="22"/>
          <w:szCs w:val="22"/>
          <w:u w:val="single"/>
          <w:lang w:val="sr-Latn-ME"/>
        </w:rPr>
      </w:pPr>
      <w:proofErr w:type="spellStart"/>
      <w:r w:rsidRPr="002A6AB6">
        <w:rPr>
          <w:bCs/>
          <w:sz w:val="22"/>
          <w:szCs w:val="22"/>
          <w:u w:val="single"/>
          <w:lang w:val="sr-Latn-ME"/>
        </w:rPr>
        <w:t>Sledljivost</w:t>
      </w:r>
      <w:proofErr w:type="spellEnd"/>
    </w:p>
    <w:p w14:paraId="35AD585C" w14:textId="77777777" w:rsidR="00466B8B" w:rsidRPr="002A6AB6" w:rsidRDefault="00466B8B" w:rsidP="00587700">
      <w:pPr>
        <w:tabs>
          <w:tab w:val="left" w:pos="540"/>
          <w:tab w:val="left" w:pos="567"/>
        </w:tabs>
        <w:jc w:val="both"/>
        <w:rPr>
          <w:bCs/>
          <w:sz w:val="22"/>
          <w:szCs w:val="22"/>
          <w:lang w:val="sr-Latn-ME"/>
        </w:rPr>
      </w:pPr>
      <w:r w:rsidRPr="002A6AB6">
        <w:rPr>
          <w:bCs/>
          <w:sz w:val="22"/>
          <w:szCs w:val="22"/>
          <w:lang w:val="sr-Latn-ME"/>
        </w:rPr>
        <w:t xml:space="preserve">Kako bi se poboljšala </w:t>
      </w:r>
      <w:proofErr w:type="spellStart"/>
      <w:r w:rsidRPr="002A6AB6">
        <w:rPr>
          <w:bCs/>
          <w:sz w:val="22"/>
          <w:szCs w:val="22"/>
          <w:lang w:val="sr-Latn-ME"/>
        </w:rPr>
        <w:t>sledljivost</w:t>
      </w:r>
      <w:proofErr w:type="spellEnd"/>
      <w:r w:rsidRPr="002A6AB6">
        <w:rPr>
          <w:bCs/>
          <w:sz w:val="22"/>
          <w:szCs w:val="22"/>
          <w:lang w:val="sr-Latn-ME"/>
        </w:rPr>
        <w:t xml:space="preserve"> bioloških ljekova, naziv i broj serije primijenjenog lijeka je potrebno jasno evidentirati.</w:t>
      </w:r>
    </w:p>
    <w:p w14:paraId="562386A8" w14:textId="77777777" w:rsidR="00466B8B" w:rsidRPr="002A6AB6" w:rsidRDefault="00466B8B" w:rsidP="00587700">
      <w:pPr>
        <w:tabs>
          <w:tab w:val="left" w:pos="540"/>
          <w:tab w:val="left" w:pos="567"/>
        </w:tabs>
        <w:jc w:val="both"/>
        <w:rPr>
          <w:bCs/>
          <w:sz w:val="22"/>
          <w:szCs w:val="22"/>
          <w:lang w:val="sr-Latn-ME"/>
        </w:rPr>
      </w:pPr>
    </w:p>
    <w:p w14:paraId="2BF1AE94" w14:textId="77777777" w:rsidR="00466B8B" w:rsidRPr="002A6AB6" w:rsidRDefault="00466B8B" w:rsidP="00587700">
      <w:pPr>
        <w:tabs>
          <w:tab w:val="left" w:pos="540"/>
          <w:tab w:val="left" w:pos="569"/>
        </w:tabs>
        <w:jc w:val="both"/>
        <w:rPr>
          <w:bCs/>
          <w:sz w:val="22"/>
          <w:szCs w:val="22"/>
          <w:u w:val="single"/>
          <w:lang w:val="sr-Latn-ME"/>
        </w:rPr>
      </w:pPr>
      <w:r w:rsidRPr="002A6AB6">
        <w:rPr>
          <w:bCs/>
          <w:sz w:val="22"/>
          <w:szCs w:val="22"/>
          <w:u w:val="single"/>
          <w:lang w:val="sr-Latn-ME"/>
        </w:rPr>
        <w:t xml:space="preserve">Reakcije na injekciju (IR) </w:t>
      </w:r>
    </w:p>
    <w:p w14:paraId="676A7425"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Liječenje </w:t>
      </w:r>
      <w:proofErr w:type="spellStart"/>
      <w:r w:rsidRPr="002A6AB6">
        <w:rPr>
          <w:bCs/>
          <w:sz w:val="22"/>
          <w:szCs w:val="22"/>
          <w:lang w:val="sr-Latn-ME"/>
        </w:rPr>
        <w:t>subkutanom</w:t>
      </w:r>
      <w:proofErr w:type="spellEnd"/>
      <w:r w:rsidRPr="002A6AB6">
        <w:rPr>
          <w:bCs/>
          <w:sz w:val="22"/>
          <w:szCs w:val="22"/>
          <w:lang w:val="sr-Latn-ME"/>
        </w:rPr>
        <w:t xml:space="preserve"> formulacijom </w:t>
      </w:r>
      <w:proofErr w:type="spellStart"/>
      <w:r w:rsidRPr="002A6AB6">
        <w:rPr>
          <w:bCs/>
          <w:sz w:val="22"/>
          <w:szCs w:val="22"/>
          <w:lang w:val="sr-Latn-ME"/>
        </w:rPr>
        <w:t>okrelizumaba</w:t>
      </w:r>
      <w:proofErr w:type="spellEnd"/>
      <w:r w:rsidRPr="002A6AB6">
        <w:rPr>
          <w:bCs/>
          <w:sz w:val="22"/>
          <w:szCs w:val="22"/>
          <w:lang w:val="sr-Latn-ME"/>
        </w:rPr>
        <w:t xml:space="preserve"> se povezuje sa reakcijama na injekciju koje mogu biti u vezi sa oslobađanjem </w:t>
      </w:r>
      <w:proofErr w:type="spellStart"/>
      <w:r w:rsidRPr="002A6AB6">
        <w:rPr>
          <w:bCs/>
          <w:sz w:val="22"/>
          <w:szCs w:val="22"/>
          <w:lang w:val="sr-Latn-ME"/>
        </w:rPr>
        <w:t>citokina</w:t>
      </w:r>
      <w:proofErr w:type="spellEnd"/>
      <w:r w:rsidRPr="002A6AB6">
        <w:rPr>
          <w:bCs/>
          <w:sz w:val="22"/>
          <w:szCs w:val="22"/>
          <w:lang w:val="sr-Latn-ME"/>
        </w:rPr>
        <w:t xml:space="preserve"> odnosno drugih hemijskih medijatora. Ljekari treba da upozore pacijente da se reakcije na injekciju mogu pojaviti u roku od 24 sata nakon primjene. Simptomi reakcije na injekciju su češće prijavljeni tokom prve injekcije. Reakcije na injekciju mogu biti lokalne ili sistemske. Uobičajeni simptomi lokalnih reakcija na injekciju na mjestu primjene injekcije uključuju </w:t>
      </w:r>
      <w:proofErr w:type="spellStart"/>
      <w:r w:rsidRPr="002A6AB6">
        <w:rPr>
          <w:bCs/>
          <w:sz w:val="22"/>
          <w:szCs w:val="22"/>
          <w:lang w:val="sr-Latn-ME"/>
        </w:rPr>
        <w:t>eritem</w:t>
      </w:r>
      <w:proofErr w:type="spellEnd"/>
      <w:r w:rsidRPr="002A6AB6">
        <w:rPr>
          <w:bCs/>
          <w:sz w:val="22"/>
          <w:szCs w:val="22"/>
          <w:lang w:val="sr-Latn-ME"/>
        </w:rPr>
        <w:t xml:space="preserve">, bol, otok i </w:t>
      </w:r>
      <w:proofErr w:type="spellStart"/>
      <w:r w:rsidRPr="002A6AB6">
        <w:rPr>
          <w:bCs/>
          <w:sz w:val="22"/>
          <w:szCs w:val="22"/>
          <w:lang w:val="sr-Latn-ME"/>
        </w:rPr>
        <w:t>pruritus</w:t>
      </w:r>
      <w:proofErr w:type="spellEnd"/>
      <w:r w:rsidRPr="002A6AB6">
        <w:rPr>
          <w:bCs/>
          <w:sz w:val="22"/>
          <w:szCs w:val="22"/>
          <w:lang w:val="sr-Latn-ME"/>
        </w:rPr>
        <w:t xml:space="preserve">. Uobičajeni simptomi sistemskih reakcija na injekciju uključuju glavobolju i mučninu (vidjeti </w:t>
      </w:r>
      <w:r w:rsidR="00ED0D01" w:rsidRPr="002A6AB6">
        <w:rPr>
          <w:bCs/>
          <w:sz w:val="22"/>
          <w:szCs w:val="22"/>
          <w:lang w:val="sr-Latn-ME"/>
        </w:rPr>
        <w:t xml:space="preserve">dio </w:t>
      </w:r>
      <w:r w:rsidRPr="002A6AB6">
        <w:rPr>
          <w:bCs/>
          <w:sz w:val="22"/>
          <w:szCs w:val="22"/>
          <w:lang w:val="sr-Latn-ME"/>
        </w:rPr>
        <w:t xml:space="preserve">4.8). </w:t>
      </w:r>
    </w:p>
    <w:p w14:paraId="79F6AAFF" w14:textId="77777777" w:rsidR="00466B8B" w:rsidRPr="002A6AB6" w:rsidRDefault="00466B8B" w:rsidP="00587700">
      <w:pPr>
        <w:tabs>
          <w:tab w:val="left" w:pos="540"/>
          <w:tab w:val="left" w:pos="569"/>
        </w:tabs>
        <w:jc w:val="both"/>
        <w:rPr>
          <w:bCs/>
          <w:sz w:val="22"/>
          <w:szCs w:val="22"/>
          <w:lang w:val="sr-Latn-ME"/>
        </w:rPr>
      </w:pPr>
    </w:p>
    <w:p w14:paraId="070AE6A3"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Neposredno prije injekcije, pacijenti treba da prime </w:t>
      </w:r>
      <w:proofErr w:type="spellStart"/>
      <w:r w:rsidRPr="002A6AB6">
        <w:rPr>
          <w:bCs/>
          <w:sz w:val="22"/>
          <w:szCs w:val="22"/>
          <w:lang w:val="sr-Latn-ME"/>
        </w:rPr>
        <w:t>premedikaciju</w:t>
      </w:r>
      <w:proofErr w:type="spellEnd"/>
      <w:r w:rsidRPr="002A6AB6">
        <w:rPr>
          <w:bCs/>
          <w:sz w:val="22"/>
          <w:szCs w:val="22"/>
          <w:lang w:val="sr-Latn-ME"/>
        </w:rPr>
        <w:t xml:space="preserve"> kako bi se smanjio rizik od reakcija na injekciju (vidjeti </w:t>
      </w:r>
      <w:r w:rsidR="00ED0D01" w:rsidRPr="002A6AB6">
        <w:rPr>
          <w:bCs/>
          <w:sz w:val="22"/>
          <w:szCs w:val="22"/>
          <w:lang w:val="sr-Latn-ME"/>
        </w:rPr>
        <w:t xml:space="preserve">dio </w:t>
      </w:r>
      <w:r w:rsidRPr="002A6AB6">
        <w:rPr>
          <w:bCs/>
          <w:sz w:val="22"/>
          <w:szCs w:val="22"/>
          <w:lang w:val="sr-Latn-ME"/>
        </w:rPr>
        <w:t xml:space="preserve">4.2). Pacijente treba posmatrati najmanje sat </w:t>
      </w:r>
      <w:proofErr w:type="spellStart"/>
      <w:r w:rsidRPr="002A6AB6">
        <w:rPr>
          <w:bCs/>
          <w:sz w:val="22"/>
          <w:szCs w:val="22"/>
          <w:lang w:val="sr-Latn-ME"/>
        </w:rPr>
        <w:t>vremena</w:t>
      </w:r>
      <w:proofErr w:type="spellEnd"/>
      <w:r w:rsidRPr="002A6AB6">
        <w:rPr>
          <w:bCs/>
          <w:sz w:val="22"/>
          <w:szCs w:val="22"/>
          <w:lang w:val="sr-Latn-ME"/>
        </w:rPr>
        <w:t xml:space="preserve"> nakon početne doze lijeka zbog eventualne pojave nekog simptoma teške reakcije na injekciju. Neophodno je da na raspolaganju budu odgovarajući resursi za zbrinjavanje teških reakcija na injekciju odnosno </w:t>
      </w:r>
      <w:proofErr w:type="spellStart"/>
      <w:r w:rsidRPr="002A6AB6">
        <w:rPr>
          <w:bCs/>
          <w:sz w:val="22"/>
          <w:szCs w:val="22"/>
          <w:lang w:val="sr-Latn-ME"/>
        </w:rPr>
        <w:t>anafilaktičkih</w:t>
      </w:r>
      <w:proofErr w:type="spellEnd"/>
      <w:r w:rsidRPr="002A6AB6">
        <w:rPr>
          <w:bCs/>
          <w:sz w:val="22"/>
          <w:szCs w:val="22"/>
          <w:lang w:val="sr-Latn-ME"/>
        </w:rPr>
        <w:t xml:space="preserve"> reakcija tokom prve doze lijeka. Za naredne doze ordinirajući ljekar odlučuje o potrebi za praćenjem stanja nakon primjene injekcije. Ukoliko se jave, reakcije na injekciju mogu se tretirati </w:t>
      </w:r>
      <w:proofErr w:type="spellStart"/>
      <w:r w:rsidRPr="002A6AB6">
        <w:rPr>
          <w:bCs/>
          <w:sz w:val="22"/>
          <w:szCs w:val="22"/>
          <w:lang w:val="sr-Latn-ME"/>
        </w:rPr>
        <w:t>simptomatskom</w:t>
      </w:r>
      <w:proofErr w:type="spellEnd"/>
      <w:r w:rsidRPr="002A6AB6">
        <w:rPr>
          <w:bCs/>
          <w:sz w:val="22"/>
          <w:szCs w:val="22"/>
          <w:lang w:val="sr-Latn-ME"/>
        </w:rPr>
        <w:t xml:space="preserve"> terapijom. </w:t>
      </w:r>
    </w:p>
    <w:p w14:paraId="483EA134" w14:textId="77777777" w:rsidR="00466B8B" w:rsidRPr="002A6AB6" w:rsidRDefault="00466B8B" w:rsidP="00587700">
      <w:pPr>
        <w:tabs>
          <w:tab w:val="left" w:pos="540"/>
          <w:tab w:val="left" w:pos="569"/>
        </w:tabs>
        <w:jc w:val="both"/>
        <w:rPr>
          <w:bCs/>
          <w:sz w:val="22"/>
          <w:szCs w:val="22"/>
          <w:lang w:val="sr-Latn-ME"/>
        </w:rPr>
      </w:pPr>
    </w:p>
    <w:p w14:paraId="25BB2541"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Ukoliko postoje znaci reakcije na injekciju koja je životno </w:t>
      </w:r>
      <w:proofErr w:type="spellStart"/>
      <w:r w:rsidRPr="002A6AB6">
        <w:rPr>
          <w:bCs/>
          <w:sz w:val="22"/>
          <w:szCs w:val="22"/>
          <w:lang w:val="sr-Latn-ME"/>
        </w:rPr>
        <w:t>ugrožavajuća</w:t>
      </w:r>
      <w:proofErr w:type="spellEnd"/>
      <w:r w:rsidRPr="002A6AB6">
        <w:rPr>
          <w:bCs/>
          <w:sz w:val="22"/>
          <w:szCs w:val="22"/>
          <w:lang w:val="sr-Latn-ME"/>
        </w:rPr>
        <w:t xml:space="preserve">, injekcija se mora odmah zaustaviti, a pacijent treba da primi odgovarajuću terapiju. Liječenje lijekom </w:t>
      </w:r>
      <w:proofErr w:type="spellStart"/>
      <w:r w:rsidRPr="002A6AB6">
        <w:rPr>
          <w:bCs/>
          <w:sz w:val="22"/>
          <w:szCs w:val="22"/>
          <w:lang w:val="sr-Latn-ME"/>
        </w:rPr>
        <w:t>Ocrelizumab</w:t>
      </w:r>
      <w:proofErr w:type="spellEnd"/>
      <w:r w:rsidRPr="002A6AB6">
        <w:rPr>
          <w:bCs/>
          <w:sz w:val="22"/>
          <w:szCs w:val="22"/>
          <w:lang w:val="sr-Latn-ME"/>
        </w:rPr>
        <w:t xml:space="preserve"> se mora trajno prekinuti kod takvih pacijenata. Ukoliko se kod pacijenta javi teška reakcija na injekciju, injekciju treba odmah prekinuti, a pacijentu dati </w:t>
      </w:r>
      <w:proofErr w:type="spellStart"/>
      <w:r w:rsidRPr="002A6AB6">
        <w:rPr>
          <w:bCs/>
          <w:sz w:val="22"/>
          <w:szCs w:val="22"/>
          <w:lang w:val="sr-Latn-ME"/>
        </w:rPr>
        <w:t>simptomatsku</w:t>
      </w:r>
      <w:proofErr w:type="spellEnd"/>
      <w:r w:rsidRPr="002A6AB6">
        <w:rPr>
          <w:bCs/>
          <w:sz w:val="22"/>
          <w:szCs w:val="22"/>
          <w:lang w:val="sr-Latn-ME"/>
        </w:rPr>
        <w:t xml:space="preserve"> terapiju. Injekciju treba završiti tek nakon što svi simptomi budu otklonjeni. </w:t>
      </w:r>
    </w:p>
    <w:p w14:paraId="1790EE88" w14:textId="77777777" w:rsidR="00466B8B" w:rsidRPr="002A6AB6" w:rsidRDefault="00466B8B" w:rsidP="00587700">
      <w:pPr>
        <w:tabs>
          <w:tab w:val="left" w:pos="540"/>
          <w:tab w:val="left" w:pos="569"/>
        </w:tabs>
        <w:jc w:val="both"/>
        <w:rPr>
          <w:bCs/>
          <w:sz w:val="22"/>
          <w:szCs w:val="22"/>
          <w:lang w:val="sr-Latn-ME"/>
        </w:rPr>
      </w:pPr>
    </w:p>
    <w:p w14:paraId="2E1B8890" w14:textId="6987EBF7" w:rsidR="00466B8B" w:rsidRPr="002A6AB6" w:rsidRDefault="00466B8B" w:rsidP="00587700">
      <w:pPr>
        <w:tabs>
          <w:tab w:val="left" w:pos="540"/>
          <w:tab w:val="left" w:pos="569"/>
        </w:tabs>
        <w:jc w:val="both"/>
        <w:rPr>
          <w:bCs/>
          <w:sz w:val="22"/>
          <w:szCs w:val="22"/>
          <w:lang w:val="sr-Latn-ME"/>
        </w:rPr>
      </w:pPr>
      <w:proofErr w:type="spellStart"/>
      <w:r w:rsidRPr="002A6AB6">
        <w:rPr>
          <w:bCs/>
          <w:sz w:val="22"/>
          <w:szCs w:val="22"/>
          <w:lang w:val="sr-Latn-ME"/>
        </w:rPr>
        <w:t>Intravenska</w:t>
      </w:r>
      <w:proofErr w:type="spellEnd"/>
      <w:r w:rsidRPr="002A6AB6">
        <w:rPr>
          <w:bCs/>
          <w:sz w:val="22"/>
          <w:szCs w:val="22"/>
          <w:lang w:val="sr-Latn-ME"/>
        </w:rPr>
        <w:t xml:space="preserve"> formulacija </w:t>
      </w:r>
      <w:proofErr w:type="spellStart"/>
      <w:r w:rsidRPr="002A6AB6">
        <w:rPr>
          <w:bCs/>
          <w:sz w:val="22"/>
          <w:szCs w:val="22"/>
          <w:lang w:val="sr-Latn-ME"/>
        </w:rPr>
        <w:t>okrelizumaba</w:t>
      </w:r>
      <w:proofErr w:type="spellEnd"/>
      <w:r w:rsidRPr="002A6AB6">
        <w:rPr>
          <w:bCs/>
          <w:sz w:val="22"/>
          <w:szCs w:val="22"/>
          <w:lang w:val="sr-Latn-ME"/>
        </w:rPr>
        <w:t xml:space="preserve"> se povezuje sa reakcijama povezanim sa infuzijom (IRR) koje takođe mogu biti u vezi sa oslobađanjem </w:t>
      </w:r>
      <w:proofErr w:type="spellStart"/>
      <w:r w:rsidRPr="002A6AB6">
        <w:rPr>
          <w:bCs/>
          <w:sz w:val="22"/>
          <w:szCs w:val="22"/>
          <w:lang w:val="sr-Latn-ME"/>
        </w:rPr>
        <w:t>citokina</w:t>
      </w:r>
      <w:proofErr w:type="spellEnd"/>
      <w:r w:rsidRPr="002A6AB6">
        <w:rPr>
          <w:bCs/>
          <w:sz w:val="22"/>
          <w:szCs w:val="22"/>
          <w:lang w:val="sr-Latn-ME"/>
        </w:rPr>
        <w:t xml:space="preserve"> odnosno drugih hemijskih medijatora. Reakcije povezane sa infuzijom mogu se javiti kao </w:t>
      </w:r>
      <w:proofErr w:type="spellStart"/>
      <w:r w:rsidRPr="002A6AB6">
        <w:rPr>
          <w:bCs/>
          <w:sz w:val="22"/>
          <w:szCs w:val="22"/>
          <w:lang w:val="sr-Latn-ME"/>
        </w:rPr>
        <w:t>pruritus</w:t>
      </w:r>
      <w:proofErr w:type="spellEnd"/>
      <w:r w:rsidRPr="002A6AB6">
        <w:rPr>
          <w:bCs/>
          <w:sz w:val="22"/>
          <w:szCs w:val="22"/>
          <w:lang w:val="sr-Latn-ME"/>
        </w:rPr>
        <w:t xml:space="preserve">, osip, urtikarija, </w:t>
      </w:r>
      <w:proofErr w:type="spellStart"/>
      <w:r w:rsidRPr="002A6AB6">
        <w:rPr>
          <w:bCs/>
          <w:sz w:val="22"/>
          <w:szCs w:val="22"/>
          <w:lang w:val="sr-Latn-ME"/>
        </w:rPr>
        <w:t>eritem</w:t>
      </w:r>
      <w:proofErr w:type="spellEnd"/>
      <w:r w:rsidRPr="002A6AB6">
        <w:rPr>
          <w:bCs/>
          <w:sz w:val="22"/>
          <w:szCs w:val="22"/>
          <w:lang w:val="sr-Latn-ME"/>
        </w:rPr>
        <w:t xml:space="preserve">, iritacija u grlu, </w:t>
      </w:r>
      <w:proofErr w:type="spellStart"/>
      <w:r w:rsidRPr="002A6AB6">
        <w:rPr>
          <w:bCs/>
          <w:sz w:val="22"/>
          <w:szCs w:val="22"/>
          <w:lang w:val="sr-Latn-ME"/>
        </w:rPr>
        <w:t>orofa</w:t>
      </w:r>
      <w:r w:rsidR="00587700" w:rsidRPr="002A6AB6">
        <w:rPr>
          <w:bCs/>
          <w:sz w:val="22"/>
          <w:szCs w:val="22"/>
          <w:lang w:val="sr-Latn-ME"/>
        </w:rPr>
        <w:t>rin</w:t>
      </w:r>
      <w:r w:rsidRPr="002A6AB6">
        <w:rPr>
          <w:bCs/>
          <w:sz w:val="22"/>
          <w:szCs w:val="22"/>
          <w:lang w:val="sr-Latn-ME"/>
        </w:rPr>
        <w:t>gealni</w:t>
      </w:r>
      <w:proofErr w:type="spellEnd"/>
      <w:r w:rsidRPr="002A6AB6">
        <w:rPr>
          <w:bCs/>
          <w:sz w:val="22"/>
          <w:szCs w:val="22"/>
          <w:lang w:val="sr-Latn-ME"/>
        </w:rPr>
        <w:t xml:space="preserve"> bol, </w:t>
      </w:r>
      <w:proofErr w:type="spellStart"/>
      <w:r w:rsidRPr="002A6AB6">
        <w:rPr>
          <w:bCs/>
          <w:sz w:val="22"/>
          <w:szCs w:val="22"/>
          <w:lang w:val="sr-Latn-ME"/>
        </w:rPr>
        <w:t>dispneja</w:t>
      </w:r>
      <w:proofErr w:type="spellEnd"/>
      <w:r w:rsidRPr="002A6AB6">
        <w:rPr>
          <w:bCs/>
          <w:sz w:val="22"/>
          <w:szCs w:val="22"/>
          <w:lang w:val="sr-Latn-ME"/>
        </w:rPr>
        <w:t xml:space="preserve">, </w:t>
      </w:r>
      <w:proofErr w:type="spellStart"/>
      <w:r w:rsidRPr="002A6AB6">
        <w:rPr>
          <w:bCs/>
          <w:sz w:val="22"/>
          <w:szCs w:val="22"/>
          <w:lang w:val="sr-Latn-ME"/>
        </w:rPr>
        <w:t>faringealni</w:t>
      </w:r>
      <w:proofErr w:type="spellEnd"/>
      <w:r w:rsidRPr="002A6AB6">
        <w:rPr>
          <w:bCs/>
          <w:sz w:val="22"/>
          <w:szCs w:val="22"/>
          <w:lang w:val="sr-Latn-ME"/>
        </w:rPr>
        <w:t xml:space="preserve"> ili </w:t>
      </w:r>
      <w:proofErr w:type="spellStart"/>
      <w:r w:rsidRPr="002A6AB6">
        <w:rPr>
          <w:bCs/>
          <w:sz w:val="22"/>
          <w:szCs w:val="22"/>
          <w:lang w:val="sr-Latn-ME"/>
        </w:rPr>
        <w:t>laringealni</w:t>
      </w:r>
      <w:proofErr w:type="spellEnd"/>
      <w:r w:rsidRPr="002A6AB6">
        <w:rPr>
          <w:bCs/>
          <w:sz w:val="22"/>
          <w:szCs w:val="22"/>
          <w:lang w:val="sr-Latn-ME"/>
        </w:rPr>
        <w:t xml:space="preserve"> </w:t>
      </w:r>
      <w:proofErr w:type="spellStart"/>
      <w:r w:rsidRPr="002A6AB6">
        <w:rPr>
          <w:bCs/>
          <w:sz w:val="22"/>
          <w:szCs w:val="22"/>
          <w:lang w:val="sr-Latn-ME"/>
        </w:rPr>
        <w:t>edem</w:t>
      </w:r>
      <w:proofErr w:type="spellEnd"/>
      <w:r w:rsidRPr="002A6AB6">
        <w:rPr>
          <w:bCs/>
          <w:sz w:val="22"/>
          <w:szCs w:val="22"/>
          <w:lang w:val="sr-Latn-ME"/>
        </w:rPr>
        <w:t xml:space="preserve">, crvenilo, </w:t>
      </w:r>
      <w:proofErr w:type="spellStart"/>
      <w:r w:rsidRPr="002A6AB6">
        <w:rPr>
          <w:bCs/>
          <w:sz w:val="22"/>
          <w:szCs w:val="22"/>
          <w:lang w:val="sr-Latn-ME"/>
        </w:rPr>
        <w:t>hipotenzija</w:t>
      </w:r>
      <w:proofErr w:type="spellEnd"/>
      <w:r w:rsidRPr="002A6AB6">
        <w:rPr>
          <w:bCs/>
          <w:sz w:val="22"/>
          <w:szCs w:val="22"/>
          <w:lang w:val="sr-Latn-ME"/>
        </w:rPr>
        <w:t xml:space="preserve">, </w:t>
      </w:r>
      <w:proofErr w:type="spellStart"/>
      <w:r w:rsidRPr="002A6AB6">
        <w:rPr>
          <w:bCs/>
          <w:sz w:val="22"/>
          <w:szCs w:val="22"/>
          <w:lang w:val="sr-Latn-ME"/>
        </w:rPr>
        <w:t>pireksija</w:t>
      </w:r>
      <w:proofErr w:type="spellEnd"/>
      <w:r w:rsidRPr="002A6AB6">
        <w:rPr>
          <w:bCs/>
          <w:sz w:val="22"/>
          <w:szCs w:val="22"/>
          <w:lang w:val="sr-Latn-ME"/>
        </w:rPr>
        <w:t xml:space="preserve">, umor, glavobolja, </w:t>
      </w:r>
      <w:r w:rsidRPr="002A6AB6">
        <w:rPr>
          <w:bCs/>
          <w:sz w:val="22"/>
          <w:szCs w:val="22"/>
          <w:lang w:val="sr-Latn-ME"/>
        </w:rPr>
        <w:lastRenderedPageBreak/>
        <w:t xml:space="preserve">vrtoglavica, mučnina, tahikardija i </w:t>
      </w:r>
      <w:proofErr w:type="spellStart"/>
      <w:r w:rsidRPr="002A6AB6">
        <w:rPr>
          <w:bCs/>
          <w:sz w:val="22"/>
          <w:szCs w:val="22"/>
          <w:lang w:val="sr-Latn-ME"/>
        </w:rPr>
        <w:t>anafilaksa</w:t>
      </w:r>
      <w:proofErr w:type="spellEnd"/>
      <w:r w:rsidRPr="002A6AB6">
        <w:rPr>
          <w:bCs/>
          <w:sz w:val="22"/>
          <w:szCs w:val="22"/>
          <w:lang w:val="sr-Latn-ME"/>
        </w:rPr>
        <w:t xml:space="preserve">. Zabilježene su ozbiljne reakcije povezane sa infuzijom, od kojih su neke zahtijevale </w:t>
      </w:r>
      <w:proofErr w:type="spellStart"/>
      <w:r w:rsidRPr="002A6AB6">
        <w:rPr>
          <w:bCs/>
          <w:sz w:val="22"/>
          <w:szCs w:val="22"/>
          <w:lang w:val="sr-Latn-ME"/>
        </w:rPr>
        <w:t>hospitalizaciju</w:t>
      </w:r>
      <w:proofErr w:type="spellEnd"/>
      <w:r w:rsidRPr="002A6AB6">
        <w:rPr>
          <w:bCs/>
          <w:sz w:val="22"/>
          <w:szCs w:val="22"/>
          <w:lang w:val="sr-Latn-ME"/>
        </w:rPr>
        <w:t xml:space="preserve"> pri upotrebi </w:t>
      </w:r>
      <w:proofErr w:type="spellStart"/>
      <w:r w:rsidRPr="002A6AB6">
        <w:rPr>
          <w:bCs/>
          <w:sz w:val="22"/>
          <w:szCs w:val="22"/>
          <w:lang w:val="sr-Latn-ME"/>
        </w:rPr>
        <w:t>intravenske</w:t>
      </w:r>
      <w:proofErr w:type="spellEnd"/>
      <w:r w:rsidRPr="002A6AB6">
        <w:rPr>
          <w:bCs/>
          <w:sz w:val="22"/>
          <w:szCs w:val="22"/>
          <w:lang w:val="sr-Latn-ME"/>
        </w:rPr>
        <w:t xml:space="preserve"> formulacije </w:t>
      </w:r>
      <w:proofErr w:type="spellStart"/>
      <w:r w:rsidRPr="002A6AB6">
        <w:rPr>
          <w:bCs/>
          <w:sz w:val="22"/>
          <w:szCs w:val="22"/>
          <w:lang w:val="sr-Latn-ME"/>
        </w:rPr>
        <w:t>okrelizumaba</w:t>
      </w:r>
      <w:proofErr w:type="spellEnd"/>
      <w:r w:rsidRPr="002A6AB6">
        <w:rPr>
          <w:bCs/>
          <w:sz w:val="22"/>
          <w:szCs w:val="22"/>
          <w:lang w:val="sr-Latn-ME"/>
        </w:rPr>
        <w:t xml:space="preserve">. </w:t>
      </w:r>
    </w:p>
    <w:p w14:paraId="7152B5C8" w14:textId="77777777" w:rsidR="00466B8B" w:rsidRPr="002A6AB6" w:rsidRDefault="00466B8B" w:rsidP="00587700">
      <w:pPr>
        <w:tabs>
          <w:tab w:val="left" w:pos="540"/>
          <w:tab w:val="left" w:pos="569"/>
        </w:tabs>
        <w:jc w:val="both"/>
        <w:rPr>
          <w:bCs/>
          <w:sz w:val="22"/>
          <w:szCs w:val="22"/>
          <w:lang w:val="sr-Latn-ME"/>
        </w:rPr>
      </w:pPr>
    </w:p>
    <w:p w14:paraId="0D149FB6"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U smislu simptoma, preosjetljivost može biti nemoguće klinički razlikovati od reakcije na injekciju ili reakcije povezane sa infuzijom. Ukoliko se posumnja da je došlo do reakcije preosjetljivosti, primjena injekcije mora biti odmah i trajno prekinuta (pogledati „Reakcije preosjetljivosti” u nastavku). </w:t>
      </w:r>
    </w:p>
    <w:p w14:paraId="6B3FCBE0" w14:textId="77777777" w:rsidR="00466B8B" w:rsidRPr="002A6AB6" w:rsidRDefault="00466B8B" w:rsidP="00587700">
      <w:pPr>
        <w:tabs>
          <w:tab w:val="left" w:pos="540"/>
          <w:tab w:val="left" w:pos="569"/>
        </w:tabs>
        <w:jc w:val="both"/>
        <w:rPr>
          <w:bCs/>
          <w:sz w:val="22"/>
          <w:szCs w:val="22"/>
          <w:lang w:val="sr-Latn-ME"/>
        </w:rPr>
      </w:pPr>
    </w:p>
    <w:p w14:paraId="097D4A83" w14:textId="77777777" w:rsidR="00466B8B" w:rsidRPr="002A6AB6" w:rsidRDefault="00466B8B" w:rsidP="00587700">
      <w:pPr>
        <w:tabs>
          <w:tab w:val="left" w:pos="540"/>
          <w:tab w:val="left" w:pos="569"/>
        </w:tabs>
        <w:jc w:val="both"/>
        <w:rPr>
          <w:b/>
          <w:bCs/>
          <w:sz w:val="22"/>
          <w:szCs w:val="22"/>
          <w:u w:val="single"/>
          <w:lang w:val="sr-Latn-ME"/>
        </w:rPr>
      </w:pPr>
      <w:r w:rsidRPr="002A6AB6">
        <w:rPr>
          <w:bCs/>
          <w:sz w:val="22"/>
          <w:szCs w:val="22"/>
          <w:u w:val="single"/>
          <w:lang w:val="sr-Latn-ME"/>
        </w:rPr>
        <w:t>Reakcije preosjetljivosti</w:t>
      </w:r>
      <w:r w:rsidRPr="002A6AB6">
        <w:rPr>
          <w:b/>
          <w:bCs/>
          <w:sz w:val="22"/>
          <w:szCs w:val="22"/>
          <w:u w:val="single"/>
          <w:lang w:val="sr-Latn-ME"/>
        </w:rPr>
        <w:t xml:space="preserve">  </w:t>
      </w:r>
    </w:p>
    <w:p w14:paraId="6BE053AC"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Takođe može doći do reakcije preosjetljivosti (akutna alergijska reakcija na lijek). Akutne reakcije preosjetljivosti tipa 1 (</w:t>
      </w:r>
      <w:proofErr w:type="spellStart"/>
      <w:r w:rsidRPr="002A6AB6">
        <w:rPr>
          <w:bCs/>
          <w:sz w:val="22"/>
          <w:szCs w:val="22"/>
          <w:lang w:val="sr-Latn-ME"/>
        </w:rPr>
        <w:t>IgE</w:t>
      </w:r>
      <w:proofErr w:type="spellEnd"/>
      <w:r w:rsidRPr="002A6AB6">
        <w:rPr>
          <w:bCs/>
          <w:sz w:val="22"/>
          <w:szCs w:val="22"/>
          <w:lang w:val="sr-Latn-ME"/>
        </w:rPr>
        <w:t>-posredovanih) može biti teško klinički razlikovati od simptoma reakcija na injekciju.</w:t>
      </w:r>
    </w:p>
    <w:p w14:paraId="17F6E1DA" w14:textId="77777777" w:rsidR="00466B8B" w:rsidRPr="002A6AB6" w:rsidRDefault="00466B8B" w:rsidP="00587700">
      <w:pPr>
        <w:tabs>
          <w:tab w:val="left" w:pos="540"/>
          <w:tab w:val="left" w:pos="569"/>
        </w:tabs>
        <w:jc w:val="both"/>
        <w:rPr>
          <w:bCs/>
          <w:sz w:val="22"/>
          <w:szCs w:val="22"/>
          <w:lang w:val="sr-Latn-ME"/>
        </w:rPr>
      </w:pPr>
    </w:p>
    <w:p w14:paraId="75431F1D"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Reakcija preosjetljivosti može se javiti tokom bilo koje primjene, iako se obično ne javlja tokom prve primjene. Što se tiče narednih primjena, ukoliko se jave simptomi teži od prethodnih, ili novi teški simptomi, treba da pobudi sumnju na potencijalnu reakciju preosjetljivosti. Pacijenti sa poznatom </w:t>
      </w:r>
      <w:proofErr w:type="spellStart"/>
      <w:r w:rsidRPr="002A6AB6">
        <w:rPr>
          <w:bCs/>
          <w:sz w:val="22"/>
          <w:szCs w:val="22"/>
          <w:lang w:val="sr-Latn-ME"/>
        </w:rPr>
        <w:t>IgE</w:t>
      </w:r>
      <w:proofErr w:type="spellEnd"/>
      <w:r w:rsidRPr="002A6AB6">
        <w:rPr>
          <w:bCs/>
          <w:sz w:val="22"/>
          <w:szCs w:val="22"/>
          <w:lang w:val="sr-Latn-ME"/>
        </w:rPr>
        <w:t xml:space="preserve"> posredovanom preosjetljivošću na </w:t>
      </w:r>
      <w:proofErr w:type="spellStart"/>
      <w:r w:rsidRPr="002A6AB6">
        <w:rPr>
          <w:bCs/>
          <w:sz w:val="22"/>
          <w:szCs w:val="22"/>
          <w:lang w:val="sr-Latn-ME"/>
        </w:rPr>
        <w:t>okrelizumab</w:t>
      </w:r>
      <w:proofErr w:type="spellEnd"/>
      <w:r w:rsidRPr="002A6AB6">
        <w:rPr>
          <w:bCs/>
          <w:sz w:val="22"/>
          <w:szCs w:val="22"/>
          <w:lang w:val="sr-Latn-ME"/>
        </w:rPr>
        <w:t xml:space="preserve"> ili bilo koju pomoćnu supstancu ne smiju biti liječeni ovim lijekom (vidjeti </w:t>
      </w:r>
      <w:r w:rsidR="00ED0D01" w:rsidRPr="002A6AB6">
        <w:rPr>
          <w:bCs/>
          <w:sz w:val="22"/>
          <w:szCs w:val="22"/>
          <w:lang w:val="sr-Latn-ME"/>
        </w:rPr>
        <w:t xml:space="preserve">dio </w:t>
      </w:r>
      <w:r w:rsidRPr="002A6AB6">
        <w:rPr>
          <w:bCs/>
          <w:sz w:val="22"/>
          <w:szCs w:val="22"/>
          <w:lang w:val="sr-Latn-ME"/>
        </w:rPr>
        <w:t xml:space="preserve">4.3).  </w:t>
      </w:r>
    </w:p>
    <w:p w14:paraId="2B0DA135" w14:textId="77777777" w:rsidR="00466B8B" w:rsidRPr="002A6AB6" w:rsidRDefault="00466B8B" w:rsidP="00587700">
      <w:pPr>
        <w:tabs>
          <w:tab w:val="left" w:pos="540"/>
          <w:tab w:val="left" w:pos="569"/>
        </w:tabs>
        <w:jc w:val="both"/>
        <w:rPr>
          <w:bCs/>
          <w:sz w:val="22"/>
          <w:szCs w:val="22"/>
          <w:lang w:val="sr-Latn-ME"/>
        </w:rPr>
      </w:pPr>
    </w:p>
    <w:p w14:paraId="44EE49E4" w14:textId="77777777" w:rsidR="00466B8B" w:rsidRPr="002A6AB6" w:rsidRDefault="00466B8B" w:rsidP="00587700">
      <w:pPr>
        <w:tabs>
          <w:tab w:val="left" w:pos="540"/>
          <w:tab w:val="left" w:pos="569"/>
        </w:tabs>
        <w:jc w:val="both"/>
        <w:rPr>
          <w:bCs/>
          <w:sz w:val="22"/>
          <w:szCs w:val="22"/>
          <w:u w:val="single"/>
          <w:lang w:val="sr-Latn-ME"/>
        </w:rPr>
      </w:pPr>
      <w:r w:rsidRPr="002A6AB6">
        <w:rPr>
          <w:bCs/>
          <w:sz w:val="22"/>
          <w:szCs w:val="22"/>
          <w:u w:val="single"/>
          <w:lang w:val="sr-Latn-ME"/>
        </w:rPr>
        <w:t xml:space="preserve">Infekcija </w:t>
      </w:r>
    </w:p>
    <w:p w14:paraId="78A6CD17"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Primjena </w:t>
      </w:r>
      <w:proofErr w:type="spellStart"/>
      <w:r w:rsidRPr="002A6AB6">
        <w:rPr>
          <w:bCs/>
          <w:sz w:val="22"/>
          <w:szCs w:val="22"/>
          <w:lang w:val="sr-Latn-ME"/>
        </w:rPr>
        <w:t>okrelizumaba</w:t>
      </w:r>
      <w:proofErr w:type="spellEnd"/>
      <w:r w:rsidRPr="002A6AB6">
        <w:rPr>
          <w:bCs/>
          <w:sz w:val="22"/>
          <w:szCs w:val="22"/>
          <w:lang w:val="sr-Latn-ME"/>
        </w:rPr>
        <w:t xml:space="preserve"> mora se odložiti kod pacijenata sa aktivnom infekcijom sve dok infekcija ne prođe.</w:t>
      </w:r>
    </w:p>
    <w:p w14:paraId="3216E8F0" w14:textId="77777777" w:rsidR="00466B8B" w:rsidRPr="002A6AB6" w:rsidRDefault="00466B8B" w:rsidP="00587700">
      <w:pPr>
        <w:tabs>
          <w:tab w:val="left" w:pos="540"/>
          <w:tab w:val="left" w:pos="569"/>
        </w:tabs>
        <w:jc w:val="both"/>
        <w:rPr>
          <w:bCs/>
          <w:sz w:val="22"/>
          <w:szCs w:val="22"/>
          <w:lang w:val="sr-Latn-ME"/>
        </w:rPr>
      </w:pPr>
    </w:p>
    <w:p w14:paraId="33F30326" w14:textId="1E744A35"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Preporučuje se da se provjeri imunološki status pacijenta pr</w:t>
      </w:r>
      <w:r w:rsidR="00587700" w:rsidRPr="002A6AB6">
        <w:rPr>
          <w:bCs/>
          <w:sz w:val="22"/>
          <w:szCs w:val="22"/>
          <w:lang w:val="sr-Latn-ME"/>
        </w:rPr>
        <w:t>ij</w:t>
      </w:r>
      <w:r w:rsidRPr="002A6AB6">
        <w:rPr>
          <w:bCs/>
          <w:sz w:val="22"/>
          <w:szCs w:val="22"/>
          <w:lang w:val="sr-Latn-ME"/>
        </w:rPr>
        <w:t xml:space="preserve">e primjene lijeka, jer se ozbiljno </w:t>
      </w:r>
      <w:proofErr w:type="spellStart"/>
      <w:r w:rsidRPr="002A6AB6">
        <w:rPr>
          <w:bCs/>
          <w:sz w:val="22"/>
          <w:szCs w:val="22"/>
          <w:lang w:val="sr-Latn-ME"/>
        </w:rPr>
        <w:t>imunokompromitovani</w:t>
      </w:r>
      <w:proofErr w:type="spellEnd"/>
      <w:r w:rsidRPr="002A6AB6">
        <w:rPr>
          <w:bCs/>
          <w:sz w:val="22"/>
          <w:szCs w:val="22"/>
          <w:lang w:val="sr-Latn-ME"/>
        </w:rPr>
        <w:t xml:space="preserve"> pacijenti (npr. sa </w:t>
      </w:r>
      <w:proofErr w:type="spellStart"/>
      <w:r w:rsidRPr="002A6AB6">
        <w:rPr>
          <w:bCs/>
          <w:sz w:val="22"/>
          <w:szCs w:val="22"/>
          <w:lang w:val="sr-Latn-ME"/>
        </w:rPr>
        <w:t>limfopenijom</w:t>
      </w:r>
      <w:proofErr w:type="spellEnd"/>
      <w:r w:rsidRPr="002A6AB6">
        <w:rPr>
          <w:bCs/>
          <w:sz w:val="22"/>
          <w:szCs w:val="22"/>
          <w:lang w:val="sr-Latn-ME"/>
        </w:rPr>
        <w:t xml:space="preserve">, </w:t>
      </w:r>
      <w:proofErr w:type="spellStart"/>
      <w:r w:rsidRPr="002A6AB6">
        <w:rPr>
          <w:bCs/>
          <w:sz w:val="22"/>
          <w:szCs w:val="22"/>
          <w:lang w:val="sr-Latn-ME"/>
        </w:rPr>
        <w:t>neutropenijom</w:t>
      </w:r>
      <w:proofErr w:type="spellEnd"/>
      <w:r w:rsidRPr="002A6AB6">
        <w:rPr>
          <w:bCs/>
          <w:sz w:val="22"/>
          <w:szCs w:val="22"/>
          <w:lang w:val="sr-Latn-ME"/>
        </w:rPr>
        <w:t xml:space="preserve">, </w:t>
      </w:r>
      <w:proofErr w:type="spellStart"/>
      <w:r w:rsidRPr="002A6AB6">
        <w:rPr>
          <w:bCs/>
          <w:sz w:val="22"/>
          <w:szCs w:val="22"/>
          <w:lang w:val="sr-Latn-ME"/>
        </w:rPr>
        <w:t>hipogamaglobulinemijom</w:t>
      </w:r>
      <w:proofErr w:type="spellEnd"/>
      <w:r w:rsidRPr="002A6AB6">
        <w:rPr>
          <w:bCs/>
          <w:sz w:val="22"/>
          <w:szCs w:val="22"/>
          <w:lang w:val="sr-Latn-ME"/>
        </w:rPr>
        <w:t xml:space="preserve">) ne smiju liječiti (vidjeti </w:t>
      </w:r>
      <w:r w:rsidR="00587700" w:rsidRPr="002A6AB6">
        <w:rPr>
          <w:bCs/>
          <w:sz w:val="22"/>
          <w:szCs w:val="22"/>
          <w:lang w:val="sr-Latn-ME"/>
        </w:rPr>
        <w:t>djelove</w:t>
      </w:r>
      <w:r w:rsidRPr="002A6AB6">
        <w:rPr>
          <w:bCs/>
          <w:sz w:val="22"/>
          <w:szCs w:val="22"/>
          <w:lang w:val="sr-Latn-ME"/>
        </w:rPr>
        <w:t xml:space="preserve"> 4.3 i 4.8).</w:t>
      </w:r>
    </w:p>
    <w:p w14:paraId="0CCC98FB" w14:textId="77777777" w:rsidR="00466B8B" w:rsidRPr="002A6AB6" w:rsidRDefault="00466B8B" w:rsidP="00587700">
      <w:pPr>
        <w:tabs>
          <w:tab w:val="left" w:pos="540"/>
          <w:tab w:val="left" w:pos="569"/>
        </w:tabs>
        <w:jc w:val="both"/>
        <w:rPr>
          <w:bCs/>
          <w:sz w:val="22"/>
          <w:szCs w:val="22"/>
          <w:lang w:val="sr-Latn-ME"/>
        </w:rPr>
      </w:pPr>
    </w:p>
    <w:p w14:paraId="2015964C"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Ukupan </w:t>
      </w:r>
      <w:proofErr w:type="spellStart"/>
      <w:r w:rsidRPr="002A6AB6">
        <w:rPr>
          <w:bCs/>
          <w:sz w:val="22"/>
          <w:szCs w:val="22"/>
          <w:lang w:val="sr-Latn-ME"/>
        </w:rPr>
        <w:t>udio</w:t>
      </w:r>
      <w:proofErr w:type="spellEnd"/>
      <w:r w:rsidRPr="002A6AB6">
        <w:rPr>
          <w:bCs/>
          <w:sz w:val="22"/>
          <w:szCs w:val="22"/>
          <w:lang w:val="sr-Latn-ME"/>
        </w:rPr>
        <w:t xml:space="preserve"> pacijenata sa ozbiljnom infekcijom bio je sličan </w:t>
      </w:r>
      <w:proofErr w:type="spellStart"/>
      <w:r w:rsidRPr="002A6AB6">
        <w:rPr>
          <w:bCs/>
          <w:sz w:val="22"/>
          <w:szCs w:val="22"/>
          <w:lang w:val="sr-Latn-ME"/>
        </w:rPr>
        <w:t>udjelu</w:t>
      </w:r>
      <w:proofErr w:type="spellEnd"/>
      <w:r w:rsidRPr="002A6AB6">
        <w:rPr>
          <w:bCs/>
          <w:sz w:val="22"/>
          <w:szCs w:val="22"/>
          <w:lang w:val="sr-Latn-ME"/>
        </w:rPr>
        <w:t xml:space="preserve"> kod primjene </w:t>
      </w:r>
      <w:proofErr w:type="spellStart"/>
      <w:r w:rsidRPr="002A6AB6">
        <w:rPr>
          <w:bCs/>
          <w:sz w:val="22"/>
          <w:szCs w:val="22"/>
          <w:lang w:val="sr-Latn-ME"/>
        </w:rPr>
        <w:t>komparatora</w:t>
      </w:r>
      <w:proofErr w:type="spellEnd"/>
      <w:r w:rsidRPr="002A6AB6">
        <w:rPr>
          <w:bCs/>
          <w:sz w:val="22"/>
          <w:szCs w:val="22"/>
          <w:lang w:val="sr-Latn-ME"/>
        </w:rPr>
        <w:t xml:space="preserve"> (vidjeti </w:t>
      </w:r>
      <w:r w:rsidR="00ED0D01" w:rsidRPr="002A6AB6">
        <w:rPr>
          <w:bCs/>
          <w:sz w:val="22"/>
          <w:szCs w:val="22"/>
          <w:lang w:val="sr-Latn-ME"/>
        </w:rPr>
        <w:t xml:space="preserve">dio </w:t>
      </w:r>
      <w:r w:rsidRPr="002A6AB6">
        <w:rPr>
          <w:bCs/>
          <w:sz w:val="22"/>
          <w:szCs w:val="22"/>
          <w:lang w:val="sr-Latn-ME"/>
        </w:rPr>
        <w:t xml:space="preserve">4.8) u studijama sa </w:t>
      </w:r>
      <w:proofErr w:type="spellStart"/>
      <w:r w:rsidRPr="002A6AB6">
        <w:rPr>
          <w:bCs/>
          <w:sz w:val="22"/>
          <w:szCs w:val="22"/>
          <w:lang w:val="sr-Latn-ME"/>
        </w:rPr>
        <w:t>intravenskim</w:t>
      </w:r>
      <w:proofErr w:type="spellEnd"/>
      <w:r w:rsidRPr="002A6AB6">
        <w:rPr>
          <w:bCs/>
          <w:sz w:val="22"/>
          <w:szCs w:val="22"/>
          <w:lang w:val="sr-Latn-ME"/>
        </w:rPr>
        <w:t xml:space="preserve"> </w:t>
      </w:r>
      <w:proofErr w:type="spellStart"/>
      <w:r w:rsidRPr="002A6AB6">
        <w:rPr>
          <w:bCs/>
          <w:sz w:val="22"/>
          <w:szCs w:val="22"/>
          <w:lang w:val="sr-Latn-ME"/>
        </w:rPr>
        <w:t>okrelizumabom</w:t>
      </w:r>
      <w:proofErr w:type="spellEnd"/>
      <w:r w:rsidRPr="002A6AB6">
        <w:rPr>
          <w:bCs/>
          <w:sz w:val="22"/>
          <w:szCs w:val="22"/>
          <w:lang w:val="sr-Latn-ME"/>
        </w:rPr>
        <w:t xml:space="preserve">. Učestalost infekcija gradusa 4 (životno </w:t>
      </w:r>
      <w:proofErr w:type="spellStart"/>
      <w:r w:rsidRPr="002A6AB6">
        <w:rPr>
          <w:bCs/>
          <w:sz w:val="22"/>
          <w:szCs w:val="22"/>
          <w:lang w:val="sr-Latn-ME"/>
        </w:rPr>
        <w:t>ugrožavajuće</w:t>
      </w:r>
      <w:proofErr w:type="spellEnd"/>
      <w:r w:rsidRPr="002A6AB6">
        <w:rPr>
          <w:bCs/>
          <w:sz w:val="22"/>
          <w:szCs w:val="22"/>
          <w:lang w:val="sr-Latn-ME"/>
        </w:rPr>
        <w:t xml:space="preserve">) i gradusa 5 (sa smrtnim ishodom) bila je mala u svim terapijskim grupama, ali je u PPMS bila viša uz upotrebu </w:t>
      </w:r>
      <w:proofErr w:type="spellStart"/>
      <w:r w:rsidRPr="002A6AB6">
        <w:rPr>
          <w:bCs/>
          <w:sz w:val="22"/>
          <w:szCs w:val="22"/>
          <w:lang w:val="sr-Latn-ME"/>
        </w:rPr>
        <w:t>intravenskog</w:t>
      </w:r>
      <w:proofErr w:type="spellEnd"/>
      <w:r w:rsidRPr="002A6AB6">
        <w:rPr>
          <w:bCs/>
          <w:sz w:val="22"/>
          <w:szCs w:val="22"/>
          <w:lang w:val="sr-Latn-ME"/>
        </w:rPr>
        <w:t xml:space="preserve"> </w:t>
      </w:r>
      <w:proofErr w:type="spellStart"/>
      <w:r w:rsidRPr="002A6AB6">
        <w:rPr>
          <w:bCs/>
          <w:sz w:val="22"/>
          <w:szCs w:val="22"/>
          <w:lang w:val="sr-Latn-ME"/>
        </w:rPr>
        <w:t>okrelizumaba</w:t>
      </w:r>
      <w:proofErr w:type="spellEnd"/>
      <w:r w:rsidRPr="002A6AB6">
        <w:rPr>
          <w:bCs/>
          <w:sz w:val="22"/>
          <w:szCs w:val="22"/>
          <w:lang w:val="sr-Latn-ME"/>
        </w:rPr>
        <w:t xml:space="preserve"> u poređenju sa </w:t>
      </w:r>
      <w:proofErr w:type="spellStart"/>
      <w:r w:rsidRPr="002A6AB6">
        <w:rPr>
          <w:bCs/>
          <w:sz w:val="22"/>
          <w:szCs w:val="22"/>
          <w:lang w:val="sr-Latn-ME"/>
        </w:rPr>
        <w:t>placebom</w:t>
      </w:r>
      <w:proofErr w:type="spellEnd"/>
      <w:r w:rsidRPr="002A6AB6">
        <w:rPr>
          <w:bCs/>
          <w:sz w:val="22"/>
          <w:szCs w:val="22"/>
          <w:lang w:val="sr-Latn-ME"/>
        </w:rPr>
        <w:t xml:space="preserve"> za životno </w:t>
      </w:r>
      <w:proofErr w:type="spellStart"/>
      <w:r w:rsidRPr="002A6AB6">
        <w:rPr>
          <w:bCs/>
          <w:sz w:val="22"/>
          <w:szCs w:val="22"/>
          <w:lang w:val="sr-Latn-ME"/>
        </w:rPr>
        <w:t>ugrožavajuće</w:t>
      </w:r>
      <w:proofErr w:type="spellEnd"/>
      <w:r w:rsidRPr="002A6AB6">
        <w:rPr>
          <w:bCs/>
          <w:sz w:val="22"/>
          <w:szCs w:val="22"/>
          <w:lang w:val="sr-Latn-ME"/>
        </w:rPr>
        <w:t xml:space="preserve"> infekcije (1,6% prema 0,4%) i infekcije sa smrtnim ishodom (0,6% prema 0%). Sve životno </w:t>
      </w:r>
      <w:proofErr w:type="spellStart"/>
      <w:r w:rsidRPr="002A6AB6">
        <w:rPr>
          <w:bCs/>
          <w:sz w:val="22"/>
          <w:szCs w:val="22"/>
          <w:lang w:val="sr-Latn-ME"/>
        </w:rPr>
        <w:t>ugrožavajuće</w:t>
      </w:r>
      <w:proofErr w:type="spellEnd"/>
      <w:r w:rsidRPr="002A6AB6">
        <w:rPr>
          <w:bCs/>
          <w:sz w:val="22"/>
          <w:szCs w:val="22"/>
          <w:lang w:val="sr-Latn-ME"/>
        </w:rPr>
        <w:t xml:space="preserve"> infekcije izliječene su bez prekida upotrebe </w:t>
      </w:r>
      <w:proofErr w:type="spellStart"/>
      <w:r w:rsidRPr="002A6AB6">
        <w:rPr>
          <w:bCs/>
          <w:sz w:val="22"/>
          <w:szCs w:val="22"/>
          <w:lang w:val="sr-Latn-ME"/>
        </w:rPr>
        <w:t>okrelizumaba</w:t>
      </w:r>
      <w:proofErr w:type="spellEnd"/>
      <w:r w:rsidRPr="002A6AB6">
        <w:rPr>
          <w:bCs/>
          <w:sz w:val="22"/>
          <w:szCs w:val="22"/>
          <w:lang w:val="sr-Latn-ME"/>
        </w:rPr>
        <w:t>.</w:t>
      </w:r>
    </w:p>
    <w:p w14:paraId="7733B587" w14:textId="77777777" w:rsidR="00466B8B" w:rsidRPr="002A6AB6" w:rsidRDefault="00466B8B" w:rsidP="00587700">
      <w:pPr>
        <w:tabs>
          <w:tab w:val="left" w:pos="540"/>
          <w:tab w:val="left" w:pos="569"/>
        </w:tabs>
        <w:jc w:val="both"/>
        <w:rPr>
          <w:bCs/>
          <w:sz w:val="22"/>
          <w:szCs w:val="22"/>
          <w:lang w:val="sr-Latn-ME"/>
        </w:rPr>
      </w:pPr>
    </w:p>
    <w:p w14:paraId="15C7E6AB"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Kod PPMS, pacijenti sa poteškoćama u gutanju izloženi su većem riziku od </w:t>
      </w:r>
      <w:proofErr w:type="spellStart"/>
      <w:r w:rsidRPr="002A6AB6">
        <w:rPr>
          <w:bCs/>
          <w:sz w:val="22"/>
          <w:szCs w:val="22"/>
          <w:lang w:val="sr-Latn-ME"/>
        </w:rPr>
        <w:t>aspiracione</w:t>
      </w:r>
      <w:proofErr w:type="spellEnd"/>
      <w:r w:rsidRPr="002A6AB6">
        <w:rPr>
          <w:bCs/>
          <w:sz w:val="22"/>
          <w:szCs w:val="22"/>
          <w:lang w:val="sr-Latn-ME"/>
        </w:rPr>
        <w:t xml:space="preserve"> pneumonije. Terapija </w:t>
      </w:r>
      <w:proofErr w:type="spellStart"/>
      <w:r w:rsidRPr="002A6AB6">
        <w:rPr>
          <w:bCs/>
          <w:sz w:val="22"/>
          <w:szCs w:val="22"/>
          <w:lang w:val="sr-Latn-ME"/>
        </w:rPr>
        <w:t>okrelizumabom</w:t>
      </w:r>
      <w:proofErr w:type="spellEnd"/>
      <w:r w:rsidRPr="002A6AB6">
        <w:rPr>
          <w:bCs/>
          <w:sz w:val="22"/>
          <w:szCs w:val="22"/>
          <w:lang w:val="sr-Latn-ME"/>
        </w:rPr>
        <w:t xml:space="preserve"> može dodatno povećati rizik od teške pneumonije kod ovih pacijenata. Ljekari treba brzo da reaguju kod pacijenata koji imaju pneumoniju. </w:t>
      </w:r>
    </w:p>
    <w:p w14:paraId="30E8F3E1" w14:textId="77777777" w:rsidR="00466B8B" w:rsidRPr="002A6AB6" w:rsidRDefault="00466B8B" w:rsidP="00587700">
      <w:pPr>
        <w:tabs>
          <w:tab w:val="left" w:pos="540"/>
          <w:tab w:val="left" w:pos="569"/>
        </w:tabs>
        <w:jc w:val="both"/>
        <w:rPr>
          <w:bCs/>
          <w:sz w:val="22"/>
          <w:szCs w:val="22"/>
          <w:lang w:val="sr-Latn-ME"/>
        </w:rPr>
      </w:pPr>
    </w:p>
    <w:p w14:paraId="73E0DCB2" w14:textId="77777777" w:rsidR="00466B8B" w:rsidRPr="002A6AB6" w:rsidRDefault="00466B8B" w:rsidP="00587700">
      <w:pPr>
        <w:tabs>
          <w:tab w:val="left" w:pos="540"/>
          <w:tab w:val="left" w:pos="569"/>
        </w:tabs>
        <w:jc w:val="both"/>
        <w:rPr>
          <w:bCs/>
          <w:i/>
          <w:sz w:val="22"/>
          <w:szCs w:val="22"/>
          <w:lang w:val="sr-Latn-ME"/>
        </w:rPr>
      </w:pPr>
      <w:r w:rsidRPr="002A6AB6">
        <w:rPr>
          <w:bCs/>
          <w:i/>
          <w:iCs/>
          <w:sz w:val="22"/>
          <w:szCs w:val="22"/>
          <w:lang w:val="sr-Latn-ME"/>
        </w:rPr>
        <w:t xml:space="preserve">Progresivna </w:t>
      </w:r>
      <w:proofErr w:type="spellStart"/>
      <w:r w:rsidRPr="002A6AB6">
        <w:rPr>
          <w:bCs/>
          <w:i/>
          <w:iCs/>
          <w:sz w:val="22"/>
          <w:szCs w:val="22"/>
          <w:lang w:val="sr-Latn-ME"/>
        </w:rPr>
        <w:t>multifokalna</w:t>
      </w:r>
      <w:proofErr w:type="spellEnd"/>
      <w:r w:rsidRPr="002A6AB6">
        <w:rPr>
          <w:bCs/>
          <w:i/>
          <w:iCs/>
          <w:sz w:val="22"/>
          <w:szCs w:val="22"/>
          <w:lang w:val="sr-Latn-ME"/>
        </w:rPr>
        <w:t xml:space="preserve"> </w:t>
      </w:r>
      <w:proofErr w:type="spellStart"/>
      <w:r w:rsidRPr="002A6AB6">
        <w:rPr>
          <w:bCs/>
          <w:i/>
          <w:iCs/>
          <w:sz w:val="22"/>
          <w:szCs w:val="22"/>
          <w:lang w:val="sr-Latn-ME"/>
        </w:rPr>
        <w:t>leukoencefalopatija</w:t>
      </w:r>
      <w:proofErr w:type="spellEnd"/>
      <w:r w:rsidRPr="002A6AB6">
        <w:rPr>
          <w:bCs/>
          <w:i/>
          <w:iCs/>
          <w:sz w:val="22"/>
          <w:szCs w:val="22"/>
          <w:lang w:val="sr-Latn-ME"/>
        </w:rPr>
        <w:t xml:space="preserve"> (PML)</w:t>
      </w:r>
    </w:p>
    <w:p w14:paraId="7CD09D23"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Kod pacijenata liječenih anti-CD20 antitijelima, uključujući </w:t>
      </w:r>
      <w:proofErr w:type="spellStart"/>
      <w:r w:rsidRPr="002A6AB6">
        <w:rPr>
          <w:bCs/>
          <w:sz w:val="22"/>
          <w:szCs w:val="22"/>
          <w:lang w:val="sr-Latn-ME"/>
        </w:rPr>
        <w:t>okrelizumab</w:t>
      </w:r>
      <w:proofErr w:type="spellEnd"/>
      <w:r w:rsidRPr="002A6AB6">
        <w:rPr>
          <w:bCs/>
          <w:sz w:val="22"/>
          <w:szCs w:val="22"/>
          <w:lang w:val="sr-Latn-ME"/>
        </w:rPr>
        <w:t xml:space="preserve">, vrlo rijetko su primijećeni slučajevi PML-a uzrokovani infekcijom </w:t>
      </w:r>
      <w:proofErr w:type="spellStart"/>
      <w:r w:rsidRPr="002A6AB6">
        <w:rPr>
          <w:bCs/>
          <w:i/>
          <w:sz w:val="22"/>
          <w:szCs w:val="22"/>
          <w:lang w:val="sr-Latn-ME"/>
        </w:rPr>
        <w:t>John</w:t>
      </w:r>
      <w:proofErr w:type="spellEnd"/>
      <w:r w:rsidRPr="002A6AB6">
        <w:rPr>
          <w:bCs/>
          <w:i/>
          <w:sz w:val="22"/>
          <w:szCs w:val="22"/>
          <w:lang w:val="sr-Latn-ME"/>
        </w:rPr>
        <w:t xml:space="preserve"> </w:t>
      </w:r>
      <w:proofErr w:type="spellStart"/>
      <w:r w:rsidRPr="002A6AB6">
        <w:rPr>
          <w:bCs/>
          <w:i/>
          <w:sz w:val="22"/>
          <w:szCs w:val="22"/>
          <w:lang w:val="sr-Latn-ME"/>
        </w:rPr>
        <w:t>Cunningham</w:t>
      </w:r>
      <w:proofErr w:type="spellEnd"/>
      <w:r w:rsidRPr="002A6AB6">
        <w:rPr>
          <w:bCs/>
          <w:sz w:val="22"/>
          <w:szCs w:val="22"/>
          <w:lang w:val="sr-Latn-ME"/>
        </w:rPr>
        <w:t xml:space="preserve"> virusom (JCV) i većinom su bili povezani sa faktorima rizika (populacija pacijenata npr. oni sa </w:t>
      </w:r>
      <w:proofErr w:type="spellStart"/>
      <w:r w:rsidRPr="002A6AB6">
        <w:rPr>
          <w:bCs/>
          <w:sz w:val="22"/>
          <w:szCs w:val="22"/>
          <w:lang w:val="sr-Latn-ME"/>
        </w:rPr>
        <w:t>limfopenijom</w:t>
      </w:r>
      <w:proofErr w:type="spellEnd"/>
      <w:r w:rsidRPr="002A6AB6">
        <w:rPr>
          <w:bCs/>
          <w:sz w:val="22"/>
          <w:szCs w:val="22"/>
          <w:lang w:val="sr-Latn-ME"/>
        </w:rPr>
        <w:t xml:space="preserve">, starije životne dobi, na </w:t>
      </w:r>
      <w:proofErr w:type="spellStart"/>
      <w:r w:rsidRPr="002A6AB6">
        <w:rPr>
          <w:bCs/>
          <w:sz w:val="22"/>
          <w:szCs w:val="22"/>
          <w:lang w:val="sr-Latn-ME"/>
        </w:rPr>
        <w:t>politerapiji</w:t>
      </w:r>
      <w:proofErr w:type="spellEnd"/>
      <w:r w:rsidRPr="002A6AB6">
        <w:rPr>
          <w:bCs/>
          <w:sz w:val="22"/>
          <w:szCs w:val="22"/>
          <w:lang w:val="sr-Latn-ME"/>
        </w:rPr>
        <w:t xml:space="preserve"> </w:t>
      </w:r>
      <w:proofErr w:type="spellStart"/>
      <w:r w:rsidRPr="002A6AB6">
        <w:rPr>
          <w:bCs/>
          <w:sz w:val="22"/>
          <w:szCs w:val="22"/>
          <w:lang w:val="sr-Latn-ME"/>
        </w:rPr>
        <w:t>imunosupresivima</w:t>
      </w:r>
      <w:proofErr w:type="spellEnd"/>
      <w:r w:rsidRPr="002A6AB6">
        <w:rPr>
          <w:bCs/>
          <w:sz w:val="22"/>
          <w:szCs w:val="22"/>
          <w:lang w:val="sr-Latn-ME"/>
        </w:rPr>
        <w:t>).</w:t>
      </w:r>
    </w:p>
    <w:p w14:paraId="6A293183" w14:textId="77777777" w:rsidR="00466B8B" w:rsidRPr="002A6AB6" w:rsidRDefault="00466B8B" w:rsidP="00587700">
      <w:pPr>
        <w:tabs>
          <w:tab w:val="left" w:pos="540"/>
          <w:tab w:val="left" w:pos="569"/>
        </w:tabs>
        <w:jc w:val="both"/>
        <w:rPr>
          <w:bCs/>
          <w:sz w:val="22"/>
          <w:szCs w:val="22"/>
          <w:lang w:val="sr-Latn-ME"/>
        </w:rPr>
      </w:pPr>
    </w:p>
    <w:p w14:paraId="495D5AB6"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Ljekari treba pažljivo da provjeravaju da li postoje rani znaci i simptomi PML, koji mogu da obuhvate svaku novu pojavu ili pogoršanje neuroloških znakova ili simptoma, jer oni mogu biti slični simptomima MS.</w:t>
      </w:r>
    </w:p>
    <w:p w14:paraId="1D6DD614" w14:textId="77777777" w:rsidR="00466B8B" w:rsidRPr="002A6AB6" w:rsidRDefault="00466B8B" w:rsidP="00587700">
      <w:pPr>
        <w:tabs>
          <w:tab w:val="left" w:pos="540"/>
          <w:tab w:val="left" w:pos="569"/>
        </w:tabs>
        <w:jc w:val="both"/>
        <w:rPr>
          <w:bCs/>
          <w:sz w:val="22"/>
          <w:szCs w:val="22"/>
          <w:lang w:val="sr-Latn-ME"/>
        </w:rPr>
      </w:pPr>
    </w:p>
    <w:p w14:paraId="19BA8E91"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Ukoliko se posumnja na PML, neophodno je odložiti primjenu </w:t>
      </w:r>
      <w:proofErr w:type="spellStart"/>
      <w:r w:rsidRPr="002A6AB6">
        <w:rPr>
          <w:bCs/>
          <w:sz w:val="22"/>
          <w:szCs w:val="22"/>
          <w:lang w:val="sr-Latn-ME"/>
        </w:rPr>
        <w:t>okrelizumaba</w:t>
      </w:r>
      <w:proofErr w:type="spellEnd"/>
      <w:r w:rsidRPr="002A6AB6">
        <w:rPr>
          <w:bCs/>
          <w:sz w:val="22"/>
          <w:szCs w:val="22"/>
          <w:lang w:val="sr-Latn-ME"/>
        </w:rPr>
        <w:t xml:space="preserve">. Treba razmotriti procjenu stanja pomoću snimanja magnetnom rezonancom (MR), poželjno uz upotrebu kontrasta (u poređenju sa MR snimkom rađenim prije terapije), potvrdnim testiranjem cerebrospinalne tečnosti (CSF) na </w:t>
      </w:r>
      <w:proofErr w:type="spellStart"/>
      <w:r w:rsidRPr="002A6AB6">
        <w:rPr>
          <w:bCs/>
          <w:sz w:val="22"/>
          <w:szCs w:val="22"/>
          <w:lang w:val="sr-Latn-ME"/>
        </w:rPr>
        <w:t>dezoksiribonukleinsku</w:t>
      </w:r>
      <w:proofErr w:type="spellEnd"/>
      <w:r w:rsidRPr="002A6AB6">
        <w:rPr>
          <w:bCs/>
          <w:sz w:val="22"/>
          <w:szCs w:val="22"/>
          <w:lang w:val="sr-Latn-ME"/>
        </w:rPr>
        <w:t xml:space="preserve"> kiselinu (DNK) JCV-a i ponoviti neurološke procjene. Ukoliko bude potvrđena PML, terapija se mora trajno prekinuti.</w:t>
      </w:r>
    </w:p>
    <w:p w14:paraId="24FC073A" w14:textId="77777777" w:rsidR="00466B8B" w:rsidRPr="002A6AB6" w:rsidRDefault="00466B8B" w:rsidP="00587700">
      <w:pPr>
        <w:tabs>
          <w:tab w:val="left" w:pos="540"/>
          <w:tab w:val="left" w:pos="569"/>
        </w:tabs>
        <w:jc w:val="both"/>
        <w:rPr>
          <w:bCs/>
          <w:sz w:val="22"/>
          <w:szCs w:val="22"/>
          <w:lang w:val="sr-Latn-ME"/>
        </w:rPr>
      </w:pPr>
    </w:p>
    <w:p w14:paraId="73ADF889" w14:textId="77777777" w:rsidR="00466B8B" w:rsidRPr="002A6AB6" w:rsidRDefault="00466B8B" w:rsidP="00587700">
      <w:pPr>
        <w:tabs>
          <w:tab w:val="left" w:pos="540"/>
          <w:tab w:val="left" w:pos="569"/>
        </w:tabs>
        <w:jc w:val="both"/>
        <w:rPr>
          <w:bCs/>
          <w:i/>
          <w:sz w:val="22"/>
          <w:szCs w:val="22"/>
          <w:lang w:val="sr-Latn-ME"/>
        </w:rPr>
      </w:pPr>
      <w:proofErr w:type="spellStart"/>
      <w:r w:rsidRPr="002A6AB6">
        <w:rPr>
          <w:bCs/>
          <w:i/>
          <w:iCs/>
          <w:sz w:val="22"/>
          <w:szCs w:val="22"/>
          <w:lang w:val="sr-Latn-ME"/>
        </w:rPr>
        <w:t>Reaktivacija</w:t>
      </w:r>
      <w:proofErr w:type="spellEnd"/>
      <w:r w:rsidRPr="002A6AB6">
        <w:rPr>
          <w:bCs/>
          <w:i/>
          <w:iCs/>
          <w:sz w:val="22"/>
          <w:szCs w:val="22"/>
          <w:lang w:val="sr-Latn-ME"/>
        </w:rPr>
        <w:t xml:space="preserve"> hepatitisa B</w:t>
      </w:r>
    </w:p>
    <w:p w14:paraId="39B5A0D3"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Kod pacijenata liječenih anti-CD20 antitijelima zabilježena je </w:t>
      </w:r>
      <w:proofErr w:type="spellStart"/>
      <w:r w:rsidRPr="002A6AB6">
        <w:rPr>
          <w:bCs/>
          <w:sz w:val="22"/>
          <w:szCs w:val="22"/>
          <w:lang w:val="sr-Latn-ME"/>
        </w:rPr>
        <w:t>reaktivacija</w:t>
      </w:r>
      <w:proofErr w:type="spellEnd"/>
      <w:r w:rsidRPr="002A6AB6">
        <w:rPr>
          <w:bCs/>
          <w:sz w:val="22"/>
          <w:szCs w:val="22"/>
          <w:lang w:val="sr-Latn-ME"/>
        </w:rPr>
        <w:t xml:space="preserve"> virusa hepatitisa B (HBV), koja je u nekim slučajevima dovela do </w:t>
      </w:r>
      <w:proofErr w:type="spellStart"/>
      <w:r w:rsidRPr="002A6AB6">
        <w:rPr>
          <w:bCs/>
          <w:sz w:val="22"/>
          <w:szCs w:val="22"/>
          <w:lang w:val="sr-Latn-ME"/>
        </w:rPr>
        <w:t>fulminantnog</w:t>
      </w:r>
      <w:proofErr w:type="spellEnd"/>
      <w:r w:rsidRPr="002A6AB6">
        <w:rPr>
          <w:bCs/>
          <w:sz w:val="22"/>
          <w:szCs w:val="22"/>
          <w:lang w:val="sr-Latn-ME"/>
        </w:rPr>
        <w:t xml:space="preserve"> hepatitisa, </w:t>
      </w:r>
      <w:proofErr w:type="spellStart"/>
      <w:r w:rsidRPr="002A6AB6">
        <w:rPr>
          <w:bCs/>
          <w:sz w:val="22"/>
          <w:szCs w:val="22"/>
          <w:lang w:val="sr-Latn-ME"/>
        </w:rPr>
        <w:t>insuficijencije</w:t>
      </w:r>
      <w:proofErr w:type="spellEnd"/>
      <w:r w:rsidRPr="002A6AB6">
        <w:rPr>
          <w:bCs/>
          <w:sz w:val="22"/>
          <w:szCs w:val="22"/>
          <w:lang w:val="sr-Latn-ME"/>
        </w:rPr>
        <w:t xml:space="preserve"> jetre i smrti.  </w:t>
      </w:r>
    </w:p>
    <w:p w14:paraId="07E7A17D" w14:textId="77777777" w:rsidR="00466B8B" w:rsidRPr="002A6AB6" w:rsidRDefault="00466B8B" w:rsidP="00587700">
      <w:pPr>
        <w:tabs>
          <w:tab w:val="left" w:pos="540"/>
          <w:tab w:val="left" w:pos="569"/>
        </w:tabs>
        <w:jc w:val="both"/>
        <w:rPr>
          <w:bCs/>
          <w:sz w:val="22"/>
          <w:szCs w:val="22"/>
          <w:lang w:val="sr-Latn-ME"/>
        </w:rPr>
      </w:pPr>
    </w:p>
    <w:p w14:paraId="5C2ADBED" w14:textId="77777777" w:rsidR="00466B8B" w:rsidRPr="002A6AB6" w:rsidRDefault="00466B8B" w:rsidP="00587700">
      <w:pPr>
        <w:tabs>
          <w:tab w:val="left" w:pos="540"/>
          <w:tab w:val="left" w:pos="569"/>
        </w:tabs>
        <w:jc w:val="both"/>
        <w:rPr>
          <w:bCs/>
          <w:sz w:val="22"/>
          <w:szCs w:val="22"/>
          <w:lang w:val="sr-Latn-ME"/>
        </w:rPr>
      </w:pPr>
      <w:proofErr w:type="spellStart"/>
      <w:r w:rsidRPr="002A6AB6">
        <w:rPr>
          <w:bCs/>
          <w:sz w:val="22"/>
          <w:szCs w:val="22"/>
          <w:lang w:val="sr-Latn-ME"/>
        </w:rPr>
        <w:lastRenderedPageBreak/>
        <w:t>Skrining</w:t>
      </w:r>
      <w:proofErr w:type="spellEnd"/>
      <w:r w:rsidRPr="002A6AB6">
        <w:rPr>
          <w:bCs/>
          <w:sz w:val="22"/>
          <w:szCs w:val="22"/>
          <w:lang w:val="sr-Latn-ME"/>
        </w:rPr>
        <w:t xml:space="preserve"> na HBV treba obaviti kod svih pacijenata prije početka terapije, prema lokalnim smjernicama. Pacijente sa aktivnim HBV (tj. aktivnom infekcijom potvrđenom pozitivnim rezultatima za </w:t>
      </w:r>
      <w:proofErr w:type="spellStart"/>
      <w:r w:rsidRPr="002A6AB6">
        <w:rPr>
          <w:bCs/>
          <w:sz w:val="22"/>
          <w:szCs w:val="22"/>
          <w:lang w:val="sr-Latn-ME"/>
        </w:rPr>
        <w:t>HBsAg</w:t>
      </w:r>
      <w:proofErr w:type="spellEnd"/>
      <w:r w:rsidRPr="002A6AB6">
        <w:rPr>
          <w:bCs/>
          <w:sz w:val="22"/>
          <w:szCs w:val="22"/>
          <w:lang w:val="sr-Latn-ME"/>
        </w:rPr>
        <w:t xml:space="preserve"> i anti HB testiranje) ne treba liječiti </w:t>
      </w:r>
      <w:proofErr w:type="spellStart"/>
      <w:r w:rsidRPr="002A6AB6">
        <w:rPr>
          <w:bCs/>
          <w:sz w:val="22"/>
          <w:szCs w:val="22"/>
          <w:lang w:val="sr-Latn-ME"/>
        </w:rPr>
        <w:t>okrelizumabom</w:t>
      </w:r>
      <w:proofErr w:type="spellEnd"/>
      <w:r w:rsidRPr="002A6AB6">
        <w:rPr>
          <w:bCs/>
          <w:sz w:val="22"/>
          <w:szCs w:val="22"/>
          <w:lang w:val="sr-Latn-ME"/>
        </w:rPr>
        <w:t xml:space="preserve"> (vidjeti </w:t>
      </w:r>
      <w:r w:rsidR="00ED0D01" w:rsidRPr="002A6AB6">
        <w:rPr>
          <w:bCs/>
          <w:sz w:val="22"/>
          <w:szCs w:val="22"/>
          <w:lang w:val="sr-Latn-ME"/>
        </w:rPr>
        <w:t xml:space="preserve">dio </w:t>
      </w:r>
      <w:r w:rsidRPr="002A6AB6">
        <w:rPr>
          <w:bCs/>
          <w:sz w:val="22"/>
          <w:szCs w:val="22"/>
          <w:lang w:val="sr-Latn-ME"/>
        </w:rPr>
        <w:t xml:space="preserve">4.3). Pacijenti sa pozitivnom serologijom (tj. negativni na </w:t>
      </w:r>
      <w:proofErr w:type="spellStart"/>
      <w:r w:rsidRPr="002A6AB6">
        <w:rPr>
          <w:bCs/>
          <w:sz w:val="22"/>
          <w:szCs w:val="22"/>
          <w:lang w:val="sr-Latn-ME"/>
        </w:rPr>
        <w:t>HBsAg</w:t>
      </w:r>
      <w:proofErr w:type="spellEnd"/>
      <w:r w:rsidRPr="002A6AB6">
        <w:rPr>
          <w:bCs/>
          <w:sz w:val="22"/>
          <w:szCs w:val="22"/>
          <w:lang w:val="sr-Latn-ME"/>
        </w:rPr>
        <w:t xml:space="preserve"> i pozitivni na HB „</w:t>
      </w:r>
      <w:proofErr w:type="spellStart"/>
      <w:r w:rsidRPr="002A6AB6">
        <w:rPr>
          <w:bCs/>
          <w:sz w:val="22"/>
          <w:szCs w:val="22"/>
          <w:lang w:val="sr-Latn-ME"/>
        </w:rPr>
        <w:t>core</w:t>
      </w:r>
      <w:proofErr w:type="spellEnd"/>
      <w:r w:rsidRPr="002A6AB6">
        <w:rPr>
          <w:bCs/>
          <w:sz w:val="22"/>
          <w:szCs w:val="22"/>
          <w:lang w:val="sr-Latn-ME"/>
        </w:rPr>
        <w:t>” antitijelo (</w:t>
      </w:r>
      <w:proofErr w:type="spellStart"/>
      <w:r w:rsidRPr="002A6AB6">
        <w:rPr>
          <w:bCs/>
          <w:sz w:val="22"/>
          <w:szCs w:val="22"/>
          <w:lang w:val="sr-Latn-ME"/>
        </w:rPr>
        <w:t>HBcAb</w:t>
      </w:r>
      <w:proofErr w:type="spellEnd"/>
      <w:r w:rsidRPr="002A6AB6">
        <w:rPr>
          <w:bCs/>
          <w:sz w:val="22"/>
          <w:szCs w:val="22"/>
          <w:lang w:val="sr-Latn-ME"/>
        </w:rPr>
        <w:t xml:space="preserve"> +); nosioci HBV (pozitivni na površinski </w:t>
      </w:r>
      <w:proofErr w:type="spellStart"/>
      <w:r w:rsidRPr="002A6AB6">
        <w:rPr>
          <w:bCs/>
          <w:sz w:val="22"/>
          <w:szCs w:val="22"/>
          <w:lang w:val="sr-Latn-ME"/>
        </w:rPr>
        <w:t>antigen</w:t>
      </w:r>
      <w:proofErr w:type="spellEnd"/>
      <w:r w:rsidRPr="002A6AB6">
        <w:rPr>
          <w:bCs/>
          <w:sz w:val="22"/>
          <w:szCs w:val="22"/>
          <w:lang w:val="sr-Latn-ME"/>
        </w:rPr>
        <w:t xml:space="preserve">, </w:t>
      </w:r>
      <w:proofErr w:type="spellStart"/>
      <w:r w:rsidRPr="002A6AB6">
        <w:rPr>
          <w:bCs/>
          <w:sz w:val="22"/>
          <w:szCs w:val="22"/>
          <w:lang w:val="sr-Latn-ME"/>
        </w:rPr>
        <w:t>HBsAg</w:t>
      </w:r>
      <w:proofErr w:type="spellEnd"/>
      <w:r w:rsidRPr="002A6AB6">
        <w:rPr>
          <w:bCs/>
          <w:sz w:val="22"/>
          <w:szCs w:val="22"/>
          <w:lang w:val="sr-Latn-ME"/>
        </w:rPr>
        <w:t>+) treba da se obrate specijalistima za liječenje bolesti jetre prije početka terapije, a njihovo stanje treba pratiti i liječiti u skladu sa lokalnim medicinskim standardima radi spr</w:t>
      </w:r>
      <w:r w:rsidR="00587700" w:rsidRPr="002A6AB6">
        <w:rPr>
          <w:bCs/>
          <w:sz w:val="22"/>
          <w:szCs w:val="22"/>
          <w:lang w:val="sr-Latn-ME"/>
        </w:rPr>
        <w:t>j</w:t>
      </w:r>
      <w:r w:rsidRPr="002A6AB6">
        <w:rPr>
          <w:bCs/>
          <w:sz w:val="22"/>
          <w:szCs w:val="22"/>
          <w:lang w:val="sr-Latn-ME"/>
        </w:rPr>
        <w:t xml:space="preserve">ečavanja </w:t>
      </w:r>
      <w:proofErr w:type="spellStart"/>
      <w:r w:rsidRPr="002A6AB6">
        <w:rPr>
          <w:bCs/>
          <w:sz w:val="22"/>
          <w:szCs w:val="22"/>
          <w:lang w:val="sr-Latn-ME"/>
        </w:rPr>
        <w:t>reaktivacije</w:t>
      </w:r>
      <w:proofErr w:type="spellEnd"/>
      <w:r w:rsidRPr="002A6AB6">
        <w:rPr>
          <w:bCs/>
          <w:sz w:val="22"/>
          <w:szCs w:val="22"/>
          <w:lang w:val="sr-Latn-ME"/>
        </w:rPr>
        <w:t xml:space="preserve"> hepatitisa B.</w:t>
      </w:r>
    </w:p>
    <w:p w14:paraId="7343F0AE" w14:textId="77777777" w:rsidR="00466B8B" w:rsidRPr="002A6AB6" w:rsidRDefault="00466B8B" w:rsidP="00587700">
      <w:pPr>
        <w:tabs>
          <w:tab w:val="left" w:pos="540"/>
          <w:tab w:val="left" w:pos="569"/>
        </w:tabs>
        <w:jc w:val="both"/>
        <w:rPr>
          <w:bCs/>
          <w:sz w:val="22"/>
          <w:szCs w:val="22"/>
          <w:lang w:val="sr-Latn-ME"/>
        </w:rPr>
      </w:pPr>
    </w:p>
    <w:p w14:paraId="10753E65" w14:textId="77777777" w:rsidR="00466B8B" w:rsidRPr="002A6AB6" w:rsidRDefault="00466B8B" w:rsidP="00587700">
      <w:pPr>
        <w:tabs>
          <w:tab w:val="left" w:pos="540"/>
          <w:tab w:val="left" w:pos="569"/>
        </w:tabs>
        <w:jc w:val="both"/>
        <w:rPr>
          <w:bCs/>
          <w:i/>
          <w:sz w:val="22"/>
          <w:szCs w:val="22"/>
          <w:lang w:val="sr-Latn-ME"/>
        </w:rPr>
      </w:pPr>
      <w:r w:rsidRPr="002A6AB6">
        <w:rPr>
          <w:bCs/>
          <w:i/>
          <w:iCs/>
          <w:sz w:val="22"/>
          <w:szCs w:val="22"/>
          <w:lang w:val="sr-Latn-ME"/>
        </w:rPr>
        <w:t xml:space="preserve">Kasna </w:t>
      </w:r>
      <w:proofErr w:type="spellStart"/>
      <w:r w:rsidRPr="002A6AB6">
        <w:rPr>
          <w:bCs/>
          <w:i/>
          <w:iCs/>
          <w:sz w:val="22"/>
          <w:szCs w:val="22"/>
          <w:lang w:val="sr-Latn-ME"/>
        </w:rPr>
        <w:t>neutropenija</w:t>
      </w:r>
      <w:proofErr w:type="spellEnd"/>
    </w:p>
    <w:p w14:paraId="5654066D"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Prijavljeni su slučajevi kasne pojave </w:t>
      </w:r>
      <w:proofErr w:type="spellStart"/>
      <w:r w:rsidRPr="002A6AB6">
        <w:rPr>
          <w:bCs/>
          <w:sz w:val="22"/>
          <w:szCs w:val="22"/>
          <w:lang w:val="sr-Latn-ME"/>
        </w:rPr>
        <w:t>neutropenije</w:t>
      </w:r>
      <w:proofErr w:type="spellEnd"/>
      <w:r w:rsidRPr="002A6AB6">
        <w:rPr>
          <w:bCs/>
          <w:sz w:val="22"/>
          <w:szCs w:val="22"/>
          <w:lang w:val="sr-Latn-ME"/>
        </w:rPr>
        <w:t>, najmanje 4 nedjelje nakon posl</w:t>
      </w:r>
      <w:r w:rsidR="00587700" w:rsidRPr="002A6AB6">
        <w:rPr>
          <w:bCs/>
          <w:sz w:val="22"/>
          <w:szCs w:val="22"/>
          <w:lang w:val="sr-Latn-ME"/>
        </w:rPr>
        <w:t>j</w:t>
      </w:r>
      <w:r w:rsidRPr="002A6AB6">
        <w:rPr>
          <w:bCs/>
          <w:sz w:val="22"/>
          <w:szCs w:val="22"/>
          <w:lang w:val="sr-Latn-ME"/>
        </w:rPr>
        <w:t xml:space="preserve">ednje </w:t>
      </w:r>
      <w:proofErr w:type="spellStart"/>
      <w:r w:rsidRPr="002A6AB6">
        <w:rPr>
          <w:bCs/>
          <w:sz w:val="22"/>
          <w:szCs w:val="22"/>
          <w:lang w:val="sr-Latn-ME"/>
        </w:rPr>
        <w:t>intravenske</w:t>
      </w:r>
      <w:proofErr w:type="spellEnd"/>
      <w:r w:rsidRPr="002A6AB6">
        <w:rPr>
          <w:bCs/>
          <w:sz w:val="22"/>
          <w:szCs w:val="22"/>
          <w:lang w:val="sr-Latn-ME"/>
        </w:rPr>
        <w:t xml:space="preserve"> infuzije </w:t>
      </w:r>
      <w:proofErr w:type="spellStart"/>
      <w:r w:rsidRPr="002A6AB6">
        <w:rPr>
          <w:bCs/>
          <w:sz w:val="22"/>
          <w:szCs w:val="22"/>
          <w:lang w:val="sr-Latn-ME"/>
        </w:rPr>
        <w:t>okrelizumaba</w:t>
      </w:r>
      <w:proofErr w:type="spellEnd"/>
      <w:r w:rsidRPr="002A6AB6">
        <w:rPr>
          <w:bCs/>
          <w:sz w:val="22"/>
          <w:szCs w:val="22"/>
          <w:lang w:val="sr-Latn-ME"/>
        </w:rPr>
        <w:t xml:space="preserve"> (vidjeti </w:t>
      </w:r>
      <w:r w:rsidR="00ED0D01" w:rsidRPr="002A6AB6">
        <w:rPr>
          <w:bCs/>
          <w:sz w:val="22"/>
          <w:szCs w:val="22"/>
          <w:lang w:val="sr-Latn-ME"/>
        </w:rPr>
        <w:t xml:space="preserve">dio </w:t>
      </w:r>
      <w:r w:rsidRPr="002A6AB6">
        <w:rPr>
          <w:bCs/>
          <w:sz w:val="22"/>
          <w:szCs w:val="22"/>
          <w:lang w:val="sr-Latn-ME"/>
        </w:rPr>
        <w:t xml:space="preserve">4.8). Iako su neki slučajevi bili gradusa 3 ili 4, većina je bila gradusa 1 ili 2. Preporučuje se određivanje broja </w:t>
      </w:r>
      <w:proofErr w:type="spellStart"/>
      <w:r w:rsidRPr="002A6AB6">
        <w:rPr>
          <w:bCs/>
          <w:sz w:val="22"/>
          <w:szCs w:val="22"/>
          <w:lang w:val="sr-Latn-ME"/>
        </w:rPr>
        <w:t>neutrofila</w:t>
      </w:r>
      <w:proofErr w:type="spellEnd"/>
      <w:r w:rsidRPr="002A6AB6">
        <w:rPr>
          <w:bCs/>
          <w:sz w:val="22"/>
          <w:szCs w:val="22"/>
          <w:lang w:val="sr-Latn-ME"/>
        </w:rPr>
        <w:t xml:space="preserve"> u krvi pacijenata koji pokazuju znake i simptome infekcije.</w:t>
      </w:r>
    </w:p>
    <w:p w14:paraId="70875F3B" w14:textId="77777777" w:rsidR="00466B8B" w:rsidRPr="002A6AB6" w:rsidRDefault="00466B8B" w:rsidP="00587700">
      <w:pPr>
        <w:tabs>
          <w:tab w:val="left" w:pos="540"/>
          <w:tab w:val="left" w:pos="569"/>
        </w:tabs>
        <w:jc w:val="both"/>
        <w:rPr>
          <w:bCs/>
          <w:sz w:val="22"/>
          <w:szCs w:val="22"/>
          <w:lang w:val="sr-Latn-ME"/>
        </w:rPr>
      </w:pPr>
    </w:p>
    <w:p w14:paraId="145D6042" w14:textId="77777777" w:rsidR="00466B8B" w:rsidRPr="002A6AB6" w:rsidRDefault="00466B8B" w:rsidP="00587700">
      <w:pPr>
        <w:tabs>
          <w:tab w:val="left" w:pos="540"/>
          <w:tab w:val="left" w:pos="569"/>
        </w:tabs>
        <w:jc w:val="both"/>
        <w:rPr>
          <w:bCs/>
          <w:sz w:val="22"/>
          <w:szCs w:val="22"/>
          <w:u w:val="single"/>
          <w:lang w:val="sr-Latn-ME"/>
        </w:rPr>
      </w:pPr>
      <w:proofErr w:type="spellStart"/>
      <w:r w:rsidRPr="002A6AB6">
        <w:rPr>
          <w:bCs/>
          <w:sz w:val="22"/>
          <w:szCs w:val="22"/>
          <w:u w:val="single"/>
          <w:lang w:val="sr-Latn-ME"/>
        </w:rPr>
        <w:t>Maligniteti</w:t>
      </w:r>
      <w:proofErr w:type="spellEnd"/>
    </w:p>
    <w:p w14:paraId="5C4ED365"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U kontrolisanom periodu </w:t>
      </w:r>
      <w:proofErr w:type="spellStart"/>
      <w:r w:rsidRPr="002A6AB6">
        <w:rPr>
          <w:bCs/>
          <w:sz w:val="22"/>
          <w:szCs w:val="22"/>
          <w:lang w:val="sr-Latn-ME"/>
        </w:rPr>
        <w:t>pivotalnih</w:t>
      </w:r>
      <w:proofErr w:type="spellEnd"/>
      <w:r w:rsidRPr="002A6AB6">
        <w:rPr>
          <w:bCs/>
          <w:sz w:val="22"/>
          <w:szCs w:val="22"/>
          <w:lang w:val="sr-Latn-ME"/>
        </w:rPr>
        <w:t xml:space="preserve"> kliničkih ispitivanja kod pacijenata liječenih </w:t>
      </w:r>
      <w:proofErr w:type="spellStart"/>
      <w:r w:rsidRPr="002A6AB6">
        <w:rPr>
          <w:bCs/>
          <w:sz w:val="22"/>
          <w:szCs w:val="22"/>
          <w:lang w:val="sr-Latn-ME"/>
        </w:rPr>
        <w:t>intravenskim</w:t>
      </w:r>
      <w:proofErr w:type="spellEnd"/>
      <w:r w:rsidRPr="002A6AB6">
        <w:rPr>
          <w:bCs/>
          <w:sz w:val="22"/>
          <w:szCs w:val="22"/>
          <w:lang w:val="sr-Latn-ME"/>
        </w:rPr>
        <w:t xml:space="preserve"> </w:t>
      </w:r>
      <w:proofErr w:type="spellStart"/>
      <w:r w:rsidRPr="002A6AB6">
        <w:rPr>
          <w:bCs/>
          <w:sz w:val="22"/>
          <w:szCs w:val="22"/>
          <w:lang w:val="sr-Latn-ME"/>
        </w:rPr>
        <w:t>okrelizumabom</w:t>
      </w:r>
      <w:proofErr w:type="spellEnd"/>
      <w:r w:rsidRPr="002A6AB6">
        <w:rPr>
          <w:bCs/>
          <w:sz w:val="22"/>
          <w:szCs w:val="22"/>
          <w:lang w:val="sr-Latn-ME"/>
        </w:rPr>
        <w:t xml:space="preserve">, u poređenju sa kontrolnom grupom, zabilježen je povećan broj </w:t>
      </w:r>
      <w:proofErr w:type="spellStart"/>
      <w:r w:rsidRPr="002A6AB6">
        <w:rPr>
          <w:bCs/>
          <w:sz w:val="22"/>
          <w:szCs w:val="22"/>
          <w:lang w:val="sr-Latn-ME"/>
        </w:rPr>
        <w:t>maligniteta</w:t>
      </w:r>
      <w:proofErr w:type="spellEnd"/>
      <w:r w:rsidRPr="002A6AB6">
        <w:rPr>
          <w:bCs/>
          <w:sz w:val="22"/>
          <w:szCs w:val="22"/>
          <w:lang w:val="sr-Latn-ME"/>
        </w:rPr>
        <w:t xml:space="preserve"> (uključujući i </w:t>
      </w:r>
      <w:proofErr w:type="spellStart"/>
      <w:r w:rsidRPr="002A6AB6">
        <w:rPr>
          <w:bCs/>
          <w:sz w:val="22"/>
          <w:szCs w:val="22"/>
          <w:lang w:val="sr-Latn-ME"/>
        </w:rPr>
        <w:t>karcinom</w:t>
      </w:r>
      <w:proofErr w:type="spellEnd"/>
      <w:r w:rsidRPr="002A6AB6">
        <w:rPr>
          <w:bCs/>
          <w:sz w:val="22"/>
          <w:szCs w:val="22"/>
          <w:lang w:val="sr-Latn-ME"/>
        </w:rPr>
        <w:t xml:space="preserve"> dojke). Njihova </w:t>
      </w:r>
      <w:proofErr w:type="spellStart"/>
      <w:r w:rsidRPr="002A6AB6">
        <w:rPr>
          <w:bCs/>
          <w:sz w:val="22"/>
          <w:szCs w:val="22"/>
          <w:lang w:val="sr-Latn-ME"/>
        </w:rPr>
        <w:t>incidenca</w:t>
      </w:r>
      <w:proofErr w:type="spellEnd"/>
      <w:r w:rsidRPr="002A6AB6">
        <w:rPr>
          <w:bCs/>
          <w:sz w:val="22"/>
          <w:szCs w:val="22"/>
          <w:lang w:val="sr-Latn-ME"/>
        </w:rPr>
        <w:t xml:space="preserve"> je bila u okviru stope koja se očekuje za populaciju sa MS. Nakon približno 10 godina kontinuirane terapije </w:t>
      </w:r>
      <w:proofErr w:type="spellStart"/>
      <w:r w:rsidRPr="002A6AB6">
        <w:rPr>
          <w:bCs/>
          <w:sz w:val="22"/>
          <w:szCs w:val="22"/>
          <w:lang w:val="sr-Latn-ME"/>
        </w:rPr>
        <w:t>okrelizumabom</w:t>
      </w:r>
      <w:proofErr w:type="spellEnd"/>
      <w:r w:rsidRPr="002A6AB6">
        <w:rPr>
          <w:bCs/>
          <w:sz w:val="22"/>
          <w:szCs w:val="22"/>
          <w:lang w:val="sr-Latn-ME"/>
        </w:rPr>
        <w:t xml:space="preserve"> u kontrolisanom periodu i fazi otvorenog produžetka (OLE) u </w:t>
      </w:r>
      <w:proofErr w:type="spellStart"/>
      <w:r w:rsidRPr="002A6AB6">
        <w:rPr>
          <w:bCs/>
          <w:sz w:val="22"/>
          <w:szCs w:val="22"/>
          <w:lang w:val="sr-Latn-ME"/>
        </w:rPr>
        <w:t>pivotalnim</w:t>
      </w:r>
      <w:proofErr w:type="spellEnd"/>
      <w:r w:rsidRPr="002A6AB6">
        <w:rPr>
          <w:bCs/>
          <w:sz w:val="22"/>
          <w:szCs w:val="22"/>
          <w:lang w:val="sr-Latn-ME"/>
        </w:rPr>
        <w:t xml:space="preserve"> kliničkim ispitivanjima, </w:t>
      </w:r>
      <w:proofErr w:type="spellStart"/>
      <w:r w:rsidRPr="002A6AB6">
        <w:rPr>
          <w:bCs/>
          <w:sz w:val="22"/>
          <w:szCs w:val="22"/>
          <w:lang w:val="sr-Latn-ME"/>
        </w:rPr>
        <w:t>incidenca</w:t>
      </w:r>
      <w:proofErr w:type="spellEnd"/>
      <w:r w:rsidRPr="002A6AB6">
        <w:rPr>
          <w:bCs/>
          <w:sz w:val="22"/>
          <w:szCs w:val="22"/>
          <w:lang w:val="sr-Latn-ME"/>
        </w:rPr>
        <w:t xml:space="preserve"> </w:t>
      </w:r>
      <w:proofErr w:type="spellStart"/>
      <w:r w:rsidRPr="002A6AB6">
        <w:rPr>
          <w:bCs/>
          <w:sz w:val="22"/>
          <w:szCs w:val="22"/>
          <w:lang w:val="sr-Latn-ME"/>
        </w:rPr>
        <w:t>maligniteta</w:t>
      </w:r>
      <w:proofErr w:type="spellEnd"/>
      <w:r w:rsidRPr="002A6AB6">
        <w:rPr>
          <w:bCs/>
          <w:sz w:val="22"/>
          <w:szCs w:val="22"/>
          <w:lang w:val="sr-Latn-ME"/>
        </w:rPr>
        <w:t xml:space="preserve"> je ostala u okviru stope koja se očekuje za populaciju sa MS. Pacijente sa utvrđenim aktivnim </w:t>
      </w:r>
      <w:proofErr w:type="spellStart"/>
      <w:r w:rsidRPr="002A6AB6">
        <w:rPr>
          <w:bCs/>
          <w:sz w:val="22"/>
          <w:szCs w:val="22"/>
          <w:lang w:val="sr-Latn-ME"/>
        </w:rPr>
        <w:t>malignitetom</w:t>
      </w:r>
      <w:proofErr w:type="spellEnd"/>
      <w:r w:rsidRPr="002A6AB6">
        <w:rPr>
          <w:bCs/>
          <w:sz w:val="22"/>
          <w:szCs w:val="22"/>
          <w:lang w:val="sr-Latn-ME"/>
        </w:rPr>
        <w:t xml:space="preserve"> ne treba liječiti </w:t>
      </w:r>
      <w:proofErr w:type="spellStart"/>
      <w:r w:rsidRPr="002A6AB6">
        <w:rPr>
          <w:bCs/>
          <w:sz w:val="22"/>
          <w:szCs w:val="22"/>
          <w:lang w:val="sr-Latn-ME"/>
        </w:rPr>
        <w:t>okrelizumabom</w:t>
      </w:r>
      <w:proofErr w:type="spellEnd"/>
      <w:r w:rsidRPr="002A6AB6">
        <w:rPr>
          <w:bCs/>
          <w:sz w:val="22"/>
          <w:szCs w:val="22"/>
          <w:lang w:val="sr-Latn-ME"/>
        </w:rPr>
        <w:t xml:space="preserve"> (vidjeti </w:t>
      </w:r>
      <w:r w:rsidR="00ED0D01" w:rsidRPr="002A6AB6">
        <w:rPr>
          <w:bCs/>
          <w:sz w:val="22"/>
          <w:szCs w:val="22"/>
          <w:lang w:val="sr-Latn-ME"/>
        </w:rPr>
        <w:t xml:space="preserve">dio </w:t>
      </w:r>
      <w:r w:rsidRPr="002A6AB6">
        <w:rPr>
          <w:bCs/>
          <w:sz w:val="22"/>
          <w:szCs w:val="22"/>
          <w:lang w:val="sr-Latn-ME"/>
        </w:rPr>
        <w:t xml:space="preserve">4.3). Individualni rizik koristi treba uzeti u obzir kod pacijenata sa poznatim faktorima rizika za </w:t>
      </w:r>
      <w:proofErr w:type="spellStart"/>
      <w:r w:rsidRPr="002A6AB6">
        <w:rPr>
          <w:bCs/>
          <w:sz w:val="22"/>
          <w:szCs w:val="22"/>
          <w:lang w:val="sr-Latn-ME"/>
        </w:rPr>
        <w:t>malignitete</w:t>
      </w:r>
      <w:proofErr w:type="spellEnd"/>
      <w:r w:rsidRPr="002A6AB6">
        <w:rPr>
          <w:bCs/>
          <w:sz w:val="22"/>
          <w:szCs w:val="22"/>
          <w:lang w:val="sr-Latn-ME"/>
        </w:rPr>
        <w:t xml:space="preserve"> i kod pacijenata koji se aktivno prate radi recidiva </w:t>
      </w:r>
      <w:proofErr w:type="spellStart"/>
      <w:r w:rsidRPr="002A6AB6">
        <w:rPr>
          <w:bCs/>
          <w:sz w:val="22"/>
          <w:szCs w:val="22"/>
          <w:lang w:val="sr-Latn-ME"/>
        </w:rPr>
        <w:t>maligniteta</w:t>
      </w:r>
      <w:proofErr w:type="spellEnd"/>
      <w:r w:rsidRPr="002A6AB6">
        <w:rPr>
          <w:bCs/>
          <w:sz w:val="22"/>
          <w:szCs w:val="22"/>
          <w:lang w:val="sr-Latn-ME"/>
        </w:rPr>
        <w:t xml:space="preserve">. Pacijente treba uputiti na standardni </w:t>
      </w:r>
      <w:proofErr w:type="spellStart"/>
      <w:r w:rsidRPr="002A6AB6">
        <w:rPr>
          <w:bCs/>
          <w:sz w:val="22"/>
          <w:szCs w:val="22"/>
          <w:lang w:val="sr-Latn-ME"/>
        </w:rPr>
        <w:t>skrining</w:t>
      </w:r>
      <w:proofErr w:type="spellEnd"/>
      <w:r w:rsidRPr="002A6AB6">
        <w:rPr>
          <w:bCs/>
          <w:sz w:val="22"/>
          <w:szCs w:val="22"/>
          <w:lang w:val="sr-Latn-ME"/>
        </w:rPr>
        <w:t xml:space="preserve"> za </w:t>
      </w:r>
      <w:proofErr w:type="spellStart"/>
      <w:r w:rsidRPr="002A6AB6">
        <w:rPr>
          <w:bCs/>
          <w:sz w:val="22"/>
          <w:szCs w:val="22"/>
          <w:lang w:val="sr-Latn-ME"/>
        </w:rPr>
        <w:t>karcinom</w:t>
      </w:r>
      <w:proofErr w:type="spellEnd"/>
      <w:r w:rsidRPr="002A6AB6">
        <w:rPr>
          <w:bCs/>
          <w:sz w:val="22"/>
          <w:szCs w:val="22"/>
          <w:lang w:val="sr-Latn-ME"/>
        </w:rPr>
        <w:t xml:space="preserve"> dojke u skladu sa lokalnim smjernicama. </w:t>
      </w:r>
    </w:p>
    <w:p w14:paraId="5710ABC5" w14:textId="77777777" w:rsidR="00466B8B" w:rsidRPr="002A6AB6" w:rsidRDefault="00466B8B" w:rsidP="00587700">
      <w:pPr>
        <w:tabs>
          <w:tab w:val="left" w:pos="540"/>
          <w:tab w:val="left" w:pos="569"/>
        </w:tabs>
        <w:jc w:val="both"/>
        <w:rPr>
          <w:bCs/>
          <w:sz w:val="22"/>
          <w:szCs w:val="22"/>
          <w:u w:val="single"/>
          <w:lang w:val="sr-Latn-ME"/>
        </w:rPr>
      </w:pPr>
    </w:p>
    <w:p w14:paraId="359A9BDA" w14:textId="77777777" w:rsidR="00466B8B" w:rsidRPr="002A6AB6" w:rsidRDefault="00466B8B" w:rsidP="00587700">
      <w:pPr>
        <w:tabs>
          <w:tab w:val="left" w:pos="540"/>
          <w:tab w:val="left" w:pos="569"/>
        </w:tabs>
        <w:jc w:val="both"/>
        <w:rPr>
          <w:bCs/>
          <w:sz w:val="22"/>
          <w:szCs w:val="22"/>
          <w:u w:val="single"/>
          <w:lang w:val="sr-Latn-ME"/>
        </w:rPr>
      </w:pPr>
      <w:r w:rsidRPr="002A6AB6">
        <w:rPr>
          <w:bCs/>
          <w:sz w:val="22"/>
          <w:szCs w:val="22"/>
          <w:u w:val="single"/>
          <w:lang w:val="sr-Latn-ME"/>
        </w:rPr>
        <w:t xml:space="preserve">Liječenje teško </w:t>
      </w:r>
      <w:proofErr w:type="spellStart"/>
      <w:r w:rsidRPr="002A6AB6">
        <w:rPr>
          <w:bCs/>
          <w:sz w:val="22"/>
          <w:szCs w:val="22"/>
          <w:u w:val="single"/>
          <w:lang w:val="sr-Latn-ME"/>
        </w:rPr>
        <w:t>imunokompromitovanih</w:t>
      </w:r>
      <w:proofErr w:type="spellEnd"/>
      <w:r w:rsidRPr="002A6AB6">
        <w:rPr>
          <w:bCs/>
          <w:sz w:val="22"/>
          <w:szCs w:val="22"/>
          <w:u w:val="single"/>
          <w:lang w:val="sr-Latn-ME"/>
        </w:rPr>
        <w:t xml:space="preserve"> pacijenata </w:t>
      </w:r>
    </w:p>
    <w:p w14:paraId="1D252390"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Pacijenti u ozbiljno </w:t>
      </w:r>
      <w:proofErr w:type="spellStart"/>
      <w:r w:rsidRPr="002A6AB6">
        <w:rPr>
          <w:bCs/>
          <w:sz w:val="22"/>
          <w:szCs w:val="22"/>
          <w:lang w:val="sr-Latn-ME"/>
        </w:rPr>
        <w:t>imunokompromitovanom</w:t>
      </w:r>
      <w:proofErr w:type="spellEnd"/>
      <w:r w:rsidRPr="002A6AB6">
        <w:rPr>
          <w:bCs/>
          <w:sz w:val="22"/>
          <w:szCs w:val="22"/>
          <w:lang w:val="sr-Latn-ME"/>
        </w:rPr>
        <w:t xml:space="preserve"> stanju ne smiju se liječiti dok se stanje ne popravi (vidjeti </w:t>
      </w:r>
      <w:r w:rsidR="00ED0D01" w:rsidRPr="002A6AB6">
        <w:rPr>
          <w:bCs/>
          <w:sz w:val="22"/>
          <w:szCs w:val="22"/>
          <w:lang w:val="sr-Latn-ME"/>
        </w:rPr>
        <w:t xml:space="preserve">dio </w:t>
      </w:r>
      <w:r w:rsidRPr="002A6AB6">
        <w:rPr>
          <w:bCs/>
          <w:sz w:val="22"/>
          <w:szCs w:val="22"/>
          <w:lang w:val="sr-Latn-ME"/>
        </w:rPr>
        <w:t>4.3).</w:t>
      </w:r>
    </w:p>
    <w:p w14:paraId="34D21352" w14:textId="77777777" w:rsidR="00466B8B" w:rsidRPr="002A6AB6" w:rsidRDefault="00466B8B" w:rsidP="00587700">
      <w:pPr>
        <w:tabs>
          <w:tab w:val="left" w:pos="540"/>
          <w:tab w:val="left" w:pos="569"/>
        </w:tabs>
        <w:jc w:val="both"/>
        <w:rPr>
          <w:bCs/>
          <w:sz w:val="22"/>
          <w:szCs w:val="22"/>
          <w:lang w:val="sr-Latn-ME"/>
        </w:rPr>
      </w:pPr>
    </w:p>
    <w:p w14:paraId="7A3BF99E" w14:textId="5A5B7F6E"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U drugim </w:t>
      </w:r>
      <w:proofErr w:type="spellStart"/>
      <w:r w:rsidRPr="002A6AB6">
        <w:rPr>
          <w:bCs/>
          <w:sz w:val="22"/>
          <w:szCs w:val="22"/>
          <w:lang w:val="sr-Latn-ME"/>
        </w:rPr>
        <w:t>autoimunim</w:t>
      </w:r>
      <w:proofErr w:type="spellEnd"/>
      <w:r w:rsidRPr="002A6AB6">
        <w:rPr>
          <w:bCs/>
          <w:sz w:val="22"/>
          <w:szCs w:val="22"/>
          <w:lang w:val="sr-Latn-ME"/>
        </w:rPr>
        <w:t xml:space="preserve"> stanjima, upotreba </w:t>
      </w:r>
      <w:proofErr w:type="spellStart"/>
      <w:r w:rsidRPr="002A6AB6">
        <w:rPr>
          <w:bCs/>
          <w:sz w:val="22"/>
          <w:szCs w:val="22"/>
          <w:lang w:val="sr-Latn-ME"/>
        </w:rPr>
        <w:t>okrelizumaba</w:t>
      </w:r>
      <w:proofErr w:type="spellEnd"/>
      <w:r w:rsidRPr="002A6AB6">
        <w:rPr>
          <w:bCs/>
          <w:sz w:val="22"/>
          <w:szCs w:val="22"/>
          <w:lang w:val="sr-Latn-ME"/>
        </w:rPr>
        <w:t xml:space="preserve"> uporedo sa </w:t>
      </w:r>
      <w:proofErr w:type="spellStart"/>
      <w:r w:rsidRPr="002A6AB6">
        <w:rPr>
          <w:bCs/>
          <w:sz w:val="22"/>
          <w:szCs w:val="22"/>
          <w:lang w:val="sr-Latn-ME"/>
        </w:rPr>
        <w:t>imunosupresivima</w:t>
      </w:r>
      <w:proofErr w:type="spellEnd"/>
      <w:r w:rsidRPr="002A6AB6">
        <w:rPr>
          <w:bCs/>
          <w:sz w:val="22"/>
          <w:szCs w:val="22"/>
          <w:lang w:val="sr-Latn-ME"/>
        </w:rPr>
        <w:t xml:space="preserve"> (npr. hroničnim </w:t>
      </w:r>
      <w:proofErr w:type="spellStart"/>
      <w:r w:rsidRPr="002A6AB6">
        <w:rPr>
          <w:bCs/>
          <w:sz w:val="22"/>
          <w:szCs w:val="22"/>
          <w:lang w:val="sr-Latn-ME"/>
        </w:rPr>
        <w:t>kortikosteroidima</w:t>
      </w:r>
      <w:proofErr w:type="spellEnd"/>
      <w:r w:rsidRPr="002A6AB6">
        <w:rPr>
          <w:bCs/>
          <w:sz w:val="22"/>
          <w:szCs w:val="22"/>
          <w:lang w:val="sr-Latn-ME"/>
        </w:rPr>
        <w:t>, ne</w:t>
      </w:r>
      <w:r w:rsidR="00587700" w:rsidRPr="002A6AB6">
        <w:rPr>
          <w:bCs/>
          <w:sz w:val="22"/>
          <w:szCs w:val="22"/>
          <w:lang w:val="sr-Latn-ME"/>
        </w:rPr>
        <w:t>-</w:t>
      </w:r>
      <w:r w:rsidRPr="002A6AB6">
        <w:rPr>
          <w:bCs/>
          <w:sz w:val="22"/>
          <w:szCs w:val="22"/>
          <w:lang w:val="sr-Latn-ME"/>
        </w:rPr>
        <w:t xml:space="preserve">biološkim i biološkim </w:t>
      </w:r>
      <w:proofErr w:type="spellStart"/>
      <w:r w:rsidRPr="002A6AB6">
        <w:rPr>
          <w:bCs/>
          <w:sz w:val="22"/>
          <w:szCs w:val="22"/>
          <w:lang w:val="sr-Latn-ME"/>
        </w:rPr>
        <w:t>antireumatskim</w:t>
      </w:r>
      <w:proofErr w:type="spellEnd"/>
      <w:r w:rsidRPr="002A6AB6">
        <w:rPr>
          <w:bCs/>
          <w:sz w:val="22"/>
          <w:szCs w:val="22"/>
          <w:lang w:val="sr-Latn-ME"/>
        </w:rPr>
        <w:t xml:space="preserve"> ljekovima koji mijenjaju tok bolesti [DMARDS], </w:t>
      </w:r>
      <w:proofErr w:type="spellStart"/>
      <w:r w:rsidRPr="002A6AB6">
        <w:rPr>
          <w:bCs/>
          <w:sz w:val="22"/>
          <w:szCs w:val="22"/>
          <w:lang w:val="sr-Latn-ME"/>
        </w:rPr>
        <w:t>mikofenolat</w:t>
      </w:r>
      <w:proofErr w:type="spellEnd"/>
      <w:r w:rsidRPr="002A6AB6">
        <w:rPr>
          <w:bCs/>
          <w:sz w:val="22"/>
          <w:szCs w:val="22"/>
          <w:lang w:val="sr-Latn-ME"/>
        </w:rPr>
        <w:t xml:space="preserve"> </w:t>
      </w:r>
      <w:proofErr w:type="spellStart"/>
      <w:r w:rsidRPr="002A6AB6">
        <w:rPr>
          <w:bCs/>
          <w:sz w:val="22"/>
          <w:szCs w:val="22"/>
          <w:lang w:val="sr-Latn-ME"/>
        </w:rPr>
        <w:t>mofetilom</w:t>
      </w:r>
      <w:proofErr w:type="spellEnd"/>
      <w:r w:rsidRPr="002A6AB6">
        <w:rPr>
          <w:bCs/>
          <w:sz w:val="22"/>
          <w:szCs w:val="22"/>
          <w:lang w:val="sr-Latn-ME"/>
        </w:rPr>
        <w:t xml:space="preserve">, </w:t>
      </w:r>
      <w:proofErr w:type="spellStart"/>
      <w:r w:rsidRPr="002A6AB6">
        <w:rPr>
          <w:bCs/>
          <w:sz w:val="22"/>
          <w:szCs w:val="22"/>
          <w:lang w:val="sr-Latn-ME"/>
        </w:rPr>
        <w:t>ciklof</w:t>
      </w:r>
      <w:r w:rsidR="00550472" w:rsidRPr="002A6AB6">
        <w:rPr>
          <w:bCs/>
          <w:sz w:val="22"/>
          <w:szCs w:val="22"/>
          <w:lang w:val="sr-Latn-ME"/>
        </w:rPr>
        <w:t>osf</w:t>
      </w:r>
      <w:r w:rsidRPr="002A6AB6">
        <w:rPr>
          <w:bCs/>
          <w:sz w:val="22"/>
          <w:szCs w:val="22"/>
          <w:lang w:val="sr-Latn-ME"/>
        </w:rPr>
        <w:t>amidom</w:t>
      </w:r>
      <w:proofErr w:type="spellEnd"/>
      <w:r w:rsidRPr="002A6AB6">
        <w:rPr>
          <w:bCs/>
          <w:sz w:val="22"/>
          <w:szCs w:val="22"/>
          <w:lang w:val="sr-Latn-ME"/>
        </w:rPr>
        <w:t xml:space="preserve">, </w:t>
      </w:r>
      <w:proofErr w:type="spellStart"/>
      <w:r w:rsidRPr="002A6AB6">
        <w:rPr>
          <w:bCs/>
          <w:sz w:val="22"/>
          <w:szCs w:val="22"/>
          <w:lang w:val="sr-Latn-ME"/>
        </w:rPr>
        <w:t>azatioprinom</w:t>
      </w:r>
      <w:proofErr w:type="spellEnd"/>
      <w:r w:rsidRPr="002A6AB6">
        <w:rPr>
          <w:bCs/>
          <w:sz w:val="22"/>
          <w:szCs w:val="22"/>
          <w:lang w:val="sr-Latn-ME"/>
        </w:rPr>
        <w:t>) dovela je do porasta ozbiljnih infekcija, uključujući i oportunističke infekcije. Obuhvaćene infekcije nisu ograničene na atipičnu pneumoniju i pneumoniju</w:t>
      </w:r>
      <w:r w:rsidRPr="002A6AB6">
        <w:rPr>
          <w:bCs/>
          <w:i/>
          <w:iCs/>
          <w:sz w:val="22"/>
          <w:szCs w:val="22"/>
          <w:lang w:val="sr-Latn-ME"/>
        </w:rPr>
        <w:t xml:space="preserve"> </w:t>
      </w:r>
      <w:proofErr w:type="spellStart"/>
      <w:r w:rsidRPr="002A6AB6">
        <w:rPr>
          <w:bCs/>
          <w:i/>
          <w:iCs/>
          <w:sz w:val="22"/>
          <w:szCs w:val="22"/>
          <w:lang w:val="sr-Latn-ME"/>
        </w:rPr>
        <w:t>pneumocystis</w:t>
      </w:r>
      <w:proofErr w:type="spellEnd"/>
      <w:r w:rsidRPr="002A6AB6">
        <w:rPr>
          <w:bCs/>
          <w:i/>
          <w:iCs/>
          <w:sz w:val="22"/>
          <w:szCs w:val="22"/>
          <w:lang w:val="sr-Latn-ME"/>
        </w:rPr>
        <w:t xml:space="preserve"> </w:t>
      </w:r>
      <w:proofErr w:type="spellStart"/>
      <w:r w:rsidRPr="002A6AB6">
        <w:rPr>
          <w:bCs/>
          <w:i/>
          <w:iCs/>
          <w:sz w:val="22"/>
          <w:szCs w:val="22"/>
          <w:lang w:val="sr-Latn-ME"/>
        </w:rPr>
        <w:t>jirovecii</w:t>
      </w:r>
      <w:proofErr w:type="spellEnd"/>
      <w:r w:rsidRPr="002A6AB6">
        <w:rPr>
          <w:bCs/>
          <w:sz w:val="22"/>
          <w:szCs w:val="22"/>
          <w:lang w:val="sr-Latn-ME"/>
        </w:rPr>
        <w:t xml:space="preserve">, pneumoniju kod varičela, tuberkulozu i </w:t>
      </w:r>
      <w:proofErr w:type="spellStart"/>
      <w:r w:rsidRPr="002A6AB6">
        <w:rPr>
          <w:bCs/>
          <w:sz w:val="22"/>
          <w:szCs w:val="22"/>
          <w:lang w:val="sr-Latn-ME"/>
        </w:rPr>
        <w:t>histoplazmozu</w:t>
      </w:r>
      <w:proofErr w:type="spellEnd"/>
      <w:r w:rsidRPr="002A6AB6">
        <w:rPr>
          <w:bCs/>
          <w:sz w:val="22"/>
          <w:szCs w:val="22"/>
          <w:lang w:val="sr-Latn-ME"/>
        </w:rPr>
        <w:t xml:space="preserve">. U rijetkim slučajevima neke od ovih infekcija bile su sa smrtnim ishodom. </w:t>
      </w:r>
      <w:proofErr w:type="spellStart"/>
      <w:r w:rsidRPr="002A6AB6">
        <w:rPr>
          <w:bCs/>
          <w:sz w:val="22"/>
          <w:szCs w:val="22"/>
          <w:lang w:val="sr-Latn-ME"/>
        </w:rPr>
        <w:t>Eksploratornom</w:t>
      </w:r>
      <w:proofErr w:type="spellEnd"/>
      <w:r w:rsidRPr="002A6AB6">
        <w:rPr>
          <w:bCs/>
          <w:sz w:val="22"/>
          <w:szCs w:val="22"/>
          <w:lang w:val="sr-Latn-ME"/>
        </w:rPr>
        <w:t xml:space="preserve"> analizom određeni su sljedeći faktori povezani sa rizikom od ozbiljnih infekcija: veće doze </w:t>
      </w:r>
      <w:proofErr w:type="spellStart"/>
      <w:r w:rsidRPr="002A6AB6">
        <w:rPr>
          <w:bCs/>
          <w:sz w:val="22"/>
          <w:szCs w:val="22"/>
          <w:lang w:val="sr-Latn-ME"/>
        </w:rPr>
        <w:t>okrelizumaba</w:t>
      </w:r>
      <w:proofErr w:type="spellEnd"/>
      <w:r w:rsidRPr="002A6AB6">
        <w:rPr>
          <w:bCs/>
          <w:sz w:val="22"/>
          <w:szCs w:val="22"/>
          <w:lang w:val="sr-Latn-ME"/>
        </w:rPr>
        <w:t xml:space="preserve"> od preporučenih za MS, drugi </w:t>
      </w:r>
      <w:proofErr w:type="spellStart"/>
      <w:r w:rsidRPr="002A6AB6">
        <w:rPr>
          <w:bCs/>
          <w:sz w:val="22"/>
          <w:szCs w:val="22"/>
          <w:lang w:val="sr-Latn-ME"/>
        </w:rPr>
        <w:t>komorbiditeti</w:t>
      </w:r>
      <w:proofErr w:type="spellEnd"/>
      <w:r w:rsidRPr="002A6AB6">
        <w:rPr>
          <w:bCs/>
          <w:sz w:val="22"/>
          <w:szCs w:val="22"/>
          <w:lang w:val="sr-Latn-ME"/>
        </w:rPr>
        <w:t xml:space="preserve"> i hronična upotreba </w:t>
      </w:r>
      <w:proofErr w:type="spellStart"/>
      <w:r w:rsidRPr="002A6AB6">
        <w:rPr>
          <w:bCs/>
          <w:sz w:val="22"/>
          <w:szCs w:val="22"/>
          <w:lang w:val="sr-Latn-ME"/>
        </w:rPr>
        <w:t>imunosupresiva</w:t>
      </w:r>
      <w:proofErr w:type="spellEnd"/>
      <w:r w:rsidRPr="002A6AB6">
        <w:rPr>
          <w:bCs/>
          <w:sz w:val="22"/>
          <w:szCs w:val="22"/>
          <w:lang w:val="sr-Latn-ME"/>
        </w:rPr>
        <w:t>/</w:t>
      </w:r>
      <w:proofErr w:type="spellStart"/>
      <w:r w:rsidRPr="002A6AB6">
        <w:rPr>
          <w:bCs/>
          <w:sz w:val="22"/>
          <w:szCs w:val="22"/>
          <w:lang w:val="sr-Latn-ME"/>
        </w:rPr>
        <w:t>kortikosteroida</w:t>
      </w:r>
      <w:proofErr w:type="spellEnd"/>
      <w:r w:rsidRPr="002A6AB6">
        <w:rPr>
          <w:bCs/>
          <w:sz w:val="22"/>
          <w:szCs w:val="22"/>
          <w:lang w:val="sr-Latn-ME"/>
        </w:rPr>
        <w:t>.</w:t>
      </w:r>
    </w:p>
    <w:p w14:paraId="69E41184" w14:textId="77777777" w:rsidR="00466B8B" w:rsidRPr="002A6AB6" w:rsidRDefault="00466B8B" w:rsidP="00587700">
      <w:pPr>
        <w:tabs>
          <w:tab w:val="left" w:pos="540"/>
          <w:tab w:val="left" w:pos="569"/>
        </w:tabs>
        <w:jc w:val="both"/>
        <w:rPr>
          <w:bCs/>
          <w:sz w:val="22"/>
          <w:szCs w:val="22"/>
          <w:lang w:val="sr-Latn-ME"/>
        </w:rPr>
      </w:pPr>
    </w:p>
    <w:p w14:paraId="6D80DD2D"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Ne preporučuje se upotreba drugih </w:t>
      </w:r>
      <w:proofErr w:type="spellStart"/>
      <w:r w:rsidRPr="002A6AB6">
        <w:rPr>
          <w:bCs/>
          <w:sz w:val="22"/>
          <w:szCs w:val="22"/>
          <w:lang w:val="sr-Latn-ME"/>
        </w:rPr>
        <w:t>imunosupresiva</w:t>
      </w:r>
      <w:proofErr w:type="spellEnd"/>
      <w:r w:rsidRPr="002A6AB6">
        <w:rPr>
          <w:bCs/>
          <w:sz w:val="22"/>
          <w:szCs w:val="22"/>
          <w:lang w:val="sr-Latn-ME"/>
        </w:rPr>
        <w:t xml:space="preserve"> istovremeno sa </w:t>
      </w:r>
      <w:proofErr w:type="spellStart"/>
      <w:r w:rsidRPr="002A6AB6">
        <w:rPr>
          <w:bCs/>
          <w:sz w:val="22"/>
          <w:szCs w:val="22"/>
          <w:lang w:val="sr-Latn-ME"/>
        </w:rPr>
        <w:t>okrelizumabom</w:t>
      </w:r>
      <w:proofErr w:type="spellEnd"/>
      <w:r w:rsidRPr="002A6AB6">
        <w:rPr>
          <w:bCs/>
          <w:sz w:val="22"/>
          <w:szCs w:val="22"/>
          <w:lang w:val="sr-Latn-ME"/>
        </w:rPr>
        <w:t xml:space="preserve">, osim </w:t>
      </w:r>
      <w:proofErr w:type="spellStart"/>
      <w:r w:rsidRPr="002A6AB6">
        <w:rPr>
          <w:bCs/>
          <w:sz w:val="22"/>
          <w:szCs w:val="22"/>
          <w:lang w:val="sr-Latn-ME"/>
        </w:rPr>
        <w:t>kortikosteroida</w:t>
      </w:r>
      <w:proofErr w:type="spellEnd"/>
      <w:r w:rsidRPr="002A6AB6">
        <w:rPr>
          <w:bCs/>
          <w:sz w:val="22"/>
          <w:szCs w:val="22"/>
          <w:lang w:val="sr-Latn-ME"/>
        </w:rPr>
        <w:t xml:space="preserve"> za </w:t>
      </w:r>
      <w:proofErr w:type="spellStart"/>
      <w:r w:rsidRPr="002A6AB6">
        <w:rPr>
          <w:bCs/>
          <w:sz w:val="22"/>
          <w:szCs w:val="22"/>
          <w:lang w:val="sr-Latn-ME"/>
        </w:rPr>
        <w:t>simptomatsku</w:t>
      </w:r>
      <w:proofErr w:type="spellEnd"/>
      <w:r w:rsidRPr="002A6AB6">
        <w:rPr>
          <w:bCs/>
          <w:sz w:val="22"/>
          <w:szCs w:val="22"/>
          <w:lang w:val="sr-Latn-ME"/>
        </w:rPr>
        <w:t xml:space="preserve"> terapiju </w:t>
      </w:r>
      <w:proofErr w:type="spellStart"/>
      <w:r w:rsidRPr="002A6AB6">
        <w:rPr>
          <w:bCs/>
          <w:sz w:val="22"/>
          <w:szCs w:val="22"/>
          <w:lang w:val="sr-Latn-ME"/>
        </w:rPr>
        <w:t>relapsa</w:t>
      </w:r>
      <w:proofErr w:type="spellEnd"/>
      <w:r w:rsidRPr="002A6AB6">
        <w:rPr>
          <w:bCs/>
          <w:sz w:val="22"/>
          <w:szCs w:val="22"/>
          <w:lang w:val="sr-Latn-ME"/>
        </w:rPr>
        <w:t xml:space="preserve">. U kliničkoj praksi postoje ograničena saznanja o tome da li je istovremena upotreba </w:t>
      </w:r>
      <w:proofErr w:type="spellStart"/>
      <w:r w:rsidRPr="002A6AB6">
        <w:rPr>
          <w:bCs/>
          <w:sz w:val="22"/>
          <w:szCs w:val="22"/>
          <w:lang w:val="sr-Latn-ME"/>
        </w:rPr>
        <w:t>kortikosteroida</w:t>
      </w:r>
      <w:proofErr w:type="spellEnd"/>
      <w:r w:rsidRPr="002A6AB6">
        <w:rPr>
          <w:bCs/>
          <w:sz w:val="22"/>
          <w:szCs w:val="22"/>
          <w:lang w:val="sr-Latn-ME"/>
        </w:rPr>
        <w:t xml:space="preserve"> u </w:t>
      </w:r>
      <w:proofErr w:type="spellStart"/>
      <w:r w:rsidRPr="002A6AB6">
        <w:rPr>
          <w:bCs/>
          <w:sz w:val="22"/>
          <w:szCs w:val="22"/>
          <w:lang w:val="sr-Latn-ME"/>
        </w:rPr>
        <w:t>simptomatskoj</w:t>
      </w:r>
      <w:proofErr w:type="spellEnd"/>
      <w:r w:rsidRPr="002A6AB6">
        <w:rPr>
          <w:bCs/>
          <w:sz w:val="22"/>
          <w:szCs w:val="22"/>
          <w:lang w:val="sr-Latn-ME"/>
        </w:rPr>
        <w:t xml:space="preserve"> terapiji </w:t>
      </w:r>
      <w:proofErr w:type="spellStart"/>
      <w:r w:rsidRPr="002A6AB6">
        <w:rPr>
          <w:bCs/>
          <w:sz w:val="22"/>
          <w:szCs w:val="22"/>
          <w:lang w:val="sr-Latn-ME"/>
        </w:rPr>
        <w:t>relapsa</w:t>
      </w:r>
      <w:proofErr w:type="spellEnd"/>
      <w:r w:rsidRPr="002A6AB6">
        <w:rPr>
          <w:bCs/>
          <w:sz w:val="22"/>
          <w:szCs w:val="22"/>
          <w:lang w:val="sr-Latn-ME"/>
        </w:rPr>
        <w:t xml:space="preserve"> povezana sa povećanim rizikom od infekcija. U </w:t>
      </w:r>
      <w:proofErr w:type="spellStart"/>
      <w:r w:rsidRPr="002A6AB6">
        <w:rPr>
          <w:bCs/>
          <w:sz w:val="22"/>
          <w:szCs w:val="22"/>
          <w:lang w:val="sr-Latn-ME"/>
        </w:rPr>
        <w:t>pivotalnim</w:t>
      </w:r>
      <w:proofErr w:type="spellEnd"/>
      <w:r w:rsidRPr="002A6AB6">
        <w:rPr>
          <w:bCs/>
          <w:sz w:val="22"/>
          <w:szCs w:val="22"/>
          <w:lang w:val="sr-Latn-ME"/>
        </w:rPr>
        <w:t xml:space="preserve"> studijama </w:t>
      </w:r>
      <w:proofErr w:type="spellStart"/>
      <w:r w:rsidRPr="002A6AB6">
        <w:rPr>
          <w:bCs/>
          <w:sz w:val="22"/>
          <w:szCs w:val="22"/>
          <w:lang w:val="sr-Latn-ME"/>
        </w:rPr>
        <w:t>intravenskog</w:t>
      </w:r>
      <w:proofErr w:type="spellEnd"/>
      <w:r w:rsidRPr="002A6AB6">
        <w:rPr>
          <w:bCs/>
          <w:sz w:val="22"/>
          <w:szCs w:val="22"/>
          <w:lang w:val="sr-Latn-ME"/>
        </w:rPr>
        <w:t xml:space="preserve"> </w:t>
      </w:r>
      <w:proofErr w:type="spellStart"/>
      <w:r w:rsidRPr="002A6AB6">
        <w:rPr>
          <w:bCs/>
          <w:sz w:val="22"/>
          <w:szCs w:val="22"/>
          <w:lang w:val="sr-Latn-ME"/>
        </w:rPr>
        <w:t>okrelizumaba</w:t>
      </w:r>
      <w:proofErr w:type="spellEnd"/>
      <w:r w:rsidRPr="002A6AB6">
        <w:rPr>
          <w:bCs/>
          <w:sz w:val="22"/>
          <w:szCs w:val="22"/>
          <w:lang w:val="sr-Latn-ME"/>
        </w:rPr>
        <w:t xml:space="preserve"> za MS, primjena </w:t>
      </w:r>
      <w:proofErr w:type="spellStart"/>
      <w:r w:rsidRPr="002A6AB6">
        <w:rPr>
          <w:bCs/>
          <w:sz w:val="22"/>
          <w:szCs w:val="22"/>
          <w:lang w:val="sr-Latn-ME"/>
        </w:rPr>
        <w:t>kortikosteroida</w:t>
      </w:r>
      <w:proofErr w:type="spellEnd"/>
      <w:r w:rsidRPr="002A6AB6">
        <w:rPr>
          <w:bCs/>
          <w:sz w:val="22"/>
          <w:szCs w:val="22"/>
          <w:lang w:val="sr-Latn-ME"/>
        </w:rPr>
        <w:t xml:space="preserve"> za liječenje </w:t>
      </w:r>
      <w:proofErr w:type="spellStart"/>
      <w:r w:rsidRPr="002A6AB6">
        <w:rPr>
          <w:bCs/>
          <w:sz w:val="22"/>
          <w:szCs w:val="22"/>
          <w:lang w:val="sr-Latn-ME"/>
        </w:rPr>
        <w:t>relapsa</w:t>
      </w:r>
      <w:proofErr w:type="spellEnd"/>
      <w:r w:rsidRPr="002A6AB6">
        <w:rPr>
          <w:bCs/>
          <w:sz w:val="22"/>
          <w:szCs w:val="22"/>
          <w:lang w:val="sr-Latn-ME"/>
        </w:rPr>
        <w:t xml:space="preserve"> nije bila povezana sa povišenim rizikom od teških infekcija.</w:t>
      </w:r>
    </w:p>
    <w:p w14:paraId="03B1FA97" w14:textId="77777777" w:rsidR="00466B8B" w:rsidRPr="002A6AB6" w:rsidRDefault="00466B8B" w:rsidP="00587700">
      <w:pPr>
        <w:tabs>
          <w:tab w:val="left" w:pos="540"/>
          <w:tab w:val="left" w:pos="569"/>
        </w:tabs>
        <w:jc w:val="both"/>
        <w:rPr>
          <w:bCs/>
          <w:sz w:val="22"/>
          <w:szCs w:val="22"/>
          <w:u w:val="single"/>
          <w:lang w:val="sr-Latn-ME"/>
        </w:rPr>
      </w:pPr>
    </w:p>
    <w:p w14:paraId="5DE7346B"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Pri uvođenju </w:t>
      </w:r>
      <w:proofErr w:type="spellStart"/>
      <w:r w:rsidRPr="002A6AB6">
        <w:rPr>
          <w:bCs/>
          <w:sz w:val="22"/>
          <w:szCs w:val="22"/>
          <w:lang w:val="sr-Latn-ME"/>
        </w:rPr>
        <w:t>okrelizumaba</w:t>
      </w:r>
      <w:proofErr w:type="spellEnd"/>
      <w:r w:rsidRPr="002A6AB6">
        <w:rPr>
          <w:bCs/>
          <w:sz w:val="22"/>
          <w:szCs w:val="22"/>
          <w:lang w:val="sr-Latn-ME"/>
        </w:rPr>
        <w:t xml:space="preserve"> nakon </w:t>
      </w:r>
      <w:proofErr w:type="spellStart"/>
      <w:r w:rsidRPr="002A6AB6">
        <w:rPr>
          <w:bCs/>
          <w:sz w:val="22"/>
          <w:szCs w:val="22"/>
          <w:lang w:val="sr-Latn-ME"/>
        </w:rPr>
        <w:t>imunosupresivne</w:t>
      </w:r>
      <w:proofErr w:type="spellEnd"/>
      <w:r w:rsidRPr="002A6AB6">
        <w:rPr>
          <w:bCs/>
          <w:sz w:val="22"/>
          <w:szCs w:val="22"/>
          <w:lang w:val="sr-Latn-ME"/>
        </w:rPr>
        <w:t xml:space="preserve"> terapije ili uvođenju </w:t>
      </w:r>
      <w:proofErr w:type="spellStart"/>
      <w:r w:rsidRPr="002A6AB6">
        <w:rPr>
          <w:bCs/>
          <w:sz w:val="22"/>
          <w:szCs w:val="22"/>
          <w:lang w:val="sr-Latn-ME"/>
        </w:rPr>
        <w:t>imunosupresivne</w:t>
      </w:r>
      <w:proofErr w:type="spellEnd"/>
      <w:r w:rsidRPr="002A6AB6">
        <w:rPr>
          <w:bCs/>
          <w:sz w:val="22"/>
          <w:szCs w:val="22"/>
          <w:lang w:val="sr-Latn-ME"/>
        </w:rPr>
        <w:t xml:space="preserve"> terapije nakon </w:t>
      </w:r>
      <w:proofErr w:type="spellStart"/>
      <w:r w:rsidRPr="002A6AB6">
        <w:rPr>
          <w:bCs/>
          <w:sz w:val="22"/>
          <w:szCs w:val="22"/>
          <w:lang w:val="sr-Latn-ME"/>
        </w:rPr>
        <w:t>okrelizumaba</w:t>
      </w:r>
      <w:proofErr w:type="spellEnd"/>
      <w:r w:rsidRPr="002A6AB6">
        <w:rPr>
          <w:bCs/>
          <w:sz w:val="22"/>
          <w:szCs w:val="22"/>
          <w:lang w:val="sr-Latn-ME"/>
        </w:rPr>
        <w:t xml:space="preserve">, potrebno je uzeti u obzir mogućnost preklapanja </w:t>
      </w:r>
      <w:proofErr w:type="spellStart"/>
      <w:r w:rsidRPr="002A6AB6">
        <w:rPr>
          <w:bCs/>
          <w:sz w:val="22"/>
          <w:szCs w:val="22"/>
          <w:lang w:val="sr-Latn-ME"/>
        </w:rPr>
        <w:t>farmakodinamskih</w:t>
      </w:r>
      <w:proofErr w:type="spellEnd"/>
      <w:r w:rsidRPr="002A6AB6">
        <w:rPr>
          <w:bCs/>
          <w:sz w:val="22"/>
          <w:szCs w:val="22"/>
          <w:lang w:val="sr-Latn-ME"/>
        </w:rPr>
        <w:t xml:space="preserve"> dejstava (vidjeti </w:t>
      </w:r>
      <w:r w:rsidR="00ED0D01" w:rsidRPr="002A6AB6">
        <w:rPr>
          <w:bCs/>
          <w:sz w:val="22"/>
          <w:szCs w:val="22"/>
          <w:lang w:val="sr-Latn-ME"/>
        </w:rPr>
        <w:t xml:space="preserve">dio </w:t>
      </w:r>
      <w:r w:rsidRPr="002A6AB6">
        <w:rPr>
          <w:bCs/>
          <w:sz w:val="22"/>
          <w:szCs w:val="22"/>
          <w:lang w:val="sr-Latn-ME"/>
        </w:rPr>
        <w:t xml:space="preserve">5.1). Potreban je oprez prilikom propisivanja </w:t>
      </w:r>
      <w:proofErr w:type="spellStart"/>
      <w:r w:rsidRPr="002A6AB6">
        <w:rPr>
          <w:bCs/>
          <w:sz w:val="22"/>
          <w:szCs w:val="22"/>
          <w:lang w:val="sr-Latn-ME"/>
        </w:rPr>
        <w:t>okrelizumaba</w:t>
      </w:r>
      <w:proofErr w:type="spellEnd"/>
      <w:r w:rsidRPr="002A6AB6">
        <w:rPr>
          <w:bCs/>
          <w:sz w:val="22"/>
          <w:szCs w:val="22"/>
          <w:lang w:val="sr-Latn-ME"/>
        </w:rPr>
        <w:t xml:space="preserve">, uzimajući u obzir </w:t>
      </w:r>
      <w:proofErr w:type="spellStart"/>
      <w:r w:rsidRPr="002A6AB6">
        <w:rPr>
          <w:bCs/>
          <w:sz w:val="22"/>
          <w:szCs w:val="22"/>
          <w:lang w:val="sr-Latn-ME"/>
        </w:rPr>
        <w:t>farmakodinamiku</w:t>
      </w:r>
      <w:proofErr w:type="spellEnd"/>
      <w:r w:rsidRPr="002A6AB6">
        <w:rPr>
          <w:bCs/>
          <w:sz w:val="22"/>
          <w:szCs w:val="22"/>
          <w:lang w:val="sr-Latn-ME"/>
        </w:rPr>
        <w:t xml:space="preserve"> drugih terapija za MS koje mijenjaju tok bolesti. </w:t>
      </w:r>
    </w:p>
    <w:p w14:paraId="09D2C43E" w14:textId="77777777" w:rsidR="00466B8B" w:rsidRPr="002A6AB6" w:rsidRDefault="00466B8B" w:rsidP="00587700">
      <w:pPr>
        <w:tabs>
          <w:tab w:val="left" w:pos="540"/>
          <w:tab w:val="left" w:pos="569"/>
        </w:tabs>
        <w:jc w:val="both"/>
        <w:rPr>
          <w:bCs/>
          <w:sz w:val="22"/>
          <w:szCs w:val="22"/>
          <w:lang w:val="sr-Latn-ME"/>
        </w:rPr>
      </w:pPr>
    </w:p>
    <w:p w14:paraId="75BF2A0E" w14:textId="77777777" w:rsidR="00466B8B" w:rsidRPr="002A6AB6" w:rsidRDefault="00466B8B" w:rsidP="00587700">
      <w:pPr>
        <w:tabs>
          <w:tab w:val="left" w:pos="540"/>
          <w:tab w:val="left" w:pos="569"/>
        </w:tabs>
        <w:jc w:val="both"/>
        <w:rPr>
          <w:bCs/>
          <w:sz w:val="22"/>
          <w:szCs w:val="22"/>
          <w:u w:val="single"/>
          <w:lang w:val="sr-Latn-ME"/>
        </w:rPr>
      </w:pPr>
      <w:r w:rsidRPr="002A6AB6">
        <w:rPr>
          <w:bCs/>
          <w:sz w:val="22"/>
          <w:szCs w:val="22"/>
          <w:u w:val="single"/>
          <w:lang w:val="sr-Latn-ME"/>
        </w:rPr>
        <w:t>Vakcinacije</w:t>
      </w:r>
    </w:p>
    <w:p w14:paraId="15B4F677"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Bezbjednost imunizacije živim ili živim </w:t>
      </w:r>
      <w:proofErr w:type="spellStart"/>
      <w:r w:rsidRPr="002A6AB6">
        <w:rPr>
          <w:bCs/>
          <w:sz w:val="22"/>
          <w:szCs w:val="22"/>
          <w:lang w:val="sr-Latn-ME"/>
        </w:rPr>
        <w:t>atenuisanim</w:t>
      </w:r>
      <w:proofErr w:type="spellEnd"/>
      <w:r w:rsidRPr="002A6AB6">
        <w:rPr>
          <w:bCs/>
          <w:sz w:val="22"/>
          <w:szCs w:val="22"/>
          <w:lang w:val="sr-Latn-ME"/>
        </w:rPr>
        <w:t xml:space="preserve"> vakcinama nakon terapije nije ispitivana, a vakcinacija živim </w:t>
      </w:r>
      <w:proofErr w:type="spellStart"/>
      <w:r w:rsidRPr="002A6AB6">
        <w:rPr>
          <w:bCs/>
          <w:sz w:val="22"/>
          <w:szCs w:val="22"/>
          <w:lang w:val="sr-Latn-ME"/>
        </w:rPr>
        <w:t>atenuisanim</w:t>
      </w:r>
      <w:proofErr w:type="spellEnd"/>
      <w:r w:rsidRPr="002A6AB6">
        <w:rPr>
          <w:bCs/>
          <w:sz w:val="22"/>
          <w:szCs w:val="22"/>
          <w:lang w:val="sr-Latn-ME"/>
        </w:rPr>
        <w:t xml:space="preserve"> ili živim vakcinama se ne preporučuje tokom terapije, kao ni prije nego što dođe do </w:t>
      </w:r>
      <w:proofErr w:type="spellStart"/>
      <w:r w:rsidRPr="002A6AB6">
        <w:rPr>
          <w:bCs/>
          <w:sz w:val="22"/>
          <w:szCs w:val="22"/>
          <w:lang w:val="sr-Latn-ME"/>
        </w:rPr>
        <w:t>replecije</w:t>
      </w:r>
      <w:proofErr w:type="spellEnd"/>
      <w:r w:rsidRPr="002A6AB6">
        <w:rPr>
          <w:bCs/>
          <w:sz w:val="22"/>
          <w:szCs w:val="22"/>
          <w:lang w:val="sr-Latn-ME"/>
        </w:rPr>
        <w:t xml:space="preserve"> B-ćelija. U kliničkim ispitivanjima, </w:t>
      </w:r>
      <w:proofErr w:type="spellStart"/>
      <w:r w:rsidRPr="002A6AB6">
        <w:rPr>
          <w:bCs/>
          <w:sz w:val="22"/>
          <w:szCs w:val="22"/>
          <w:lang w:val="sr-Latn-ME"/>
        </w:rPr>
        <w:t>medijana</w:t>
      </w:r>
      <w:proofErr w:type="spellEnd"/>
      <w:r w:rsidRPr="002A6AB6">
        <w:rPr>
          <w:bCs/>
          <w:sz w:val="22"/>
          <w:szCs w:val="22"/>
          <w:lang w:val="sr-Latn-ME"/>
        </w:rPr>
        <w:t xml:space="preserve"> </w:t>
      </w:r>
      <w:proofErr w:type="spellStart"/>
      <w:r w:rsidRPr="002A6AB6">
        <w:rPr>
          <w:bCs/>
          <w:sz w:val="22"/>
          <w:szCs w:val="22"/>
          <w:lang w:val="sr-Latn-ME"/>
        </w:rPr>
        <w:t>vremena</w:t>
      </w:r>
      <w:proofErr w:type="spellEnd"/>
      <w:r w:rsidRPr="002A6AB6">
        <w:rPr>
          <w:bCs/>
          <w:sz w:val="22"/>
          <w:szCs w:val="22"/>
          <w:lang w:val="sr-Latn-ME"/>
        </w:rPr>
        <w:t xml:space="preserve"> za </w:t>
      </w:r>
      <w:proofErr w:type="spellStart"/>
      <w:r w:rsidRPr="002A6AB6">
        <w:rPr>
          <w:bCs/>
          <w:sz w:val="22"/>
          <w:szCs w:val="22"/>
          <w:lang w:val="sr-Latn-ME"/>
        </w:rPr>
        <w:t>repleciju</w:t>
      </w:r>
      <w:proofErr w:type="spellEnd"/>
      <w:r w:rsidRPr="002A6AB6">
        <w:rPr>
          <w:bCs/>
          <w:sz w:val="22"/>
          <w:szCs w:val="22"/>
          <w:lang w:val="sr-Latn-ME"/>
        </w:rPr>
        <w:t xml:space="preserve"> B-ćelija bila je 72 nedjelje (vidjeti </w:t>
      </w:r>
      <w:r w:rsidR="00ED0D01" w:rsidRPr="002A6AB6">
        <w:rPr>
          <w:bCs/>
          <w:sz w:val="22"/>
          <w:szCs w:val="22"/>
          <w:lang w:val="sr-Latn-ME"/>
        </w:rPr>
        <w:t xml:space="preserve">dio </w:t>
      </w:r>
      <w:r w:rsidRPr="002A6AB6">
        <w:rPr>
          <w:bCs/>
          <w:sz w:val="22"/>
          <w:szCs w:val="22"/>
          <w:lang w:val="sr-Latn-ME"/>
        </w:rPr>
        <w:t>5.1).</w:t>
      </w:r>
    </w:p>
    <w:p w14:paraId="5A60001B" w14:textId="77777777" w:rsidR="00466B8B" w:rsidRPr="002A6AB6" w:rsidRDefault="00466B8B" w:rsidP="00587700">
      <w:pPr>
        <w:tabs>
          <w:tab w:val="left" w:pos="540"/>
          <w:tab w:val="left" w:pos="569"/>
        </w:tabs>
        <w:jc w:val="both"/>
        <w:rPr>
          <w:bCs/>
          <w:sz w:val="22"/>
          <w:szCs w:val="22"/>
          <w:lang w:val="sr-Latn-ME"/>
        </w:rPr>
      </w:pPr>
    </w:p>
    <w:p w14:paraId="2FF0F396" w14:textId="6C024B08"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lastRenderedPageBreak/>
        <w:t xml:space="preserve">U </w:t>
      </w:r>
      <w:proofErr w:type="spellStart"/>
      <w:r w:rsidRPr="002A6AB6">
        <w:rPr>
          <w:bCs/>
          <w:sz w:val="22"/>
          <w:szCs w:val="22"/>
          <w:lang w:val="sr-Latn-ME"/>
        </w:rPr>
        <w:t>randomizovanoj</w:t>
      </w:r>
      <w:proofErr w:type="spellEnd"/>
      <w:r w:rsidRPr="002A6AB6">
        <w:rPr>
          <w:bCs/>
          <w:sz w:val="22"/>
          <w:szCs w:val="22"/>
          <w:lang w:val="sr-Latn-ME"/>
        </w:rPr>
        <w:t xml:space="preserve"> studiji otvorenog tipa, pacijenti sa RMS-om liječeni </w:t>
      </w:r>
      <w:proofErr w:type="spellStart"/>
      <w:r w:rsidRPr="002A6AB6">
        <w:rPr>
          <w:bCs/>
          <w:sz w:val="22"/>
          <w:szCs w:val="22"/>
          <w:lang w:val="sr-Latn-ME"/>
        </w:rPr>
        <w:t>intravenskim</w:t>
      </w:r>
      <w:proofErr w:type="spellEnd"/>
      <w:r w:rsidRPr="002A6AB6">
        <w:rPr>
          <w:bCs/>
          <w:sz w:val="22"/>
          <w:szCs w:val="22"/>
          <w:lang w:val="sr-Latn-ME"/>
        </w:rPr>
        <w:t xml:space="preserve"> </w:t>
      </w:r>
      <w:proofErr w:type="spellStart"/>
      <w:r w:rsidRPr="002A6AB6">
        <w:rPr>
          <w:bCs/>
          <w:sz w:val="22"/>
          <w:szCs w:val="22"/>
          <w:lang w:val="sr-Latn-ME"/>
        </w:rPr>
        <w:t>okrelizumabom</w:t>
      </w:r>
      <w:proofErr w:type="spellEnd"/>
      <w:r w:rsidRPr="002A6AB6">
        <w:rPr>
          <w:bCs/>
          <w:sz w:val="22"/>
          <w:szCs w:val="22"/>
          <w:lang w:val="sr-Latn-ME"/>
        </w:rPr>
        <w:t xml:space="preserve"> su, iako su odgovori bili smanjeni, bili u stanju da pokrenu </w:t>
      </w:r>
      <w:proofErr w:type="spellStart"/>
      <w:r w:rsidRPr="002A6AB6">
        <w:rPr>
          <w:bCs/>
          <w:sz w:val="22"/>
          <w:szCs w:val="22"/>
          <w:lang w:val="sr-Latn-ME"/>
        </w:rPr>
        <w:t>humoralne</w:t>
      </w:r>
      <w:proofErr w:type="spellEnd"/>
      <w:r w:rsidRPr="002A6AB6">
        <w:rPr>
          <w:bCs/>
          <w:sz w:val="22"/>
          <w:szCs w:val="22"/>
          <w:lang w:val="sr-Latn-ME"/>
        </w:rPr>
        <w:t xml:space="preserve"> imune odgovore, na </w:t>
      </w:r>
      <w:proofErr w:type="spellStart"/>
      <w:r w:rsidRPr="002A6AB6">
        <w:rPr>
          <w:bCs/>
          <w:sz w:val="22"/>
          <w:szCs w:val="22"/>
          <w:lang w:val="sr-Latn-ME"/>
        </w:rPr>
        <w:t>tetanusni</w:t>
      </w:r>
      <w:proofErr w:type="spellEnd"/>
      <w:r w:rsidRPr="002A6AB6">
        <w:rPr>
          <w:bCs/>
          <w:sz w:val="22"/>
          <w:szCs w:val="22"/>
          <w:lang w:val="sr-Latn-ME"/>
        </w:rPr>
        <w:t xml:space="preserve"> </w:t>
      </w:r>
      <w:proofErr w:type="spellStart"/>
      <w:r w:rsidRPr="002A6AB6">
        <w:rPr>
          <w:bCs/>
          <w:sz w:val="22"/>
          <w:szCs w:val="22"/>
          <w:lang w:val="sr-Latn-ME"/>
        </w:rPr>
        <w:t>toksoid</w:t>
      </w:r>
      <w:proofErr w:type="spellEnd"/>
      <w:r w:rsidRPr="002A6AB6">
        <w:rPr>
          <w:bCs/>
          <w:sz w:val="22"/>
          <w:szCs w:val="22"/>
          <w:lang w:val="sr-Latn-ME"/>
        </w:rPr>
        <w:t xml:space="preserve">, 23-valentnu </w:t>
      </w:r>
      <w:proofErr w:type="spellStart"/>
      <w:r w:rsidRPr="002A6AB6">
        <w:rPr>
          <w:bCs/>
          <w:sz w:val="22"/>
          <w:szCs w:val="22"/>
          <w:lang w:val="sr-Latn-ME"/>
        </w:rPr>
        <w:t>pneumokoknu</w:t>
      </w:r>
      <w:proofErr w:type="spellEnd"/>
      <w:r w:rsidRPr="002A6AB6">
        <w:rPr>
          <w:bCs/>
          <w:sz w:val="22"/>
          <w:szCs w:val="22"/>
          <w:lang w:val="sr-Latn-ME"/>
        </w:rPr>
        <w:t xml:space="preserve"> </w:t>
      </w:r>
      <w:proofErr w:type="spellStart"/>
      <w:r w:rsidRPr="002A6AB6">
        <w:rPr>
          <w:bCs/>
          <w:sz w:val="22"/>
          <w:szCs w:val="22"/>
          <w:lang w:val="sr-Latn-ME"/>
        </w:rPr>
        <w:t>polisaharidnu</w:t>
      </w:r>
      <w:proofErr w:type="spellEnd"/>
      <w:r w:rsidRPr="002A6AB6">
        <w:rPr>
          <w:bCs/>
          <w:sz w:val="22"/>
          <w:szCs w:val="22"/>
          <w:lang w:val="sr-Latn-ME"/>
        </w:rPr>
        <w:t xml:space="preserve"> vakcinu sa ili bez </w:t>
      </w:r>
      <w:proofErr w:type="spellStart"/>
      <w:r w:rsidRPr="002A6AB6">
        <w:rPr>
          <w:bCs/>
          <w:sz w:val="22"/>
          <w:szCs w:val="22"/>
          <w:lang w:val="sr-Latn-ME"/>
        </w:rPr>
        <w:t>bustera</w:t>
      </w:r>
      <w:proofErr w:type="spellEnd"/>
      <w:r w:rsidRPr="002A6AB6">
        <w:rPr>
          <w:bCs/>
          <w:sz w:val="22"/>
          <w:szCs w:val="22"/>
          <w:lang w:val="sr-Latn-ME"/>
        </w:rPr>
        <w:t xml:space="preserve">, </w:t>
      </w:r>
      <w:proofErr w:type="spellStart"/>
      <w:r w:rsidRPr="002A6AB6">
        <w:rPr>
          <w:bCs/>
          <w:sz w:val="22"/>
          <w:szCs w:val="22"/>
          <w:lang w:val="sr-Latn-ME"/>
        </w:rPr>
        <w:t>neoantigen</w:t>
      </w:r>
      <w:proofErr w:type="spellEnd"/>
      <w:r w:rsidRPr="002A6AB6">
        <w:rPr>
          <w:bCs/>
          <w:sz w:val="22"/>
          <w:szCs w:val="22"/>
          <w:lang w:val="sr-Latn-ME"/>
        </w:rPr>
        <w:t xml:space="preserve"> KLH (engl. </w:t>
      </w:r>
      <w:proofErr w:type="spellStart"/>
      <w:r w:rsidRPr="002A6AB6">
        <w:rPr>
          <w:bCs/>
          <w:i/>
          <w:iCs/>
          <w:sz w:val="22"/>
          <w:szCs w:val="22"/>
          <w:lang w:val="sr-Latn-ME"/>
        </w:rPr>
        <w:t>keyhole</w:t>
      </w:r>
      <w:proofErr w:type="spellEnd"/>
      <w:r w:rsidRPr="002A6AB6">
        <w:rPr>
          <w:bCs/>
          <w:i/>
          <w:iCs/>
          <w:sz w:val="22"/>
          <w:szCs w:val="22"/>
          <w:lang w:val="sr-Latn-ME"/>
        </w:rPr>
        <w:t xml:space="preserve"> </w:t>
      </w:r>
      <w:proofErr w:type="spellStart"/>
      <w:r w:rsidRPr="002A6AB6">
        <w:rPr>
          <w:bCs/>
          <w:i/>
          <w:iCs/>
          <w:sz w:val="22"/>
          <w:szCs w:val="22"/>
          <w:lang w:val="sr-Latn-ME"/>
        </w:rPr>
        <w:t>limpet</w:t>
      </w:r>
      <w:proofErr w:type="spellEnd"/>
      <w:r w:rsidRPr="002A6AB6">
        <w:rPr>
          <w:bCs/>
          <w:i/>
          <w:iCs/>
          <w:sz w:val="22"/>
          <w:szCs w:val="22"/>
          <w:lang w:val="sr-Latn-ME"/>
        </w:rPr>
        <w:t xml:space="preserve"> </w:t>
      </w:r>
      <w:proofErr w:type="spellStart"/>
      <w:r w:rsidRPr="002A6AB6">
        <w:rPr>
          <w:bCs/>
          <w:i/>
          <w:iCs/>
          <w:sz w:val="22"/>
          <w:szCs w:val="22"/>
          <w:lang w:val="sr-Latn-ME"/>
        </w:rPr>
        <w:t>haemocyanin</w:t>
      </w:r>
      <w:proofErr w:type="spellEnd"/>
      <w:r w:rsidRPr="002A6AB6">
        <w:rPr>
          <w:bCs/>
          <w:sz w:val="22"/>
          <w:szCs w:val="22"/>
          <w:lang w:val="sr-Latn-ME"/>
        </w:rPr>
        <w:t xml:space="preserve">) i sezonske vakcine protiv gripa (vidjeti </w:t>
      </w:r>
      <w:r w:rsidR="0002688D" w:rsidRPr="002A6AB6">
        <w:rPr>
          <w:bCs/>
          <w:sz w:val="22"/>
          <w:szCs w:val="22"/>
          <w:lang w:val="sr-Latn-ME"/>
        </w:rPr>
        <w:t xml:space="preserve">djelove </w:t>
      </w:r>
      <w:r w:rsidRPr="002A6AB6">
        <w:rPr>
          <w:bCs/>
          <w:sz w:val="22"/>
          <w:szCs w:val="22"/>
          <w:lang w:val="sr-Latn-ME"/>
        </w:rPr>
        <w:t>4.5 i 5.1).</w:t>
      </w:r>
    </w:p>
    <w:p w14:paraId="49BD8AEC" w14:textId="77777777" w:rsidR="00466B8B" w:rsidRPr="002A6AB6" w:rsidRDefault="00466B8B" w:rsidP="00587700">
      <w:pPr>
        <w:tabs>
          <w:tab w:val="left" w:pos="540"/>
          <w:tab w:val="left" w:pos="569"/>
        </w:tabs>
        <w:jc w:val="both"/>
        <w:rPr>
          <w:bCs/>
          <w:sz w:val="22"/>
          <w:szCs w:val="22"/>
          <w:lang w:val="sr-Latn-ME"/>
        </w:rPr>
      </w:pPr>
    </w:p>
    <w:p w14:paraId="078759E0"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Preporuka je da se prilikom vakcinacije pacijenata koji se liječe </w:t>
      </w:r>
      <w:proofErr w:type="spellStart"/>
      <w:r w:rsidRPr="002A6AB6">
        <w:rPr>
          <w:bCs/>
          <w:sz w:val="22"/>
          <w:szCs w:val="22"/>
          <w:lang w:val="sr-Latn-ME"/>
        </w:rPr>
        <w:t>okrelizumabom</w:t>
      </w:r>
      <w:proofErr w:type="spellEnd"/>
      <w:r w:rsidRPr="002A6AB6">
        <w:rPr>
          <w:bCs/>
          <w:sz w:val="22"/>
          <w:szCs w:val="22"/>
          <w:lang w:val="sr-Latn-ME"/>
        </w:rPr>
        <w:t xml:space="preserve"> koriste sezonske vakcine protiv gripa koje su </w:t>
      </w:r>
      <w:proofErr w:type="spellStart"/>
      <w:r w:rsidRPr="002A6AB6">
        <w:rPr>
          <w:bCs/>
          <w:sz w:val="22"/>
          <w:szCs w:val="22"/>
          <w:lang w:val="sr-Latn-ME"/>
        </w:rPr>
        <w:t>inaktivisane</w:t>
      </w:r>
      <w:proofErr w:type="spellEnd"/>
      <w:r w:rsidRPr="002A6AB6">
        <w:rPr>
          <w:bCs/>
          <w:sz w:val="22"/>
          <w:szCs w:val="22"/>
          <w:lang w:val="sr-Latn-ME"/>
        </w:rPr>
        <w:t xml:space="preserve">.  </w:t>
      </w:r>
    </w:p>
    <w:p w14:paraId="6E8FAD8E" w14:textId="77777777" w:rsidR="00466B8B" w:rsidRPr="002A6AB6" w:rsidRDefault="00466B8B" w:rsidP="00587700">
      <w:pPr>
        <w:tabs>
          <w:tab w:val="left" w:pos="540"/>
          <w:tab w:val="left" w:pos="569"/>
        </w:tabs>
        <w:jc w:val="both"/>
        <w:rPr>
          <w:bCs/>
          <w:sz w:val="22"/>
          <w:szCs w:val="22"/>
          <w:lang w:val="sr-Latn-ME"/>
        </w:rPr>
      </w:pPr>
    </w:p>
    <w:p w14:paraId="19020FDB"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Prije nego što razmotre terapiju </w:t>
      </w:r>
      <w:proofErr w:type="spellStart"/>
      <w:r w:rsidRPr="002A6AB6">
        <w:rPr>
          <w:bCs/>
          <w:sz w:val="22"/>
          <w:szCs w:val="22"/>
          <w:lang w:val="sr-Latn-ME"/>
        </w:rPr>
        <w:t>okrelizumabom</w:t>
      </w:r>
      <w:proofErr w:type="spellEnd"/>
      <w:r w:rsidRPr="002A6AB6">
        <w:rPr>
          <w:bCs/>
          <w:sz w:val="22"/>
          <w:szCs w:val="22"/>
          <w:lang w:val="sr-Latn-ME"/>
        </w:rPr>
        <w:t xml:space="preserve">, ljekari treba da provjere status imunizacije pacijenata. Pacijenti kojima je potrebna vakcinacija treba da je obave najmanje 6 nedjelja prije početka terapije </w:t>
      </w:r>
      <w:proofErr w:type="spellStart"/>
      <w:r w:rsidRPr="002A6AB6">
        <w:rPr>
          <w:bCs/>
          <w:sz w:val="22"/>
          <w:szCs w:val="22"/>
          <w:lang w:val="sr-Latn-ME"/>
        </w:rPr>
        <w:t>okrelizumabom</w:t>
      </w:r>
      <w:proofErr w:type="spellEnd"/>
      <w:r w:rsidRPr="002A6AB6">
        <w:rPr>
          <w:bCs/>
          <w:sz w:val="22"/>
          <w:szCs w:val="22"/>
          <w:lang w:val="sr-Latn-ME"/>
        </w:rPr>
        <w:t xml:space="preserve">. </w:t>
      </w:r>
    </w:p>
    <w:p w14:paraId="7F27145B" w14:textId="77777777" w:rsidR="00466B8B" w:rsidRPr="002A6AB6" w:rsidRDefault="00466B8B" w:rsidP="00587700">
      <w:pPr>
        <w:tabs>
          <w:tab w:val="left" w:pos="540"/>
          <w:tab w:val="left" w:pos="569"/>
        </w:tabs>
        <w:jc w:val="both"/>
        <w:rPr>
          <w:bCs/>
          <w:sz w:val="22"/>
          <w:szCs w:val="22"/>
          <w:lang w:val="sr-Latn-ME"/>
        </w:rPr>
      </w:pPr>
    </w:p>
    <w:p w14:paraId="1944D20F" w14:textId="77777777" w:rsidR="00466B8B" w:rsidRPr="002A6AB6" w:rsidRDefault="00466B8B" w:rsidP="00587700">
      <w:pPr>
        <w:tabs>
          <w:tab w:val="left" w:pos="540"/>
          <w:tab w:val="left" w:pos="569"/>
        </w:tabs>
        <w:jc w:val="both"/>
        <w:rPr>
          <w:bCs/>
          <w:i/>
          <w:iCs/>
          <w:sz w:val="22"/>
          <w:szCs w:val="22"/>
          <w:lang w:val="sr-Latn-ME"/>
        </w:rPr>
      </w:pPr>
      <w:r w:rsidRPr="002A6AB6">
        <w:rPr>
          <w:bCs/>
          <w:i/>
          <w:iCs/>
          <w:sz w:val="22"/>
          <w:szCs w:val="22"/>
          <w:lang w:val="sr-Latn-ME"/>
        </w:rPr>
        <w:t xml:space="preserve">In </w:t>
      </w:r>
      <w:proofErr w:type="spellStart"/>
      <w:r w:rsidRPr="002A6AB6">
        <w:rPr>
          <w:bCs/>
          <w:i/>
          <w:iCs/>
          <w:sz w:val="22"/>
          <w:szCs w:val="22"/>
          <w:lang w:val="sr-Latn-ME"/>
        </w:rPr>
        <w:t>utero</w:t>
      </w:r>
      <w:proofErr w:type="spellEnd"/>
      <w:r w:rsidRPr="002A6AB6">
        <w:rPr>
          <w:bCs/>
          <w:i/>
          <w:iCs/>
          <w:sz w:val="22"/>
          <w:szCs w:val="22"/>
          <w:lang w:val="sr-Latn-ME"/>
        </w:rPr>
        <w:t xml:space="preserve"> izloženost </w:t>
      </w:r>
      <w:proofErr w:type="spellStart"/>
      <w:r w:rsidRPr="002A6AB6">
        <w:rPr>
          <w:bCs/>
          <w:i/>
          <w:iCs/>
          <w:sz w:val="22"/>
          <w:szCs w:val="22"/>
          <w:lang w:val="sr-Latn-ME"/>
        </w:rPr>
        <w:t>okrelizumabu</w:t>
      </w:r>
      <w:proofErr w:type="spellEnd"/>
      <w:r w:rsidRPr="002A6AB6">
        <w:rPr>
          <w:bCs/>
          <w:i/>
          <w:iCs/>
          <w:sz w:val="22"/>
          <w:szCs w:val="22"/>
          <w:lang w:val="sr-Latn-ME"/>
        </w:rPr>
        <w:t xml:space="preserve"> i vakcinacija novorođenčadi i djece živim ili živim </w:t>
      </w:r>
      <w:proofErr w:type="spellStart"/>
      <w:r w:rsidRPr="002A6AB6">
        <w:rPr>
          <w:bCs/>
          <w:i/>
          <w:iCs/>
          <w:sz w:val="22"/>
          <w:szCs w:val="22"/>
          <w:lang w:val="sr-Latn-ME"/>
        </w:rPr>
        <w:t>atenuisanim</w:t>
      </w:r>
      <w:proofErr w:type="spellEnd"/>
      <w:r w:rsidRPr="002A6AB6">
        <w:rPr>
          <w:bCs/>
          <w:i/>
          <w:iCs/>
          <w:sz w:val="22"/>
          <w:szCs w:val="22"/>
          <w:lang w:val="sr-Latn-ME"/>
        </w:rPr>
        <w:t xml:space="preserve"> vakcinama</w:t>
      </w:r>
    </w:p>
    <w:p w14:paraId="7DD0886B"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Zbog potencijalne </w:t>
      </w:r>
      <w:proofErr w:type="spellStart"/>
      <w:r w:rsidRPr="002A6AB6">
        <w:rPr>
          <w:bCs/>
          <w:sz w:val="22"/>
          <w:szCs w:val="22"/>
          <w:lang w:val="sr-Latn-ME"/>
        </w:rPr>
        <w:t>deplecije</w:t>
      </w:r>
      <w:proofErr w:type="spellEnd"/>
      <w:r w:rsidRPr="002A6AB6">
        <w:rPr>
          <w:bCs/>
          <w:sz w:val="22"/>
          <w:szCs w:val="22"/>
          <w:lang w:val="sr-Latn-ME"/>
        </w:rPr>
        <w:t xml:space="preserve"> B-ćelija kod djece majki koje su bile izložene </w:t>
      </w:r>
      <w:proofErr w:type="spellStart"/>
      <w:r w:rsidRPr="002A6AB6">
        <w:rPr>
          <w:bCs/>
          <w:sz w:val="22"/>
          <w:szCs w:val="22"/>
          <w:lang w:val="sr-Latn-ME"/>
        </w:rPr>
        <w:t>okrelizumabu</w:t>
      </w:r>
      <w:proofErr w:type="spellEnd"/>
      <w:r w:rsidRPr="002A6AB6">
        <w:rPr>
          <w:bCs/>
          <w:sz w:val="22"/>
          <w:szCs w:val="22"/>
          <w:lang w:val="sr-Latn-ME"/>
        </w:rPr>
        <w:t xml:space="preserve"> u trudnoći, neophodno je da vakcinacija živim ili živim </w:t>
      </w:r>
      <w:proofErr w:type="spellStart"/>
      <w:r w:rsidRPr="002A6AB6">
        <w:rPr>
          <w:bCs/>
          <w:sz w:val="22"/>
          <w:szCs w:val="22"/>
          <w:lang w:val="sr-Latn-ME"/>
        </w:rPr>
        <w:t>atenuisanim</w:t>
      </w:r>
      <w:proofErr w:type="spellEnd"/>
      <w:r w:rsidRPr="002A6AB6">
        <w:rPr>
          <w:bCs/>
          <w:sz w:val="22"/>
          <w:szCs w:val="22"/>
          <w:lang w:val="sr-Latn-ME"/>
        </w:rPr>
        <w:t xml:space="preserve"> vakcinama bude odložena sve dok se broj B-ćelija ne obnovi; stoga, preporuka je da se prije vakcinacije izmjeri broj CD19 pozitivnih B-ćelija kod novorođenčadi i djece.</w:t>
      </w:r>
    </w:p>
    <w:p w14:paraId="440E6E87" w14:textId="77777777" w:rsidR="00466B8B" w:rsidRPr="002A6AB6" w:rsidRDefault="00466B8B" w:rsidP="00587700">
      <w:pPr>
        <w:tabs>
          <w:tab w:val="left" w:pos="540"/>
          <w:tab w:val="left" w:pos="569"/>
        </w:tabs>
        <w:jc w:val="both"/>
        <w:rPr>
          <w:bCs/>
          <w:sz w:val="22"/>
          <w:szCs w:val="22"/>
          <w:lang w:val="sr-Latn-ME"/>
        </w:rPr>
      </w:pPr>
    </w:p>
    <w:p w14:paraId="78B30A6E" w14:textId="2F055B08"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Preporuka je da sve vakcinacije osim živih ili živih </w:t>
      </w:r>
      <w:proofErr w:type="spellStart"/>
      <w:r w:rsidRPr="002A6AB6">
        <w:rPr>
          <w:bCs/>
          <w:sz w:val="22"/>
          <w:szCs w:val="22"/>
          <w:lang w:val="sr-Latn-ME"/>
        </w:rPr>
        <w:t>atenuisanih</w:t>
      </w:r>
      <w:proofErr w:type="spellEnd"/>
      <w:r w:rsidRPr="002A6AB6">
        <w:rPr>
          <w:bCs/>
          <w:sz w:val="22"/>
          <w:szCs w:val="22"/>
          <w:lang w:val="sr-Latn-ME"/>
        </w:rPr>
        <w:t xml:space="preserve"> treba da prate lokalno propisani raspored imunizacije i da se razmotri mjerenje vakcinama indukovanog odgovora putem titra kako bi se provjerilo da li su pojedinci postigli </w:t>
      </w:r>
      <w:proofErr w:type="spellStart"/>
      <w:r w:rsidRPr="002A6AB6">
        <w:rPr>
          <w:bCs/>
          <w:sz w:val="22"/>
          <w:szCs w:val="22"/>
          <w:lang w:val="sr-Latn-ME"/>
        </w:rPr>
        <w:t>protektivni</w:t>
      </w:r>
      <w:proofErr w:type="spellEnd"/>
      <w:r w:rsidRPr="002A6AB6">
        <w:rPr>
          <w:bCs/>
          <w:sz w:val="22"/>
          <w:szCs w:val="22"/>
          <w:lang w:val="sr-Latn-ME"/>
        </w:rPr>
        <w:t xml:space="preserve"> imuni odgovor, zbog mogućnosti smanjivanja efikasnosti vakcina.</w:t>
      </w:r>
    </w:p>
    <w:p w14:paraId="07A4128E" w14:textId="77777777" w:rsidR="00466B8B" w:rsidRPr="002A6AB6" w:rsidRDefault="00466B8B" w:rsidP="00587700">
      <w:pPr>
        <w:tabs>
          <w:tab w:val="left" w:pos="540"/>
          <w:tab w:val="left" w:pos="569"/>
        </w:tabs>
        <w:jc w:val="both"/>
        <w:rPr>
          <w:bCs/>
          <w:sz w:val="22"/>
          <w:szCs w:val="22"/>
          <w:lang w:val="sr-Latn-ME"/>
        </w:rPr>
      </w:pPr>
    </w:p>
    <w:p w14:paraId="3C6876FA"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O bezbjednosti i </w:t>
      </w:r>
      <w:proofErr w:type="spellStart"/>
      <w:r w:rsidRPr="002A6AB6">
        <w:rPr>
          <w:bCs/>
          <w:sz w:val="22"/>
          <w:szCs w:val="22"/>
          <w:lang w:val="sr-Latn-ME"/>
        </w:rPr>
        <w:t>vremenu</w:t>
      </w:r>
      <w:proofErr w:type="spellEnd"/>
      <w:r w:rsidRPr="002A6AB6">
        <w:rPr>
          <w:bCs/>
          <w:sz w:val="22"/>
          <w:szCs w:val="22"/>
          <w:lang w:val="sr-Latn-ME"/>
        </w:rPr>
        <w:t xml:space="preserve"> vakcinacije </w:t>
      </w:r>
      <w:proofErr w:type="spellStart"/>
      <w:r w:rsidRPr="002A6AB6">
        <w:rPr>
          <w:bCs/>
          <w:sz w:val="22"/>
          <w:szCs w:val="22"/>
          <w:lang w:val="sr-Latn-ME"/>
        </w:rPr>
        <w:t>djeteta</w:t>
      </w:r>
      <w:proofErr w:type="spellEnd"/>
      <w:r w:rsidRPr="002A6AB6">
        <w:rPr>
          <w:bCs/>
          <w:sz w:val="22"/>
          <w:szCs w:val="22"/>
          <w:lang w:val="sr-Latn-ME"/>
        </w:rPr>
        <w:t xml:space="preserve"> treba pričati sa njegovim ljekarom (vidjeti </w:t>
      </w:r>
      <w:r w:rsidR="00ED0D01" w:rsidRPr="002A6AB6">
        <w:rPr>
          <w:bCs/>
          <w:sz w:val="22"/>
          <w:szCs w:val="22"/>
          <w:lang w:val="sr-Latn-ME"/>
        </w:rPr>
        <w:t xml:space="preserve">dio </w:t>
      </w:r>
      <w:r w:rsidRPr="002A6AB6">
        <w:rPr>
          <w:bCs/>
          <w:sz w:val="22"/>
          <w:szCs w:val="22"/>
          <w:lang w:val="sr-Latn-ME"/>
        </w:rPr>
        <w:t>4.6).</w:t>
      </w:r>
    </w:p>
    <w:p w14:paraId="0EA920CD" w14:textId="77777777" w:rsidR="00466B8B" w:rsidRPr="002A6AB6" w:rsidRDefault="00466B8B" w:rsidP="00587700">
      <w:pPr>
        <w:tabs>
          <w:tab w:val="left" w:pos="540"/>
          <w:tab w:val="left" w:pos="569"/>
        </w:tabs>
        <w:jc w:val="both"/>
        <w:rPr>
          <w:bCs/>
          <w:sz w:val="22"/>
          <w:szCs w:val="22"/>
          <w:u w:val="single"/>
          <w:lang w:val="sr-Latn-ME"/>
        </w:rPr>
      </w:pPr>
    </w:p>
    <w:p w14:paraId="095C12FF" w14:textId="77777777" w:rsidR="00466B8B" w:rsidRPr="002A6AB6" w:rsidRDefault="00466B8B" w:rsidP="00587700">
      <w:pPr>
        <w:tabs>
          <w:tab w:val="left" w:pos="540"/>
          <w:tab w:val="left" w:pos="569"/>
        </w:tabs>
        <w:jc w:val="both"/>
        <w:rPr>
          <w:bCs/>
          <w:sz w:val="22"/>
          <w:szCs w:val="22"/>
          <w:u w:val="single"/>
          <w:lang w:val="sr-Latn-ME"/>
        </w:rPr>
      </w:pPr>
      <w:r w:rsidRPr="002A6AB6">
        <w:rPr>
          <w:bCs/>
          <w:sz w:val="22"/>
          <w:szCs w:val="22"/>
          <w:u w:val="single"/>
          <w:lang w:val="sr-Latn-ME"/>
        </w:rPr>
        <w:t xml:space="preserve">Natrijum </w:t>
      </w:r>
    </w:p>
    <w:p w14:paraId="4B143764"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Ovaj lijek sadrži manje od 1 </w:t>
      </w:r>
      <w:proofErr w:type="spellStart"/>
      <w:r w:rsidRPr="002A6AB6">
        <w:rPr>
          <w:bCs/>
          <w:sz w:val="22"/>
          <w:szCs w:val="22"/>
          <w:lang w:val="sr-Latn-ME"/>
        </w:rPr>
        <w:t>mmol</w:t>
      </w:r>
      <w:proofErr w:type="spellEnd"/>
      <w:r w:rsidRPr="002A6AB6">
        <w:rPr>
          <w:bCs/>
          <w:sz w:val="22"/>
          <w:szCs w:val="22"/>
          <w:lang w:val="sr-Latn-ME"/>
        </w:rPr>
        <w:t xml:space="preserve"> (23 mg) natrijuma po dozi, tj. u suštini je „bez natrijuma”.</w:t>
      </w:r>
    </w:p>
    <w:p w14:paraId="7C37E9C4" w14:textId="77777777" w:rsidR="00057E35" w:rsidRPr="002A6AB6" w:rsidRDefault="00057E35" w:rsidP="00587700">
      <w:pPr>
        <w:tabs>
          <w:tab w:val="left" w:pos="540"/>
          <w:tab w:val="left" w:pos="569"/>
        </w:tabs>
        <w:jc w:val="both"/>
        <w:rPr>
          <w:bCs/>
          <w:sz w:val="22"/>
          <w:szCs w:val="22"/>
          <w:lang w:val="sr-Latn-ME"/>
        </w:rPr>
      </w:pPr>
    </w:p>
    <w:p w14:paraId="08100A2E" w14:textId="77777777" w:rsidR="00411B4B" w:rsidRPr="002A6AB6" w:rsidRDefault="00411B4B" w:rsidP="00587700">
      <w:pPr>
        <w:tabs>
          <w:tab w:val="left" w:pos="540"/>
          <w:tab w:val="left" w:pos="569"/>
        </w:tabs>
        <w:jc w:val="both"/>
        <w:rPr>
          <w:b/>
          <w:bCs/>
          <w:sz w:val="22"/>
          <w:szCs w:val="22"/>
          <w:lang w:val="sr-Latn-ME"/>
        </w:rPr>
      </w:pPr>
      <w:r w:rsidRPr="002A6AB6">
        <w:rPr>
          <w:b/>
          <w:bCs/>
          <w:sz w:val="22"/>
          <w:szCs w:val="22"/>
          <w:lang w:val="sr-Latn-ME"/>
        </w:rPr>
        <w:t>4.5.</w:t>
      </w:r>
      <w:r w:rsidR="000D60CC" w:rsidRPr="002A6AB6">
        <w:rPr>
          <w:b/>
          <w:bCs/>
          <w:sz w:val="22"/>
          <w:szCs w:val="22"/>
          <w:lang w:val="sr-Latn-ME"/>
        </w:rPr>
        <w:tab/>
      </w:r>
      <w:r w:rsidRPr="002A6AB6">
        <w:rPr>
          <w:b/>
          <w:bCs/>
          <w:sz w:val="22"/>
          <w:szCs w:val="22"/>
          <w:lang w:val="sr-Latn-ME"/>
        </w:rPr>
        <w:t>Interakcije sa drugim ljekovima i druge vrste interakcija</w:t>
      </w:r>
    </w:p>
    <w:p w14:paraId="6A63317E" w14:textId="77777777" w:rsidR="00466B8B" w:rsidRPr="002A6AB6" w:rsidRDefault="00466B8B" w:rsidP="00587700">
      <w:pPr>
        <w:tabs>
          <w:tab w:val="left" w:pos="540"/>
          <w:tab w:val="left" w:pos="569"/>
        </w:tabs>
        <w:jc w:val="both"/>
        <w:rPr>
          <w:b/>
          <w:bCs/>
          <w:sz w:val="22"/>
          <w:szCs w:val="22"/>
          <w:lang w:val="sr-Latn-ME"/>
        </w:rPr>
      </w:pPr>
    </w:p>
    <w:p w14:paraId="7A6EA41C" w14:textId="77777777" w:rsidR="00466B8B" w:rsidRPr="002A6AB6" w:rsidRDefault="00466B8B" w:rsidP="00587700">
      <w:pPr>
        <w:tabs>
          <w:tab w:val="left" w:pos="540"/>
          <w:tab w:val="left" w:pos="567"/>
        </w:tabs>
        <w:jc w:val="both"/>
        <w:rPr>
          <w:bCs/>
          <w:sz w:val="22"/>
          <w:szCs w:val="22"/>
          <w:lang w:val="sr-Latn-ME"/>
        </w:rPr>
      </w:pPr>
      <w:r w:rsidRPr="002A6AB6">
        <w:rPr>
          <w:bCs/>
          <w:sz w:val="22"/>
          <w:szCs w:val="22"/>
          <w:lang w:val="sr-Latn-ME"/>
        </w:rPr>
        <w:t xml:space="preserve">Nisu sprovođene studije interakcije, jer se ne očekuju interakcije sa ljekovima putem enzima </w:t>
      </w:r>
      <w:proofErr w:type="spellStart"/>
      <w:r w:rsidRPr="002A6AB6">
        <w:rPr>
          <w:bCs/>
          <w:sz w:val="22"/>
          <w:szCs w:val="22"/>
          <w:lang w:val="sr-Latn-ME"/>
        </w:rPr>
        <w:t>citohroma</w:t>
      </w:r>
      <w:proofErr w:type="spellEnd"/>
      <w:r w:rsidRPr="002A6AB6">
        <w:rPr>
          <w:bCs/>
          <w:sz w:val="22"/>
          <w:szCs w:val="22"/>
          <w:lang w:val="sr-Latn-ME"/>
        </w:rPr>
        <w:t xml:space="preserve"> P450, drugim </w:t>
      </w:r>
      <w:proofErr w:type="spellStart"/>
      <w:r w:rsidRPr="002A6AB6">
        <w:rPr>
          <w:bCs/>
          <w:sz w:val="22"/>
          <w:szCs w:val="22"/>
          <w:lang w:val="sr-Latn-ME"/>
        </w:rPr>
        <w:t>metabolišućim</w:t>
      </w:r>
      <w:proofErr w:type="spellEnd"/>
      <w:r w:rsidRPr="002A6AB6">
        <w:rPr>
          <w:bCs/>
          <w:sz w:val="22"/>
          <w:szCs w:val="22"/>
          <w:lang w:val="sr-Latn-ME"/>
        </w:rPr>
        <w:t xml:space="preserve"> enzimima ili transporterima.  </w:t>
      </w:r>
    </w:p>
    <w:p w14:paraId="019AB140" w14:textId="77777777" w:rsidR="00466B8B" w:rsidRPr="002A6AB6" w:rsidRDefault="00466B8B" w:rsidP="00587700">
      <w:pPr>
        <w:tabs>
          <w:tab w:val="left" w:pos="540"/>
          <w:tab w:val="left" w:pos="567"/>
        </w:tabs>
        <w:jc w:val="both"/>
        <w:rPr>
          <w:bCs/>
          <w:sz w:val="22"/>
          <w:szCs w:val="22"/>
          <w:lang w:val="sr-Latn-ME"/>
        </w:rPr>
      </w:pPr>
    </w:p>
    <w:p w14:paraId="268E8718" w14:textId="77777777" w:rsidR="00466B8B" w:rsidRPr="002A6AB6" w:rsidRDefault="00466B8B" w:rsidP="00587700">
      <w:pPr>
        <w:tabs>
          <w:tab w:val="left" w:pos="540"/>
          <w:tab w:val="left" w:pos="569"/>
        </w:tabs>
        <w:jc w:val="both"/>
        <w:rPr>
          <w:bCs/>
          <w:iCs/>
          <w:sz w:val="22"/>
          <w:szCs w:val="22"/>
          <w:u w:val="single"/>
          <w:lang w:val="sr-Latn-ME"/>
        </w:rPr>
      </w:pPr>
      <w:r w:rsidRPr="002A6AB6">
        <w:rPr>
          <w:bCs/>
          <w:sz w:val="22"/>
          <w:szCs w:val="22"/>
          <w:u w:val="single"/>
          <w:lang w:val="sr-Latn-ME"/>
        </w:rPr>
        <w:t>Vakcinacije</w:t>
      </w:r>
    </w:p>
    <w:p w14:paraId="44E168F4" w14:textId="77777777" w:rsidR="00466B8B" w:rsidRPr="002A6AB6" w:rsidRDefault="00466B8B" w:rsidP="00587700">
      <w:pPr>
        <w:tabs>
          <w:tab w:val="left" w:pos="540"/>
          <w:tab w:val="left" w:pos="569"/>
        </w:tabs>
        <w:jc w:val="both"/>
        <w:rPr>
          <w:bCs/>
          <w:sz w:val="22"/>
          <w:szCs w:val="22"/>
          <w:lang w:val="sr-Latn-ME"/>
        </w:rPr>
      </w:pPr>
    </w:p>
    <w:p w14:paraId="168437B1" w14:textId="77777777" w:rsidR="00466B8B" w:rsidRPr="002A6AB6" w:rsidRDefault="00466B8B" w:rsidP="00587700">
      <w:pPr>
        <w:tabs>
          <w:tab w:val="left" w:pos="540"/>
          <w:tab w:val="left" w:pos="569"/>
        </w:tabs>
        <w:jc w:val="both"/>
        <w:rPr>
          <w:bCs/>
          <w:iCs/>
          <w:sz w:val="22"/>
          <w:szCs w:val="22"/>
          <w:lang w:val="sr-Latn-ME"/>
        </w:rPr>
      </w:pPr>
      <w:r w:rsidRPr="002A6AB6">
        <w:rPr>
          <w:bCs/>
          <w:sz w:val="22"/>
          <w:szCs w:val="22"/>
          <w:lang w:val="sr-Latn-ME"/>
        </w:rPr>
        <w:t xml:space="preserve">Bezbjednost imunizacije živim ili živim </w:t>
      </w:r>
      <w:proofErr w:type="spellStart"/>
      <w:r w:rsidRPr="002A6AB6">
        <w:rPr>
          <w:bCs/>
          <w:sz w:val="22"/>
          <w:szCs w:val="22"/>
          <w:lang w:val="sr-Latn-ME"/>
        </w:rPr>
        <w:t>atenuisanim</w:t>
      </w:r>
      <w:proofErr w:type="spellEnd"/>
      <w:r w:rsidRPr="002A6AB6">
        <w:rPr>
          <w:bCs/>
          <w:sz w:val="22"/>
          <w:szCs w:val="22"/>
          <w:lang w:val="sr-Latn-ME"/>
        </w:rPr>
        <w:t xml:space="preserve"> virusnim vakcinama nakon terapije </w:t>
      </w:r>
      <w:proofErr w:type="spellStart"/>
      <w:r w:rsidRPr="002A6AB6">
        <w:rPr>
          <w:bCs/>
          <w:sz w:val="22"/>
          <w:szCs w:val="22"/>
          <w:lang w:val="sr-Latn-ME"/>
        </w:rPr>
        <w:t>okrelizumabom</w:t>
      </w:r>
      <w:proofErr w:type="spellEnd"/>
      <w:r w:rsidRPr="002A6AB6">
        <w:rPr>
          <w:bCs/>
          <w:sz w:val="22"/>
          <w:szCs w:val="22"/>
          <w:lang w:val="sr-Latn-ME"/>
        </w:rPr>
        <w:t xml:space="preserve"> nije ispitana.</w:t>
      </w:r>
    </w:p>
    <w:p w14:paraId="69593167" w14:textId="77777777" w:rsidR="00466B8B" w:rsidRPr="002A6AB6" w:rsidRDefault="00466B8B" w:rsidP="00587700">
      <w:pPr>
        <w:tabs>
          <w:tab w:val="left" w:pos="540"/>
          <w:tab w:val="left" w:pos="569"/>
        </w:tabs>
        <w:jc w:val="both"/>
        <w:rPr>
          <w:bCs/>
          <w:sz w:val="22"/>
          <w:szCs w:val="22"/>
          <w:lang w:val="sr-Latn-ME"/>
        </w:rPr>
      </w:pPr>
    </w:p>
    <w:p w14:paraId="1DC92DC9" w14:textId="77777777" w:rsidR="00466B8B" w:rsidRPr="002A6AB6" w:rsidRDefault="00466B8B" w:rsidP="00587700">
      <w:pPr>
        <w:tabs>
          <w:tab w:val="left" w:pos="540"/>
          <w:tab w:val="left" w:pos="569"/>
        </w:tabs>
        <w:jc w:val="both"/>
        <w:rPr>
          <w:bCs/>
          <w:iCs/>
          <w:sz w:val="22"/>
          <w:szCs w:val="22"/>
          <w:lang w:val="sr-Latn-ME"/>
        </w:rPr>
      </w:pPr>
      <w:r w:rsidRPr="002A6AB6">
        <w:rPr>
          <w:bCs/>
          <w:sz w:val="22"/>
          <w:szCs w:val="22"/>
          <w:lang w:val="sr-Latn-ME"/>
        </w:rPr>
        <w:t xml:space="preserve">Dostupni su podaci o uticajima </w:t>
      </w:r>
      <w:proofErr w:type="spellStart"/>
      <w:r w:rsidRPr="002A6AB6">
        <w:rPr>
          <w:bCs/>
          <w:sz w:val="22"/>
          <w:szCs w:val="22"/>
          <w:lang w:val="sr-Latn-ME"/>
        </w:rPr>
        <w:t>tetanusnog</w:t>
      </w:r>
      <w:proofErr w:type="spellEnd"/>
      <w:r w:rsidRPr="002A6AB6">
        <w:rPr>
          <w:bCs/>
          <w:sz w:val="22"/>
          <w:szCs w:val="22"/>
          <w:lang w:val="sr-Latn-ME"/>
        </w:rPr>
        <w:t xml:space="preserve"> </w:t>
      </w:r>
      <w:proofErr w:type="spellStart"/>
      <w:r w:rsidRPr="002A6AB6">
        <w:rPr>
          <w:bCs/>
          <w:sz w:val="22"/>
          <w:szCs w:val="22"/>
          <w:lang w:val="sr-Latn-ME"/>
        </w:rPr>
        <w:t>toksoida</w:t>
      </w:r>
      <w:proofErr w:type="spellEnd"/>
      <w:r w:rsidRPr="002A6AB6">
        <w:rPr>
          <w:bCs/>
          <w:sz w:val="22"/>
          <w:szCs w:val="22"/>
          <w:lang w:val="sr-Latn-ME"/>
        </w:rPr>
        <w:t xml:space="preserve">, 23-valentne </w:t>
      </w:r>
      <w:proofErr w:type="spellStart"/>
      <w:r w:rsidRPr="002A6AB6">
        <w:rPr>
          <w:bCs/>
          <w:sz w:val="22"/>
          <w:szCs w:val="22"/>
          <w:lang w:val="sr-Latn-ME"/>
        </w:rPr>
        <w:t>pneumokokne</w:t>
      </w:r>
      <w:proofErr w:type="spellEnd"/>
      <w:r w:rsidRPr="002A6AB6">
        <w:rPr>
          <w:bCs/>
          <w:sz w:val="22"/>
          <w:szCs w:val="22"/>
          <w:lang w:val="sr-Latn-ME"/>
        </w:rPr>
        <w:t xml:space="preserve"> </w:t>
      </w:r>
      <w:proofErr w:type="spellStart"/>
      <w:r w:rsidRPr="002A6AB6">
        <w:rPr>
          <w:bCs/>
          <w:sz w:val="22"/>
          <w:szCs w:val="22"/>
          <w:lang w:val="sr-Latn-ME"/>
        </w:rPr>
        <w:t>polisaharidne</w:t>
      </w:r>
      <w:proofErr w:type="spellEnd"/>
      <w:r w:rsidRPr="002A6AB6">
        <w:rPr>
          <w:bCs/>
          <w:sz w:val="22"/>
          <w:szCs w:val="22"/>
          <w:lang w:val="sr-Latn-ME"/>
        </w:rPr>
        <w:t xml:space="preserve"> vakcine, </w:t>
      </w:r>
      <w:proofErr w:type="spellStart"/>
      <w:r w:rsidRPr="002A6AB6">
        <w:rPr>
          <w:bCs/>
          <w:i/>
          <w:iCs/>
          <w:sz w:val="22"/>
          <w:szCs w:val="22"/>
          <w:lang w:val="sr-Latn-ME"/>
        </w:rPr>
        <w:t>keyhole</w:t>
      </w:r>
      <w:proofErr w:type="spellEnd"/>
      <w:r w:rsidRPr="002A6AB6">
        <w:rPr>
          <w:bCs/>
          <w:i/>
          <w:iCs/>
          <w:sz w:val="22"/>
          <w:szCs w:val="22"/>
          <w:lang w:val="sr-Latn-ME"/>
        </w:rPr>
        <w:t xml:space="preserve"> </w:t>
      </w:r>
      <w:proofErr w:type="spellStart"/>
      <w:r w:rsidRPr="002A6AB6">
        <w:rPr>
          <w:bCs/>
          <w:i/>
          <w:iCs/>
          <w:sz w:val="22"/>
          <w:szCs w:val="22"/>
          <w:lang w:val="sr-Latn-ME"/>
        </w:rPr>
        <w:t>limpet</w:t>
      </w:r>
      <w:proofErr w:type="spellEnd"/>
      <w:r w:rsidRPr="002A6AB6">
        <w:rPr>
          <w:bCs/>
          <w:i/>
          <w:iCs/>
          <w:sz w:val="22"/>
          <w:szCs w:val="22"/>
          <w:lang w:val="sr-Latn-ME"/>
        </w:rPr>
        <w:t xml:space="preserve"> </w:t>
      </w:r>
      <w:proofErr w:type="spellStart"/>
      <w:r w:rsidRPr="002A6AB6">
        <w:rPr>
          <w:bCs/>
          <w:i/>
          <w:iCs/>
          <w:sz w:val="22"/>
          <w:szCs w:val="22"/>
          <w:lang w:val="sr-Latn-ME"/>
        </w:rPr>
        <w:t>haemocyanin</w:t>
      </w:r>
      <w:proofErr w:type="spellEnd"/>
      <w:r w:rsidRPr="002A6AB6">
        <w:rPr>
          <w:bCs/>
          <w:sz w:val="22"/>
          <w:szCs w:val="22"/>
          <w:lang w:val="sr-Latn-ME"/>
        </w:rPr>
        <w:t xml:space="preserve"> (KLH) </w:t>
      </w:r>
      <w:proofErr w:type="spellStart"/>
      <w:r w:rsidRPr="002A6AB6">
        <w:rPr>
          <w:bCs/>
          <w:sz w:val="22"/>
          <w:szCs w:val="22"/>
          <w:lang w:val="sr-Latn-ME"/>
        </w:rPr>
        <w:t>neoantigena</w:t>
      </w:r>
      <w:proofErr w:type="spellEnd"/>
      <w:r w:rsidRPr="002A6AB6">
        <w:rPr>
          <w:bCs/>
          <w:sz w:val="22"/>
          <w:szCs w:val="22"/>
          <w:lang w:val="sr-Latn-ME"/>
        </w:rPr>
        <w:t xml:space="preserve"> i sezonskim vakcinama protiv gripa kod pacijenata koji primaju </w:t>
      </w:r>
      <w:proofErr w:type="spellStart"/>
      <w:r w:rsidRPr="002A6AB6">
        <w:rPr>
          <w:bCs/>
          <w:sz w:val="22"/>
          <w:szCs w:val="22"/>
          <w:lang w:val="sr-Latn-ME"/>
        </w:rPr>
        <w:t>okrelizumab</w:t>
      </w:r>
      <w:proofErr w:type="spellEnd"/>
      <w:r w:rsidRPr="002A6AB6">
        <w:rPr>
          <w:bCs/>
          <w:sz w:val="22"/>
          <w:szCs w:val="22"/>
          <w:lang w:val="sr-Latn-ME"/>
        </w:rPr>
        <w:t xml:space="preserve"> (vidjeti </w:t>
      </w:r>
      <w:r w:rsidR="00ED0D01" w:rsidRPr="002A6AB6">
        <w:rPr>
          <w:bCs/>
          <w:sz w:val="22"/>
          <w:szCs w:val="22"/>
          <w:lang w:val="sr-Latn-ME"/>
        </w:rPr>
        <w:t xml:space="preserve">dio </w:t>
      </w:r>
      <w:r w:rsidRPr="002A6AB6">
        <w:rPr>
          <w:bCs/>
          <w:sz w:val="22"/>
          <w:szCs w:val="22"/>
          <w:lang w:val="sr-Latn-ME"/>
        </w:rPr>
        <w:t>4.4 i 5.1). </w:t>
      </w:r>
    </w:p>
    <w:p w14:paraId="49EE4B0A" w14:textId="77777777" w:rsidR="00466B8B" w:rsidRPr="002A6AB6" w:rsidRDefault="00466B8B" w:rsidP="00587700">
      <w:pPr>
        <w:tabs>
          <w:tab w:val="left" w:pos="540"/>
          <w:tab w:val="left" w:pos="569"/>
        </w:tabs>
        <w:jc w:val="both"/>
        <w:rPr>
          <w:bCs/>
          <w:sz w:val="22"/>
          <w:szCs w:val="22"/>
          <w:lang w:val="sr-Latn-ME"/>
        </w:rPr>
      </w:pPr>
    </w:p>
    <w:p w14:paraId="55C1A25D" w14:textId="77777777" w:rsidR="00466B8B" w:rsidRPr="002A6AB6" w:rsidRDefault="00466B8B" w:rsidP="00587700">
      <w:pPr>
        <w:tabs>
          <w:tab w:val="left" w:pos="540"/>
          <w:tab w:val="left" w:pos="569"/>
        </w:tabs>
        <w:jc w:val="both"/>
        <w:rPr>
          <w:bCs/>
          <w:iCs/>
          <w:sz w:val="22"/>
          <w:szCs w:val="22"/>
          <w:lang w:val="sr-Latn-ME"/>
        </w:rPr>
      </w:pPr>
      <w:r w:rsidRPr="002A6AB6">
        <w:rPr>
          <w:bCs/>
          <w:sz w:val="22"/>
          <w:szCs w:val="22"/>
          <w:lang w:val="sr-Latn-ME"/>
        </w:rPr>
        <w:t xml:space="preserve">Nakon terapije </w:t>
      </w:r>
      <w:proofErr w:type="spellStart"/>
      <w:r w:rsidRPr="002A6AB6">
        <w:rPr>
          <w:bCs/>
          <w:sz w:val="22"/>
          <w:szCs w:val="22"/>
          <w:lang w:val="sr-Latn-ME"/>
        </w:rPr>
        <w:t>intravenskim</w:t>
      </w:r>
      <w:proofErr w:type="spellEnd"/>
      <w:r w:rsidRPr="002A6AB6">
        <w:rPr>
          <w:bCs/>
          <w:sz w:val="22"/>
          <w:szCs w:val="22"/>
          <w:lang w:val="sr-Latn-ME"/>
        </w:rPr>
        <w:t xml:space="preserve"> </w:t>
      </w:r>
      <w:proofErr w:type="spellStart"/>
      <w:r w:rsidRPr="002A6AB6">
        <w:rPr>
          <w:bCs/>
          <w:sz w:val="22"/>
          <w:szCs w:val="22"/>
          <w:lang w:val="sr-Latn-ME"/>
        </w:rPr>
        <w:t>okrelizumabom</w:t>
      </w:r>
      <w:proofErr w:type="spellEnd"/>
      <w:r w:rsidRPr="002A6AB6">
        <w:rPr>
          <w:bCs/>
          <w:sz w:val="22"/>
          <w:szCs w:val="22"/>
          <w:lang w:val="sr-Latn-ME"/>
        </w:rPr>
        <w:t xml:space="preserve"> tokom 2 godine, procenat pacijenata sa pozitivnim </w:t>
      </w:r>
      <w:proofErr w:type="spellStart"/>
      <w:r w:rsidRPr="002A6AB6">
        <w:rPr>
          <w:bCs/>
          <w:sz w:val="22"/>
          <w:szCs w:val="22"/>
          <w:lang w:val="sr-Latn-ME"/>
        </w:rPr>
        <w:t>titrom</w:t>
      </w:r>
      <w:proofErr w:type="spellEnd"/>
      <w:r w:rsidRPr="002A6AB6">
        <w:rPr>
          <w:bCs/>
          <w:sz w:val="22"/>
          <w:szCs w:val="22"/>
          <w:lang w:val="sr-Latn-ME"/>
        </w:rPr>
        <w:t xml:space="preserve"> antitijela na </w:t>
      </w:r>
      <w:r w:rsidRPr="002A6AB6">
        <w:rPr>
          <w:bCs/>
          <w:i/>
          <w:iCs/>
          <w:sz w:val="22"/>
          <w:szCs w:val="22"/>
          <w:lang w:val="sr-Latn-ME"/>
        </w:rPr>
        <w:t xml:space="preserve">S. </w:t>
      </w:r>
      <w:proofErr w:type="spellStart"/>
      <w:r w:rsidRPr="002A6AB6">
        <w:rPr>
          <w:bCs/>
          <w:i/>
          <w:iCs/>
          <w:sz w:val="22"/>
          <w:szCs w:val="22"/>
          <w:lang w:val="sr-Latn-ME"/>
        </w:rPr>
        <w:t>pneumoniae</w:t>
      </w:r>
      <w:proofErr w:type="spellEnd"/>
      <w:r w:rsidRPr="002A6AB6">
        <w:rPr>
          <w:bCs/>
          <w:sz w:val="22"/>
          <w:szCs w:val="22"/>
          <w:lang w:val="sr-Latn-ME"/>
        </w:rPr>
        <w:t xml:space="preserve">, zauške, rubeolu i </w:t>
      </w:r>
      <w:proofErr w:type="spellStart"/>
      <w:r w:rsidRPr="002A6AB6">
        <w:rPr>
          <w:bCs/>
          <w:sz w:val="22"/>
          <w:szCs w:val="22"/>
          <w:lang w:val="sr-Latn-ME"/>
        </w:rPr>
        <w:t>varičelu</w:t>
      </w:r>
      <w:proofErr w:type="spellEnd"/>
      <w:r w:rsidRPr="002A6AB6">
        <w:rPr>
          <w:bCs/>
          <w:sz w:val="22"/>
          <w:szCs w:val="22"/>
          <w:lang w:val="sr-Latn-ME"/>
        </w:rPr>
        <w:t xml:space="preserve"> bio je u načelu sličan sa procentima </w:t>
      </w:r>
      <w:proofErr w:type="spellStart"/>
      <w:r w:rsidRPr="002A6AB6">
        <w:rPr>
          <w:bCs/>
          <w:sz w:val="22"/>
          <w:szCs w:val="22"/>
          <w:lang w:val="sr-Latn-ME"/>
        </w:rPr>
        <w:t>zabilježenim</w:t>
      </w:r>
      <w:proofErr w:type="spellEnd"/>
      <w:r w:rsidRPr="002A6AB6">
        <w:rPr>
          <w:bCs/>
          <w:sz w:val="22"/>
          <w:szCs w:val="22"/>
          <w:lang w:val="sr-Latn-ME"/>
        </w:rPr>
        <w:t xml:space="preserve"> na početku terapije.</w:t>
      </w:r>
    </w:p>
    <w:p w14:paraId="007E9A90" w14:textId="77777777" w:rsidR="00466B8B" w:rsidRPr="002A6AB6" w:rsidRDefault="00466B8B" w:rsidP="00587700">
      <w:pPr>
        <w:tabs>
          <w:tab w:val="left" w:pos="540"/>
          <w:tab w:val="left" w:pos="569"/>
        </w:tabs>
        <w:jc w:val="both"/>
        <w:rPr>
          <w:bCs/>
          <w:sz w:val="22"/>
          <w:szCs w:val="22"/>
          <w:lang w:val="sr-Latn-ME"/>
        </w:rPr>
      </w:pPr>
    </w:p>
    <w:p w14:paraId="13FC3273" w14:textId="77777777" w:rsidR="00466B8B" w:rsidRPr="002A6AB6" w:rsidRDefault="00466B8B" w:rsidP="00587700">
      <w:pPr>
        <w:tabs>
          <w:tab w:val="left" w:pos="540"/>
          <w:tab w:val="left" w:pos="569"/>
        </w:tabs>
        <w:jc w:val="both"/>
        <w:rPr>
          <w:bCs/>
          <w:iCs/>
          <w:sz w:val="22"/>
          <w:szCs w:val="22"/>
          <w:u w:val="single"/>
          <w:lang w:val="sr-Latn-ME"/>
        </w:rPr>
      </w:pPr>
      <w:proofErr w:type="spellStart"/>
      <w:r w:rsidRPr="002A6AB6">
        <w:rPr>
          <w:bCs/>
          <w:sz w:val="22"/>
          <w:szCs w:val="22"/>
          <w:u w:val="single"/>
          <w:lang w:val="sr-Latn-ME"/>
        </w:rPr>
        <w:t>Imunosupresivi</w:t>
      </w:r>
      <w:proofErr w:type="spellEnd"/>
      <w:r w:rsidRPr="002A6AB6">
        <w:rPr>
          <w:bCs/>
          <w:sz w:val="22"/>
          <w:szCs w:val="22"/>
          <w:u w:val="single"/>
          <w:lang w:val="sr-Latn-ME"/>
        </w:rPr>
        <w:t xml:space="preserve"> </w:t>
      </w:r>
    </w:p>
    <w:p w14:paraId="164990B2"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Ne preporučuje se upotreba drugih </w:t>
      </w:r>
      <w:proofErr w:type="spellStart"/>
      <w:r w:rsidRPr="002A6AB6">
        <w:rPr>
          <w:bCs/>
          <w:sz w:val="22"/>
          <w:szCs w:val="22"/>
          <w:lang w:val="sr-Latn-ME"/>
        </w:rPr>
        <w:t>imunosupresiva</w:t>
      </w:r>
      <w:proofErr w:type="spellEnd"/>
      <w:r w:rsidRPr="002A6AB6">
        <w:rPr>
          <w:bCs/>
          <w:sz w:val="22"/>
          <w:szCs w:val="22"/>
          <w:lang w:val="sr-Latn-ME"/>
        </w:rPr>
        <w:t xml:space="preserve"> istovremeno sa </w:t>
      </w:r>
      <w:proofErr w:type="spellStart"/>
      <w:r w:rsidRPr="002A6AB6">
        <w:rPr>
          <w:bCs/>
          <w:sz w:val="22"/>
          <w:szCs w:val="22"/>
          <w:lang w:val="sr-Latn-ME"/>
        </w:rPr>
        <w:t>okrelizumabom</w:t>
      </w:r>
      <w:proofErr w:type="spellEnd"/>
      <w:r w:rsidRPr="002A6AB6">
        <w:rPr>
          <w:bCs/>
          <w:sz w:val="22"/>
          <w:szCs w:val="22"/>
          <w:lang w:val="sr-Latn-ME"/>
        </w:rPr>
        <w:t xml:space="preserve">, osim </w:t>
      </w:r>
      <w:proofErr w:type="spellStart"/>
      <w:r w:rsidRPr="002A6AB6">
        <w:rPr>
          <w:bCs/>
          <w:sz w:val="22"/>
          <w:szCs w:val="22"/>
          <w:lang w:val="sr-Latn-ME"/>
        </w:rPr>
        <w:t>kortikosteroida</w:t>
      </w:r>
      <w:proofErr w:type="spellEnd"/>
      <w:r w:rsidRPr="002A6AB6">
        <w:rPr>
          <w:bCs/>
          <w:sz w:val="22"/>
          <w:szCs w:val="22"/>
          <w:lang w:val="sr-Latn-ME"/>
        </w:rPr>
        <w:t xml:space="preserve"> za </w:t>
      </w:r>
      <w:proofErr w:type="spellStart"/>
      <w:r w:rsidRPr="002A6AB6">
        <w:rPr>
          <w:bCs/>
          <w:sz w:val="22"/>
          <w:szCs w:val="22"/>
          <w:lang w:val="sr-Latn-ME"/>
        </w:rPr>
        <w:t>simptomatsku</w:t>
      </w:r>
      <w:proofErr w:type="spellEnd"/>
      <w:r w:rsidRPr="002A6AB6">
        <w:rPr>
          <w:bCs/>
          <w:sz w:val="22"/>
          <w:szCs w:val="22"/>
          <w:lang w:val="sr-Latn-ME"/>
        </w:rPr>
        <w:t xml:space="preserve"> terapiju </w:t>
      </w:r>
      <w:proofErr w:type="spellStart"/>
      <w:r w:rsidRPr="002A6AB6">
        <w:rPr>
          <w:bCs/>
          <w:sz w:val="22"/>
          <w:szCs w:val="22"/>
          <w:lang w:val="sr-Latn-ME"/>
        </w:rPr>
        <w:t>relapsa</w:t>
      </w:r>
      <w:proofErr w:type="spellEnd"/>
      <w:r w:rsidRPr="002A6AB6">
        <w:rPr>
          <w:bCs/>
          <w:sz w:val="22"/>
          <w:szCs w:val="22"/>
          <w:lang w:val="sr-Latn-ME"/>
        </w:rPr>
        <w:t xml:space="preserve"> (vidjeti </w:t>
      </w:r>
      <w:r w:rsidR="00ED0D01" w:rsidRPr="002A6AB6">
        <w:rPr>
          <w:bCs/>
          <w:sz w:val="22"/>
          <w:szCs w:val="22"/>
          <w:lang w:val="sr-Latn-ME"/>
        </w:rPr>
        <w:t xml:space="preserve">dio </w:t>
      </w:r>
      <w:r w:rsidRPr="002A6AB6">
        <w:rPr>
          <w:bCs/>
          <w:sz w:val="22"/>
          <w:szCs w:val="22"/>
          <w:lang w:val="sr-Latn-ME"/>
        </w:rPr>
        <w:t>4.4).</w:t>
      </w:r>
    </w:p>
    <w:p w14:paraId="1F40B4DD" w14:textId="77777777" w:rsidR="0072020E" w:rsidRPr="002A6AB6" w:rsidRDefault="0072020E" w:rsidP="00587700">
      <w:pPr>
        <w:tabs>
          <w:tab w:val="left" w:pos="540"/>
          <w:tab w:val="left" w:pos="569"/>
        </w:tabs>
        <w:jc w:val="both"/>
        <w:rPr>
          <w:bCs/>
          <w:sz w:val="22"/>
          <w:szCs w:val="22"/>
          <w:lang w:val="sr-Latn-ME"/>
        </w:rPr>
      </w:pPr>
    </w:p>
    <w:p w14:paraId="10673E9B" w14:textId="77777777" w:rsidR="0072020E" w:rsidRPr="002A6AB6" w:rsidRDefault="0072020E" w:rsidP="00587700">
      <w:pPr>
        <w:tabs>
          <w:tab w:val="left" w:pos="540"/>
          <w:tab w:val="left" w:pos="569"/>
        </w:tabs>
        <w:jc w:val="both"/>
        <w:rPr>
          <w:b/>
          <w:sz w:val="22"/>
          <w:szCs w:val="22"/>
          <w:lang w:val="sr-Latn-ME"/>
        </w:rPr>
      </w:pPr>
      <w:r w:rsidRPr="002A6AB6">
        <w:rPr>
          <w:b/>
          <w:bCs/>
          <w:sz w:val="22"/>
          <w:szCs w:val="22"/>
          <w:lang w:val="sr-Latn-ME"/>
        </w:rPr>
        <w:t xml:space="preserve">4.6. </w:t>
      </w:r>
      <w:r w:rsidR="00480FB1" w:rsidRPr="002A6AB6">
        <w:rPr>
          <w:b/>
          <w:bCs/>
          <w:sz w:val="22"/>
          <w:szCs w:val="22"/>
          <w:lang w:val="sr-Latn-ME"/>
        </w:rPr>
        <w:tab/>
      </w:r>
      <w:r w:rsidR="006D20A5" w:rsidRPr="002A6AB6">
        <w:rPr>
          <w:b/>
          <w:sz w:val="22"/>
          <w:szCs w:val="22"/>
          <w:lang w:val="sr-Latn-ME"/>
        </w:rPr>
        <w:t>Plodnost, trudnoća i dojenje</w:t>
      </w:r>
    </w:p>
    <w:p w14:paraId="63D97C40" w14:textId="77777777" w:rsidR="002031B3" w:rsidRPr="002A6AB6" w:rsidRDefault="002031B3" w:rsidP="00587700">
      <w:pPr>
        <w:tabs>
          <w:tab w:val="left" w:pos="540"/>
          <w:tab w:val="left" w:pos="569"/>
        </w:tabs>
        <w:jc w:val="both"/>
        <w:rPr>
          <w:sz w:val="22"/>
          <w:szCs w:val="22"/>
          <w:u w:val="single"/>
          <w:lang w:val="sr-Latn-ME"/>
        </w:rPr>
      </w:pPr>
    </w:p>
    <w:p w14:paraId="29808914" w14:textId="77777777" w:rsidR="00466B8B" w:rsidRPr="002A6AB6" w:rsidRDefault="00466B8B" w:rsidP="00587700">
      <w:pPr>
        <w:tabs>
          <w:tab w:val="left" w:pos="540"/>
          <w:tab w:val="left" w:pos="567"/>
        </w:tabs>
        <w:jc w:val="both"/>
        <w:rPr>
          <w:sz w:val="22"/>
          <w:szCs w:val="22"/>
          <w:u w:val="single"/>
          <w:lang w:val="sr-Latn-ME"/>
        </w:rPr>
      </w:pPr>
      <w:r w:rsidRPr="002A6AB6">
        <w:rPr>
          <w:sz w:val="22"/>
          <w:szCs w:val="22"/>
          <w:u w:val="single"/>
          <w:lang w:val="sr-Latn-ME"/>
        </w:rPr>
        <w:t>Žene u reproduktivnom periodu</w:t>
      </w:r>
    </w:p>
    <w:p w14:paraId="7B3BED6F" w14:textId="77777777" w:rsidR="00466B8B" w:rsidRPr="002A6AB6" w:rsidRDefault="00466B8B" w:rsidP="00587700">
      <w:pPr>
        <w:tabs>
          <w:tab w:val="left" w:pos="540"/>
          <w:tab w:val="left" w:pos="567"/>
        </w:tabs>
        <w:jc w:val="both"/>
        <w:rPr>
          <w:sz w:val="22"/>
          <w:szCs w:val="22"/>
          <w:lang w:val="sr-Latn-ME"/>
        </w:rPr>
      </w:pPr>
      <w:r w:rsidRPr="002A6AB6">
        <w:rPr>
          <w:sz w:val="22"/>
          <w:szCs w:val="22"/>
          <w:lang w:val="sr-Latn-ME"/>
        </w:rPr>
        <w:t xml:space="preserve">Žene u reproduktivnom periodu treba da koriste kontracepciju dok primaju </w:t>
      </w:r>
      <w:proofErr w:type="spellStart"/>
      <w:r w:rsidRPr="002A6AB6">
        <w:rPr>
          <w:sz w:val="22"/>
          <w:szCs w:val="22"/>
          <w:lang w:val="sr-Latn-ME"/>
        </w:rPr>
        <w:t>okrelizumab</w:t>
      </w:r>
      <w:proofErr w:type="spellEnd"/>
      <w:r w:rsidRPr="002A6AB6">
        <w:rPr>
          <w:sz w:val="22"/>
          <w:szCs w:val="22"/>
          <w:lang w:val="sr-Latn-ME"/>
        </w:rPr>
        <w:t xml:space="preserve"> i tokom 4 mjeseca nakon posl</w:t>
      </w:r>
      <w:r w:rsidR="00550472" w:rsidRPr="002A6AB6">
        <w:rPr>
          <w:sz w:val="22"/>
          <w:szCs w:val="22"/>
          <w:lang w:val="sr-Latn-ME"/>
        </w:rPr>
        <w:t>j</w:t>
      </w:r>
      <w:r w:rsidRPr="002A6AB6">
        <w:rPr>
          <w:sz w:val="22"/>
          <w:szCs w:val="22"/>
          <w:lang w:val="sr-Latn-ME"/>
        </w:rPr>
        <w:t xml:space="preserve">ednje primijenjene doze </w:t>
      </w:r>
      <w:proofErr w:type="spellStart"/>
      <w:r w:rsidRPr="002A6AB6">
        <w:rPr>
          <w:sz w:val="22"/>
          <w:szCs w:val="22"/>
          <w:lang w:val="sr-Latn-ME"/>
        </w:rPr>
        <w:t>okrelizumaba</w:t>
      </w:r>
      <w:proofErr w:type="spellEnd"/>
      <w:r w:rsidRPr="002A6AB6">
        <w:rPr>
          <w:sz w:val="22"/>
          <w:szCs w:val="22"/>
          <w:lang w:val="sr-Latn-ME"/>
        </w:rPr>
        <w:t>.</w:t>
      </w:r>
    </w:p>
    <w:p w14:paraId="4510C57E" w14:textId="77777777" w:rsidR="00466B8B" w:rsidRPr="002A6AB6" w:rsidRDefault="00466B8B" w:rsidP="00587700">
      <w:pPr>
        <w:tabs>
          <w:tab w:val="left" w:pos="540"/>
          <w:tab w:val="left" w:pos="567"/>
        </w:tabs>
        <w:jc w:val="both"/>
        <w:rPr>
          <w:sz w:val="22"/>
          <w:szCs w:val="22"/>
          <w:u w:val="single"/>
          <w:lang w:val="sr-Latn-ME"/>
        </w:rPr>
      </w:pPr>
    </w:p>
    <w:p w14:paraId="2F754A84" w14:textId="77777777" w:rsidR="00466B8B" w:rsidRPr="002A6AB6" w:rsidRDefault="00466B8B" w:rsidP="00587700">
      <w:pPr>
        <w:tabs>
          <w:tab w:val="left" w:pos="540"/>
          <w:tab w:val="left" w:pos="567"/>
        </w:tabs>
        <w:jc w:val="both"/>
        <w:rPr>
          <w:sz w:val="22"/>
          <w:szCs w:val="22"/>
          <w:u w:val="single"/>
          <w:lang w:val="sr-Latn-ME"/>
        </w:rPr>
      </w:pPr>
      <w:r w:rsidRPr="002A6AB6">
        <w:rPr>
          <w:sz w:val="22"/>
          <w:szCs w:val="22"/>
          <w:u w:val="single"/>
          <w:lang w:val="sr-Latn-ME"/>
        </w:rPr>
        <w:t>Trudnoća</w:t>
      </w:r>
    </w:p>
    <w:p w14:paraId="5CED0834" w14:textId="77777777" w:rsidR="00466B8B" w:rsidRPr="002A6AB6" w:rsidRDefault="00466B8B" w:rsidP="00587700">
      <w:pPr>
        <w:tabs>
          <w:tab w:val="left" w:pos="540"/>
          <w:tab w:val="left" w:pos="567"/>
        </w:tabs>
        <w:jc w:val="both"/>
        <w:rPr>
          <w:sz w:val="22"/>
          <w:szCs w:val="22"/>
          <w:lang w:val="sr-Latn-ME"/>
        </w:rPr>
      </w:pPr>
      <w:r w:rsidRPr="002A6AB6">
        <w:rPr>
          <w:sz w:val="22"/>
          <w:szCs w:val="22"/>
          <w:lang w:val="sr-Latn-ME"/>
        </w:rPr>
        <w:lastRenderedPageBreak/>
        <w:t xml:space="preserve">O primjeni </w:t>
      </w:r>
      <w:proofErr w:type="spellStart"/>
      <w:r w:rsidRPr="002A6AB6">
        <w:rPr>
          <w:sz w:val="22"/>
          <w:szCs w:val="22"/>
          <w:lang w:val="sr-Latn-ME"/>
        </w:rPr>
        <w:t>okrelizumaba</w:t>
      </w:r>
      <w:proofErr w:type="spellEnd"/>
      <w:r w:rsidRPr="002A6AB6">
        <w:rPr>
          <w:sz w:val="22"/>
          <w:szCs w:val="22"/>
          <w:lang w:val="sr-Latn-ME"/>
        </w:rPr>
        <w:t xml:space="preserve"> kod trudnica postoje ograničeni podaci. </w:t>
      </w:r>
      <w:proofErr w:type="spellStart"/>
      <w:r w:rsidRPr="002A6AB6">
        <w:rPr>
          <w:sz w:val="22"/>
          <w:szCs w:val="22"/>
          <w:lang w:val="sr-Latn-ME"/>
        </w:rPr>
        <w:t>Okrelizumab</w:t>
      </w:r>
      <w:proofErr w:type="spellEnd"/>
      <w:r w:rsidRPr="002A6AB6">
        <w:rPr>
          <w:sz w:val="22"/>
          <w:szCs w:val="22"/>
          <w:lang w:val="sr-Latn-ME"/>
        </w:rPr>
        <w:t xml:space="preserve"> je </w:t>
      </w:r>
      <w:proofErr w:type="spellStart"/>
      <w:r w:rsidRPr="002A6AB6">
        <w:rPr>
          <w:sz w:val="22"/>
          <w:szCs w:val="22"/>
          <w:lang w:val="sr-Latn-ME"/>
        </w:rPr>
        <w:t>imunoglobulin</w:t>
      </w:r>
      <w:proofErr w:type="spellEnd"/>
      <w:r w:rsidRPr="002A6AB6">
        <w:rPr>
          <w:sz w:val="22"/>
          <w:szCs w:val="22"/>
          <w:lang w:val="sr-Latn-ME"/>
        </w:rPr>
        <w:t xml:space="preserve"> G (</w:t>
      </w:r>
      <w:proofErr w:type="spellStart"/>
      <w:r w:rsidRPr="002A6AB6">
        <w:rPr>
          <w:sz w:val="22"/>
          <w:szCs w:val="22"/>
          <w:lang w:val="sr-Latn-ME"/>
        </w:rPr>
        <w:t>IgG</w:t>
      </w:r>
      <w:proofErr w:type="spellEnd"/>
      <w:r w:rsidRPr="002A6AB6">
        <w:rPr>
          <w:sz w:val="22"/>
          <w:szCs w:val="22"/>
          <w:lang w:val="sr-Latn-ME"/>
        </w:rPr>
        <w:t xml:space="preserve">). Poznato je da </w:t>
      </w:r>
      <w:proofErr w:type="spellStart"/>
      <w:r w:rsidRPr="002A6AB6">
        <w:rPr>
          <w:sz w:val="22"/>
          <w:szCs w:val="22"/>
          <w:lang w:val="sr-Latn-ME"/>
        </w:rPr>
        <w:t>IgG</w:t>
      </w:r>
      <w:proofErr w:type="spellEnd"/>
      <w:r w:rsidRPr="002A6AB6">
        <w:rPr>
          <w:sz w:val="22"/>
          <w:szCs w:val="22"/>
          <w:lang w:val="sr-Latn-ME"/>
        </w:rPr>
        <w:t xml:space="preserve"> prolazi kroz </w:t>
      </w:r>
      <w:proofErr w:type="spellStart"/>
      <w:r w:rsidRPr="002A6AB6">
        <w:rPr>
          <w:sz w:val="22"/>
          <w:szCs w:val="22"/>
          <w:lang w:val="sr-Latn-ME"/>
        </w:rPr>
        <w:t>placentarnu</w:t>
      </w:r>
      <w:proofErr w:type="spellEnd"/>
      <w:r w:rsidRPr="002A6AB6">
        <w:rPr>
          <w:sz w:val="22"/>
          <w:szCs w:val="22"/>
          <w:lang w:val="sr-Latn-ME"/>
        </w:rPr>
        <w:t xml:space="preserve"> barijeru. Treba razmotriti odlaganje vakcinacije živim ili živim </w:t>
      </w:r>
      <w:proofErr w:type="spellStart"/>
      <w:r w:rsidRPr="002A6AB6">
        <w:rPr>
          <w:sz w:val="22"/>
          <w:szCs w:val="22"/>
          <w:lang w:val="sr-Latn-ME"/>
        </w:rPr>
        <w:t>atenuisanim</w:t>
      </w:r>
      <w:proofErr w:type="spellEnd"/>
      <w:r w:rsidRPr="002A6AB6">
        <w:rPr>
          <w:sz w:val="22"/>
          <w:szCs w:val="22"/>
          <w:lang w:val="sr-Latn-ME"/>
        </w:rPr>
        <w:t xml:space="preserve"> vakcinama kod novorođenčadi i djece koje su rodile majke izložene </w:t>
      </w:r>
      <w:proofErr w:type="spellStart"/>
      <w:r w:rsidRPr="002A6AB6">
        <w:rPr>
          <w:sz w:val="22"/>
          <w:szCs w:val="22"/>
          <w:lang w:val="sr-Latn-ME"/>
        </w:rPr>
        <w:t>okrelizumabu</w:t>
      </w:r>
      <w:proofErr w:type="spellEnd"/>
      <w:r w:rsidRPr="002A6AB6">
        <w:rPr>
          <w:sz w:val="22"/>
          <w:szCs w:val="22"/>
          <w:lang w:val="sr-Latn-ME"/>
        </w:rPr>
        <w:t xml:space="preserve"> </w:t>
      </w:r>
      <w:r w:rsidRPr="002A6AB6">
        <w:rPr>
          <w:i/>
          <w:iCs/>
          <w:sz w:val="22"/>
          <w:szCs w:val="22"/>
          <w:lang w:val="sr-Latn-ME"/>
        </w:rPr>
        <w:t xml:space="preserve">in </w:t>
      </w:r>
      <w:proofErr w:type="spellStart"/>
      <w:r w:rsidRPr="002A6AB6">
        <w:rPr>
          <w:i/>
          <w:iCs/>
          <w:sz w:val="22"/>
          <w:szCs w:val="22"/>
          <w:lang w:val="sr-Latn-ME"/>
        </w:rPr>
        <w:t>utero</w:t>
      </w:r>
      <w:proofErr w:type="spellEnd"/>
      <w:r w:rsidRPr="002A6AB6">
        <w:rPr>
          <w:sz w:val="22"/>
          <w:szCs w:val="22"/>
          <w:lang w:val="sr-Latn-ME"/>
        </w:rPr>
        <w:t xml:space="preserve">. Nisu prikupljani podaci o B-ćelijama kod novorođenčadi i djece izložene </w:t>
      </w:r>
      <w:proofErr w:type="spellStart"/>
      <w:r w:rsidRPr="002A6AB6">
        <w:rPr>
          <w:sz w:val="22"/>
          <w:szCs w:val="22"/>
          <w:lang w:val="sr-Latn-ME"/>
        </w:rPr>
        <w:t>okrelizumabu</w:t>
      </w:r>
      <w:proofErr w:type="spellEnd"/>
      <w:r w:rsidRPr="002A6AB6">
        <w:rPr>
          <w:sz w:val="22"/>
          <w:szCs w:val="22"/>
          <w:lang w:val="sr-Latn-ME"/>
        </w:rPr>
        <w:t xml:space="preserve">, pa nije poznato potencijalno trajanje </w:t>
      </w:r>
      <w:proofErr w:type="spellStart"/>
      <w:r w:rsidRPr="002A6AB6">
        <w:rPr>
          <w:sz w:val="22"/>
          <w:szCs w:val="22"/>
          <w:lang w:val="sr-Latn-ME"/>
        </w:rPr>
        <w:t>deplecije</w:t>
      </w:r>
      <w:proofErr w:type="spellEnd"/>
      <w:r w:rsidRPr="002A6AB6">
        <w:rPr>
          <w:sz w:val="22"/>
          <w:szCs w:val="22"/>
          <w:lang w:val="sr-Latn-ME"/>
        </w:rPr>
        <w:t xml:space="preserve"> B-ćelija kod novorođenčadi i djece (vidjeti </w:t>
      </w:r>
      <w:r w:rsidR="00ED0D01" w:rsidRPr="002A6AB6">
        <w:rPr>
          <w:sz w:val="22"/>
          <w:szCs w:val="22"/>
          <w:lang w:val="sr-Latn-ME"/>
        </w:rPr>
        <w:t xml:space="preserve">dio </w:t>
      </w:r>
      <w:r w:rsidRPr="002A6AB6">
        <w:rPr>
          <w:sz w:val="22"/>
          <w:szCs w:val="22"/>
          <w:lang w:val="sr-Latn-ME"/>
        </w:rPr>
        <w:t xml:space="preserve">4.4).    </w:t>
      </w:r>
    </w:p>
    <w:p w14:paraId="0C609CFE" w14:textId="77777777" w:rsidR="00466B8B" w:rsidRPr="002A6AB6" w:rsidRDefault="00466B8B" w:rsidP="00587700">
      <w:pPr>
        <w:tabs>
          <w:tab w:val="left" w:pos="540"/>
          <w:tab w:val="left" w:pos="567"/>
        </w:tabs>
        <w:jc w:val="both"/>
        <w:rPr>
          <w:sz w:val="22"/>
          <w:szCs w:val="22"/>
          <w:lang w:val="sr-Latn-ME"/>
        </w:rPr>
      </w:pPr>
    </w:p>
    <w:p w14:paraId="7173778A" w14:textId="77777777" w:rsidR="00466B8B" w:rsidRPr="002A6AB6" w:rsidRDefault="00466B8B" w:rsidP="00587700">
      <w:pPr>
        <w:tabs>
          <w:tab w:val="left" w:pos="540"/>
          <w:tab w:val="left" w:pos="567"/>
        </w:tabs>
        <w:jc w:val="both"/>
        <w:rPr>
          <w:sz w:val="22"/>
          <w:szCs w:val="22"/>
          <w:lang w:val="sr-Latn-ME"/>
        </w:rPr>
      </w:pPr>
      <w:r w:rsidRPr="002A6AB6">
        <w:rPr>
          <w:sz w:val="22"/>
          <w:szCs w:val="22"/>
          <w:lang w:val="sr-Latn-ME"/>
        </w:rPr>
        <w:t xml:space="preserve">Prolazna periferna </w:t>
      </w:r>
      <w:proofErr w:type="spellStart"/>
      <w:r w:rsidRPr="002A6AB6">
        <w:rPr>
          <w:sz w:val="22"/>
          <w:szCs w:val="22"/>
          <w:lang w:val="sr-Latn-ME"/>
        </w:rPr>
        <w:t>deplecija</w:t>
      </w:r>
      <w:proofErr w:type="spellEnd"/>
      <w:r w:rsidRPr="002A6AB6">
        <w:rPr>
          <w:sz w:val="22"/>
          <w:szCs w:val="22"/>
          <w:lang w:val="sr-Latn-ME"/>
        </w:rPr>
        <w:t xml:space="preserve"> B-ćelija i </w:t>
      </w:r>
      <w:proofErr w:type="spellStart"/>
      <w:r w:rsidRPr="002A6AB6">
        <w:rPr>
          <w:sz w:val="22"/>
          <w:szCs w:val="22"/>
          <w:lang w:val="sr-Latn-ME"/>
        </w:rPr>
        <w:t>limfocitopenija</w:t>
      </w:r>
      <w:proofErr w:type="spellEnd"/>
      <w:r w:rsidRPr="002A6AB6">
        <w:rPr>
          <w:sz w:val="22"/>
          <w:szCs w:val="22"/>
          <w:lang w:val="sr-Latn-ME"/>
        </w:rPr>
        <w:t xml:space="preserve"> zabilježene su kod djece koju su rodile majke izložene drugim anti-CD20 antitijelima u trudnoći. Zabilježena je i </w:t>
      </w:r>
      <w:r w:rsidRPr="002A6AB6">
        <w:rPr>
          <w:i/>
          <w:iCs/>
          <w:sz w:val="22"/>
          <w:szCs w:val="22"/>
          <w:lang w:val="sr-Latn-ME"/>
        </w:rPr>
        <w:t xml:space="preserve">in </w:t>
      </w:r>
      <w:proofErr w:type="spellStart"/>
      <w:r w:rsidRPr="002A6AB6">
        <w:rPr>
          <w:i/>
          <w:iCs/>
          <w:sz w:val="22"/>
          <w:szCs w:val="22"/>
          <w:lang w:val="sr-Latn-ME"/>
        </w:rPr>
        <w:t>utero</w:t>
      </w:r>
      <w:proofErr w:type="spellEnd"/>
      <w:r w:rsidRPr="002A6AB6">
        <w:rPr>
          <w:sz w:val="22"/>
          <w:szCs w:val="22"/>
          <w:lang w:val="sr-Latn-ME"/>
        </w:rPr>
        <w:t xml:space="preserve"> </w:t>
      </w:r>
      <w:proofErr w:type="spellStart"/>
      <w:r w:rsidRPr="002A6AB6">
        <w:rPr>
          <w:sz w:val="22"/>
          <w:szCs w:val="22"/>
          <w:lang w:val="sr-Latn-ME"/>
        </w:rPr>
        <w:t>deplecija</w:t>
      </w:r>
      <w:proofErr w:type="spellEnd"/>
      <w:r w:rsidRPr="002A6AB6">
        <w:rPr>
          <w:sz w:val="22"/>
          <w:szCs w:val="22"/>
          <w:lang w:val="sr-Latn-ME"/>
        </w:rPr>
        <w:t xml:space="preserve"> B-ćelija u ispitivanjima na životinjama.</w:t>
      </w:r>
    </w:p>
    <w:p w14:paraId="75BDDCF8" w14:textId="77777777" w:rsidR="00466B8B" w:rsidRPr="002A6AB6" w:rsidRDefault="00466B8B" w:rsidP="00587700">
      <w:pPr>
        <w:tabs>
          <w:tab w:val="left" w:pos="540"/>
          <w:tab w:val="left" w:pos="567"/>
        </w:tabs>
        <w:jc w:val="both"/>
        <w:rPr>
          <w:sz w:val="22"/>
          <w:szCs w:val="22"/>
          <w:lang w:val="sr-Latn-ME"/>
        </w:rPr>
      </w:pPr>
    </w:p>
    <w:p w14:paraId="0FD30F68" w14:textId="77777777" w:rsidR="00466B8B" w:rsidRPr="002A6AB6" w:rsidRDefault="00466B8B" w:rsidP="00587700">
      <w:pPr>
        <w:tabs>
          <w:tab w:val="left" w:pos="540"/>
          <w:tab w:val="left" w:pos="567"/>
        </w:tabs>
        <w:jc w:val="both"/>
        <w:rPr>
          <w:sz w:val="22"/>
          <w:szCs w:val="22"/>
          <w:lang w:val="sr-Latn-ME"/>
        </w:rPr>
      </w:pPr>
      <w:r w:rsidRPr="002A6AB6">
        <w:rPr>
          <w:sz w:val="22"/>
          <w:szCs w:val="22"/>
          <w:lang w:val="sr-Latn-ME"/>
        </w:rPr>
        <w:t>Ispitivanja na životinjama (embrio-</w:t>
      </w:r>
      <w:proofErr w:type="spellStart"/>
      <w:r w:rsidRPr="002A6AB6">
        <w:rPr>
          <w:sz w:val="22"/>
          <w:szCs w:val="22"/>
          <w:lang w:val="sr-Latn-ME"/>
        </w:rPr>
        <w:t>fetalna</w:t>
      </w:r>
      <w:proofErr w:type="spellEnd"/>
      <w:r w:rsidRPr="002A6AB6">
        <w:rPr>
          <w:sz w:val="22"/>
          <w:szCs w:val="22"/>
          <w:lang w:val="sr-Latn-ME"/>
        </w:rPr>
        <w:t xml:space="preserve"> toksičnost) ne ukazuju na </w:t>
      </w:r>
      <w:proofErr w:type="spellStart"/>
      <w:r w:rsidRPr="002A6AB6">
        <w:rPr>
          <w:sz w:val="22"/>
          <w:szCs w:val="22"/>
          <w:lang w:val="sr-Latn-ME"/>
        </w:rPr>
        <w:t>teratogena</w:t>
      </w:r>
      <w:proofErr w:type="spellEnd"/>
      <w:r w:rsidRPr="002A6AB6">
        <w:rPr>
          <w:sz w:val="22"/>
          <w:szCs w:val="22"/>
          <w:lang w:val="sr-Latn-ME"/>
        </w:rPr>
        <w:t xml:space="preserve"> dejstva. Reproduktivna toksičnost zabilježena je u studijama prenatalnog i </w:t>
      </w:r>
      <w:proofErr w:type="spellStart"/>
      <w:r w:rsidRPr="002A6AB6">
        <w:rPr>
          <w:sz w:val="22"/>
          <w:szCs w:val="22"/>
          <w:lang w:val="sr-Latn-ME"/>
        </w:rPr>
        <w:t>postnatalnog</w:t>
      </w:r>
      <w:proofErr w:type="spellEnd"/>
      <w:r w:rsidRPr="002A6AB6">
        <w:rPr>
          <w:sz w:val="22"/>
          <w:szCs w:val="22"/>
          <w:lang w:val="sr-Latn-ME"/>
        </w:rPr>
        <w:t xml:space="preserve"> razvoja (vidjeti </w:t>
      </w:r>
      <w:r w:rsidR="00ED0D01" w:rsidRPr="002A6AB6">
        <w:rPr>
          <w:sz w:val="22"/>
          <w:szCs w:val="22"/>
          <w:lang w:val="sr-Latn-ME"/>
        </w:rPr>
        <w:t xml:space="preserve">dio </w:t>
      </w:r>
      <w:r w:rsidRPr="002A6AB6">
        <w:rPr>
          <w:sz w:val="22"/>
          <w:szCs w:val="22"/>
          <w:lang w:val="sr-Latn-ME"/>
        </w:rPr>
        <w:t xml:space="preserve">5.3).  </w:t>
      </w:r>
    </w:p>
    <w:p w14:paraId="2F02BF41" w14:textId="77777777" w:rsidR="00466B8B" w:rsidRPr="002A6AB6" w:rsidRDefault="00466B8B" w:rsidP="00587700">
      <w:pPr>
        <w:tabs>
          <w:tab w:val="left" w:pos="540"/>
          <w:tab w:val="left" w:pos="567"/>
        </w:tabs>
        <w:jc w:val="both"/>
        <w:rPr>
          <w:sz w:val="22"/>
          <w:szCs w:val="22"/>
          <w:lang w:val="sr-Latn-ME"/>
        </w:rPr>
      </w:pPr>
    </w:p>
    <w:p w14:paraId="176FFC7A" w14:textId="77777777" w:rsidR="00466B8B" w:rsidRPr="002A6AB6" w:rsidRDefault="00466B8B" w:rsidP="00587700">
      <w:pPr>
        <w:tabs>
          <w:tab w:val="left" w:pos="540"/>
          <w:tab w:val="left" w:pos="567"/>
        </w:tabs>
        <w:jc w:val="both"/>
        <w:rPr>
          <w:sz w:val="22"/>
          <w:szCs w:val="22"/>
          <w:lang w:val="sr-Latn-ME"/>
        </w:rPr>
      </w:pPr>
      <w:r w:rsidRPr="002A6AB6">
        <w:rPr>
          <w:sz w:val="22"/>
          <w:szCs w:val="22"/>
          <w:lang w:val="sr-Latn-ME"/>
        </w:rPr>
        <w:t xml:space="preserve">Primjenu </w:t>
      </w:r>
      <w:proofErr w:type="spellStart"/>
      <w:r w:rsidRPr="002A6AB6">
        <w:rPr>
          <w:sz w:val="22"/>
          <w:szCs w:val="22"/>
          <w:lang w:val="sr-Latn-ME"/>
        </w:rPr>
        <w:t>okrelizumaba</w:t>
      </w:r>
      <w:proofErr w:type="spellEnd"/>
      <w:r w:rsidRPr="002A6AB6">
        <w:rPr>
          <w:sz w:val="22"/>
          <w:szCs w:val="22"/>
          <w:lang w:val="sr-Latn-ME"/>
        </w:rPr>
        <w:t xml:space="preserve"> treba izbjegavati tokom trudnoće, osim ukoliko potencijalna korist za majku nadmašuje potencijalni rizik za fetus.</w:t>
      </w:r>
    </w:p>
    <w:p w14:paraId="3E35A252" w14:textId="77777777" w:rsidR="00466B8B" w:rsidRPr="002A6AB6" w:rsidRDefault="00466B8B" w:rsidP="00587700">
      <w:pPr>
        <w:tabs>
          <w:tab w:val="left" w:pos="540"/>
          <w:tab w:val="left" w:pos="567"/>
        </w:tabs>
        <w:jc w:val="both"/>
        <w:rPr>
          <w:sz w:val="22"/>
          <w:szCs w:val="22"/>
          <w:u w:val="single"/>
          <w:lang w:val="sr-Latn-ME"/>
        </w:rPr>
      </w:pPr>
    </w:p>
    <w:p w14:paraId="2AA10100" w14:textId="77777777" w:rsidR="00466B8B" w:rsidRPr="002A6AB6" w:rsidRDefault="00466B8B" w:rsidP="00587700">
      <w:pPr>
        <w:tabs>
          <w:tab w:val="left" w:pos="540"/>
          <w:tab w:val="left" w:pos="567"/>
        </w:tabs>
        <w:jc w:val="both"/>
        <w:rPr>
          <w:sz w:val="22"/>
          <w:szCs w:val="22"/>
          <w:u w:val="single"/>
          <w:lang w:val="sr-Latn-ME"/>
        </w:rPr>
      </w:pPr>
      <w:r w:rsidRPr="002A6AB6">
        <w:rPr>
          <w:sz w:val="22"/>
          <w:szCs w:val="22"/>
          <w:u w:val="single"/>
          <w:lang w:val="sr-Latn-ME"/>
        </w:rPr>
        <w:t>Dojenje</w:t>
      </w:r>
    </w:p>
    <w:p w14:paraId="6BFB2A5D" w14:textId="77777777" w:rsidR="00466B8B" w:rsidRPr="002A6AB6" w:rsidRDefault="00466B8B" w:rsidP="00587700">
      <w:pPr>
        <w:tabs>
          <w:tab w:val="left" w:pos="540"/>
          <w:tab w:val="left" w:pos="567"/>
        </w:tabs>
        <w:jc w:val="both"/>
        <w:rPr>
          <w:sz w:val="22"/>
          <w:szCs w:val="22"/>
          <w:lang w:val="sr-Latn-ME"/>
        </w:rPr>
      </w:pPr>
      <w:r w:rsidRPr="002A6AB6">
        <w:rPr>
          <w:sz w:val="22"/>
          <w:szCs w:val="22"/>
          <w:lang w:val="sr-Latn-ME"/>
        </w:rPr>
        <w:t xml:space="preserve">Nije poznato da li se </w:t>
      </w:r>
      <w:proofErr w:type="spellStart"/>
      <w:r w:rsidRPr="002A6AB6">
        <w:rPr>
          <w:sz w:val="22"/>
          <w:szCs w:val="22"/>
          <w:lang w:val="sr-Latn-ME"/>
        </w:rPr>
        <w:t>okrelizumab</w:t>
      </w:r>
      <w:proofErr w:type="spellEnd"/>
      <w:r w:rsidRPr="002A6AB6">
        <w:rPr>
          <w:sz w:val="22"/>
          <w:szCs w:val="22"/>
          <w:lang w:val="sr-Latn-ME"/>
        </w:rPr>
        <w:t xml:space="preserve"> ili njegovi </w:t>
      </w:r>
      <w:proofErr w:type="spellStart"/>
      <w:r w:rsidRPr="002A6AB6">
        <w:rPr>
          <w:sz w:val="22"/>
          <w:szCs w:val="22"/>
          <w:lang w:val="sr-Latn-ME"/>
        </w:rPr>
        <w:t>metaboliti</w:t>
      </w:r>
      <w:proofErr w:type="spellEnd"/>
      <w:r w:rsidRPr="002A6AB6">
        <w:rPr>
          <w:sz w:val="22"/>
          <w:szCs w:val="22"/>
          <w:lang w:val="sr-Latn-ME"/>
        </w:rPr>
        <w:t xml:space="preserve"> izlučuju u majčino mlijeko kod </w:t>
      </w:r>
      <w:proofErr w:type="spellStart"/>
      <w:r w:rsidRPr="002A6AB6">
        <w:rPr>
          <w:sz w:val="22"/>
          <w:szCs w:val="22"/>
          <w:lang w:val="sr-Latn-ME"/>
        </w:rPr>
        <w:t>ljudi</w:t>
      </w:r>
      <w:proofErr w:type="spellEnd"/>
      <w:r w:rsidRPr="002A6AB6">
        <w:rPr>
          <w:sz w:val="22"/>
          <w:szCs w:val="22"/>
          <w:lang w:val="sr-Latn-ME"/>
        </w:rPr>
        <w:t xml:space="preserve">. Postojeći </w:t>
      </w:r>
      <w:proofErr w:type="spellStart"/>
      <w:r w:rsidRPr="002A6AB6">
        <w:rPr>
          <w:sz w:val="22"/>
          <w:szCs w:val="22"/>
          <w:lang w:val="sr-Latn-ME"/>
        </w:rPr>
        <w:t>farmakodinamski</w:t>
      </w:r>
      <w:proofErr w:type="spellEnd"/>
      <w:r w:rsidRPr="002A6AB6">
        <w:rPr>
          <w:sz w:val="22"/>
          <w:szCs w:val="22"/>
          <w:lang w:val="sr-Latn-ME"/>
        </w:rPr>
        <w:t>/</w:t>
      </w:r>
      <w:proofErr w:type="spellStart"/>
      <w:r w:rsidRPr="002A6AB6">
        <w:rPr>
          <w:sz w:val="22"/>
          <w:szCs w:val="22"/>
          <w:lang w:val="sr-Latn-ME"/>
        </w:rPr>
        <w:t>toksikološki</w:t>
      </w:r>
      <w:proofErr w:type="spellEnd"/>
      <w:r w:rsidRPr="002A6AB6">
        <w:rPr>
          <w:sz w:val="22"/>
          <w:szCs w:val="22"/>
          <w:lang w:val="sr-Latn-ME"/>
        </w:rPr>
        <w:t xml:space="preserve"> podaci kod životinja pokazali su da se </w:t>
      </w:r>
      <w:proofErr w:type="spellStart"/>
      <w:r w:rsidRPr="002A6AB6">
        <w:rPr>
          <w:sz w:val="22"/>
          <w:szCs w:val="22"/>
          <w:lang w:val="sr-Latn-ME"/>
        </w:rPr>
        <w:t>okrelizumab</w:t>
      </w:r>
      <w:proofErr w:type="spellEnd"/>
      <w:r w:rsidRPr="002A6AB6">
        <w:rPr>
          <w:sz w:val="22"/>
          <w:szCs w:val="22"/>
          <w:lang w:val="sr-Latn-ME"/>
        </w:rPr>
        <w:t xml:space="preserve"> izlučuje u mlijeko (vidjeti </w:t>
      </w:r>
      <w:r w:rsidR="00ED0D01" w:rsidRPr="002A6AB6">
        <w:rPr>
          <w:sz w:val="22"/>
          <w:szCs w:val="22"/>
          <w:lang w:val="sr-Latn-ME"/>
        </w:rPr>
        <w:t xml:space="preserve">dio </w:t>
      </w:r>
      <w:r w:rsidRPr="002A6AB6">
        <w:rPr>
          <w:sz w:val="22"/>
          <w:szCs w:val="22"/>
          <w:lang w:val="sr-Latn-ME"/>
        </w:rPr>
        <w:t>5.3). Rizik za novorođenčad i djecu ne može se isključiti. Ženama treba savjetovati da prekinu sa dojenjem tokom terapije.</w:t>
      </w:r>
    </w:p>
    <w:p w14:paraId="1D951105" w14:textId="77777777" w:rsidR="00466B8B" w:rsidRPr="002A6AB6" w:rsidRDefault="00466B8B" w:rsidP="00587700">
      <w:pPr>
        <w:tabs>
          <w:tab w:val="left" w:pos="540"/>
          <w:tab w:val="left" w:pos="567"/>
        </w:tabs>
        <w:jc w:val="both"/>
        <w:rPr>
          <w:sz w:val="22"/>
          <w:szCs w:val="22"/>
          <w:u w:val="single"/>
          <w:lang w:val="sr-Latn-ME"/>
        </w:rPr>
      </w:pPr>
    </w:p>
    <w:p w14:paraId="7ABAC18F" w14:textId="77777777" w:rsidR="00466B8B" w:rsidRPr="002A6AB6" w:rsidRDefault="00466B8B" w:rsidP="00587700">
      <w:pPr>
        <w:tabs>
          <w:tab w:val="left" w:pos="540"/>
          <w:tab w:val="left" w:pos="567"/>
        </w:tabs>
        <w:jc w:val="both"/>
        <w:rPr>
          <w:sz w:val="22"/>
          <w:szCs w:val="22"/>
          <w:u w:val="single"/>
          <w:lang w:val="sr-Latn-ME"/>
        </w:rPr>
      </w:pPr>
      <w:r w:rsidRPr="002A6AB6">
        <w:rPr>
          <w:sz w:val="22"/>
          <w:szCs w:val="22"/>
          <w:u w:val="single"/>
          <w:lang w:val="sr-Latn-ME"/>
        </w:rPr>
        <w:t>Plodnost</w:t>
      </w:r>
    </w:p>
    <w:p w14:paraId="4BC86E5D" w14:textId="7B8215BF" w:rsidR="00466B8B" w:rsidRPr="002A6AB6" w:rsidRDefault="00466B8B" w:rsidP="00587700">
      <w:pPr>
        <w:tabs>
          <w:tab w:val="left" w:pos="540"/>
          <w:tab w:val="left" w:pos="567"/>
        </w:tabs>
        <w:jc w:val="both"/>
        <w:rPr>
          <w:sz w:val="22"/>
          <w:szCs w:val="22"/>
          <w:lang w:val="sr-Latn-ME"/>
        </w:rPr>
      </w:pPr>
      <w:proofErr w:type="spellStart"/>
      <w:r w:rsidRPr="002A6AB6">
        <w:rPr>
          <w:sz w:val="22"/>
          <w:szCs w:val="22"/>
          <w:lang w:val="sr-Latn-ME"/>
        </w:rPr>
        <w:t>Pretklinički</w:t>
      </w:r>
      <w:proofErr w:type="spellEnd"/>
      <w:r w:rsidRPr="002A6AB6">
        <w:rPr>
          <w:sz w:val="22"/>
          <w:szCs w:val="22"/>
          <w:lang w:val="sr-Latn-ME"/>
        </w:rPr>
        <w:t xml:space="preserve"> podaci bazirani na studijama plodnosti mužjaka i ženki </w:t>
      </w:r>
      <w:proofErr w:type="spellStart"/>
      <w:r w:rsidRPr="002A6AB6">
        <w:rPr>
          <w:sz w:val="22"/>
          <w:szCs w:val="22"/>
          <w:lang w:val="sr-Latn-ME"/>
        </w:rPr>
        <w:t>cinomolgus</w:t>
      </w:r>
      <w:proofErr w:type="spellEnd"/>
      <w:r w:rsidRPr="002A6AB6">
        <w:rPr>
          <w:sz w:val="22"/>
          <w:szCs w:val="22"/>
          <w:lang w:val="sr-Latn-ME"/>
        </w:rPr>
        <w:t xml:space="preserve"> majmuna izloženim </w:t>
      </w:r>
      <w:proofErr w:type="spellStart"/>
      <w:r w:rsidRPr="002A6AB6">
        <w:rPr>
          <w:sz w:val="22"/>
          <w:szCs w:val="22"/>
          <w:lang w:val="sr-Latn-ME"/>
        </w:rPr>
        <w:t>okrelizumabu</w:t>
      </w:r>
      <w:proofErr w:type="spellEnd"/>
      <w:r w:rsidRPr="002A6AB6">
        <w:rPr>
          <w:sz w:val="22"/>
          <w:szCs w:val="22"/>
          <w:lang w:val="sr-Latn-ME"/>
        </w:rPr>
        <w:t xml:space="preserve"> ne ukazuju na poseban rizik za </w:t>
      </w:r>
      <w:proofErr w:type="spellStart"/>
      <w:r w:rsidRPr="002A6AB6">
        <w:rPr>
          <w:sz w:val="22"/>
          <w:szCs w:val="22"/>
          <w:lang w:val="sr-Latn-ME"/>
        </w:rPr>
        <w:t>ljude</w:t>
      </w:r>
      <w:proofErr w:type="spellEnd"/>
      <w:r w:rsidRPr="002A6AB6">
        <w:rPr>
          <w:sz w:val="22"/>
          <w:szCs w:val="22"/>
          <w:lang w:val="sr-Latn-ME"/>
        </w:rPr>
        <w:t>.</w:t>
      </w:r>
    </w:p>
    <w:p w14:paraId="633ECED5" w14:textId="77777777" w:rsidR="00227BDB" w:rsidRPr="002A6AB6" w:rsidRDefault="00227BDB" w:rsidP="00587700">
      <w:pPr>
        <w:tabs>
          <w:tab w:val="left" w:pos="540"/>
          <w:tab w:val="left" w:pos="569"/>
        </w:tabs>
        <w:jc w:val="both"/>
        <w:rPr>
          <w:b/>
          <w:bCs/>
          <w:sz w:val="22"/>
          <w:szCs w:val="22"/>
          <w:lang w:val="sr-Latn-ME"/>
        </w:rPr>
      </w:pPr>
    </w:p>
    <w:p w14:paraId="7B91B48A" w14:textId="77777777" w:rsidR="0072020E" w:rsidRPr="002A6AB6" w:rsidRDefault="0072020E" w:rsidP="00587700">
      <w:pPr>
        <w:tabs>
          <w:tab w:val="left" w:pos="540"/>
          <w:tab w:val="left" w:pos="569"/>
        </w:tabs>
        <w:ind w:left="540" w:hanging="540"/>
        <w:jc w:val="both"/>
        <w:rPr>
          <w:b/>
          <w:bCs/>
          <w:sz w:val="22"/>
          <w:szCs w:val="22"/>
          <w:lang w:val="sr-Latn-ME"/>
        </w:rPr>
      </w:pPr>
      <w:r w:rsidRPr="002A6AB6">
        <w:rPr>
          <w:b/>
          <w:bCs/>
          <w:sz w:val="22"/>
          <w:szCs w:val="22"/>
          <w:lang w:val="sr-Latn-ME"/>
        </w:rPr>
        <w:t xml:space="preserve">4.7. </w:t>
      </w:r>
      <w:r w:rsidR="00480FB1" w:rsidRPr="002A6AB6">
        <w:rPr>
          <w:b/>
          <w:bCs/>
          <w:sz w:val="22"/>
          <w:szCs w:val="22"/>
          <w:lang w:val="sr-Latn-ME"/>
        </w:rPr>
        <w:tab/>
      </w:r>
      <w:r w:rsidRPr="002A6AB6">
        <w:rPr>
          <w:b/>
          <w:bCs/>
          <w:sz w:val="22"/>
          <w:szCs w:val="22"/>
          <w:lang w:val="sr-Latn-ME"/>
        </w:rPr>
        <w:t xml:space="preserve">Uticaj na </w:t>
      </w:r>
      <w:r w:rsidR="002031B3" w:rsidRPr="002A6AB6">
        <w:rPr>
          <w:b/>
          <w:bCs/>
          <w:sz w:val="22"/>
          <w:szCs w:val="22"/>
          <w:lang w:val="sr-Latn-ME"/>
        </w:rPr>
        <w:t xml:space="preserve">sposobnost </w:t>
      </w:r>
      <w:r w:rsidR="00F34554" w:rsidRPr="002A6AB6">
        <w:rPr>
          <w:b/>
          <w:bCs/>
          <w:sz w:val="22"/>
          <w:szCs w:val="22"/>
          <w:lang w:val="sr-Latn-ME"/>
        </w:rPr>
        <w:t>upravljanja vozili</w:t>
      </w:r>
      <w:r w:rsidRPr="002A6AB6">
        <w:rPr>
          <w:b/>
          <w:bCs/>
          <w:sz w:val="22"/>
          <w:szCs w:val="22"/>
          <w:lang w:val="sr-Latn-ME"/>
        </w:rPr>
        <w:t>m</w:t>
      </w:r>
      <w:r w:rsidR="00F34554" w:rsidRPr="002A6AB6">
        <w:rPr>
          <w:b/>
          <w:bCs/>
          <w:sz w:val="22"/>
          <w:szCs w:val="22"/>
          <w:lang w:val="sr-Latn-ME"/>
        </w:rPr>
        <w:t>a</w:t>
      </w:r>
      <w:r w:rsidRPr="002A6AB6">
        <w:rPr>
          <w:b/>
          <w:bCs/>
          <w:sz w:val="22"/>
          <w:szCs w:val="22"/>
          <w:lang w:val="sr-Latn-ME"/>
        </w:rPr>
        <w:t xml:space="preserve"> i </w:t>
      </w:r>
      <w:r w:rsidR="000D3449" w:rsidRPr="002A6AB6">
        <w:rPr>
          <w:b/>
          <w:bCs/>
          <w:sz w:val="22"/>
          <w:szCs w:val="22"/>
          <w:lang w:val="sr-Latn-ME"/>
        </w:rPr>
        <w:t xml:space="preserve">rukovanje </w:t>
      </w:r>
      <w:r w:rsidRPr="002A6AB6">
        <w:rPr>
          <w:b/>
          <w:bCs/>
          <w:sz w:val="22"/>
          <w:szCs w:val="22"/>
          <w:lang w:val="sr-Latn-ME"/>
        </w:rPr>
        <w:t>mašinama</w:t>
      </w:r>
    </w:p>
    <w:p w14:paraId="1FC8194E" w14:textId="77777777" w:rsidR="0072020E" w:rsidRPr="002A6AB6" w:rsidRDefault="0072020E" w:rsidP="00587700">
      <w:pPr>
        <w:tabs>
          <w:tab w:val="left" w:pos="540"/>
          <w:tab w:val="left" w:pos="569"/>
        </w:tabs>
        <w:jc w:val="both"/>
        <w:rPr>
          <w:b/>
          <w:bCs/>
          <w:sz w:val="22"/>
          <w:szCs w:val="22"/>
          <w:lang w:val="sr-Latn-ME"/>
        </w:rPr>
      </w:pPr>
    </w:p>
    <w:p w14:paraId="5A7F92E3" w14:textId="77777777" w:rsidR="00466B8B" w:rsidRPr="002A6AB6" w:rsidRDefault="00466B8B" w:rsidP="00587700">
      <w:pPr>
        <w:tabs>
          <w:tab w:val="left" w:pos="540"/>
          <w:tab w:val="left" w:pos="567"/>
        </w:tabs>
        <w:jc w:val="both"/>
        <w:rPr>
          <w:bCs/>
          <w:sz w:val="22"/>
          <w:szCs w:val="22"/>
          <w:lang w:val="sr-Latn-ME"/>
        </w:rPr>
      </w:pPr>
      <w:r w:rsidRPr="002A6AB6">
        <w:rPr>
          <w:bCs/>
          <w:sz w:val="22"/>
          <w:szCs w:val="22"/>
          <w:lang w:val="sr-Latn-ME"/>
        </w:rPr>
        <w:t xml:space="preserve">Lijek </w:t>
      </w:r>
      <w:proofErr w:type="spellStart"/>
      <w:r w:rsidRPr="002A6AB6">
        <w:rPr>
          <w:bCs/>
          <w:sz w:val="22"/>
          <w:szCs w:val="22"/>
          <w:lang w:val="sr-Latn-ME"/>
        </w:rPr>
        <w:t>Ocrevus</w:t>
      </w:r>
      <w:proofErr w:type="spellEnd"/>
      <w:r w:rsidRPr="002A6AB6">
        <w:rPr>
          <w:bCs/>
          <w:sz w:val="22"/>
          <w:szCs w:val="22"/>
          <w:lang w:val="sr-Latn-ME"/>
        </w:rPr>
        <w:t xml:space="preserve"> nema ili ima zanemarljiv uticaj na psihofizičke sposobnosti prilikom upravljanja vozilima i rukovanja mašinama.</w:t>
      </w:r>
    </w:p>
    <w:p w14:paraId="6B32E83A" w14:textId="77777777" w:rsidR="00466B8B" w:rsidRPr="002A6AB6" w:rsidRDefault="00466B8B" w:rsidP="00587700">
      <w:pPr>
        <w:tabs>
          <w:tab w:val="left" w:pos="540"/>
          <w:tab w:val="left" w:pos="569"/>
        </w:tabs>
        <w:jc w:val="both"/>
        <w:rPr>
          <w:b/>
          <w:bCs/>
          <w:sz w:val="22"/>
          <w:szCs w:val="22"/>
          <w:lang w:val="sr-Latn-ME"/>
        </w:rPr>
      </w:pPr>
    </w:p>
    <w:p w14:paraId="1B03EA24" w14:textId="77777777" w:rsidR="0072020E" w:rsidRPr="002A6AB6" w:rsidRDefault="0072020E" w:rsidP="00587700">
      <w:pPr>
        <w:tabs>
          <w:tab w:val="left" w:pos="540"/>
          <w:tab w:val="left" w:pos="569"/>
        </w:tabs>
        <w:jc w:val="both"/>
        <w:rPr>
          <w:b/>
          <w:bCs/>
          <w:sz w:val="22"/>
          <w:szCs w:val="22"/>
          <w:lang w:val="sr-Latn-ME"/>
        </w:rPr>
      </w:pPr>
      <w:r w:rsidRPr="002A6AB6">
        <w:rPr>
          <w:b/>
          <w:bCs/>
          <w:sz w:val="22"/>
          <w:szCs w:val="22"/>
          <w:lang w:val="sr-Latn-ME"/>
        </w:rPr>
        <w:t xml:space="preserve">4.8. </w:t>
      </w:r>
      <w:r w:rsidR="00480FB1" w:rsidRPr="002A6AB6">
        <w:rPr>
          <w:b/>
          <w:bCs/>
          <w:sz w:val="22"/>
          <w:szCs w:val="22"/>
          <w:lang w:val="sr-Latn-ME"/>
        </w:rPr>
        <w:tab/>
      </w:r>
      <w:r w:rsidRPr="002A6AB6">
        <w:rPr>
          <w:b/>
          <w:bCs/>
          <w:sz w:val="22"/>
          <w:szCs w:val="22"/>
          <w:lang w:val="sr-Latn-ME"/>
        </w:rPr>
        <w:t>Neželjena dejstva</w:t>
      </w:r>
    </w:p>
    <w:p w14:paraId="003A1E4E" w14:textId="77777777" w:rsidR="004E70AD" w:rsidRPr="002A6AB6" w:rsidRDefault="004E70AD" w:rsidP="00587700">
      <w:pPr>
        <w:tabs>
          <w:tab w:val="left" w:pos="540"/>
          <w:tab w:val="left" w:pos="569"/>
        </w:tabs>
        <w:jc w:val="both"/>
        <w:rPr>
          <w:b/>
          <w:bCs/>
          <w:sz w:val="22"/>
          <w:szCs w:val="22"/>
          <w:lang w:val="sr-Latn-ME"/>
        </w:rPr>
      </w:pPr>
    </w:p>
    <w:p w14:paraId="50A944CA" w14:textId="77777777" w:rsidR="00466B8B" w:rsidRPr="002A6AB6" w:rsidRDefault="00466B8B" w:rsidP="00587700">
      <w:pPr>
        <w:tabs>
          <w:tab w:val="left" w:pos="540"/>
          <w:tab w:val="left" w:pos="567"/>
        </w:tabs>
        <w:jc w:val="both"/>
        <w:rPr>
          <w:bCs/>
          <w:sz w:val="22"/>
          <w:szCs w:val="22"/>
          <w:u w:val="single"/>
          <w:lang w:val="sr-Latn-ME"/>
        </w:rPr>
      </w:pPr>
      <w:r w:rsidRPr="002A6AB6">
        <w:rPr>
          <w:bCs/>
          <w:sz w:val="22"/>
          <w:szCs w:val="22"/>
          <w:u w:val="single"/>
          <w:lang w:val="sr-Latn-ME"/>
        </w:rPr>
        <w:t>Sažetak bezbednosnog profila</w:t>
      </w:r>
    </w:p>
    <w:p w14:paraId="6C0068E5"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U kontrolisanom periodu </w:t>
      </w:r>
      <w:proofErr w:type="spellStart"/>
      <w:r w:rsidRPr="002A6AB6">
        <w:rPr>
          <w:bCs/>
          <w:sz w:val="22"/>
          <w:szCs w:val="22"/>
          <w:lang w:val="sr-Latn-ME"/>
        </w:rPr>
        <w:t>pivotalnih</w:t>
      </w:r>
      <w:proofErr w:type="spellEnd"/>
      <w:r w:rsidRPr="002A6AB6">
        <w:rPr>
          <w:bCs/>
          <w:sz w:val="22"/>
          <w:szCs w:val="22"/>
          <w:lang w:val="sr-Latn-ME"/>
        </w:rPr>
        <w:t xml:space="preserve"> kliničkih ispitivanja, najvažnije i najčešće zabilježene neželjene reakcije bile su reakcije povezane sa infuzijom (34,3% za RMS odnosno 40,1% za PPMS) i infekcije (58,5% za RMS odnosno 72,2% za PPMS) (vidjeti </w:t>
      </w:r>
      <w:r w:rsidR="00ED0D01" w:rsidRPr="002A6AB6">
        <w:rPr>
          <w:bCs/>
          <w:sz w:val="22"/>
          <w:szCs w:val="22"/>
          <w:lang w:val="sr-Latn-ME"/>
        </w:rPr>
        <w:t xml:space="preserve">dio </w:t>
      </w:r>
      <w:r w:rsidRPr="002A6AB6">
        <w:rPr>
          <w:bCs/>
          <w:sz w:val="22"/>
          <w:szCs w:val="22"/>
          <w:lang w:val="sr-Latn-ME"/>
        </w:rPr>
        <w:t>4.4).</w:t>
      </w:r>
    </w:p>
    <w:p w14:paraId="66C5163F" w14:textId="77777777" w:rsidR="00466B8B" w:rsidRPr="002A6AB6" w:rsidRDefault="00466B8B" w:rsidP="00587700">
      <w:pPr>
        <w:tabs>
          <w:tab w:val="left" w:pos="540"/>
          <w:tab w:val="left" w:pos="569"/>
        </w:tabs>
        <w:jc w:val="both"/>
        <w:rPr>
          <w:bCs/>
          <w:sz w:val="22"/>
          <w:szCs w:val="22"/>
          <w:lang w:val="sr-Latn-ME"/>
        </w:rPr>
      </w:pPr>
    </w:p>
    <w:p w14:paraId="31F34EDF"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U kontrolisani period </w:t>
      </w:r>
      <w:proofErr w:type="spellStart"/>
      <w:r w:rsidRPr="002A6AB6">
        <w:rPr>
          <w:bCs/>
          <w:sz w:val="22"/>
          <w:szCs w:val="22"/>
          <w:lang w:val="sr-Latn-ME"/>
        </w:rPr>
        <w:t>pivotalnih</w:t>
      </w:r>
      <w:proofErr w:type="spellEnd"/>
      <w:r w:rsidRPr="002A6AB6">
        <w:rPr>
          <w:bCs/>
          <w:sz w:val="22"/>
          <w:szCs w:val="22"/>
          <w:lang w:val="sr-Latn-ME"/>
        </w:rPr>
        <w:t xml:space="preserve"> kliničkih ispitivanja bilo je uključeno ukupno 2376 pacijenata, od kojih je 1852 ušlo u fazu OLE. Svi pacijenti </w:t>
      </w:r>
      <w:proofErr w:type="spellStart"/>
      <w:r w:rsidRPr="002A6AB6">
        <w:rPr>
          <w:bCs/>
          <w:sz w:val="22"/>
          <w:szCs w:val="22"/>
          <w:lang w:val="sr-Latn-ME"/>
        </w:rPr>
        <w:t>prešli</w:t>
      </w:r>
      <w:proofErr w:type="spellEnd"/>
      <w:r w:rsidRPr="002A6AB6">
        <w:rPr>
          <w:bCs/>
          <w:sz w:val="22"/>
          <w:szCs w:val="22"/>
          <w:lang w:val="sr-Latn-ME"/>
        </w:rPr>
        <w:t xml:space="preserve"> su na terapiju </w:t>
      </w:r>
      <w:proofErr w:type="spellStart"/>
      <w:r w:rsidRPr="002A6AB6">
        <w:rPr>
          <w:bCs/>
          <w:sz w:val="22"/>
          <w:szCs w:val="22"/>
          <w:lang w:val="sr-Latn-ME"/>
        </w:rPr>
        <w:t>okrelizumabom</w:t>
      </w:r>
      <w:proofErr w:type="spellEnd"/>
      <w:r w:rsidRPr="002A6AB6">
        <w:rPr>
          <w:bCs/>
          <w:sz w:val="22"/>
          <w:szCs w:val="22"/>
          <w:lang w:val="sr-Latn-ME"/>
        </w:rPr>
        <w:t xml:space="preserve"> tokom faze OLE. Fazu OLE završilo je 1155 pacijenata, što je dovelo do približno 10 godina kontinuirane terapije </w:t>
      </w:r>
      <w:proofErr w:type="spellStart"/>
      <w:r w:rsidRPr="002A6AB6">
        <w:rPr>
          <w:bCs/>
          <w:sz w:val="22"/>
          <w:szCs w:val="22"/>
          <w:lang w:val="sr-Latn-ME"/>
        </w:rPr>
        <w:t>okrelizumabom</w:t>
      </w:r>
      <w:proofErr w:type="spellEnd"/>
      <w:r w:rsidRPr="002A6AB6">
        <w:rPr>
          <w:bCs/>
          <w:sz w:val="22"/>
          <w:szCs w:val="22"/>
          <w:lang w:val="sr-Latn-ME"/>
        </w:rPr>
        <w:t xml:space="preserve"> (15.515 pacijent godina izloženosti) u kontrolisanom periodu i fazi OLE. Ukupni </w:t>
      </w:r>
      <w:proofErr w:type="spellStart"/>
      <w:r w:rsidRPr="002A6AB6">
        <w:rPr>
          <w:bCs/>
          <w:sz w:val="22"/>
          <w:szCs w:val="22"/>
          <w:lang w:val="sr-Latn-ME"/>
        </w:rPr>
        <w:t>bezbjednosni</w:t>
      </w:r>
      <w:proofErr w:type="spellEnd"/>
      <w:r w:rsidRPr="002A6AB6">
        <w:rPr>
          <w:bCs/>
          <w:sz w:val="22"/>
          <w:szCs w:val="22"/>
          <w:lang w:val="sr-Latn-ME"/>
        </w:rPr>
        <w:t xml:space="preserve"> profil zabilježen tokom kontrolisanog perioda i faze OLE ostaje dosljedan sa profilom </w:t>
      </w:r>
      <w:proofErr w:type="spellStart"/>
      <w:r w:rsidRPr="002A6AB6">
        <w:rPr>
          <w:bCs/>
          <w:sz w:val="22"/>
          <w:szCs w:val="22"/>
          <w:lang w:val="sr-Latn-ME"/>
        </w:rPr>
        <w:t>zabilježenim</w:t>
      </w:r>
      <w:proofErr w:type="spellEnd"/>
      <w:r w:rsidRPr="002A6AB6">
        <w:rPr>
          <w:bCs/>
          <w:sz w:val="22"/>
          <w:szCs w:val="22"/>
          <w:lang w:val="sr-Latn-ME"/>
        </w:rPr>
        <w:t xml:space="preserve"> tokom kontrolisanog perioda. </w:t>
      </w:r>
    </w:p>
    <w:p w14:paraId="5E258EA3" w14:textId="77777777" w:rsidR="00466B8B" w:rsidRPr="002A6AB6" w:rsidRDefault="00466B8B" w:rsidP="00587700">
      <w:pPr>
        <w:tabs>
          <w:tab w:val="left" w:pos="540"/>
          <w:tab w:val="left" w:pos="569"/>
        </w:tabs>
        <w:jc w:val="both"/>
        <w:rPr>
          <w:bCs/>
          <w:sz w:val="22"/>
          <w:szCs w:val="22"/>
          <w:lang w:val="sr-Latn-ME"/>
        </w:rPr>
      </w:pPr>
    </w:p>
    <w:p w14:paraId="61DDE3F2" w14:textId="77777777" w:rsidR="00466B8B" w:rsidRPr="002A6AB6" w:rsidRDefault="00466B8B" w:rsidP="00587700">
      <w:pPr>
        <w:tabs>
          <w:tab w:val="left" w:pos="540"/>
          <w:tab w:val="left" w:pos="569"/>
        </w:tabs>
        <w:jc w:val="both"/>
        <w:rPr>
          <w:bCs/>
          <w:sz w:val="22"/>
          <w:szCs w:val="22"/>
          <w:lang w:val="sr-Latn-ME"/>
        </w:rPr>
      </w:pPr>
      <w:bookmarkStart w:id="4" w:name="_Hlk129016967"/>
      <w:proofErr w:type="spellStart"/>
      <w:r w:rsidRPr="002A6AB6">
        <w:rPr>
          <w:bCs/>
          <w:sz w:val="22"/>
          <w:szCs w:val="22"/>
          <w:lang w:val="sr-Latn-ME"/>
        </w:rPr>
        <w:t>Bezbjednosni</w:t>
      </w:r>
      <w:proofErr w:type="spellEnd"/>
      <w:r w:rsidRPr="002A6AB6">
        <w:rPr>
          <w:bCs/>
          <w:sz w:val="22"/>
          <w:szCs w:val="22"/>
          <w:lang w:val="sr-Latn-ME"/>
        </w:rPr>
        <w:t xml:space="preserve"> profil </w:t>
      </w:r>
      <w:proofErr w:type="spellStart"/>
      <w:r w:rsidRPr="002A6AB6">
        <w:rPr>
          <w:bCs/>
          <w:sz w:val="22"/>
          <w:szCs w:val="22"/>
          <w:lang w:val="sr-Latn-ME"/>
        </w:rPr>
        <w:t>Ocrevus</w:t>
      </w:r>
      <w:proofErr w:type="spellEnd"/>
      <w:r w:rsidRPr="002A6AB6">
        <w:rPr>
          <w:bCs/>
          <w:sz w:val="22"/>
          <w:szCs w:val="22"/>
          <w:lang w:val="sr-Latn-ME"/>
        </w:rPr>
        <w:t xml:space="preserve"> rastvora za injekcije bio je u skladu sa poznatim </w:t>
      </w:r>
      <w:proofErr w:type="spellStart"/>
      <w:r w:rsidRPr="002A6AB6">
        <w:rPr>
          <w:bCs/>
          <w:sz w:val="22"/>
          <w:szCs w:val="22"/>
          <w:lang w:val="sr-Latn-ME"/>
        </w:rPr>
        <w:t>bezbjednosnim</w:t>
      </w:r>
      <w:proofErr w:type="spellEnd"/>
      <w:r w:rsidRPr="002A6AB6">
        <w:rPr>
          <w:bCs/>
          <w:sz w:val="22"/>
          <w:szCs w:val="22"/>
          <w:lang w:val="sr-Latn-ME"/>
        </w:rPr>
        <w:t xml:space="preserve"> profilom </w:t>
      </w:r>
      <w:proofErr w:type="spellStart"/>
      <w:r w:rsidRPr="002A6AB6">
        <w:rPr>
          <w:bCs/>
          <w:sz w:val="22"/>
          <w:szCs w:val="22"/>
          <w:lang w:val="sr-Latn-ME"/>
        </w:rPr>
        <w:t>intravenskog</w:t>
      </w:r>
      <w:proofErr w:type="spellEnd"/>
      <w:r w:rsidRPr="002A6AB6">
        <w:rPr>
          <w:bCs/>
          <w:sz w:val="22"/>
          <w:szCs w:val="22"/>
          <w:lang w:val="sr-Latn-ME"/>
        </w:rPr>
        <w:t xml:space="preserve"> </w:t>
      </w:r>
      <w:proofErr w:type="spellStart"/>
      <w:r w:rsidRPr="002A6AB6">
        <w:rPr>
          <w:bCs/>
          <w:sz w:val="22"/>
          <w:szCs w:val="22"/>
          <w:lang w:val="sr-Latn-ME"/>
        </w:rPr>
        <w:t>okrelizumaba</w:t>
      </w:r>
      <w:proofErr w:type="spellEnd"/>
      <w:r w:rsidRPr="002A6AB6">
        <w:rPr>
          <w:bCs/>
          <w:sz w:val="22"/>
          <w:szCs w:val="22"/>
          <w:lang w:val="sr-Latn-ME"/>
        </w:rPr>
        <w:t xml:space="preserve"> navedenog u tabeli 1 u nastavku, osim za veoma čestu neželjenu reakciju na injekciju.  </w:t>
      </w:r>
    </w:p>
    <w:bookmarkEnd w:id="4"/>
    <w:p w14:paraId="187EA7DD" w14:textId="77777777" w:rsidR="00466B8B" w:rsidRPr="002A6AB6" w:rsidRDefault="00466B8B" w:rsidP="00587700">
      <w:pPr>
        <w:tabs>
          <w:tab w:val="left" w:pos="540"/>
          <w:tab w:val="left" w:pos="567"/>
        </w:tabs>
        <w:jc w:val="both"/>
        <w:rPr>
          <w:bCs/>
          <w:sz w:val="22"/>
          <w:szCs w:val="22"/>
          <w:u w:val="single"/>
          <w:lang w:val="sr-Latn-ME"/>
        </w:rPr>
      </w:pPr>
    </w:p>
    <w:p w14:paraId="4DFA80CE" w14:textId="77777777" w:rsidR="00466B8B" w:rsidRPr="002A6AB6" w:rsidRDefault="00466B8B" w:rsidP="00587700">
      <w:pPr>
        <w:tabs>
          <w:tab w:val="left" w:pos="540"/>
          <w:tab w:val="left" w:pos="567"/>
        </w:tabs>
        <w:jc w:val="both"/>
        <w:rPr>
          <w:bCs/>
          <w:sz w:val="22"/>
          <w:szCs w:val="22"/>
          <w:u w:val="single"/>
          <w:lang w:val="sr-Latn-ME"/>
        </w:rPr>
      </w:pPr>
      <w:r w:rsidRPr="002A6AB6">
        <w:rPr>
          <w:bCs/>
          <w:sz w:val="22"/>
          <w:szCs w:val="22"/>
          <w:u w:val="single"/>
          <w:lang w:val="sr-Latn-ME"/>
        </w:rPr>
        <w:t>Tabelarni prikaz neželjenih reakcija</w:t>
      </w:r>
    </w:p>
    <w:p w14:paraId="24F3CF14" w14:textId="77777777" w:rsidR="00466B8B" w:rsidRPr="002A6AB6" w:rsidRDefault="00466B8B" w:rsidP="00587700">
      <w:pPr>
        <w:tabs>
          <w:tab w:val="left" w:pos="540"/>
          <w:tab w:val="left" w:pos="567"/>
        </w:tabs>
        <w:jc w:val="both"/>
        <w:rPr>
          <w:bCs/>
          <w:sz w:val="22"/>
          <w:szCs w:val="22"/>
          <w:lang w:val="sr-Latn-ME"/>
        </w:rPr>
      </w:pPr>
      <w:r w:rsidRPr="002A6AB6">
        <w:rPr>
          <w:bCs/>
          <w:sz w:val="22"/>
          <w:szCs w:val="22"/>
          <w:lang w:val="sr-Latn-ME"/>
        </w:rPr>
        <w:t xml:space="preserve">Neželjene reakcije zabilježene u kontrolisanom periodu </w:t>
      </w:r>
      <w:proofErr w:type="spellStart"/>
      <w:r w:rsidRPr="002A6AB6">
        <w:rPr>
          <w:bCs/>
          <w:sz w:val="22"/>
          <w:szCs w:val="22"/>
          <w:lang w:val="sr-Latn-ME"/>
        </w:rPr>
        <w:t>pivotalnih</w:t>
      </w:r>
      <w:proofErr w:type="spellEnd"/>
      <w:r w:rsidRPr="002A6AB6">
        <w:rPr>
          <w:bCs/>
          <w:sz w:val="22"/>
          <w:szCs w:val="22"/>
          <w:lang w:val="sr-Latn-ME"/>
        </w:rPr>
        <w:t xml:space="preserve"> kliničkih ispitivanja </w:t>
      </w:r>
      <w:proofErr w:type="spellStart"/>
      <w:r w:rsidRPr="002A6AB6">
        <w:rPr>
          <w:bCs/>
          <w:sz w:val="22"/>
          <w:szCs w:val="22"/>
          <w:lang w:val="sr-Latn-ME"/>
        </w:rPr>
        <w:t>intravenskog</w:t>
      </w:r>
      <w:proofErr w:type="spellEnd"/>
      <w:r w:rsidRPr="002A6AB6">
        <w:rPr>
          <w:bCs/>
          <w:sz w:val="22"/>
          <w:szCs w:val="22"/>
          <w:lang w:val="sr-Latn-ME"/>
        </w:rPr>
        <w:t xml:space="preserve"> </w:t>
      </w:r>
      <w:proofErr w:type="spellStart"/>
      <w:r w:rsidRPr="002A6AB6">
        <w:rPr>
          <w:bCs/>
          <w:sz w:val="22"/>
          <w:szCs w:val="22"/>
          <w:lang w:val="sr-Latn-ME"/>
        </w:rPr>
        <w:t>okrelizumaba</w:t>
      </w:r>
      <w:proofErr w:type="spellEnd"/>
      <w:r w:rsidRPr="002A6AB6">
        <w:rPr>
          <w:bCs/>
          <w:sz w:val="22"/>
          <w:szCs w:val="22"/>
          <w:lang w:val="sr-Latn-ME"/>
        </w:rPr>
        <w:t xml:space="preserve"> i prikupljene spontanim prijavljivanjem navedene su u tabeli 1 u nastavku. Neželjene reakcije su prikazane prema </w:t>
      </w:r>
      <w:proofErr w:type="spellStart"/>
      <w:r w:rsidRPr="002A6AB6">
        <w:rPr>
          <w:bCs/>
          <w:sz w:val="22"/>
          <w:szCs w:val="22"/>
          <w:lang w:val="sr-Latn-ME"/>
        </w:rPr>
        <w:t>MedDRA</w:t>
      </w:r>
      <w:proofErr w:type="spellEnd"/>
      <w:r w:rsidRPr="002A6AB6">
        <w:rPr>
          <w:bCs/>
          <w:sz w:val="22"/>
          <w:szCs w:val="22"/>
          <w:lang w:val="sr-Latn-ME"/>
        </w:rPr>
        <w:t xml:space="preserve"> klasifikaciji sistema organa i kategorijama učestalosti. Učestalosti se definišu kao veoma često (≥ 1/10), često (≥ 1/100 do &lt; 1/10), povremeno (≥ 1/1000 do &lt; 1/100), rijetko (≥ 1/10.000 do &lt; 1/1000), veoma rijetko (&lt; 1/10.000) i nepoznato (ne može se proc</w:t>
      </w:r>
      <w:r w:rsidR="00550472" w:rsidRPr="002A6AB6">
        <w:rPr>
          <w:bCs/>
          <w:sz w:val="22"/>
          <w:szCs w:val="22"/>
          <w:lang w:val="sr-Latn-ME"/>
        </w:rPr>
        <w:t>i</w:t>
      </w:r>
      <w:r w:rsidRPr="002A6AB6">
        <w:rPr>
          <w:bCs/>
          <w:sz w:val="22"/>
          <w:szCs w:val="22"/>
          <w:lang w:val="sr-Latn-ME"/>
        </w:rPr>
        <w:t xml:space="preserve">jeniti na osnovu dostupnih podataka). U svakoj klasi sistema organa prikazane su neželjene reakcije po </w:t>
      </w:r>
      <w:proofErr w:type="spellStart"/>
      <w:r w:rsidRPr="002A6AB6">
        <w:rPr>
          <w:bCs/>
          <w:sz w:val="22"/>
          <w:szCs w:val="22"/>
          <w:lang w:val="sr-Latn-ME"/>
        </w:rPr>
        <w:t>opadajućem</w:t>
      </w:r>
      <w:proofErr w:type="spellEnd"/>
      <w:r w:rsidRPr="002A6AB6">
        <w:rPr>
          <w:bCs/>
          <w:sz w:val="22"/>
          <w:szCs w:val="22"/>
          <w:lang w:val="sr-Latn-ME"/>
        </w:rPr>
        <w:t xml:space="preserve"> redu učestalosti. </w:t>
      </w:r>
    </w:p>
    <w:p w14:paraId="385BEE5C" w14:textId="77777777" w:rsidR="00466B8B" w:rsidRPr="002A6AB6" w:rsidRDefault="00466B8B" w:rsidP="00587700">
      <w:pPr>
        <w:tabs>
          <w:tab w:val="left" w:pos="540"/>
          <w:tab w:val="left" w:pos="567"/>
        </w:tabs>
        <w:jc w:val="both"/>
        <w:rPr>
          <w:b/>
          <w:bCs/>
          <w:sz w:val="22"/>
          <w:szCs w:val="22"/>
          <w:lang w:val="sr-Latn-ME"/>
        </w:rPr>
      </w:pPr>
    </w:p>
    <w:p w14:paraId="39D40CD3" w14:textId="77777777" w:rsidR="00466B8B" w:rsidRPr="002A6AB6" w:rsidRDefault="00466B8B" w:rsidP="00587700">
      <w:pPr>
        <w:tabs>
          <w:tab w:val="left" w:pos="540"/>
          <w:tab w:val="left" w:pos="569"/>
        </w:tabs>
        <w:jc w:val="both"/>
        <w:rPr>
          <w:b/>
          <w:bCs/>
          <w:sz w:val="22"/>
          <w:szCs w:val="22"/>
          <w:lang w:val="sr-Latn-ME"/>
        </w:rPr>
      </w:pPr>
      <w:r w:rsidRPr="002A6AB6">
        <w:rPr>
          <w:b/>
          <w:bCs/>
          <w:sz w:val="22"/>
          <w:szCs w:val="22"/>
          <w:lang w:val="sr-Latn-ME"/>
        </w:rPr>
        <w:t xml:space="preserve">Tabela 1 Neželjene reakcije </w:t>
      </w:r>
    </w:p>
    <w:p w14:paraId="16FCC67C" w14:textId="77777777" w:rsidR="00466B8B" w:rsidRPr="002A6AB6" w:rsidRDefault="00466B8B" w:rsidP="00587700">
      <w:pPr>
        <w:tabs>
          <w:tab w:val="left" w:pos="540"/>
          <w:tab w:val="left" w:pos="569"/>
        </w:tabs>
        <w:jc w:val="both"/>
        <w:rPr>
          <w:b/>
          <w:bCs/>
          <w:sz w:val="22"/>
          <w:szCs w:val="22"/>
          <w:lang w:val="sr-Latn-ME"/>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5"/>
        <w:gridCol w:w="2054"/>
        <w:gridCol w:w="2429"/>
        <w:gridCol w:w="1866"/>
      </w:tblGrid>
      <w:tr w:rsidR="00466B8B" w:rsidRPr="002A6AB6" w14:paraId="4C693933" w14:textId="77777777" w:rsidTr="00466B8B">
        <w:trPr>
          <w:cantSplit/>
          <w:trHeight w:val="1380"/>
          <w:tblHeader/>
        </w:trPr>
        <w:tc>
          <w:tcPr>
            <w:tcW w:w="1532" w:type="pct"/>
            <w:shd w:val="clear" w:color="auto" w:fill="auto"/>
            <w:vAlign w:val="center"/>
          </w:tcPr>
          <w:p w14:paraId="7A572FA0" w14:textId="77777777" w:rsidR="00466B8B" w:rsidRPr="002A6AB6" w:rsidRDefault="00466B8B" w:rsidP="00587700">
            <w:pPr>
              <w:keepNext/>
              <w:tabs>
                <w:tab w:val="left" w:pos="567"/>
              </w:tabs>
              <w:jc w:val="both"/>
              <w:rPr>
                <w:b/>
                <w:bCs/>
                <w:sz w:val="22"/>
                <w:szCs w:val="22"/>
                <w:lang w:val="sr-Latn-ME"/>
              </w:rPr>
            </w:pPr>
          </w:p>
          <w:p w14:paraId="7DCB103F" w14:textId="77777777" w:rsidR="00466B8B" w:rsidRPr="002A6AB6" w:rsidRDefault="00466B8B" w:rsidP="00587700">
            <w:pPr>
              <w:keepNext/>
              <w:tabs>
                <w:tab w:val="left" w:pos="567"/>
              </w:tabs>
              <w:jc w:val="both"/>
              <w:rPr>
                <w:b/>
                <w:bCs/>
                <w:sz w:val="22"/>
                <w:szCs w:val="22"/>
                <w:lang w:val="sr-Latn-ME"/>
              </w:rPr>
            </w:pPr>
            <w:proofErr w:type="spellStart"/>
            <w:r w:rsidRPr="002A6AB6">
              <w:rPr>
                <w:b/>
                <w:bCs/>
                <w:sz w:val="22"/>
                <w:szCs w:val="22"/>
                <w:lang w:val="sr-Latn-ME"/>
              </w:rPr>
              <w:t>MedDRA</w:t>
            </w:r>
            <w:proofErr w:type="spellEnd"/>
          </w:p>
          <w:p w14:paraId="723B3C4A" w14:textId="77777777" w:rsidR="00466B8B" w:rsidRPr="002A6AB6" w:rsidRDefault="00466B8B" w:rsidP="00587700">
            <w:pPr>
              <w:keepNext/>
              <w:tabs>
                <w:tab w:val="left" w:pos="567"/>
              </w:tabs>
              <w:jc w:val="both"/>
              <w:rPr>
                <w:b/>
                <w:bCs/>
                <w:sz w:val="22"/>
                <w:szCs w:val="22"/>
                <w:lang w:val="sr-Latn-ME"/>
              </w:rPr>
            </w:pPr>
          </w:p>
          <w:p w14:paraId="6584E961" w14:textId="77777777" w:rsidR="00466B8B" w:rsidRPr="002A6AB6" w:rsidRDefault="00466B8B" w:rsidP="00587700">
            <w:pPr>
              <w:keepNext/>
              <w:tabs>
                <w:tab w:val="left" w:pos="567"/>
              </w:tabs>
              <w:jc w:val="both"/>
              <w:rPr>
                <w:b/>
                <w:bCs/>
                <w:sz w:val="22"/>
                <w:szCs w:val="22"/>
                <w:lang w:val="sr-Latn-ME"/>
              </w:rPr>
            </w:pPr>
            <w:r w:rsidRPr="002A6AB6">
              <w:rPr>
                <w:b/>
                <w:bCs/>
                <w:sz w:val="22"/>
                <w:szCs w:val="22"/>
                <w:lang w:val="sr-Latn-ME"/>
              </w:rPr>
              <w:t>Klasa sistema organa (SOC)</w:t>
            </w:r>
          </w:p>
          <w:p w14:paraId="36FA09E0" w14:textId="77777777" w:rsidR="00466B8B" w:rsidRPr="002A6AB6" w:rsidRDefault="00466B8B" w:rsidP="00587700">
            <w:pPr>
              <w:keepNext/>
              <w:tabs>
                <w:tab w:val="left" w:pos="567"/>
              </w:tabs>
              <w:jc w:val="both"/>
              <w:rPr>
                <w:b/>
                <w:bCs/>
                <w:sz w:val="22"/>
                <w:szCs w:val="22"/>
                <w:lang w:val="sr-Latn-ME"/>
              </w:rPr>
            </w:pPr>
          </w:p>
        </w:tc>
        <w:tc>
          <w:tcPr>
            <w:tcW w:w="1122" w:type="pct"/>
            <w:shd w:val="clear" w:color="auto" w:fill="auto"/>
          </w:tcPr>
          <w:p w14:paraId="3159B5D6" w14:textId="77777777" w:rsidR="00466B8B" w:rsidRPr="002A6AB6" w:rsidRDefault="00466B8B" w:rsidP="00587700">
            <w:pPr>
              <w:keepNext/>
              <w:tabs>
                <w:tab w:val="left" w:pos="567"/>
              </w:tabs>
              <w:jc w:val="both"/>
              <w:rPr>
                <w:b/>
                <w:bCs/>
                <w:sz w:val="22"/>
                <w:szCs w:val="22"/>
                <w:lang w:val="sr-Latn-ME"/>
              </w:rPr>
            </w:pPr>
          </w:p>
          <w:p w14:paraId="59A195F4" w14:textId="77777777" w:rsidR="00466B8B" w:rsidRPr="002A6AB6" w:rsidRDefault="00466B8B" w:rsidP="00587700">
            <w:pPr>
              <w:keepNext/>
              <w:tabs>
                <w:tab w:val="left" w:pos="567"/>
              </w:tabs>
              <w:jc w:val="both"/>
              <w:rPr>
                <w:b/>
                <w:bCs/>
                <w:sz w:val="22"/>
                <w:szCs w:val="22"/>
                <w:lang w:val="sr-Latn-ME"/>
              </w:rPr>
            </w:pPr>
            <w:r w:rsidRPr="002A6AB6">
              <w:rPr>
                <w:b/>
                <w:bCs/>
                <w:sz w:val="22"/>
                <w:szCs w:val="22"/>
                <w:lang w:val="sr-Latn-ME"/>
              </w:rPr>
              <w:t>Veoma često</w:t>
            </w:r>
          </w:p>
        </w:tc>
        <w:tc>
          <w:tcPr>
            <w:tcW w:w="1327" w:type="pct"/>
            <w:shd w:val="clear" w:color="auto" w:fill="auto"/>
          </w:tcPr>
          <w:p w14:paraId="270288DC" w14:textId="77777777" w:rsidR="00466B8B" w:rsidRPr="002A6AB6" w:rsidRDefault="00466B8B" w:rsidP="00587700">
            <w:pPr>
              <w:keepNext/>
              <w:tabs>
                <w:tab w:val="left" w:pos="567"/>
              </w:tabs>
              <w:jc w:val="both"/>
              <w:rPr>
                <w:b/>
                <w:bCs/>
                <w:sz w:val="22"/>
                <w:szCs w:val="22"/>
                <w:lang w:val="sr-Latn-ME"/>
              </w:rPr>
            </w:pPr>
          </w:p>
          <w:p w14:paraId="274923E2" w14:textId="77777777" w:rsidR="00466B8B" w:rsidRPr="002A6AB6" w:rsidRDefault="00466B8B" w:rsidP="00587700">
            <w:pPr>
              <w:keepNext/>
              <w:tabs>
                <w:tab w:val="left" w:pos="567"/>
              </w:tabs>
              <w:jc w:val="both"/>
              <w:rPr>
                <w:b/>
                <w:bCs/>
                <w:sz w:val="22"/>
                <w:szCs w:val="22"/>
                <w:lang w:val="sr-Latn-ME"/>
              </w:rPr>
            </w:pPr>
            <w:r w:rsidRPr="002A6AB6">
              <w:rPr>
                <w:b/>
                <w:bCs/>
                <w:sz w:val="22"/>
                <w:szCs w:val="22"/>
                <w:lang w:val="sr-Latn-ME"/>
              </w:rPr>
              <w:t>Često</w:t>
            </w:r>
          </w:p>
        </w:tc>
        <w:tc>
          <w:tcPr>
            <w:tcW w:w="1020" w:type="pct"/>
          </w:tcPr>
          <w:p w14:paraId="3BF26547" w14:textId="77777777" w:rsidR="00466B8B" w:rsidRPr="002A6AB6" w:rsidRDefault="00466B8B" w:rsidP="00587700">
            <w:pPr>
              <w:keepNext/>
              <w:tabs>
                <w:tab w:val="left" w:pos="567"/>
              </w:tabs>
              <w:jc w:val="both"/>
              <w:rPr>
                <w:b/>
                <w:bCs/>
                <w:sz w:val="22"/>
                <w:szCs w:val="22"/>
                <w:lang w:val="sr-Latn-ME"/>
              </w:rPr>
            </w:pPr>
          </w:p>
          <w:p w14:paraId="5D2415E7" w14:textId="77777777" w:rsidR="00466B8B" w:rsidRPr="002A6AB6" w:rsidRDefault="00466B8B" w:rsidP="00587700">
            <w:pPr>
              <w:keepNext/>
              <w:tabs>
                <w:tab w:val="left" w:pos="567"/>
              </w:tabs>
              <w:jc w:val="both"/>
              <w:rPr>
                <w:b/>
                <w:bCs/>
                <w:sz w:val="22"/>
                <w:szCs w:val="22"/>
                <w:lang w:val="sr-Latn-ME"/>
              </w:rPr>
            </w:pPr>
            <w:r w:rsidRPr="002A6AB6">
              <w:rPr>
                <w:b/>
                <w:bCs/>
                <w:sz w:val="22"/>
                <w:szCs w:val="22"/>
                <w:lang w:val="sr-Latn-ME"/>
              </w:rPr>
              <w:t>Nepoznato</w:t>
            </w:r>
          </w:p>
        </w:tc>
      </w:tr>
      <w:tr w:rsidR="00466B8B" w:rsidRPr="002A6AB6" w14:paraId="030B1FD5" w14:textId="77777777" w:rsidTr="00466B8B">
        <w:trPr>
          <w:cantSplit/>
          <w:trHeight w:val="854"/>
        </w:trPr>
        <w:tc>
          <w:tcPr>
            <w:tcW w:w="1532" w:type="pct"/>
            <w:shd w:val="clear" w:color="auto" w:fill="auto"/>
          </w:tcPr>
          <w:p w14:paraId="7BC44426" w14:textId="77777777" w:rsidR="00466B8B" w:rsidRPr="002A6AB6" w:rsidRDefault="00466B8B" w:rsidP="00587700">
            <w:pPr>
              <w:keepNext/>
              <w:tabs>
                <w:tab w:val="left" w:pos="567"/>
              </w:tabs>
              <w:jc w:val="both"/>
              <w:rPr>
                <w:b/>
                <w:bCs/>
                <w:sz w:val="22"/>
                <w:szCs w:val="22"/>
                <w:lang w:val="sr-Latn-ME"/>
              </w:rPr>
            </w:pPr>
            <w:r w:rsidRPr="002A6AB6">
              <w:rPr>
                <w:b/>
                <w:bCs/>
                <w:sz w:val="22"/>
                <w:szCs w:val="22"/>
                <w:lang w:val="sr-Latn-ME"/>
              </w:rPr>
              <w:t xml:space="preserve">Infekcije i </w:t>
            </w:r>
            <w:proofErr w:type="spellStart"/>
            <w:r w:rsidRPr="002A6AB6">
              <w:rPr>
                <w:b/>
                <w:bCs/>
                <w:sz w:val="22"/>
                <w:szCs w:val="22"/>
                <w:lang w:val="sr-Latn-ME"/>
              </w:rPr>
              <w:t>infestacije</w:t>
            </w:r>
            <w:proofErr w:type="spellEnd"/>
          </w:p>
          <w:p w14:paraId="337751DA" w14:textId="77777777" w:rsidR="00466B8B" w:rsidRPr="002A6AB6" w:rsidRDefault="00466B8B" w:rsidP="00587700">
            <w:pPr>
              <w:keepNext/>
              <w:tabs>
                <w:tab w:val="left" w:pos="567"/>
              </w:tabs>
              <w:jc w:val="both"/>
              <w:rPr>
                <w:b/>
                <w:bCs/>
                <w:sz w:val="22"/>
                <w:szCs w:val="22"/>
                <w:lang w:val="sr-Latn-ME"/>
              </w:rPr>
            </w:pPr>
          </w:p>
        </w:tc>
        <w:tc>
          <w:tcPr>
            <w:tcW w:w="1122" w:type="pct"/>
            <w:shd w:val="clear" w:color="auto" w:fill="auto"/>
          </w:tcPr>
          <w:p w14:paraId="038BEF57" w14:textId="77777777" w:rsidR="00466B8B" w:rsidRPr="002A6AB6" w:rsidRDefault="00466B8B" w:rsidP="00587700">
            <w:pPr>
              <w:keepNext/>
              <w:tabs>
                <w:tab w:val="left" w:pos="567"/>
              </w:tabs>
              <w:jc w:val="both"/>
              <w:rPr>
                <w:sz w:val="22"/>
                <w:szCs w:val="22"/>
                <w:lang w:val="sr-Latn-ME"/>
              </w:rPr>
            </w:pPr>
            <w:r w:rsidRPr="002A6AB6">
              <w:rPr>
                <w:sz w:val="22"/>
                <w:szCs w:val="22"/>
                <w:lang w:val="sr-Latn-ME"/>
              </w:rPr>
              <w:t xml:space="preserve">Infekcije gornjeg respiratornog trakta, </w:t>
            </w:r>
            <w:proofErr w:type="spellStart"/>
            <w:r w:rsidRPr="002A6AB6">
              <w:rPr>
                <w:sz w:val="22"/>
                <w:szCs w:val="22"/>
                <w:lang w:val="sr-Latn-ME"/>
              </w:rPr>
              <w:t>nazofaringitis</w:t>
            </w:r>
            <w:proofErr w:type="spellEnd"/>
            <w:r w:rsidRPr="002A6AB6">
              <w:rPr>
                <w:sz w:val="22"/>
                <w:szCs w:val="22"/>
                <w:lang w:val="sr-Latn-ME"/>
              </w:rPr>
              <w:t xml:space="preserve">, influenca  </w:t>
            </w:r>
          </w:p>
          <w:p w14:paraId="2A699999" w14:textId="77777777" w:rsidR="00466B8B" w:rsidRPr="002A6AB6" w:rsidRDefault="00466B8B" w:rsidP="00587700">
            <w:pPr>
              <w:keepNext/>
              <w:tabs>
                <w:tab w:val="left" w:pos="567"/>
              </w:tabs>
              <w:jc w:val="both"/>
              <w:rPr>
                <w:sz w:val="22"/>
                <w:szCs w:val="22"/>
                <w:lang w:val="sr-Latn-ME"/>
              </w:rPr>
            </w:pPr>
          </w:p>
        </w:tc>
        <w:tc>
          <w:tcPr>
            <w:tcW w:w="1327" w:type="pct"/>
            <w:shd w:val="clear" w:color="auto" w:fill="auto"/>
          </w:tcPr>
          <w:p w14:paraId="303656E1" w14:textId="77777777" w:rsidR="00466B8B" w:rsidRPr="002A6AB6" w:rsidRDefault="00466B8B" w:rsidP="00587700">
            <w:pPr>
              <w:keepNext/>
              <w:tabs>
                <w:tab w:val="left" w:pos="567"/>
              </w:tabs>
              <w:jc w:val="both"/>
              <w:rPr>
                <w:sz w:val="22"/>
                <w:szCs w:val="22"/>
                <w:lang w:val="sr-Latn-ME"/>
              </w:rPr>
            </w:pPr>
            <w:r w:rsidRPr="002A6AB6">
              <w:rPr>
                <w:sz w:val="22"/>
                <w:szCs w:val="22"/>
                <w:lang w:val="sr-Latn-ME"/>
              </w:rPr>
              <w:t xml:space="preserve">Sinuzitis, </w:t>
            </w:r>
          </w:p>
          <w:p w14:paraId="2FAFB67A" w14:textId="77777777" w:rsidR="00466B8B" w:rsidRPr="002A6AB6" w:rsidRDefault="00466B8B" w:rsidP="00587700">
            <w:pPr>
              <w:keepNext/>
              <w:tabs>
                <w:tab w:val="left" w:pos="567"/>
              </w:tabs>
              <w:jc w:val="both"/>
              <w:rPr>
                <w:sz w:val="22"/>
                <w:szCs w:val="22"/>
                <w:lang w:val="sr-Latn-ME"/>
              </w:rPr>
            </w:pPr>
            <w:r w:rsidRPr="002A6AB6">
              <w:rPr>
                <w:sz w:val="22"/>
                <w:szCs w:val="22"/>
                <w:lang w:val="sr-Latn-ME"/>
              </w:rPr>
              <w:t xml:space="preserve">bronhitis, </w:t>
            </w:r>
          </w:p>
          <w:p w14:paraId="02F83DC4" w14:textId="77777777" w:rsidR="00466B8B" w:rsidRPr="002A6AB6" w:rsidRDefault="00466B8B" w:rsidP="00587700">
            <w:pPr>
              <w:keepNext/>
              <w:tabs>
                <w:tab w:val="left" w:pos="567"/>
              </w:tabs>
              <w:jc w:val="both"/>
              <w:rPr>
                <w:sz w:val="22"/>
                <w:szCs w:val="22"/>
                <w:lang w:val="sr-Latn-ME"/>
              </w:rPr>
            </w:pPr>
            <w:r w:rsidRPr="002A6AB6">
              <w:rPr>
                <w:sz w:val="22"/>
                <w:szCs w:val="22"/>
                <w:lang w:val="sr-Latn-ME"/>
              </w:rPr>
              <w:t xml:space="preserve">oralni herpes, </w:t>
            </w:r>
          </w:p>
          <w:p w14:paraId="08663AB5" w14:textId="77777777" w:rsidR="00466B8B" w:rsidRPr="002A6AB6" w:rsidRDefault="00466B8B" w:rsidP="00587700">
            <w:pPr>
              <w:keepNext/>
              <w:tabs>
                <w:tab w:val="left" w:pos="567"/>
              </w:tabs>
              <w:jc w:val="both"/>
              <w:rPr>
                <w:sz w:val="22"/>
                <w:szCs w:val="22"/>
                <w:lang w:val="sr-Latn-ME"/>
              </w:rPr>
            </w:pPr>
            <w:proofErr w:type="spellStart"/>
            <w:r w:rsidRPr="002A6AB6">
              <w:rPr>
                <w:sz w:val="22"/>
                <w:szCs w:val="22"/>
                <w:lang w:val="sr-Latn-ME"/>
              </w:rPr>
              <w:t>gastroenteritis</w:t>
            </w:r>
            <w:proofErr w:type="spellEnd"/>
            <w:r w:rsidRPr="002A6AB6">
              <w:rPr>
                <w:sz w:val="22"/>
                <w:szCs w:val="22"/>
                <w:lang w:val="sr-Latn-ME"/>
              </w:rPr>
              <w:t xml:space="preserve">, </w:t>
            </w:r>
          </w:p>
          <w:p w14:paraId="54E6F591" w14:textId="77777777" w:rsidR="00466B8B" w:rsidRPr="002A6AB6" w:rsidRDefault="00466B8B" w:rsidP="00587700">
            <w:pPr>
              <w:keepNext/>
              <w:tabs>
                <w:tab w:val="left" w:pos="567"/>
              </w:tabs>
              <w:jc w:val="both"/>
              <w:rPr>
                <w:sz w:val="22"/>
                <w:szCs w:val="22"/>
                <w:lang w:val="sr-Latn-ME"/>
              </w:rPr>
            </w:pPr>
            <w:r w:rsidRPr="002A6AB6">
              <w:rPr>
                <w:sz w:val="22"/>
                <w:szCs w:val="22"/>
                <w:lang w:val="sr-Latn-ME"/>
              </w:rPr>
              <w:t xml:space="preserve">infekcija respiratornog trakta, </w:t>
            </w:r>
          </w:p>
          <w:p w14:paraId="3B6794E8" w14:textId="77777777" w:rsidR="00466B8B" w:rsidRPr="002A6AB6" w:rsidRDefault="00466B8B" w:rsidP="00587700">
            <w:pPr>
              <w:keepNext/>
              <w:tabs>
                <w:tab w:val="left" w:pos="567"/>
              </w:tabs>
              <w:jc w:val="both"/>
              <w:rPr>
                <w:sz w:val="22"/>
                <w:szCs w:val="22"/>
                <w:lang w:val="sr-Latn-ME"/>
              </w:rPr>
            </w:pPr>
            <w:r w:rsidRPr="002A6AB6">
              <w:rPr>
                <w:sz w:val="22"/>
                <w:szCs w:val="22"/>
                <w:lang w:val="sr-Latn-ME"/>
              </w:rPr>
              <w:t xml:space="preserve">virusna infekcija, </w:t>
            </w:r>
          </w:p>
          <w:p w14:paraId="0FC85FA7" w14:textId="77777777" w:rsidR="00466B8B" w:rsidRPr="002A6AB6" w:rsidRDefault="00466B8B" w:rsidP="00587700">
            <w:pPr>
              <w:keepNext/>
              <w:tabs>
                <w:tab w:val="left" w:pos="567"/>
              </w:tabs>
              <w:jc w:val="both"/>
              <w:rPr>
                <w:sz w:val="22"/>
                <w:szCs w:val="22"/>
                <w:lang w:val="sr-Latn-ME"/>
              </w:rPr>
            </w:pPr>
            <w:r w:rsidRPr="002A6AB6">
              <w:rPr>
                <w:sz w:val="22"/>
                <w:szCs w:val="22"/>
                <w:lang w:val="sr-Latn-ME"/>
              </w:rPr>
              <w:t xml:space="preserve">herpes </w:t>
            </w:r>
            <w:proofErr w:type="spellStart"/>
            <w:r w:rsidRPr="002A6AB6">
              <w:rPr>
                <w:sz w:val="22"/>
                <w:szCs w:val="22"/>
                <w:lang w:val="sr-Latn-ME"/>
              </w:rPr>
              <w:t>zoster</w:t>
            </w:r>
            <w:proofErr w:type="spellEnd"/>
            <w:r w:rsidRPr="002A6AB6">
              <w:rPr>
                <w:sz w:val="22"/>
                <w:szCs w:val="22"/>
                <w:lang w:val="sr-Latn-ME"/>
              </w:rPr>
              <w:t xml:space="preserve">, </w:t>
            </w:r>
          </w:p>
          <w:p w14:paraId="150A3534" w14:textId="77777777" w:rsidR="00466B8B" w:rsidRPr="002A6AB6" w:rsidRDefault="00466B8B" w:rsidP="00587700">
            <w:pPr>
              <w:keepNext/>
              <w:tabs>
                <w:tab w:val="left" w:pos="567"/>
              </w:tabs>
              <w:jc w:val="both"/>
              <w:rPr>
                <w:sz w:val="22"/>
                <w:szCs w:val="22"/>
                <w:lang w:val="sr-Latn-ME"/>
              </w:rPr>
            </w:pPr>
            <w:r w:rsidRPr="002A6AB6">
              <w:rPr>
                <w:sz w:val="22"/>
                <w:szCs w:val="22"/>
                <w:lang w:val="sr-Latn-ME"/>
              </w:rPr>
              <w:t xml:space="preserve">konjunktivitis, </w:t>
            </w:r>
          </w:p>
          <w:p w14:paraId="43A7D3D2" w14:textId="77777777" w:rsidR="00466B8B" w:rsidRPr="002A6AB6" w:rsidRDefault="00466B8B" w:rsidP="00587700">
            <w:pPr>
              <w:keepNext/>
              <w:tabs>
                <w:tab w:val="left" w:pos="567"/>
              </w:tabs>
              <w:jc w:val="both"/>
              <w:rPr>
                <w:sz w:val="22"/>
                <w:szCs w:val="22"/>
                <w:lang w:val="sr-Latn-ME"/>
              </w:rPr>
            </w:pPr>
            <w:proofErr w:type="spellStart"/>
            <w:r w:rsidRPr="002A6AB6">
              <w:rPr>
                <w:sz w:val="22"/>
                <w:szCs w:val="22"/>
                <w:lang w:val="sr-Latn-ME"/>
              </w:rPr>
              <w:t>celulitis</w:t>
            </w:r>
            <w:proofErr w:type="spellEnd"/>
            <w:r w:rsidRPr="002A6AB6">
              <w:rPr>
                <w:sz w:val="22"/>
                <w:szCs w:val="22"/>
                <w:lang w:val="sr-Latn-ME"/>
              </w:rPr>
              <w:t xml:space="preserve"> </w:t>
            </w:r>
          </w:p>
        </w:tc>
        <w:tc>
          <w:tcPr>
            <w:tcW w:w="1020" w:type="pct"/>
          </w:tcPr>
          <w:p w14:paraId="18760784" w14:textId="77777777" w:rsidR="00466B8B" w:rsidRPr="002A6AB6" w:rsidRDefault="00466B8B" w:rsidP="00587700">
            <w:pPr>
              <w:keepNext/>
              <w:tabs>
                <w:tab w:val="left" w:pos="567"/>
              </w:tabs>
              <w:jc w:val="both"/>
              <w:rPr>
                <w:sz w:val="22"/>
                <w:szCs w:val="22"/>
                <w:lang w:val="sr-Latn-ME"/>
              </w:rPr>
            </w:pPr>
          </w:p>
        </w:tc>
      </w:tr>
      <w:tr w:rsidR="00466B8B" w:rsidRPr="002A6AB6" w14:paraId="5D44AB99" w14:textId="77777777" w:rsidTr="00466B8B">
        <w:trPr>
          <w:cantSplit/>
        </w:trPr>
        <w:tc>
          <w:tcPr>
            <w:tcW w:w="1532" w:type="pct"/>
            <w:shd w:val="clear" w:color="auto" w:fill="auto"/>
          </w:tcPr>
          <w:p w14:paraId="5CD0EFCA" w14:textId="77777777" w:rsidR="00466B8B" w:rsidRPr="002A6AB6" w:rsidRDefault="00466B8B" w:rsidP="00587700">
            <w:pPr>
              <w:tabs>
                <w:tab w:val="left" w:pos="567"/>
              </w:tabs>
              <w:jc w:val="both"/>
              <w:rPr>
                <w:b/>
                <w:bCs/>
                <w:sz w:val="22"/>
                <w:szCs w:val="22"/>
                <w:lang w:val="sr-Latn-ME"/>
              </w:rPr>
            </w:pPr>
            <w:r w:rsidRPr="002A6AB6">
              <w:rPr>
                <w:b/>
                <w:bCs/>
                <w:sz w:val="22"/>
                <w:szCs w:val="22"/>
                <w:lang w:val="sr-Latn-ME"/>
              </w:rPr>
              <w:t>Poremećaji krvi i limfnog sistema</w:t>
            </w:r>
          </w:p>
        </w:tc>
        <w:tc>
          <w:tcPr>
            <w:tcW w:w="1122" w:type="pct"/>
            <w:shd w:val="clear" w:color="auto" w:fill="auto"/>
          </w:tcPr>
          <w:p w14:paraId="568C082D" w14:textId="77777777" w:rsidR="00466B8B" w:rsidRPr="002A6AB6" w:rsidRDefault="00466B8B" w:rsidP="00587700">
            <w:pPr>
              <w:tabs>
                <w:tab w:val="left" w:pos="567"/>
              </w:tabs>
              <w:jc w:val="both"/>
              <w:rPr>
                <w:sz w:val="22"/>
                <w:szCs w:val="22"/>
                <w:lang w:val="sr-Latn-ME"/>
              </w:rPr>
            </w:pPr>
          </w:p>
        </w:tc>
        <w:tc>
          <w:tcPr>
            <w:tcW w:w="1327" w:type="pct"/>
            <w:shd w:val="clear" w:color="auto" w:fill="auto"/>
          </w:tcPr>
          <w:p w14:paraId="5522977D" w14:textId="77777777" w:rsidR="00466B8B" w:rsidRPr="002A6AB6" w:rsidRDefault="00466B8B" w:rsidP="00587700">
            <w:pPr>
              <w:tabs>
                <w:tab w:val="left" w:pos="567"/>
              </w:tabs>
              <w:jc w:val="both"/>
              <w:rPr>
                <w:sz w:val="22"/>
                <w:szCs w:val="22"/>
                <w:lang w:val="sr-Latn-ME"/>
              </w:rPr>
            </w:pPr>
            <w:proofErr w:type="spellStart"/>
            <w:r w:rsidRPr="002A6AB6">
              <w:rPr>
                <w:sz w:val="22"/>
                <w:szCs w:val="22"/>
                <w:lang w:val="sr-Latn-ME"/>
              </w:rPr>
              <w:t>Neutropenija</w:t>
            </w:r>
            <w:proofErr w:type="spellEnd"/>
          </w:p>
        </w:tc>
        <w:tc>
          <w:tcPr>
            <w:tcW w:w="1020" w:type="pct"/>
          </w:tcPr>
          <w:p w14:paraId="2B1A7AE4" w14:textId="77777777" w:rsidR="00466B8B" w:rsidRPr="002A6AB6" w:rsidRDefault="00466B8B" w:rsidP="00587700">
            <w:pPr>
              <w:tabs>
                <w:tab w:val="left" w:pos="567"/>
              </w:tabs>
              <w:jc w:val="both"/>
              <w:rPr>
                <w:sz w:val="22"/>
                <w:szCs w:val="22"/>
                <w:lang w:val="sr-Latn-ME"/>
              </w:rPr>
            </w:pPr>
            <w:r w:rsidRPr="002A6AB6">
              <w:rPr>
                <w:sz w:val="22"/>
                <w:szCs w:val="22"/>
                <w:lang w:val="sr-Latn-ME"/>
              </w:rPr>
              <w:t xml:space="preserve">Kasna pojava </w:t>
            </w:r>
          </w:p>
          <w:p w14:paraId="31E9468F" w14:textId="77777777" w:rsidR="00466B8B" w:rsidRPr="002A6AB6" w:rsidRDefault="00466B8B" w:rsidP="00587700">
            <w:pPr>
              <w:tabs>
                <w:tab w:val="left" w:pos="567"/>
              </w:tabs>
              <w:jc w:val="both"/>
              <w:rPr>
                <w:sz w:val="22"/>
                <w:szCs w:val="22"/>
                <w:lang w:val="sr-Latn-ME"/>
              </w:rPr>
            </w:pPr>
            <w:r w:rsidRPr="002A6AB6">
              <w:rPr>
                <w:sz w:val="22"/>
                <w:szCs w:val="22"/>
                <w:lang w:val="sr-Latn-ME"/>
              </w:rPr>
              <w:t>neutropenije</w:t>
            </w:r>
            <w:r w:rsidRPr="002A6AB6">
              <w:rPr>
                <w:sz w:val="22"/>
                <w:szCs w:val="22"/>
                <w:vertAlign w:val="superscript"/>
                <w:lang w:val="sr-Latn-ME"/>
              </w:rPr>
              <w:t>3</w:t>
            </w:r>
          </w:p>
        </w:tc>
      </w:tr>
      <w:tr w:rsidR="00466B8B" w:rsidRPr="002A6AB6" w14:paraId="241047BE" w14:textId="77777777" w:rsidTr="00466B8B">
        <w:trPr>
          <w:cantSplit/>
        </w:trPr>
        <w:tc>
          <w:tcPr>
            <w:tcW w:w="1532" w:type="pct"/>
            <w:shd w:val="clear" w:color="auto" w:fill="auto"/>
          </w:tcPr>
          <w:p w14:paraId="2E77E9A5" w14:textId="77777777" w:rsidR="00466B8B" w:rsidRPr="002A6AB6" w:rsidRDefault="00466B8B" w:rsidP="00587700">
            <w:pPr>
              <w:tabs>
                <w:tab w:val="left" w:pos="567"/>
              </w:tabs>
              <w:jc w:val="both"/>
              <w:rPr>
                <w:b/>
                <w:bCs/>
                <w:sz w:val="22"/>
                <w:szCs w:val="22"/>
                <w:lang w:val="sr-Latn-ME"/>
              </w:rPr>
            </w:pPr>
            <w:r w:rsidRPr="002A6AB6">
              <w:rPr>
                <w:b/>
                <w:bCs/>
                <w:sz w:val="22"/>
                <w:szCs w:val="22"/>
                <w:lang w:val="sr-Latn-ME"/>
              </w:rPr>
              <w:t xml:space="preserve">Respiratorni, torakalni i </w:t>
            </w:r>
            <w:proofErr w:type="spellStart"/>
            <w:r w:rsidRPr="002A6AB6">
              <w:rPr>
                <w:b/>
                <w:bCs/>
                <w:sz w:val="22"/>
                <w:szCs w:val="22"/>
                <w:lang w:val="sr-Latn-ME"/>
              </w:rPr>
              <w:t>medijastinalni</w:t>
            </w:r>
            <w:proofErr w:type="spellEnd"/>
            <w:r w:rsidRPr="002A6AB6">
              <w:rPr>
                <w:b/>
                <w:bCs/>
                <w:sz w:val="22"/>
                <w:szCs w:val="22"/>
                <w:lang w:val="sr-Latn-ME"/>
              </w:rPr>
              <w:t xml:space="preserve"> poremećaji </w:t>
            </w:r>
          </w:p>
        </w:tc>
        <w:tc>
          <w:tcPr>
            <w:tcW w:w="1122" w:type="pct"/>
            <w:shd w:val="clear" w:color="auto" w:fill="auto"/>
          </w:tcPr>
          <w:p w14:paraId="494B2958" w14:textId="77777777" w:rsidR="00466B8B" w:rsidRPr="002A6AB6" w:rsidRDefault="00466B8B" w:rsidP="00587700">
            <w:pPr>
              <w:tabs>
                <w:tab w:val="left" w:pos="567"/>
              </w:tabs>
              <w:jc w:val="both"/>
              <w:rPr>
                <w:sz w:val="22"/>
                <w:szCs w:val="22"/>
                <w:lang w:val="sr-Latn-ME"/>
              </w:rPr>
            </w:pPr>
          </w:p>
        </w:tc>
        <w:tc>
          <w:tcPr>
            <w:tcW w:w="1327" w:type="pct"/>
            <w:shd w:val="clear" w:color="auto" w:fill="auto"/>
          </w:tcPr>
          <w:p w14:paraId="637DFCF8" w14:textId="77777777" w:rsidR="00466B8B" w:rsidRPr="002A6AB6" w:rsidRDefault="00466B8B" w:rsidP="00587700">
            <w:pPr>
              <w:tabs>
                <w:tab w:val="left" w:pos="567"/>
              </w:tabs>
              <w:jc w:val="both"/>
              <w:rPr>
                <w:sz w:val="22"/>
                <w:szCs w:val="22"/>
                <w:lang w:val="sr-Latn-ME"/>
              </w:rPr>
            </w:pPr>
            <w:r w:rsidRPr="002A6AB6">
              <w:rPr>
                <w:sz w:val="22"/>
                <w:szCs w:val="22"/>
                <w:lang w:val="sr-Latn-ME"/>
              </w:rPr>
              <w:t xml:space="preserve">Kašalj, </w:t>
            </w:r>
          </w:p>
          <w:p w14:paraId="735E946D" w14:textId="77777777" w:rsidR="00466B8B" w:rsidRPr="002A6AB6" w:rsidRDefault="00466B8B" w:rsidP="00587700">
            <w:pPr>
              <w:tabs>
                <w:tab w:val="left" w:pos="567"/>
              </w:tabs>
              <w:jc w:val="both"/>
              <w:rPr>
                <w:sz w:val="22"/>
                <w:szCs w:val="22"/>
                <w:lang w:val="sr-Latn-ME"/>
              </w:rPr>
            </w:pPr>
            <w:r w:rsidRPr="002A6AB6">
              <w:rPr>
                <w:sz w:val="22"/>
                <w:szCs w:val="22"/>
                <w:lang w:val="sr-Latn-ME"/>
              </w:rPr>
              <w:t>katar</w:t>
            </w:r>
          </w:p>
          <w:p w14:paraId="0E710DBD" w14:textId="77777777" w:rsidR="00466B8B" w:rsidRPr="002A6AB6" w:rsidRDefault="00466B8B" w:rsidP="00587700">
            <w:pPr>
              <w:tabs>
                <w:tab w:val="left" w:pos="567"/>
              </w:tabs>
              <w:jc w:val="both"/>
              <w:rPr>
                <w:sz w:val="22"/>
                <w:szCs w:val="22"/>
                <w:lang w:val="sr-Latn-ME"/>
              </w:rPr>
            </w:pPr>
          </w:p>
          <w:p w14:paraId="2228D41E" w14:textId="77777777" w:rsidR="00466B8B" w:rsidRPr="002A6AB6" w:rsidRDefault="00466B8B" w:rsidP="00587700">
            <w:pPr>
              <w:tabs>
                <w:tab w:val="left" w:pos="567"/>
              </w:tabs>
              <w:jc w:val="both"/>
              <w:rPr>
                <w:sz w:val="22"/>
                <w:szCs w:val="22"/>
                <w:lang w:val="sr-Latn-ME"/>
              </w:rPr>
            </w:pPr>
          </w:p>
        </w:tc>
        <w:tc>
          <w:tcPr>
            <w:tcW w:w="1020" w:type="pct"/>
          </w:tcPr>
          <w:p w14:paraId="135E4F2E" w14:textId="77777777" w:rsidR="00466B8B" w:rsidRPr="002A6AB6" w:rsidRDefault="00466B8B" w:rsidP="00587700">
            <w:pPr>
              <w:tabs>
                <w:tab w:val="left" w:pos="567"/>
              </w:tabs>
              <w:jc w:val="both"/>
              <w:rPr>
                <w:sz w:val="22"/>
                <w:szCs w:val="22"/>
                <w:lang w:val="sr-Latn-ME"/>
              </w:rPr>
            </w:pPr>
          </w:p>
        </w:tc>
      </w:tr>
      <w:tr w:rsidR="00466B8B" w:rsidRPr="002A6AB6" w14:paraId="21A915F5" w14:textId="77777777" w:rsidTr="00466B8B">
        <w:trPr>
          <w:cantSplit/>
        </w:trPr>
        <w:tc>
          <w:tcPr>
            <w:tcW w:w="1532" w:type="pct"/>
            <w:shd w:val="clear" w:color="auto" w:fill="auto"/>
          </w:tcPr>
          <w:p w14:paraId="1F9D0810" w14:textId="77777777" w:rsidR="00466B8B" w:rsidRPr="002A6AB6" w:rsidRDefault="00466B8B" w:rsidP="00587700">
            <w:pPr>
              <w:tabs>
                <w:tab w:val="left" w:pos="567"/>
              </w:tabs>
              <w:jc w:val="both"/>
              <w:rPr>
                <w:b/>
                <w:bCs/>
                <w:sz w:val="22"/>
                <w:szCs w:val="22"/>
                <w:lang w:val="sr-Latn-ME"/>
              </w:rPr>
            </w:pPr>
            <w:r w:rsidRPr="002A6AB6">
              <w:rPr>
                <w:b/>
                <w:bCs/>
                <w:sz w:val="22"/>
                <w:szCs w:val="22"/>
                <w:shd w:val="clear" w:color="auto" w:fill="FFFFFF"/>
                <w:lang w:val="sr-Latn-ME"/>
              </w:rPr>
              <w:t>Ispitivanja</w:t>
            </w:r>
          </w:p>
        </w:tc>
        <w:tc>
          <w:tcPr>
            <w:tcW w:w="1122" w:type="pct"/>
            <w:shd w:val="clear" w:color="auto" w:fill="auto"/>
          </w:tcPr>
          <w:p w14:paraId="664AFE97" w14:textId="77777777" w:rsidR="00466B8B" w:rsidRPr="002A6AB6" w:rsidRDefault="00466B8B" w:rsidP="00587700">
            <w:pPr>
              <w:tabs>
                <w:tab w:val="left" w:pos="567"/>
              </w:tabs>
              <w:jc w:val="both"/>
              <w:rPr>
                <w:sz w:val="22"/>
                <w:szCs w:val="22"/>
                <w:lang w:val="sr-Latn-ME"/>
              </w:rPr>
            </w:pPr>
            <w:r w:rsidRPr="002A6AB6">
              <w:rPr>
                <w:sz w:val="22"/>
                <w:szCs w:val="22"/>
                <w:lang w:val="sr-Latn-ME"/>
              </w:rPr>
              <w:t xml:space="preserve">Snižene vrijednosti </w:t>
            </w:r>
            <w:proofErr w:type="spellStart"/>
            <w:r w:rsidRPr="002A6AB6">
              <w:rPr>
                <w:sz w:val="22"/>
                <w:szCs w:val="22"/>
                <w:lang w:val="sr-Latn-ME"/>
              </w:rPr>
              <w:t>imunoglobulina</w:t>
            </w:r>
            <w:proofErr w:type="spellEnd"/>
            <w:r w:rsidRPr="002A6AB6">
              <w:rPr>
                <w:sz w:val="22"/>
                <w:szCs w:val="22"/>
                <w:lang w:val="sr-Latn-ME"/>
              </w:rPr>
              <w:t xml:space="preserve"> M u krvi</w:t>
            </w:r>
          </w:p>
          <w:p w14:paraId="6615CA35" w14:textId="77777777" w:rsidR="00466B8B" w:rsidRPr="002A6AB6" w:rsidRDefault="00466B8B" w:rsidP="00587700">
            <w:pPr>
              <w:tabs>
                <w:tab w:val="left" w:pos="567"/>
              </w:tabs>
              <w:jc w:val="both"/>
              <w:rPr>
                <w:sz w:val="22"/>
                <w:szCs w:val="22"/>
                <w:lang w:val="sr-Latn-ME"/>
              </w:rPr>
            </w:pPr>
          </w:p>
        </w:tc>
        <w:tc>
          <w:tcPr>
            <w:tcW w:w="1327" w:type="pct"/>
            <w:shd w:val="clear" w:color="auto" w:fill="auto"/>
          </w:tcPr>
          <w:p w14:paraId="6CFB4DE9" w14:textId="77777777" w:rsidR="00466B8B" w:rsidRPr="002A6AB6" w:rsidRDefault="00466B8B" w:rsidP="00587700">
            <w:pPr>
              <w:tabs>
                <w:tab w:val="left" w:pos="567"/>
              </w:tabs>
              <w:jc w:val="both"/>
              <w:rPr>
                <w:sz w:val="22"/>
                <w:szCs w:val="22"/>
                <w:lang w:val="sr-Latn-ME"/>
              </w:rPr>
            </w:pPr>
            <w:r w:rsidRPr="002A6AB6">
              <w:rPr>
                <w:sz w:val="22"/>
                <w:szCs w:val="22"/>
                <w:lang w:val="sr-Latn-ME"/>
              </w:rPr>
              <w:t xml:space="preserve">Snižene vrijednosti </w:t>
            </w:r>
            <w:proofErr w:type="spellStart"/>
            <w:r w:rsidRPr="002A6AB6">
              <w:rPr>
                <w:sz w:val="22"/>
                <w:szCs w:val="22"/>
                <w:lang w:val="sr-Latn-ME"/>
              </w:rPr>
              <w:t>imunoglobulina</w:t>
            </w:r>
            <w:proofErr w:type="spellEnd"/>
            <w:r w:rsidRPr="002A6AB6">
              <w:rPr>
                <w:sz w:val="22"/>
                <w:szCs w:val="22"/>
                <w:lang w:val="sr-Latn-ME"/>
              </w:rPr>
              <w:t xml:space="preserve"> G u krvi</w:t>
            </w:r>
          </w:p>
          <w:p w14:paraId="7FE8CABE" w14:textId="77777777" w:rsidR="00466B8B" w:rsidRPr="002A6AB6" w:rsidRDefault="00466B8B" w:rsidP="00587700">
            <w:pPr>
              <w:tabs>
                <w:tab w:val="left" w:pos="567"/>
              </w:tabs>
              <w:jc w:val="both"/>
              <w:rPr>
                <w:sz w:val="22"/>
                <w:szCs w:val="22"/>
                <w:lang w:val="sr-Latn-ME"/>
              </w:rPr>
            </w:pPr>
          </w:p>
        </w:tc>
        <w:tc>
          <w:tcPr>
            <w:tcW w:w="1020" w:type="pct"/>
          </w:tcPr>
          <w:p w14:paraId="20B6D8D5" w14:textId="77777777" w:rsidR="00466B8B" w:rsidRPr="002A6AB6" w:rsidRDefault="00466B8B" w:rsidP="00587700">
            <w:pPr>
              <w:tabs>
                <w:tab w:val="left" w:pos="567"/>
              </w:tabs>
              <w:jc w:val="both"/>
              <w:rPr>
                <w:sz w:val="22"/>
                <w:szCs w:val="22"/>
                <w:lang w:val="sr-Latn-ME"/>
              </w:rPr>
            </w:pPr>
          </w:p>
        </w:tc>
      </w:tr>
      <w:tr w:rsidR="00466B8B" w:rsidRPr="002A6AB6" w14:paraId="7A0281FA" w14:textId="77777777" w:rsidTr="00466B8B">
        <w:trPr>
          <w:cantSplit/>
        </w:trPr>
        <w:tc>
          <w:tcPr>
            <w:tcW w:w="1532" w:type="pct"/>
            <w:shd w:val="clear" w:color="auto" w:fill="auto"/>
          </w:tcPr>
          <w:p w14:paraId="6EBC22C8" w14:textId="77777777" w:rsidR="00466B8B" w:rsidRPr="002A6AB6" w:rsidRDefault="00466B8B" w:rsidP="00587700">
            <w:pPr>
              <w:tabs>
                <w:tab w:val="left" w:pos="567"/>
              </w:tabs>
              <w:jc w:val="both"/>
              <w:rPr>
                <w:b/>
                <w:bCs/>
                <w:sz w:val="22"/>
                <w:szCs w:val="22"/>
                <w:lang w:val="sr-Latn-ME"/>
              </w:rPr>
            </w:pPr>
            <w:proofErr w:type="spellStart"/>
            <w:r w:rsidRPr="002A6AB6">
              <w:rPr>
                <w:b/>
                <w:bCs/>
                <w:sz w:val="22"/>
                <w:szCs w:val="22"/>
                <w:lang w:val="sr-Latn-ME"/>
              </w:rPr>
              <w:t>Povrede</w:t>
            </w:r>
            <w:proofErr w:type="spellEnd"/>
            <w:r w:rsidRPr="002A6AB6">
              <w:rPr>
                <w:b/>
                <w:bCs/>
                <w:sz w:val="22"/>
                <w:szCs w:val="22"/>
                <w:lang w:val="sr-Latn-ME"/>
              </w:rPr>
              <w:t xml:space="preserve">, trovanja i proceduralne komplikacije </w:t>
            </w:r>
          </w:p>
          <w:p w14:paraId="428F3723" w14:textId="77777777" w:rsidR="00466B8B" w:rsidRPr="002A6AB6" w:rsidRDefault="00466B8B" w:rsidP="00587700">
            <w:pPr>
              <w:tabs>
                <w:tab w:val="left" w:pos="567"/>
              </w:tabs>
              <w:jc w:val="both"/>
              <w:rPr>
                <w:b/>
                <w:bCs/>
                <w:sz w:val="22"/>
                <w:szCs w:val="22"/>
                <w:lang w:val="sr-Latn-ME"/>
              </w:rPr>
            </w:pPr>
          </w:p>
        </w:tc>
        <w:tc>
          <w:tcPr>
            <w:tcW w:w="1122" w:type="pct"/>
            <w:shd w:val="clear" w:color="auto" w:fill="auto"/>
          </w:tcPr>
          <w:p w14:paraId="0B430386" w14:textId="77777777" w:rsidR="00466B8B" w:rsidRPr="002A6AB6" w:rsidRDefault="00466B8B" w:rsidP="00587700">
            <w:pPr>
              <w:tabs>
                <w:tab w:val="left" w:pos="567"/>
              </w:tabs>
              <w:jc w:val="both"/>
              <w:rPr>
                <w:sz w:val="22"/>
                <w:szCs w:val="22"/>
                <w:vertAlign w:val="superscript"/>
                <w:lang w:val="sr-Latn-ME"/>
              </w:rPr>
            </w:pPr>
            <w:r w:rsidRPr="002A6AB6">
              <w:rPr>
                <w:sz w:val="22"/>
                <w:szCs w:val="22"/>
                <w:lang w:val="sr-Latn-ME"/>
              </w:rPr>
              <w:t>Reakcije povezane sa infuzijom</w:t>
            </w:r>
            <w:r w:rsidRPr="002A6AB6">
              <w:rPr>
                <w:sz w:val="22"/>
                <w:szCs w:val="22"/>
                <w:vertAlign w:val="superscript"/>
                <w:lang w:val="sr-Latn-ME"/>
              </w:rPr>
              <w:t>1</w:t>
            </w:r>
            <w:r w:rsidRPr="002A6AB6">
              <w:rPr>
                <w:sz w:val="22"/>
                <w:szCs w:val="22"/>
                <w:lang w:val="sr-Latn-ME"/>
              </w:rPr>
              <w:t>, reakcija na injekciju</w:t>
            </w:r>
            <w:r w:rsidRPr="002A6AB6">
              <w:rPr>
                <w:sz w:val="22"/>
                <w:szCs w:val="22"/>
                <w:vertAlign w:val="superscript"/>
                <w:lang w:val="sr-Latn-ME"/>
              </w:rPr>
              <w:t>2,3</w:t>
            </w:r>
          </w:p>
        </w:tc>
        <w:tc>
          <w:tcPr>
            <w:tcW w:w="1327" w:type="pct"/>
            <w:shd w:val="clear" w:color="auto" w:fill="auto"/>
          </w:tcPr>
          <w:p w14:paraId="24EADBEF" w14:textId="77777777" w:rsidR="00466B8B" w:rsidRPr="002A6AB6" w:rsidRDefault="00466B8B" w:rsidP="00587700">
            <w:pPr>
              <w:tabs>
                <w:tab w:val="left" w:pos="567"/>
              </w:tabs>
              <w:jc w:val="both"/>
              <w:rPr>
                <w:sz w:val="22"/>
                <w:szCs w:val="22"/>
                <w:lang w:val="sr-Latn-ME"/>
              </w:rPr>
            </w:pPr>
          </w:p>
        </w:tc>
        <w:tc>
          <w:tcPr>
            <w:tcW w:w="1020" w:type="pct"/>
          </w:tcPr>
          <w:p w14:paraId="610438C3" w14:textId="77777777" w:rsidR="00466B8B" w:rsidRPr="002A6AB6" w:rsidRDefault="00466B8B" w:rsidP="00587700">
            <w:pPr>
              <w:tabs>
                <w:tab w:val="left" w:pos="567"/>
              </w:tabs>
              <w:jc w:val="both"/>
              <w:rPr>
                <w:sz w:val="22"/>
                <w:szCs w:val="22"/>
                <w:lang w:val="sr-Latn-ME"/>
              </w:rPr>
            </w:pPr>
          </w:p>
        </w:tc>
      </w:tr>
    </w:tbl>
    <w:p w14:paraId="4D415EA9"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vertAlign w:val="superscript"/>
          <w:lang w:val="sr-Latn-ME"/>
        </w:rPr>
        <w:t>1</w:t>
      </w:r>
      <w:r w:rsidRPr="002A6AB6">
        <w:rPr>
          <w:bCs/>
          <w:sz w:val="22"/>
          <w:szCs w:val="22"/>
          <w:lang w:val="sr-Latn-ME"/>
        </w:rPr>
        <w:t xml:space="preserve"> Zabilježeno samo u </w:t>
      </w:r>
      <w:proofErr w:type="spellStart"/>
      <w:r w:rsidRPr="002A6AB6">
        <w:rPr>
          <w:bCs/>
          <w:sz w:val="22"/>
          <w:szCs w:val="22"/>
          <w:lang w:val="sr-Latn-ME"/>
        </w:rPr>
        <w:t>objedinjenom</w:t>
      </w:r>
      <w:proofErr w:type="spellEnd"/>
      <w:r w:rsidRPr="002A6AB6">
        <w:rPr>
          <w:bCs/>
          <w:sz w:val="22"/>
          <w:szCs w:val="22"/>
          <w:lang w:val="sr-Latn-ME"/>
        </w:rPr>
        <w:t xml:space="preserve"> skupu podataka za </w:t>
      </w:r>
      <w:proofErr w:type="spellStart"/>
      <w:r w:rsidRPr="002A6AB6">
        <w:rPr>
          <w:bCs/>
          <w:sz w:val="22"/>
          <w:szCs w:val="22"/>
          <w:lang w:val="sr-Latn-ME"/>
        </w:rPr>
        <w:t>intravenski</w:t>
      </w:r>
      <w:proofErr w:type="spellEnd"/>
      <w:r w:rsidRPr="002A6AB6">
        <w:rPr>
          <w:bCs/>
          <w:sz w:val="22"/>
          <w:szCs w:val="22"/>
          <w:lang w:val="sr-Latn-ME"/>
        </w:rPr>
        <w:t xml:space="preserve"> </w:t>
      </w:r>
      <w:proofErr w:type="spellStart"/>
      <w:r w:rsidRPr="002A6AB6">
        <w:rPr>
          <w:bCs/>
          <w:sz w:val="22"/>
          <w:szCs w:val="22"/>
          <w:lang w:val="sr-Latn-ME"/>
        </w:rPr>
        <w:t>okrelizumab</w:t>
      </w:r>
      <w:proofErr w:type="spellEnd"/>
    </w:p>
    <w:p w14:paraId="5FD96990"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vertAlign w:val="superscript"/>
          <w:lang w:val="sr-Latn-ME"/>
        </w:rPr>
        <w:t>2</w:t>
      </w:r>
      <w:r w:rsidRPr="002A6AB6">
        <w:rPr>
          <w:bCs/>
          <w:sz w:val="22"/>
          <w:szCs w:val="22"/>
          <w:lang w:val="sr-Latn-ME"/>
        </w:rPr>
        <w:t xml:space="preserve"> Zabilježeno u studiji izvan </w:t>
      </w:r>
      <w:proofErr w:type="spellStart"/>
      <w:r w:rsidRPr="002A6AB6">
        <w:rPr>
          <w:bCs/>
          <w:sz w:val="22"/>
          <w:szCs w:val="22"/>
          <w:lang w:val="sr-Latn-ME"/>
        </w:rPr>
        <w:t>objedinjenog</w:t>
      </w:r>
      <w:proofErr w:type="spellEnd"/>
      <w:r w:rsidRPr="002A6AB6">
        <w:rPr>
          <w:bCs/>
          <w:sz w:val="22"/>
          <w:szCs w:val="22"/>
          <w:lang w:val="sr-Latn-ME"/>
        </w:rPr>
        <w:t xml:space="preserve"> skupa podataka za </w:t>
      </w:r>
      <w:proofErr w:type="spellStart"/>
      <w:r w:rsidRPr="002A6AB6">
        <w:rPr>
          <w:bCs/>
          <w:sz w:val="22"/>
          <w:szCs w:val="22"/>
          <w:lang w:val="sr-Latn-ME"/>
        </w:rPr>
        <w:t>intravenski</w:t>
      </w:r>
      <w:proofErr w:type="spellEnd"/>
      <w:r w:rsidRPr="002A6AB6">
        <w:rPr>
          <w:bCs/>
          <w:sz w:val="22"/>
          <w:szCs w:val="22"/>
          <w:lang w:val="sr-Latn-ME"/>
        </w:rPr>
        <w:t xml:space="preserve"> </w:t>
      </w:r>
      <w:proofErr w:type="spellStart"/>
      <w:r w:rsidRPr="002A6AB6">
        <w:rPr>
          <w:bCs/>
          <w:sz w:val="22"/>
          <w:szCs w:val="22"/>
          <w:lang w:val="sr-Latn-ME"/>
        </w:rPr>
        <w:t>okrelizumab</w:t>
      </w:r>
      <w:proofErr w:type="spellEnd"/>
      <w:r w:rsidRPr="002A6AB6">
        <w:rPr>
          <w:bCs/>
          <w:sz w:val="22"/>
          <w:szCs w:val="22"/>
          <w:lang w:val="sr-Latn-ME"/>
        </w:rPr>
        <w:t xml:space="preserve"> (povezano sa </w:t>
      </w:r>
      <w:proofErr w:type="spellStart"/>
      <w:r w:rsidRPr="002A6AB6">
        <w:rPr>
          <w:bCs/>
          <w:sz w:val="22"/>
          <w:szCs w:val="22"/>
          <w:lang w:val="sr-Latn-ME"/>
        </w:rPr>
        <w:t>subkutanom</w:t>
      </w:r>
      <w:proofErr w:type="spellEnd"/>
      <w:r w:rsidRPr="002A6AB6">
        <w:rPr>
          <w:bCs/>
          <w:sz w:val="22"/>
          <w:szCs w:val="22"/>
          <w:lang w:val="sr-Latn-ME"/>
        </w:rPr>
        <w:t xml:space="preserve"> prim</w:t>
      </w:r>
      <w:r w:rsidR="00550472" w:rsidRPr="002A6AB6">
        <w:rPr>
          <w:bCs/>
          <w:sz w:val="22"/>
          <w:szCs w:val="22"/>
          <w:lang w:val="sr-Latn-ME"/>
        </w:rPr>
        <w:t>j</w:t>
      </w:r>
      <w:r w:rsidRPr="002A6AB6">
        <w:rPr>
          <w:bCs/>
          <w:sz w:val="22"/>
          <w:szCs w:val="22"/>
          <w:lang w:val="sr-Latn-ME"/>
        </w:rPr>
        <w:t xml:space="preserve">enom). </w:t>
      </w:r>
    </w:p>
    <w:p w14:paraId="32B38FEE"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vertAlign w:val="superscript"/>
          <w:lang w:val="sr-Latn-ME"/>
        </w:rPr>
        <w:t>3</w:t>
      </w:r>
      <w:r w:rsidRPr="002A6AB6">
        <w:rPr>
          <w:bCs/>
          <w:sz w:val="22"/>
          <w:szCs w:val="22"/>
          <w:lang w:val="sr-Latn-ME"/>
        </w:rPr>
        <w:t xml:space="preserve"> Primijećeno nakon stavljanja lijeka u promet.</w:t>
      </w:r>
    </w:p>
    <w:p w14:paraId="2DA57667" w14:textId="77777777" w:rsidR="00466B8B" w:rsidRPr="002A6AB6" w:rsidRDefault="00466B8B" w:rsidP="00587700">
      <w:pPr>
        <w:tabs>
          <w:tab w:val="left" w:pos="540"/>
          <w:tab w:val="left" w:pos="569"/>
        </w:tabs>
        <w:jc w:val="both"/>
        <w:rPr>
          <w:b/>
          <w:bCs/>
          <w:sz w:val="22"/>
          <w:szCs w:val="22"/>
          <w:lang w:val="sr-Latn-ME"/>
        </w:rPr>
      </w:pPr>
    </w:p>
    <w:p w14:paraId="3FBC1832" w14:textId="77777777" w:rsidR="00466B8B" w:rsidRPr="002A6AB6" w:rsidRDefault="00466B8B" w:rsidP="00587700">
      <w:pPr>
        <w:keepNext/>
        <w:keepLines/>
        <w:tabs>
          <w:tab w:val="left" w:pos="567"/>
        </w:tabs>
        <w:jc w:val="both"/>
        <w:rPr>
          <w:sz w:val="22"/>
          <w:szCs w:val="22"/>
          <w:u w:val="single"/>
          <w:lang w:val="sr-Latn-ME"/>
        </w:rPr>
      </w:pPr>
      <w:r w:rsidRPr="002A6AB6">
        <w:rPr>
          <w:sz w:val="22"/>
          <w:szCs w:val="22"/>
          <w:u w:val="single"/>
          <w:lang w:val="sr-Latn-ME"/>
        </w:rPr>
        <w:t>Opis odabranih neželjenih reakcija</w:t>
      </w:r>
    </w:p>
    <w:p w14:paraId="2DF91AA5" w14:textId="77777777" w:rsidR="00466B8B" w:rsidRPr="002A6AB6" w:rsidRDefault="00466B8B" w:rsidP="00587700">
      <w:pPr>
        <w:tabs>
          <w:tab w:val="left" w:pos="567"/>
        </w:tabs>
        <w:jc w:val="both"/>
        <w:rPr>
          <w:sz w:val="22"/>
          <w:szCs w:val="22"/>
          <w:lang w:val="sr-Latn-ME"/>
        </w:rPr>
      </w:pPr>
    </w:p>
    <w:p w14:paraId="487FF5AC" w14:textId="77777777" w:rsidR="00466B8B" w:rsidRPr="002A6AB6" w:rsidRDefault="00466B8B" w:rsidP="00587700">
      <w:pPr>
        <w:keepNext/>
        <w:keepLines/>
        <w:shd w:val="clear" w:color="auto" w:fill="FFFFFF"/>
        <w:jc w:val="both"/>
        <w:rPr>
          <w:sz w:val="22"/>
          <w:szCs w:val="22"/>
          <w:lang w:val="sr-Latn-ME" w:eastAsia="ja-JP"/>
        </w:rPr>
      </w:pPr>
      <w:r w:rsidRPr="002A6AB6">
        <w:rPr>
          <w:i/>
          <w:iCs/>
          <w:sz w:val="22"/>
          <w:szCs w:val="22"/>
          <w:lang w:val="sr-Latn-ME" w:eastAsia="ja-JP"/>
        </w:rPr>
        <w:t>Reakcije na injekciju</w:t>
      </w:r>
    </w:p>
    <w:p w14:paraId="61B2D069" w14:textId="77777777" w:rsidR="00466B8B" w:rsidRPr="002A6AB6" w:rsidRDefault="00466B8B" w:rsidP="00587700">
      <w:pPr>
        <w:tabs>
          <w:tab w:val="left" w:pos="567"/>
        </w:tabs>
        <w:jc w:val="both"/>
        <w:rPr>
          <w:sz w:val="22"/>
          <w:szCs w:val="22"/>
          <w:lang w:val="sr-Latn-ME"/>
        </w:rPr>
      </w:pPr>
      <w:r w:rsidRPr="002A6AB6">
        <w:rPr>
          <w:sz w:val="22"/>
          <w:szCs w:val="22"/>
          <w:lang w:val="sr-Latn-ME"/>
        </w:rPr>
        <w:t xml:space="preserve">Na osnovu </w:t>
      </w:r>
      <w:proofErr w:type="spellStart"/>
      <w:r w:rsidRPr="002A6AB6">
        <w:rPr>
          <w:sz w:val="22"/>
          <w:szCs w:val="22"/>
          <w:lang w:val="sr-Latn-ME"/>
        </w:rPr>
        <w:t>zabilježenih</w:t>
      </w:r>
      <w:proofErr w:type="spellEnd"/>
      <w:r w:rsidRPr="002A6AB6">
        <w:rPr>
          <w:sz w:val="22"/>
          <w:szCs w:val="22"/>
          <w:lang w:val="sr-Latn-ME"/>
        </w:rPr>
        <w:t xml:space="preserve"> simptoma, reakcije na injekciju su kategorisane u sistemske reakcije na injekciju i lokalne reakcije na injekciju.</w:t>
      </w:r>
    </w:p>
    <w:p w14:paraId="23F23D10" w14:textId="77777777" w:rsidR="00466B8B" w:rsidRPr="002A6AB6" w:rsidRDefault="00466B8B" w:rsidP="00587700">
      <w:pPr>
        <w:tabs>
          <w:tab w:val="left" w:pos="567"/>
        </w:tabs>
        <w:jc w:val="both"/>
        <w:rPr>
          <w:sz w:val="22"/>
          <w:szCs w:val="22"/>
          <w:lang w:val="sr-Latn-ME"/>
        </w:rPr>
      </w:pPr>
    </w:p>
    <w:p w14:paraId="1F1D5E64" w14:textId="77777777" w:rsidR="00466B8B" w:rsidRPr="002A6AB6" w:rsidRDefault="00466B8B" w:rsidP="00587700">
      <w:pPr>
        <w:tabs>
          <w:tab w:val="left" w:pos="567"/>
        </w:tabs>
        <w:jc w:val="both"/>
        <w:rPr>
          <w:sz w:val="22"/>
          <w:szCs w:val="22"/>
          <w:lang w:val="sr-Latn-ME"/>
        </w:rPr>
      </w:pPr>
      <w:r w:rsidRPr="002A6AB6">
        <w:rPr>
          <w:sz w:val="22"/>
          <w:szCs w:val="22"/>
          <w:lang w:val="sr-Latn-ME"/>
        </w:rPr>
        <w:t xml:space="preserve">U ispitivanju OCARINA II 118 pacijenata (koji ranije nisu primali </w:t>
      </w:r>
      <w:proofErr w:type="spellStart"/>
      <w:r w:rsidRPr="002A6AB6">
        <w:rPr>
          <w:sz w:val="22"/>
          <w:szCs w:val="22"/>
          <w:lang w:val="sr-Latn-ME"/>
        </w:rPr>
        <w:t>okrelizumab</w:t>
      </w:r>
      <w:proofErr w:type="spellEnd"/>
      <w:r w:rsidRPr="002A6AB6">
        <w:rPr>
          <w:sz w:val="22"/>
          <w:szCs w:val="22"/>
          <w:lang w:val="sr-Latn-ME"/>
        </w:rPr>
        <w:t xml:space="preserve">) primilo je prvu injekciju proizvoda. Najčešći simptomi prijavljeni kod sistemskih reakcija na injekciju i lokalnih reakcija na injekciju obuhvatili su: glavobolju (2,5%), mučninu (1,7%), </w:t>
      </w:r>
      <w:proofErr w:type="spellStart"/>
      <w:r w:rsidRPr="002A6AB6">
        <w:rPr>
          <w:sz w:val="22"/>
          <w:szCs w:val="22"/>
          <w:lang w:val="sr-Latn-ME"/>
        </w:rPr>
        <w:t>eritem</w:t>
      </w:r>
      <w:proofErr w:type="spellEnd"/>
      <w:r w:rsidRPr="002A6AB6">
        <w:rPr>
          <w:sz w:val="22"/>
          <w:szCs w:val="22"/>
          <w:lang w:val="sr-Latn-ME"/>
        </w:rPr>
        <w:t xml:space="preserve"> na mjestu primjene injekcije (29,7%), bol na mjestu primjene injekcije (14,4%), otok na mjestu primjene injekcije (8,5%) i </w:t>
      </w:r>
      <w:proofErr w:type="spellStart"/>
      <w:r w:rsidRPr="002A6AB6">
        <w:rPr>
          <w:sz w:val="22"/>
          <w:szCs w:val="22"/>
          <w:lang w:val="sr-Latn-ME"/>
        </w:rPr>
        <w:t>pruritus</w:t>
      </w:r>
      <w:proofErr w:type="spellEnd"/>
      <w:r w:rsidRPr="002A6AB6">
        <w:rPr>
          <w:sz w:val="22"/>
          <w:szCs w:val="22"/>
          <w:lang w:val="sr-Latn-ME"/>
        </w:rPr>
        <w:t xml:space="preserve"> na mjestu primjene injekcije (6,8%). Reakcije na injekciju javile su se u 48,3% tih pacijenata nakon prve injekcije. Od 118 pacijenata, 11% pacijenata je doživjelo barem jedan događaj sistemske reakcije na injekciju, a 45,8% je doživjelo barem jedan događaj lokalne reakcije na injekciju. Među pacijentima sa reakcijom na injekciju većina (82,5%) je imala reakciju na injekciju u roku od 24 sata nakon završetka injekcije u poređenju sa periodom tokom primanja injekcije. Nijedna reakcija na injekciju nije bila ozbiljna, već su bile blagog (71,9%) ili umjerenog (28,1%) stepena težine. </w:t>
      </w:r>
      <w:proofErr w:type="spellStart"/>
      <w:r w:rsidRPr="002A6AB6">
        <w:rPr>
          <w:sz w:val="22"/>
          <w:szCs w:val="22"/>
          <w:lang w:val="sr-Latn-ME"/>
        </w:rPr>
        <w:t>Medijana</w:t>
      </w:r>
      <w:proofErr w:type="spellEnd"/>
      <w:r w:rsidRPr="002A6AB6">
        <w:rPr>
          <w:sz w:val="22"/>
          <w:szCs w:val="22"/>
          <w:lang w:val="sr-Latn-ME"/>
        </w:rPr>
        <w:t xml:space="preserve"> trajanja reakcije na injekciju bila je 3 dana za sistemske reakcije na injekciju i 4 dana za lokalne reakcije na injekciju. Svi pacijenti su se oporavili od reakcija na injekciju, a za 26,3% je bila neophodna </w:t>
      </w:r>
      <w:proofErr w:type="spellStart"/>
      <w:r w:rsidRPr="002A6AB6">
        <w:rPr>
          <w:sz w:val="22"/>
          <w:szCs w:val="22"/>
          <w:lang w:val="sr-Latn-ME"/>
        </w:rPr>
        <w:t>simptomatska</w:t>
      </w:r>
      <w:proofErr w:type="spellEnd"/>
      <w:r w:rsidRPr="002A6AB6">
        <w:rPr>
          <w:sz w:val="22"/>
          <w:szCs w:val="22"/>
          <w:lang w:val="sr-Latn-ME"/>
        </w:rPr>
        <w:t xml:space="preserve"> terapija. </w:t>
      </w:r>
    </w:p>
    <w:p w14:paraId="44BAD20F" w14:textId="77777777" w:rsidR="00466B8B" w:rsidRPr="002A6AB6" w:rsidRDefault="00466B8B" w:rsidP="00587700">
      <w:pPr>
        <w:tabs>
          <w:tab w:val="left" w:pos="567"/>
        </w:tabs>
        <w:jc w:val="both"/>
        <w:rPr>
          <w:sz w:val="22"/>
          <w:szCs w:val="22"/>
          <w:lang w:val="sr-Latn-ME"/>
        </w:rPr>
      </w:pPr>
    </w:p>
    <w:p w14:paraId="4E1957F9" w14:textId="77777777" w:rsidR="00466B8B" w:rsidRPr="002A6AB6" w:rsidRDefault="00466B8B" w:rsidP="00587700">
      <w:pPr>
        <w:tabs>
          <w:tab w:val="left" w:pos="567"/>
        </w:tabs>
        <w:jc w:val="both"/>
        <w:rPr>
          <w:sz w:val="22"/>
          <w:szCs w:val="22"/>
          <w:lang w:val="sr-Latn-ME"/>
        </w:rPr>
      </w:pPr>
      <w:r w:rsidRPr="002A6AB6">
        <w:rPr>
          <w:sz w:val="22"/>
          <w:szCs w:val="22"/>
          <w:lang w:val="sr-Latn-ME"/>
        </w:rPr>
        <w:t xml:space="preserve">U ispitivanju OCARINA I, 125 pacijenata je primilo jednu ili više </w:t>
      </w:r>
      <w:proofErr w:type="spellStart"/>
      <w:r w:rsidRPr="002A6AB6">
        <w:rPr>
          <w:sz w:val="22"/>
          <w:szCs w:val="22"/>
          <w:lang w:val="sr-Latn-ME"/>
        </w:rPr>
        <w:t>subkutanih</w:t>
      </w:r>
      <w:proofErr w:type="spellEnd"/>
      <w:r w:rsidRPr="002A6AB6">
        <w:rPr>
          <w:sz w:val="22"/>
          <w:szCs w:val="22"/>
          <w:lang w:val="sr-Latn-ME"/>
        </w:rPr>
        <w:t xml:space="preserve"> injekcija </w:t>
      </w:r>
      <w:proofErr w:type="spellStart"/>
      <w:r w:rsidRPr="002A6AB6">
        <w:rPr>
          <w:sz w:val="22"/>
          <w:szCs w:val="22"/>
          <w:lang w:val="sr-Latn-ME"/>
        </w:rPr>
        <w:t>okrelizumaba</w:t>
      </w:r>
      <w:proofErr w:type="spellEnd"/>
      <w:r w:rsidRPr="002A6AB6">
        <w:rPr>
          <w:sz w:val="22"/>
          <w:szCs w:val="22"/>
          <w:lang w:val="sr-Latn-ME"/>
        </w:rPr>
        <w:t xml:space="preserve"> 1200 mg. Od 125 pacijenata koji su primili prvu injekciju, 16,0% pacijenata je doživjelo barem jedan događaj sistemske reakcije na injekciju, a 64% pacijenata je doživjelo barem jedan događaj lokalne reakcije na injekciju. Od 104 pacijenta koji su primili drugu injekciju, </w:t>
      </w:r>
      <w:proofErr w:type="spellStart"/>
      <w:r w:rsidRPr="002A6AB6">
        <w:rPr>
          <w:sz w:val="22"/>
          <w:szCs w:val="22"/>
          <w:lang w:val="sr-Latn-ME"/>
        </w:rPr>
        <w:t>incidenca</w:t>
      </w:r>
      <w:proofErr w:type="spellEnd"/>
      <w:r w:rsidRPr="002A6AB6">
        <w:rPr>
          <w:sz w:val="22"/>
          <w:szCs w:val="22"/>
          <w:lang w:val="sr-Latn-ME"/>
        </w:rPr>
        <w:t xml:space="preserve"> sistemske reakcije na injekciju opala je na 7,7%, a </w:t>
      </w:r>
      <w:proofErr w:type="spellStart"/>
      <w:r w:rsidRPr="002A6AB6">
        <w:rPr>
          <w:sz w:val="22"/>
          <w:szCs w:val="22"/>
          <w:lang w:val="sr-Latn-ME"/>
        </w:rPr>
        <w:t>incidenca</w:t>
      </w:r>
      <w:proofErr w:type="spellEnd"/>
      <w:r w:rsidRPr="002A6AB6">
        <w:rPr>
          <w:sz w:val="22"/>
          <w:szCs w:val="22"/>
          <w:lang w:val="sr-Latn-ME"/>
        </w:rPr>
        <w:t xml:space="preserve"> lokalne reakcije na injekciju na 37,5%. Nijedna reakcija na injekciju nije bila ozbiljna, i sve osim jedne reakcije na injekciju su bile blagog ili umjerenog stepena težine za prvu injekciju. Nijedna reakcija na injekciju nije bila ozbiljna, a sve su bile blagog ili umjerenog stepena težine za drugu injekciju. Za 21,2% i 17,9% pacijenata kod kojih su se javile reakcije na injekciju bila je neophodna </w:t>
      </w:r>
      <w:proofErr w:type="spellStart"/>
      <w:r w:rsidRPr="002A6AB6">
        <w:rPr>
          <w:sz w:val="22"/>
          <w:szCs w:val="22"/>
          <w:lang w:val="sr-Latn-ME"/>
        </w:rPr>
        <w:t>simptomatska</w:t>
      </w:r>
      <w:proofErr w:type="spellEnd"/>
      <w:r w:rsidRPr="002A6AB6">
        <w:rPr>
          <w:sz w:val="22"/>
          <w:szCs w:val="22"/>
          <w:lang w:val="sr-Latn-ME"/>
        </w:rPr>
        <w:t xml:space="preserve"> terapija nakon prve odnosno druge injekcije. </w:t>
      </w:r>
    </w:p>
    <w:p w14:paraId="3D50D315" w14:textId="77777777" w:rsidR="00466B8B" w:rsidRPr="002A6AB6" w:rsidRDefault="00466B8B" w:rsidP="00587700">
      <w:pPr>
        <w:tabs>
          <w:tab w:val="left" w:pos="567"/>
        </w:tabs>
        <w:jc w:val="both"/>
        <w:rPr>
          <w:sz w:val="22"/>
          <w:szCs w:val="22"/>
          <w:lang w:val="sr-Latn-ME"/>
        </w:rPr>
      </w:pPr>
    </w:p>
    <w:p w14:paraId="60BEAE7C" w14:textId="48894A68" w:rsidR="00466B8B" w:rsidRPr="002A6AB6" w:rsidRDefault="00466B8B" w:rsidP="00587700">
      <w:pPr>
        <w:jc w:val="both"/>
        <w:rPr>
          <w:sz w:val="22"/>
          <w:szCs w:val="22"/>
          <w:lang w:val="sr-Latn-ME" w:eastAsia="ja-JP"/>
        </w:rPr>
      </w:pPr>
      <w:proofErr w:type="spellStart"/>
      <w:r w:rsidRPr="002A6AB6">
        <w:rPr>
          <w:sz w:val="22"/>
          <w:szCs w:val="22"/>
          <w:lang w:val="sr-Latn-ME" w:eastAsia="ja-JP"/>
        </w:rPr>
        <w:t>Intravenski</w:t>
      </w:r>
      <w:proofErr w:type="spellEnd"/>
      <w:r w:rsidRPr="002A6AB6">
        <w:rPr>
          <w:sz w:val="22"/>
          <w:szCs w:val="22"/>
          <w:lang w:val="sr-Latn-ME" w:eastAsia="ja-JP"/>
        </w:rPr>
        <w:t xml:space="preserve"> </w:t>
      </w:r>
      <w:proofErr w:type="spellStart"/>
      <w:r w:rsidRPr="002A6AB6">
        <w:rPr>
          <w:sz w:val="22"/>
          <w:szCs w:val="22"/>
          <w:lang w:val="sr-Latn-ME" w:eastAsia="ja-JP"/>
        </w:rPr>
        <w:t>okrelizumab</w:t>
      </w:r>
      <w:proofErr w:type="spellEnd"/>
      <w:r w:rsidRPr="002A6AB6">
        <w:rPr>
          <w:sz w:val="22"/>
          <w:szCs w:val="22"/>
          <w:lang w:val="sr-Latn-ME" w:eastAsia="ja-JP"/>
        </w:rPr>
        <w:t xml:space="preserve"> se povezuje sa reakcijama povezanim sa infuzijom (IRR) koje takođe mogu biti u vezi sa oslobađanjem </w:t>
      </w:r>
      <w:proofErr w:type="spellStart"/>
      <w:r w:rsidRPr="002A6AB6">
        <w:rPr>
          <w:sz w:val="22"/>
          <w:szCs w:val="22"/>
          <w:lang w:val="sr-Latn-ME" w:eastAsia="ja-JP"/>
        </w:rPr>
        <w:t>citokina</w:t>
      </w:r>
      <w:proofErr w:type="spellEnd"/>
      <w:r w:rsidRPr="002A6AB6">
        <w:rPr>
          <w:sz w:val="22"/>
          <w:szCs w:val="22"/>
          <w:lang w:val="sr-Latn-ME" w:eastAsia="ja-JP"/>
        </w:rPr>
        <w:t xml:space="preserve"> odnosno drugih hemijskih medijatora. Reakcije povezane sa infuzijom mogu se javiti kao </w:t>
      </w:r>
      <w:proofErr w:type="spellStart"/>
      <w:r w:rsidRPr="002A6AB6">
        <w:rPr>
          <w:sz w:val="22"/>
          <w:szCs w:val="22"/>
          <w:lang w:val="sr-Latn-ME" w:eastAsia="ja-JP"/>
        </w:rPr>
        <w:t>pruritus</w:t>
      </w:r>
      <w:proofErr w:type="spellEnd"/>
      <w:r w:rsidRPr="002A6AB6">
        <w:rPr>
          <w:sz w:val="22"/>
          <w:szCs w:val="22"/>
          <w:lang w:val="sr-Latn-ME" w:eastAsia="ja-JP"/>
        </w:rPr>
        <w:t xml:space="preserve">, osip, urtikarija, </w:t>
      </w:r>
      <w:proofErr w:type="spellStart"/>
      <w:r w:rsidRPr="002A6AB6">
        <w:rPr>
          <w:sz w:val="22"/>
          <w:szCs w:val="22"/>
          <w:lang w:val="sr-Latn-ME" w:eastAsia="ja-JP"/>
        </w:rPr>
        <w:t>eritem</w:t>
      </w:r>
      <w:proofErr w:type="spellEnd"/>
      <w:r w:rsidRPr="002A6AB6">
        <w:rPr>
          <w:sz w:val="22"/>
          <w:szCs w:val="22"/>
          <w:lang w:val="sr-Latn-ME" w:eastAsia="ja-JP"/>
        </w:rPr>
        <w:t xml:space="preserve">, iritacija u grlu, </w:t>
      </w:r>
      <w:proofErr w:type="spellStart"/>
      <w:r w:rsidR="00550472" w:rsidRPr="002A6AB6">
        <w:rPr>
          <w:sz w:val="22"/>
          <w:szCs w:val="22"/>
          <w:lang w:val="sr-Latn-ME" w:eastAsia="ja-JP"/>
        </w:rPr>
        <w:t>orofaringealni</w:t>
      </w:r>
      <w:proofErr w:type="spellEnd"/>
      <w:r w:rsidR="00550472" w:rsidRPr="002A6AB6">
        <w:rPr>
          <w:sz w:val="22"/>
          <w:szCs w:val="22"/>
          <w:lang w:val="sr-Latn-ME" w:eastAsia="ja-JP"/>
        </w:rPr>
        <w:t xml:space="preserve"> </w:t>
      </w:r>
      <w:r w:rsidRPr="002A6AB6">
        <w:rPr>
          <w:sz w:val="22"/>
          <w:szCs w:val="22"/>
          <w:lang w:val="sr-Latn-ME" w:eastAsia="ja-JP"/>
        </w:rPr>
        <w:t xml:space="preserve">bol, </w:t>
      </w:r>
      <w:proofErr w:type="spellStart"/>
      <w:r w:rsidRPr="002A6AB6">
        <w:rPr>
          <w:sz w:val="22"/>
          <w:szCs w:val="22"/>
          <w:lang w:val="sr-Latn-ME" w:eastAsia="ja-JP"/>
        </w:rPr>
        <w:t>dispneja</w:t>
      </w:r>
      <w:proofErr w:type="spellEnd"/>
      <w:r w:rsidRPr="002A6AB6">
        <w:rPr>
          <w:sz w:val="22"/>
          <w:szCs w:val="22"/>
          <w:lang w:val="sr-Latn-ME" w:eastAsia="ja-JP"/>
        </w:rPr>
        <w:t xml:space="preserve">, </w:t>
      </w:r>
      <w:proofErr w:type="spellStart"/>
      <w:r w:rsidRPr="002A6AB6">
        <w:rPr>
          <w:sz w:val="22"/>
          <w:szCs w:val="22"/>
          <w:lang w:val="sr-Latn-ME" w:eastAsia="ja-JP"/>
        </w:rPr>
        <w:t>faringealni</w:t>
      </w:r>
      <w:proofErr w:type="spellEnd"/>
      <w:r w:rsidRPr="002A6AB6">
        <w:rPr>
          <w:sz w:val="22"/>
          <w:szCs w:val="22"/>
          <w:lang w:val="sr-Latn-ME" w:eastAsia="ja-JP"/>
        </w:rPr>
        <w:t xml:space="preserve"> ili </w:t>
      </w:r>
      <w:proofErr w:type="spellStart"/>
      <w:r w:rsidRPr="002A6AB6">
        <w:rPr>
          <w:sz w:val="22"/>
          <w:szCs w:val="22"/>
          <w:lang w:val="sr-Latn-ME" w:eastAsia="ja-JP"/>
        </w:rPr>
        <w:t>laringealni</w:t>
      </w:r>
      <w:proofErr w:type="spellEnd"/>
      <w:r w:rsidRPr="002A6AB6">
        <w:rPr>
          <w:sz w:val="22"/>
          <w:szCs w:val="22"/>
          <w:lang w:val="sr-Latn-ME" w:eastAsia="ja-JP"/>
        </w:rPr>
        <w:t xml:space="preserve"> </w:t>
      </w:r>
      <w:proofErr w:type="spellStart"/>
      <w:r w:rsidRPr="002A6AB6">
        <w:rPr>
          <w:sz w:val="22"/>
          <w:szCs w:val="22"/>
          <w:lang w:val="sr-Latn-ME" w:eastAsia="ja-JP"/>
        </w:rPr>
        <w:t>edem</w:t>
      </w:r>
      <w:proofErr w:type="spellEnd"/>
      <w:r w:rsidRPr="002A6AB6">
        <w:rPr>
          <w:sz w:val="22"/>
          <w:szCs w:val="22"/>
          <w:lang w:val="sr-Latn-ME" w:eastAsia="ja-JP"/>
        </w:rPr>
        <w:t xml:space="preserve">, crvenilo, </w:t>
      </w:r>
      <w:proofErr w:type="spellStart"/>
      <w:r w:rsidRPr="002A6AB6">
        <w:rPr>
          <w:sz w:val="22"/>
          <w:szCs w:val="22"/>
          <w:lang w:val="sr-Latn-ME" w:eastAsia="ja-JP"/>
        </w:rPr>
        <w:t>hipotenzija</w:t>
      </w:r>
      <w:proofErr w:type="spellEnd"/>
      <w:r w:rsidRPr="002A6AB6">
        <w:rPr>
          <w:sz w:val="22"/>
          <w:szCs w:val="22"/>
          <w:lang w:val="sr-Latn-ME" w:eastAsia="ja-JP"/>
        </w:rPr>
        <w:t xml:space="preserve">, </w:t>
      </w:r>
      <w:proofErr w:type="spellStart"/>
      <w:r w:rsidRPr="002A6AB6">
        <w:rPr>
          <w:sz w:val="22"/>
          <w:szCs w:val="22"/>
          <w:lang w:val="sr-Latn-ME" w:eastAsia="ja-JP"/>
        </w:rPr>
        <w:t>pireksija</w:t>
      </w:r>
      <w:proofErr w:type="spellEnd"/>
      <w:r w:rsidRPr="002A6AB6">
        <w:rPr>
          <w:sz w:val="22"/>
          <w:szCs w:val="22"/>
          <w:lang w:val="sr-Latn-ME" w:eastAsia="ja-JP"/>
        </w:rPr>
        <w:t xml:space="preserve">, umor, glavobolja, vrtoglavica, mučnina, tahikardija i </w:t>
      </w:r>
      <w:proofErr w:type="spellStart"/>
      <w:r w:rsidRPr="002A6AB6">
        <w:rPr>
          <w:sz w:val="22"/>
          <w:szCs w:val="22"/>
          <w:lang w:val="sr-Latn-ME" w:eastAsia="ja-JP"/>
        </w:rPr>
        <w:t>anafilaksa</w:t>
      </w:r>
      <w:proofErr w:type="spellEnd"/>
      <w:r w:rsidRPr="002A6AB6">
        <w:rPr>
          <w:color w:val="000000"/>
          <w:sz w:val="22"/>
          <w:szCs w:val="22"/>
          <w:lang w:val="sr-Latn-ME" w:eastAsia="ja-JP"/>
        </w:rPr>
        <w:t>.</w:t>
      </w:r>
      <w:r w:rsidRPr="002A6AB6">
        <w:rPr>
          <w:sz w:val="22"/>
          <w:szCs w:val="22"/>
          <w:lang w:val="sr-Latn-ME" w:eastAsia="ja-JP"/>
        </w:rPr>
        <w:t xml:space="preserve"> Zabilježene su ozbiljne reakcije povezane sa infuzijom, zbog nekih od kojih je bila neophodna </w:t>
      </w:r>
      <w:proofErr w:type="spellStart"/>
      <w:r w:rsidRPr="002A6AB6">
        <w:rPr>
          <w:sz w:val="22"/>
          <w:szCs w:val="22"/>
          <w:lang w:val="sr-Latn-ME" w:eastAsia="ja-JP"/>
        </w:rPr>
        <w:t>hospitalizacija</w:t>
      </w:r>
      <w:proofErr w:type="spellEnd"/>
      <w:r w:rsidRPr="002A6AB6">
        <w:rPr>
          <w:sz w:val="22"/>
          <w:szCs w:val="22"/>
          <w:lang w:val="sr-Latn-ME" w:eastAsia="ja-JP"/>
        </w:rPr>
        <w:t>.</w:t>
      </w:r>
      <w:r w:rsidRPr="002A6AB6">
        <w:rPr>
          <w:color w:val="000000"/>
          <w:sz w:val="22"/>
          <w:szCs w:val="22"/>
          <w:lang w:val="sr-Latn-ME" w:eastAsia="ja-JP"/>
        </w:rPr>
        <w:t xml:space="preserve"> </w:t>
      </w:r>
    </w:p>
    <w:p w14:paraId="0E38AD6E" w14:textId="77777777" w:rsidR="00466B8B" w:rsidRPr="002A6AB6" w:rsidRDefault="00466B8B" w:rsidP="00587700">
      <w:pPr>
        <w:keepNext/>
        <w:keepLines/>
        <w:jc w:val="both"/>
        <w:rPr>
          <w:sz w:val="22"/>
          <w:szCs w:val="22"/>
          <w:lang w:val="sr-Latn-ME" w:eastAsia="ja-JP"/>
        </w:rPr>
      </w:pPr>
    </w:p>
    <w:p w14:paraId="2F621B65" w14:textId="77777777" w:rsidR="00466B8B" w:rsidRPr="002A6AB6" w:rsidRDefault="00466B8B" w:rsidP="00587700">
      <w:pPr>
        <w:jc w:val="both"/>
        <w:rPr>
          <w:i/>
          <w:sz w:val="22"/>
          <w:szCs w:val="22"/>
          <w:lang w:val="sr-Latn-ME" w:eastAsia="ja-JP"/>
        </w:rPr>
      </w:pPr>
      <w:r w:rsidRPr="002A6AB6">
        <w:rPr>
          <w:i/>
          <w:iCs/>
          <w:sz w:val="22"/>
          <w:szCs w:val="22"/>
          <w:lang w:val="sr-Latn-ME" w:eastAsia="ja-JP"/>
        </w:rPr>
        <w:t>Infekcija</w:t>
      </w:r>
    </w:p>
    <w:p w14:paraId="612E8326" w14:textId="77777777" w:rsidR="00466B8B" w:rsidRPr="002A6AB6" w:rsidRDefault="00466B8B" w:rsidP="00587700">
      <w:pPr>
        <w:tabs>
          <w:tab w:val="left" w:pos="567"/>
        </w:tabs>
        <w:jc w:val="both"/>
        <w:rPr>
          <w:sz w:val="22"/>
          <w:szCs w:val="22"/>
          <w:lang w:val="sr-Latn-ME"/>
        </w:rPr>
      </w:pPr>
      <w:r w:rsidRPr="002A6AB6">
        <w:rPr>
          <w:sz w:val="22"/>
          <w:szCs w:val="22"/>
          <w:lang w:val="sr-Latn-ME"/>
        </w:rPr>
        <w:t xml:space="preserve">U aktivno kontrolisanim studijama RMS, do infekcija je došlo kod 58,5% pacijenata koji su primali </w:t>
      </w:r>
      <w:proofErr w:type="spellStart"/>
      <w:r w:rsidRPr="002A6AB6">
        <w:rPr>
          <w:sz w:val="22"/>
          <w:szCs w:val="22"/>
          <w:lang w:val="sr-Latn-ME"/>
        </w:rPr>
        <w:t>intravenski</w:t>
      </w:r>
      <w:proofErr w:type="spellEnd"/>
      <w:r w:rsidRPr="002A6AB6">
        <w:rPr>
          <w:sz w:val="22"/>
          <w:szCs w:val="22"/>
          <w:lang w:val="sr-Latn-ME"/>
        </w:rPr>
        <w:t xml:space="preserve"> </w:t>
      </w:r>
      <w:proofErr w:type="spellStart"/>
      <w:r w:rsidRPr="002A6AB6">
        <w:rPr>
          <w:sz w:val="22"/>
          <w:szCs w:val="22"/>
          <w:lang w:val="sr-Latn-ME"/>
        </w:rPr>
        <w:t>okrelizumab</w:t>
      </w:r>
      <w:proofErr w:type="spellEnd"/>
      <w:r w:rsidRPr="002A6AB6">
        <w:rPr>
          <w:sz w:val="22"/>
          <w:szCs w:val="22"/>
          <w:lang w:val="sr-Latn-ME"/>
        </w:rPr>
        <w:t xml:space="preserve"> u poređenju sa 52,5% pacijenata koji su primali </w:t>
      </w:r>
      <w:proofErr w:type="spellStart"/>
      <w:r w:rsidRPr="002A6AB6">
        <w:rPr>
          <w:sz w:val="22"/>
          <w:szCs w:val="22"/>
          <w:lang w:val="sr-Latn-ME"/>
        </w:rPr>
        <w:t>interferon</w:t>
      </w:r>
      <w:proofErr w:type="spellEnd"/>
      <w:r w:rsidRPr="002A6AB6">
        <w:rPr>
          <w:sz w:val="22"/>
          <w:szCs w:val="22"/>
          <w:lang w:val="sr-Latn-ME"/>
        </w:rPr>
        <w:t xml:space="preserve"> beta 1a. Do ozbiljnih infekcija je došlo kod 1,3% pacijenata koji su primali </w:t>
      </w:r>
      <w:proofErr w:type="spellStart"/>
      <w:r w:rsidRPr="002A6AB6">
        <w:rPr>
          <w:sz w:val="22"/>
          <w:szCs w:val="22"/>
          <w:lang w:val="sr-Latn-ME"/>
        </w:rPr>
        <w:t>intravenski</w:t>
      </w:r>
      <w:proofErr w:type="spellEnd"/>
      <w:r w:rsidRPr="002A6AB6">
        <w:rPr>
          <w:sz w:val="22"/>
          <w:szCs w:val="22"/>
          <w:lang w:val="sr-Latn-ME"/>
        </w:rPr>
        <w:t xml:space="preserve"> </w:t>
      </w:r>
      <w:proofErr w:type="spellStart"/>
      <w:r w:rsidRPr="002A6AB6">
        <w:rPr>
          <w:sz w:val="22"/>
          <w:szCs w:val="22"/>
          <w:lang w:val="sr-Latn-ME"/>
        </w:rPr>
        <w:t>okrelizumab</w:t>
      </w:r>
      <w:proofErr w:type="spellEnd"/>
      <w:r w:rsidRPr="002A6AB6">
        <w:rPr>
          <w:sz w:val="22"/>
          <w:szCs w:val="22"/>
          <w:lang w:val="sr-Latn-ME"/>
        </w:rPr>
        <w:t xml:space="preserve"> u poređenju sa 2,9% pacijenata koji su primali </w:t>
      </w:r>
      <w:proofErr w:type="spellStart"/>
      <w:r w:rsidRPr="002A6AB6">
        <w:rPr>
          <w:sz w:val="22"/>
          <w:szCs w:val="22"/>
          <w:lang w:val="sr-Latn-ME"/>
        </w:rPr>
        <w:t>interferon</w:t>
      </w:r>
      <w:proofErr w:type="spellEnd"/>
      <w:r w:rsidRPr="002A6AB6">
        <w:rPr>
          <w:sz w:val="22"/>
          <w:szCs w:val="22"/>
          <w:lang w:val="sr-Latn-ME"/>
        </w:rPr>
        <w:t xml:space="preserve"> beta 1a. U </w:t>
      </w:r>
      <w:proofErr w:type="spellStart"/>
      <w:r w:rsidRPr="002A6AB6">
        <w:rPr>
          <w:sz w:val="22"/>
          <w:szCs w:val="22"/>
          <w:lang w:val="sr-Latn-ME"/>
        </w:rPr>
        <w:t>placebom</w:t>
      </w:r>
      <w:proofErr w:type="spellEnd"/>
      <w:r w:rsidRPr="002A6AB6">
        <w:rPr>
          <w:sz w:val="22"/>
          <w:szCs w:val="22"/>
          <w:lang w:val="sr-Latn-ME"/>
        </w:rPr>
        <w:t xml:space="preserve"> kontrolisanoj studiji PPMS, do infekcija je došlo kod 72,2% pacijenata koji su primali </w:t>
      </w:r>
      <w:proofErr w:type="spellStart"/>
      <w:r w:rsidRPr="002A6AB6">
        <w:rPr>
          <w:sz w:val="22"/>
          <w:szCs w:val="22"/>
          <w:lang w:val="sr-Latn-ME"/>
        </w:rPr>
        <w:t>intravenski</w:t>
      </w:r>
      <w:proofErr w:type="spellEnd"/>
      <w:r w:rsidRPr="002A6AB6">
        <w:rPr>
          <w:sz w:val="22"/>
          <w:szCs w:val="22"/>
          <w:lang w:val="sr-Latn-ME"/>
        </w:rPr>
        <w:t xml:space="preserve"> </w:t>
      </w:r>
      <w:proofErr w:type="spellStart"/>
      <w:r w:rsidRPr="002A6AB6">
        <w:rPr>
          <w:sz w:val="22"/>
          <w:szCs w:val="22"/>
          <w:lang w:val="sr-Latn-ME"/>
        </w:rPr>
        <w:t>okrelizumab</w:t>
      </w:r>
      <w:proofErr w:type="spellEnd"/>
      <w:r w:rsidRPr="002A6AB6">
        <w:rPr>
          <w:sz w:val="22"/>
          <w:szCs w:val="22"/>
          <w:lang w:val="sr-Latn-ME"/>
        </w:rPr>
        <w:t xml:space="preserve"> u poređenju sa 69,9% pacijenata koji su primali </w:t>
      </w:r>
      <w:proofErr w:type="spellStart"/>
      <w:r w:rsidRPr="002A6AB6">
        <w:rPr>
          <w:sz w:val="22"/>
          <w:szCs w:val="22"/>
          <w:lang w:val="sr-Latn-ME"/>
        </w:rPr>
        <w:t>placebo</w:t>
      </w:r>
      <w:proofErr w:type="spellEnd"/>
      <w:r w:rsidRPr="002A6AB6">
        <w:rPr>
          <w:sz w:val="22"/>
          <w:szCs w:val="22"/>
          <w:lang w:val="sr-Latn-ME"/>
        </w:rPr>
        <w:t xml:space="preserve">. Do ozbiljnih infekcija je došlo kod 6,2% pacijenata koji su primali </w:t>
      </w:r>
      <w:proofErr w:type="spellStart"/>
      <w:r w:rsidRPr="002A6AB6">
        <w:rPr>
          <w:sz w:val="22"/>
          <w:szCs w:val="22"/>
          <w:lang w:val="sr-Latn-ME"/>
        </w:rPr>
        <w:t>intravenski</w:t>
      </w:r>
      <w:proofErr w:type="spellEnd"/>
      <w:r w:rsidRPr="002A6AB6">
        <w:rPr>
          <w:sz w:val="22"/>
          <w:szCs w:val="22"/>
          <w:lang w:val="sr-Latn-ME"/>
        </w:rPr>
        <w:t xml:space="preserve"> </w:t>
      </w:r>
      <w:proofErr w:type="spellStart"/>
      <w:r w:rsidRPr="002A6AB6">
        <w:rPr>
          <w:sz w:val="22"/>
          <w:szCs w:val="22"/>
          <w:lang w:val="sr-Latn-ME"/>
        </w:rPr>
        <w:t>okrelizumab</w:t>
      </w:r>
      <w:proofErr w:type="spellEnd"/>
      <w:r w:rsidRPr="002A6AB6">
        <w:rPr>
          <w:sz w:val="22"/>
          <w:szCs w:val="22"/>
          <w:lang w:val="sr-Latn-ME"/>
        </w:rPr>
        <w:t xml:space="preserve"> u poređenju sa 6,7% pacijenata koji su primali </w:t>
      </w:r>
      <w:proofErr w:type="spellStart"/>
      <w:r w:rsidRPr="002A6AB6">
        <w:rPr>
          <w:sz w:val="22"/>
          <w:szCs w:val="22"/>
          <w:lang w:val="sr-Latn-ME"/>
        </w:rPr>
        <w:t>placebo</w:t>
      </w:r>
      <w:proofErr w:type="spellEnd"/>
      <w:r w:rsidRPr="002A6AB6">
        <w:rPr>
          <w:sz w:val="22"/>
          <w:szCs w:val="22"/>
          <w:lang w:val="sr-Latn-ME"/>
        </w:rPr>
        <w:t xml:space="preserve">.  </w:t>
      </w:r>
    </w:p>
    <w:p w14:paraId="506A2916" w14:textId="77777777" w:rsidR="00466B8B" w:rsidRPr="002A6AB6" w:rsidRDefault="00466B8B" w:rsidP="00587700">
      <w:pPr>
        <w:tabs>
          <w:tab w:val="left" w:pos="567"/>
        </w:tabs>
        <w:jc w:val="both"/>
        <w:rPr>
          <w:sz w:val="22"/>
          <w:szCs w:val="22"/>
          <w:lang w:val="sr-Latn-ME"/>
        </w:rPr>
      </w:pPr>
    </w:p>
    <w:p w14:paraId="13B71A7F" w14:textId="77777777" w:rsidR="00466B8B" w:rsidRPr="002A6AB6" w:rsidRDefault="00466B8B" w:rsidP="00587700">
      <w:pPr>
        <w:tabs>
          <w:tab w:val="left" w:pos="567"/>
        </w:tabs>
        <w:jc w:val="both"/>
        <w:rPr>
          <w:sz w:val="22"/>
          <w:szCs w:val="22"/>
          <w:lang w:val="sr-Latn-ME"/>
        </w:rPr>
      </w:pPr>
      <w:r w:rsidRPr="002A6AB6">
        <w:rPr>
          <w:sz w:val="22"/>
          <w:szCs w:val="22"/>
          <w:lang w:val="sr-Latn-ME"/>
        </w:rPr>
        <w:t xml:space="preserve">Svi pacijenti </w:t>
      </w:r>
      <w:proofErr w:type="spellStart"/>
      <w:r w:rsidRPr="002A6AB6">
        <w:rPr>
          <w:sz w:val="22"/>
          <w:szCs w:val="22"/>
          <w:lang w:val="sr-Latn-ME"/>
        </w:rPr>
        <w:t>prešli</w:t>
      </w:r>
      <w:proofErr w:type="spellEnd"/>
      <w:r w:rsidRPr="002A6AB6">
        <w:rPr>
          <w:sz w:val="22"/>
          <w:szCs w:val="22"/>
          <w:lang w:val="sr-Latn-ME"/>
        </w:rPr>
        <w:t xml:space="preserve"> su na </w:t>
      </w:r>
      <w:proofErr w:type="spellStart"/>
      <w:r w:rsidRPr="002A6AB6">
        <w:rPr>
          <w:sz w:val="22"/>
          <w:szCs w:val="22"/>
          <w:lang w:val="sr-Latn-ME"/>
        </w:rPr>
        <w:t>intravenski</w:t>
      </w:r>
      <w:proofErr w:type="spellEnd"/>
      <w:r w:rsidRPr="002A6AB6">
        <w:rPr>
          <w:sz w:val="22"/>
          <w:szCs w:val="22"/>
          <w:lang w:val="sr-Latn-ME"/>
        </w:rPr>
        <w:t xml:space="preserve"> </w:t>
      </w:r>
      <w:proofErr w:type="spellStart"/>
      <w:r w:rsidRPr="002A6AB6">
        <w:rPr>
          <w:sz w:val="22"/>
          <w:szCs w:val="22"/>
          <w:lang w:val="sr-Latn-ME"/>
        </w:rPr>
        <w:t>okrelizumab</w:t>
      </w:r>
      <w:proofErr w:type="spellEnd"/>
      <w:r w:rsidRPr="002A6AB6">
        <w:rPr>
          <w:sz w:val="22"/>
          <w:szCs w:val="22"/>
          <w:lang w:val="sr-Latn-ME"/>
        </w:rPr>
        <w:t xml:space="preserve"> tokom faze OLE i u slučaju RMS i u slučaju PPMS u </w:t>
      </w:r>
      <w:proofErr w:type="spellStart"/>
      <w:r w:rsidRPr="002A6AB6">
        <w:rPr>
          <w:sz w:val="22"/>
          <w:szCs w:val="22"/>
          <w:lang w:val="sr-Latn-ME"/>
        </w:rPr>
        <w:t>pivotalnim</w:t>
      </w:r>
      <w:proofErr w:type="spellEnd"/>
      <w:r w:rsidRPr="002A6AB6">
        <w:rPr>
          <w:sz w:val="22"/>
          <w:szCs w:val="22"/>
          <w:lang w:val="sr-Latn-ME"/>
        </w:rPr>
        <w:t xml:space="preserve"> studijama </w:t>
      </w:r>
      <w:proofErr w:type="spellStart"/>
      <w:r w:rsidRPr="002A6AB6">
        <w:rPr>
          <w:sz w:val="22"/>
          <w:szCs w:val="22"/>
          <w:lang w:val="sr-Latn-ME"/>
        </w:rPr>
        <w:t>intravenskog</w:t>
      </w:r>
      <w:proofErr w:type="spellEnd"/>
      <w:r w:rsidRPr="002A6AB6">
        <w:rPr>
          <w:sz w:val="22"/>
          <w:szCs w:val="22"/>
          <w:lang w:val="sr-Latn-ME"/>
        </w:rPr>
        <w:t xml:space="preserve"> </w:t>
      </w:r>
      <w:proofErr w:type="spellStart"/>
      <w:r w:rsidRPr="002A6AB6">
        <w:rPr>
          <w:sz w:val="22"/>
          <w:szCs w:val="22"/>
          <w:lang w:val="sr-Latn-ME"/>
        </w:rPr>
        <w:t>okrelizumaba</w:t>
      </w:r>
      <w:proofErr w:type="spellEnd"/>
      <w:r w:rsidRPr="002A6AB6">
        <w:rPr>
          <w:sz w:val="22"/>
          <w:szCs w:val="22"/>
          <w:lang w:val="sr-Latn-ME"/>
        </w:rPr>
        <w:t xml:space="preserve">. Tokom faze OLE kod pacijenata sa RMS i PPMS, ukupan rizik od ozbiljnih infekcija nije se povećao u odnosu na onaj zabilježen tokom kontrolisanog perioda. Kako je zabilježeno tokom kontrolisanog perioda, stopa ozbiljnih infekcija kod pacijenata sa PPMS ostala je viša od one koja je zabilježena kod pacijenata sa RMS. </w:t>
      </w:r>
    </w:p>
    <w:p w14:paraId="72802405" w14:textId="77777777" w:rsidR="00466B8B" w:rsidRPr="002A6AB6" w:rsidRDefault="00466B8B" w:rsidP="00587700">
      <w:pPr>
        <w:jc w:val="both"/>
        <w:rPr>
          <w:sz w:val="22"/>
          <w:szCs w:val="22"/>
          <w:lang w:val="sr-Latn-ME" w:eastAsia="ja-JP"/>
        </w:rPr>
      </w:pPr>
    </w:p>
    <w:p w14:paraId="38F2C243" w14:textId="77777777" w:rsidR="00466B8B" w:rsidRPr="002A6AB6" w:rsidRDefault="00466B8B" w:rsidP="00587700">
      <w:pPr>
        <w:jc w:val="both"/>
        <w:rPr>
          <w:sz w:val="22"/>
          <w:szCs w:val="22"/>
          <w:lang w:val="sr-Latn-ME" w:eastAsia="ja-JP"/>
        </w:rPr>
      </w:pPr>
      <w:r w:rsidRPr="002A6AB6">
        <w:rPr>
          <w:sz w:val="22"/>
          <w:szCs w:val="22"/>
          <w:lang w:val="sr-Latn-ME" w:eastAsia="ja-JP"/>
        </w:rPr>
        <w:t xml:space="preserve">U skladu sa prethodnom analizom faktora rizika za ozbiljne infekcije u slučaju </w:t>
      </w:r>
      <w:proofErr w:type="spellStart"/>
      <w:r w:rsidRPr="002A6AB6">
        <w:rPr>
          <w:sz w:val="22"/>
          <w:szCs w:val="22"/>
          <w:lang w:val="sr-Latn-ME" w:eastAsia="ja-JP"/>
        </w:rPr>
        <w:t>autoimunih</w:t>
      </w:r>
      <w:proofErr w:type="spellEnd"/>
      <w:r w:rsidRPr="002A6AB6">
        <w:rPr>
          <w:sz w:val="22"/>
          <w:szCs w:val="22"/>
          <w:lang w:val="sr-Latn-ME" w:eastAsia="ja-JP"/>
        </w:rPr>
        <w:t xml:space="preserve"> stanja koja nisu MS (vidjeti </w:t>
      </w:r>
      <w:r w:rsidR="00ED0D01" w:rsidRPr="002A6AB6">
        <w:rPr>
          <w:sz w:val="22"/>
          <w:szCs w:val="22"/>
          <w:lang w:val="sr-Latn-ME" w:eastAsia="ja-JP"/>
        </w:rPr>
        <w:t xml:space="preserve">dio </w:t>
      </w:r>
      <w:r w:rsidRPr="002A6AB6">
        <w:rPr>
          <w:sz w:val="22"/>
          <w:szCs w:val="22"/>
          <w:lang w:val="sr-Latn-ME" w:eastAsia="ja-JP"/>
        </w:rPr>
        <w:t xml:space="preserve">4.4), </w:t>
      </w:r>
      <w:proofErr w:type="spellStart"/>
      <w:r w:rsidRPr="002A6AB6">
        <w:rPr>
          <w:sz w:val="22"/>
          <w:szCs w:val="22"/>
          <w:lang w:val="sr-Latn-ME" w:eastAsia="ja-JP"/>
        </w:rPr>
        <w:t>multivarijantna</w:t>
      </w:r>
      <w:proofErr w:type="spellEnd"/>
      <w:r w:rsidRPr="002A6AB6">
        <w:rPr>
          <w:sz w:val="22"/>
          <w:szCs w:val="22"/>
          <w:lang w:val="sr-Latn-ME" w:eastAsia="ja-JP"/>
        </w:rPr>
        <w:t xml:space="preserve"> analiza faktora rizika za ozbiljne infekcije sprovođena je tokom približno 10 godina na podacima o kumulativnoj izloženosti iz kontrolisanog perioda i faze OLE </w:t>
      </w:r>
      <w:proofErr w:type="spellStart"/>
      <w:r w:rsidRPr="002A6AB6">
        <w:rPr>
          <w:sz w:val="22"/>
          <w:szCs w:val="22"/>
          <w:lang w:val="sr-Latn-ME" w:eastAsia="ja-JP"/>
        </w:rPr>
        <w:t>pivotalnih</w:t>
      </w:r>
      <w:proofErr w:type="spellEnd"/>
      <w:r w:rsidRPr="002A6AB6">
        <w:rPr>
          <w:sz w:val="22"/>
          <w:szCs w:val="22"/>
          <w:lang w:val="sr-Latn-ME" w:eastAsia="ja-JP"/>
        </w:rPr>
        <w:t xml:space="preserve"> kliničkih ispitivanja. Faktori rizika za ozbiljne infekcije kod pacijenata sa RMS uključuju postojanje barem 1 </w:t>
      </w:r>
      <w:proofErr w:type="spellStart"/>
      <w:r w:rsidRPr="002A6AB6">
        <w:rPr>
          <w:sz w:val="22"/>
          <w:szCs w:val="22"/>
          <w:lang w:val="sr-Latn-ME" w:eastAsia="ja-JP"/>
        </w:rPr>
        <w:t>komorbiditeta</w:t>
      </w:r>
      <w:proofErr w:type="spellEnd"/>
      <w:r w:rsidRPr="002A6AB6">
        <w:rPr>
          <w:sz w:val="22"/>
          <w:szCs w:val="22"/>
          <w:lang w:val="sr-Latn-ME" w:eastAsia="ja-JP"/>
        </w:rPr>
        <w:t xml:space="preserve">, nedavni klinički </w:t>
      </w:r>
      <w:proofErr w:type="spellStart"/>
      <w:r w:rsidRPr="002A6AB6">
        <w:rPr>
          <w:sz w:val="22"/>
          <w:szCs w:val="22"/>
          <w:lang w:val="sr-Latn-ME" w:eastAsia="ja-JP"/>
        </w:rPr>
        <w:t>relaps</w:t>
      </w:r>
      <w:proofErr w:type="spellEnd"/>
      <w:r w:rsidRPr="002A6AB6">
        <w:rPr>
          <w:sz w:val="22"/>
          <w:szCs w:val="22"/>
          <w:lang w:val="sr-Latn-ME" w:eastAsia="ja-JP"/>
        </w:rPr>
        <w:t xml:space="preserve"> i EDSS ≥ 6,0. Faktori rizika za ozbiljne infekcije kod pacijenata sa PPMS uključuju indeks tjelesne mase veći 25 kg/m</w:t>
      </w:r>
      <w:r w:rsidRPr="002A6AB6">
        <w:rPr>
          <w:sz w:val="22"/>
          <w:szCs w:val="22"/>
          <w:vertAlign w:val="superscript"/>
          <w:lang w:val="sr-Latn-ME" w:eastAsia="ja-JP"/>
        </w:rPr>
        <w:t>2</w:t>
      </w:r>
      <w:r w:rsidRPr="002A6AB6">
        <w:rPr>
          <w:sz w:val="22"/>
          <w:szCs w:val="22"/>
          <w:lang w:val="sr-Latn-ME" w:eastAsia="ja-JP"/>
        </w:rPr>
        <w:t xml:space="preserve">, postojanje barem 2 </w:t>
      </w:r>
      <w:proofErr w:type="spellStart"/>
      <w:r w:rsidRPr="002A6AB6">
        <w:rPr>
          <w:sz w:val="22"/>
          <w:szCs w:val="22"/>
          <w:lang w:val="sr-Latn-ME" w:eastAsia="ja-JP"/>
        </w:rPr>
        <w:t>komorbiditeta</w:t>
      </w:r>
      <w:proofErr w:type="spellEnd"/>
      <w:r w:rsidRPr="002A6AB6">
        <w:rPr>
          <w:sz w:val="22"/>
          <w:szCs w:val="22"/>
          <w:lang w:val="sr-Latn-ME" w:eastAsia="ja-JP"/>
        </w:rPr>
        <w:t xml:space="preserve">, EDSS ≥ 6,0 i </w:t>
      </w:r>
      <w:proofErr w:type="spellStart"/>
      <w:r w:rsidRPr="002A6AB6">
        <w:rPr>
          <w:sz w:val="22"/>
          <w:szCs w:val="22"/>
          <w:lang w:val="sr-Latn-ME" w:eastAsia="ja-JP"/>
        </w:rPr>
        <w:t>IgM</w:t>
      </w:r>
      <w:proofErr w:type="spellEnd"/>
      <w:r w:rsidRPr="002A6AB6">
        <w:rPr>
          <w:sz w:val="22"/>
          <w:szCs w:val="22"/>
          <w:lang w:val="sr-Latn-ME" w:eastAsia="ja-JP"/>
        </w:rPr>
        <w:t xml:space="preserve"> &lt; donje granice normale (LLN). </w:t>
      </w:r>
      <w:proofErr w:type="spellStart"/>
      <w:r w:rsidRPr="002A6AB6">
        <w:rPr>
          <w:sz w:val="22"/>
          <w:szCs w:val="22"/>
          <w:lang w:val="sr-Latn-ME" w:eastAsia="ja-JP"/>
        </w:rPr>
        <w:t>Komorbiditeti</w:t>
      </w:r>
      <w:proofErr w:type="spellEnd"/>
      <w:r w:rsidRPr="002A6AB6">
        <w:rPr>
          <w:sz w:val="22"/>
          <w:szCs w:val="22"/>
          <w:lang w:val="sr-Latn-ME" w:eastAsia="ja-JP"/>
        </w:rPr>
        <w:t xml:space="preserve"> su uključivali, ali nisu bili ograničeni na, </w:t>
      </w:r>
      <w:proofErr w:type="spellStart"/>
      <w:r w:rsidRPr="002A6AB6">
        <w:rPr>
          <w:sz w:val="22"/>
          <w:szCs w:val="22"/>
          <w:lang w:val="sr-Latn-ME" w:eastAsia="ja-JP"/>
        </w:rPr>
        <w:t>kardiovaskularna</w:t>
      </w:r>
      <w:proofErr w:type="spellEnd"/>
      <w:r w:rsidRPr="002A6AB6">
        <w:rPr>
          <w:sz w:val="22"/>
          <w:szCs w:val="22"/>
          <w:lang w:val="sr-Latn-ME" w:eastAsia="ja-JP"/>
        </w:rPr>
        <w:t xml:space="preserve"> stanja, stanja bubrega i </w:t>
      </w:r>
      <w:proofErr w:type="spellStart"/>
      <w:r w:rsidRPr="002A6AB6">
        <w:rPr>
          <w:sz w:val="22"/>
          <w:szCs w:val="22"/>
          <w:lang w:val="sr-Latn-ME" w:eastAsia="ja-JP"/>
        </w:rPr>
        <w:t>urinarnog</w:t>
      </w:r>
      <w:proofErr w:type="spellEnd"/>
      <w:r w:rsidRPr="002A6AB6">
        <w:rPr>
          <w:sz w:val="22"/>
          <w:szCs w:val="22"/>
          <w:lang w:val="sr-Latn-ME" w:eastAsia="ja-JP"/>
        </w:rPr>
        <w:t xml:space="preserve"> trakta, prethodne infekcije i depresiju.</w:t>
      </w:r>
    </w:p>
    <w:p w14:paraId="5413544A" w14:textId="77777777" w:rsidR="00466B8B" w:rsidRPr="002A6AB6" w:rsidRDefault="00466B8B" w:rsidP="00587700">
      <w:pPr>
        <w:jc w:val="both"/>
        <w:rPr>
          <w:sz w:val="22"/>
          <w:szCs w:val="22"/>
          <w:lang w:val="sr-Latn-ME" w:eastAsia="ja-JP"/>
        </w:rPr>
      </w:pPr>
    </w:p>
    <w:p w14:paraId="04956D75" w14:textId="77777777" w:rsidR="00466B8B" w:rsidRPr="002A6AB6" w:rsidRDefault="00466B8B" w:rsidP="00587700">
      <w:pPr>
        <w:jc w:val="both"/>
        <w:rPr>
          <w:rFonts w:eastAsia="Arial,Italic"/>
          <w:i/>
          <w:sz w:val="22"/>
          <w:szCs w:val="22"/>
          <w:u w:val="single"/>
          <w:lang w:val="sr-Latn-ME" w:eastAsia="ja-JP"/>
        </w:rPr>
      </w:pPr>
      <w:r w:rsidRPr="002A6AB6">
        <w:rPr>
          <w:rFonts w:eastAsia="Arial,Italic"/>
          <w:i/>
          <w:iCs/>
          <w:sz w:val="22"/>
          <w:szCs w:val="22"/>
          <w:u w:val="single"/>
          <w:lang w:val="sr-Latn-ME" w:eastAsia="ja-JP"/>
        </w:rPr>
        <w:t>Infekcije respiratornog trakta</w:t>
      </w:r>
    </w:p>
    <w:p w14:paraId="30B2A7BC" w14:textId="77777777" w:rsidR="00466B8B" w:rsidRPr="002A6AB6" w:rsidRDefault="00466B8B" w:rsidP="00587700">
      <w:pPr>
        <w:tabs>
          <w:tab w:val="left" w:pos="567"/>
        </w:tabs>
        <w:jc w:val="both"/>
        <w:rPr>
          <w:bCs/>
          <w:iCs/>
          <w:sz w:val="22"/>
          <w:szCs w:val="22"/>
          <w:lang w:val="sr-Latn-ME"/>
        </w:rPr>
      </w:pPr>
      <w:r w:rsidRPr="002A6AB6">
        <w:rPr>
          <w:sz w:val="22"/>
          <w:szCs w:val="22"/>
          <w:lang w:val="sr-Latn-ME"/>
        </w:rPr>
        <w:t xml:space="preserve">Procenat infekcija respiratornog trakta bio je veći kod pacijenata liječenih </w:t>
      </w:r>
      <w:proofErr w:type="spellStart"/>
      <w:r w:rsidRPr="002A6AB6">
        <w:rPr>
          <w:sz w:val="22"/>
          <w:szCs w:val="22"/>
          <w:lang w:val="sr-Latn-ME"/>
        </w:rPr>
        <w:t>intravenskim</w:t>
      </w:r>
      <w:proofErr w:type="spellEnd"/>
      <w:r w:rsidRPr="002A6AB6">
        <w:rPr>
          <w:sz w:val="22"/>
          <w:szCs w:val="22"/>
          <w:lang w:val="sr-Latn-ME"/>
        </w:rPr>
        <w:t xml:space="preserve"> </w:t>
      </w:r>
      <w:proofErr w:type="spellStart"/>
      <w:r w:rsidRPr="002A6AB6">
        <w:rPr>
          <w:sz w:val="22"/>
          <w:szCs w:val="22"/>
          <w:lang w:val="sr-Latn-ME"/>
        </w:rPr>
        <w:t>okrelizumabom</w:t>
      </w:r>
      <w:proofErr w:type="spellEnd"/>
      <w:r w:rsidRPr="002A6AB6">
        <w:rPr>
          <w:sz w:val="22"/>
          <w:szCs w:val="22"/>
          <w:lang w:val="sr-Latn-ME"/>
        </w:rPr>
        <w:t xml:space="preserve"> u poređenju sa </w:t>
      </w:r>
      <w:proofErr w:type="spellStart"/>
      <w:r w:rsidRPr="002A6AB6">
        <w:rPr>
          <w:sz w:val="22"/>
          <w:szCs w:val="22"/>
          <w:lang w:val="sr-Latn-ME"/>
        </w:rPr>
        <w:t>interferonom</w:t>
      </w:r>
      <w:proofErr w:type="spellEnd"/>
      <w:r w:rsidRPr="002A6AB6">
        <w:rPr>
          <w:sz w:val="22"/>
          <w:szCs w:val="22"/>
          <w:lang w:val="sr-Latn-ME"/>
        </w:rPr>
        <w:t xml:space="preserve"> beta 1a i </w:t>
      </w:r>
      <w:proofErr w:type="spellStart"/>
      <w:r w:rsidRPr="002A6AB6">
        <w:rPr>
          <w:sz w:val="22"/>
          <w:szCs w:val="22"/>
          <w:lang w:val="sr-Latn-ME"/>
        </w:rPr>
        <w:t>placebom</w:t>
      </w:r>
      <w:proofErr w:type="spellEnd"/>
      <w:r w:rsidRPr="002A6AB6">
        <w:rPr>
          <w:sz w:val="22"/>
          <w:szCs w:val="22"/>
          <w:lang w:val="sr-Latn-ME"/>
        </w:rPr>
        <w:t xml:space="preserve">.   </w:t>
      </w:r>
    </w:p>
    <w:p w14:paraId="50D9A78B" w14:textId="77777777" w:rsidR="00466B8B" w:rsidRPr="002A6AB6" w:rsidRDefault="00466B8B" w:rsidP="00587700">
      <w:pPr>
        <w:tabs>
          <w:tab w:val="left" w:pos="567"/>
        </w:tabs>
        <w:jc w:val="both"/>
        <w:rPr>
          <w:sz w:val="22"/>
          <w:szCs w:val="22"/>
          <w:lang w:val="sr-Latn-ME"/>
        </w:rPr>
      </w:pPr>
      <w:r w:rsidRPr="002A6AB6">
        <w:rPr>
          <w:sz w:val="22"/>
          <w:szCs w:val="22"/>
          <w:lang w:val="sr-Latn-ME"/>
        </w:rPr>
        <w:t xml:space="preserve">U kliničkim ispitivanjima RMS, 39,9% pacijenata liječenih </w:t>
      </w:r>
      <w:proofErr w:type="spellStart"/>
      <w:r w:rsidRPr="002A6AB6">
        <w:rPr>
          <w:sz w:val="22"/>
          <w:szCs w:val="22"/>
          <w:lang w:val="sr-Latn-ME"/>
        </w:rPr>
        <w:t>intravenskim</w:t>
      </w:r>
      <w:proofErr w:type="spellEnd"/>
      <w:r w:rsidRPr="002A6AB6">
        <w:rPr>
          <w:sz w:val="22"/>
          <w:szCs w:val="22"/>
          <w:lang w:val="sr-Latn-ME"/>
        </w:rPr>
        <w:t xml:space="preserve"> </w:t>
      </w:r>
      <w:proofErr w:type="spellStart"/>
      <w:r w:rsidRPr="002A6AB6">
        <w:rPr>
          <w:sz w:val="22"/>
          <w:szCs w:val="22"/>
          <w:lang w:val="sr-Latn-ME"/>
        </w:rPr>
        <w:t>okrelizumabom</w:t>
      </w:r>
      <w:proofErr w:type="spellEnd"/>
      <w:r w:rsidRPr="002A6AB6">
        <w:rPr>
          <w:sz w:val="22"/>
          <w:szCs w:val="22"/>
          <w:lang w:val="sr-Latn-ME"/>
        </w:rPr>
        <w:t xml:space="preserve"> i 33,2% pacijenata liječenih </w:t>
      </w:r>
      <w:proofErr w:type="spellStart"/>
      <w:r w:rsidRPr="002A6AB6">
        <w:rPr>
          <w:sz w:val="22"/>
          <w:szCs w:val="22"/>
          <w:lang w:val="sr-Latn-ME"/>
        </w:rPr>
        <w:t>interferonom</w:t>
      </w:r>
      <w:proofErr w:type="spellEnd"/>
      <w:r w:rsidRPr="002A6AB6">
        <w:rPr>
          <w:sz w:val="22"/>
          <w:szCs w:val="22"/>
          <w:lang w:val="sr-Latn-ME"/>
        </w:rPr>
        <w:t xml:space="preserve"> beta 1a imalo je infekciju gornjeg respiratornog trakta, a 7,5% pacijenata liječenih </w:t>
      </w:r>
      <w:proofErr w:type="spellStart"/>
      <w:r w:rsidRPr="002A6AB6">
        <w:rPr>
          <w:sz w:val="22"/>
          <w:szCs w:val="22"/>
          <w:lang w:val="sr-Latn-ME"/>
        </w:rPr>
        <w:t>intravenskim</w:t>
      </w:r>
      <w:proofErr w:type="spellEnd"/>
      <w:r w:rsidRPr="002A6AB6">
        <w:rPr>
          <w:sz w:val="22"/>
          <w:szCs w:val="22"/>
          <w:lang w:val="sr-Latn-ME"/>
        </w:rPr>
        <w:t xml:space="preserve"> </w:t>
      </w:r>
      <w:proofErr w:type="spellStart"/>
      <w:r w:rsidRPr="002A6AB6">
        <w:rPr>
          <w:sz w:val="22"/>
          <w:szCs w:val="22"/>
          <w:lang w:val="sr-Latn-ME"/>
        </w:rPr>
        <w:t>okrelizumabom</w:t>
      </w:r>
      <w:proofErr w:type="spellEnd"/>
      <w:r w:rsidRPr="002A6AB6">
        <w:rPr>
          <w:sz w:val="22"/>
          <w:szCs w:val="22"/>
          <w:lang w:val="sr-Latn-ME"/>
        </w:rPr>
        <w:t xml:space="preserve"> i 5,2% pacijenata liječenih </w:t>
      </w:r>
      <w:proofErr w:type="spellStart"/>
      <w:r w:rsidRPr="002A6AB6">
        <w:rPr>
          <w:sz w:val="22"/>
          <w:szCs w:val="22"/>
          <w:lang w:val="sr-Latn-ME"/>
        </w:rPr>
        <w:t>interferonom</w:t>
      </w:r>
      <w:proofErr w:type="spellEnd"/>
      <w:r w:rsidRPr="002A6AB6">
        <w:rPr>
          <w:sz w:val="22"/>
          <w:szCs w:val="22"/>
          <w:lang w:val="sr-Latn-ME"/>
        </w:rPr>
        <w:t xml:space="preserve"> beta 1a imalo je infekciju donjeg respiratornog trakta.  </w:t>
      </w:r>
    </w:p>
    <w:p w14:paraId="48FD6DF1" w14:textId="77777777" w:rsidR="00466B8B" w:rsidRPr="002A6AB6" w:rsidRDefault="00466B8B" w:rsidP="00587700">
      <w:pPr>
        <w:tabs>
          <w:tab w:val="left" w:pos="567"/>
        </w:tabs>
        <w:jc w:val="both"/>
        <w:rPr>
          <w:bCs/>
          <w:iCs/>
          <w:sz w:val="22"/>
          <w:szCs w:val="22"/>
          <w:lang w:val="sr-Latn-ME"/>
        </w:rPr>
      </w:pPr>
      <w:r w:rsidRPr="002A6AB6">
        <w:rPr>
          <w:sz w:val="22"/>
          <w:szCs w:val="22"/>
          <w:lang w:val="sr-Latn-ME"/>
        </w:rPr>
        <w:t xml:space="preserve">U kliničkom ispitivanju PPMS, 48,8% pacijenata liječenih </w:t>
      </w:r>
      <w:proofErr w:type="spellStart"/>
      <w:r w:rsidRPr="002A6AB6">
        <w:rPr>
          <w:sz w:val="22"/>
          <w:szCs w:val="22"/>
          <w:lang w:val="sr-Latn-ME"/>
        </w:rPr>
        <w:t>intravenskim</w:t>
      </w:r>
      <w:proofErr w:type="spellEnd"/>
      <w:r w:rsidRPr="002A6AB6">
        <w:rPr>
          <w:sz w:val="22"/>
          <w:szCs w:val="22"/>
          <w:lang w:val="sr-Latn-ME"/>
        </w:rPr>
        <w:t xml:space="preserve"> </w:t>
      </w:r>
      <w:proofErr w:type="spellStart"/>
      <w:r w:rsidRPr="002A6AB6">
        <w:rPr>
          <w:sz w:val="22"/>
          <w:szCs w:val="22"/>
          <w:lang w:val="sr-Latn-ME"/>
        </w:rPr>
        <w:t>okrelizumabom</w:t>
      </w:r>
      <w:proofErr w:type="spellEnd"/>
      <w:r w:rsidRPr="002A6AB6">
        <w:rPr>
          <w:sz w:val="22"/>
          <w:szCs w:val="22"/>
          <w:lang w:val="sr-Latn-ME"/>
        </w:rPr>
        <w:t xml:space="preserve"> i 42,7% pacijenata koji su primali </w:t>
      </w:r>
      <w:proofErr w:type="spellStart"/>
      <w:r w:rsidRPr="002A6AB6">
        <w:rPr>
          <w:sz w:val="22"/>
          <w:szCs w:val="22"/>
          <w:lang w:val="sr-Latn-ME"/>
        </w:rPr>
        <w:t>placebo</w:t>
      </w:r>
      <w:proofErr w:type="spellEnd"/>
      <w:r w:rsidRPr="002A6AB6">
        <w:rPr>
          <w:sz w:val="22"/>
          <w:szCs w:val="22"/>
          <w:lang w:val="sr-Latn-ME"/>
        </w:rPr>
        <w:t xml:space="preserve"> imalo je infekciju gornjeg respiratornog trakta, a 9,9% pacijenata liječenih </w:t>
      </w:r>
      <w:proofErr w:type="spellStart"/>
      <w:r w:rsidRPr="002A6AB6">
        <w:rPr>
          <w:sz w:val="22"/>
          <w:szCs w:val="22"/>
          <w:lang w:val="sr-Latn-ME"/>
        </w:rPr>
        <w:t>intravenskim</w:t>
      </w:r>
      <w:proofErr w:type="spellEnd"/>
      <w:r w:rsidRPr="002A6AB6">
        <w:rPr>
          <w:sz w:val="22"/>
          <w:szCs w:val="22"/>
          <w:lang w:val="sr-Latn-ME"/>
        </w:rPr>
        <w:t xml:space="preserve"> </w:t>
      </w:r>
      <w:proofErr w:type="spellStart"/>
      <w:r w:rsidRPr="002A6AB6">
        <w:rPr>
          <w:sz w:val="22"/>
          <w:szCs w:val="22"/>
          <w:lang w:val="sr-Latn-ME"/>
        </w:rPr>
        <w:t>okrelizumabom</w:t>
      </w:r>
      <w:proofErr w:type="spellEnd"/>
      <w:r w:rsidRPr="002A6AB6">
        <w:rPr>
          <w:sz w:val="22"/>
          <w:szCs w:val="22"/>
          <w:lang w:val="sr-Latn-ME"/>
        </w:rPr>
        <w:t xml:space="preserve"> i 9,2% pacijenata koji su primali </w:t>
      </w:r>
      <w:proofErr w:type="spellStart"/>
      <w:r w:rsidRPr="002A6AB6">
        <w:rPr>
          <w:sz w:val="22"/>
          <w:szCs w:val="22"/>
          <w:lang w:val="sr-Latn-ME"/>
        </w:rPr>
        <w:t>placebo</w:t>
      </w:r>
      <w:proofErr w:type="spellEnd"/>
      <w:r w:rsidRPr="002A6AB6">
        <w:rPr>
          <w:sz w:val="22"/>
          <w:szCs w:val="22"/>
          <w:lang w:val="sr-Latn-ME"/>
        </w:rPr>
        <w:t xml:space="preserve"> imalo je infekciju donjeg respiratornog trakta.  </w:t>
      </w:r>
    </w:p>
    <w:p w14:paraId="3D6F865A" w14:textId="77777777" w:rsidR="00466B8B" w:rsidRPr="002A6AB6" w:rsidRDefault="00466B8B" w:rsidP="00587700">
      <w:pPr>
        <w:tabs>
          <w:tab w:val="left" w:pos="567"/>
        </w:tabs>
        <w:jc w:val="both"/>
        <w:rPr>
          <w:sz w:val="22"/>
          <w:szCs w:val="22"/>
          <w:lang w:val="sr-Latn-ME"/>
        </w:rPr>
      </w:pPr>
      <w:r w:rsidRPr="002A6AB6">
        <w:rPr>
          <w:sz w:val="22"/>
          <w:szCs w:val="22"/>
          <w:lang w:val="sr-Latn-ME"/>
        </w:rPr>
        <w:t xml:space="preserve">Infekcije respiratornog trakta zabilježene kod pacijenata liječenih </w:t>
      </w:r>
      <w:proofErr w:type="spellStart"/>
      <w:r w:rsidRPr="002A6AB6">
        <w:rPr>
          <w:sz w:val="22"/>
          <w:szCs w:val="22"/>
          <w:lang w:val="sr-Latn-ME"/>
        </w:rPr>
        <w:t>intravenskim</w:t>
      </w:r>
      <w:proofErr w:type="spellEnd"/>
      <w:r w:rsidRPr="002A6AB6">
        <w:rPr>
          <w:sz w:val="22"/>
          <w:szCs w:val="22"/>
          <w:lang w:val="sr-Latn-ME"/>
        </w:rPr>
        <w:t xml:space="preserve"> </w:t>
      </w:r>
      <w:proofErr w:type="spellStart"/>
      <w:r w:rsidRPr="002A6AB6">
        <w:rPr>
          <w:sz w:val="22"/>
          <w:szCs w:val="22"/>
          <w:lang w:val="sr-Latn-ME"/>
        </w:rPr>
        <w:t>okrelizumabom</w:t>
      </w:r>
      <w:proofErr w:type="spellEnd"/>
      <w:r w:rsidRPr="002A6AB6">
        <w:rPr>
          <w:sz w:val="22"/>
          <w:szCs w:val="22"/>
          <w:lang w:val="sr-Latn-ME"/>
        </w:rPr>
        <w:t xml:space="preserve"> bile su </w:t>
      </w:r>
      <w:proofErr w:type="spellStart"/>
      <w:r w:rsidRPr="002A6AB6">
        <w:rPr>
          <w:sz w:val="22"/>
          <w:szCs w:val="22"/>
          <w:lang w:val="sr-Latn-ME"/>
        </w:rPr>
        <w:t>pretežno</w:t>
      </w:r>
      <w:proofErr w:type="spellEnd"/>
      <w:r w:rsidRPr="002A6AB6">
        <w:rPr>
          <w:sz w:val="22"/>
          <w:szCs w:val="22"/>
          <w:lang w:val="sr-Latn-ME"/>
        </w:rPr>
        <w:t xml:space="preserve"> blage do umjerene (80–90%).</w:t>
      </w:r>
    </w:p>
    <w:p w14:paraId="7A81EF54" w14:textId="77777777" w:rsidR="00466B8B" w:rsidRPr="002A6AB6" w:rsidRDefault="00466B8B" w:rsidP="00587700">
      <w:pPr>
        <w:jc w:val="both"/>
        <w:rPr>
          <w:sz w:val="22"/>
          <w:szCs w:val="22"/>
          <w:lang w:val="sr-Latn-ME" w:eastAsia="ja-JP"/>
        </w:rPr>
      </w:pPr>
    </w:p>
    <w:p w14:paraId="65C7520A" w14:textId="77777777" w:rsidR="00466B8B" w:rsidRPr="002A6AB6" w:rsidRDefault="00466B8B" w:rsidP="00587700">
      <w:pPr>
        <w:keepNext/>
        <w:keepLines/>
        <w:jc w:val="both"/>
        <w:rPr>
          <w:rFonts w:eastAsia="Arial,Italic"/>
          <w:i/>
          <w:sz w:val="22"/>
          <w:szCs w:val="22"/>
          <w:u w:val="single"/>
          <w:lang w:val="sr-Latn-ME" w:eastAsia="ja-JP"/>
        </w:rPr>
      </w:pPr>
      <w:r w:rsidRPr="002A6AB6">
        <w:rPr>
          <w:rFonts w:eastAsia="Arial,Italic"/>
          <w:i/>
          <w:iCs/>
          <w:sz w:val="22"/>
          <w:szCs w:val="22"/>
          <w:u w:val="single"/>
          <w:lang w:val="sr-Latn-ME" w:eastAsia="ja-JP"/>
        </w:rPr>
        <w:lastRenderedPageBreak/>
        <w:t>Herpes</w:t>
      </w:r>
    </w:p>
    <w:p w14:paraId="51D390C3" w14:textId="77777777" w:rsidR="00466B8B" w:rsidRPr="002A6AB6" w:rsidRDefault="00466B8B" w:rsidP="00587700">
      <w:pPr>
        <w:tabs>
          <w:tab w:val="left" w:pos="567"/>
        </w:tabs>
        <w:jc w:val="both"/>
        <w:rPr>
          <w:rFonts w:eastAsia="Arial,Italic"/>
          <w:sz w:val="22"/>
          <w:szCs w:val="22"/>
          <w:lang w:val="sr-Latn-ME"/>
        </w:rPr>
      </w:pPr>
      <w:r w:rsidRPr="002A6AB6">
        <w:rPr>
          <w:sz w:val="22"/>
          <w:szCs w:val="22"/>
          <w:lang w:val="sr-Latn-ME"/>
        </w:rPr>
        <w:t xml:space="preserve">U aktivno kontrolisanim (RMS) kliničkim ispitivanjima herpes infekcije bile su češće prijavljene kod </w:t>
      </w:r>
      <w:r w:rsidRPr="002A6AB6">
        <w:rPr>
          <w:sz w:val="22"/>
          <w:szCs w:val="22"/>
          <w:lang w:val="sr-Latn-ME"/>
        </w:rPr>
        <w:br/>
        <w:t xml:space="preserve">pacijenata liječenih </w:t>
      </w:r>
      <w:proofErr w:type="spellStart"/>
      <w:r w:rsidRPr="002A6AB6">
        <w:rPr>
          <w:sz w:val="22"/>
          <w:szCs w:val="22"/>
          <w:lang w:val="sr-Latn-ME"/>
        </w:rPr>
        <w:t>intravenskim</w:t>
      </w:r>
      <w:proofErr w:type="spellEnd"/>
      <w:r w:rsidRPr="002A6AB6">
        <w:rPr>
          <w:sz w:val="22"/>
          <w:szCs w:val="22"/>
          <w:lang w:val="sr-Latn-ME"/>
        </w:rPr>
        <w:t xml:space="preserve"> </w:t>
      </w:r>
      <w:proofErr w:type="spellStart"/>
      <w:r w:rsidRPr="002A6AB6">
        <w:rPr>
          <w:sz w:val="22"/>
          <w:szCs w:val="22"/>
          <w:lang w:val="sr-Latn-ME"/>
        </w:rPr>
        <w:t>okrelizumabom</w:t>
      </w:r>
      <w:proofErr w:type="spellEnd"/>
      <w:r w:rsidRPr="002A6AB6">
        <w:rPr>
          <w:sz w:val="22"/>
          <w:szCs w:val="22"/>
          <w:lang w:val="sr-Latn-ME"/>
        </w:rPr>
        <w:t xml:space="preserve"> nego kod pacijenata liječenih </w:t>
      </w:r>
      <w:proofErr w:type="spellStart"/>
      <w:r w:rsidRPr="002A6AB6">
        <w:rPr>
          <w:sz w:val="22"/>
          <w:szCs w:val="22"/>
          <w:lang w:val="sr-Latn-ME"/>
        </w:rPr>
        <w:t>interferonom</w:t>
      </w:r>
      <w:proofErr w:type="spellEnd"/>
      <w:r w:rsidRPr="002A6AB6">
        <w:rPr>
          <w:sz w:val="22"/>
          <w:szCs w:val="22"/>
          <w:lang w:val="sr-Latn-ME"/>
        </w:rPr>
        <w:t xml:space="preserve"> beta 1a, uključujući i herpes </w:t>
      </w:r>
      <w:proofErr w:type="spellStart"/>
      <w:r w:rsidRPr="002A6AB6">
        <w:rPr>
          <w:sz w:val="22"/>
          <w:szCs w:val="22"/>
          <w:lang w:val="sr-Latn-ME"/>
        </w:rPr>
        <w:t>zoster</w:t>
      </w:r>
      <w:proofErr w:type="spellEnd"/>
      <w:r w:rsidRPr="002A6AB6">
        <w:rPr>
          <w:sz w:val="22"/>
          <w:szCs w:val="22"/>
          <w:lang w:val="sr-Latn-ME"/>
        </w:rPr>
        <w:t xml:space="preserve"> (2,1% prema 1,0%), herpes </w:t>
      </w:r>
      <w:proofErr w:type="spellStart"/>
      <w:r w:rsidRPr="002A6AB6">
        <w:rPr>
          <w:sz w:val="22"/>
          <w:szCs w:val="22"/>
          <w:lang w:val="sr-Latn-ME"/>
        </w:rPr>
        <w:t>simplex</w:t>
      </w:r>
      <w:proofErr w:type="spellEnd"/>
      <w:r w:rsidRPr="002A6AB6">
        <w:rPr>
          <w:sz w:val="22"/>
          <w:szCs w:val="22"/>
          <w:lang w:val="sr-Latn-ME"/>
        </w:rPr>
        <w:t xml:space="preserve"> (0,7% prema 0,1%), oralni herpes (3,0% prema 2,2%), genitalni herpes (0,1% prema 0%) i infekciju virusom herpesa (0,1% prema 0%). Sve infekcije su bile blage do umjerene, izuzev jednog događaja gradusa 3, a pacijenti su se oporavili uz standardnu terapiju. </w:t>
      </w:r>
    </w:p>
    <w:p w14:paraId="3C657603" w14:textId="77777777" w:rsidR="00466B8B" w:rsidRPr="002A6AB6" w:rsidRDefault="00466B8B" w:rsidP="00587700">
      <w:pPr>
        <w:tabs>
          <w:tab w:val="left" w:pos="567"/>
        </w:tabs>
        <w:jc w:val="both"/>
        <w:rPr>
          <w:sz w:val="22"/>
          <w:szCs w:val="22"/>
          <w:lang w:val="sr-Latn-ME"/>
        </w:rPr>
      </w:pPr>
    </w:p>
    <w:p w14:paraId="1B6D1D85" w14:textId="77777777" w:rsidR="00466B8B" w:rsidRPr="002A6AB6" w:rsidRDefault="00466B8B" w:rsidP="00587700">
      <w:pPr>
        <w:tabs>
          <w:tab w:val="left" w:pos="567"/>
        </w:tabs>
        <w:jc w:val="both"/>
        <w:rPr>
          <w:sz w:val="22"/>
          <w:szCs w:val="22"/>
          <w:lang w:val="sr-Latn-ME"/>
        </w:rPr>
      </w:pPr>
      <w:r w:rsidRPr="002A6AB6">
        <w:rPr>
          <w:sz w:val="22"/>
          <w:szCs w:val="22"/>
          <w:lang w:val="sr-Latn-ME"/>
        </w:rPr>
        <w:t xml:space="preserve">U </w:t>
      </w:r>
      <w:proofErr w:type="spellStart"/>
      <w:r w:rsidRPr="002A6AB6">
        <w:rPr>
          <w:sz w:val="22"/>
          <w:szCs w:val="22"/>
          <w:lang w:val="sr-Latn-ME"/>
        </w:rPr>
        <w:t>placebom</w:t>
      </w:r>
      <w:proofErr w:type="spellEnd"/>
      <w:r w:rsidRPr="002A6AB6">
        <w:rPr>
          <w:sz w:val="22"/>
          <w:szCs w:val="22"/>
          <w:lang w:val="sr-Latn-ME"/>
        </w:rPr>
        <w:t xml:space="preserve"> kontrolisanom (PPMS) kliničkom ispitivanju, veći procenat pacijenata sa oralnim herpesom (2,7% prema 0,8%) zabilježen je u grupi liječenoj </w:t>
      </w:r>
      <w:proofErr w:type="spellStart"/>
      <w:r w:rsidRPr="002A6AB6">
        <w:rPr>
          <w:sz w:val="22"/>
          <w:szCs w:val="22"/>
          <w:lang w:val="sr-Latn-ME"/>
        </w:rPr>
        <w:t>intravenskim</w:t>
      </w:r>
      <w:proofErr w:type="spellEnd"/>
      <w:r w:rsidRPr="002A6AB6">
        <w:rPr>
          <w:sz w:val="22"/>
          <w:szCs w:val="22"/>
          <w:lang w:val="sr-Latn-ME"/>
        </w:rPr>
        <w:t xml:space="preserve"> </w:t>
      </w:r>
      <w:proofErr w:type="spellStart"/>
      <w:r w:rsidRPr="002A6AB6">
        <w:rPr>
          <w:sz w:val="22"/>
          <w:szCs w:val="22"/>
          <w:lang w:val="sr-Latn-ME"/>
        </w:rPr>
        <w:t>okrelizumabom</w:t>
      </w:r>
      <w:proofErr w:type="spellEnd"/>
      <w:r w:rsidRPr="002A6AB6">
        <w:rPr>
          <w:sz w:val="22"/>
          <w:szCs w:val="22"/>
          <w:lang w:val="sr-Latn-ME"/>
        </w:rPr>
        <w:t>.</w:t>
      </w:r>
    </w:p>
    <w:p w14:paraId="44123548" w14:textId="77777777" w:rsidR="00466B8B" w:rsidRPr="002A6AB6" w:rsidRDefault="00466B8B" w:rsidP="00587700">
      <w:pPr>
        <w:jc w:val="both"/>
        <w:rPr>
          <w:sz w:val="22"/>
          <w:szCs w:val="22"/>
          <w:lang w:val="sr-Latn-ME" w:eastAsia="ja-JP"/>
        </w:rPr>
      </w:pPr>
    </w:p>
    <w:p w14:paraId="0992ED51" w14:textId="77777777" w:rsidR="00466B8B" w:rsidRPr="002A6AB6" w:rsidRDefault="00466B8B" w:rsidP="00587700">
      <w:pPr>
        <w:tabs>
          <w:tab w:val="left" w:pos="567"/>
        </w:tabs>
        <w:jc w:val="both"/>
        <w:rPr>
          <w:i/>
          <w:iCs/>
          <w:sz w:val="22"/>
          <w:szCs w:val="22"/>
          <w:lang w:val="sr-Latn-ME"/>
        </w:rPr>
      </w:pPr>
      <w:r w:rsidRPr="002A6AB6">
        <w:rPr>
          <w:i/>
          <w:iCs/>
          <w:sz w:val="22"/>
          <w:szCs w:val="22"/>
          <w:lang w:val="sr-Latn-ME"/>
        </w:rPr>
        <w:t>Odstupanja u laboratorijskim vrijednostima</w:t>
      </w:r>
    </w:p>
    <w:p w14:paraId="64A6EDF4" w14:textId="77777777" w:rsidR="00466B8B" w:rsidRPr="002A6AB6" w:rsidRDefault="00466B8B" w:rsidP="00587700">
      <w:pPr>
        <w:tabs>
          <w:tab w:val="left" w:pos="567"/>
        </w:tabs>
        <w:jc w:val="both"/>
        <w:rPr>
          <w:sz w:val="22"/>
          <w:szCs w:val="22"/>
          <w:lang w:val="sr-Latn-ME"/>
        </w:rPr>
      </w:pPr>
    </w:p>
    <w:p w14:paraId="730385F3" w14:textId="77777777" w:rsidR="00466B8B" w:rsidRPr="002A6AB6" w:rsidRDefault="00466B8B" w:rsidP="00587700">
      <w:pPr>
        <w:jc w:val="both"/>
        <w:rPr>
          <w:i/>
          <w:sz w:val="22"/>
          <w:szCs w:val="22"/>
          <w:u w:val="single"/>
          <w:lang w:val="sr-Latn-ME" w:eastAsia="ja-JP"/>
        </w:rPr>
      </w:pPr>
      <w:proofErr w:type="spellStart"/>
      <w:r w:rsidRPr="002A6AB6">
        <w:rPr>
          <w:i/>
          <w:iCs/>
          <w:sz w:val="22"/>
          <w:szCs w:val="22"/>
          <w:u w:val="single"/>
          <w:lang w:val="sr-Latn-ME" w:eastAsia="ja-JP"/>
        </w:rPr>
        <w:t>Imunoglobulini</w:t>
      </w:r>
      <w:proofErr w:type="spellEnd"/>
      <w:r w:rsidRPr="002A6AB6">
        <w:rPr>
          <w:i/>
          <w:iCs/>
          <w:sz w:val="22"/>
          <w:szCs w:val="22"/>
          <w:u w:val="single"/>
          <w:lang w:val="sr-Latn-ME" w:eastAsia="ja-JP"/>
        </w:rPr>
        <w:t xml:space="preserve"> </w:t>
      </w:r>
    </w:p>
    <w:p w14:paraId="72813DE9" w14:textId="77777777" w:rsidR="00466B8B" w:rsidRPr="002A6AB6" w:rsidRDefault="00466B8B" w:rsidP="00587700">
      <w:pPr>
        <w:jc w:val="both"/>
        <w:rPr>
          <w:sz w:val="22"/>
          <w:szCs w:val="22"/>
          <w:lang w:val="sr-Latn-ME" w:eastAsia="ja-JP"/>
        </w:rPr>
      </w:pPr>
      <w:r w:rsidRPr="002A6AB6">
        <w:rPr>
          <w:sz w:val="22"/>
          <w:szCs w:val="22"/>
          <w:lang w:val="sr-Latn-ME" w:eastAsia="ja-JP"/>
        </w:rPr>
        <w:t xml:space="preserve">Terapija </w:t>
      </w:r>
      <w:proofErr w:type="spellStart"/>
      <w:r w:rsidRPr="002A6AB6">
        <w:rPr>
          <w:sz w:val="22"/>
          <w:szCs w:val="22"/>
          <w:lang w:val="sr-Latn-ME" w:eastAsia="ja-JP"/>
        </w:rPr>
        <w:t>okrelizumabom</w:t>
      </w:r>
      <w:proofErr w:type="spellEnd"/>
      <w:r w:rsidRPr="002A6AB6">
        <w:rPr>
          <w:sz w:val="22"/>
          <w:szCs w:val="22"/>
          <w:lang w:val="sr-Latn-ME" w:eastAsia="ja-JP"/>
        </w:rPr>
        <w:t xml:space="preserve"> dovela je do smanjenja ukupne koncentracije </w:t>
      </w:r>
      <w:proofErr w:type="spellStart"/>
      <w:r w:rsidRPr="002A6AB6">
        <w:rPr>
          <w:sz w:val="22"/>
          <w:szCs w:val="22"/>
          <w:lang w:val="sr-Latn-ME" w:eastAsia="ja-JP"/>
        </w:rPr>
        <w:t>imunoglobulina</w:t>
      </w:r>
      <w:proofErr w:type="spellEnd"/>
      <w:r w:rsidRPr="002A6AB6">
        <w:rPr>
          <w:sz w:val="22"/>
          <w:szCs w:val="22"/>
          <w:lang w:val="sr-Latn-ME" w:eastAsia="ja-JP"/>
        </w:rPr>
        <w:t xml:space="preserve"> tokom kontrolisanog perioda </w:t>
      </w:r>
      <w:proofErr w:type="spellStart"/>
      <w:r w:rsidRPr="002A6AB6">
        <w:rPr>
          <w:sz w:val="22"/>
          <w:szCs w:val="22"/>
          <w:lang w:val="sr-Latn-ME" w:eastAsia="ja-JP"/>
        </w:rPr>
        <w:t>pivotalnih</w:t>
      </w:r>
      <w:proofErr w:type="spellEnd"/>
      <w:r w:rsidRPr="002A6AB6">
        <w:rPr>
          <w:sz w:val="22"/>
          <w:szCs w:val="22"/>
          <w:lang w:val="sr-Latn-ME" w:eastAsia="ja-JP"/>
        </w:rPr>
        <w:t xml:space="preserve"> kliničkih ispitivanja sa </w:t>
      </w:r>
      <w:proofErr w:type="spellStart"/>
      <w:r w:rsidRPr="002A6AB6">
        <w:rPr>
          <w:sz w:val="22"/>
          <w:szCs w:val="22"/>
          <w:lang w:val="sr-Latn-ME" w:eastAsia="ja-JP"/>
        </w:rPr>
        <w:t>intravenskim</w:t>
      </w:r>
      <w:proofErr w:type="spellEnd"/>
      <w:r w:rsidRPr="002A6AB6">
        <w:rPr>
          <w:sz w:val="22"/>
          <w:szCs w:val="22"/>
          <w:lang w:val="sr-Latn-ME" w:eastAsia="ja-JP"/>
        </w:rPr>
        <w:t xml:space="preserve"> </w:t>
      </w:r>
      <w:proofErr w:type="spellStart"/>
      <w:r w:rsidRPr="002A6AB6">
        <w:rPr>
          <w:sz w:val="22"/>
          <w:szCs w:val="22"/>
          <w:lang w:val="sr-Latn-ME" w:eastAsia="ja-JP"/>
        </w:rPr>
        <w:t>okrelizumabom</w:t>
      </w:r>
      <w:proofErr w:type="spellEnd"/>
      <w:r w:rsidRPr="002A6AB6">
        <w:rPr>
          <w:sz w:val="22"/>
          <w:szCs w:val="22"/>
          <w:lang w:val="sr-Latn-ME" w:eastAsia="ja-JP"/>
        </w:rPr>
        <w:t xml:space="preserve">, uglavnom zbog smanjenja </w:t>
      </w:r>
      <w:proofErr w:type="spellStart"/>
      <w:r w:rsidRPr="002A6AB6">
        <w:rPr>
          <w:sz w:val="22"/>
          <w:szCs w:val="22"/>
          <w:lang w:val="sr-Latn-ME" w:eastAsia="ja-JP"/>
        </w:rPr>
        <w:t>IgM</w:t>
      </w:r>
      <w:proofErr w:type="spellEnd"/>
      <w:r w:rsidRPr="002A6AB6">
        <w:rPr>
          <w:sz w:val="22"/>
          <w:szCs w:val="22"/>
          <w:lang w:val="sr-Latn-ME" w:eastAsia="ja-JP"/>
        </w:rPr>
        <w:t xml:space="preserve">. </w:t>
      </w:r>
    </w:p>
    <w:p w14:paraId="63311B90" w14:textId="77777777" w:rsidR="00466B8B" w:rsidRPr="002A6AB6" w:rsidRDefault="00466B8B" w:rsidP="00587700">
      <w:pPr>
        <w:jc w:val="both"/>
        <w:rPr>
          <w:sz w:val="22"/>
          <w:szCs w:val="22"/>
          <w:lang w:val="sr-Latn-ME" w:eastAsia="ja-JP"/>
        </w:rPr>
      </w:pPr>
    </w:p>
    <w:p w14:paraId="6DFB5055" w14:textId="77777777" w:rsidR="00466B8B" w:rsidRPr="002A6AB6" w:rsidRDefault="00466B8B" w:rsidP="00587700">
      <w:pPr>
        <w:jc w:val="both"/>
        <w:rPr>
          <w:sz w:val="22"/>
          <w:szCs w:val="22"/>
          <w:lang w:val="sr-Latn-ME" w:eastAsia="ja-JP"/>
        </w:rPr>
      </w:pPr>
      <w:r w:rsidRPr="002A6AB6">
        <w:rPr>
          <w:sz w:val="22"/>
          <w:szCs w:val="22"/>
          <w:lang w:val="sr-Latn-ME" w:eastAsia="ja-JP"/>
        </w:rPr>
        <w:t xml:space="preserve">Podaci iz </w:t>
      </w:r>
      <w:proofErr w:type="spellStart"/>
      <w:r w:rsidRPr="002A6AB6">
        <w:rPr>
          <w:sz w:val="22"/>
          <w:szCs w:val="22"/>
          <w:lang w:val="sr-Latn-ME" w:eastAsia="ja-JP"/>
        </w:rPr>
        <w:t>pivotalnih</w:t>
      </w:r>
      <w:proofErr w:type="spellEnd"/>
      <w:r w:rsidRPr="002A6AB6">
        <w:rPr>
          <w:sz w:val="22"/>
          <w:szCs w:val="22"/>
          <w:lang w:val="sr-Latn-ME" w:eastAsia="ja-JP"/>
        </w:rPr>
        <w:t xml:space="preserve"> kliničkih studija tokom kontrolisanog perioda i OLE faze ukazuju na povezanost između smanjenja koncentracije </w:t>
      </w:r>
      <w:proofErr w:type="spellStart"/>
      <w:r w:rsidRPr="002A6AB6">
        <w:rPr>
          <w:sz w:val="22"/>
          <w:szCs w:val="22"/>
          <w:lang w:val="sr-Latn-ME" w:eastAsia="ja-JP"/>
        </w:rPr>
        <w:t>IgG</w:t>
      </w:r>
      <w:proofErr w:type="spellEnd"/>
      <w:r w:rsidRPr="002A6AB6">
        <w:rPr>
          <w:sz w:val="22"/>
          <w:szCs w:val="22"/>
          <w:lang w:val="sr-Latn-ME" w:eastAsia="ja-JP"/>
        </w:rPr>
        <w:t xml:space="preserve"> (i u manjoj mjeri </w:t>
      </w:r>
      <w:proofErr w:type="spellStart"/>
      <w:r w:rsidRPr="002A6AB6">
        <w:rPr>
          <w:sz w:val="22"/>
          <w:szCs w:val="22"/>
          <w:lang w:val="sr-Latn-ME" w:eastAsia="ja-JP"/>
        </w:rPr>
        <w:t>IgM</w:t>
      </w:r>
      <w:proofErr w:type="spellEnd"/>
      <w:r w:rsidRPr="002A6AB6">
        <w:rPr>
          <w:sz w:val="22"/>
          <w:szCs w:val="22"/>
          <w:lang w:val="sr-Latn-ME" w:eastAsia="ja-JP"/>
        </w:rPr>
        <w:t xml:space="preserve"> ili </w:t>
      </w:r>
      <w:proofErr w:type="spellStart"/>
      <w:r w:rsidRPr="002A6AB6">
        <w:rPr>
          <w:sz w:val="22"/>
          <w:szCs w:val="22"/>
          <w:lang w:val="sr-Latn-ME" w:eastAsia="ja-JP"/>
        </w:rPr>
        <w:t>IgA</w:t>
      </w:r>
      <w:proofErr w:type="spellEnd"/>
      <w:r w:rsidRPr="002A6AB6">
        <w:rPr>
          <w:sz w:val="22"/>
          <w:szCs w:val="22"/>
          <w:lang w:val="sr-Latn-ME" w:eastAsia="ja-JP"/>
        </w:rPr>
        <w:t>) i povećane učestalosti ozbiljnih infekcija.</w:t>
      </w:r>
      <w:r w:rsidRPr="002A6AB6">
        <w:rPr>
          <w:b/>
          <w:bCs/>
          <w:color w:val="000000"/>
          <w:sz w:val="22"/>
          <w:szCs w:val="22"/>
          <w:lang w:val="sr-Latn-ME" w:eastAsia="ja-JP"/>
        </w:rPr>
        <w:t xml:space="preserve"> </w:t>
      </w:r>
      <w:r w:rsidRPr="002A6AB6">
        <w:rPr>
          <w:color w:val="000000"/>
          <w:sz w:val="22"/>
          <w:szCs w:val="22"/>
          <w:lang w:val="sr-Latn-ME" w:eastAsia="ja-JP"/>
        </w:rPr>
        <w:t xml:space="preserve">Ukupno 2,1% pacijenata sa RMS imalo je ozbiljnu infekciju tokom perioda sa </w:t>
      </w:r>
      <w:proofErr w:type="spellStart"/>
      <w:r w:rsidRPr="002A6AB6">
        <w:rPr>
          <w:color w:val="000000"/>
          <w:sz w:val="22"/>
          <w:szCs w:val="22"/>
          <w:lang w:val="sr-Latn-ME" w:eastAsia="ja-JP"/>
        </w:rPr>
        <w:t>IgG</w:t>
      </w:r>
      <w:proofErr w:type="spellEnd"/>
      <w:r w:rsidRPr="002A6AB6">
        <w:rPr>
          <w:color w:val="000000"/>
          <w:sz w:val="22"/>
          <w:szCs w:val="22"/>
          <w:lang w:val="sr-Latn-ME" w:eastAsia="ja-JP"/>
        </w:rPr>
        <w:t xml:space="preserve"> &lt; LLN, a 2,3% pacijenata sa PPMS imalo je ozbiljnu infekciju tokom perioda sa </w:t>
      </w:r>
      <w:proofErr w:type="spellStart"/>
      <w:r w:rsidRPr="002A6AB6">
        <w:rPr>
          <w:color w:val="000000"/>
          <w:sz w:val="22"/>
          <w:szCs w:val="22"/>
          <w:lang w:val="sr-Latn-ME" w:eastAsia="ja-JP"/>
        </w:rPr>
        <w:t>IgG</w:t>
      </w:r>
      <w:proofErr w:type="spellEnd"/>
      <w:r w:rsidRPr="002A6AB6">
        <w:rPr>
          <w:color w:val="000000"/>
          <w:sz w:val="22"/>
          <w:szCs w:val="22"/>
          <w:lang w:val="sr-Latn-ME" w:eastAsia="ja-JP"/>
        </w:rPr>
        <w:t xml:space="preserve"> &lt; LLN. Razlika u stopi ozbiljnih infekcija između pacijenata sa </w:t>
      </w:r>
      <w:proofErr w:type="spellStart"/>
      <w:r w:rsidRPr="002A6AB6">
        <w:rPr>
          <w:color w:val="000000"/>
          <w:sz w:val="22"/>
          <w:szCs w:val="22"/>
          <w:lang w:val="sr-Latn-ME" w:eastAsia="ja-JP"/>
        </w:rPr>
        <w:t>IgG</w:t>
      </w:r>
      <w:proofErr w:type="spellEnd"/>
      <w:r w:rsidRPr="002A6AB6">
        <w:rPr>
          <w:color w:val="000000"/>
          <w:sz w:val="22"/>
          <w:szCs w:val="22"/>
          <w:lang w:val="sr-Latn-ME" w:eastAsia="ja-JP"/>
        </w:rPr>
        <w:t xml:space="preserve"> &lt; LLN u poređenju sa pacijentima sa </w:t>
      </w:r>
      <w:proofErr w:type="spellStart"/>
      <w:r w:rsidRPr="002A6AB6">
        <w:rPr>
          <w:color w:val="000000"/>
          <w:sz w:val="22"/>
          <w:szCs w:val="22"/>
          <w:lang w:val="sr-Latn-ME" w:eastAsia="ja-JP"/>
        </w:rPr>
        <w:t>IgG</w:t>
      </w:r>
      <w:proofErr w:type="spellEnd"/>
      <w:r w:rsidRPr="002A6AB6">
        <w:rPr>
          <w:color w:val="000000"/>
          <w:sz w:val="22"/>
          <w:szCs w:val="22"/>
          <w:lang w:val="sr-Latn-ME" w:eastAsia="ja-JP"/>
        </w:rPr>
        <w:t xml:space="preserve"> ≥ LLN nije </w:t>
      </w:r>
      <w:proofErr w:type="spellStart"/>
      <w:r w:rsidRPr="002A6AB6">
        <w:rPr>
          <w:color w:val="000000"/>
          <w:sz w:val="22"/>
          <w:szCs w:val="22"/>
          <w:lang w:val="sr-Latn-ME" w:eastAsia="ja-JP"/>
        </w:rPr>
        <w:t>vremenom</w:t>
      </w:r>
      <w:proofErr w:type="spellEnd"/>
      <w:r w:rsidRPr="002A6AB6">
        <w:rPr>
          <w:color w:val="000000"/>
          <w:sz w:val="22"/>
          <w:szCs w:val="22"/>
          <w:lang w:val="sr-Latn-ME" w:eastAsia="ja-JP"/>
        </w:rPr>
        <w:t xml:space="preserve"> rasla. Vrsta, težina, </w:t>
      </w:r>
      <w:proofErr w:type="spellStart"/>
      <w:r w:rsidRPr="002A6AB6">
        <w:rPr>
          <w:color w:val="000000"/>
          <w:sz w:val="22"/>
          <w:szCs w:val="22"/>
          <w:lang w:val="sr-Latn-ME" w:eastAsia="ja-JP"/>
        </w:rPr>
        <w:t>latencija</w:t>
      </w:r>
      <w:proofErr w:type="spellEnd"/>
      <w:r w:rsidRPr="002A6AB6">
        <w:rPr>
          <w:color w:val="000000"/>
          <w:sz w:val="22"/>
          <w:szCs w:val="22"/>
          <w:lang w:val="sr-Latn-ME" w:eastAsia="ja-JP"/>
        </w:rPr>
        <w:t xml:space="preserve">, trajanje i ishod ozbiljnih infekcija </w:t>
      </w:r>
      <w:proofErr w:type="spellStart"/>
      <w:r w:rsidRPr="002A6AB6">
        <w:rPr>
          <w:color w:val="000000"/>
          <w:sz w:val="22"/>
          <w:szCs w:val="22"/>
          <w:lang w:val="sr-Latn-ME" w:eastAsia="ja-JP"/>
        </w:rPr>
        <w:t>zabilježenih</w:t>
      </w:r>
      <w:proofErr w:type="spellEnd"/>
      <w:r w:rsidRPr="002A6AB6">
        <w:rPr>
          <w:color w:val="000000"/>
          <w:sz w:val="22"/>
          <w:szCs w:val="22"/>
          <w:lang w:val="sr-Latn-ME" w:eastAsia="ja-JP"/>
        </w:rPr>
        <w:t xml:space="preserve"> tokom epizoda </w:t>
      </w:r>
      <w:proofErr w:type="spellStart"/>
      <w:r w:rsidRPr="002A6AB6">
        <w:rPr>
          <w:color w:val="000000"/>
          <w:sz w:val="22"/>
          <w:szCs w:val="22"/>
          <w:lang w:val="sr-Latn-ME" w:eastAsia="ja-JP"/>
        </w:rPr>
        <w:t>imunoglobulina</w:t>
      </w:r>
      <w:proofErr w:type="spellEnd"/>
      <w:r w:rsidRPr="002A6AB6">
        <w:rPr>
          <w:color w:val="000000"/>
          <w:sz w:val="22"/>
          <w:szCs w:val="22"/>
          <w:lang w:val="sr-Latn-ME" w:eastAsia="ja-JP"/>
        </w:rPr>
        <w:t xml:space="preserve"> ispod LLN bili su u skladu sa sveukupnim ozbiljnim infekcijama </w:t>
      </w:r>
      <w:proofErr w:type="spellStart"/>
      <w:r w:rsidRPr="002A6AB6">
        <w:rPr>
          <w:color w:val="000000"/>
          <w:sz w:val="22"/>
          <w:szCs w:val="22"/>
          <w:lang w:val="sr-Latn-ME" w:eastAsia="ja-JP"/>
        </w:rPr>
        <w:t>zabilježenim</w:t>
      </w:r>
      <w:proofErr w:type="spellEnd"/>
      <w:r w:rsidRPr="002A6AB6">
        <w:rPr>
          <w:color w:val="000000"/>
          <w:sz w:val="22"/>
          <w:szCs w:val="22"/>
          <w:lang w:val="sr-Latn-ME" w:eastAsia="ja-JP"/>
        </w:rPr>
        <w:t xml:space="preserve"> kod pacijenata liječenih </w:t>
      </w:r>
      <w:proofErr w:type="spellStart"/>
      <w:r w:rsidRPr="002A6AB6">
        <w:rPr>
          <w:color w:val="000000"/>
          <w:sz w:val="22"/>
          <w:szCs w:val="22"/>
          <w:lang w:val="sr-Latn-ME" w:eastAsia="ja-JP"/>
        </w:rPr>
        <w:t>okrelizumabom</w:t>
      </w:r>
      <w:proofErr w:type="spellEnd"/>
      <w:r w:rsidRPr="002A6AB6">
        <w:rPr>
          <w:color w:val="000000"/>
          <w:sz w:val="22"/>
          <w:szCs w:val="22"/>
          <w:lang w:val="sr-Latn-ME" w:eastAsia="ja-JP"/>
        </w:rPr>
        <w:t xml:space="preserve"> tokom kontrolisanog perioda i faze OLE. Tokom 10 godina kontinuirane terapije </w:t>
      </w:r>
      <w:proofErr w:type="spellStart"/>
      <w:r w:rsidRPr="002A6AB6">
        <w:rPr>
          <w:color w:val="000000"/>
          <w:sz w:val="22"/>
          <w:szCs w:val="22"/>
          <w:lang w:val="sr-Latn-ME" w:eastAsia="ja-JP"/>
        </w:rPr>
        <w:t>okrelizumabom</w:t>
      </w:r>
      <w:proofErr w:type="spellEnd"/>
      <w:r w:rsidRPr="002A6AB6">
        <w:rPr>
          <w:color w:val="000000"/>
          <w:sz w:val="22"/>
          <w:szCs w:val="22"/>
          <w:lang w:val="sr-Latn-ME" w:eastAsia="ja-JP"/>
        </w:rPr>
        <w:t xml:space="preserve">, srednji nivoi </w:t>
      </w:r>
      <w:proofErr w:type="spellStart"/>
      <w:r w:rsidRPr="002A6AB6">
        <w:rPr>
          <w:color w:val="000000"/>
          <w:sz w:val="22"/>
          <w:szCs w:val="22"/>
          <w:lang w:val="sr-Latn-ME" w:eastAsia="ja-JP"/>
        </w:rPr>
        <w:t>IgG</w:t>
      </w:r>
      <w:proofErr w:type="spellEnd"/>
      <w:r w:rsidRPr="002A6AB6">
        <w:rPr>
          <w:color w:val="000000"/>
          <w:sz w:val="22"/>
          <w:szCs w:val="22"/>
          <w:lang w:val="sr-Latn-ME" w:eastAsia="ja-JP"/>
        </w:rPr>
        <w:t xml:space="preserve"> kod pacijenata sa RMS i PPMS ostali su iznad donje granice normale.</w:t>
      </w:r>
    </w:p>
    <w:p w14:paraId="5D45B1BB" w14:textId="77777777" w:rsidR="00466B8B" w:rsidRPr="002A6AB6" w:rsidRDefault="00466B8B" w:rsidP="00587700">
      <w:pPr>
        <w:tabs>
          <w:tab w:val="left" w:pos="567"/>
        </w:tabs>
        <w:jc w:val="both"/>
        <w:rPr>
          <w:sz w:val="22"/>
          <w:szCs w:val="22"/>
          <w:lang w:val="sr-Latn-ME"/>
        </w:rPr>
      </w:pPr>
    </w:p>
    <w:p w14:paraId="55C03FA7" w14:textId="77777777" w:rsidR="00466B8B" w:rsidRPr="002A6AB6" w:rsidRDefault="00466B8B" w:rsidP="00587700">
      <w:pPr>
        <w:keepNext/>
        <w:jc w:val="both"/>
        <w:rPr>
          <w:i/>
          <w:sz w:val="22"/>
          <w:szCs w:val="22"/>
          <w:u w:val="single"/>
          <w:lang w:val="sr-Latn-ME" w:eastAsia="ja-JP"/>
        </w:rPr>
      </w:pPr>
      <w:proofErr w:type="spellStart"/>
      <w:r w:rsidRPr="002A6AB6">
        <w:rPr>
          <w:i/>
          <w:iCs/>
          <w:sz w:val="22"/>
          <w:szCs w:val="22"/>
          <w:u w:val="single"/>
          <w:lang w:val="sr-Latn-ME" w:eastAsia="ja-JP"/>
        </w:rPr>
        <w:t>Limfociti</w:t>
      </w:r>
      <w:proofErr w:type="spellEnd"/>
    </w:p>
    <w:p w14:paraId="5DD01EC8" w14:textId="77777777" w:rsidR="00466B8B" w:rsidRPr="002A6AB6" w:rsidRDefault="00466B8B" w:rsidP="00587700">
      <w:pPr>
        <w:jc w:val="both"/>
        <w:rPr>
          <w:sz w:val="22"/>
          <w:szCs w:val="22"/>
          <w:lang w:val="sr-Latn-ME" w:eastAsia="ja-JP"/>
        </w:rPr>
      </w:pPr>
      <w:r w:rsidRPr="002A6AB6">
        <w:rPr>
          <w:sz w:val="22"/>
          <w:szCs w:val="22"/>
          <w:lang w:val="sr-Latn-ME" w:eastAsia="ja-JP"/>
        </w:rPr>
        <w:t xml:space="preserve">U RMS, smanjenje </w:t>
      </w:r>
      <w:proofErr w:type="spellStart"/>
      <w:r w:rsidRPr="002A6AB6">
        <w:rPr>
          <w:sz w:val="22"/>
          <w:szCs w:val="22"/>
          <w:lang w:val="sr-Latn-ME" w:eastAsia="ja-JP"/>
        </w:rPr>
        <w:t>limfocita</w:t>
      </w:r>
      <w:proofErr w:type="spellEnd"/>
      <w:r w:rsidRPr="002A6AB6">
        <w:rPr>
          <w:sz w:val="22"/>
          <w:szCs w:val="22"/>
          <w:lang w:val="sr-Latn-ME" w:eastAsia="ja-JP"/>
        </w:rPr>
        <w:t xml:space="preserve"> manje od donje granice normale zabilježeno je kod 20,7% pacijenata koji su primali </w:t>
      </w:r>
      <w:proofErr w:type="spellStart"/>
      <w:r w:rsidRPr="002A6AB6">
        <w:rPr>
          <w:sz w:val="22"/>
          <w:szCs w:val="22"/>
          <w:lang w:val="sr-Latn-ME" w:eastAsia="ja-JP"/>
        </w:rPr>
        <w:t>intravenski</w:t>
      </w:r>
      <w:proofErr w:type="spellEnd"/>
      <w:r w:rsidRPr="002A6AB6">
        <w:rPr>
          <w:sz w:val="22"/>
          <w:szCs w:val="22"/>
          <w:lang w:val="sr-Latn-ME" w:eastAsia="ja-JP"/>
        </w:rPr>
        <w:t xml:space="preserve"> </w:t>
      </w:r>
      <w:proofErr w:type="spellStart"/>
      <w:r w:rsidRPr="002A6AB6">
        <w:rPr>
          <w:sz w:val="22"/>
          <w:szCs w:val="22"/>
          <w:lang w:val="sr-Latn-ME" w:eastAsia="ja-JP"/>
        </w:rPr>
        <w:t>okrelizumab</w:t>
      </w:r>
      <w:proofErr w:type="spellEnd"/>
      <w:r w:rsidRPr="002A6AB6">
        <w:rPr>
          <w:sz w:val="22"/>
          <w:szCs w:val="22"/>
          <w:lang w:val="sr-Latn-ME" w:eastAsia="ja-JP"/>
        </w:rPr>
        <w:t xml:space="preserve"> u poređenju sa 32,6% pacijenata liječenih </w:t>
      </w:r>
      <w:proofErr w:type="spellStart"/>
      <w:r w:rsidRPr="002A6AB6">
        <w:rPr>
          <w:sz w:val="22"/>
          <w:szCs w:val="22"/>
          <w:lang w:val="sr-Latn-ME" w:eastAsia="ja-JP"/>
        </w:rPr>
        <w:t>interferonom</w:t>
      </w:r>
      <w:proofErr w:type="spellEnd"/>
      <w:r w:rsidRPr="002A6AB6">
        <w:rPr>
          <w:sz w:val="22"/>
          <w:szCs w:val="22"/>
          <w:lang w:val="sr-Latn-ME" w:eastAsia="ja-JP"/>
        </w:rPr>
        <w:t xml:space="preserve"> beta 1a.  U PPMS, smanjenje </w:t>
      </w:r>
      <w:proofErr w:type="spellStart"/>
      <w:r w:rsidRPr="002A6AB6">
        <w:rPr>
          <w:sz w:val="22"/>
          <w:szCs w:val="22"/>
          <w:lang w:val="sr-Latn-ME" w:eastAsia="ja-JP"/>
        </w:rPr>
        <w:t>limfocita</w:t>
      </w:r>
      <w:proofErr w:type="spellEnd"/>
      <w:r w:rsidRPr="002A6AB6">
        <w:rPr>
          <w:sz w:val="22"/>
          <w:szCs w:val="22"/>
          <w:lang w:val="sr-Latn-ME" w:eastAsia="ja-JP"/>
        </w:rPr>
        <w:t xml:space="preserve"> manje od donje granice normale zabilježeno je kod 26,3% pacijenata koji su primali </w:t>
      </w:r>
      <w:proofErr w:type="spellStart"/>
      <w:r w:rsidRPr="002A6AB6">
        <w:rPr>
          <w:sz w:val="22"/>
          <w:szCs w:val="22"/>
          <w:lang w:val="sr-Latn-ME" w:eastAsia="ja-JP"/>
        </w:rPr>
        <w:t>intravenski</w:t>
      </w:r>
      <w:proofErr w:type="spellEnd"/>
      <w:r w:rsidRPr="002A6AB6">
        <w:rPr>
          <w:sz w:val="22"/>
          <w:szCs w:val="22"/>
          <w:lang w:val="sr-Latn-ME" w:eastAsia="ja-JP"/>
        </w:rPr>
        <w:t xml:space="preserve"> </w:t>
      </w:r>
      <w:proofErr w:type="spellStart"/>
      <w:r w:rsidRPr="002A6AB6">
        <w:rPr>
          <w:sz w:val="22"/>
          <w:szCs w:val="22"/>
          <w:lang w:val="sr-Latn-ME" w:eastAsia="ja-JP"/>
        </w:rPr>
        <w:t>okrelizumab</w:t>
      </w:r>
      <w:proofErr w:type="spellEnd"/>
      <w:r w:rsidRPr="002A6AB6">
        <w:rPr>
          <w:sz w:val="22"/>
          <w:szCs w:val="22"/>
          <w:lang w:val="sr-Latn-ME" w:eastAsia="ja-JP"/>
        </w:rPr>
        <w:t xml:space="preserve"> u poređenju sa 11,7% pacijenata koji su primali </w:t>
      </w:r>
      <w:proofErr w:type="spellStart"/>
      <w:r w:rsidRPr="002A6AB6">
        <w:rPr>
          <w:sz w:val="22"/>
          <w:szCs w:val="22"/>
          <w:lang w:val="sr-Latn-ME" w:eastAsia="ja-JP"/>
        </w:rPr>
        <w:t>placebo</w:t>
      </w:r>
      <w:proofErr w:type="spellEnd"/>
      <w:r w:rsidRPr="002A6AB6">
        <w:rPr>
          <w:sz w:val="22"/>
          <w:szCs w:val="22"/>
          <w:lang w:val="sr-Latn-ME" w:eastAsia="ja-JP"/>
        </w:rPr>
        <w:t>.</w:t>
      </w:r>
    </w:p>
    <w:p w14:paraId="1439BE91" w14:textId="77777777" w:rsidR="00466B8B" w:rsidRPr="002A6AB6" w:rsidRDefault="00466B8B" w:rsidP="00587700">
      <w:pPr>
        <w:jc w:val="both"/>
        <w:rPr>
          <w:sz w:val="22"/>
          <w:szCs w:val="22"/>
          <w:lang w:val="sr-Latn-ME" w:eastAsia="ja-JP"/>
        </w:rPr>
      </w:pPr>
    </w:p>
    <w:p w14:paraId="06508756" w14:textId="77777777" w:rsidR="00466B8B" w:rsidRPr="002A6AB6" w:rsidRDefault="00466B8B" w:rsidP="00587700">
      <w:pPr>
        <w:jc w:val="both"/>
        <w:rPr>
          <w:sz w:val="22"/>
          <w:szCs w:val="22"/>
          <w:lang w:val="sr-Latn-ME" w:eastAsia="ja-JP"/>
        </w:rPr>
      </w:pPr>
      <w:r w:rsidRPr="002A6AB6">
        <w:rPr>
          <w:sz w:val="22"/>
          <w:szCs w:val="22"/>
          <w:lang w:val="sr-Latn-ME" w:eastAsia="ja-JP"/>
        </w:rPr>
        <w:t xml:space="preserve">Većina tih smanjenja zabilježena kod pacijenata liječenih </w:t>
      </w:r>
      <w:proofErr w:type="spellStart"/>
      <w:r w:rsidRPr="002A6AB6">
        <w:rPr>
          <w:sz w:val="22"/>
          <w:szCs w:val="22"/>
          <w:lang w:val="sr-Latn-ME" w:eastAsia="ja-JP"/>
        </w:rPr>
        <w:t>intravenskim</w:t>
      </w:r>
      <w:proofErr w:type="spellEnd"/>
      <w:r w:rsidRPr="002A6AB6">
        <w:rPr>
          <w:sz w:val="22"/>
          <w:szCs w:val="22"/>
          <w:lang w:val="sr-Latn-ME" w:eastAsia="ja-JP"/>
        </w:rPr>
        <w:t xml:space="preserve"> </w:t>
      </w:r>
      <w:proofErr w:type="spellStart"/>
      <w:r w:rsidRPr="002A6AB6">
        <w:rPr>
          <w:sz w:val="22"/>
          <w:szCs w:val="22"/>
          <w:lang w:val="sr-Latn-ME" w:eastAsia="ja-JP"/>
        </w:rPr>
        <w:t>okrelizumabom</w:t>
      </w:r>
      <w:proofErr w:type="spellEnd"/>
      <w:r w:rsidRPr="002A6AB6">
        <w:rPr>
          <w:sz w:val="22"/>
          <w:szCs w:val="22"/>
          <w:lang w:val="sr-Latn-ME" w:eastAsia="ja-JP"/>
        </w:rPr>
        <w:t xml:space="preserve"> bila je gradusa 1 (&lt;LLN – 800 ćelija/mm</w:t>
      </w:r>
      <w:r w:rsidRPr="002A6AB6">
        <w:rPr>
          <w:sz w:val="22"/>
          <w:szCs w:val="22"/>
          <w:vertAlign w:val="superscript"/>
          <w:lang w:val="sr-Latn-ME" w:eastAsia="ja-JP"/>
        </w:rPr>
        <w:t>3</w:t>
      </w:r>
      <w:r w:rsidRPr="002A6AB6">
        <w:rPr>
          <w:sz w:val="22"/>
          <w:szCs w:val="22"/>
          <w:lang w:val="sr-Latn-ME" w:eastAsia="ja-JP"/>
        </w:rPr>
        <w:t>) i gradusa 2 (između 500 i 800 ćelija/mm</w:t>
      </w:r>
      <w:r w:rsidRPr="002A6AB6">
        <w:rPr>
          <w:sz w:val="22"/>
          <w:szCs w:val="22"/>
          <w:vertAlign w:val="superscript"/>
          <w:lang w:val="sr-Latn-ME" w:eastAsia="ja-JP"/>
        </w:rPr>
        <w:t>3</w:t>
      </w:r>
      <w:r w:rsidRPr="002A6AB6">
        <w:rPr>
          <w:sz w:val="22"/>
          <w:szCs w:val="22"/>
          <w:lang w:val="sr-Latn-ME" w:eastAsia="ja-JP"/>
        </w:rPr>
        <w:t xml:space="preserve">) kada je u pitanju stepen težine. Kod približno 1% pacijenata u grupi koja je primala </w:t>
      </w:r>
      <w:proofErr w:type="spellStart"/>
      <w:r w:rsidRPr="002A6AB6">
        <w:rPr>
          <w:sz w:val="22"/>
          <w:szCs w:val="22"/>
          <w:lang w:val="sr-Latn-ME" w:eastAsia="ja-JP"/>
        </w:rPr>
        <w:t>intravenski</w:t>
      </w:r>
      <w:proofErr w:type="spellEnd"/>
      <w:r w:rsidRPr="002A6AB6">
        <w:rPr>
          <w:sz w:val="22"/>
          <w:szCs w:val="22"/>
          <w:lang w:val="sr-Latn-ME" w:eastAsia="ja-JP"/>
        </w:rPr>
        <w:t xml:space="preserve"> </w:t>
      </w:r>
      <w:proofErr w:type="spellStart"/>
      <w:r w:rsidRPr="002A6AB6">
        <w:rPr>
          <w:sz w:val="22"/>
          <w:szCs w:val="22"/>
          <w:lang w:val="sr-Latn-ME" w:eastAsia="ja-JP"/>
        </w:rPr>
        <w:t>okrelizumab</w:t>
      </w:r>
      <w:proofErr w:type="spellEnd"/>
      <w:r w:rsidRPr="002A6AB6">
        <w:rPr>
          <w:sz w:val="22"/>
          <w:szCs w:val="22"/>
          <w:lang w:val="sr-Latn-ME" w:eastAsia="ja-JP"/>
        </w:rPr>
        <w:t xml:space="preserve"> zabilježena je </w:t>
      </w:r>
      <w:proofErr w:type="spellStart"/>
      <w:r w:rsidRPr="002A6AB6">
        <w:rPr>
          <w:sz w:val="22"/>
          <w:szCs w:val="22"/>
          <w:lang w:val="sr-Latn-ME" w:eastAsia="ja-JP"/>
        </w:rPr>
        <w:t>limfopenija</w:t>
      </w:r>
      <w:proofErr w:type="spellEnd"/>
      <w:r w:rsidRPr="002A6AB6">
        <w:rPr>
          <w:sz w:val="22"/>
          <w:szCs w:val="22"/>
          <w:lang w:val="sr-Latn-ME" w:eastAsia="ja-JP"/>
        </w:rPr>
        <w:t xml:space="preserve"> gradusa 3 (između 200 i 500 ćelija/mm</w:t>
      </w:r>
      <w:r w:rsidRPr="002A6AB6">
        <w:rPr>
          <w:sz w:val="22"/>
          <w:szCs w:val="22"/>
          <w:vertAlign w:val="superscript"/>
          <w:lang w:val="sr-Latn-ME" w:eastAsia="ja-JP"/>
        </w:rPr>
        <w:t>3</w:t>
      </w:r>
      <w:r w:rsidRPr="002A6AB6">
        <w:rPr>
          <w:sz w:val="22"/>
          <w:szCs w:val="22"/>
          <w:lang w:val="sr-Latn-ME" w:eastAsia="ja-JP"/>
        </w:rPr>
        <w:t xml:space="preserve">). </w:t>
      </w:r>
      <w:proofErr w:type="spellStart"/>
      <w:r w:rsidRPr="002A6AB6">
        <w:rPr>
          <w:sz w:val="22"/>
          <w:szCs w:val="22"/>
          <w:lang w:val="sr-Latn-ME" w:eastAsia="ja-JP"/>
        </w:rPr>
        <w:t>Limfopenija</w:t>
      </w:r>
      <w:proofErr w:type="spellEnd"/>
      <w:r w:rsidRPr="002A6AB6">
        <w:rPr>
          <w:sz w:val="22"/>
          <w:szCs w:val="22"/>
          <w:lang w:val="sr-Latn-ME" w:eastAsia="ja-JP"/>
        </w:rPr>
        <w:t xml:space="preserve"> gradusa 4 nije zabilježena (&lt; 200 ćelija/mm</w:t>
      </w:r>
      <w:r w:rsidRPr="002A6AB6">
        <w:rPr>
          <w:sz w:val="22"/>
          <w:szCs w:val="22"/>
          <w:vertAlign w:val="superscript"/>
          <w:lang w:val="sr-Latn-ME" w:eastAsia="ja-JP"/>
        </w:rPr>
        <w:t>3</w:t>
      </w:r>
      <w:r w:rsidRPr="002A6AB6">
        <w:rPr>
          <w:sz w:val="22"/>
          <w:szCs w:val="22"/>
          <w:lang w:val="sr-Latn-ME" w:eastAsia="ja-JP"/>
        </w:rPr>
        <w:t>).</w:t>
      </w:r>
    </w:p>
    <w:p w14:paraId="5A64ACBB" w14:textId="77777777" w:rsidR="00466B8B" w:rsidRPr="002A6AB6" w:rsidRDefault="00466B8B" w:rsidP="00587700">
      <w:pPr>
        <w:jc w:val="both"/>
        <w:rPr>
          <w:sz w:val="22"/>
          <w:szCs w:val="22"/>
          <w:lang w:val="sr-Latn-ME" w:eastAsia="ja-JP"/>
        </w:rPr>
      </w:pPr>
    </w:p>
    <w:p w14:paraId="63436E81" w14:textId="77777777" w:rsidR="00466B8B" w:rsidRPr="002A6AB6" w:rsidRDefault="00466B8B" w:rsidP="00587700">
      <w:pPr>
        <w:jc w:val="both"/>
        <w:rPr>
          <w:sz w:val="22"/>
          <w:szCs w:val="22"/>
          <w:lang w:val="sr-Latn-ME" w:eastAsia="ja-JP"/>
        </w:rPr>
      </w:pPr>
      <w:r w:rsidRPr="002A6AB6">
        <w:rPr>
          <w:sz w:val="22"/>
          <w:szCs w:val="22"/>
          <w:lang w:val="sr-Latn-ME" w:eastAsia="ja-JP"/>
        </w:rPr>
        <w:t xml:space="preserve">Povećana stopa ozbiljnih infekcija zabilježena je tokom epizoda potvrđenih smanjenja ukupnog broja </w:t>
      </w:r>
      <w:proofErr w:type="spellStart"/>
      <w:r w:rsidRPr="002A6AB6">
        <w:rPr>
          <w:sz w:val="22"/>
          <w:szCs w:val="22"/>
          <w:lang w:val="sr-Latn-ME" w:eastAsia="ja-JP"/>
        </w:rPr>
        <w:t>limfocita</w:t>
      </w:r>
      <w:proofErr w:type="spellEnd"/>
      <w:r w:rsidRPr="002A6AB6">
        <w:rPr>
          <w:sz w:val="22"/>
          <w:szCs w:val="22"/>
          <w:lang w:val="sr-Latn-ME" w:eastAsia="ja-JP"/>
        </w:rPr>
        <w:t xml:space="preserve"> kod pacijenata liječenih </w:t>
      </w:r>
      <w:proofErr w:type="spellStart"/>
      <w:r w:rsidRPr="002A6AB6">
        <w:rPr>
          <w:sz w:val="22"/>
          <w:szCs w:val="22"/>
          <w:lang w:val="sr-Latn-ME" w:eastAsia="ja-JP"/>
        </w:rPr>
        <w:t>intravenskim</w:t>
      </w:r>
      <w:proofErr w:type="spellEnd"/>
      <w:r w:rsidRPr="002A6AB6">
        <w:rPr>
          <w:sz w:val="22"/>
          <w:szCs w:val="22"/>
          <w:lang w:val="sr-Latn-ME" w:eastAsia="ja-JP"/>
        </w:rPr>
        <w:t xml:space="preserve"> </w:t>
      </w:r>
      <w:proofErr w:type="spellStart"/>
      <w:r w:rsidRPr="002A6AB6">
        <w:rPr>
          <w:sz w:val="22"/>
          <w:szCs w:val="22"/>
          <w:lang w:val="sr-Latn-ME" w:eastAsia="ja-JP"/>
        </w:rPr>
        <w:t>okrelizumabom</w:t>
      </w:r>
      <w:proofErr w:type="spellEnd"/>
      <w:r w:rsidRPr="002A6AB6">
        <w:rPr>
          <w:sz w:val="22"/>
          <w:szCs w:val="22"/>
          <w:lang w:val="sr-Latn-ME" w:eastAsia="ja-JP"/>
        </w:rPr>
        <w:t>. Broj ozbiljnih infekcija bio je previše mali da bi se izvukli definitivni zaključci.</w:t>
      </w:r>
    </w:p>
    <w:p w14:paraId="2CF32C46" w14:textId="77777777" w:rsidR="00466B8B" w:rsidRPr="002A6AB6" w:rsidRDefault="00466B8B" w:rsidP="00587700">
      <w:pPr>
        <w:jc w:val="both"/>
        <w:rPr>
          <w:sz w:val="22"/>
          <w:szCs w:val="22"/>
          <w:lang w:val="sr-Latn-ME" w:eastAsia="ja-JP"/>
        </w:rPr>
      </w:pPr>
    </w:p>
    <w:p w14:paraId="07F63201" w14:textId="77777777" w:rsidR="00466B8B" w:rsidRPr="002A6AB6" w:rsidRDefault="00466B8B" w:rsidP="00587700">
      <w:pPr>
        <w:jc w:val="both"/>
        <w:rPr>
          <w:i/>
          <w:sz w:val="22"/>
          <w:szCs w:val="22"/>
          <w:u w:val="single"/>
          <w:lang w:val="sr-Latn-ME" w:eastAsia="ja-JP"/>
        </w:rPr>
      </w:pPr>
      <w:bookmarkStart w:id="5" w:name="_Hlk134395280"/>
      <w:proofErr w:type="spellStart"/>
      <w:r w:rsidRPr="002A6AB6">
        <w:rPr>
          <w:i/>
          <w:iCs/>
          <w:sz w:val="22"/>
          <w:szCs w:val="22"/>
          <w:u w:val="single"/>
          <w:lang w:val="sr-Latn-ME" w:eastAsia="ja-JP"/>
        </w:rPr>
        <w:t>Neutrofili</w:t>
      </w:r>
      <w:proofErr w:type="spellEnd"/>
    </w:p>
    <w:p w14:paraId="29113799" w14:textId="77777777" w:rsidR="00466B8B" w:rsidRPr="002A6AB6" w:rsidRDefault="00466B8B" w:rsidP="00587700">
      <w:pPr>
        <w:jc w:val="both"/>
        <w:rPr>
          <w:sz w:val="22"/>
          <w:szCs w:val="22"/>
          <w:lang w:val="sr-Latn-ME" w:eastAsia="ja-JP"/>
        </w:rPr>
      </w:pPr>
      <w:r w:rsidRPr="002A6AB6">
        <w:rPr>
          <w:sz w:val="22"/>
          <w:szCs w:val="22"/>
          <w:lang w:val="sr-Latn-ME" w:eastAsia="ja-JP"/>
        </w:rPr>
        <w:t xml:space="preserve">U aktivno kontrolisanom periodu liječenja (RMS), smanjenje </w:t>
      </w:r>
      <w:proofErr w:type="spellStart"/>
      <w:r w:rsidRPr="002A6AB6">
        <w:rPr>
          <w:sz w:val="22"/>
          <w:szCs w:val="22"/>
          <w:lang w:val="sr-Latn-ME" w:eastAsia="ja-JP"/>
        </w:rPr>
        <w:t>neutrofila</w:t>
      </w:r>
      <w:proofErr w:type="spellEnd"/>
      <w:r w:rsidRPr="002A6AB6">
        <w:rPr>
          <w:sz w:val="22"/>
          <w:szCs w:val="22"/>
          <w:lang w:val="sr-Latn-ME" w:eastAsia="ja-JP"/>
        </w:rPr>
        <w:t xml:space="preserve"> ispod donje granice normale zabilježeno je kod 14,7% pacijenata koji su primali </w:t>
      </w:r>
      <w:proofErr w:type="spellStart"/>
      <w:r w:rsidRPr="002A6AB6">
        <w:rPr>
          <w:sz w:val="22"/>
          <w:szCs w:val="22"/>
          <w:lang w:val="sr-Latn-ME" w:eastAsia="ja-JP"/>
        </w:rPr>
        <w:t>intravenski</w:t>
      </w:r>
      <w:proofErr w:type="spellEnd"/>
      <w:r w:rsidRPr="002A6AB6">
        <w:rPr>
          <w:sz w:val="22"/>
          <w:szCs w:val="22"/>
          <w:lang w:val="sr-Latn-ME" w:eastAsia="ja-JP"/>
        </w:rPr>
        <w:t xml:space="preserve"> </w:t>
      </w:r>
      <w:proofErr w:type="spellStart"/>
      <w:r w:rsidRPr="002A6AB6">
        <w:rPr>
          <w:sz w:val="22"/>
          <w:szCs w:val="22"/>
          <w:lang w:val="sr-Latn-ME" w:eastAsia="ja-JP"/>
        </w:rPr>
        <w:t>okrelizumab</w:t>
      </w:r>
      <w:proofErr w:type="spellEnd"/>
      <w:r w:rsidRPr="002A6AB6">
        <w:rPr>
          <w:sz w:val="22"/>
          <w:szCs w:val="22"/>
          <w:lang w:val="sr-Latn-ME" w:eastAsia="ja-JP"/>
        </w:rPr>
        <w:t xml:space="preserve"> u poređenju sa 40,9% pacijenata liječenih </w:t>
      </w:r>
      <w:proofErr w:type="spellStart"/>
      <w:r w:rsidRPr="002A6AB6">
        <w:rPr>
          <w:sz w:val="22"/>
          <w:szCs w:val="22"/>
          <w:lang w:val="sr-Latn-ME" w:eastAsia="ja-JP"/>
        </w:rPr>
        <w:t>interferonom</w:t>
      </w:r>
      <w:proofErr w:type="spellEnd"/>
      <w:r w:rsidRPr="002A6AB6">
        <w:rPr>
          <w:sz w:val="22"/>
          <w:szCs w:val="22"/>
          <w:lang w:val="sr-Latn-ME" w:eastAsia="ja-JP"/>
        </w:rPr>
        <w:t xml:space="preserve"> beta 1a. U </w:t>
      </w:r>
      <w:proofErr w:type="spellStart"/>
      <w:r w:rsidRPr="002A6AB6">
        <w:rPr>
          <w:sz w:val="22"/>
          <w:szCs w:val="22"/>
          <w:lang w:val="sr-Latn-ME" w:eastAsia="ja-JP"/>
        </w:rPr>
        <w:t>placebom</w:t>
      </w:r>
      <w:proofErr w:type="spellEnd"/>
      <w:r w:rsidRPr="002A6AB6">
        <w:rPr>
          <w:sz w:val="22"/>
          <w:szCs w:val="22"/>
          <w:lang w:val="sr-Latn-ME" w:eastAsia="ja-JP"/>
        </w:rPr>
        <w:t xml:space="preserve"> kontrolisanom (PPMS) kliničkom ispitivanju, procenat pacijenata koji su primali </w:t>
      </w:r>
      <w:proofErr w:type="spellStart"/>
      <w:r w:rsidRPr="002A6AB6">
        <w:rPr>
          <w:sz w:val="22"/>
          <w:szCs w:val="22"/>
          <w:lang w:val="sr-Latn-ME" w:eastAsia="ja-JP"/>
        </w:rPr>
        <w:t>intravenski</w:t>
      </w:r>
      <w:proofErr w:type="spellEnd"/>
      <w:r w:rsidRPr="002A6AB6">
        <w:rPr>
          <w:sz w:val="22"/>
          <w:szCs w:val="22"/>
          <w:lang w:val="sr-Latn-ME" w:eastAsia="ja-JP"/>
        </w:rPr>
        <w:t xml:space="preserve"> </w:t>
      </w:r>
      <w:proofErr w:type="spellStart"/>
      <w:r w:rsidRPr="002A6AB6">
        <w:rPr>
          <w:sz w:val="22"/>
          <w:szCs w:val="22"/>
          <w:lang w:val="sr-Latn-ME" w:eastAsia="ja-JP"/>
        </w:rPr>
        <w:t>okrelizumab</w:t>
      </w:r>
      <w:proofErr w:type="spellEnd"/>
      <w:r w:rsidRPr="002A6AB6">
        <w:rPr>
          <w:sz w:val="22"/>
          <w:szCs w:val="22"/>
          <w:lang w:val="sr-Latn-ME" w:eastAsia="ja-JP"/>
        </w:rPr>
        <w:t xml:space="preserve"> sa smanjenim brojem </w:t>
      </w:r>
      <w:proofErr w:type="spellStart"/>
      <w:r w:rsidRPr="002A6AB6">
        <w:rPr>
          <w:sz w:val="22"/>
          <w:szCs w:val="22"/>
          <w:lang w:val="sr-Latn-ME" w:eastAsia="ja-JP"/>
        </w:rPr>
        <w:t>neutrofila</w:t>
      </w:r>
      <w:proofErr w:type="spellEnd"/>
      <w:r w:rsidRPr="002A6AB6">
        <w:rPr>
          <w:sz w:val="22"/>
          <w:szCs w:val="22"/>
          <w:lang w:val="sr-Latn-ME" w:eastAsia="ja-JP"/>
        </w:rPr>
        <w:t xml:space="preserve"> bio je veći (12,9%) nego u grupi pacijenata koji su primali </w:t>
      </w:r>
      <w:proofErr w:type="spellStart"/>
      <w:r w:rsidRPr="002A6AB6">
        <w:rPr>
          <w:sz w:val="22"/>
          <w:szCs w:val="22"/>
          <w:lang w:val="sr-Latn-ME" w:eastAsia="ja-JP"/>
        </w:rPr>
        <w:t>placebo</w:t>
      </w:r>
      <w:proofErr w:type="spellEnd"/>
      <w:r w:rsidRPr="002A6AB6">
        <w:rPr>
          <w:sz w:val="22"/>
          <w:szCs w:val="22"/>
          <w:lang w:val="sr-Latn-ME" w:eastAsia="ja-JP"/>
        </w:rPr>
        <w:t xml:space="preserve"> (10,0%); među njima je veći procenat pacijenata (4,3%) u grupi koja je primala </w:t>
      </w:r>
      <w:proofErr w:type="spellStart"/>
      <w:r w:rsidRPr="002A6AB6">
        <w:rPr>
          <w:sz w:val="22"/>
          <w:szCs w:val="22"/>
          <w:lang w:val="sr-Latn-ME" w:eastAsia="ja-JP"/>
        </w:rPr>
        <w:t>intravenski</w:t>
      </w:r>
      <w:proofErr w:type="spellEnd"/>
      <w:r w:rsidRPr="002A6AB6">
        <w:rPr>
          <w:sz w:val="22"/>
          <w:szCs w:val="22"/>
          <w:lang w:val="sr-Latn-ME" w:eastAsia="ja-JP"/>
        </w:rPr>
        <w:t xml:space="preserve"> </w:t>
      </w:r>
      <w:proofErr w:type="spellStart"/>
      <w:r w:rsidRPr="002A6AB6">
        <w:rPr>
          <w:sz w:val="22"/>
          <w:szCs w:val="22"/>
          <w:lang w:val="sr-Latn-ME" w:eastAsia="ja-JP"/>
        </w:rPr>
        <w:t>okrelizumab</w:t>
      </w:r>
      <w:proofErr w:type="spellEnd"/>
      <w:r w:rsidRPr="002A6AB6">
        <w:rPr>
          <w:sz w:val="22"/>
          <w:szCs w:val="22"/>
          <w:lang w:val="sr-Latn-ME" w:eastAsia="ja-JP"/>
        </w:rPr>
        <w:t xml:space="preserve"> imao </w:t>
      </w:r>
      <w:proofErr w:type="spellStart"/>
      <w:r w:rsidRPr="002A6AB6">
        <w:rPr>
          <w:sz w:val="22"/>
          <w:szCs w:val="22"/>
          <w:lang w:val="sr-Latn-ME" w:eastAsia="ja-JP"/>
        </w:rPr>
        <w:t>neutropeniju</w:t>
      </w:r>
      <w:proofErr w:type="spellEnd"/>
      <w:r w:rsidRPr="002A6AB6">
        <w:rPr>
          <w:sz w:val="22"/>
          <w:szCs w:val="22"/>
          <w:lang w:val="sr-Latn-ME" w:eastAsia="ja-JP"/>
        </w:rPr>
        <w:t xml:space="preserve"> gradusa 2 ili većeg u poređenju sa 1,3% u grupi koja je primala </w:t>
      </w:r>
      <w:proofErr w:type="spellStart"/>
      <w:r w:rsidRPr="002A6AB6">
        <w:rPr>
          <w:sz w:val="22"/>
          <w:szCs w:val="22"/>
          <w:lang w:val="sr-Latn-ME" w:eastAsia="ja-JP"/>
        </w:rPr>
        <w:t>placebo</w:t>
      </w:r>
      <w:proofErr w:type="spellEnd"/>
      <w:r w:rsidRPr="002A6AB6">
        <w:rPr>
          <w:sz w:val="22"/>
          <w:szCs w:val="22"/>
          <w:lang w:val="sr-Latn-ME" w:eastAsia="ja-JP"/>
        </w:rPr>
        <w:t xml:space="preserve">; približno 1% pacijenata u grupi koja je primala </w:t>
      </w:r>
      <w:proofErr w:type="spellStart"/>
      <w:r w:rsidRPr="002A6AB6">
        <w:rPr>
          <w:sz w:val="22"/>
          <w:szCs w:val="22"/>
          <w:lang w:val="sr-Latn-ME" w:eastAsia="ja-JP"/>
        </w:rPr>
        <w:t>intravenski</w:t>
      </w:r>
      <w:proofErr w:type="spellEnd"/>
      <w:r w:rsidRPr="002A6AB6">
        <w:rPr>
          <w:sz w:val="22"/>
          <w:szCs w:val="22"/>
          <w:lang w:val="sr-Latn-ME" w:eastAsia="ja-JP"/>
        </w:rPr>
        <w:t xml:space="preserve"> </w:t>
      </w:r>
      <w:proofErr w:type="spellStart"/>
      <w:r w:rsidRPr="002A6AB6">
        <w:rPr>
          <w:sz w:val="22"/>
          <w:szCs w:val="22"/>
          <w:lang w:val="sr-Latn-ME" w:eastAsia="ja-JP"/>
        </w:rPr>
        <w:t>okrelizumab</w:t>
      </w:r>
      <w:proofErr w:type="spellEnd"/>
      <w:r w:rsidRPr="002A6AB6">
        <w:rPr>
          <w:sz w:val="22"/>
          <w:szCs w:val="22"/>
          <w:lang w:val="sr-Latn-ME" w:eastAsia="ja-JP"/>
        </w:rPr>
        <w:t xml:space="preserve"> imalo je </w:t>
      </w:r>
      <w:proofErr w:type="spellStart"/>
      <w:r w:rsidRPr="002A6AB6">
        <w:rPr>
          <w:sz w:val="22"/>
          <w:szCs w:val="22"/>
          <w:lang w:val="sr-Latn-ME" w:eastAsia="ja-JP"/>
        </w:rPr>
        <w:t>neutropeniju</w:t>
      </w:r>
      <w:proofErr w:type="spellEnd"/>
      <w:r w:rsidRPr="002A6AB6">
        <w:rPr>
          <w:sz w:val="22"/>
          <w:szCs w:val="22"/>
          <w:lang w:val="sr-Latn-ME" w:eastAsia="ja-JP"/>
        </w:rPr>
        <w:t xml:space="preserve"> gradusa 4 u poređenju sa 0% u grupi koja je primala </w:t>
      </w:r>
      <w:proofErr w:type="spellStart"/>
      <w:r w:rsidRPr="002A6AB6">
        <w:rPr>
          <w:sz w:val="22"/>
          <w:szCs w:val="22"/>
          <w:lang w:val="sr-Latn-ME" w:eastAsia="ja-JP"/>
        </w:rPr>
        <w:t>placebo</w:t>
      </w:r>
      <w:proofErr w:type="spellEnd"/>
      <w:r w:rsidRPr="002A6AB6">
        <w:rPr>
          <w:sz w:val="22"/>
          <w:szCs w:val="22"/>
          <w:lang w:val="sr-Latn-ME" w:eastAsia="ja-JP"/>
        </w:rPr>
        <w:t>.</w:t>
      </w:r>
    </w:p>
    <w:p w14:paraId="148EA9EC" w14:textId="77777777" w:rsidR="00466B8B" w:rsidRPr="002A6AB6" w:rsidRDefault="00466B8B" w:rsidP="00587700">
      <w:pPr>
        <w:jc w:val="both"/>
        <w:rPr>
          <w:sz w:val="22"/>
          <w:szCs w:val="22"/>
          <w:lang w:val="sr-Latn-ME" w:eastAsia="ja-JP"/>
        </w:rPr>
      </w:pPr>
    </w:p>
    <w:p w14:paraId="40198532" w14:textId="77777777" w:rsidR="00466B8B" w:rsidRPr="002A6AB6" w:rsidRDefault="00466B8B" w:rsidP="00587700">
      <w:pPr>
        <w:jc w:val="both"/>
        <w:rPr>
          <w:sz w:val="22"/>
          <w:szCs w:val="22"/>
          <w:lang w:val="sr-Latn-ME" w:eastAsia="ja-JP"/>
        </w:rPr>
      </w:pPr>
      <w:r w:rsidRPr="002A6AB6">
        <w:rPr>
          <w:sz w:val="22"/>
          <w:szCs w:val="22"/>
          <w:lang w:val="sr-Latn-ME" w:eastAsia="ja-JP"/>
        </w:rPr>
        <w:t xml:space="preserve">Većina slučajeva smanjenja broja </w:t>
      </w:r>
      <w:proofErr w:type="spellStart"/>
      <w:r w:rsidRPr="002A6AB6">
        <w:rPr>
          <w:sz w:val="22"/>
          <w:szCs w:val="22"/>
          <w:lang w:val="sr-Latn-ME" w:eastAsia="ja-JP"/>
        </w:rPr>
        <w:t>neutrofila</w:t>
      </w:r>
      <w:proofErr w:type="spellEnd"/>
      <w:r w:rsidRPr="002A6AB6">
        <w:rPr>
          <w:sz w:val="22"/>
          <w:szCs w:val="22"/>
          <w:lang w:val="sr-Latn-ME" w:eastAsia="ja-JP"/>
        </w:rPr>
        <w:t xml:space="preserve"> bila je prolazna (zabilježeno samo jednom kod datog pacijenta liječenog </w:t>
      </w:r>
      <w:proofErr w:type="spellStart"/>
      <w:r w:rsidRPr="002A6AB6">
        <w:rPr>
          <w:sz w:val="22"/>
          <w:szCs w:val="22"/>
          <w:lang w:val="sr-Latn-ME" w:eastAsia="ja-JP"/>
        </w:rPr>
        <w:t>okrelizumabom</w:t>
      </w:r>
      <w:proofErr w:type="spellEnd"/>
      <w:r w:rsidRPr="002A6AB6">
        <w:rPr>
          <w:sz w:val="22"/>
          <w:szCs w:val="22"/>
          <w:lang w:val="sr-Latn-ME" w:eastAsia="ja-JP"/>
        </w:rPr>
        <w:t>) i bila je gradusa 1 (između &lt; LLN i 1500 ćelija/mm</w:t>
      </w:r>
      <w:r w:rsidRPr="002A6AB6">
        <w:rPr>
          <w:sz w:val="22"/>
          <w:szCs w:val="22"/>
          <w:vertAlign w:val="superscript"/>
          <w:lang w:val="sr-Latn-ME" w:eastAsia="ja-JP"/>
        </w:rPr>
        <w:t>3</w:t>
      </w:r>
      <w:r w:rsidRPr="002A6AB6">
        <w:rPr>
          <w:sz w:val="22"/>
          <w:szCs w:val="22"/>
          <w:lang w:val="sr-Latn-ME" w:eastAsia="ja-JP"/>
        </w:rPr>
        <w:t xml:space="preserve">) i gradusa 2 </w:t>
      </w:r>
      <w:r w:rsidRPr="002A6AB6">
        <w:rPr>
          <w:sz w:val="22"/>
          <w:szCs w:val="22"/>
          <w:lang w:val="sr-Latn-ME" w:eastAsia="ja-JP"/>
        </w:rPr>
        <w:lastRenderedPageBreak/>
        <w:t>(između 1000 i 1500 ćelija/mm</w:t>
      </w:r>
      <w:r w:rsidRPr="002A6AB6">
        <w:rPr>
          <w:sz w:val="22"/>
          <w:szCs w:val="22"/>
          <w:vertAlign w:val="superscript"/>
          <w:lang w:val="sr-Latn-ME" w:eastAsia="ja-JP"/>
        </w:rPr>
        <w:t>3</w:t>
      </w:r>
      <w:r w:rsidRPr="002A6AB6">
        <w:rPr>
          <w:sz w:val="22"/>
          <w:szCs w:val="22"/>
          <w:lang w:val="sr-Latn-ME" w:eastAsia="ja-JP"/>
        </w:rPr>
        <w:t xml:space="preserve">). Sveukupno, </w:t>
      </w:r>
      <w:proofErr w:type="spellStart"/>
      <w:r w:rsidRPr="002A6AB6">
        <w:rPr>
          <w:sz w:val="22"/>
          <w:szCs w:val="22"/>
          <w:lang w:val="sr-Latn-ME" w:eastAsia="ja-JP"/>
        </w:rPr>
        <w:t>neutropenija</w:t>
      </w:r>
      <w:proofErr w:type="spellEnd"/>
      <w:r w:rsidRPr="002A6AB6">
        <w:rPr>
          <w:sz w:val="22"/>
          <w:szCs w:val="22"/>
          <w:lang w:val="sr-Latn-ME" w:eastAsia="ja-JP"/>
        </w:rPr>
        <w:t xml:space="preserve"> gradusa 3 ili 4 javila se kod približno 1% pacijenata u grupi liječenoj </w:t>
      </w:r>
      <w:proofErr w:type="spellStart"/>
      <w:r w:rsidRPr="002A6AB6">
        <w:rPr>
          <w:sz w:val="22"/>
          <w:szCs w:val="22"/>
          <w:lang w:val="sr-Latn-ME" w:eastAsia="ja-JP"/>
        </w:rPr>
        <w:t>intravenskim</w:t>
      </w:r>
      <w:proofErr w:type="spellEnd"/>
      <w:r w:rsidRPr="002A6AB6">
        <w:rPr>
          <w:sz w:val="22"/>
          <w:szCs w:val="22"/>
          <w:lang w:val="sr-Latn-ME" w:eastAsia="ja-JP"/>
        </w:rPr>
        <w:t xml:space="preserve"> </w:t>
      </w:r>
      <w:proofErr w:type="spellStart"/>
      <w:r w:rsidRPr="002A6AB6">
        <w:rPr>
          <w:sz w:val="22"/>
          <w:szCs w:val="22"/>
          <w:lang w:val="sr-Latn-ME" w:eastAsia="ja-JP"/>
        </w:rPr>
        <w:t>okrelizumabom</w:t>
      </w:r>
      <w:proofErr w:type="spellEnd"/>
      <w:r w:rsidRPr="002A6AB6">
        <w:rPr>
          <w:sz w:val="22"/>
          <w:szCs w:val="22"/>
          <w:lang w:val="sr-Latn-ME" w:eastAsia="ja-JP"/>
        </w:rPr>
        <w:t xml:space="preserve">. Jedan pacijent sa </w:t>
      </w:r>
      <w:proofErr w:type="spellStart"/>
      <w:r w:rsidRPr="002A6AB6">
        <w:rPr>
          <w:sz w:val="22"/>
          <w:szCs w:val="22"/>
          <w:lang w:val="sr-Latn-ME" w:eastAsia="ja-JP"/>
        </w:rPr>
        <w:t>neutropenijom</w:t>
      </w:r>
      <w:proofErr w:type="spellEnd"/>
      <w:r w:rsidRPr="002A6AB6">
        <w:rPr>
          <w:sz w:val="22"/>
          <w:szCs w:val="22"/>
          <w:lang w:val="sr-Latn-ME" w:eastAsia="ja-JP"/>
        </w:rPr>
        <w:t xml:space="preserve"> gradusa 3 (između 500 i 1000 ćelija/mm</w:t>
      </w:r>
      <w:r w:rsidRPr="002A6AB6">
        <w:rPr>
          <w:sz w:val="22"/>
          <w:szCs w:val="22"/>
          <w:vertAlign w:val="superscript"/>
          <w:lang w:val="sr-Latn-ME" w:eastAsia="ja-JP"/>
        </w:rPr>
        <w:t>3</w:t>
      </w:r>
      <w:r w:rsidRPr="002A6AB6">
        <w:rPr>
          <w:sz w:val="22"/>
          <w:szCs w:val="22"/>
          <w:lang w:val="sr-Latn-ME" w:eastAsia="ja-JP"/>
        </w:rPr>
        <w:t xml:space="preserve">) i jedan pacijent sa </w:t>
      </w:r>
      <w:proofErr w:type="spellStart"/>
      <w:r w:rsidRPr="002A6AB6">
        <w:rPr>
          <w:sz w:val="22"/>
          <w:szCs w:val="22"/>
          <w:lang w:val="sr-Latn-ME" w:eastAsia="ja-JP"/>
        </w:rPr>
        <w:t>neutropenijom</w:t>
      </w:r>
      <w:proofErr w:type="spellEnd"/>
      <w:r w:rsidRPr="002A6AB6">
        <w:rPr>
          <w:sz w:val="22"/>
          <w:szCs w:val="22"/>
          <w:lang w:val="sr-Latn-ME" w:eastAsia="ja-JP"/>
        </w:rPr>
        <w:t xml:space="preserve"> gradusa 4 (manje od 500 ćelija/mm</w:t>
      </w:r>
      <w:r w:rsidRPr="002A6AB6">
        <w:rPr>
          <w:sz w:val="22"/>
          <w:szCs w:val="22"/>
          <w:vertAlign w:val="superscript"/>
          <w:lang w:val="sr-Latn-ME" w:eastAsia="ja-JP"/>
        </w:rPr>
        <w:t>3</w:t>
      </w:r>
      <w:r w:rsidRPr="002A6AB6">
        <w:rPr>
          <w:sz w:val="22"/>
          <w:szCs w:val="22"/>
          <w:lang w:val="sr-Latn-ME" w:eastAsia="ja-JP"/>
        </w:rPr>
        <w:t xml:space="preserve">) morali su da primaju specifičnu terapiju </w:t>
      </w:r>
      <w:proofErr w:type="spellStart"/>
      <w:r w:rsidRPr="002A6AB6">
        <w:rPr>
          <w:sz w:val="22"/>
          <w:szCs w:val="22"/>
          <w:lang w:val="sr-Latn-ME" w:eastAsia="ja-JP"/>
        </w:rPr>
        <w:t>stimulišućim</w:t>
      </w:r>
      <w:proofErr w:type="spellEnd"/>
      <w:r w:rsidRPr="002A6AB6">
        <w:rPr>
          <w:sz w:val="22"/>
          <w:szCs w:val="22"/>
          <w:lang w:val="sr-Latn-ME" w:eastAsia="ja-JP"/>
        </w:rPr>
        <w:t xml:space="preserve"> faktorom </w:t>
      </w:r>
      <w:proofErr w:type="spellStart"/>
      <w:r w:rsidRPr="002A6AB6">
        <w:rPr>
          <w:sz w:val="22"/>
          <w:szCs w:val="22"/>
          <w:lang w:val="sr-Latn-ME" w:eastAsia="ja-JP"/>
        </w:rPr>
        <w:t>granulocitne</w:t>
      </w:r>
      <w:proofErr w:type="spellEnd"/>
      <w:r w:rsidRPr="002A6AB6">
        <w:rPr>
          <w:sz w:val="22"/>
          <w:szCs w:val="22"/>
          <w:lang w:val="sr-Latn-ME" w:eastAsia="ja-JP"/>
        </w:rPr>
        <w:t xml:space="preserve"> loze, a nakon epizode nastavili su da primaju </w:t>
      </w:r>
      <w:proofErr w:type="spellStart"/>
      <w:r w:rsidRPr="002A6AB6">
        <w:rPr>
          <w:sz w:val="22"/>
          <w:szCs w:val="22"/>
          <w:lang w:val="sr-Latn-ME" w:eastAsia="ja-JP"/>
        </w:rPr>
        <w:t>okrelizumab</w:t>
      </w:r>
      <w:proofErr w:type="spellEnd"/>
      <w:r w:rsidRPr="002A6AB6">
        <w:rPr>
          <w:sz w:val="22"/>
          <w:szCs w:val="22"/>
          <w:lang w:val="sr-Latn-ME" w:eastAsia="ja-JP"/>
        </w:rPr>
        <w:t xml:space="preserve">. </w:t>
      </w:r>
      <w:proofErr w:type="spellStart"/>
      <w:r w:rsidRPr="002A6AB6">
        <w:rPr>
          <w:color w:val="000000"/>
          <w:sz w:val="22"/>
          <w:szCs w:val="22"/>
          <w:lang w:val="sr-Latn-ME" w:eastAsia="ja-JP"/>
        </w:rPr>
        <w:t>Neutropenija</w:t>
      </w:r>
      <w:proofErr w:type="spellEnd"/>
      <w:r w:rsidRPr="002A6AB6">
        <w:rPr>
          <w:color w:val="000000"/>
          <w:sz w:val="22"/>
          <w:szCs w:val="22"/>
          <w:lang w:val="sr-Latn-ME" w:eastAsia="ja-JP"/>
        </w:rPr>
        <w:t xml:space="preserve"> se može javiti nekoliko mjeseci nakon primjene </w:t>
      </w:r>
      <w:proofErr w:type="spellStart"/>
      <w:r w:rsidRPr="002A6AB6">
        <w:rPr>
          <w:color w:val="000000"/>
          <w:sz w:val="22"/>
          <w:szCs w:val="22"/>
          <w:lang w:val="sr-Latn-ME" w:eastAsia="ja-JP"/>
        </w:rPr>
        <w:t>okrelizumaba</w:t>
      </w:r>
      <w:proofErr w:type="spellEnd"/>
      <w:r w:rsidRPr="002A6AB6">
        <w:rPr>
          <w:color w:val="000000"/>
          <w:sz w:val="22"/>
          <w:szCs w:val="22"/>
          <w:lang w:val="sr-Latn-ME" w:eastAsia="ja-JP"/>
        </w:rPr>
        <w:t xml:space="preserve"> (vidjeti </w:t>
      </w:r>
      <w:r w:rsidR="00ED0D01" w:rsidRPr="002A6AB6">
        <w:rPr>
          <w:color w:val="000000"/>
          <w:sz w:val="22"/>
          <w:szCs w:val="22"/>
          <w:lang w:val="sr-Latn-ME" w:eastAsia="ja-JP"/>
        </w:rPr>
        <w:t xml:space="preserve">dio </w:t>
      </w:r>
      <w:r w:rsidRPr="002A6AB6">
        <w:rPr>
          <w:color w:val="000000"/>
          <w:sz w:val="22"/>
          <w:szCs w:val="22"/>
          <w:lang w:val="sr-Latn-ME" w:eastAsia="ja-JP"/>
        </w:rPr>
        <w:t>4.4).</w:t>
      </w:r>
      <w:r w:rsidRPr="002A6AB6">
        <w:rPr>
          <w:sz w:val="22"/>
          <w:szCs w:val="22"/>
          <w:lang w:val="sr-Latn-ME" w:eastAsia="ja-JP"/>
        </w:rPr>
        <w:t xml:space="preserve"> </w:t>
      </w:r>
    </w:p>
    <w:p w14:paraId="2E17AD6D" w14:textId="77777777" w:rsidR="00466B8B" w:rsidRPr="002A6AB6" w:rsidRDefault="00466B8B" w:rsidP="00587700">
      <w:pPr>
        <w:jc w:val="both"/>
        <w:rPr>
          <w:i/>
          <w:sz w:val="22"/>
          <w:szCs w:val="22"/>
          <w:lang w:val="sr-Latn-ME" w:eastAsia="ja-JP"/>
        </w:rPr>
      </w:pPr>
    </w:p>
    <w:bookmarkEnd w:id="5"/>
    <w:p w14:paraId="5D64F567" w14:textId="77777777" w:rsidR="00466B8B" w:rsidRPr="002A6AB6" w:rsidRDefault="00466B8B" w:rsidP="00587700">
      <w:pPr>
        <w:jc w:val="both"/>
        <w:rPr>
          <w:i/>
          <w:sz w:val="22"/>
          <w:szCs w:val="22"/>
          <w:lang w:val="sr-Latn-ME" w:eastAsia="ja-JP"/>
        </w:rPr>
      </w:pPr>
      <w:r w:rsidRPr="002A6AB6">
        <w:rPr>
          <w:i/>
          <w:iCs/>
          <w:sz w:val="22"/>
          <w:szCs w:val="22"/>
          <w:lang w:val="sr-Latn-ME" w:eastAsia="ja-JP"/>
        </w:rPr>
        <w:t>Ostalo</w:t>
      </w:r>
    </w:p>
    <w:p w14:paraId="5315CC95" w14:textId="77777777" w:rsidR="00466B8B" w:rsidRPr="002A6AB6" w:rsidRDefault="00466B8B" w:rsidP="00587700">
      <w:pPr>
        <w:tabs>
          <w:tab w:val="left" w:pos="567"/>
        </w:tabs>
        <w:jc w:val="both"/>
        <w:rPr>
          <w:sz w:val="22"/>
          <w:szCs w:val="22"/>
          <w:lang w:val="sr-Latn-ME"/>
        </w:rPr>
      </w:pPr>
      <w:r w:rsidRPr="002A6AB6">
        <w:rPr>
          <w:sz w:val="22"/>
          <w:szCs w:val="22"/>
          <w:lang w:val="sr-Latn-ME"/>
        </w:rPr>
        <w:t xml:space="preserve">Jedan pacijent koji je primio 2000 mg </w:t>
      </w:r>
      <w:proofErr w:type="spellStart"/>
      <w:r w:rsidRPr="002A6AB6">
        <w:rPr>
          <w:sz w:val="22"/>
          <w:szCs w:val="22"/>
          <w:lang w:val="sr-Latn-ME"/>
        </w:rPr>
        <w:t>intravenskog</w:t>
      </w:r>
      <w:proofErr w:type="spellEnd"/>
      <w:r w:rsidRPr="002A6AB6">
        <w:rPr>
          <w:sz w:val="22"/>
          <w:szCs w:val="22"/>
          <w:lang w:val="sr-Latn-ME"/>
        </w:rPr>
        <w:t xml:space="preserve"> </w:t>
      </w:r>
      <w:proofErr w:type="spellStart"/>
      <w:r w:rsidRPr="002A6AB6">
        <w:rPr>
          <w:sz w:val="22"/>
          <w:szCs w:val="22"/>
          <w:lang w:val="sr-Latn-ME"/>
        </w:rPr>
        <w:t>okrelizumaba</w:t>
      </w:r>
      <w:proofErr w:type="spellEnd"/>
      <w:r w:rsidRPr="002A6AB6">
        <w:rPr>
          <w:sz w:val="22"/>
          <w:szCs w:val="22"/>
          <w:lang w:val="sr-Latn-ME"/>
        </w:rPr>
        <w:t xml:space="preserve"> preminuo je </w:t>
      </w:r>
      <w:proofErr w:type="spellStart"/>
      <w:r w:rsidRPr="002A6AB6">
        <w:rPr>
          <w:sz w:val="22"/>
          <w:szCs w:val="22"/>
          <w:lang w:val="sr-Latn-ME"/>
        </w:rPr>
        <w:t>usl</w:t>
      </w:r>
      <w:r w:rsidR="00550472" w:rsidRPr="002A6AB6">
        <w:rPr>
          <w:sz w:val="22"/>
          <w:szCs w:val="22"/>
          <w:lang w:val="sr-Latn-ME"/>
        </w:rPr>
        <w:t>j</w:t>
      </w:r>
      <w:r w:rsidRPr="002A6AB6">
        <w:rPr>
          <w:sz w:val="22"/>
          <w:szCs w:val="22"/>
          <w:lang w:val="sr-Latn-ME"/>
        </w:rPr>
        <w:t>ed</w:t>
      </w:r>
      <w:proofErr w:type="spellEnd"/>
      <w:r w:rsidRPr="002A6AB6">
        <w:rPr>
          <w:sz w:val="22"/>
          <w:szCs w:val="22"/>
          <w:lang w:val="sr-Latn-ME"/>
        </w:rPr>
        <w:t xml:space="preserve"> sindroma sistemskog </w:t>
      </w:r>
      <w:proofErr w:type="spellStart"/>
      <w:r w:rsidRPr="002A6AB6">
        <w:rPr>
          <w:sz w:val="22"/>
          <w:szCs w:val="22"/>
          <w:lang w:val="sr-Latn-ME"/>
        </w:rPr>
        <w:t>inflamatornog</w:t>
      </w:r>
      <w:proofErr w:type="spellEnd"/>
      <w:r w:rsidRPr="002A6AB6">
        <w:rPr>
          <w:sz w:val="22"/>
          <w:szCs w:val="22"/>
          <w:lang w:val="sr-Latn-ME"/>
        </w:rPr>
        <w:t xml:space="preserve"> odgovora (engl. </w:t>
      </w:r>
      <w:proofErr w:type="spellStart"/>
      <w:r w:rsidRPr="002A6AB6">
        <w:rPr>
          <w:i/>
          <w:iCs/>
          <w:sz w:val="22"/>
          <w:szCs w:val="22"/>
          <w:lang w:val="sr-Latn-ME"/>
        </w:rPr>
        <w:t>systemic</w:t>
      </w:r>
      <w:proofErr w:type="spellEnd"/>
      <w:r w:rsidRPr="002A6AB6">
        <w:rPr>
          <w:i/>
          <w:iCs/>
          <w:sz w:val="22"/>
          <w:szCs w:val="22"/>
          <w:lang w:val="sr-Latn-ME"/>
        </w:rPr>
        <w:t xml:space="preserve"> </w:t>
      </w:r>
      <w:proofErr w:type="spellStart"/>
      <w:r w:rsidRPr="002A6AB6">
        <w:rPr>
          <w:i/>
          <w:iCs/>
          <w:sz w:val="22"/>
          <w:szCs w:val="22"/>
          <w:lang w:val="sr-Latn-ME"/>
        </w:rPr>
        <w:t>inflamatory</w:t>
      </w:r>
      <w:proofErr w:type="spellEnd"/>
      <w:r w:rsidRPr="002A6AB6">
        <w:rPr>
          <w:i/>
          <w:iCs/>
          <w:sz w:val="22"/>
          <w:szCs w:val="22"/>
          <w:lang w:val="sr-Latn-ME"/>
        </w:rPr>
        <w:t xml:space="preserve"> </w:t>
      </w:r>
      <w:proofErr w:type="spellStart"/>
      <w:r w:rsidRPr="002A6AB6">
        <w:rPr>
          <w:i/>
          <w:iCs/>
          <w:sz w:val="22"/>
          <w:szCs w:val="22"/>
          <w:lang w:val="sr-Latn-ME"/>
        </w:rPr>
        <w:t>response</w:t>
      </w:r>
      <w:proofErr w:type="spellEnd"/>
      <w:r w:rsidRPr="002A6AB6">
        <w:rPr>
          <w:i/>
          <w:iCs/>
          <w:sz w:val="22"/>
          <w:szCs w:val="22"/>
          <w:lang w:val="sr-Latn-ME"/>
        </w:rPr>
        <w:t xml:space="preserve"> </w:t>
      </w:r>
      <w:proofErr w:type="spellStart"/>
      <w:r w:rsidRPr="002A6AB6">
        <w:rPr>
          <w:i/>
          <w:iCs/>
          <w:sz w:val="22"/>
          <w:szCs w:val="22"/>
          <w:lang w:val="sr-Latn-ME"/>
        </w:rPr>
        <w:t>syndrome</w:t>
      </w:r>
      <w:proofErr w:type="spellEnd"/>
      <w:r w:rsidRPr="002A6AB6">
        <w:rPr>
          <w:sz w:val="22"/>
          <w:szCs w:val="22"/>
          <w:lang w:val="sr-Latn-ME"/>
        </w:rPr>
        <w:t xml:space="preserve">, SIRS) nepoznate etiologije, posle pregleda magnetnom rezonancom (MR) 12 nedjelja nakon posljednje infuzije; </w:t>
      </w:r>
      <w:proofErr w:type="spellStart"/>
      <w:r w:rsidRPr="002A6AB6">
        <w:rPr>
          <w:sz w:val="22"/>
          <w:szCs w:val="22"/>
          <w:lang w:val="sr-Latn-ME"/>
        </w:rPr>
        <w:t>anafilaktoidna</w:t>
      </w:r>
      <w:proofErr w:type="spellEnd"/>
      <w:r w:rsidRPr="002A6AB6">
        <w:rPr>
          <w:sz w:val="22"/>
          <w:szCs w:val="22"/>
          <w:lang w:val="sr-Latn-ME"/>
        </w:rPr>
        <w:t xml:space="preserve"> reakcija na gadolinijum upotr</w:t>
      </w:r>
      <w:r w:rsidR="00550472" w:rsidRPr="002A6AB6">
        <w:rPr>
          <w:sz w:val="22"/>
          <w:szCs w:val="22"/>
          <w:lang w:val="sr-Latn-ME"/>
        </w:rPr>
        <w:t>ij</w:t>
      </w:r>
      <w:r w:rsidRPr="002A6AB6">
        <w:rPr>
          <w:sz w:val="22"/>
          <w:szCs w:val="22"/>
          <w:lang w:val="sr-Latn-ME"/>
        </w:rPr>
        <w:t>ebljen kao kontrastno sredstvo za magnetnu rezonancu možda je doprin</w:t>
      </w:r>
      <w:r w:rsidR="00550472" w:rsidRPr="002A6AB6">
        <w:rPr>
          <w:sz w:val="22"/>
          <w:szCs w:val="22"/>
          <w:lang w:val="sr-Latn-ME"/>
        </w:rPr>
        <w:t>ij</w:t>
      </w:r>
      <w:r w:rsidRPr="002A6AB6">
        <w:rPr>
          <w:sz w:val="22"/>
          <w:szCs w:val="22"/>
          <w:lang w:val="sr-Latn-ME"/>
        </w:rPr>
        <w:t xml:space="preserve">ela sindromu sistemskog </w:t>
      </w:r>
      <w:proofErr w:type="spellStart"/>
      <w:r w:rsidRPr="002A6AB6">
        <w:rPr>
          <w:sz w:val="22"/>
          <w:szCs w:val="22"/>
          <w:lang w:val="sr-Latn-ME"/>
        </w:rPr>
        <w:t>inflamatornog</w:t>
      </w:r>
      <w:proofErr w:type="spellEnd"/>
      <w:r w:rsidRPr="002A6AB6">
        <w:rPr>
          <w:sz w:val="22"/>
          <w:szCs w:val="22"/>
          <w:lang w:val="sr-Latn-ME"/>
        </w:rPr>
        <w:t xml:space="preserve"> odgovora.</w:t>
      </w:r>
    </w:p>
    <w:p w14:paraId="0656524A" w14:textId="77777777" w:rsidR="00466B8B" w:rsidRPr="002A6AB6" w:rsidRDefault="00466B8B" w:rsidP="00587700">
      <w:pPr>
        <w:tabs>
          <w:tab w:val="left" w:pos="540"/>
          <w:tab w:val="left" w:pos="569"/>
        </w:tabs>
        <w:jc w:val="both"/>
        <w:rPr>
          <w:b/>
          <w:bCs/>
          <w:sz w:val="22"/>
          <w:szCs w:val="22"/>
          <w:lang w:val="sr-Latn-ME"/>
        </w:rPr>
      </w:pPr>
    </w:p>
    <w:p w14:paraId="389F9269" w14:textId="77777777" w:rsidR="005A23D2" w:rsidRPr="002A6AB6" w:rsidRDefault="005A23D2" w:rsidP="00587700">
      <w:pPr>
        <w:jc w:val="both"/>
        <w:rPr>
          <w:rFonts w:eastAsia="Calibri"/>
          <w:sz w:val="22"/>
          <w:szCs w:val="22"/>
          <w:u w:val="single"/>
          <w:lang w:val="sr-Latn-ME"/>
        </w:rPr>
      </w:pPr>
      <w:r w:rsidRPr="002A6AB6">
        <w:rPr>
          <w:rFonts w:eastAsia="Calibri"/>
          <w:sz w:val="22"/>
          <w:szCs w:val="22"/>
          <w:u w:val="single"/>
          <w:lang w:val="sr-Latn-ME"/>
        </w:rPr>
        <w:t>Prijavljivanje sumnji na neželjena dejstva</w:t>
      </w:r>
    </w:p>
    <w:p w14:paraId="5CC0A274" w14:textId="77777777" w:rsidR="005A23D2" w:rsidRPr="002A6AB6" w:rsidRDefault="005A23D2" w:rsidP="00587700">
      <w:pPr>
        <w:jc w:val="both"/>
        <w:rPr>
          <w:rFonts w:eastAsia="Calibri"/>
          <w:sz w:val="22"/>
          <w:szCs w:val="22"/>
          <w:lang w:val="sr-Latn-ME"/>
        </w:rPr>
      </w:pPr>
      <w:r w:rsidRPr="002A6AB6">
        <w:rPr>
          <w:rFonts w:eastAsia="Calibri"/>
          <w:sz w:val="22"/>
          <w:szCs w:val="22"/>
          <w:lang w:val="sr-Latn-ME"/>
        </w:rPr>
        <w:t>Prijavljivanje neželjenih dejstava nakon dobijanja dozvole je od velikog značaja jer obezbjeđuje kont</w:t>
      </w:r>
      <w:r w:rsidR="00EA5765" w:rsidRPr="002A6AB6">
        <w:rPr>
          <w:rFonts w:eastAsia="Calibri"/>
          <w:sz w:val="22"/>
          <w:szCs w:val="22"/>
          <w:lang w:val="sr-Latn-ME"/>
        </w:rPr>
        <w:t>inuirano praćenje odnosa korist</w:t>
      </w:r>
      <w:r w:rsidRPr="002A6AB6">
        <w:rPr>
          <w:rFonts w:eastAsia="Calibri"/>
          <w:sz w:val="22"/>
          <w:szCs w:val="22"/>
          <w:lang w:val="sr-Latn-ME"/>
        </w:rPr>
        <w:t>/rizik primjene lijeka. Zdravstveni radnici treba da prijave svaku sumnju na neželjeno</w:t>
      </w:r>
      <w:r w:rsidR="009B062A" w:rsidRPr="002A6AB6">
        <w:rPr>
          <w:rFonts w:eastAsia="Calibri"/>
          <w:sz w:val="22"/>
          <w:szCs w:val="22"/>
          <w:lang w:val="sr-Latn-ME"/>
        </w:rPr>
        <w:t xml:space="preserve"> </w:t>
      </w:r>
      <w:r w:rsidRPr="002A6AB6">
        <w:rPr>
          <w:rFonts w:eastAsia="Calibri"/>
          <w:sz w:val="22"/>
          <w:szCs w:val="22"/>
          <w:lang w:val="sr-Latn-ME"/>
        </w:rPr>
        <w:t xml:space="preserve">dejstvo ovog lijeka </w:t>
      </w:r>
      <w:r w:rsidR="004E70AD" w:rsidRPr="002A6AB6">
        <w:rPr>
          <w:rFonts w:eastAsia="Calibri"/>
          <w:sz w:val="22"/>
          <w:szCs w:val="22"/>
          <w:lang w:val="sr-Latn-ME"/>
        </w:rPr>
        <w:t>Institutu</w:t>
      </w:r>
      <w:r w:rsidRPr="002A6AB6">
        <w:rPr>
          <w:rFonts w:eastAsia="Calibri"/>
          <w:sz w:val="22"/>
          <w:szCs w:val="22"/>
          <w:lang w:val="sr-Latn-ME"/>
        </w:rPr>
        <w:t xml:space="preserve"> za ljekove i medicinska sredstva</w:t>
      </w:r>
      <w:r w:rsidR="004E70AD" w:rsidRPr="002A6AB6">
        <w:rPr>
          <w:rFonts w:eastAsia="Calibri"/>
          <w:sz w:val="22"/>
          <w:szCs w:val="22"/>
          <w:lang w:val="sr-Latn-ME"/>
        </w:rPr>
        <w:t xml:space="preserve"> </w:t>
      </w:r>
      <w:r w:rsidRPr="002A6AB6">
        <w:rPr>
          <w:rFonts w:eastAsia="Calibri"/>
          <w:sz w:val="22"/>
          <w:szCs w:val="22"/>
          <w:lang w:val="sr-Latn-ME"/>
        </w:rPr>
        <w:t>(</w:t>
      </w:r>
      <w:r w:rsidR="004E70AD" w:rsidRPr="002A6AB6">
        <w:rPr>
          <w:rFonts w:eastAsia="Calibri"/>
          <w:sz w:val="22"/>
          <w:szCs w:val="22"/>
          <w:lang w:val="sr-Latn-ME"/>
        </w:rPr>
        <w:t>CInMED</w:t>
      </w:r>
      <w:r w:rsidRPr="002A6AB6">
        <w:rPr>
          <w:rFonts w:eastAsia="Calibri"/>
          <w:sz w:val="22"/>
          <w:szCs w:val="22"/>
          <w:lang w:val="sr-Latn-ME"/>
        </w:rPr>
        <w:t>):</w:t>
      </w:r>
    </w:p>
    <w:p w14:paraId="652533F3" w14:textId="77777777" w:rsidR="00550472" w:rsidRPr="002A6AB6" w:rsidRDefault="00550472" w:rsidP="00587700">
      <w:pPr>
        <w:jc w:val="both"/>
        <w:rPr>
          <w:rFonts w:eastAsia="Calibri"/>
          <w:sz w:val="22"/>
          <w:szCs w:val="22"/>
          <w:lang w:val="sr-Latn-ME"/>
        </w:rPr>
      </w:pPr>
    </w:p>
    <w:p w14:paraId="5F46DC20" w14:textId="77777777" w:rsidR="005A23D2" w:rsidRPr="002A6AB6" w:rsidRDefault="004E70AD" w:rsidP="00587700">
      <w:pPr>
        <w:pStyle w:val="NoSpacing"/>
        <w:jc w:val="both"/>
        <w:rPr>
          <w:rFonts w:eastAsia="Calibri"/>
          <w:sz w:val="22"/>
          <w:szCs w:val="22"/>
          <w:lang w:val="sr-Latn-ME"/>
        </w:rPr>
      </w:pPr>
      <w:r w:rsidRPr="002A6AB6">
        <w:rPr>
          <w:rFonts w:eastAsia="Calibri"/>
          <w:sz w:val="22"/>
          <w:szCs w:val="22"/>
          <w:lang w:val="sr-Latn-ME"/>
        </w:rPr>
        <w:t xml:space="preserve">Institut </w:t>
      </w:r>
      <w:r w:rsidR="005A23D2" w:rsidRPr="002A6AB6">
        <w:rPr>
          <w:rFonts w:eastAsia="Calibri"/>
          <w:sz w:val="22"/>
          <w:szCs w:val="22"/>
          <w:lang w:val="sr-Latn-ME"/>
        </w:rPr>
        <w:t xml:space="preserve">za ljekove i medicinska sredstva </w:t>
      </w:r>
    </w:p>
    <w:p w14:paraId="3C779237" w14:textId="77777777" w:rsidR="005A23D2" w:rsidRPr="002A6AB6" w:rsidRDefault="005A23D2" w:rsidP="00587700">
      <w:pPr>
        <w:pStyle w:val="NoSpacing"/>
        <w:jc w:val="both"/>
        <w:rPr>
          <w:rFonts w:eastAsia="Calibri"/>
          <w:sz w:val="22"/>
          <w:szCs w:val="22"/>
          <w:lang w:val="sr-Latn-ME"/>
        </w:rPr>
      </w:pPr>
      <w:r w:rsidRPr="002A6AB6">
        <w:rPr>
          <w:rFonts w:eastAsia="Calibri"/>
          <w:sz w:val="22"/>
          <w:szCs w:val="22"/>
          <w:lang w:val="sr-Latn-ME"/>
        </w:rPr>
        <w:t xml:space="preserve">Odjeljenje za </w:t>
      </w:r>
      <w:proofErr w:type="spellStart"/>
      <w:r w:rsidRPr="002A6AB6">
        <w:rPr>
          <w:rFonts w:eastAsia="Calibri"/>
          <w:sz w:val="22"/>
          <w:szCs w:val="22"/>
          <w:lang w:val="sr-Latn-ME"/>
        </w:rPr>
        <w:t>farmakovigilancu</w:t>
      </w:r>
      <w:proofErr w:type="spellEnd"/>
    </w:p>
    <w:p w14:paraId="5231129C" w14:textId="77777777" w:rsidR="00EA5765" w:rsidRPr="002A6AB6" w:rsidRDefault="005A23D2" w:rsidP="00587700">
      <w:pPr>
        <w:pStyle w:val="NoSpacing"/>
        <w:jc w:val="both"/>
        <w:rPr>
          <w:rFonts w:eastAsia="Calibri"/>
          <w:sz w:val="22"/>
          <w:szCs w:val="22"/>
          <w:lang w:val="sr-Latn-ME"/>
        </w:rPr>
      </w:pPr>
      <w:r w:rsidRPr="002A6AB6">
        <w:rPr>
          <w:rFonts w:eastAsia="Calibri"/>
          <w:sz w:val="22"/>
          <w:szCs w:val="22"/>
          <w:lang w:val="sr-Latn-ME"/>
        </w:rPr>
        <w:t>Bulevar Ivana Crnojevića 64a, 81000 Podgorica</w:t>
      </w:r>
    </w:p>
    <w:p w14:paraId="3FA3C137" w14:textId="77777777" w:rsidR="00EA5765" w:rsidRPr="002A6AB6" w:rsidRDefault="00EA5765" w:rsidP="00587700">
      <w:pPr>
        <w:pStyle w:val="NoSpacing"/>
        <w:jc w:val="both"/>
        <w:rPr>
          <w:rFonts w:eastAsia="Calibri"/>
          <w:sz w:val="22"/>
          <w:szCs w:val="22"/>
          <w:lang w:val="sr-Latn-ME"/>
        </w:rPr>
      </w:pPr>
    </w:p>
    <w:p w14:paraId="08382CF5" w14:textId="77777777" w:rsidR="005A23D2" w:rsidRPr="002A6AB6" w:rsidRDefault="005A23D2" w:rsidP="00587700">
      <w:pPr>
        <w:pStyle w:val="NoSpacing"/>
        <w:jc w:val="both"/>
        <w:rPr>
          <w:rFonts w:eastAsia="Calibri"/>
          <w:sz w:val="22"/>
          <w:szCs w:val="22"/>
          <w:lang w:val="sr-Latn-ME"/>
        </w:rPr>
      </w:pPr>
      <w:r w:rsidRPr="002A6AB6">
        <w:rPr>
          <w:rFonts w:eastAsia="Calibri"/>
          <w:sz w:val="22"/>
          <w:szCs w:val="22"/>
          <w:lang w:val="sr-Latn-ME"/>
        </w:rPr>
        <w:t>tel: +382 (0) 20 310 280</w:t>
      </w:r>
    </w:p>
    <w:p w14:paraId="6E215B8A" w14:textId="77777777" w:rsidR="00EA5765" w:rsidRPr="002A6AB6" w:rsidRDefault="005A23D2" w:rsidP="00587700">
      <w:pPr>
        <w:pStyle w:val="NoSpacing"/>
        <w:tabs>
          <w:tab w:val="left" w:pos="6720"/>
        </w:tabs>
        <w:jc w:val="both"/>
        <w:rPr>
          <w:rFonts w:eastAsia="Calibri"/>
          <w:sz w:val="22"/>
          <w:szCs w:val="22"/>
          <w:lang w:val="sr-Latn-ME"/>
        </w:rPr>
      </w:pPr>
      <w:proofErr w:type="spellStart"/>
      <w:r w:rsidRPr="002A6AB6">
        <w:rPr>
          <w:rFonts w:eastAsia="Calibri"/>
          <w:sz w:val="22"/>
          <w:szCs w:val="22"/>
          <w:lang w:val="sr-Latn-ME"/>
        </w:rPr>
        <w:t>fax</w:t>
      </w:r>
      <w:proofErr w:type="spellEnd"/>
      <w:r w:rsidRPr="002A6AB6">
        <w:rPr>
          <w:rFonts w:eastAsia="Calibri"/>
          <w:sz w:val="22"/>
          <w:szCs w:val="22"/>
          <w:lang w:val="sr-Latn-ME"/>
        </w:rPr>
        <w:t>:</w:t>
      </w:r>
      <w:r w:rsidR="00EA5765" w:rsidRPr="002A6AB6">
        <w:rPr>
          <w:rFonts w:eastAsia="Calibri"/>
          <w:sz w:val="22"/>
          <w:szCs w:val="22"/>
          <w:lang w:val="sr-Latn-ME"/>
        </w:rPr>
        <w:t xml:space="preserve"> </w:t>
      </w:r>
      <w:r w:rsidRPr="002A6AB6">
        <w:rPr>
          <w:rFonts w:eastAsia="Calibri"/>
          <w:sz w:val="22"/>
          <w:szCs w:val="22"/>
          <w:lang w:val="sr-Latn-ME"/>
        </w:rPr>
        <w:t>+382 (0) 20 310 581</w:t>
      </w:r>
      <w:r w:rsidR="00FF3EDF" w:rsidRPr="002A6AB6">
        <w:rPr>
          <w:rFonts w:eastAsia="Calibri"/>
          <w:sz w:val="22"/>
          <w:szCs w:val="22"/>
          <w:lang w:val="sr-Latn-ME"/>
        </w:rPr>
        <w:tab/>
      </w:r>
    </w:p>
    <w:p w14:paraId="10C1A13D" w14:textId="77777777" w:rsidR="005A23D2" w:rsidRPr="002A6AB6" w:rsidRDefault="002A6AB6" w:rsidP="00587700">
      <w:pPr>
        <w:pStyle w:val="NoSpacing"/>
        <w:jc w:val="both"/>
        <w:rPr>
          <w:rFonts w:eastAsia="Calibri"/>
          <w:sz w:val="22"/>
          <w:szCs w:val="22"/>
          <w:lang w:val="sr-Latn-ME"/>
        </w:rPr>
      </w:pPr>
      <w:hyperlink r:id="rId8" w:history="1">
        <w:r w:rsidR="004E70AD" w:rsidRPr="002A6AB6">
          <w:rPr>
            <w:rStyle w:val="Hyperlink"/>
            <w:rFonts w:eastAsia="Calibri"/>
            <w:sz w:val="22"/>
            <w:szCs w:val="22"/>
            <w:lang w:val="sr-Latn-ME"/>
          </w:rPr>
          <w:t>www.cinmed.me</w:t>
        </w:r>
      </w:hyperlink>
    </w:p>
    <w:p w14:paraId="6F536E69" w14:textId="77777777" w:rsidR="00EA5765" w:rsidRPr="002A6AB6" w:rsidRDefault="002A6AB6" w:rsidP="00587700">
      <w:pPr>
        <w:pStyle w:val="NoSpacing"/>
        <w:jc w:val="both"/>
        <w:rPr>
          <w:rFonts w:eastAsia="Calibri"/>
          <w:color w:val="0000FF"/>
          <w:sz w:val="22"/>
          <w:szCs w:val="22"/>
          <w:u w:val="single"/>
          <w:lang w:val="sr-Latn-ME"/>
        </w:rPr>
      </w:pPr>
      <w:hyperlink r:id="rId9" w:history="1">
        <w:r w:rsidR="004E70AD" w:rsidRPr="002A6AB6">
          <w:rPr>
            <w:rStyle w:val="Hyperlink"/>
            <w:rFonts w:eastAsia="Calibri"/>
            <w:sz w:val="22"/>
            <w:szCs w:val="22"/>
            <w:lang w:val="sr-Latn-ME"/>
          </w:rPr>
          <w:t>nezeljenadejstva@cinmed.me</w:t>
        </w:r>
      </w:hyperlink>
    </w:p>
    <w:p w14:paraId="6EBF9665" w14:textId="77777777" w:rsidR="005A23D2" w:rsidRPr="002A6AB6" w:rsidRDefault="005A23D2" w:rsidP="00587700">
      <w:pPr>
        <w:pStyle w:val="NoSpacing"/>
        <w:jc w:val="both"/>
        <w:rPr>
          <w:rFonts w:eastAsia="Calibri"/>
          <w:sz w:val="22"/>
          <w:szCs w:val="22"/>
          <w:lang w:val="sr-Latn-ME"/>
        </w:rPr>
      </w:pPr>
      <w:r w:rsidRPr="002A6AB6">
        <w:rPr>
          <w:rFonts w:eastAsia="Calibri"/>
          <w:sz w:val="22"/>
          <w:szCs w:val="22"/>
          <w:lang w:val="sr-Latn-ME"/>
        </w:rPr>
        <w:t>putem IS zdravstvene zaštite</w:t>
      </w:r>
    </w:p>
    <w:p w14:paraId="46F9A264" w14:textId="77777777" w:rsidR="007E31E9" w:rsidRPr="002A6AB6" w:rsidRDefault="007E31E9" w:rsidP="00587700">
      <w:pPr>
        <w:pStyle w:val="NoSpacing"/>
        <w:jc w:val="both"/>
        <w:rPr>
          <w:rFonts w:eastAsia="Calibri"/>
          <w:sz w:val="22"/>
          <w:szCs w:val="22"/>
          <w:lang w:val="sr-Latn-ME"/>
        </w:rPr>
      </w:pPr>
      <w:r w:rsidRPr="002A6AB6">
        <w:rPr>
          <w:rFonts w:eastAsia="Calibri"/>
          <w:sz w:val="22"/>
          <w:szCs w:val="22"/>
          <w:lang w:val="sr-Latn-ME"/>
        </w:rPr>
        <w:t xml:space="preserve">QR kod za </w:t>
      </w:r>
      <w:proofErr w:type="spellStart"/>
      <w:r w:rsidRPr="002A6AB6">
        <w:rPr>
          <w:rFonts w:eastAsia="Calibri"/>
          <w:sz w:val="22"/>
          <w:szCs w:val="22"/>
          <w:lang w:val="sr-Latn-ME"/>
        </w:rPr>
        <w:t>online</w:t>
      </w:r>
      <w:proofErr w:type="spellEnd"/>
      <w:r w:rsidRPr="002A6AB6">
        <w:rPr>
          <w:rFonts w:eastAsia="Calibri"/>
          <w:sz w:val="22"/>
          <w:szCs w:val="22"/>
          <w:lang w:val="sr-Latn-ME"/>
        </w:rPr>
        <w:t xml:space="preserve"> prijavu</w:t>
      </w:r>
      <w:r w:rsidR="00D74CD2" w:rsidRPr="002A6AB6">
        <w:rPr>
          <w:rFonts w:eastAsia="Calibri"/>
          <w:sz w:val="22"/>
          <w:szCs w:val="22"/>
          <w:lang w:val="sr-Latn-ME"/>
        </w:rPr>
        <w:t xml:space="preserve"> sumnje na neželjeno dejstvo lijeka</w:t>
      </w:r>
      <w:r w:rsidRPr="002A6AB6">
        <w:rPr>
          <w:rFonts w:eastAsia="Calibri"/>
          <w:sz w:val="22"/>
          <w:szCs w:val="22"/>
          <w:lang w:val="sr-Latn-ME"/>
        </w:rPr>
        <w:t>:</w:t>
      </w:r>
    </w:p>
    <w:p w14:paraId="71D7C059" w14:textId="77777777" w:rsidR="004F17E2" w:rsidRPr="002A6AB6" w:rsidRDefault="004F17E2" w:rsidP="00587700">
      <w:pPr>
        <w:pStyle w:val="NoSpacing"/>
        <w:jc w:val="both"/>
        <w:rPr>
          <w:rFonts w:eastAsia="Calibri"/>
          <w:sz w:val="22"/>
          <w:szCs w:val="22"/>
          <w:lang w:val="sr-Latn-ME"/>
        </w:rPr>
      </w:pPr>
    </w:p>
    <w:p w14:paraId="7CFB175B" w14:textId="77777777" w:rsidR="00836B35" w:rsidRPr="002A6AB6" w:rsidRDefault="007F661E" w:rsidP="00587700">
      <w:pPr>
        <w:tabs>
          <w:tab w:val="left" w:pos="540"/>
          <w:tab w:val="left" w:pos="569"/>
        </w:tabs>
        <w:jc w:val="both"/>
        <w:rPr>
          <w:b/>
          <w:bCs/>
          <w:sz w:val="22"/>
          <w:szCs w:val="22"/>
          <w:lang w:val="sr-Latn-ME"/>
        </w:rPr>
      </w:pPr>
      <w:r w:rsidRPr="002A6AB6">
        <w:rPr>
          <w:b/>
          <w:bCs/>
          <w:sz w:val="22"/>
          <w:szCs w:val="22"/>
          <w:lang w:val="sr-Latn-ME"/>
        </w:rPr>
        <w:drawing>
          <wp:inline distT="0" distB="0" distL="0" distR="0" wp14:anchorId="30587C25" wp14:editId="538AD797">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7BBF62B" w14:textId="77777777" w:rsidR="007F661E" w:rsidRPr="002A6AB6" w:rsidRDefault="007F661E" w:rsidP="00587700">
      <w:pPr>
        <w:tabs>
          <w:tab w:val="left" w:pos="540"/>
          <w:tab w:val="left" w:pos="569"/>
        </w:tabs>
        <w:jc w:val="both"/>
        <w:rPr>
          <w:b/>
          <w:bCs/>
          <w:sz w:val="22"/>
          <w:szCs w:val="22"/>
          <w:lang w:val="sr-Latn-ME"/>
        </w:rPr>
      </w:pPr>
    </w:p>
    <w:p w14:paraId="10DFB00F" w14:textId="77777777" w:rsidR="00CD6F02" w:rsidRPr="002A6AB6" w:rsidRDefault="0072020E" w:rsidP="00587700">
      <w:pPr>
        <w:tabs>
          <w:tab w:val="left" w:pos="540"/>
          <w:tab w:val="left" w:pos="569"/>
        </w:tabs>
        <w:jc w:val="both"/>
        <w:rPr>
          <w:b/>
          <w:bCs/>
          <w:sz w:val="22"/>
          <w:szCs w:val="22"/>
          <w:lang w:val="sr-Latn-ME"/>
        </w:rPr>
      </w:pPr>
      <w:r w:rsidRPr="002A6AB6">
        <w:rPr>
          <w:b/>
          <w:bCs/>
          <w:sz w:val="22"/>
          <w:szCs w:val="22"/>
          <w:lang w:val="sr-Latn-ME"/>
        </w:rPr>
        <w:t xml:space="preserve">4.9. </w:t>
      </w:r>
      <w:r w:rsidR="00480FB1" w:rsidRPr="002A6AB6">
        <w:rPr>
          <w:b/>
          <w:bCs/>
          <w:sz w:val="22"/>
          <w:szCs w:val="22"/>
          <w:lang w:val="sr-Latn-ME"/>
        </w:rPr>
        <w:tab/>
      </w:r>
      <w:proofErr w:type="spellStart"/>
      <w:r w:rsidRPr="002A6AB6">
        <w:rPr>
          <w:b/>
          <w:bCs/>
          <w:sz w:val="22"/>
          <w:szCs w:val="22"/>
          <w:lang w:val="sr-Latn-ME"/>
        </w:rPr>
        <w:t>Predoziranje</w:t>
      </w:r>
      <w:proofErr w:type="spellEnd"/>
      <w:r w:rsidR="002846DB" w:rsidRPr="002A6AB6">
        <w:rPr>
          <w:b/>
          <w:bCs/>
          <w:sz w:val="22"/>
          <w:szCs w:val="22"/>
          <w:lang w:val="sr-Latn-ME"/>
        </w:rPr>
        <w:t xml:space="preserve"> </w:t>
      </w:r>
    </w:p>
    <w:p w14:paraId="7071DA28" w14:textId="77777777" w:rsidR="00CD6F02" w:rsidRPr="002A6AB6" w:rsidRDefault="00CD6F02" w:rsidP="00587700">
      <w:pPr>
        <w:tabs>
          <w:tab w:val="left" w:pos="540"/>
          <w:tab w:val="left" w:pos="569"/>
        </w:tabs>
        <w:jc w:val="both"/>
        <w:rPr>
          <w:b/>
          <w:bCs/>
          <w:sz w:val="22"/>
          <w:szCs w:val="22"/>
          <w:lang w:val="sr-Latn-ME"/>
        </w:rPr>
      </w:pPr>
    </w:p>
    <w:p w14:paraId="5ACB1EE6" w14:textId="77777777" w:rsidR="00466B8B" w:rsidRPr="002A6AB6" w:rsidRDefault="00466B8B" w:rsidP="00587700">
      <w:pPr>
        <w:tabs>
          <w:tab w:val="left" w:pos="540"/>
          <w:tab w:val="left" w:pos="567"/>
        </w:tabs>
        <w:jc w:val="both"/>
        <w:rPr>
          <w:bCs/>
          <w:sz w:val="22"/>
          <w:szCs w:val="22"/>
          <w:lang w:val="sr-Latn-ME"/>
        </w:rPr>
      </w:pPr>
      <w:r w:rsidRPr="002A6AB6">
        <w:rPr>
          <w:bCs/>
          <w:sz w:val="22"/>
          <w:szCs w:val="22"/>
          <w:lang w:val="sr-Latn-ME"/>
        </w:rPr>
        <w:t xml:space="preserve">Postoje ograničena klinička iskustva sa dozama većim od odobrene doze </w:t>
      </w:r>
      <w:proofErr w:type="spellStart"/>
      <w:r w:rsidRPr="002A6AB6">
        <w:rPr>
          <w:bCs/>
          <w:sz w:val="22"/>
          <w:szCs w:val="22"/>
          <w:lang w:val="sr-Latn-ME"/>
        </w:rPr>
        <w:t>okrelizumaba</w:t>
      </w:r>
      <w:proofErr w:type="spellEnd"/>
      <w:r w:rsidRPr="002A6AB6">
        <w:rPr>
          <w:bCs/>
          <w:sz w:val="22"/>
          <w:szCs w:val="22"/>
          <w:lang w:val="sr-Latn-ME"/>
        </w:rPr>
        <w:t xml:space="preserve">. Najviša ispitivana doza do sada kod pacijenata sa MS je 2000 mg, data kao dvije </w:t>
      </w:r>
      <w:proofErr w:type="spellStart"/>
      <w:r w:rsidRPr="002A6AB6">
        <w:rPr>
          <w:bCs/>
          <w:sz w:val="22"/>
          <w:szCs w:val="22"/>
          <w:lang w:val="sr-Latn-ME"/>
        </w:rPr>
        <w:t>intravenske</w:t>
      </w:r>
      <w:proofErr w:type="spellEnd"/>
      <w:r w:rsidRPr="002A6AB6">
        <w:rPr>
          <w:bCs/>
          <w:sz w:val="22"/>
          <w:szCs w:val="22"/>
          <w:lang w:val="sr-Latn-ME"/>
        </w:rPr>
        <w:t xml:space="preserve"> infuzije od 1000 mg u razmaku od 2 nedjelje (studija faze II za određivanje doze za RRMS) i 1200 mg, data kao </w:t>
      </w:r>
      <w:proofErr w:type="spellStart"/>
      <w:r w:rsidRPr="002A6AB6">
        <w:rPr>
          <w:bCs/>
          <w:sz w:val="22"/>
          <w:szCs w:val="22"/>
          <w:lang w:val="sr-Latn-ME"/>
        </w:rPr>
        <w:t>subkutana</w:t>
      </w:r>
      <w:proofErr w:type="spellEnd"/>
      <w:r w:rsidRPr="002A6AB6">
        <w:rPr>
          <w:bCs/>
          <w:sz w:val="22"/>
          <w:szCs w:val="22"/>
          <w:lang w:val="sr-Latn-ME"/>
        </w:rPr>
        <w:t xml:space="preserve"> injekcija (studija faze Ib za određivanje doze). Neželjene reakcije na lijek bile su u skladu sa </w:t>
      </w:r>
      <w:proofErr w:type="spellStart"/>
      <w:r w:rsidRPr="002A6AB6">
        <w:rPr>
          <w:bCs/>
          <w:sz w:val="22"/>
          <w:szCs w:val="22"/>
          <w:lang w:val="sr-Latn-ME"/>
        </w:rPr>
        <w:t>bezbjednosnim</w:t>
      </w:r>
      <w:proofErr w:type="spellEnd"/>
      <w:r w:rsidRPr="002A6AB6">
        <w:rPr>
          <w:bCs/>
          <w:sz w:val="22"/>
          <w:szCs w:val="22"/>
          <w:lang w:val="sr-Latn-ME"/>
        </w:rPr>
        <w:t xml:space="preserve"> profilom </w:t>
      </w:r>
      <w:proofErr w:type="spellStart"/>
      <w:r w:rsidRPr="002A6AB6">
        <w:rPr>
          <w:bCs/>
          <w:sz w:val="22"/>
          <w:szCs w:val="22"/>
          <w:lang w:val="sr-Latn-ME"/>
        </w:rPr>
        <w:t>okrelizumaba</w:t>
      </w:r>
      <w:proofErr w:type="spellEnd"/>
      <w:r w:rsidRPr="002A6AB6">
        <w:rPr>
          <w:bCs/>
          <w:sz w:val="22"/>
          <w:szCs w:val="22"/>
          <w:lang w:val="sr-Latn-ME"/>
        </w:rPr>
        <w:t xml:space="preserve"> u </w:t>
      </w:r>
      <w:proofErr w:type="spellStart"/>
      <w:r w:rsidRPr="002A6AB6">
        <w:rPr>
          <w:bCs/>
          <w:sz w:val="22"/>
          <w:szCs w:val="22"/>
          <w:lang w:val="sr-Latn-ME"/>
        </w:rPr>
        <w:t>pivotalnim</w:t>
      </w:r>
      <w:proofErr w:type="spellEnd"/>
      <w:r w:rsidRPr="002A6AB6">
        <w:rPr>
          <w:bCs/>
          <w:sz w:val="22"/>
          <w:szCs w:val="22"/>
          <w:lang w:val="sr-Latn-ME"/>
        </w:rPr>
        <w:t xml:space="preserve"> kliničkim studijama.</w:t>
      </w:r>
    </w:p>
    <w:p w14:paraId="3D6D4CD3" w14:textId="77777777" w:rsidR="00466B8B" w:rsidRPr="002A6AB6" w:rsidRDefault="00466B8B" w:rsidP="00587700">
      <w:pPr>
        <w:tabs>
          <w:tab w:val="left" w:pos="540"/>
          <w:tab w:val="left" w:pos="567"/>
        </w:tabs>
        <w:jc w:val="both"/>
        <w:rPr>
          <w:bCs/>
          <w:sz w:val="22"/>
          <w:szCs w:val="22"/>
          <w:lang w:val="sr-Latn-ME"/>
        </w:rPr>
      </w:pPr>
    </w:p>
    <w:p w14:paraId="25290A61"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Ne postoji određeni antidot u slučaju </w:t>
      </w:r>
      <w:proofErr w:type="spellStart"/>
      <w:r w:rsidRPr="002A6AB6">
        <w:rPr>
          <w:bCs/>
          <w:sz w:val="22"/>
          <w:szCs w:val="22"/>
          <w:lang w:val="sr-Latn-ME"/>
        </w:rPr>
        <w:t>predoziranja</w:t>
      </w:r>
      <w:proofErr w:type="spellEnd"/>
      <w:r w:rsidRPr="002A6AB6">
        <w:rPr>
          <w:bCs/>
          <w:sz w:val="22"/>
          <w:szCs w:val="22"/>
          <w:lang w:val="sr-Latn-ME"/>
        </w:rPr>
        <w:t xml:space="preserve">, treba odmah prekinuti injekciju i posmatrati pacijenta zbog pojave reakcija na injekciju (vidjeti </w:t>
      </w:r>
      <w:r w:rsidR="00ED0D01" w:rsidRPr="002A6AB6">
        <w:rPr>
          <w:bCs/>
          <w:sz w:val="22"/>
          <w:szCs w:val="22"/>
          <w:lang w:val="sr-Latn-ME"/>
        </w:rPr>
        <w:t xml:space="preserve">dio </w:t>
      </w:r>
      <w:r w:rsidRPr="002A6AB6">
        <w:rPr>
          <w:bCs/>
          <w:sz w:val="22"/>
          <w:szCs w:val="22"/>
          <w:lang w:val="sr-Latn-ME"/>
        </w:rPr>
        <w:t xml:space="preserve">4.4).  </w:t>
      </w:r>
    </w:p>
    <w:p w14:paraId="327FE8E8" w14:textId="77777777" w:rsidR="00550472" w:rsidRPr="002A6AB6" w:rsidRDefault="00550472" w:rsidP="00587700">
      <w:pPr>
        <w:tabs>
          <w:tab w:val="left" w:pos="540"/>
          <w:tab w:val="left" w:pos="569"/>
        </w:tabs>
        <w:jc w:val="both"/>
        <w:rPr>
          <w:bCs/>
          <w:sz w:val="22"/>
          <w:szCs w:val="22"/>
          <w:lang w:val="sr-Latn-ME"/>
        </w:rPr>
      </w:pPr>
    </w:p>
    <w:p w14:paraId="3698C6B0" w14:textId="77777777" w:rsidR="00227BDB" w:rsidRPr="002A6AB6" w:rsidRDefault="00227BDB" w:rsidP="00587700">
      <w:pPr>
        <w:tabs>
          <w:tab w:val="left" w:pos="540"/>
          <w:tab w:val="left" w:pos="569"/>
        </w:tabs>
        <w:jc w:val="both"/>
        <w:rPr>
          <w:b/>
          <w:bCs/>
          <w:sz w:val="22"/>
          <w:szCs w:val="22"/>
          <w:lang w:val="sr-Latn-ME"/>
        </w:rPr>
      </w:pPr>
    </w:p>
    <w:p w14:paraId="1E0B28D4" w14:textId="77777777" w:rsidR="0072020E" w:rsidRPr="002A6AB6" w:rsidRDefault="0072020E" w:rsidP="00587700">
      <w:pPr>
        <w:tabs>
          <w:tab w:val="left" w:pos="540"/>
          <w:tab w:val="left" w:pos="569"/>
        </w:tabs>
        <w:jc w:val="both"/>
        <w:rPr>
          <w:b/>
          <w:bCs/>
          <w:sz w:val="22"/>
          <w:szCs w:val="22"/>
          <w:lang w:val="sr-Latn-ME"/>
        </w:rPr>
      </w:pPr>
      <w:r w:rsidRPr="002A6AB6">
        <w:rPr>
          <w:b/>
          <w:bCs/>
          <w:sz w:val="22"/>
          <w:szCs w:val="22"/>
          <w:lang w:val="sr-Latn-ME"/>
        </w:rPr>
        <w:t xml:space="preserve">5. </w:t>
      </w:r>
      <w:r w:rsidR="00480FB1" w:rsidRPr="002A6AB6">
        <w:rPr>
          <w:b/>
          <w:bCs/>
          <w:sz w:val="22"/>
          <w:szCs w:val="22"/>
          <w:lang w:val="sr-Latn-ME"/>
        </w:rPr>
        <w:tab/>
      </w:r>
      <w:r w:rsidRPr="002A6AB6">
        <w:rPr>
          <w:b/>
          <w:bCs/>
          <w:sz w:val="22"/>
          <w:szCs w:val="22"/>
          <w:lang w:val="sr-Latn-ME"/>
        </w:rPr>
        <w:t>FARMAKOLOŠK</w:t>
      </w:r>
      <w:r w:rsidR="000D425A" w:rsidRPr="002A6AB6">
        <w:rPr>
          <w:b/>
          <w:bCs/>
          <w:sz w:val="22"/>
          <w:szCs w:val="22"/>
          <w:lang w:val="sr-Latn-ME"/>
        </w:rPr>
        <w:t>I</w:t>
      </w:r>
      <w:r w:rsidRPr="002A6AB6">
        <w:rPr>
          <w:b/>
          <w:bCs/>
          <w:sz w:val="22"/>
          <w:szCs w:val="22"/>
          <w:lang w:val="sr-Latn-ME"/>
        </w:rPr>
        <w:t xml:space="preserve"> PODACI</w:t>
      </w:r>
    </w:p>
    <w:p w14:paraId="2D2A0D28" w14:textId="77777777" w:rsidR="0072020E" w:rsidRPr="002A6AB6" w:rsidRDefault="0072020E" w:rsidP="00587700">
      <w:pPr>
        <w:tabs>
          <w:tab w:val="left" w:pos="540"/>
          <w:tab w:val="left" w:pos="569"/>
        </w:tabs>
        <w:jc w:val="both"/>
        <w:rPr>
          <w:b/>
          <w:bCs/>
          <w:sz w:val="22"/>
          <w:szCs w:val="22"/>
          <w:lang w:val="sr-Latn-ME"/>
        </w:rPr>
      </w:pPr>
    </w:p>
    <w:p w14:paraId="41477D97" w14:textId="77777777" w:rsidR="0072020E" w:rsidRPr="002A6AB6" w:rsidRDefault="0072020E" w:rsidP="00587700">
      <w:pPr>
        <w:tabs>
          <w:tab w:val="left" w:pos="540"/>
          <w:tab w:val="left" w:pos="569"/>
        </w:tabs>
        <w:jc w:val="both"/>
        <w:rPr>
          <w:b/>
          <w:bCs/>
          <w:sz w:val="22"/>
          <w:szCs w:val="22"/>
          <w:lang w:val="sr-Latn-ME"/>
        </w:rPr>
      </w:pPr>
      <w:r w:rsidRPr="002A6AB6">
        <w:rPr>
          <w:b/>
          <w:bCs/>
          <w:sz w:val="22"/>
          <w:szCs w:val="22"/>
          <w:lang w:val="sr-Latn-ME"/>
        </w:rPr>
        <w:t xml:space="preserve">5.1. </w:t>
      </w:r>
      <w:r w:rsidR="00480FB1" w:rsidRPr="002A6AB6">
        <w:rPr>
          <w:b/>
          <w:bCs/>
          <w:sz w:val="22"/>
          <w:szCs w:val="22"/>
          <w:lang w:val="sr-Latn-ME"/>
        </w:rPr>
        <w:tab/>
      </w:r>
      <w:proofErr w:type="spellStart"/>
      <w:r w:rsidRPr="002A6AB6">
        <w:rPr>
          <w:b/>
          <w:bCs/>
          <w:sz w:val="22"/>
          <w:szCs w:val="22"/>
          <w:lang w:val="sr-Latn-ME"/>
        </w:rPr>
        <w:t>Farmakodinamski</w:t>
      </w:r>
      <w:proofErr w:type="spellEnd"/>
      <w:r w:rsidRPr="002A6AB6">
        <w:rPr>
          <w:b/>
          <w:bCs/>
          <w:sz w:val="22"/>
          <w:szCs w:val="22"/>
          <w:lang w:val="sr-Latn-ME"/>
        </w:rPr>
        <w:t xml:space="preserve"> podaci</w:t>
      </w:r>
      <w:r w:rsidR="003A7059" w:rsidRPr="002A6AB6">
        <w:rPr>
          <w:b/>
          <w:bCs/>
          <w:sz w:val="22"/>
          <w:szCs w:val="22"/>
          <w:lang w:val="sr-Latn-ME"/>
        </w:rPr>
        <w:t xml:space="preserve"> </w:t>
      </w:r>
    </w:p>
    <w:p w14:paraId="6EA9DD53" w14:textId="77777777" w:rsidR="00F45F77" w:rsidRPr="002A6AB6" w:rsidRDefault="00F45F77" w:rsidP="00587700">
      <w:pPr>
        <w:tabs>
          <w:tab w:val="left" w:pos="540"/>
          <w:tab w:val="left" w:pos="569"/>
        </w:tabs>
        <w:jc w:val="both"/>
        <w:rPr>
          <w:b/>
          <w:bCs/>
          <w:sz w:val="22"/>
          <w:szCs w:val="22"/>
          <w:lang w:val="sr-Latn-ME"/>
        </w:rPr>
      </w:pPr>
    </w:p>
    <w:p w14:paraId="059CA055" w14:textId="77777777" w:rsidR="0072020E" w:rsidRPr="002A6AB6" w:rsidRDefault="0072020E" w:rsidP="00587700">
      <w:pPr>
        <w:tabs>
          <w:tab w:val="left" w:pos="540"/>
          <w:tab w:val="left" w:pos="569"/>
        </w:tabs>
        <w:jc w:val="both"/>
        <w:rPr>
          <w:bCs/>
          <w:sz w:val="22"/>
          <w:szCs w:val="22"/>
          <w:lang w:val="sr-Latn-ME"/>
        </w:rPr>
      </w:pPr>
      <w:proofErr w:type="spellStart"/>
      <w:r w:rsidRPr="002A6AB6">
        <w:rPr>
          <w:bCs/>
          <w:sz w:val="22"/>
          <w:szCs w:val="22"/>
          <w:lang w:val="sr-Latn-ME"/>
        </w:rPr>
        <w:t>Farmakoterapijska</w:t>
      </w:r>
      <w:proofErr w:type="spellEnd"/>
      <w:r w:rsidRPr="002A6AB6">
        <w:rPr>
          <w:bCs/>
          <w:sz w:val="22"/>
          <w:szCs w:val="22"/>
          <w:lang w:val="sr-Latn-ME"/>
        </w:rPr>
        <w:t xml:space="preserve"> grupa:</w:t>
      </w:r>
      <w:r w:rsidR="00466B8B" w:rsidRPr="002A6AB6">
        <w:rPr>
          <w:bCs/>
          <w:sz w:val="22"/>
          <w:szCs w:val="22"/>
          <w:lang w:val="sr-Latn-ME"/>
        </w:rPr>
        <w:t xml:space="preserve"> </w:t>
      </w:r>
      <w:proofErr w:type="spellStart"/>
      <w:r w:rsidR="00466B8B" w:rsidRPr="002A6AB6">
        <w:rPr>
          <w:bCs/>
          <w:sz w:val="22"/>
          <w:szCs w:val="22"/>
          <w:lang w:val="sr-Latn-ME"/>
        </w:rPr>
        <w:t>Imunosupresivi</w:t>
      </w:r>
      <w:proofErr w:type="spellEnd"/>
      <w:r w:rsidR="00466B8B" w:rsidRPr="002A6AB6">
        <w:rPr>
          <w:bCs/>
          <w:sz w:val="22"/>
          <w:szCs w:val="22"/>
          <w:lang w:val="sr-Latn-ME"/>
        </w:rPr>
        <w:t xml:space="preserve">, </w:t>
      </w:r>
      <w:proofErr w:type="spellStart"/>
      <w:r w:rsidR="00466B8B" w:rsidRPr="002A6AB6">
        <w:rPr>
          <w:bCs/>
          <w:sz w:val="22"/>
          <w:szCs w:val="22"/>
          <w:lang w:val="sr-Latn-ME"/>
        </w:rPr>
        <w:t>monoklonska</w:t>
      </w:r>
      <w:proofErr w:type="spellEnd"/>
      <w:r w:rsidR="00466B8B" w:rsidRPr="002A6AB6">
        <w:rPr>
          <w:bCs/>
          <w:sz w:val="22"/>
          <w:szCs w:val="22"/>
          <w:lang w:val="sr-Latn-ME"/>
        </w:rPr>
        <w:t xml:space="preserve"> antitijela</w:t>
      </w:r>
    </w:p>
    <w:p w14:paraId="64BF9500" w14:textId="77777777" w:rsidR="0072020E" w:rsidRPr="002A6AB6" w:rsidRDefault="0072020E" w:rsidP="00587700">
      <w:pPr>
        <w:tabs>
          <w:tab w:val="left" w:pos="540"/>
          <w:tab w:val="left" w:pos="569"/>
        </w:tabs>
        <w:jc w:val="both"/>
        <w:rPr>
          <w:bCs/>
          <w:sz w:val="22"/>
          <w:szCs w:val="22"/>
          <w:lang w:val="sr-Latn-ME"/>
        </w:rPr>
      </w:pPr>
    </w:p>
    <w:p w14:paraId="24C3FCB7" w14:textId="77777777" w:rsidR="0072020E" w:rsidRPr="002A6AB6" w:rsidRDefault="0072020E" w:rsidP="00587700">
      <w:pPr>
        <w:tabs>
          <w:tab w:val="left" w:pos="540"/>
          <w:tab w:val="left" w:pos="569"/>
        </w:tabs>
        <w:jc w:val="both"/>
        <w:rPr>
          <w:bCs/>
          <w:sz w:val="22"/>
          <w:szCs w:val="22"/>
          <w:lang w:val="sr-Latn-ME"/>
        </w:rPr>
      </w:pPr>
      <w:r w:rsidRPr="002A6AB6">
        <w:rPr>
          <w:bCs/>
          <w:sz w:val="22"/>
          <w:szCs w:val="22"/>
          <w:lang w:val="sr-Latn-ME"/>
        </w:rPr>
        <w:t>ATC kod:</w:t>
      </w:r>
      <w:r w:rsidR="00466B8B" w:rsidRPr="002A6AB6">
        <w:rPr>
          <w:bCs/>
          <w:sz w:val="22"/>
          <w:szCs w:val="22"/>
          <w:lang w:val="sr-Latn-ME"/>
        </w:rPr>
        <w:t xml:space="preserve"> L04AG08</w:t>
      </w:r>
    </w:p>
    <w:p w14:paraId="0DC2B88C" w14:textId="77777777" w:rsidR="002E37A5" w:rsidRPr="002A6AB6" w:rsidRDefault="002E37A5" w:rsidP="00587700">
      <w:pPr>
        <w:tabs>
          <w:tab w:val="left" w:pos="540"/>
          <w:tab w:val="left" w:pos="569"/>
        </w:tabs>
        <w:jc w:val="both"/>
        <w:rPr>
          <w:b/>
          <w:bCs/>
          <w:sz w:val="22"/>
          <w:szCs w:val="22"/>
          <w:lang w:val="sr-Latn-ME"/>
        </w:rPr>
      </w:pPr>
    </w:p>
    <w:p w14:paraId="022E91F4" w14:textId="77777777" w:rsidR="00466B8B" w:rsidRPr="002A6AB6" w:rsidRDefault="00466B8B" w:rsidP="00587700">
      <w:pPr>
        <w:keepNext/>
        <w:keepLines/>
        <w:tabs>
          <w:tab w:val="left" w:pos="567"/>
        </w:tabs>
        <w:jc w:val="both"/>
        <w:rPr>
          <w:sz w:val="22"/>
          <w:szCs w:val="22"/>
          <w:u w:val="single"/>
          <w:lang w:val="sr-Latn-ME"/>
        </w:rPr>
      </w:pPr>
      <w:r w:rsidRPr="002A6AB6">
        <w:rPr>
          <w:sz w:val="22"/>
          <w:szCs w:val="22"/>
          <w:u w:val="single"/>
          <w:lang w:val="sr-Latn-ME"/>
        </w:rPr>
        <w:lastRenderedPageBreak/>
        <w:t>Mehanizam dejstva</w:t>
      </w:r>
    </w:p>
    <w:p w14:paraId="4FA1EEDE" w14:textId="77777777" w:rsidR="00466B8B" w:rsidRPr="002A6AB6" w:rsidRDefault="00466B8B" w:rsidP="00587700">
      <w:pPr>
        <w:keepNext/>
        <w:keepLines/>
        <w:shd w:val="clear" w:color="auto" w:fill="FFFFFF"/>
        <w:jc w:val="both"/>
        <w:outlineLvl w:val="0"/>
        <w:rPr>
          <w:sz w:val="22"/>
          <w:szCs w:val="22"/>
          <w:lang w:val="sr-Latn-ME" w:eastAsia="ja-JP"/>
        </w:rPr>
      </w:pPr>
    </w:p>
    <w:p w14:paraId="1255A175" w14:textId="77777777" w:rsidR="00466B8B" w:rsidRPr="002A6AB6" w:rsidRDefault="00466B8B" w:rsidP="00587700">
      <w:pPr>
        <w:keepNext/>
        <w:keepLines/>
        <w:tabs>
          <w:tab w:val="left" w:pos="567"/>
        </w:tabs>
        <w:jc w:val="both"/>
        <w:rPr>
          <w:sz w:val="22"/>
          <w:szCs w:val="22"/>
          <w:lang w:val="sr-Latn-ME"/>
        </w:rPr>
      </w:pPr>
      <w:proofErr w:type="spellStart"/>
      <w:r w:rsidRPr="002A6AB6">
        <w:rPr>
          <w:sz w:val="22"/>
          <w:szCs w:val="22"/>
          <w:lang w:val="sr-Latn-ME"/>
        </w:rPr>
        <w:t>Okrelizumab</w:t>
      </w:r>
      <w:proofErr w:type="spellEnd"/>
      <w:r w:rsidRPr="002A6AB6">
        <w:rPr>
          <w:sz w:val="22"/>
          <w:szCs w:val="22"/>
          <w:lang w:val="sr-Latn-ME"/>
        </w:rPr>
        <w:t xml:space="preserve"> je </w:t>
      </w:r>
      <w:proofErr w:type="spellStart"/>
      <w:r w:rsidRPr="002A6AB6">
        <w:rPr>
          <w:sz w:val="22"/>
          <w:szCs w:val="22"/>
          <w:lang w:val="sr-Latn-ME"/>
        </w:rPr>
        <w:t>rekombinantno</w:t>
      </w:r>
      <w:proofErr w:type="spellEnd"/>
      <w:r w:rsidRPr="002A6AB6">
        <w:rPr>
          <w:sz w:val="22"/>
          <w:szCs w:val="22"/>
          <w:lang w:val="sr-Latn-ME"/>
        </w:rPr>
        <w:t xml:space="preserve"> humanizovano </w:t>
      </w:r>
      <w:proofErr w:type="spellStart"/>
      <w:r w:rsidRPr="002A6AB6">
        <w:rPr>
          <w:sz w:val="22"/>
          <w:szCs w:val="22"/>
          <w:lang w:val="sr-Latn-ME"/>
        </w:rPr>
        <w:t>monoklonsko</w:t>
      </w:r>
      <w:proofErr w:type="spellEnd"/>
      <w:r w:rsidRPr="002A6AB6">
        <w:rPr>
          <w:sz w:val="22"/>
          <w:szCs w:val="22"/>
          <w:lang w:val="sr-Latn-ME"/>
        </w:rPr>
        <w:t xml:space="preserve"> antitijelo koje selektivno cilja CD20-eksprimirajuće B-ćelije.  </w:t>
      </w:r>
    </w:p>
    <w:p w14:paraId="7A1FB1B5" w14:textId="77777777" w:rsidR="00466B8B" w:rsidRPr="002A6AB6" w:rsidRDefault="00466B8B" w:rsidP="00587700">
      <w:pPr>
        <w:keepNext/>
        <w:keepLines/>
        <w:tabs>
          <w:tab w:val="left" w:pos="567"/>
        </w:tabs>
        <w:jc w:val="both"/>
        <w:rPr>
          <w:sz w:val="22"/>
          <w:szCs w:val="22"/>
          <w:lang w:val="sr-Latn-ME"/>
        </w:rPr>
      </w:pPr>
    </w:p>
    <w:p w14:paraId="2CF17367" w14:textId="77777777" w:rsidR="00466B8B" w:rsidRPr="002A6AB6" w:rsidRDefault="00466B8B" w:rsidP="00587700">
      <w:pPr>
        <w:tabs>
          <w:tab w:val="left" w:pos="567"/>
        </w:tabs>
        <w:jc w:val="both"/>
        <w:rPr>
          <w:sz w:val="22"/>
          <w:szCs w:val="22"/>
          <w:lang w:val="sr-Latn-ME"/>
        </w:rPr>
      </w:pPr>
      <w:r w:rsidRPr="002A6AB6">
        <w:rPr>
          <w:sz w:val="22"/>
          <w:szCs w:val="22"/>
          <w:lang w:val="sr-Latn-ME"/>
        </w:rPr>
        <w:t xml:space="preserve">CD20 je površinski ćelijski </w:t>
      </w:r>
      <w:proofErr w:type="spellStart"/>
      <w:r w:rsidRPr="002A6AB6">
        <w:rPr>
          <w:sz w:val="22"/>
          <w:szCs w:val="22"/>
          <w:lang w:val="sr-Latn-ME"/>
        </w:rPr>
        <w:t>antigen</w:t>
      </w:r>
      <w:proofErr w:type="spellEnd"/>
      <w:r w:rsidRPr="002A6AB6">
        <w:rPr>
          <w:sz w:val="22"/>
          <w:szCs w:val="22"/>
          <w:lang w:val="sr-Latn-ME"/>
        </w:rPr>
        <w:t xml:space="preserve"> koji se nalazi na </w:t>
      </w:r>
      <w:proofErr w:type="spellStart"/>
      <w:r w:rsidRPr="002A6AB6">
        <w:rPr>
          <w:sz w:val="22"/>
          <w:szCs w:val="22"/>
          <w:lang w:val="sr-Latn-ME"/>
        </w:rPr>
        <w:t>pre</w:t>
      </w:r>
      <w:proofErr w:type="spellEnd"/>
      <w:r w:rsidRPr="002A6AB6">
        <w:rPr>
          <w:sz w:val="22"/>
          <w:szCs w:val="22"/>
          <w:lang w:val="sr-Latn-ME"/>
        </w:rPr>
        <w:t xml:space="preserve">-B ćelijama i memorijskim B-ćelijama, ali se ne </w:t>
      </w:r>
      <w:proofErr w:type="spellStart"/>
      <w:r w:rsidRPr="002A6AB6">
        <w:rPr>
          <w:sz w:val="22"/>
          <w:szCs w:val="22"/>
          <w:lang w:val="sr-Latn-ME"/>
        </w:rPr>
        <w:t>eksprimira</w:t>
      </w:r>
      <w:proofErr w:type="spellEnd"/>
      <w:r w:rsidRPr="002A6AB6">
        <w:rPr>
          <w:sz w:val="22"/>
          <w:szCs w:val="22"/>
          <w:lang w:val="sr-Latn-ME"/>
        </w:rPr>
        <w:t xml:space="preserve"> na </w:t>
      </w:r>
      <w:proofErr w:type="spellStart"/>
      <w:r w:rsidRPr="002A6AB6">
        <w:rPr>
          <w:sz w:val="22"/>
          <w:szCs w:val="22"/>
          <w:lang w:val="sr-Latn-ME"/>
        </w:rPr>
        <w:t>limfoidnim</w:t>
      </w:r>
      <w:proofErr w:type="spellEnd"/>
      <w:r w:rsidRPr="002A6AB6">
        <w:rPr>
          <w:sz w:val="22"/>
          <w:szCs w:val="22"/>
          <w:lang w:val="sr-Latn-ME"/>
        </w:rPr>
        <w:t xml:space="preserve"> </w:t>
      </w:r>
      <w:proofErr w:type="spellStart"/>
      <w:r w:rsidRPr="002A6AB6">
        <w:rPr>
          <w:sz w:val="22"/>
          <w:szCs w:val="22"/>
          <w:lang w:val="sr-Latn-ME"/>
        </w:rPr>
        <w:t>stem</w:t>
      </w:r>
      <w:proofErr w:type="spellEnd"/>
      <w:r w:rsidRPr="002A6AB6">
        <w:rPr>
          <w:sz w:val="22"/>
          <w:szCs w:val="22"/>
          <w:lang w:val="sr-Latn-ME"/>
        </w:rPr>
        <w:t xml:space="preserve"> ćelijama i plazma ćelijama.   </w:t>
      </w:r>
    </w:p>
    <w:p w14:paraId="45E4F9A1" w14:textId="77777777" w:rsidR="00466B8B" w:rsidRPr="002A6AB6" w:rsidRDefault="00466B8B" w:rsidP="00587700">
      <w:pPr>
        <w:tabs>
          <w:tab w:val="left" w:pos="567"/>
        </w:tabs>
        <w:jc w:val="both"/>
        <w:rPr>
          <w:sz w:val="22"/>
          <w:szCs w:val="22"/>
          <w:lang w:val="sr-Latn-ME"/>
        </w:rPr>
      </w:pPr>
    </w:p>
    <w:p w14:paraId="7C496CB4" w14:textId="77777777" w:rsidR="00466B8B" w:rsidRPr="002A6AB6" w:rsidRDefault="00466B8B" w:rsidP="00587700">
      <w:pPr>
        <w:tabs>
          <w:tab w:val="left" w:pos="567"/>
        </w:tabs>
        <w:jc w:val="both"/>
        <w:rPr>
          <w:sz w:val="22"/>
          <w:szCs w:val="22"/>
          <w:lang w:val="sr-Latn-ME"/>
        </w:rPr>
      </w:pPr>
      <w:r w:rsidRPr="002A6AB6">
        <w:rPr>
          <w:color w:val="0D0D0D"/>
          <w:sz w:val="22"/>
          <w:szCs w:val="22"/>
          <w:lang w:val="sr-Latn-ME"/>
        </w:rPr>
        <w:t xml:space="preserve">Precizni </w:t>
      </w:r>
      <w:r w:rsidRPr="002A6AB6">
        <w:rPr>
          <w:sz w:val="22"/>
          <w:szCs w:val="22"/>
          <w:lang w:val="sr-Latn-ME"/>
        </w:rPr>
        <w:t xml:space="preserve">mehanizmi putem kojih </w:t>
      </w:r>
      <w:proofErr w:type="spellStart"/>
      <w:r w:rsidRPr="002A6AB6">
        <w:rPr>
          <w:sz w:val="22"/>
          <w:szCs w:val="22"/>
          <w:lang w:val="sr-Latn-ME"/>
        </w:rPr>
        <w:t>okrelizumab</w:t>
      </w:r>
      <w:proofErr w:type="spellEnd"/>
      <w:r w:rsidRPr="002A6AB6">
        <w:rPr>
          <w:sz w:val="22"/>
          <w:szCs w:val="22"/>
          <w:lang w:val="sr-Latn-ME"/>
        </w:rPr>
        <w:t xml:space="preserve"> ostvaruje terapijske kliničke efekte u slučaju MS nisu u potpunosti razjašnjeni, ali pretpostavlja se da obuhvataju </w:t>
      </w:r>
      <w:proofErr w:type="spellStart"/>
      <w:r w:rsidRPr="002A6AB6">
        <w:rPr>
          <w:sz w:val="22"/>
          <w:szCs w:val="22"/>
          <w:lang w:val="sr-Latn-ME"/>
        </w:rPr>
        <w:t>imunomodulaciju</w:t>
      </w:r>
      <w:proofErr w:type="spellEnd"/>
      <w:r w:rsidRPr="002A6AB6">
        <w:rPr>
          <w:sz w:val="22"/>
          <w:szCs w:val="22"/>
          <w:lang w:val="sr-Latn-ME"/>
        </w:rPr>
        <w:t xml:space="preserve"> putem smanjenja broja i funkcije CD20-eksprimirajućih B-ćelija. Nakon vezivanja za površinu ćelije, </w:t>
      </w:r>
      <w:proofErr w:type="spellStart"/>
      <w:r w:rsidRPr="002A6AB6">
        <w:rPr>
          <w:sz w:val="22"/>
          <w:szCs w:val="22"/>
          <w:lang w:val="sr-Latn-ME"/>
        </w:rPr>
        <w:t>okrelizumab</w:t>
      </w:r>
      <w:proofErr w:type="spellEnd"/>
      <w:r w:rsidRPr="002A6AB6">
        <w:rPr>
          <w:sz w:val="22"/>
          <w:szCs w:val="22"/>
          <w:lang w:val="sr-Latn-ME"/>
        </w:rPr>
        <w:t xml:space="preserve"> vrši selektivnu </w:t>
      </w:r>
      <w:proofErr w:type="spellStart"/>
      <w:r w:rsidRPr="002A6AB6">
        <w:rPr>
          <w:sz w:val="22"/>
          <w:szCs w:val="22"/>
          <w:lang w:val="sr-Latn-ME"/>
        </w:rPr>
        <w:t>depleciju</w:t>
      </w:r>
      <w:proofErr w:type="spellEnd"/>
      <w:r w:rsidRPr="002A6AB6">
        <w:rPr>
          <w:sz w:val="22"/>
          <w:szCs w:val="22"/>
          <w:lang w:val="sr-Latn-ME"/>
        </w:rPr>
        <w:t xml:space="preserve"> CD20-eksprimirajućih B-ćelija putem ćelijske </w:t>
      </w:r>
      <w:proofErr w:type="spellStart"/>
      <w:r w:rsidRPr="002A6AB6">
        <w:rPr>
          <w:sz w:val="22"/>
          <w:szCs w:val="22"/>
          <w:lang w:val="sr-Latn-ME"/>
        </w:rPr>
        <w:t>fagocitoze</w:t>
      </w:r>
      <w:proofErr w:type="spellEnd"/>
      <w:r w:rsidRPr="002A6AB6">
        <w:rPr>
          <w:sz w:val="22"/>
          <w:szCs w:val="22"/>
          <w:lang w:val="sr-Latn-ME"/>
        </w:rPr>
        <w:t xml:space="preserve"> zavisne od antitijela (ADCP), ćelijske </w:t>
      </w:r>
      <w:proofErr w:type="spellStart"/>
      <w:r w:rsidRPr="002A6AB6">
        <w:rPr>
          <w:sz w:val="22"/>
          <w:szCs w:val="22"/>
          <w:lang w:val="sr-Latn-ME"/>
        </w:rPr>
        <w:t>citotoksičnosti</w:t>
      </w:r>
      <w:proofErr w:type="spellEnd"/>
      <w:r w:rsidRPr="002A6AB6">
        <w:rPr>
          <w:sz w:val="22"/>
          <w:szCs w:val="22"/>
          <w:lang w:val="sr-Latn-ME"/>
        </w:rPr>
        <w:t xml:space="preserve"> zavisne od antitijela (ADCC), </w:t>
      </w:r>
      <w:proofErr w:type="spellStart"/>
      <w:r w:rsidRPr="002A6AB6">
        <w:rPr>
          <w:sz w:val="22"/>
          <w:szCs w:val="22"/>
          <w:lang w:val="sr-Latn-ME"/>
        </w:rPr>
        <w:t>citotoksičnosti</w:t>
      </w:r>
      <w:proofErr w:type="spellEnd"/>
      <w:r w:rsidRPr="002A6AB6">
        <w:rPr>
          <w:sz w:val="22"/>
          <w:szCs w:val="22"/>
          <w:lang w:val="sr-Latn-ME"/>
        </w:rPr>
        <w:t xml:space="preserve"> zavisne od </w:t>
      </w:r>
      <w:proofErr w:type="spellStart"/>
      <w:r w:rsidRPr="002A6AB6">
        <w:rPr>
          <w:sz w:val="22"/>
          <w:szCs w:val="22"/>
          <w:lang w:val="sr-Latn-ME"/>
        </w:rPr>
        <w:t>komplemenata</w:t>
      </w:r>
      <w:proofErr w:type="spellEnd"/>
      <w:r w:rsidRPr="002A6AB6">
        <w:rPr>
          <w:sz w:val="22"/>
          <w:szCs w:val="22"/>
          <w:lang w:val="sr-Latn-ME"/>
        </w:rPr>
        <w:t xml:space="preserve"> (CDC) i </w:t>
      </w:r>
      <w:proofErr w:type="spellStart"/>
      <w:r w:rsidRPr="002A6AB6">
        <w:rPr>
          <w:sz w:val="22"/>
          <w:szCs w:val="22"/>
          <w:lang w:val="sr-Latn-ME"/>
        </w:rPr>
        <w:t>apoptoze</w:t>
      </w:r>
      <w:proofErr w:type="spellEnd"/>
      <w:r w:rsidRPr="002A6AB6">
        <w:rPr>
          <w:sz w:val="22"/>
          <w:szCs w:val="22"/>
          <w:lang w:val="sr-Latn-ME"/>
        </w:rPr>
        <w:t xml:space="preserve">. Očuvani su kapacitet </w:t>
      </w:r>
      <w:proofErr w:type="spellStart"/>
      <w:r w:rsidRPr="002A6AB6">
        <w:rPr>
          <w:sz w:val="22"/>
          <w:szCs w:val="22"/>
          <w:lang w:val="sr-Latn-ME"/>
        </w:rPr>
        <w:t>rekonstitucije</w:t>
      </w:r>
      <w:proofErr w:type="spellEnd"/>
      <w:r w:rsidRPr="002A6AB6">
        <w:rPr>
          <w:sz w:val="22"/>
          <w:szCs w:val="22"/>
          <w:lang w:val="sr-Latn-ME"/>
        </w:rPr>
        <w:t xml:space="preserve"> B-ćelija i prethodno postojeći </w:t>
      </w:r>
      <w:proofErr w:type="spellStart"/>
      <w:r w:rsidRPr="002A6AB6">
        <w:rPr>
          <w:sz w:val="22"/>
          <w:szCs w:val="22"/>
          <w:lang w:val="sr-Latn-ME"/>
        </w:rPr>
        <w:t>humoralni</w:t>
      </w:r>
      <w:proofErr w:type="spellEnd"/>
      <w:r w:rsidRPr="002A6AB6">
        <w:rPr>
          <w:sz w:val="22"/>
          <w:szCs w:val="22"/>
          <w:lang w:val="sr-Latn-ME"/>
        </w:rPr>
        <w:t xml:space="preserve"> imunitet. Osim toga, ne utiče na urođeni imunitet i ukupan broj T-ćelija.</w:t>
      </w:r>
    </w:p>
    <w:p w14:paraId="27DC1FB7" w14:textId="77777777" w:rsidR="00466B8B" w:rsidRPr="002A6AB6" w:rsidRDefault="00466B8B" w:rsidP="00587700">
      <w:pPr>
        <w:jc w:val="both"/>
        <w:rPr>
          <w:sz w:val="22"/>
          <w:szCs w:val="22"/>
          <w:lang w:val="sr-Latn-ME" w:eastAsia="ja-JP"/>
        </w:rPr>
      </w:pPr>
    </w:p>
    <w:p w14:paraId="42B97FBB" w14:textId="77777777" w:rsidR="00466B8B" w:rsidRPr="002A6AB6" w:rsidRDefault="00466B8B" w:rsidP="00587700">
      <w:pPr>
        <w:tabs>
          <w:tab w:val="left" w:pos="567"/>
        </w:tabs>
        <w:jc w:val="both"/>
        <w:rPr>
          <w:b/>
          <w:caps/>
          <w:color w:val="00B050"/>
          <w:sz w:val="22"/>
          <w:szCs w:val="22"/>
          <w:lang w:val="sr-Latn-ME"/>
        </w:rPr>
      </w:pPr>
      <w:proofErr w:type="spellStart"/>
      <w:r w:rsidRPr="002A6AB6">
        <w:rPr>
          <w:sz w:val="22"/>
          <w:szCs w:val="22"/>
          <w:lang w:val="sr-Latn-ME"/>
        </w:rPr>
        <w:t>Subkutani</w:t>
      </w:r>
      <w:proofErr w:type="spellEnd"/>
      <w:r w:rsidRPr="002A6AB6">
        <w:rPr>
          <w:sz w:val="22"/>
          <w:szCs w:val="22"/>
          <w:lang w:val="sr-Latn-ME"/>
        </w:rPr>
        <w:t xml:space="preserve"> </w:t>
      </w:r>
      <w:proofErr w:type="spellStart"/>
      <w:r w:rsidRPr="002A6AB6">
        <w:rPr>
          <w:sz w:val="22"/>
          <w:szCs w:val="22"/>
          <w:lang w:val="sr-Latn-ME"/>
        </w:rPr>
        <w:t>okrelizumab</w:t>
      </w:r>
      <w:proofErr w:type="spellEnd"/>
      <w:r w:rsidRPr="002A6AB6">
        <w:rPr>
          <w:sz w:val="22"/>
          <w:szCs w:val="22"/>
          <w:lang w:val="sr-Latn-ME"/>
        </w:rPr>
        <w:t xml:space="preserve"> sadrži </w:t>
      </w:r>
      <w:proofErr w:type="spellStart"/>
      <w:r w:rsidRPr="002A6AB6">
        <w:rPr>
          <w:sz w:val="22"/>
          <w:szCs w:val="22"/>
          <w:lang w:val="sr-Latn-ME"/>
        </w:rPr>
        <w:t>rekombinantnu</w:t>
      </w:r>
      <w:proofErr w:type="spellEnd"/>
      <w:r w:rsidRPr="002A6AB6">
        <w:rPr>
          <w:sz w:val="22"/>
          <w:szCs w:val="22"/>
          <w:lang w:val="sr-Latn-ME"/>
        </w:rPr>
        <w:t xml:space="preserve"> humanu </w:t>
      </w:r>
      <w:proofErr w:type="spellStart"/>
      <w:r w:rsidRPr="002A6AB6">
        <w:rPr>
          <w:sz w:val="22"/>
          <w:szCs w:val="22"/>
          <w:lang w:val="sr-Latn-ME"/>
        </w:rPr>
        <w:t>hijaluronidazu</w:t>
      </w:r>
      <w:proofErr w:type="spellEnd"/>
      <w:r w:rsidRPr="002A6AB6">
        <w:rPr>
          <w:sz w:val="22"/>
          <w:szCs w:val="22"/>
          <w:lang w:val="sr-Latn-ME"/>
        </w:rPr>
        <w:t xml:space="preserve"> (rHuPH20), enzim koji pospješuje disperziju i apsorpciju aktivnih supstanci u zajedničkoj formulaciji nakon </w:t>
      </w:r>
      <w:proofErr w:type="spellStart"/>
      <w:r w:rsidRPr="002A6AB6">
        <w:rPr>
          <w:sz w:val="22"/>
          <w:szCs w:val="22"/>
          <w:lang w:val="sr-Latn-ME"/>
        </w:rPr>
        <w:t>subkutane</w:t>
      </w:r>
      <w:proofErr w:type="spellEnd"/>
      <w:r w:rsidRPr="002A6AB6">
        <w:rPr>
          <w:sz w:val="22"/>
          <w:szCs w:val="22"/>
          <w:lang w:val="sr-Latn-ME"/>
        </w:rPr>
        <w:t xml:space="preserve"> primjene. </w:t>
      </w:r>
    </w:p>
    <w:p w14:paraId="6165F103" w14:textId="77777777" w:rsidR="00466B8B" w:rsidRPr="002A6AB6" w:rsidRDefault="00466B8B" w:rsidP="00587700">
      <w:pPr>
        <w:tabs>
          <w:tab w:val="left" w:pos="567"/>
        </w:tabs>
        <w:jc w:val="both"/>
        <w:rPr>
          <w:sz w:val="22"/>
          <w:szCs w:val="22"/>
          <w:lang w:val="sr-Latn-ME"/>
        </w:rPr>
      </w:pPr>
    </w:p>
    <w:p w14:paraId="1EDBF641" w14:textId="77777777" w:rsidR="00466B8B" w:rsidRPr="002A6AB6" w:rsidRDefault="00466B8B" w:rsidP="00587700">
      <w:pPr>
        <w:tabs>
          <w:tab w:val="left" w:pos="567"/>
        </w:tabs>
        <w:jc w:val="both"/>
        <w:rPr>
          <w:sz w:val="22"/>
          <w:szCs w:val="22"/>
          <w:u w:val="single"/>
          <w:lang w:val="sr-Latn-ME"/>
        </w:rPr>
      </w:pPr>
      <w:proofErr w:type="spellStart"/>
      <w:r w:rsidRPr="002A6AB6">
        <w:rPr>
          <w:sz w:val="22"/>
          <w:szCs w:val="22"/>
          <w:u w:val="single"/>
          <w:lang w:val="sr-Latn-ME"/>
        </w:rPr>
        <w:t>Farmakodinamska</w:t>
      </w:r>
      <w:proofErr w:type="spellEnd"/>
      <w:r w:rsidRPr="002A6AB6">
        <w:rPr>
          <w:sz w:val="22"/>
          <w:szCs w:val="22"/>
          <w:u w:val="single"/>
          <w:lang w:val="sr-Latn-ME"/>
        </w:rPr>
        <w:t xml:space="preserve"> dejstva</w:t>
      </w:r>
    </w:p>
    <w:p w14:paraId="72E1B969" w14:textId="77777777" w:rsidR="00466B8B" w:rsidRPr="002A6AB6" w:rsidRDefault="00466B8B" w:rsidP="00587700">
      <w:pPr>
        <w:tabs>
          <w:tab w:val="left" w:pos="567"/>
        </w:tabs>
        <w:jc w:val="both"/>
        <w:rPr>
          <w:sz w:val="22"/>
          <w:szCs w:val="22"/>
          <w:lang w:val="sr-Latn-ME"/>
        </w:rPr>
      </w:pPr>
      <w:r w:rsidRPr="002A6AB6">
        <w:rPr>
          <w:sz w:val="22"/>
          <w:szCs w:val="22"/>
          <w:lang w:val="sr-Latn-ME"/>
        </w:rPr>
        <w:t xml:space="preserve">Terapija </w:t>
      </w:r>
      <w:proofErr w:type="spellStart"/>
      <w:r w:rsidRPr="002A6AB6">
        <w:rPr>
          <w:sz w:val="22"/>
          <w:szCs w:val="22"/>
          <w:lang w:val="sr-Latn-ME"/>
        </w:rPr>
        <w:t>okrelizumabom</w:t>
      </w:r>
      <w:proofErr w:type="spellEnd"/>
      <w:r w:rsidRPr="002A6AB6">
        <w:rPr>
          <w:sz w:val="22"/>
          <w:szCs w:val="22"/>
          <w:lang w:val="sr-Latn-ME"/>
        </w:rPr>
        <w:t xml:space="preserve"> vodi do brze </w:t>
      </w:r>
      <w:proofErr w:type="spellStart"/>
      <w:r w:rsidRPr="002A6AB6">
        <w:rPr>
          <w:sz w:val="22"/>
          <w:szCs w:val="22"/>
          <w:lang w:val="sr-Latn-ME"/>
        </w:rPr>
        <w:t>deplecije</w:t>
      </w:r>
      <w:proofErr w:type="spellEnd"/>
      <w:r w:rsidRPr="002A6AB6">
        <w:rPr>
          <w:sz w:val="22"/>
          <w:szCs w:val="22"/>
          <w:lang w:val="sr-Latn-ME"/>
        </w:rPr>
        <w:t xml:space="preserve"> CD19+ B-ćelija u krvi 14 dana nakon terapije (što je prva vremenska tačka za procjenu), što je očekivani farmakološki efekat. Taj rezultat se održao i tokom perioda primanja terapije </w:t>
      </w:r>
      <w:proofErr w:type="spellStart"/>
      <w:r w:rsidRPr="002A6AB6">
        <w:rPr>
          <w:sz w:val="22"/>
          <w:szCs w:val="22"/>
          <w:lang w:val="sr-Latn-ME"/>
        </w:rPr>
        <w:t>intravenskim</w:t>
      </w:r>
      <w:proofErr w:type="spellEnd"/>
      <w:r w:rsidRPr="002A6AB6">
        <w:rPr>
          <w:sz w:val="22"/>
          <w:szCs w:val="22"/>
          <w:lang w:val="sr-Latn-ME"/>
        </w:rPr>
        <w:t xml:space="preserve"> </w:t>
      </w:r>
      <w:proofErr w:type="spellStart"/>
      <w:r w:rsidRPr="002A6AB6">
        <w:rPr>
          <w:sz w:val="22"/>
          <w:szCs w:val="22"/>
          <w:lang w:val="sr-Latn-ME"/>
        </w:rPr>
        <w:t>okrelizumabom</w:t>
      </w:r>
      <w:proofErr w:type="spellEnd"/>
      <w:r w:rsidRPr="002A6AB6">
        <w:rPr>
          <w:sz w:val="22"/>
          <w:szCs w:val="22"/>
          <w:lang w:val="sr-Latn-ME"/>
        </w:rPr>
        <w:t xml:space="preserve">. Što se tiče broja B-ćelija, koristi se CD19, jer prisustvo </w:t>
      </w:r>
      <w:proofErr w:type="spellStart"/>
      <w:r w:rsidRPr="002A6AB6">
        <w:rPr>
          <w:sz w:val="22"/>
          <w:szCs w:val="22"/>
          <w:lang w:val="sr-Latn-ME"/>
        </w:rPr>
        <w:t>okrelizumaba</w:t>
      </w:r>
      <w:proofErr w:type="spellEnd"/>
      <w:r w:rsidRPr="002A6AB6">
        <w:rPr>
          <w:sz w:val="22"/>
          <w:szCs w:val="22"/>
          <w:lang w:val="sr-Latn-ME"/>
        </w:rPr>
        <w:t xml:space="preserve"> ometa prepoznavanje CD20 prilikom analize.  </w:t>
      </w:r>
    </w:p>
    <w:p w14:paraId="5892D9F8" w14:textId="77777777" w:rsidR="00466B8B" w:rsidRPr="002A6AB6" w:rsidRDefault="00466B8B" w:rsidP="00587700">
      <w:pPr>
        <w:tabs>
          <w:tab w:val="left" w:pos="567"/>
        </w:tabs>
        <w:jc w:val="both"/>
        <w:rPr>
          <w:sz w:val="22"/>
          <w:szCs w:val="22"/>
          <w:lang w:val="sr-Latn-ME"/>
        </w:rPr>
      </w:pPr>
    </w:p>
    <w:p w14:paraId="14C0DD6E" w14:textId="77777777" w:rsidR="00466B8B" w:rsidRPr="002A6AB6" w:rsidRDefault="00466B8B" w:rsidP="00587700">
      <w:pPr>
        <w:tabs>
          <w:tab w:val="left" w:pos="567"/>
        </w:tabs>
        <w:jc w:val="both"/>
        <w:rPr>
          <w:sz w:val="22"/>
          <w:szCs w:val="22"/>
          <w:lang w:val="sr-Latn-ME"/>
        </w:rPr>
      </w:pPr>
      <w:r w:rsidRPr="002A6AB6">
        <w:rPr>
          <w:sz w:val="22"/>
          <w:szCs w:val="22"/>
          <w:lang w:val="sr-Latn-ME"/>
        </w:rPr>
        <w:t xml:space="preserve">U studijama faze III, između svake doze </w:t>
      </w:r>
      <w:proofErr w:type="spellStart"/>
      <w:r w:rsidRPr="002A6AB6">
        <w:rPr>
          <w:sz w:val="22"/>
          <w:szCs w:val="22"/>
          <w:lang w:val="sr-Latn-ME"/>
        </w:rPr>
        <w:t>intravenskog</w:t>
      </w:r>
      <w:proofErr w:type="spellEnd"/>
      <w:r w:rsidRPr="002A6AB6">
        <w:rPr>
          <w:sz w:val="22"/>
          <w:szCs w:val="22"/>
          <w:lang w:val="sr-Latn-ME"/>
        </w:rPr>
        <w:t xml:space="preserve"> </w:t>
      </w:r>
      <w:proofErr w:type="spellStart"/>
      <w:r w:rsidRPr="002A6AB6">
        <w:rPr>
          <w:sz w:val="22"/>
          <w:szCs w:val="22"/>
          <w:lang w:val="sr-Latn-ME"/>
        </w:rPr>
        <w:t>okrelizumaba</w:t>
      </w:r>
      <w:proofErr w:type="spellEnd"/>
      <w:r w:rsidRPr="002A6AB6">
        <w:rPr>
          <w:sz w:val="22"/>
          <w:szCs w:val="22"/>
          <w:lang w:val="sr-Latn-ME"/>
        </w:rPr>
        <w:t xml:space="preserve">, do 5% pacijenata imalo je </w:t>
      </w:r>
      <w:proofErr w:type="spellStart"/>
      <w:r w:rsidRPr="002A6AB6">
        <w:rPr>
          <w:sz w:val="22"/>
          <w:szCs w:val="22"/>
          <w:lang w:val="sr-Latn-ME"/>
        </w:rPr>
        <w:t>repleciju</w:t>
      </w:r>
      <w:proofErr w:type="spellEnd"/>
      <w:r w:rsidRPr="002A6AB6">
        <w:rPr>
          <w:sz w:val="22"/>
          <w:szCs w:val="22"/>
          <w:lang w:val="sr-Latn-ME"/>
        </w:rPr>
        <w:t xml:space="preserve"> B-ćelija (veću od donje granice normale ili od početnih vrijednosti) barem u jednom trenutku. Obim i trajanje </w:t>
      </w:r>
      <w:proofErr w:type="spellStart"/>
      <w:r w:rsidRPr="002A6AB6">
        <w:rPr>
          <w:sz w:val="22"/>
          <w:szCs w:val="22"/>
          <w:lang w:val="sr-Latn-ME"/>
        </w:rPr>
        <w:t>deplecije</w:t>
      </w:r>
      <w:proofErr w:type="spellEnd"/>
      <w:r w:rsidRPr="002A6AB6">
        <w:rPr>
          <w:sz w:val="22"/>
          <w:szCs w:val="22"/>
          <w:lang w:val="sr-Latn-ME"/>
        </w:rPr>
        <w:t xml:space="preserve"> B-ćelija bili su konzistentni u ispitivanjima PPMS i RMS.  </w:t>
      </w:r>
    </w:p>
    <w:p w14:paraId="45FB92BD" w14:textId="77777777" w:rsidR="00466B8B" w:rsidRPr="002A6AB6" w:rsidRDefault="00466B8B" w:rsidP="00587700">
      <w:pPr>
        <w:tabs>
          <w:tab w:val="left" w:pos="567"/>
        </w:tabs>
        <w:jc w:val="both"/>
        <w:rPr>
          <w:sz w:val="22"/>
          <w:szCs w:val="22"/>
          <w:lang w:val="sr-Latn-ME"/>
        </w:rPr>
      </w:pPr>
    </w:p>
    <w:p w14:paraId="5F3924F7" w14:textId="77777777" w:rsidR="00466B8B" w:rsidRPr="002A6AB6" w:rsidRDefault="00466B8B" w:rsidP="00587700">
      <w:pPr>
        <w:tabs>
          <w:tab w:val="left" w:pos="567"/>
        </w:tabs>
        <w:jc w:val="both"/>
        <w:rPr>
          <w:sz w:val="22"/>
          <w:szCs w:val="22"/>
          <w:lang w:val="sr-Latn-ME"/>
        </w:rPr>
      </w:pPr>
      <w:r w:rsidRPr="002A6AB6">
        <w:rPr>
          <w:sz w:val="22"/>
          <w:szCs w:val="22"/>
          <w:lang w:val="sr-Latn-ME"/>
        </w:rPr>
        <w:t>Najduže vrijeme praćenja nakon posl</w:t>
      </w:r>
      <w:r w:rsidR="00550472" w:rsidRPr="002A6AB6">
        <w:rPr>
          <w:sz w:val="22"/>
          <w:szCs w:val="22"/>
          <w:lang w:val="sr-Latn-ME"/>
        </w:rPr>
        <w:t>j</w:t>
      </w:r>
      <w:r w:rsidRPr="002A6AB6">
        <w:rPr>
          <w:sz w:val="22"/>
          <w:szCs w:val="22"/>
          <w:lang w:val="sr-Latn-ME"/>
        </w:rPr>
        <w:t xml:space="preserve">ednje doze </w:t>
      </w:r>
      <w:proofErr w:type="spellStart"/>
      <w:r w:rsidRPr="002A6AB6">
        <w:rPr>
          <w:sz w:val="22"/>
          <w:szCs w:val="22"/>
          <w:lang w:val="sr-Latn-ME"/>
        </w:rPr>
        <w:t>intravenskog</w:t>
      </w:r>
      <w:proofErr w:type="spellEnd"/>
      <w:r w:rsidRPr="002A6AB6">
        <w:rPr>
          <w:sz w:val="22"/>
          <w:szCs w:val="22"/>
          <w:lang w:val="sr-Latn-ME"/>
        </w:rPr>
        <w:t xml:space="preserve"> </w:t>
      </w:r>
      <w:proofErr w:type="spellStart"/>
      <w:r w:rsidRPr="002A6AB6">
        <w:rPr>
          <w:sz w:val="22"/>
          <w:szCs w:val="22"/>
          <w:lang w:val="sr-Latn-ME"/>
        </w:rPr>
        <w:t>okrelizumaba</w:t>
      </w:r>
      <w:proofErr w:type="spellEnd"/>
      <w:r w:rsidRPr="002A6AB6">
        <w:rPr>
          <w:sz w:val="22"/>
          <w:szCs w:val="22"/>
          <w:lang w:val="sr-Latn-ME"/>
        </w:rPr>
        <w:t xml:space="preserve"> (studija faze II WA21493 N=51) ukazuje na to da je srednje vrijeme do </w:t>
      </w:r>
      <w:proofErr w:type="spellStart"/>
      <w:r w:rsidRPr="002A6AB6">
        <w:rPr>
          <w:sz w:val="22"/>
          <w:szCs w:val="22"/>
          <w:lang w:val="sr-Latn-ME"/>
        </w:rPr>
        <w:t>replecije</w:t>
      </w:r>
      <w:proofErr w:type="spellEnd"/>
      <w:r w:rsidRPr="002A6AB6">
        <w:rPr>
          <w:sz w:val="22"/>
          <w:szCs w:val="22"/>
          <w:lang w:val="sr-Latn-ME"/>
        </w:rPr>
        <w:t xml:space="preserve"> B-ćelija (povratak na početne vrijednosti ili donju granicu normale, do čega god je ranije došlo) bilo 72 nedjelje (raspon 27–175 nedjelja). Od svih pacijenata 90% njih imalo je </w:t>
      </w:r>
      <w:proofErr w:type="spellStart"/>
      <w:r w:rsidRPr="002A6AB6">
        <w:rPr>
          <w:sz w:val="22"/>
          <w:szCs w:val="22"/>
          <w:lang w:val="sr-Latn-ME"/>
        </w:rPr>
        <w:t>repleciju</w:t>
      </w:r>
      <w:proofErr w:type="spellEnd"/>
      <w:r w:rsidRPr="002A6AB6">
        <w:rPr>
          <w:sz w:val="22"/>
          <w:szCs w:val="22"/>
          <w:lang w:val="sr-Latn-ME"/>
        </w:rPr>
        <w:t xml:space="preserve"> B-ćelija i postiglo vrijednost donje granice normale ili početnu vrijednost za, u prosjeku, dvije i po godine nakon posl</w:t>
      </w:r>
      <w:r w:rsidR="00550472" w:rsidRPr="002A6AB6">
        <w:rPr>
          <w:sz w:val="22"/>
          <w:szCs w:val="22"/>
          <w:lang w:val="sr-Latn-ME"/>
        </w:rPr>
        <w:t>j</w:t>
      </w:r>
      <w:r w:rsidRPr="002A6AB6">
        <w:rPr>
          <w:sz w:val="22"/>
          <w:szCs w:val="22"/>
          <w:lang w:val="sr-Latn-ME"/>
        </w:rPr>
        <w:t>ednje infuzije.</w:t>
      </w:r>
    </w:p>
    <w:p w14:paraId="2E4BFC6F" w14:textId="77777777" w:rsidR="00466B8B" w:rsidRPr="002A6AB6" w:rsidRDefault="00466B8B" w:rsidP="00587700">
      <w:pPr>
        <w:tabs>
          <w:tab w:val="left" w:pos="567"/>
        </w:tabs>
        <w:jc w:val="both"/>
        <w:rPr>
          <w:sz w:val="22"/>
          <w:szCs w:val="22"/>
          <w:lang w:val="sr-Latn-ME"/>
        </w:rPr>
      </w:pPr>
    </w:p>
    <w:p w14:paraId="34200CF6" w14:textId="77777777" w:rsidR="00466B8B" w:rsidRPr="002A6AB6" w:rsidRDefault="00466B8B" w:rsidP="00587700">
      <w:pPr>
        <w:tabs>
          <w:tab w:val="left" w:pos="567"/>
        </w:tabs>
        <w:jc w:val="both"/>
        <w:rPr>
          <w:sz w:val="22"/>
          <w:szCs w:val="22"/>
          <w:u w:val="single"/>
          <w:lang w:val="sr-Latn-ME"/>
        </w:rPr>
      </w:pPr>
      <w:r w:rsidRPr="002A6AB6">
        <w:rPr>
          <w:sz w:val="22"/>
          <w:szCs w:val="22"/>
          <w:u w:val="single"/>
          <w:lang w:val="sr-Latn-ME"/>
        </w:rPr>
        <w:t>Klinička efikasnost i bezbjednost</w:t>
      </w:r>
    </w:p>
    <w:p w14:paraId="4C9DFCA7" w14:textId="77777777" w:rsidR="00466B8B" w:rsidRPr="002A6AB6" w:rsidRDefault="00466B8B" w:rsidP="00587700">
      <w:pPr>
        <w:tabs>
          <w:tab w:val="left" w:pos="567"/>
        </w:tabs>
        <w:jc w:val="both"/>
        <w:rPr>
          <w:sz w:val="22"/>
          <w:szCs w:val="22"/>
          <w:lang w:val="sr-Latn-ME"/>
        </w:rPr>
      </w:pPr>
    </w:p>
    <w:p w14:paraId="63F270DA" w14:textId="77777777" w:rsidR="00466B8B" w:rsidRPr="002A6AB6" w:rsidRDefault="00466B8B" w:rsidP="00587700">
      <w:pPr>
        <w:tabs>
          <w:tab w:val="left" w:pos="567"/>
        </w:tabs>
        <w:jc w:val="both"/>
        <w:rPr>
          <w:i/>
          <w:iCs/>
          <w:sz w:val="22"/>
          <w:szCs w:val="22"/>
          <w:u w:val="single"/>
          <w:lang w:val="sr-Latn-ME"/>
        </w:rPr>
      </w:pPr>
      <w:proofErr w:type="spellStart"/>
      <w:r w:rsidRPr="002A6AB6">
        <w:rPr>
          <w:i/>
          <w:iCs/>
          <w:sz w:val="22"/>
          <w:szCs w:val="22"/>
          <w:u w:val="single"/>
          <w:lang w:val="sr-Latn-ME"/>
        </w:rPr>
        <w:t>Subkutana</w:t>
      </w:r>
      <w:proofErr w:type="spellEnd"/>
      <w:r w:rsidRPr="002A6AB6">
        <w:rPr>
          <w:i/>
          <w:iCs/>
          <w:sz w:val="22"/>
          <w:szCs w:val="22"/>
          <w:u w:val="single"/>
          <w:lang w:val="sr-Latn-ME"/>
        </w:rPr>
        <w:t xml:space="preserve"> formulacija </w:t>
      </w:r>
    </w:p>
    <w:p w14:paraId="66E04165" w14:textId="77777777" w:rsidR="00550472" w:rsidRPr="002A6AB6" w:rsidRDefault="00550472" w:rsidP="00587700">
      <w:pPr>
        <w:tabs>
          <w:tab w:val="left" w:pos="567"/>
        </w:tabs>
        <w:jc w:val="both"/>
        <w:rPr>
          <w:i/>
          <w:iCs/>
          <w:sz w:val="22"/>
          <w:szCs w:val="22"/>
          <w:u w:val="single"/>
          <w:lang w:val="sr-Latn-ME"/>
        </w:rPr>
      </w:pPr>
    </w:p>
    <w:p w14:paraId="751F15E6" w14:textId="77777777" w:rsidR="00466B8B" w:rsidRPr="002A6AB6" w:rsidRDefault="00466B8B" w:rsidP="00587700">
      <w:pPr>
        <w:tabs>
          <w:tab w:val="left" w:pos="567"/>
        </w:tabs>
        <w:jc w:val="both"/>
        <w:rPr>
          <w:i/>
          <w:iCs/>
          <w:color w:val="222222"/>
          <w:sz w:val="22"/>
          <w:szCs w:val="22"/>
          <w:shd w:val="clear" w:color="auto" w:fill="FFFFFF"/>
          <w:lang w:val="sr-Latn-ME"/>
        </w:rPr>
      </w:pPr>
      <w:r w:rsidRPr="002A6AB6">
        <w:rPr>
          <w:i/>
          <w:iCs/>
          <w:color w:val="222222"/>
          <w:sz w:val="22"/>
          <w:szCs w:val="22"/>
          <w:shd w:val="clear" w:color="auto" w:fill="FFFFFF"/>
          <w:lang w:val="sr-Latn-ME"/>
        </w:rPr>
        <w:t>OCARINA II</w:t>
      </w:r>
    </w:p>
    <w:p w14:paraId="4497FE3C" w14:textId="77777777" w:rsidR="00466B8B" w:rsidRPr="002A6AB6" w:rsidRDefault="00466B8B" w:rsidP="00587700">
      <w:pPr>
        <w:tabs>
          <w:tab w:val="left" w:pos="567"/>
        </w:tabs>
        <w:jc w:val="both"/>
        <w:rPr>
          <w:bCs/>
          <w:sz w:val="22"/>
          <w:szCs w:val="22"/>
          <w:lang w:val="sr-Latn-ME"/>
        </w:rPr>
      </w:pPr>
      <w:r w:rsidRPr="002A6AB6">
        <w:rPr>
          <w:sz w:val="22"/>
          <w:szCs w:val="22"/>
          <w:lang w:val="sr-Latn-ME"/>
        </w:rPr>
        <w:t xml:space="preserve">Studija CN42097 (OCARINA II) predstavljala je </w:t>
      </w:r>
      <w:proofErr w:type="spellStart"/>
      <w:r w:rsidRPr="002A6AB6">
        <w:rPr>
          <w:sz w:val="22"/>
          <w:szCs w:val="22"/>
          <w:lang w:val="sr-Latn-ME"/>
        </w:rPr>
        <w:t>multicentrično</w:t>
      </w:r>
      <w:proofErr w:type="spellEnd"/>
      <w:r w:rsidRPr="002A6AB6">
        <w:rPr>
          <w:sz w:val="22"/>
          <w:szCs w:val="22"/>
          <w:lang w:val="sr-Latn-ME"/>
        </w:rPr>
        <w:t xml:space="preserve">, </w:t>
      </w:r>
      <w:proofErr w:type="spellStart"/>
      <w:r w:rsidRPr="002A6AB6">
        <w:rPr>
          <w:sz w:val="22"/>
          <w:szCs w:val="22"/>
          <w:lang w:val="sr-Latn-ME"/>
        </w:rPr>
        <w:t>randomizovano</w:t>
      </w:r>
      <w:proofErr w:type="spellEnd"/>
      <w:r w:rsidRPr="002A6AB6">
        <w:rPr>
          <w:sz w:val="22"/>
          <w:szCs w:val="22"/>
          <w:lang w:val="sr-Latn-ME"/>
        </w:rPr>
        <w:t xml:space="preserve">, otvoreno ispitivanje paralelnih grupa sprovedeno kako bi se procijenile </w:t>
      </w:r>
      <w:proofErr w:type="spellStart"/>
      <w:r w:rsidRPr="002A6AB6">
        <w:rPr>
          <w:sz w:val="22"/>
          <w:szCs w:val="22"/>
          <w:lang w:val="sr-Latn-ME"/>
        </w:rPr>
        <w:t>farmakokinetika</w:t>
      </w:r>
      <w:proofErr w:type="spellEnd"/>
      <w:r w:rsidRPr="002A6AB6">
        <w:rPr>
          <w:sz w:val="22"/>
          <w:szCs w:val="22"/>
          <w:lang w:val="sr-Latn-ME"/>
        </w:rPr>
        <w:t xml:space="preserve">, </w:t>
      </w:r>
      <w:proofErr w:type="spellStart"/>
      <w:r w:rsidRPr="002A6AB6">
        <w:rPr>
          <w:sz w:val="22"/>
          <w:szCs w:val="22"/>
          <w:lang w:val="sr-Latn-ME"/>
        </w:rPr>
        <w:t>farmakodinamika</w:t>
      </w:r>
      <w:proofErr w:type="spellEnd"/>
      <w:r w:rsidRPr="002A6AB6">
        <w:rPr>
          <w:sz w:val="22"/>
          <w:szCs w:val="22"/>
          <w:lang w:val="sr-Latn-ME"/>
        </w:rPr>
        <w:t xml:space="preserve">, bezbjednost, </w:t>
      </w:r>
      <w:proofErr w:type="spellStart"/>
      <w:r w:rsidRPr="002A6AB6">
        <w:rPr>
          <w:sz w:val="22"/>
          <w:szCs w:val="22"/>
          <w:lang w:val="sr-Latn-ME"/>
        </w:rPr>
        <w:t>imunogenost</w:t>
      </w:r>
      <w:proofErr w:type="spellEnd"/>
      <w:r w:rsidRPr="002A6AB6">
        <w:rPr>
          <w:sz w:val="22"/>
          <w:szCs w:val="22"/>
          <w:lang w:val="sr-Latn-ME"/>
        </w:rPr>
        <w:t xml:space="preserve">, </w:t>
      </w:r>
      <w:proofErr w:type="spellStart"/>
      <w:r w:rsidRPr="002A6AB6">
        <w:rPr>
          <w:sz w:val="22"/>
          <w:szCs w:val="22"/>
          <w:lang w:val="sr-Latn-ME"/>
        </w:rPr>
        <w:t>radiološki</w:t>
      </w:r>
      <w:proofErr w:type="spellEnd"/>
      <w:r w:rsidRPr="002A6AB6">
        <w:rPr>
          <w:sz w:val="22"/>
          <w:szCs w:val="22"/>
          <w:lang w:val="sr-Latn-ME"/>
        </w:rPr>
        <w:t xml:space="preserve"> i klinički efekti </w:t>
      </w:r>
      <w:proofErr w:type="spellStart"/>
      <w:r w:rsidRPr="002A6AB6">
        <w:rPr>
          <w:sz w:val="22"/>
          <w:szCs w:val="22"/>
          <w:lang w:val="sr-Latn-ME"/>
        </w:rPr>
        <w:t>subkutanog</w:t>
      </w:r>
      <w:proofErr w:type="spellEnd"/>
      <w:r w:rsidRPr="002A6AB6">
        <w:rPr>
          <w:sz w:val="22"/>
          <w:szCs w:val="22"/>
          <w:lang w:val="sr-Latn-ME"/>
        </w:rPr>
        <w:t xml:space="preserve"> </w:t>
      </w:r>
      <w:proofErr w:type="spellStart"/>
      <w:r w:rsidRPr="002A6AB6">
        <w:rPr>
          <w:sz w:val="22"/>
          <w:szCs w:val="22"/>
          <w:lang w:val="sr-Latn-ME"/>
        </w:rPr>
        <w:t>okrelizumaba</w:t>
      </w:r>
      <w:proofErr w:type="spellEnd"/>
      <w:r w:rsidRPr="002A6AB6">
        <w:rPr>
          <w:sz w:val="22"/>
          <w:szCs w:val="22"/>
          <w:lang w:val="sr-Latn-ME"/>
        </w:rPr>
        <w:t xml:space="preserve"> u poređenju sa </w:t>
      </w:r>
      <w:proofErr w:type="spellStart"/>
      <w:r w:rsidRPr="002A6AB6">
        <w:rPr>
          <w:sz w:val="22"/>
          <w:szCs w:val="22"/>
          <w:lang w:val="sr-Latn-ME"/>
        </w:rPr>
        <w:t>intravenskim</w:t>
      </w:r>
      <w:proofErr w:type="spellEnd"/>
      <w:r w:rsidRPr="002A6AB6">
        <w:rPr>
          <w:sz w:val="22"/>
          <w:szCs w:val="22"/>
          <w:lang w:val="sr-Latn-ME"/>
        </w:rPr>
        <w:t xml:space="preserve"> </w:t>
      </w:r>
      <w:proofErr w:type="spellStart"/>
      <w:r w:rsidRPr="002A6AB6">
        <w:rPr>
          <w:sz w:val="22"/>
          <w:szCs w:val="22"/>
          <w:lang w:val="sr-Latn-ME"/>
        </w:rPr>
        <w:t>okrelizumabom</w:t>
      </w:r>
      <w:proofErr w:type="spellEnd"/>
      <w:r w:rsidRPr="002A6AB6">
        <w:rPr>
          <w:sz w:val="22"/>
          <w:szCs w:val="22"/>
          <w:lang w:val="sr-Latn-ME"/>
        </w:rPr>
        <w:t xml:space="preserve"> kod pacijenata sa RMS ili PPMS. OCARINA II dizajnirana je tako da pokaže </w:t>
      </w:r>
      <w:proofErr w:type="spellStart"/>
      <w:r w:rsidRPr="002A6AB6">
        <w:rPr>
          <w:sz w:val="22"/>
          <w:szCs w:val="22"/>
          <w:lang w:val="sr-Latn-ME"/>
        </w:rPr>
        <w:t>neinferiornost</w:t>
      </w:r>
      <w:proofErr w:type="spellEnd"/>
      <w:r w:rsidRPr="002A6AB6">
        <w:rPr>
          <w:sz w:val="22"/>
          <w:szCs w:val="22"/>
          <w:lang w:val="sr-Latn-ME"/>
        </w:rPr>
        <w:t xml:space="preserve"> terapije </w:t>
      </w:r>
      <w:proofErr w:type="spellStart"/>
      <w:r w:rsidRPr="002A6AB6">
        <w:rPr>
          <w:sz w:val="22"/>
          <w:szCs w:val="22"/>
          <w:lang w:val="sr-Latn-ME"/>
        </w:rPr>
        <w:t>subkutanim</w:t>
      </w:r>
      <w:proofErr w:type="spellEnd"/>
      <w:r w:rsidRPr="002A6AB6">
        <w:rPr>
          <w:sz w:val="22"/>
          <w:szCs w:val="22"/>
          <w:lang w:val="sr-Latn-ME"/>
        </w:rPr>
        <w:t xml:space="preserve"> </w:t>
      </w:r>
      <w:proofErr w:type="spellStart"/>
      <w:r w:rsidRPr="002A6AB6">
        <w:rPr>
          <w:sz w:val="22"/>
          <w:szCs w:val="22"/>
          <w:lang w:val="sr-Latn-ME"/>
        </w:rPr>
        <w:t>okrelizumabom</w:t>
      </w:r>
      <w:proofErr w:type="spellEnd"/>
      <w:r w:rsidRPr="002A6AB6">
        <w:rPr>
          <w:sz w:val="22"/>
          <w:szCs w:val="22"/>
          <w:lang w:val="sr-Latn-ME"/>
        </w:rPr>
        <w:t xml:space="preserve"> u poređenju sa </w:t>
      </w:r>
      <w:proofErr w:type="spellStart"/>
      <w:r w:rsidRPr="002A6AB6">
        <w:rPr>
          <w:sz w:val="22"/>
          <w:szCs w:val="22"/>
          <w:lang w:val="sr-Latn-ME"/>
        </w:rPr>
        <w:t>intravenskim</w:t>
      </w:r>
      <w:proofErr w:type="spellEnd"/>
      <w:r w:rsidRPr="002A6AB6">
        <w:rPr>
          <w:sz w:val="22"/>
          <w:szCs w:val="22"/>
          <w:lang w:val="sr-Latn-ME"/>
        </w:rPr>
        <w:t xml:space="preserve"> </w:t>
      </w:r>
      <w:proofErr w:type="spellStart"/>
      <w:r w:rsidRPr="002A6AB6">
        <w:rPr>
          <w:sz w:val="22"/>
          <w:szCs w:val="22"/>
          <w:lang w:val="sr-Latn-ME"/>
        </w:rPr>
        <w:t>okrelizumabom</w:t>
      </w:r>
      <w:proofErr w:type="spellEnd"/>
      <w:r w:rsidRPr="002A6AB6">
        <w:rPr>
          <w:sz w:val="22"/>
          <w:szCs w:val="22"/>
          <w:lang w:val="sr-Latn-ME"/>
        </w:rPr>
        <w:t xml:space="preserve"> na osnovu primarnog </w:t>
      </w:r>
      <w:proofErr w:type="spellStart"/>
      <w:r w:rsidRPr="002A6AB6">
        <w:rPr>
          <w:sz w:val="22"/>
          <w:szCs w:val="22"/>
          <w:lang w:val="sr-Latn-ME"/>
        </w:rPr>
        <w:t>farmakokinetskog</w:t>
      </w:r>
      <w:proofErr w:type="spellEnd"/>
      <w:r w:rsidRPr="002A6AB6">
        <w:rPr>
          <w:sz w:val="22"/>
          <w:szCs w:val="22"/>
          <w:lang w:val="sr-Latn-ME"/>
        </w:rPr>
        <w:t xml:space="preserve"> parametra praćenja oblasti ispod krive koncentracije (AUC) do 12. nedjelje nakon injekcije/infuzije (AUC</w:t>
      </w:r>
      <w:r w:rsidRPr="002A6AB6">
        <w:rPr>
          <w:sz w:val="22"/>
          <w:szCs w:val="22"/>
          <w:vertAlign w:val="subscript"/>
          <w:lang w:val="sr-Latn-ME"/>
        </w:rPr>
        <w:t>w1-12</w:t>
      </w:r>
      <w:r w:rsidRPr="002A6AB6">
        <w:rPr>
          <w:sz w:val="22"/>
          <w:szCs w:val="22"/>
          <w:lang w:val="sr-Latn-ME"/>
        </w:rPr>
        <w:t xml:space="preserve">). </w:t>
      </w:r>
    </w:p>
    <w:p w14:paraId="16010A02" w14:textId="77777777" w:rsidR="00466B8B" w:rsidRPr="002A6AB6" w:rsidRDefault="00466B8B" w:rsidP="00587700">
      <w:pPr>
        <w:tabs>
          <w:tab w:val="left" w:pos="567"/>
        </w:tabs>
        <w:jc w:val="both"/>
        <w:rPr>
          <w:sz w:val="22"/>
          <w:szCs w:val="22"/>
          <w:lang w:val="sr-Latn-ME"/>
        </w:rPr>
      </w:pPr>
    </w:p>
    <w:p w14:paraId="40E9A9C5" w14:textId="77777777" w:rsidR="00466B8B" w:rsidRPr="002A6AB6" w:rsidRDefault="00466B8B" w:rsidP="00587700">
      <w:pPr>
        <w:tabs>
          <w:tab w:val="left" w:pos="567"/>
        </w:tabs>
        <w:jc w:val="both"/>
        <w:rPr>
          <w:sz w:val="22"/>
          <w:szCs w:val="22"/>
          <w:lang w:val="sr-Latn-ME"/>
        </w:rPr>
      </w:pPr>
      <w:r w:rsidRPr="002A6AB6">
        <w:rPr>
          <w:sz w:val="22"/>
          <w:szCs w:val="22"/>
          <w:lang w:val="sr-Latn-ME"/>
        </w:rPr>
        <w:t xml:space="preserve">Ukupno 236 pacijenata sa RMS ili PPMS (213 pacijenata sa RMS, 23 pacijenta sa PPMS) bilo je </w:t>
      </w:r>
      <w:proofErr w:type="spellStart"/>
      <w:r w:rsidRPr="002A6AB6">
        <w:rPr>
          <w:sz w:val="22"/>
          <w:szCs w:val="22"/>
          <w:lang w:val="sr-Latn-ME"/>
        </w:rPr>
        <w:t>randomizovano</w:t>
      </w:r>
      <w:proofErr w:type="spellEnd"/>
      <w:r w:rsidRPr="002A6AB6">
        <w:rPr>
          <w:sz w:val="22"/>
          <w:szCs w:val="22"/>
          <w:lang w:val="sr-Latn-ME"/>
        </w:rPr>
        <w:t xml:space="preserve"> u odnosu 1 : 1 u grupu koja je lijek primala </w:t>
      </w:r>
      <w:proofErr w:type="spellStart"/>
      <w:r w:rsidRPr="002A6AB6">
        <w:rPr>
          <w:sz w:val="22"/>
          <w:szCs w:val="22"/>
          <w:lang w:val="sr-Latn-ME"/>
        </w:rPr>
        <w:t>subkutano</w:t>
      </w:r>
      <w:proofErr w:type="spellEnd"/>
      <w:r w:rsidRPr="002A6AB6">
        <w:rPr>
          <w:sz w:val="22"/>
          <w:szCs w:val="22"/>
          <w:lang w:val="sr-Latn-ME"/>
        </w:rPr>
        <w:t xml:space="preserve"> ili grupu koja je primala </w:t>
      </w:r>
      <w:proofErr w:type="spellStart"/>
      <w:r w:rsidRPr="002A6AB6">
        <w:rPr>
          <w:sz w:val="22"/>
          <w:szCs w:val="22"/>
          <w:lang w:val="sr-Latn-ME"/>
        </w:rPr>
        <w:t>intravenski</w:t>
      </w:r>
      <w:proofErr w:type="spellEnd"/>
      <w:r w:rsidRPr="002A6AB6">
        <w:rPr>
          <w:sz w:val="22"/>
          <w:szCs w:val="22"/>
          <w:lang w:val="sr-Latn-ME"/>
        </w:rPr>
        <w:t xml:space="preserve">. Tokom kontrolisanog perioda (0. dan do 24. nedjelje), pacijenti su primali ili jednu </w:t>
      </w:r>
      <w:proofErr w:type="spellStart"/>
      <w:r w:rsidRPr="002A6AB6">
        <w:rPr>
          <w:sz w:val="22"/>
          <w:szCs w:val="22"/>
          <w:lang w:val="sr-Latn-ME"/>
        </w:rPr>
        <w:t>subkutanu</w:t>
      </w:r>
      <w:proofErr w:type="spellEnd"/>
      <w:r w:rsidRPr="002A6AB6">
        <w:rPr>
          <w:sz w:val="22"/>
          <w:szCs w:val="22"/>
          <w:lang w:val="sr-Latn-ME"/>
        </w:rPr>
        <w:t xml:space="preserve"> injekciju od 920 mg 1. dana studije ili dvije </w:t>
      </w:r>
      <w:proofErr w:type="spellStart"/>
      <w:r w:rsidRPr="002A6AB6">
        <w:rPr>
          <w:sz w:val="22"/>
          <w:szCs w:val="22"/>
          <w:lang w:val="sr-Latn-ME"/>
        </w:rPr>
        <w:t>intravenske</w:t>
      </w:r>
      <w:proofErr w:type="spellEnd"/>
      <w:r w:rsidRPr="002A6AB6">
        <w:rPr>
          <w:sz w:val="22"/>
          <w:szCs w:val="22"/>
          <w:lang w:val="sr-Latn-ME"/>
        </w:rPr>
        <w:t xml:space="preserve"> infuzije od 300 mg 1. i 14. dana studije. Nakon kontrolisanog perioda svi pacijenti imali su mogućnost da i dalje primaju </w:t>
      </w:r>
      <w:proofErr w:type="spellStart"/>
      <w:r w:rsidRPr="002A6AB6">
        <w:rPr>
          <w:sz w:val="22"/>
          <w:szCs w:val="22"/>
          <w:lang w:val="sr-Latn-ME"/>
        </w:rPr>
        <w:t>subkutane</w:t>
      </w:r>
      <w:proofErr w:type="spellEnd"/>
      <w:r w:rsidRPr="002A6AB6">
        <w:rPr>
          <w:sz w:val="22"/>
          <w:szCs w:val="22"/>
          <w:lang w:val="sr-Latn-ME"/>
        </w:rPr>
        <w:t xml:space="preserve"> injekcije 920 mg </w:t>
      </w:r>
      <w:proofErr w:type="spellStart"/>
      <w:r w:rsidRPr="002A6AB6">
        <w:rPr>
          <w:sz w:val="22"/>
          <w:szCs w:val="22"/>
          <w:lang w:val="sr-Latn-ME"/>
        </w:rPr>
        <w:t>okrelizumaba</w:t>
      </w:r>
      <w:proofErr w:type="spellEnd"/>
      <w:r w:rsidRPr="002A6AB6">
        <w:rPr>
          <w:sz w:val="22"/>
          <w:szCs w:val="22"/>
          <w:lang w:val="sr-Latn-ME"/>
        </w:rPr>
        <w:t xml:space="preserve"> u 24. i 48. nedjelji (2. odnosno 3. doza). Pacijenti su bili isključeni ako su prethodno primali terapiju anti-CD20 antitijelima u toku prethodna 24 mjeseca, uključujući </w:t>
      </w:r>
      <w:proofErr w:type="spellStart"/>
      <w:r w:rsidRPr="002A6AB6">
        <w:rPr>
          <w:sz w:val="22"/>
          <w:szCs w:val="22"/>
          <w:lang w:val="sr-Latn-ME"/>
        </w:rPr>
        <w:t>okrelizumab</w:t>
      </w:r>
      <w:proofErr w:type="spellEnd"/>
      <w:r w:rsidRPr="002A6AB6">
        <w:rPr>
          <w:sz w:val="22"/>
          <w:szCs w:val="22"/>
          <w:lang w:val="sr-Latn-ME"/>
        </w:rPr>
        <w:t xml:space="preserve">. </w:t>
      </w:r>
    </w:p>
    <w:p w14:paraId="5F22C980" w14:textId="77777777" w:rsidR="00466B8B" w:rsidRPr="002A6AB6" w:rsidRDefault="00466B8B" w:rsidP="00587700">
      <w:pPr>
        <w:tabs>
          <w:tab w:val="left" w:pos="567"/>
        </w:tabs>
        <w:jc w:val="both"/>
        <w:rPr>
          <w:sz w:val="22"/>
          <w:szCs w:val="22"/>
          <w:lang w:val="sr-Latn-ME"/>
        </w:rPr>
      </w:pPr>
    </w:p>
    <w:p w14:paraId="549912A8" w14:textId="77777777" w:rsidR="00466B8B" w:rsidRPr="002A6AB6" w:rsidRDefault="00466B8B" w:rsidP="00587700">
      <w:pPr>
        <w:tabs>
          <w:tab w:val="left" w:pos="567"/>
        </w:tabs>
        <w:jc w:val="both"/>
        <w:rPr>
          <w:sz w:val="22"/>
          <w:szCs w:val="22"/>
          <w:lang w:val="sr-Latn-ME"/>
        </w:rPr>
      </w:pPr>
      <w:r w:rsidRPr="002A6AB6">
        <w:rPr>
          <w:sz w:val="22"/>
          <w:szCs w:val="22"/>
          <w:lang w:val="sr-Latn-ME"/>
        </w:rPr>
        <w:lastRenderedPageBreak/>
        <w:t xml:space="preserve">Pacijenti su imali od 18 do 65 godina sa EDSS između 0 i 6,5 pri </w:t>
      </w:r>
      <w:proofErr w:type="spellStart"/>
      <w:r w:rsidRPr="002A6AB6">
        <w:rPr>
          <w:sz w:val="22"/>
          <w:szCs w:val="22"/>
          <w:lang w:val="sr-Latn-ME"/>
        </w:rPr>
        <w:t>skriningu</w:t>
      </w:r>
      <w:proofErr w:type="spellEnd"/>
      <w:r w:rsidRPr="002A6AB6">
        <w:rPr>
          <w:sz w:val="22"/>
          <w:szCs w:val="22"/>
          <w:lang w:val="sr-Latn-ME"/>
        </w:rPr>
        <w:t xml:space="preserve">. Demografske karakteristike bile su slične, a karakteristike pacijenata na uključenju bile su ujednačene u obe terapijske grupe. Srednja starost iznosila je 39,9 godina u grupi koja je lijek primala </w:t>
      </w:r>
      <w:proofErr w:type="spellStart"/>
      <w:r w:rsidRPr="002A6AB6">
        <w:rPr>
          <w:sz w:val="22"/>
          <w:szCs w:val="22"/>
          <w:lang w:val="sr-Latn-ME"/>
        </w:rPr>
        <w:t>subkutano</w:t>
      </w:r>
      <w:proofErr w:type="spellEnd"/>
      <w:r w:rsidRPr="002A6AB6">
        <w:rPr>
          <w:sz w:val="22"/>
          <w:szCs w:val="22"/>
          <w:lang w:val="sr-Latn-ME"/>
        </w:rPr>
        <w:t xml:space="preserve"> i 40 godina u grupi koja je lijek primala </w:t>
      </w:r>
      <w:proofErr w:type="spellStart"/>
      <w:r w:rsidRPr="002A6AB6">
        <w:rPr>
          <w:sz w:val="22"/>
          <w:szCs w:val="22"/>
          <w:lang w:val="sr-Latn-ME"/>
        </w:rPr>
        <w:t>intravenski</w:t>
      </w:r>
      <w:proofErr w:type="spellEnd"/>
      <w:r w:rsidRPr="002A6AB6">
        <w:rPr>
          <w:sz w:val="22"/>
          <w:szCs w:val="22"/>
          <w:lang w:val="sr-Latn-ME"/>
        </w:rPr>
        <w:t xml:space="preserve">. Ukupno 34,7% pacijenata bilo je muškog pola u grupi koja je lijek primala </w:t>
      </w:r>
      <w:proofErr w:type="spellStart"/>
      <w:r w:rsidRPr="002A6AB6">
        <w:rPr>
          <w:sz w:val="22"/>
          <w:szCs w:val="22"/>
          <w:lang w:val="sr-Latn-ME"/>
        </w:rPr>
        <w:t>subkutano</w:t>
      </w:r>
      <w:proofErr w:type="spellEnd"/>
      <w:r w:rsidRPr="002A6AB6">
        <w:rPr>
          <w:sz w:val="22"/>
          <w:szCs w:val="22"/>
          <w:lang w:val="sr-Latn-ME"/>
        </w:rPr>
        <w:t xml:space="preserve">, a 40,7% bilo je muškog pola u grupi koja je lijek primala </w:t>
      </w:r>
      <w:proofErr w:type="spellStart"/>
      <w:r w:rsidRPr="002A6AB6">
        <w:rPr>
          <w:sz w:val="22"/>
          <w:szCs w:val="22"/>
          <w:lang w:val="sr-Latn-ME"/>
        </w:rPr>
        <w:t>intravenski</w:t>
      </w:r>
      <w:proofErr w:type="spellEnd"/>
      <w:r w:rsidRPr="002A6AB6">
        <w:rPr>
          <w:sz w:val="22"/>
          <w:szCs w:val="22"/>
          <w:lang w:val="sr-Latn-ME"/>
        </w:rPr>
        <w:t>. Srednje trajanje/</w:t>
      </w:r>
      <w:proofErr w:type="spellStart"/>
      <w:r w:rsidRPr="002A6AB6">
        <w:rPr>
          <w:sz w:val="22"/>
          <w:szCs w:val="22"/>
          <w:lang w:val="sr-Latn-ME"/>
        </w:rPr>
        <w:t>medijana</w:t>
      </w:r>
      <w:proofErr w:type="spellEnd"/>
      <w:r w:rsidRPr="002A6AB6">
        <w:rPr>
          <w:sz w:val="22"/>
          <w:szCs w:val="22"/>
          <w:lang w:val="sr-Latn-ME"/>
        </w:rPr>
        <w:t xml:space="preserve"> trajanja od postavljanja dijagnoze iznosila je 5,70/3,10 godina u grupi koja je lijek primala </w:t>
      </w:r>
      <w:proofErr w:type="spellStart"/>
      <w:r w:rsidRPr="002A6AB6">
        <w:rPr>
          <w:sz w:val="22"/>
          <w:szCs w:val="22"/>
          <w:lang w:val="sr-Latn-ME"/>
        </w:rPr>
        <w:t>subkutano</w:t>
      </w:r>
      <w:proofErr w:type="spellEnd"/>
      <w:r w:rsidRPr="002A6AB6">
        <w:rPr>
          <w:sz w:val="22"/>
          <w:szCs w:val="22"/>
          <w:lang w:val="sr-Latn-ME"/>
        </w:rPr>
        <w:t xml:space="preserve"> i 4,78/2,35 godina u grupi koja je lijek primala </w:t>
      </w:r>
      <w:proofErr w:type="spellStart"/>
      <w:r w:rsidRPr="002A6AB6">
        <w:rPr>
          <w:sz w:val="22"/>
          <w:szCs w:val="22"/>
          <w:lang w:val="sr-Latn-ME"/>
        </w:rPr>
        <w:t>intravenski</w:t>
      </w:r>
      <w:proofErr w:type="spellEnd"/>
      <w:r w:rsidRPr="002A6AB6">
        <w:rPr>
          <w:sz w:val="22"/>
          <w:szCs w:val="22"/>
          <w:lang w:val="sr-Latn-ME"/>
        </w:rPr>
        <w:t xml:space="preserve">. </w:t>
      </w:r>
    </w:p>
    <w:p w14:paraId="0F6DAB19" w14:textId="77777777" w:rsidR="00466B8B" w:rsidRPr="002A6AB6" w:rsidRDefault="00466B8B" w:rsidP="00587700">
      <w:pPr>
        <w:tabs>
          <w:tab w:val="left" w:pos="567"/>
        </w:tabs>
        <w:jc w:val="both"/>
        <w:rPr>
          <w:bCs/>
          <w:sz w:val="22"/>
          <w:szCs w:val="22"/>
          <w:lang w:val="sr-Latn-ME"/>
        </w:rPr>
      </w:pPr>
    </w:p>
    <w:p w14:paraId="7D499F6B" w14:textId="77777777" w:rsidR="00466B8B" w:rsidRPr="002A6AB6" w:rsidRDefault="00466B8B" w:rsidP="00587700">
      <w:pPr>
        <w:tabs>
          <w:tab w:val="left" w:pos="567"/>
        </w:tabs>
        <w:jc w:val="both"/>
        <w:rPr>
          <w:bCs/>
          <w:sz w:val="22"/>
          <w:szCs w:val="22"/>
          <w:lang w:val="sr-Latn-ME"/>
        </w:rPr>
      </w:pPr>
      <w:proofErr w:type="spellStart"/>
      <w:r w:rsidRPr="002A6AB6">
        <w:rPr>
          <w:sz w:val="22"/>
          <w:szCs w:val="22"/>
          <w:lang w:val="sr-Latn-ME"/>
        </w:rPr>
        <w:t>Neinferiornost</w:t>
      </w:r>
      <w:proofErr w:type="spellEnd"/>
      <w:r w:rsidRPr="002A6AB6">
        <w:rPr>
          <w:sz w:val="22"/>
          <w:szCs w:val="22"/>
          <w:lang w:val="sr-Latn-ME"/>
        </w:rPr>
        <w:t xml:space="preserve"> izloženosti </w:t>
      </w:r>
      <w:proofErr w:type="spellStart"/>
      <w:r w:rsidRPr="002A6AB6">
        <w:rPr>
          <w:sz w:val="22"/>
          <w:szCs w:val="22"/>
          <w:lang w:val="sr-Latn-ME"/>
        </w:rPr>
        <w:t>okrelizumabu</w:t>
      </w:r>
      <w:proofErr w:type="spellEnd"/>
      <w:r w:rsidRPr="002A6AB6">
        <w:rPr>
          <w:sz w:val="22"/>
          <w:szCs w:val="22"/>
          <w:lang w:val="sr-Latn-ME"/>
        </w:rPr>
        <w:t xml:space="preserve"> nakon primjene 920 mg </w:t>
      </w:r>
      <w:proofErr w:type="spellStart"/>
      <w:r w:rsidRPr="002A6AB6">
        <w:rPr>
          <w:sz w:val="22"/>
          <w:szCs w:val="22"/>
          <w:lang w:val="sr-Latn-ME"/>
        </w:rPr>
        <w:t>subkutanog</w:t>
      </w:r>
      <w:proofErr w:type="spellEnd"/>
      <w:r w:rsidRPr="002A6AB6">
        <w:rPr>
          <w:sz w:val="22"/>
          <w:szCs w:val="22"/>
          <w:lang w:val="sr-Latn-ME"/>
        </w:rPr>
        <w:t xml:space="preserve"> </w:t>
      </w:r>
      <w:proofErr w:type="spellStart"/>
      <w:r w:rsidRPr="002A6AB6">
        <w:rPr>
          <w:sz w:val="22"/>
          <w:szCs w:val="22"/>
          <w:lang w:val="sr-Latn-ME"/>
        </w:rPr>
        <w:t>okrelizumaba</w:t>
      </w:r>
      <w:proofErr w:type="spellEnd"/>
      <w:r w:rsidRPr="002A6AB6">
        <w:rPr>
          <w:sz w:val="22"/>
          <w:szCs w:val="22"/>
          <w:lang w:val="sr-Latn-ME"/>
        </w:rPr>
        <w:t xml:space="preserve"> u poređenju sa 600 mg </w:t>
      </w:r>
      <w:proofErr w:type="spellStart"/>
      <w:r w:rsidRPr="002A6AB6">
        <w:rPr>
          <w:sz w:val="22"/>
          <w:szCs w:val="22"/>
          <w:lang w:val="sr-Latn-ME"/>
        </w:rPr>
        <w:t>intravenskog</w:t>
      </w:r>
      <w:proofErr w:type="spellEnd"/>
      <w:r w:rsidRPr="002A6AB6">
        <w:rPr>
          <w:sz w:val="22"/>
          <w:szCs w:val="22"/>
          <w:lang w:val="sr-Latn-ME"/>
        </w:rPr>
        <w:t xml:space="preserve"> </w:t>
      </w:r>
      <w:proofErr w:type="spellStart"/>
      <w:r w:rsidRPr="002A6AB6">
        <w:rPr>
          <w:sz w:val="22"/>
          <w:szCs w:val="22"/>
          <w:lang w:val="sr-Latn-ME"/>
        </w:rPr>
        <w:t>okrelizumaba</w:t>
      </w:r>
      <w:proofErr w:type="spellEnd"/>
      <w:r w:rsidRPr="002A6AB6">
        <w:rPr>
          <w:sz w:val="22"/>
          <w:szCs w:val="22"/>
          <w:lang w:val="sr-Latn-ME"/>
        </w:rPr>
        <w:t xml:space="preserve"> pokazana je na osnovu primarnog </w:t>
      </w:r>
      <w:proofErr w:type="spellStart"/>
      <w:r w:rsidRPr="002A6AB6">
        <w:rPr>
          <w:sz w:val="22"/>
          <w:szCs w:val="22"/>
          <w:lang w:val="sr-Latn-ME"/>
        </w:rPr>
        <w:t>farmakokinetskog</w:t>
      </w:r>
      <w:proofErr w:type="spellEnd"/>
      <w:r w:rsidRPr="002A6AB6">
        <w:rPr>
          <w:sz w:val="22"/>
          <w:szCs w:val="22"/>
          <w:lang w:val="sr-Latn-ME"/>
        </w:rPr>
        <w:t xml:space="preserve"> parametra praćenja, AUC do 12. nedjelje (AUC</w:t>
      </w:r>
      <w:r w:rsidRPr="002A6AB6">
        <w:rPr>
          <w:sz w:val="22"/>
          <w:szCs w:val="22"/>
          <w:vertAlign w:val="subscript"/>
          <w:lang w:val="sr-Latn-ME"/>
        </w:rPr>
        <w:t>w1-12</w:t>
      </w:r>
      <w:r w:rsidRPr="002A6AB6">
        <w:rPr>
          <w:sz w:val="22"/>
          <w:szCs w:val="22"/>
          <w:lang w:val="sr-Latn-ME"/>
        </w:rPr>
        <w:t xml:space="preserve">) nakon primjene injekcije (vidjeti </w:t>
      </w:r>
      <w:r w:rsidR="00ED0D01" w:rsidRPr="002A6AB6">
        <w:rPr>
          <w:sz w:val="22"/>
          <w:szCs w:val="22"/>
          <w:lang w:val="sr-Latn-ME"/>
        </w:rPr>
        <w:t xml:space="preserve">dio </w:t>
      </w:r>
      <w:r w:rsidRPr="002A6AB6">
        <w:rPr>
          <w:sz w:val="22"/>
          <w:szCs w:val="22"/>
          <w:lang w:val="sr-Latn-ME"/>
        </w:rPr>
        <w:t xml:space="preserve">5.2). </w:t>
      </w:r>
    </w:p>
    <w:p w14:paraId="0C75B4B3" w14:textId="77777777" w:rsidR="00466B8B" w:rsidRPr="002A6AB6" w:rsidRDefault="00466B8B" w:rsidP="00587700">
      <w:pPr>
        <w:keepNext/>
        <w:keepLines/>
        <w:autoSpaceDE w:val="0"/>
        <w:autoSpaceDN w:val="0"/>
        <w:adjustRightInd w:val="0"/>
        <w:jc w:val="both"/>
        <w:rPr>
          <w:color w:val="222222"/>
          <w:sz w:val="22"/>
          <w:szCs w:val="22"/>
          <w:shd w:val="clear" w:color="auto" w:fill="FFFFFF"/>
          <w:lang w:val="sr-Latn-ME" w:eastAsia="ja-JP"/>
        </w:rPr>
      </w:pPr>
    </w:p>
    <w:p w14:paraId="1AA1EF00" w14:textId="77777777" w:rsidR="00466B8B" w:rsidRPr="002A6AB6" w:rsidRDefault="00466B8B" w:rsidP="00587700">
      <w:pPr>
        <w:keepNext/>
        <w:keepLines/>
        <w:autoSpaceDE w:val="0"/>
        <w:autoSpaceDN w:val="0"/>
        <w:adjustRightInd w:val="0"/>
        <w:jc w:val="both"/>
        <w:rPr>
          <w:i/>
          <w:iCs/>
          <w:sz w:val="22"/>
          <w:szCs w:val="22"/>
          <w:u w:val="single"/>
          <w:lang w:val="sr-Latn-ME" w:eastAsia="ja-JP"/>
        </w:rPr>
      </w:pPr>
      <w:proofErr w:type="spellStart"/>
      <w:r w:rsidRPr="002A6AB6">
        <w:rPr>
          <w:i/>
          <w:iCs/>
          <w:sz w:val="22"/>
          <w:szCs w:val="22"/>
          <w:u w:val="single"/>
          <w:lang w:val="sr-Latn-ME" w:eastAsia="ja-JP"/>
        </w:rPr>
        <w:t>Intravenska</w:t>
      </w:r>
      <w:proofErr w:type="spellEnd"/>
      <w:r w:rsidRPr="002A6AB6">
        <w:rPr>
          <w:i/>
          <w:iCs/>
          <w:sz w:val="22"/>
          <w:szCs w:val="22"/>
          <w:u w:val="single"/>
          <w:lang w:val="sr-Latn-ME" w:eastAsia="ja-JP"/>
        </w:rPr>
        <w:t xml:space="preserve"> formulacija </w:t>
      </w:r>
    </w:p>
    <w:p w14:paraId="515AA0C6" w14:textId="77777777" w:rsidR="00466B8B" w:rsidRPr="002A6AB6" w:rsidRDefault="00466B8B" w:rsidP="00587700">
      <w:pPr>
        <w:keepNext/>
        <w:keepLines/>
        <w:autoSpaceDE w:val="0"/>
        <w:autoSpaceDN w:val="0"/>
        <w:adjustRightInd w:val="0"/>
        <w:jc w:val="both"/>
        <w:rPr>
          <w:i/>
          <w:iCs/>
          <w:sz w:val="22"/>
          <w:szCs w:val="22"/>
          <w:u w:val="single"/>
          <w:lang w:val="sr-Latn-ME" w:eastAsia="ja-JP"/>
        </w:rPr>
      </w:pPr>
    </w:p>
    <w:p w14:paraId="1CD6BA9A" w14:textId="77777777" w:rsidR="00466B8B" w:rsidRPr="002A6AB6" w:rsidRDefault="00466B8B" w:rsidP="00587700">
      <w:pPr>
        <w:keepNext/>
        <w:keepLines/>
        <w:jc w:val="both"/>
        <w:rPr>
          <w:i/>
          <w:sz w:val="22"/>
          <w:szCs w:val="22"/>
          <w:lang w:val="sr-Latn-ME" w:eastAsia="ja-JP"/>
        </w:rPr>
      </w:pPr>
      <w:proofErr w:type="spellStart"/>
      <w:r w:rsidRPr="002A6AB6">
        <w:rPr>
          <w:i/>
          <w:iCs/>
          <w:sz w:val="22"/>
          <w:szCs w:val="22"/>
          <w:lang w:val="sr-Latn-ME" w:eastAsia="ja-JP"/>
        </w:rPr>
        <w:t>Relapsni</w:t>
      </w:r>
      <w:proofErr w:type="spellEnd"/>
      <w:r w:rsidRPr="002A6AB6">
        <w:rPr>
          <w:i/>
          <w:iCs/>
          <w:sz w:val="22"/>
          <w:szCs w:val="22"/>
          <w:lang w:val="sr-Latn-ME" w:eastAsia="ja-JP"/>
        </w:rPr>
        <w:t xml:space="preserve"> oblici multiple skleroze (RMS)</w:t>
      </w:r>
    </w:p>
    <w:p w14:paraId="74C16448" w14:textId="77777777" w:rsidR="00466B8B" w:rsidRPr="002A6AB6" w:rsidRDefault="00466B8B" w:rsidP="00587700">
      <w:pPr>
        <w:keepNext/>
        <w:tabs>
          <w:tab w:val="left" w:pos="567"/>
        </w:tabs>
        <w:jc w:val="both"/>
        <w:rPr>
          <w:rFonts w:eastAsia="SimSun"/>
          <w:sz w:val="22"/>
          <w:szCs w:val="22"/>
          <w:lang w:val="sr-Latn-ME"/>
        </w:rPr>
      </w:pPr>
    </w:p>
    <w:p w14:paraId="3A312328" w14:textId="77777777" w:rsidR="00466B8B" w:rsidRPr="002A6AB6" w:rsidRDefault="00466B8B" w:rsidP="00587700">
      <w:pPr>
        <w:keepNext/>
        <w:tabs>
          <w:tab w:val="left" w:pos="567"/>
        </w:tabs>
        <w:jc w:val="both"/>
        <w:rPr>
          <w:sz w:val="22"/>
          <w:szCs w:val="22"/>
          <w:lang w:val="sr-Latn-ME"/>
        </w:rPr>
      </w:pPr>
      <w:r w:rsidRPr="002A6AB6">
        <w:rPr>
          <w:sz w:val="22"/>
          <w:szCs w:val="22"/>
          <w:lang w:val="sr-Latn-ME"/>
        </w:rPr>
        <w:t xml:space="preserve">Efikasnost i bezbjednost </w:t>
      </w:r>
      <w:proofErr w:type="spellStart"/>
      <w:r w:rsidRPr="002A6AB6">
        <w:rPr>
          <w:sz w:val="22"/>
          <w:szCs w:val="22"/>
          <w:lang w:val="sr-Latn-ME"/>
        </w:rPr>
        <w:t>okrelizumaba</w:t>
      </w:r>
      <w:proofErr w:type="spellEnd"/>
      <w:r w:rsidRPr="002A6AB6">
        <w:rPr>
          <w:sz w:val="22"/>
          <w:szCs w:val="22"/>
          <w:lang w:val="sr-Latn-ME"/>
        </w:rPr>
        <w:t xml:space="preserve"> bile su procjenjivane u dva </w:t>
      </w:r>
      <w:proofErr w:type="spellStart"/>
      <w:r w:rsidRPr="002A6AB6">
        <w:rPr>
          <w:sz w:val="22"/>
          <w:szCs w:val="22"/>
          <w:lang w:val="sr-Latn-ME"/>
        </w:rPr>
        <w:t>randomizovana</w:t>
      </w:r>
      <w:proofErr w:type="spellEnd"/>
      <w:r w:rsidRPr="002A6AB6">
        <w:rPr>
          <w:sz w:val="22"/>
          <w:szCs w:val="22"/>
          <w:lang w:val="sr-Latn-ME"/>
        </w:rPr>
        <w:t xml:space="preserve">, dvostruko slijepa, dvostruko maskirana, aktivnim </w:t>
      </w:r>
      <w:proofErr w:type="spellStart"/>
      <w:r w:rsidRPr="002A6AB6">
        <w:rPr>
          <w:sz w:val="22"/>
          <w:szCs w:val="22"/>
          <w:lang w:val="sr-Latn-ME"/>
        </w:rPr>
        <w:t>komparatorom</w:t>
      </w:r>
      <w:proofErr w:type="spellEnd"/>
      <w:r w:rsidRPr="002A6AB6">
        <w:rPr>
          <w:sz w:val="22"/>
          <w:szCs w:val="22"/>
          <w:lang w:val="sr-Latn-ME"/>
        </w:rPr>
        <w:t xml:space="preserve"> kontrolisana klinička ispitivanja (WA21092 i WA21093), identičnog dizajna, kod pacijenata sa </w:t>
      </w:r>
      <w:proofErr w:type="spellStart"/>
      <w:r w:rsidRPr="002A6AB6">
        <w:rPr>
          <w:sz w:val="22"/>
          <w:szCs w:val="22"/>
          <w:lang w:val="sr-Latn-ME"/>
        </w:rPr>
        <w:t>relapsnim</w:t>
      </w:r>
      <w:proofErr w:type="spellEnd"/>
      <w:r w:rsidRPr="002A6AB6">
        <w:rPr>
          <w:sz w:val="22"/>
          <w:szCs w:val="22"/>
          <w:lang w:val="sr-Latn-ME"/>
        </w:rPr>
        <w:t xml:space="preserve"> oblicima MS (u skladu sa </w:t>
      </w:r>
      <w:proofErr w:type="spellStart"/>
      <w:r w:rsidRPr="002A6AB6">
        <w:rPr>
          <w:i/>
          <w:iCs/>
          <w:sz w:val="22"/>
          <w:szCs w:val="22"/>
          <w:lang w:val="sr-Latn-ME"/>
        </w:rPr>
        <w:t>McDonald</w:t>
      </w:r>
      <w:proofErr w:type="spellEnd"/>
      <w:r w:rsidRPr="002A6AB6">
        <w:rPr>
          <w:sz w:val="22"/>
          <w:szCs w:val="22"/>
          <w:lang w:val="sr-Latn-ME"/>
        </w:rPr>
        <w:t xml:space="preserve"> kriterijumima iz 2010) i dokazima o aktivnosti bolesti (definisane kliničkim karakteristikama ili karakteristikama koje se javljaju na snimcima) u prethodne dvije godine. Dizajn studije i osnovne karakteristike studijske populacije sumirane su u tabeli 2. </w:t>
      </w:r>
    </w:p>
    <w:p w14:paraId="0A1E78E5" w14:textId="77777777" w:rsidR="00466B8B" w:rsidRPr="002A6AB6" w:rsidRDefault="00466B8B" w:rsidP="00587700">
      <w:pPr>
        <w:tabs>
          <w:tab w:val="left" w:pos="567"/>
        </w:tabs>
        <w:jc w:val="both"/>
        <w:rPr>
          <w:sz w:val="22"/>
          <w:szCs w:val="22"/>
          <w:lang w:val="sr-Latn-ME"/>
        </w:rPr>
      </w:pPr>
    </w:p>
    <w:p w14:paraId="4E10A7FB" w14:textId="77777777" w:rsidR="00466B8B" w:rsidRPr="002A6AB6" w:rsidRDefault="00466B8B" w:rsidP="00587700">
      <w:pPr>
        <w:tabs>
          <w:tab w:val="left" w:pos="567"/>
        </w:tabs>
        <w:jc w:val="both"/>
        <w:rPr>
          <w:sz w:val="22"/>
          <w:szCs w:val="22"/>
          <w:lang w:val="sr-Latn-ME"/>
        </w:rPr>
      </w:pPr>
      <w:r w:rsidRPr="002A6AB6">
        <w:rPr>
          <w:sz w:val="22"/>
          <w:szCs w:val="22"/>
          <w:lang w:val="sr-Latn-ME"/>
        </w:rPr>
        <w:t xml:space="preserve">Demografske i početne karakteristike bile su ujednačene u obje terapijske grupe.  Pacijentima koji su primali </w:t>
      </w:r>
      <w:proofErr w:type="spellStart"/>
      <w:r w:rsidRPr="002A6AB6">
        <w:rPr>
          <w:sz w:val="22"/>
          <w:szCs w:val="22"/>
          <w:lang w:val="sr-Latn-ME"/>
        </w:rPr>
        <w:t>okrelizumab</w:t>
      </w:r>
      <w:proofErr w:type="spellEnd"/>
      <w:r w:rsidRPr="002A6AB6">
        <w:rPr>
          <w:sz w:val="22"/>
          <w:szCs w:val="22"/>
          <w:lang w:val="sr-Latn-ME"/>
        </w:rPr>
        <w:t xml:space="preserve"> (grupa A) davano je 600 mg svakih 6 mjeseci (1. doza u vidu 2 </w:t>
      </w:r>
      <w:proofErr w:type="spellStart"/>
      <w:r w:rsidRPr="002A6AB6">
        <w:rPr>
          <w:sz w:val="22"/>
          <w:szCs w:val="22"/>
          <w:lang w:val="sr-Latn-ME"/>
        </w:rPr>
        <w:t>intravenske</w:t>
      </w:r>
      <w:proofErr w:type="spellEnd"/>
      <w:r w:rsidRPr="002A6AB6">
        <w:rPr>
          <w:sz w:val="22"/>
          <w:szCs w:val="22"/>
          <w:lang w:val="sr-Latn-ME"/>
        </w:rPr>
        <w:t xml:space="preserve"> infuzije od po 300 mg, u razmaku od dvije nedjelje, a naredne doze davane su u vidu jedne </w:t>
      </w:r>
      <w:proofErr w:type="spellStart"/>
      <w:r w:rsidRPr="002A6AB6">
        <w:rPr>
          <w:sz w:val="22"/>
          <w:szCs w:val="22"/>
          <w:lang w:val="sr-Latn-ME"/>
        </w:rPr>
        <w:t>intravenske</w:t>
      </w:r>
      <w:proofErr w:type="spellEnd"/>
      <w:r w:rsidRPr="002A6AB6">
        <w:rPr>
          <w:sz w:val="22"/>
          <w:szCs w:val="22"/>
          <w:lang w:val="sr-Latn-ME"/>
        </w:rPr>
        <w:t xml:space="preserve"> infuzije od 600 mg). Pacijentima u grupi B primijenjen je </w:t>
      </w:r>
      <w:proofErr w:type="spellStart"/>
      <w:r w:rsidRPr="002A6AB6">
        <w:rPr>
          <w:sz w:val="22"/>
          <w:szCs w:val="22"/>
          <w:lang w:val="sr-Latn-ME"/>
        </w:rPr>
        <w:t>interferon</w:t>
      </w:r>
      <w:proofErr w:type="spellEnd"/>
      <w:r w:rsidRPr="002A6AB6">
        <w:rPr>
          <w:sz w:val="22"/>
          <w:szCs w:val="22"/>
          <w:lang w:val="sr-Latn-ME"/>
        </w:rPr>
        <w:t xml:space="preserve"> beta 1a 44 </w:t>
      </w:r>
      <w:proofErr w:type="spellStart"/>
      <w:r w:rsidRPr="002A6AB6">
        <w:rPr>
          <w:sz w:val="22"/>
          <w:szCs w:val="22"/>
          <w:lang w:val="sr-Latn-ME"/>
        </w:rPr>
        <w:t>mcg</w:t>
      </w:r>
      <w:proofErr w:type="spellEnd"/>
      <w:r w:rsidRPr="002A6AB6">
        <w:rPr>
          <w:sz w:val="22"/>
          <w:szCs w:val="22"/>
          <w:lang w:val="sr-Latn-ME"/>
        </w:rPr>
        <w:t xml:space="preserve"> putem </w:t>
      </w:r>
      <w:proofErr w:type="spellStart"/>
      <w:r w:rsidRPr="002A6AB6">
        <w:rPr>
          <w:sz w:val="22"/>
          <w:szCs w:val="22"/>
          <w:lang w:val="sr-Latn-ME"/>
        </w:rPr>
        <w:t>subkutane</w:t>
      </w:r>
      <w:proofErr w:type="spellEnd"/>
      <w:r w:rsidRPr="002A6AB6">
        <w:rPr>
          <w:sz w:val="22"/>
          <w:szCs w:val="22"/>
          <w:lang w:val="sr-Latn-ME"/>
        </w:rPr>
        <w:t xml:space="preserve"> injekcije 3 puta nedjeljno.</w:t>
      </w:r>
    </w:p>
    <w:p w14:paraId="70092A43" w14:textId="77777777" w:rsidR="00466B8B" w:rsidRPr="002A6AB6" w:rsidRDefault="00466B8B" w:rsidP="00587700">
      <w:pPr>
        <w:tabs>
          <w:tab w:val="left" w:pos="567"/>
        </w:tabs>
        <w:jc w:val="both"/>
        <w:rPr>
          <w:sz w:val="22"/>
          <w:szCs w:val="22"/>
          <w:lang w:val="sr-Latn-ME"/>
        </w:rPr>
      </w:pPr>
    </w:p>
    <w:p w14:paraId="2AA743A1" w14:textId="77777777" w:rsidR="00320270" w:rsidRPr="002A6AB6" w:rsidRDefault="00320270" w:rsidP="00587700">
      <w:pPr>
        <w:tabs>
          <w:tab w:val="left" w:pos="567"/>
        </w:tabs>
        <w:jc w:val="both"/>
        <w:rPr>
          <w:sz w:val="22"/>
          <w:szCs w:val="22"/>
          <w:lang w:val="sr-Latn-ME"/>
        </w:rPr>
      </w:pPr>
    </w:p>
    <w:p w14:paraId="6DDA318E" w14:textId="77777777" w:rsidR="00320270" w:rsidRPr="002A6AB6" w:rsidRDefault="00320270">
      <w:pPr>
        <w:rPr>
          <w:b/>
          <w:bCs/>
          <w:sz w:val="22"/>
          <w:szCs w:val="22"/>
          <w:lang w:val="sr-Latn-ME" w:eastAsia="ja-JP"/>
        </w:rPr>
      </w:pPr>
      <w:r w:rsidRPr="002A6AB6">
        <w:rPr>
          <w:b/>
          <w:bCs/>
          <w:sz w:val="22"/>
          <w:szCs w:val="22"/>
          <w:lang w:val="sr-Latn-ME" w:eastAsia="ja-JP"/>
        </w:rPr>
        <w:br w:type="page"/>
      </w:r>
    </w:p>
    <w:p w14:paraId="66AC0C05" w14:textId="77777777" w:rsidR="00466B8B" w:rsidRPr="002A6AB6" w:rsidRDefault="00466B8B" w:rsidP="00587700">
      <w:pPr>
        <w:keepNext/>
        <w:keepLines/>
        <w:tabs>
          <w:tab w:val="left" w:pos="1152"/>
        </w:tabs>
        <w:ind w:left="1151" w:hanging="1151"/>
        <w:jc w:val="both"/>
        <w:rPr>
          <w:b/>
          <w:sz w:val="22"/>
          <w:szCs w:val="22"/>
          <w:lang w:val="sr-Latn-ME" w:eastAsia="ja-JP"/>
        </w:rPr>
      </w:pPr>
      <w:r w:rsidRPr="002A6AB6">
        <w:rPr>
          <w:b/>
          <w:bCs/>
          <w:sz w:val="22"/>
          <w:szCs w:val="22"/>
          <w:lang w:val="sr-Latn-ME" w:eastAsia="ja-JP"/>
        </w:rPr>
        <w:lastRenderedPageBreak/>
        <w:t>Tabela 2</w:t>
      </w:r>
      <w:r w:rsidRPr="002A6AB6">
        <w:rPr>
          <w:b/>
          <w:bCs/>
          <w:sz w:val="22"/>
          <w:szCs w:val="22"/>
          <w:lang w:val="sr-Latn-ME" w:eastAsia="ja-JP"/>
        </w:rPr>
        <w:tab/>
        <w:t>Dizajn studije, demografske i početne karakteristike</w:t>
      </w:r>
    </w:p>
    <w:p w14:paraId="71560A55" w14:textId="77777777" w:rsidR="00466B8B" w:rsidRPr="002A6AB6" w:rsidRDefault="00466B8B" w:rsidP="00587700">
      <w:pPr>
        <w:tabs>
          <w:tab w:val="left" w:pos="540"/>
          <w:tab w:val="left" w:pos="569"/>
        </w:tabs>
        <w:jc w:val="both"/>
        <w:rPr>
          <w:b/>
          <w:bCs/>
          <w:sz w:val="22"/>
          <w:szCs w:val="22"/>
          <w:lang w:val="sr-Latn-ME"/>
        </w:rPr>
      </w:pPr>
    </w:p>
    <w:tbl>
      <w:tblPr>
        <w:tblW w:w="8647" w:type="dxa"/>
        <w:tblLayout w:type="fixed"/>
        <w:tblCellMar>
          <w:left w:w="57" w:type="dxa"/>
          <w:right w:w="57" w:type="dxa"/>
        </w:tblCellMar>
        <w:tblLook w:val="04A0" w:firstRow="1" w:lastRow="0" w:firstColumn="1" w:lastColumn="0" w:noHBand="0" w:noVBand="1"/>
      </w:tblPr>
      <w:tblGrid>
        <w:gridCol w:w="3055"/>
        <w:gridCol w:w="1482"/>
        <w:gridCol w:w="1419"/>
        <w:gridCol w:w="1345"/>
        <w:gridCol w:w="1346"/>
      </w:tblGrid>
      <w:tr w:rsidR="00466B8B" w:rsidRPr="002A6AB6" w14:paraId="084D7A7B" w14:textId="77777777" w:rsidTr="00122792">
        <w:trPr>
          <w:cantSplit/>
        </w:trPr>
        <w:tc>
          <w:tcPr>
            <w:tcW w:w="3055" w:type="dxa"/>
            <w:tcBorders>
              <w:top w:val="single" w:sz="4" w:space="0" w:color="auto"/>
              <w:left w:val="single" w:sz="4" w:space="0" w:color="auto"/>
              <w:bottom w:val="single" w:sz="4" w:space="0" w:color="auto"/>
              <w:right w:val="single" w:sz="4" w:space="0" w:color="auto"/>
            </w:tcBorders>
            <w:vAlign w:val="bottom"/>
          </w:tcPr>
          <w:p w14:paraId="0CD75C03" w14:textId="77777777" w:rsidR="00466B8B" w:rsidRPr="002A6AB6" w:rsidRDefault="00466B8B" w:rsidP="00587700">
            <w:pPr>
              <w:keepNext/>
              <w:keepLines/>
              <w:tabs>
                <w:tab w:val="left" w:pos="567"/>
              </w:tabs>
              <w:jc w:val="both"/>
              <w:rPr>
                <w:sz w:val="22"/>
                <w:szCs w:val="22"/>
                <w:lang w:val="sr-Latn-ME"/>
              </w:rPr>
            </w:pPr>
          </w:p>
        </w:tc>
        <w:tc>
          <w:tcPr>
            <w:tcW w:w="2901" w:type="dxa"/>
            <w:gridSpan w:val="2"/>
            <w:tcBorders>
              <w:top w:val="single" w:sz="4" w:space="0" w:color="auto"/>
              <w:left w:val="single" w:sz="4" w:space="0" w:color="auto"/>
              <w:bottom w:val="single" w:sz="4" w:space="0" w:color="auto"/>
              <w:right w:val="single" w:sz="4" w:space="0" w:color="auto"/>
            </w:tcBorders>
            <w:vAlign w:val="bottom"/>
          </w:tcPr>
          <w:p w14:paraId="3CF19FC1" w14:textId="77777777" w:rsidR="00466B8B" w:rsidRPr="002A6AB6" w:rsidRDefault="00466B8B" w:rsidP="00122792">
            <w:pPr>
              <w:keepNext/>
              <w:keepLines/>
              <w:tabs>
                <w:tab w:val="left" w:pos="567"/>
              </w:tabs>
              <w:jc w:val="center"/>
              <w:rPr>
                <w:b/>
                <w:sz w:val="22"/>
                <w:szCs w:val="22"/>
                <w:lang w:val="sr-Latn-ME"/>
              </w:rPr>
            </w:pPr>
            <w:r w:rsidRPr="002A6AB6">
              <w:rPr>
                <w:b/>
                <w:bCs/>
                <w:sz w:val="22"/>
                <w:szCs w:val="22"/>
                <w:lang w:val="sr-Latn-ME"/>
              </w:rPr>
              <w:t>1. studija</w:t>
            </w:r>
          </w:p>
        </w:tc>
        <w:tc>
          <w:tcPr>
            <w:tcW w:w="2691" w:type="dxa"/>
            <w:gridSpan w:val="2"/>
            <w:tcBorders>
              <w:top w:val="single" w:sz="4" w:space="0" w:color="auto"/>
              <w:left w:val="single" w:sz="4" w:space="0" w:color="auto"/>
              <w:bottom w:val="single" w:sz="4" w:space="0" w:color="auto"/>
              <w:right w:val="single" w:sz="4" w:space="0" w:color="auto"/>
            </w:tcBorders>
            <w:vAlign w:val="bottom"/>
          </w:tcPr>
          <w:p w14:paraId="1C8A7F97" w14:textId="77777777" w:rsidR="00466B8B" w:rsidRPr="002A6AB6" w:rsidRDefault="00466B8B" w:rsidP="00122792">
            <w:pPr>
              <w:keepNext/>
              <w:keepLines/>
              <w:tabs>
                <w:tab w:val="left" w:pos="567"/>
              </w:tabs>
              <w:jc w:val="center"/>
              <w:rPr>
                <w:b/>
                <w:sz w:val="22"/>
                <w:szCs w:val="22"/>
                <w:lang w:val="sr-Latn-ME"/>
              </w:rPr>
            </w:pPr>
            <w:r w:rsidRPr="002A6AB6">
              <w:rPr>
                <w:b/>
                <w:bCs/>
                <w:sz w:val="22"/>
                <w:szCs w:val="22"/>
                <w:lang w:val="sr-Latn-ME"/>
              </w:rPr>
              <w:t>2. studija</w:t>
            </w:r>
          </w:p>
        </w:tc>
      </w:tr>
      <w:tr w:rsidR="00466B8B" w:rsidRPr="002A6AB6" w14:paraId="0242D4C5" w14:textId="77777777" w:rsidTr="00122792">
        <w:trPr>
          <w:cantSplit/>
        </w:trPr>
        <w:tc>
          <w:tcPr>
            <w:tcW w:w="3055" w:type="dxa"/>
            <w:tcBorders>
              <w:top w:val="single" w:sz="4" w:space="0" w:color="auto"/>
              <w:left w:val="single" w:sz="4" w:space="0" w:color="auto"/>
              <w:bottom w:val="single" w:sz="4" w:space="0" w:color="auto"/>
              <w:right w:val="single" w:sz="4" w:space="0" w:color="auto"/>
            </w:tcBorders>
          </w:tcPr>
          <w:p w14:paraId="1F60841F" w14:textId="77777777" w:rsidR="00466B8B" w:rsidRPr="002A6AB6" w:rsidRDefault="00466B8B" w:rsidP="00587700">
            <w:pPr>
              <w:keepNext/>
              <w:keepLines/>
              <w:tabs>
                <w:tab w:val="left" w:pos="567"/>
              </w:tabs>
              <w:jc w:val="both"/>
              <w:rPr>
                <w:b/>
                <w:sz w:val="22"/>
                <w:szCs w:val="22"/>
                <w:lang w:val="sr-Latn-ME"/>
              </w:rPr>
            </w:pPr>
            <w:r w:rsidRPr="002A6AB6">
              <w:rPr>
                <w:b/>
                <w:bCs/>
                <w:sz w:val="22"/>
                <w:szCs w:val="22"/>
                <w:lang w:val="sr-Latn-ME"/>
              </w:rPr>
              <w:t>Naziv studije</w:t>
            </w:r>
          </w:p>
        </w:tc>
        <w:tc>
          <w:tcPr>
            <w:tcW w:w="2901" w:type="dxa"/>
            <w:gridSpan w:val="2"/>
            <w:tcBorders>
              <w:top w:val="single" w:sz="4" w:space="0" w:color="auto"/>
              <w:left w:val="single" w:sz="4" w:space="0" w:color="auto"/>
              <w:bottom w:val="single" w:sz="4" w:space="0" w:color="auto"/>
              <w:right w:val="single" w:sz="4" w:space="0" w:color="auto"/>
            </w:tcBorders>
          </w:tcPr>
          <w:p w14:paraId="54B95F05" w14:textId="77777777" w:rsidR="00466B8B" w:rsidRPr="002A6AB6" w:rsidRDefault="00466B8B" w:rsidP="00122792">
            <w:pPr>
              <w:keepNext/>
              <w:keepLines/>
              <w:tabs>
                <w:tab w:val="left" w:pos="567"/>
              </w:tabs>
              <w:jc w:val="center"/>
              <w:rPr>
                <w:b/>
                <w:sz w:val="22"/>
                <w:szCs w:val="22"/>
                <w:lang w:val="sr-Latn-ME"/>
              </w:rPr>
            </w:pPr>
            <w:r w:rsidRPr="002A6AB6">
              <w:rPr>
                <w:b/>
                <w:bCs/>
                <w:sz w:val="22"/>
                <w:szCs w:val="22"/>
                <w:lang w:val="sr-Latn-ME"/>
              </w:rPr>
              <w:t>WA21092 (OPERA I)</w:t>
            </w:r>
          </w:p>
          <w:p w14:paraId="667F20C6" w14:textId="77777777" w:rsidR="00466B8B" w:rsidRPr="002A6AB6" w:rsidRDefault="00466B8B" w:rsidP="00122792">
            <w:pPr>
              <w:keepNext/>
              <w:keepLines/>
              <w:tabs>
                <w:tab w:val="left" w:pos="567"/>
              </w:tabs>
              <w:jc w:val="center"/>
              <w:rPr>
                <w:b/>
                <w:sz w:val="22"/>
                <w:szCs w:val="22"/>
                <w:lang w:val="sr-Latn-ME"/>
              </w:rPr>
            </w:pPr>
            <w:r w:rsidRPr="002A6AB6">
              <w:rPr>
                <w:b/>
                <w:bCs/>
                <w:sz w:val="22"/>
                <w:szCs w:val="22"/>
                <w:lang w:val="sr-Latn-ME"/>
              </w:rPr>
              <w:t>(n=821)</w:t>
            </w:r>
          </w:p>
        </w:tc>
        <w:tc>
          <w:tcPr>
            <w:tcW w:w="2691" w:type="dxa"/>
            <w:gridSpan w:val="2"/>
            <w:tcBorders>
              <w:top w:val="single" w:sz="4" w:space="0" w:color="auto"/>
              <w:left w:val="single" w:sz="4" w:space="0" w:color="auto"/>
              <w:bottom w:val="single" w:sz="4" w:space="0" w:color="auto"/>
              <w:right w:val="single" w:sz="4" w:space="0" w:color="auto"/>
            </w:tcBorders>
          </w:tcPr>
          <w:p w14:paraId="36194397" w14:textId="77777777" w:rsidR="00466B8B" w:rsidRPr="002A6AB6" w:rsidRDefault="00466B8B" w:rsidP="00122792">
            <w:pPr>
              <w:keepNext/>
              <w:keepLines/>
              <w:tabs>
                <w:tab w:val="left" w:pos="567"/>
              </w:tabs>
              <w:jc w:val="center"/>
              <w:rPr>
                <w:b/>
                <w:sz w:val="22"/>
                <w:szCs w:val="22"/>
                <w:lang w:val="sr-Latn-ME"/>
              </w:rPr>
            </w:pPr>
            <w:r w:rsidRPr="002A6AB6">
              <w:rPr>
                <w:b/>
                <w:bCs/>
                <w:sz w:val="22"/>
                <w:szCs w:val="22"/>
                <w:lang w:val="sr-Latn-ME"/>
              </w:rPr>
              <w:t>WA21093 (OPERA II) (n=835)</w:t>
            </w:r>
          </w:p>
        </w:tc>
      </w:tr>
      <w:tr w:rsidR="00466B8B" w:rsidRPr="002A6AB6" w14:paraId="08309128" w14:textId="77777777" w:rsidTr="00122792">
        <w:trPr>
          <w:cantSplit/>
        </w:trPr>
        <w:tc>
          <w:tcPr>
            <w:tcW w:w="8647" w:type="dxa"/>
            <w:gridSpan w:val="5"/>
            <w:tcBorders>
              <w:top w:val="single" w:sz="4" w:space="0" w:color="auto"/>
              <w:left w:val="single" w:sz="4" w:space="0" w:color="auto"/>
              <w:bottom w:val="single" w:sz="4" w:space="0" w:color="auto"/>
              <w:right w:val="single" w:sz="4" w:space="0" w:color="auto"/>
            </w:tcBorders>
            <w:vAlign w:val="center"/>
          </w:tcPr>
          <w:p w14:paraId="58E94608" w14:textId="77777777" w:rsidR="00466B8B" w:rsidRPr="002A6AB6" w:rsidRDefault="00466B8B" w:rsidP="00587700">
            <w:pPr>
              <w:keepNext/>
              <w:keepLines/>
              <w:tabs>
                <w:tab w:val="left" w:pos="567"/>
              </w:tabs>
              <w:jc w:val="both"/>
              <w:rPr>
                <w:b/>
                <w:sz w:val="22"/>
                <w:szCs w:val="22"/>
                <w:lang w:val="sr-Latn-ME"/>
              </w:rPr>
            </w:pPr>
            <w:r w:rsidRPr="002A6AB6">
              <w:rPr>
                <w:b/>
                <w:bCs/>
                <w:sz w:val="22"/>
                <w:szCs w:val="22"/>
                <w:lang w:val="sr-Latn-ME"/>
              </w:rPr>
              <w:t>Dizajn studije</w:t>
            </w:r>
          </w:p>
        </w:tc>
      </w:tr>
      <w:tr w:rsidR="00466B8B" w:rsidRPr="002A6AB6" w14:paraId="17048265" w14:textId="77777777" w:rsidTr="00122792">
        <w:trPr>
          <w:cantSplit/>
        </w:trPr>
        <w:tc>
          <w:tcPr>
            <w:tcW w:w="3055" w:type="dxa"/>
            <w:tcBorders>
              <w:top w:val="single" w:sz="4" w:space="0" w:color="auto"/>
              <w:left w:val="single" w:sz="4" w:space="0" w:color="auto"/>
              <w:bottom w:val="single" w:sz="4" w:space="0" w:color="auto"/>
              <w:right w:val="single" w:sz="4" w:space="0" w:color="auto"/>
            </w:tcBorders>
          </w:tcPr>
          <w:p w14:paraId="4A3D5365" w14:textId="77777777" w:rsidR="00466B8B" w:rsidRPr="002A6AB6" w:rsidRDefault="00466B8B" w:rsidP="00587700">
            <w:pPr>
              <w:keepNext/>
              <w:keepLines/>
              <w:tabs>
                <w:tab w:val="left" w:pos="567"/>
              </w:tabs>
              <w:jc w:val="both"/>
              <w:rPr>
                <w:sz w:val="22"/>
                <w:szCs w:val="22"/>
                <w:lang w:val="sr-Latn-ME"/>
              </w:rPr>
            </w:pPr>
            <w:r w:rsidRPr="002A6AB6">
              <w:rPr>
                <w:sz w:val="22"/>
                <w:szCs w:val="22"/>
                <w:lang w:val="sr-Latn-ME"/>
              </w:rPr>
              <w:t>Studijska populacija</w:t>
            </w:r>
          </w:p>
        </w:tc>
        <w:tc>
          <w:tcPr>
            <w:tcW w:w="5592" w:type="dxa"/>
            <w:gridSpan w:val="4"/>
            <w:tcBorders>
              <w:top w:val="single" w:sz="4" w:space="0" w:color="auto"/>
              <w:left w:val="single" w:sz="4" w:space="0" w:color="auto"/>
              <w:bottom w:val="single" w:sz="4" w:space="0" w:color="auto"/>
              <w:right w:val="single" w:sz="4" w:space="0" w:color="auto"/>
            </w:tcBorders>
          </w:tcPr>
          <w:p w14:paraId="2DB51572"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 xml:space="preserve">Pacijenti sa </w:t>
            </w:r>
            <w:proofErr w:type="spellStart"/>
            <w:r w:rsidRPr="002A6AB6">
              <w:rPr>
                <w:sz w:val="22"/>
                <w:szCs w:val="22"/>
                <w:lang w:val="sr-Latn-ME"/>
              </w:rPr>
              <w:t>relapsnim</w:t>
            </w:r>
            <w:proofErr w:type="spellEnd"/>
            <w:r w:rsidRPr="002A6AB6">
              <w:rPr>
                <w:sz w:val="22"/>
                <w:szCs w:val="22"/>
                <w:lang w:val="sr-Latn-ME"/>
              </w:rPr>
              <w:t xml:space="preserve"> oblicima MS</w:t>
            </w:r>
          </w:p>
        </w:tc>
      </w:tr>
      <w:tr w:rsidR="00466B8B" w:rsidRPr="002A6AB6" w14:paraId="6963DF5B" w14:textId="77777777" w:rsidTr="00122792">
        <w:trPr>
          <w:cantSplit/>
        </w:trPr>
        <w:tc>
          <w:tcPr>
            <w:tcW w:w="3055" w:type="dxa"/>
            <w:tcBorders>
              <w:top w:val="single" w:sz="4" w:space="0" w:color="auto"/>
              <w:left w:val="single" w:sz="4" w:space="0" w:color="auto"/>
              <w:bottom w:val="single" w:sz="4" w:space="0" w:color="auto"/>
              <w:right w:val="single" w:sz="4" w:space="0" w:color="auto"/>
            </w:tcBorders>
          </w:tcPr>
          <w:p w14:paraId="230B1736" w14:textId="77777777" w:rsidR="00466B8B" w:rsidRPr="002A6AB6" w:rsidRDefault="00466B8B" w:rsidP="00587700">
            <w:pPr>
              <w:keepNext/>
              <w:keepLines/>
              <w:tabs>
                <w:tab w:val="left" w:pos="567"/>
              </w:tabs>
              <w:jc w:val="both"/>
              <w:rPr>
                <w:sz w:val="22"/>
                <w:szCs w:val="22"/>
                <w:lang w:val="sr-Latn-ME"/>
              </w:rPr>
            </w:pPr>
            <w:r w:rsidRPr="002A6AB6">
              <w:rPr>
                <w:sz w:val="22"/>
                <w:szCs w:val="22"/>
                <w:lang w:val="sr-Latn-ME"/>
              </w:rPr>
              <w:t xml:space="preserve">Istorija bolesti na </w:t>
            </w:r>
            <w:proofErr w:type="spellStart"/>
            <w:r w:rsidRPr="002A6AB6">
              <w:rPr>
                <w:sz w:val="22"/>
                <w:szCs w:val="22"/>
                <w:lang w:val="sr-Latn-ME"/>
              </w:rPr>
              <w:t>skriningu</w:t>
            </w:r>
            <w:proofErr w:type="spellEnd"/>
          </w:p>
        </w:tc>
        <w:tc>
          <w:tcPr>
            <w:tcW w:w="5592" w:type="dxa"/>
            <w:gridSpan w:val="4"/>
            <w:tcBorders>
              <w:top w:val="single" w:sz="4" w:space="0" w:color="auto"/>
              <w:left w:val="single" w:sz="4" w:space="0" w:color="auto"/>
              <w:bottom w:val="single" w:sz="4" w:space="0" w:color="auto"/>
              <w:right w:val="single" w:sz="4" w:space="0" w:color="auto"/>
            </w:tcBorders>
          </w:tcPr>
          <w:p w14:paraId="7B864722"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 xml:space="preserve">Najmanje dva </w:t>
            </w:r>
            <w:proofErr w:type="spellStart"/>
            <w:r w:rsidRPr="002A6AB6">
              <w:rPr>
                <w:sz w:val="22"/>
                <w:szCs w:val="22"/>
                <w:lang w:val="sr-Latn-ME"/>
              </w:rPr>
              <w:t>relapsa</w:t>
            </w:r>
            <w:proofErr w:type="spellEnd"/>
            <w:r w:rsidRPr="002A6AB6">
              <w:rPr>
                <w:sz w:val="22"/>
                <w:szCs w:val="22"/>
                <w:lang w:val="sr-Latn-ME"/>
              </w:rPr>
              <w:t xml:space="preserve"> u prethodne dvije godine ili jedan </w:t>
            </w:r>
            <w:proofErr w:type="spellStart"/>
            <w:r w:rsidRPr="002A6AB6">
              <w:rPr>
                <w:sz w:val="22"/>
                <w:szCs w:val="22"/>
                <w:lang w:val="sr-Latn-ME"/>
              </w:rPr>
              <w:t>relaps</w:t>
            </w:r>
            <w:proofErr w:type="spellEnd"/>
            <w:r w:rsidRPr="002A6AB6">
              <w:rPr>
                <w:sz w:val="22"/>
                <w:szCs w:val="22"/>
                <w:lang w:val="sr-Latn-ME"/>
              </w:rPr>
              <w:t xml:space="preserve"> u prethodnoj godini; EDSS* između 0 i 5,5, uključujući i te granične vrijednosti</w:t>
            </w:r>
          </w:p>
        </w:tc>
      </w:tr>
      <w:tr w:rsidR="00466B8B" w:rsidRPr="002A6AB6" w14:paraId="5A867BE8" w14:textId="77777777" w:rsidTr="00122792">
        <w:trPr>
          <w:cantSplit/>
        </w:trPr>
        <w:tc>
          <w:tcPr>
            <w:tcW w:w="3055" w:type="dxa"/>
            <w:tcBorders>
              <w:top w:val="single" w:sz="4" w:space="0" w:color="auto"/>
              <w:left w:val="single" w:sz="4" w:space="0" w:color="auto"/>
              <w:bottom w:val="single" w:sz="4" w:space="0" w:color="auto"/>
              <w:right w:val="single" w:sz="4" w:space="0" w:color="auto"/>
            </w:tcBorders>
          </w:tcPr>
          <w:p w14:paraId="377C9793" w14:textId="77777777" w:rsidR="00466B8B" w:rsidRPr="002A6AB6" w:rsidRDefault="00466B8B" w:rsidP="00587700">
            <w:pPr>
              <w:keepNext/>
              <w:keepLines/>
              <w:tabs>
                <w:tab w:val="left" w:pos="567"/>
              </w:tabs>
              <w:jc w:val="both"/>
              <w:rPr>
                <w:sz w:val="22"/>
                <w:szCs w:val="22"/>
                <w:lang w:val="sr-Latn-ME"/>
              </w:rPr>
            </w:pPr>
            <w:r w:rsidRPr="002A6AB6">
              <w:rPr>
                <w:sz w:val="22"/>
                <w:szCs w:val="22"/>
                <w:lang w:val="sr-Latn-ME"/>
              </w:rPr>
              <w:t>Trajanje studije</w:t>
            </w:r>
          </w:p>
        </w:tc>
        <w:tc>
          <w:tcPr>
            <w:tcW w:w="5592" w:type="dxa"/>
            <w:gridSpan w:val="4"/>
            <w:tcBorders>
              <w:top w:val="single" w:sz="4" w:space="0" w:color="auto"/>
              <w:left w:val="single" w:sz="4" w:space="0" w:color="auto"/>
              <w:bottom w:val="single" w:sz="4" w:space="0" w:color="auto"/>
              <w:right w:val="single" w:sz="4" w:space="0" w:color="auto"/>
            </w:tcBorders>
          </w:tcPr>
          <w:p w14:paraId="41CFC35C"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2 godine</w:t>
            </w:r>
          </w:p>
        </w:tc>
      </w:tr>
      <w:tr w:rsidR="00466B8B" w:rsidRPr="002A6AB6" w14:paraId="67047662" w14:textId="77777777" w:rsidTr="00122792">
        <w:trPr>
          <w:cantSplit/>
        </w:trPr>
        <w:tc>
          <w:tcPr>
            <w:tcW w:w="3055" w:type="dxa"/>
            <w:tcBorders>
              <w:top w:val="single" w:sz="4" w:space="0" w:color="auto"/>
              <w:left w:val="single" w:sz="4" w:space="0" w:color="auto"/>
              <w:bottom w:val="single" w:sz="4" w:space="0" w:color="auto"/>
              <w:right w:val="single" w:sz="4" w:space="0" w:color="auto"/>
            </w:tcBorders>
          </w:tcPr>
          <w:p w14:paraId="744C6B2A" w14:textId="77777777" w:rsidR="00466B8B" w:rsidRPr="002A6AB6" w:rsidRDefault="00466B8B" w:rsidP="00587700">
            <w:pPr>
              <w:keepNext/>
              <w:keepLines/>
              <w:tabs>
                <w:tab w:val="left" w:pos="567"/>
              </w:tabs>
              <w:jc w:val="both"/>
              <w:rPr>
                <w:sz w:val="22"/>
                <w:szCs w:val="22"/>
                <w:lang w:val="sr-Latn-ME"/>
              </w:rPr>
            </w:pPr>
            <w:r w:rsidRPr="002A6AB6">
              <w:rPr>
                <w:sz w:val="22"/>
                <w:szCs w:val="22"/>
                <w:lang w:val="sr-Latn-ME"/>
              </w:rPr>
              <w:t>Terapijske grupe</w:t>
            </w:r>
          </w:p>
        </w:tc>
        <w:tc>
          <w:tcPr>
            <w:tcW w:w="5592" w:type="dxa"/>
            <w:gridSpan w:val="4"/>
            <w:tcBorders>
              <w:top w:val="single" w:sz="4" w:space="0" w:color="auto"/>
              <w:left w:val="single" w:sz="4" w:space="0" w:color="auto"/>
              <w:bottom w:val="single" w:sz="4" w:space="0" w:color="auto"/>
              <w:right w:val="single" w:sz="4" w:space="0" w:color="auto"/>
            </w:tcBorders>
          </w:tcPr>
          <w:p w14:paraId="32B81C13"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 xml:space="preserve">Grupa A: </w:t>
            </w:r>
            <w:proofErr w:type="spellStart"/>
            <w:r w:rsidRPr="002A6AB6">
              <w:rPr>
                <w:sz w:val="22"/>
                <w:szCs w:val="22"/>
                <w:lang w:val="sr-Latn-ME"/>
              </w:rPr>
              <w:t>Okrelizumab</w:t>
            </w:r>
            <w:proofErr w:type="spellEnd"/>
            <w:r w:rsidRPr="002A6AB6">
              <w:rPr>
                <w:sz w:val="22"/>
                <w:szCs w:val="22"/>
                <w:lang w:val="sr-Latn-ME"/>
              </w:rPr>
              <w:t xml:space="preserve"> 600 mg</w:t>
            </w:r>
          </w:p>
          <w:p w14:paraId="5C19DB71"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 xml:space="preserve">Grupa B: </w:t>
            </w:r>
            <w:proofErr w:type="spellStart"/>
            <w:r w:rsidRPr="002A6AB6">
              <w:rPr>
                <w:sz w:val="22"/>
                <w:szCs w:val="22"/>
                <w:lang w:val="sr-Latn-ME"/>
              </w:rPr>
              <w:t>interferon</w:t>
            </w:r>
            <w:proofErr w:type="spellEnd"/>
            <w:r w:rsidRPr="002A6AB6">
              <w:rPr>
                <w:sz w:val="22"/>
                <w:szCs w:val="22"/>
                <w:lang w:val="sr-Latn-ME"/>
              </w:rPr>
              <w:t xml:space="preserve"> beta-1a 44 </w:t>
            </w:r>
            <w:proofErr w:type="spellStart"/>
            <w:r w:rsidRPr="002A6AB6">
              <w:rPr>
                <w:sz w:val="22"/>
                <w:szCs w:val="22"/>
                <w:lang w:val="sr-Latn-ME"/>
              </w:rPr>
              <w:t>mcg</w:t>
            </w:r>
            <w:proofErr w:type="spellEnd"/>
            <w:r w:rsidRPr="002A6AB6">
              <w:rPr>
                <w:sz w:val="22"/>
                <w:szCs w:val="22"/>
                <w:lang w:val="sr-Latn-ME"/>
              </w:rPr>
              <w:t xml:space="preserve"> </w:t>
            </w:r>
            <w:proofErr w:type="spellStart"/>
            <w:r w:rsidRPr="002A6AB6">
              <w:rPr>
                <w:sz w:val="22"/>
                <w:szCs w:val="22"/>
                <w:lang w:val="sr-Latn-ME"/>
              </w:rPr>
              <w:t>subkutano</w:t>
            </w:r>
            <w:proofErr w:type="spellEnd"/>
            <w:r w:rsidRPr="002A6AB6">
              <w:rPr>
                <w:sz w:val="22"/>
                <w:szCs w:val="22"/>
                <w:lang w:val="sr-Latn-ME"/>
              </w:rPr>
              <w:t>. (INF)</w:t>
            </w:r>
          </w:p>
        </w:tc>
      </w:tr>
      <w:tr w:rsidR="00466B8B" w:rsidRPr="002A6AB6" w14:paraId="0BF7E52F" w14:textId="77777777" w:rsidTr="00122792">
        <w:trPr>
          <w:cantSplit/>
        </w:trPr>
        <w:tc>
          <w:tcPr>
            <w:tcW w:w="3055" w:type="dxa"/>
            <w:tcBorders>
              <w:top w:val="single" w:sz="4" w:space="0" w:color="auto"/>
              <w:left w:val="single" w:sz="4" w:space="0" w:color="auto"/>
              <w:bottom w:val="single" w:sz="4" w:space="0" w:color="auto"/>
              <w:right w:val="single" w:sz="4" w:space="0" w:color="auto"/>
            </w:tcBorders>
          </w:tcPr>
          <w:p w14:paraId="313E82DE" w14:textId="77777777" w:rsidR="00466B8B" w:rsidRPr="002A6AB6" w:rsidRDefault="00466B8B" w:rsidP="00587700">
            <w:pPr>
              <w:keepNext/>
              <w:keepLines/>
              <w:tabs>
                <w:tab w:val="left" w:pos="567"/>
              </w:tabs>
              <w:jc w:val="both"/>
              <w:rPr>
                <w:b/>
                <w:sz w:val="22"/>
                <w:szCs w:val="22"/>
                <w:lang w:val="sr-Latn-ME"/>
              </w:rPr>
            </w:pPr>
            <w:r w:rsidRPr="002A6AB6">
              <w:rPr>
                <w:b/>
                <w:bCs/>
                <w:sz w:val="22"/>
                <w:szCs w:val="22"/>
                <w:lang w:val="sr-Latn-ME"/>
              </w:rPr>
              <w:t>Početne karakteristike</w:t>
            </w:r>
          </w:p>
        </w:tc>
        <w:tc>
          <w:tcPr>
            <w:tcW w:w="1482" w:type="dxa"/>
            <w:tcBorders>
              <w:top w:val="single" w:sz="4" w:space="0" w:color="auto"/>
              <w:left w:val="single" w:sz="4" w:space="0" w:color="auto"/>
              <w:bottom w:val="single" w:sz="4" w:space="0" w:color="auto"/>
              <w:right w:val="single" w:sz="4" w:space="0" w:color="auto"/>
            </w:tcBorders>
          </w:tcPr>
          <w:p w14:paraId="462F3C64" w14:textId="77777777" w:rsidR="00466B8B" w:rsidRPr="002A6AB6" w:rsidRDefault="00466B8B" w:rsidP="00122792">
            <w:pPr>
              <w:keepNext/>
              <w:keepLines/>
              <w:tabs>
                <w:tab w:val="left" w:pos="567"/>
              </w:tabs>
              <w:jc w:val="center"/>
              <w:rPr>
                <w:sz w:val="22"/>
                <w:szCs w:val="22"/>
                <w:lang w:val="sr-Latn-ME"/>
              </w:rPr>
            </w:pPr>
            <w:proofErr w:type="spellStart"/>
            <w:r w:rsidRPr="002A6AB6">
              <w:rPr>
                <w:sz w:val="22"/>
                <w:szCs w:val="22"/>
                <w:lang w:val="sr-Latn-ME"/>
              </w:rPr>
              <w:t>Okrelizumab</w:t>
            </w:r>
            <w:proofErr w:type="spellEnd"/>
          </w:p>
          <w:p w14:paraId="1D2C9595"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600 mg (n=410)</w:t>
            </w:r>
          </w:p>
        </w:tc>
        <w:tc>
          <w:tcPr>
            <w:tcW w:w="1419" w:type="dxa"/>
            <w:tcBorders>
              <w:top w:val="single" w:sz="4" w:space="0" w:color="auto"/>
              <w:left w:val="single" w:sz="4" w:space="0" w:color="auto"/>
              <w:bottom w:val="single" w:sz="4" w:space="0" w:color="auto"/>
              <w:right w:val="single" w:sz="4" w:space="0" w:color="auto"/>
            </w:tcBorders>
          </w:tcPr>
          <w:p w14:paraId="52733305"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IFN</w:t>
            </w:r>
          </w:p>
          <w:p w14:paraId="28792202"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 xml:space="preserve">44 </w:t>
            </w:r>
            <w:proofErr w:type="spellStart"/>
            <w:r w:rsidRPr="002A6AB6">
              <w:rPr>
                <w:sz w:val="22"/>
                <w:szCs w:val="22"/>
                <w:lang w:val="sr-Latn-ME"/>
              </w:rPr>
              <w:t>mcg</w:t>
            </w:r>
            <w:proofErr w:type="spellEnd"/>
          </w:p>
          <w:p w14:paraId="4A1A5C60"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(n=411)</w:t>
            </w:r>
          </w:p>
        </w:tc>
        <w:tc>
          <w:tcPr>
            <w:tcW w:w="1345" w:type="dxa"/>
            <w:tcBorders>
              <w:top w:val="single" w:sz="4" w:space="0" w:color="auto"/>
              <w:left w:val="single" w:sz="4" w:space="0" w:color="auto"/>
              <w:bottom w:val="single" w:sz="4" w:space="0" w:color="auto"/>
              <w:right w:val="single" w:sz="4" w:space="0" w:color="auto"/>
            </w:tcBorders>
          </w:tcPr>
          <w:p w14:paraId="7056AACF" w14:textId="77777777" w:rsidR="00466B8B" w:rsidRPr="002A6AB6" w:rsidRDefault="00466B8B" w:rsidP="00122792">
            <w:pPr>
              <w:keepNext/>
              <w:keepLines/>
              <w:tabs>
                <w:tab w:val="left" w:pos="567"/>
              </w:tabs>
              <w:jc w:val="center"/>
              <w:rPr>
                <w:sz w:val="22"/>
                <w:szCs w:val="22"/>
                <w:lang w:val="sr-Latn-ME"/>
              </w:rPr>
            </w:pPr>
            <w:proofErr w:type="spellStart"/>
            <w:r w:rsidRPr="002A6AB6">
              <w:rPr>
                <w:sz w:val="22"/>
                <w:szCs w:val="22"/>
                <w:lang w:val="sr-Latn-ME"/>
              </w:rPr>
              <w:t>Okrelizumab</w:t>
            </w:r>
            <w:proofErr w:type="spellEnd"/>
          </w:p>
          <w:p w14:paraId="47E3C288"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600 mg</w:t>
            </w:r>
          </w:p>
          <w:p w14:paraId="07AAB4A6"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(n=417)</w:t>
            </w:r>
          </w:p>
        </w:tc>
        <w:tc>
          <w:tcPr>
            <w:tcW w:w="1346" w:type="dxa"/>
            <w:tcBorders>
              <w:top w:val="single" w:sz="4" w:space="0" w:color="auto"/>
              <w:left w:val="single" w:sz="4" w:space="0" w:color="auto"/>
              <w:bottom w:val="single" w:sz="4" w:space="0" w:color="auto"/>
              <w:right w:val="single" w:sz="4" w:space="0" w:color="auto"/>
            </w:tcBorders>
          </w:tcPr>
          <w:p w14:paraId="3AE10498"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IFN</w:t>
            </w:r>
          </w:p>
          <w:p w14:paraId="657A0F36"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 xml:space="preserve">44 </w:t>
            </w:r>
            <w:proofErr w:type="spellStart"/>
            <w:r w:rsidRPr="002A6AB6">
              <w:rPr>
                <w:sz w:val="22"/>
                <w:szCs w:val="22"/>
                <w:lang w:val="sr-Latn-ME"/>
              </w:rPr>
              <w:t>mcg</w:t>
            </w:r>
            <w:proofErr w:type="spellEnd"/>
          </w:p>
          <w:p w14:paraId="16A67C36"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(n=418)</w:t>
            </w:r>
          </w:p>
        </w:tc>
      </w:tr>
      <w:tr w:rsidR="00466B8B" w:rsidRPr="002A6AB6" w14:paraId="787FA6A0" w14:textId="77777777" w:rsidTr="00122792">
        <w:trPr>
          <w:cantSplit/>
        </w:trPr>
        <w:tc>
          <w:tcPr>
            <w:tcW w:w="3055" w:type="dxa"/>
            <w:tcBorders>
              <w:top w:val="single" w:sz="4" w:space="0" w:color="auto"/>
              <w:left w:val="single" w:sz="4" w:space="0" w:color="auto"/>
              <w:bottom w:val="single" w:sz="4" w:space="0" w:color="auto"/>
              <w:right w:val="single" w:sz="4" w:space="0" w:color="auto"/>
            </w:tcBorders>
          </w:tcPr>
          <w:p w14:paraId="401FED14" w14:textId="77777777" w:rsidR="00466B8B" w:rsidRPr="002A6AB6" w:rsidRDefault="00466B8B" w:rsidP="00587700">
            <w:pPr>
              <w:keepNext/>
              <w:keepLines/>
              <w:tabs>
                <w:tab w:val="left" w:pos="567"/>
              </w:tabs>
              <w:jc w:val="both"/>
              <w:rPr>
                <w:sz w:val="22"/>
                <w:szCs w:val="22"/>
                <w:lang w:val="sr-Latn-ME"/>
              </w:rPr>
            </w:pPr>
            <w:r w:rsidRPr="002A6AB6">
              <w:rPr>
                <w:sz w:val="22"/>
                <w:szCs w:val="22"/>
                <w:lang w:val="sr-Latn-ME"/>
              </w:rPr>
              <w:t>Prosječna starost (godine)</w:t>
            </w:r>
          </w:p>
        </w:tc>
        <w:tc>
          <w:tcPr>
            <w:tcW w:w="1482" w:type="dxa"/>
            <w:tcBorders>
              <w:top w:val="single" w:sz="4" w:space="0" w:color="auto"/>
              <w:left w:val="single" w:sz="4" w:space="0" w:color="auto"/>
              <w:bottom w:val="single" w:sz="4" w:space="0" w:color="auto"/>
              <w:right w:val="single" w:sz="4" w:space="0" w:color="auto"/>
            </w:tcBorders>
          </w:tcPr>
          <w:p w14:paraId="23D6EA2A"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37,1</w:t>
            </w:r>
          </w:p>
        </w:tc>
        <w:tc>
          <w:tcPr>
            <w:tcW w:w="1419" w:type="dxa"/>
            <w:tcBorders>
              <w:top w:val="single" w:sz="4" w:space="0" w:color="auto"/>
              <w:left w:val="single" w:sz="4" w:space="0" w:color="auto"/>
              <w:bottom w:val="single" w:sz="4" w:space="0" w:color="auto"/>
              <w:right w:val="single" w:sz="4" w:space="0" w:color="auto"/>
            </w:tcBorders>
          </w:tcPr>
          <w:p w14:paraId="06E21531"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36,9</w:t>
            </w:r>
          </w:p>
        </w:tc>
        <w:tc>
          <w:tcPr>
            <w:tcW w:w="1345" w:type="dxa"/>
            <w:tcBorders>
              <w:top w:val="single" w:sz="4" w:space="0" w:color="auto"/>
              <w:left w:val="single" w:sz="4" w:space="0" w:color="auto"/>
              <w:bottom w:val="single" w:sz="4" w:space="0" w:color="auto"/>
              <w:right w:val="single" w:sz="4" w:space="0" w:color="auto"/>
            </w:tcBorders>
          </w:tcPr>
          <w:p w14:paraId="2A53BAAA"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37,2</w:t>
            </w:r>
          </w:p>
        </w:tc>
        <w:tc>
          <w:tcPr>
            <w:tcW w:w="1346" w:type="dxa"/>
            <w:tcBorders>
              <w:top w:val="single" w:sz="4" w:space="0" w:color="auto"/>
              <w:left w:val="single" w:sz="4" w:space="0" w:color="auto"/>
              <w:bottom w:val="single" w:sz="4" w:space="0" w:color="auto"/>
              <w:right w:val="single" w:sz="4" w:space="0" w:color="auto"/>
            </w:tcBorders>
          </w:tcPr>
          <w:p w14:paraId="692CD8A2"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37,4</w:t>
            </w:r>
          </w:p>
        </w:tc>
      </w:tr>
      <w:tr w:rsidR="00466B8B" w:rsidRPr="002A6AB6" w14:paraId="69643E21" w14:textId="77777777" w:rsidTr="00122792">
        <w:trPr>
          <w:cantSplit/>
        </w:trPr>
        <w:tc>
          <w:tcPr>
            <w:tcW w:w="3055" w:type="dxa"/>
            <w:tcBorders>
              <w:top w:val="single" w:sz="4" w:space="0" w:color="auto"/>
              <w:left w:val="single" w:sz="4" w:space="0" w:color="auto"/>
              <w:bottom w:val="single" w:sz="4" w:space="0" w:color="auto"/>
              <w:right w:val="single" w:sz="4" w:space="0" w:color="auto"/>
            </w:tcBorders>
          </w:tcPr>
          <w:p w14:paraId="542837EB" w14:textId="77777777" w:rsidR="00466B8B" w:rsidRPr="002A6AB6" w:rsidRDefault="00466B8B" w:rsidP="00587700">
            <w:pPr>
              <w:keepNext/>
              <w:keepLines/>
              <w:tabs>
                <w:tab w:val="left" w:pos="567"/>
              </w:tabs>
              <w:jc w:val="both"/>
              <w:rPr>
                <w:sz w:val="22"/>
                <w:szCs w:val="22"/>
                <w:lang w:val="sr-Latn-ME"/>
              </w:rPr>
            </w:pPr>
            <w:r w:rsidRPr="002A6AB6">
              <w:rPr>
                <w:sz w:val="22"/>
                <w:szCs w:val="22"/>
                <w:lang w:val="sr-Latn-ME"/>
              </w:rPr>
              <w:t>Raspon starosti (godina) pri uključivanju u studiju</w:t>
            </w:r>
          </w:p>
        </w:tc>
        <w:tc>
          <w:tcPr>
            <w:tcW w:w="1482" w:type="dxa"/>
            <w:tcBorders>
              <w:top w:val="single" w:sz="4" w:space="0" w:color="auto"/>
              <w:left w:val="single" w:sz="4" w:space="0" w:color="auto"/>
              <w:bottom w:val="single" w:sz="4" w:space="0" w:color="auto"/>
              <w:right w:val="single" w:sz="4" w:space="0" w:color="auto"/>
            </w:tcBorders>
          </w:tcPr>
          <w:p w14:paraId="25F60C83"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18–56</w:t>
            </w:r>
          </w:p>
        </w:tc>
        <w:tc>
          <w:tcPr>
            <w:tcW w:w="1419" w:type="dxa"/>
            <w:tcBorders>
              <w:top w:val="single" w:sz="4" w:space="0" w:color="auto"/>
              <w:left w:val="single" w:sz="4" w:space="0" w:color="auto"/>
              <w:bottom w:val="single" w:sz="4" w:space="0" w:color="auto"/>
              <w:right w:val="single" w:sz="4" w:space="0" w:color="auto"/>
            </w:tcBorders>
          </w:tcPr>
          <w:p w14:paraId="6B4AC4C5"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18–55</w:t>
            </w:r>
          </w:p>
        </w:tc>
        <w:tc>
          <w:tcPr>
            <w:tcW w:w="1345" w:type="dxa"/>
            <w:tcBorders>
              <w:top w:val="single" w:sz="4" w:space="0" w:color="auto"/>
              <w:left w:val="single" w:sz="4" w:space="0" w:color="auto"/>
              <w:bottom w:val="single" w:sz="4" w:space="0" w:color="auto"/>
              <w:right w:val="single" w:sz="4" w:space="0" w:color="auto"/>
            </w:tcBorders>
          </w:tcPr>
          <w:p w14:paraId="2E6BA8D6"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18–55</w:t>
            </w:r>
          </w:p>
        </w:tc>
        <w:tc>
          <w:tcPr>
            <w:tcW w:w="1346" w:type="dxa"/>
            <w:tcBorders>
              <w:top w:val="single" w:sz="4" w:space="0" w:color="auto"/>
              <w:left w:val="single" w:sz="4" w:space="0" w:color="auto"/>
              <w:bottom w:val="single" w:sz="4" w:space="0" w:color="auto"/>
              <w:right w:val="single" w:sz="4" w:space="0" w:color="auto"/>
            </w:tcBorders>
          </w:tcPr>
          <w:p w14:paraId="7338E98A"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18–55</w:t>
            </w:r>
          </w:p>
        </w:tc>
      </w:tr>
      <w:tr w:rsidR="00466B8B" w:rsidRPr="002A6AB6" w14:paraId="3E129FEF" w14:textId="77777777" w:rsidTr="00122792">
        <w:trPr>
          <w:cantSplit/>
        </w:trPr>
        <w:tc>
          <w:tcPr>
            <w:tcW w:w="3055" w:type="dxa"/>
            <w:tcBorders>
              <w:top w:val="single" w:sz="4" w:space="0" w:color="auto"/>
              <w:left w:val="single" w:sz="4" w:space="0" w:color="auto"/>
              <w:bottom w:val="single" w:sz="4" w:space="0" w:color="auto"/>
              <w:right w:val="single" w:sz="4" w:space="0" w:color="auto"/>
            </w:tcBorders>
          </w:tcPr>
          <w:p w14:paraId="45B06083" w14:textId="77777777" w:rsidR="00466B8B" w:rsidRPr="002A6AB6" w:rsidRDefault="00466B8B" w:rsidP="00587700">
            <w:pPr>
              <w:keepNext/>
              <w:keepLines/>
              <w:tabs>
                <w:tab w:val="left" w:pos="567"/>
              </w:tabs>
              <w:jc w:val="both"/>
              <w:rPr>
                <w:sz w:val="22"/>
                <w:szCs w:val="22"/>
                <w:lang w:val="sr-Latn-ME"/>
              </w:rPr>
            </w:pPr>
            <w:r w:rsidRPr="002A6AB6">
              <w:rPr>
                <w:sz w:val="22"/>
                <w:szCs w:val="22"/>
                <w:lang w:val="sr-Latn-ME"/>
              </w:rPr>
              <w:t>Pol (% muškaraca/% žena)</w:t>
            </w:r>
          </w:p>
        </w:tc>
        <w:tc>
          <w:tcPr>
            <w:tcW w:w="1482" w:type="dxa"/>
            <w:tcBorders>
              <w:top w:val="single" w:sz="4" w:space="0" w:color="auto"/>
              <w:left w:val="single" w:sz="4" w:space="0" w:color="auto"/>
              <w:bottom w:val="single" w:sz="4" w:space="0" w:color="auto"/>
              <w:right w:val="single" w:sz="4" w:space="0" w:color="auto"/>
            </w:tcBorders>
          </w:tcPr>
          <w:p w14:paraId="1A736A58"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34,1/65,9</w:t>
            </w:r>
          </w:p>
        </w:tc>
        <w:tc>
          <w:tcPr>
            <w:tcW w:w="1419" w:type="dxa"/>
            <w:tcBorders>
              <w:top w:val="single" w:sz="4" w:space="0" w:color="auto"/>
              <w:left w:val="single" w:sz="4" w:space="0" w:color="auto"/>
              <w:bottom w:val="single" w:sz="4" w:space="0" w:color="auto"/>
              <w:right w:val="single" w:sz="4" w:space="0" w:color="auto"/>
            </w:tcBorders>
          </w:tcPr>
          <w:p w14:paraId="58C362E5"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33,8/66,2</w:t>
            </w:r>
          </w:p>
        </w:tc>
        <w:tc>
          <w:tcPr>
            <w:tcW w:w="1345" w:type="dxa"/>
            <w:tcBorders>
              <w:top w:val="single" w:sz="4" w:space="0" w:color="auto"/>
              <w:left w:val="single" w:sz="4" w:space="0" w:color="auto"/>
              <w:bottom w:val="single" w:sz="4" w:space="0" w:color="auto"/>
              <w:right w:val="single" w:sz="4" w:space="0" w:color="auto"/>
            </w:tcBorders>
          </w:tcPr>
          <w:p w14:paraId="5AB5DC7B"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35,0/65,0</w:t>
            </w:r>
          </w:p>
        </w:tc>
        <w:tc>
          <w:tcPr>
            <w:tcW w:w="1346" w:type="dxa"/>
            <w:tcBorders>
              <w:top w:val="single" w:sz="4" w:space="0" w:color="auto"/>
              <w:left w:val="single" w:sz="4" w:space="0" w:color="auto"/>
              <w:bottom w:val="single" w:sz="4" w:space="0" w:color="auto"/>
              <w:right w:val="single" w:sz="4" w:space="0" w:color="auto"/>
            </w:tcBorders>
          </w:tcPr>
          <w:p w14:paraId="0DD84D1A"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33,0/67,0</w:t>
            </w:r>
          </w:p>
        </w:tc>
      </w:tr>
      <w:tr w:rsidR="00466B8B" w:rsidRPr="002A6AB6" w14:paraId="19F76541" w14:textId="77777777" w:rsidTr="00122792">
        <w:trPr>
          <w:cantSplit/>
        </w:trPr>
        <w:tc>
          <w:tcPr>
            <w:tcW w:w="3055" w:type="dxa"/>
            <w:tcBorders>
              <w:top w:val="single" w:sz="4" w:space="0" w:color="auto"/>
              <w:left w:val="single" w:sz="4" w:space="0" w:color="auto"/>
              <w:bottom w:val="single" w:sz="4" w:space="0" w:color="auto"/>
              <w:right w:val="single" w:sz="4" w:space="0" w:color="auto"/>
            </w:tcBorders>
          </w:tcPr>
          <w:p w14:paraId="6B8E6438" w14:textId="77777777" w:rsidR="00466B8B" w:rsidRPr="002A6AB6" w:rsidRDefault="00466B8B" w:rsidP="00587700">
            <w:pPr>
              <w:keepNext/>
              <w:keepLines/>
              <w:tabs>
                <w:tab w:val="left" w:pos="567"/>
              </w:tabs>
              <w:jc w:val="both"/>
              <w:rPr>
                <w:sz w:val="22"/>
                <w:szCs w:val="22"/>
                <w:lang w:val="sr-Latn-ME"/>
              </w:rPr>
            </w:pPr>
            <w:r w:rsidRPr="002A6AB6">
              <w:rPr>
                <w:sz w:val="22"/>
                <w:szCs w:val="22"/>
                <w:lang w:val="sr-Latn-ME"/>
              </w:rPr>
              <w:t>Srednja vrijednost/</w:t>
            </w:r>
            <w:proofErr w:type="spellStart"/>
            <w:r w:rsidRPr="002A6AB6">
              <w:rPr>
                <w:sz w:val="22"/>
                <w:szCs w:val="22"/>
                <w:lang w:val="sr-Latn-ME"/>
              </w:rPr>
              <w:t>medijana</w:t>
            </w:r>
            <w:proofErr w:type="spellEnd"/>
            <w:r w:rsidRPr="002A6AB6">
              <w:rPr>
                <w:sz w:val="22"/>
                <w:szCs w:val="22"/>
                <w:lang w:val="sr-Latn-ME"/>
              </w:rPr>
              <w:t xml:space="preserve"> trajanja bolesti od postavljanja dijagnoze (godine)</w:t>
            </w:r>
          </w:p>
        </w:tc>
        <w:tc>
          <w:tcPr>
            <w:tcW w:w="1482" w:type="dxa"/>
            <w:tcBorders>
              <w:top w:val="single" w:sz="4" w:space="0" w:color="auto"/>
              <w:left w:val="single" w:sz="4" w:space="0" w:color="auto"/>
              <w:bottom w:val="single" w:sz="4" w:space="0" w:color="auto"/>
              <w:right w:val="single" w:sz="4" w:space="0" w:color="auto"/>
            </w:tcBorders>
          </w:tcPr>
          <w:p w14:paraId="50A7B4B9"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3,82/1,53</w:t>
            </w:r>
          </w:p>
        </w:tc>
        <w:tc>
          <w:tcPr>
            <w:tcW w:w="1419" w:type="dxa"/>
            <w:tcBorders>
              <w:top w:val="single" w:sz="4" w:space="0" w:color="auto"/>
              <w:left w:val="single" w:sz="4" w:space="0" w:color="auto"/>
              <w:bottom w:val="single" w:sz="4" w:space="0" w:color="auto"/>
              <w:right w:val="single" w:sz="4" w:space="0" w:color="auto"/>
            </w:tcBorders>
          </w:tcPr>
          <w:p w14:paraId="4CCD0B20"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3,71/1,57</w:t>
            </w:r>
          </w:p>
        </w:tc>
        <w:tc>
          <w:tcPr>
            <w:tcW w:w="1345" w:type="dxa"/>
            <w:tcBorders>
              <w:top w:val="single" w:sz="4" w:space="0" w:color="auto"/>
              <w:left w:val="single" w:sz="4" w:space="0" w:color="auto"/>
              <w:bottom w:val="single" w:sz="4" w:space="0" w:color="auto"/>
              <w:right w:val="single" w:sz="4" w:space="0" w:color="auto"/>
            </w:tcBorders>
          </w:tcPr>
          <w:p w14:paraId="7130B65F"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4,15/2,10</w:t>
            </w:r>
          </w:p>
        </w:tc>
        <w:tc>
          <w:tcPr>
            <w:tcW w:w="1346" w:type="dxa"/>
            <w:tcBorders>
              <w:top w:val="single" w:sz="4" w:space="0" w:color="auto"/>
              <w:left w:val="single" w:sz="4" w:space="0" w:color="auto"/>
              <w:bottom w:val="single" w:sz="4" w:space="0" w:color="auto"/>
              <w:right w:val="single" w:sz="4" w:space="0" w:color="auto"/>
            </w:tcBorders>
          </w:tcPr>
          <w:p w14:paraId="74D13BFE"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4,13/1,84</w:t>
            </w:r>
          </w:p>
        </w:tc>
      </w:tr>
      <w:tr w:rsidR="00466B8B" w:rsidRPr="002A6AB6" w14:paraId="40FB2815" w14:textId="77777777" w:rsidTr="00122792">
        <w:trPr>
          <w:cantSplit/>
        </w:trPr>
        <w:tc>
          <w:tcPr>
            <w:tcW w:w="3055" w:type="dxa"/>
            <w:tcBorders>
              <w:top w:val="single" w:sz="4" w:space="0" w:color="auto"/>
              <w:left w:val="single" w:sz="4" w:space="0" w:color="auto"/>
              <w:bottom w:val="single" w:sz="4" w:space="0" w:color="auto"/>
              <w:right w:val="single" w:sz="4" w:space="0" w:color="auto"/>
            </w:tcBorders>
          </w:tcPr>
          <w:p w14:paraId="42F42A55" w14:textId="77777777" w:rsidR="00466B8B" w:rsidRPr="002A6AB6" w:rsidRDefault="00466B8B" w:rsidP="00587700">
            <w:pPr>
              <w:keepNext/>
              <w:keepLines/>
              <w:tabs>
                <w:tab w:val="left" w:pos="567"/>
              </w:tabs>
              <w:jc w:val="both"/>
              <w:rPr>
                <w:sz w:val="22"/>
                <w:szCs w:val="22"/>
                <w:lang w:val="sr-Latn-ME"/>
              </w:rPr>
            </w:pPr>
            <w:r w:rsidRPr="002A6AB6">
              <w:rPr>
                <w:sz w:val="22"/>
                <w:szCs w:val="22"/>
                <w:lang w:val="sr-Latn-ME"/>
              </w:rPr>
              <w:t>Pacijenti koji ranije nisu primali DMT (%)**</w:t>
            </w:r>
          </w:p>
        </w:tc>
        <w:tc>
          <w:tcPr>
            <w:tcW w:w="1482" w:type="dxa"/>
            <w:tcBorders>
              <w:top w:val="single" w:sz="4" w:space="0" w:color="auto"/>
              <w:left w:val="single" w:sz="4" w:space="0" w:color="auto"/>
              <w:bottom w:val="single" w:sz="4" w:space="0" w:color="auto"/>
              <w:right w:val="single" w:sz="4" w:space="0" w:color="auto"/>
            </w:tcBorders>
          </w:tcPr>
          <w:p w14:paraId="2C08CFCE" w14:textId="77777777" w:rsidR="00466B8B" w:rsidRPr="002A6AB6" w:rsidRDefault="00466B8B" w:rsidP="00122792">
            <w:pPr>
              <w:keepNext/>
              <w:keepLines/>
              <w:tabs>
                <w:tab w:val="left" w:pos="567"/>
              </w:tabs>
              <w:jc w:val="center"/>
              <w:rPr>
                <w:sz w:val="22"/>
                <w:szCs w:val="22"/>
                <w:lang w:val="sr-Latn-ME"/>
              </w:rPr>
            </w:pPr>
            <w:r w:rsidRPr="002A6AB6">
              <w:rPr>
                <w:color w:val="222222"/>
                <w:sz w:val="22"/>
                <w:szCs w:val="22"/>
                <w:shd w:val="clear" w:color="auto" w:fill="FFFFFF"/>
                <w:lang w:val="sr-Latn-ME"/>
              </w:rPr>
              <w:t>73,4</w:t>
            </w:r>
          </w:p>
        </w:tc>
        <w:tc>
          <w:tcPr>
            <w:tcW w:w="1419" w:type="dxa"/>
            <w:tcBorders>
              <w:top w:val="single" w:sz="4" w:space="0" w:color="auto"/>
              <w:left w:val="single" w:sz="4" w:space="0" w:color="auto"/>
              <w:bottom w:val="single" w:sz="4" w:space="0" w:color="auto"/>
              <w:right w:val="single" w:sz="4" w:space="0" w:color="auto"/>
            </w:tcBorders>
          </w:tcPr>
          <w:p w14:paraId="6918CBE7"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71,0</w:t>
            </w:r>
          </w:p>
        </w:tc>
        <w:tc>
          <w:tcPr>
            <w:tcW w:w="1345" w:type="dxa"/>
            <w:tcBorders>
              <w:top w:val="single" w:sz="4" w:space="0" w:color="auto"/>
              <w:left w:val="single" w:sz="4" w:space="0" w:color="auto"/>
              <w:bottom w:val="single" w:sz="4" w:space="0" w:color="auto"/>
              <w:right w:val="single" w:sz="4" w:space="0" w:color="auto"/>
            </w:tcBorders>
          </w:tcPr>
          <w:p w14:paraId="7753545A"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72,7</w:t>
            </w:r>
          </w:p>
        </w:tc>
        <w:tc>
          <w:tcPr>
            <w:tcW w:w="1346" w:type="dxa"/>
            <w:tcBorders>
              <w:top w:val="single" w:sz="4" w:space="0" w:color="auto"/>
              <w:left w:val="single" w:sz="4" w:space="0" w:color="auto"/>
              <w:bottom w:val="single" w:sz="4" w:space="0" w:color="auto"/>
              <w:right w:val="single" w:sz="4" w:space="0" w:color="auto"/>
            </w:tcBorders>
          </w:tcPr>
          <w:p w14:paraId="52D7EF10"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74,9</w:t>
            </w:r>
          </w:p>
        </w:tc>
      </w:tr>
      <w:tr w:rsidR="00466B8B" w:rsidRPr="002A6AB6" w14:paraId="4CBD86EE" w14:textId="77777777" w:rsidTr="00122792">
        <w:trPr>
          <w:cantSplit/>
        </w:trPr>
        <w:tc>
          <w:tcPr>
            <w:tcW w:w="3055" w:type="dxa"/>
            <w:tcBorders>
              <w:top w:val="single" w:sz="4" w:space="0" w:color="auto"/>
              <w:left w:val="single" w:sz="4" w:space="0" w:color="auto"/>
              <w:bottom w:val="single" w:sz="4" w:space="0" w:color="auto"/>
              <w:right w:val="single" w:sz="4" w:space="0" w:color="auto"/>
            </w:tcBorders>
          </w:tcPr>
          <w:p w14:paraId="7E3D7D59" w14:textId="77777777" w:rsidR="00466B8B" w:rsidRPr="002A6AB6" w:rsidRDefault="00466B8B" w:rsidP="00587700">
            <w:pPr>
              <w:keepNext/>
              <w:keepLines/>
              <w:tabs>
                <w:tab w:val="left" w:pos="567"/>
              </w:tabs>
              <w:jc w:val="both"/>
              <w:rPr>
                <w:sz w:val="22"/>
                <w:szCs w:val="22"/>
                <w:lang w:val="sr-Latn-ME"/>
              </w:rPr>
            </w:pPr>
            <w:r w:rsidRPr="002A6AB6">
              <w:rPr>
                <w:sz w:val="22"/>
                <w:szCs w:val="22"/>
                <w:lang w:val="sr-Latn-ME"/>
              </w:rPr>
              <w:t xml:space="preserve">Srednji broj </w:t>
            </w:r>
            <w:proofErr w:type="spellStart"/>
            <w:r w:rsidRPr="002A6AB6">
              <w:rPr>
                <w:sz w:val="22"/>
                <w:szCs w:val="22"/>
                <w:lang w:val="sr-Latn-ME"/>
              </w:rPr>
              <w:t>relapsa</w:t>
            </w:r>
            <w:proofErr w:type="spellEnd"/>
            <w:r w:rsidRPr="002A6AB6">
              <w:rPr>
                <w:sz w:val="22"/>
                <w:szCs w:val="22"/>
                <w:lang w:val="sr-Latn-ME"/>
              </w:rPr>
              <w:t xml:space="preserve"> u protekloj godini </w:t>
            </w:r>
          </w:p>
        </w:tc>
        <w:tc>
          <w:tcPr>
            <w:tcW w:w="1482" w:type="dxa"/>
            <w:tcBorders>
              <w:top w:val="single" w:sz="4" w:space="0" w:color="auto"/>
              <w:left w:val="single" w:sz="4" w:space="0" w:color="auto"/>
              <w:bottom w:val="single" w:sz="4" w:space="0" w:color="auto"/>
              <w:right w:val="single" w:sz="4" w:space="0" w:color="auto"/>
            </w:tcBorders>
          </w:tcPr>
          <w:p w14:paraId="17FEC9BA"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1,31</w:t>
            </w:r>
          </w:p>
        </w:tc>
        <w:tc>
          <w:tcPr>
            <w:tcW w:w="1419" w:type="dxa"/>
            <w:tcBorders>
              <w:top w:val="single" w:sz="4" w:space="0" w:color="auto"/>
              <w:left w:val="single" w:sz="4" w:space="0" w:color="auto"/>
              <w:bottom w:val="single" w:sz="4" w:space="0" w:color="auto"/>
              <w:right w:val="single" w:sz="4" w:space="0" w:color="auto"/>
            </w:tcBorders>
          </w:tcPr>
          <w:p w14:paraId="248DAAEE"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1,33</w:t>
            </w:r>
          </w:p>
        </w:tc>
        <w:tc>
          <w:tcPr>
            <w:tcW w:w="1345" w:type="dxa"/>
            <w:tcBorders>
              <w:top w:val="single" w:sz="4" w:space="0" w:color="auto"/>
              <w:left w:val="single" w:sz="4" w:space="0" w:color="auto"/>
              <w:bottom w:val="single" w:sz="4" w:space="0" w:color="auto"/>
              <w:right w:val="single" w:sz="4" w:space="0" w:color="auto"/>
            </w:tcBorders>
          </w:tcPr>
          <w:p w14:paraId="69E33570"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1,32</w:t>
            </w:r>
          </w:p>
        </w:tc>
        <w:tc>
          <w:tcPr>
            <w:tcW w:w="1346" w:type="dxa"/>
            <w:tcBorders>
              <w:top w:val="single" w:sz="4" w:space="0" w:color="auto"/>
              <w:left w:val="single" w:sz="4" w:space="0" w:color="auto"/>
              <w:bottom w:val="single" w:sz="4" w:space="0" w:color="auto"/>
              <w:right w:val="single" w:sz="4" w:space="0" w:color="auto"/>
            </w:tcBorders>
          </w:tcPr>
          <w:p w14:paraId="4C8606BE"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1,34</w:t>
            </w:r>
          </w:p>
        </w:tc>
      </w:tr>
      <w:tr w:rsidR="00466B8B" w:rsidRPr="002A6AB6" w14:paraId="2369FA57" w14:textId="77777777" w:rsidTr="00122792">
        <w:trPr>
          <w:cantSplit/>
          <w:trHeight w:val="563"/>
        </w:trPr>
        <w:tc>
          <w:tcPr>
            <w:tcW w:w="3055" w:type="dxa"/>
            <w:tcBorders>
              <w:top w:val="single" w:sz="4" w:space="0" w:color="auto"/>
              <w:left w:val="single" w:sz="4" w:space="0" w:color="auto"/>
              <w:bottom w:val="single" w:sz="4" w:space="0" w:color="auto"/>
              <w:right w:val="single" w:sz="4" w:space="0" w:color="auto"/>
            </w:tcBorders>
          </w:tcPr>
          <w:p w14:paraId="1DEE457C" w14:textId="77777777" w:rsidR="00466B8B" w:rsidRPr="002A6AB6" w:rsidRDefault="00466B8B" w:rsidP="00587700">
            <w:pPr>
              <w:keepNext/>
              <w:keepLines/>
              <w:tabs>
                <w:tab w:val="left" w:pos="567"/>
              </w:tabs>
              <w:jc w:val="both"/>
              <w:rPr>
                <w:sz w:val="22"/>
                <w:szCs w:val="22"/>
                <w:lang w:val="sr-Latn-ME"/>
              </w:rPr>
            </w:pPr>
            <w:r w:rsidRPr="002A6AB6">
              <w:rPr>
                <w:sz w:val="22"/>
                <w:szCs w:val="22"/>
                <w:lang w:val="sr-Latn-ME"/>
              </w:rPr>
              <w:t xml:space="preserve">Procenat pacijenata sa </w:t>
            </w:r>
            <w:proofErr w:type="spellStart"/>
            <w:r w:rsidRPr="002A6AB6">
              <w:rPr>
                <w:sz w:val="22"/>
                <w:szCs w:val="22"/>
                <w:lang w:val="sr-Latn-ME"/>
              </w:rPr>
              <w:t>Gd</w:t>
            </w:r>
            <w:proofErr w:type="spellEnd"/>
            <w:r w:rsidRPr="002A6AB6">
              <w:rPr>
                <w:sz w:val="22"/>
                <w:szCs w:val="22"/>
                <w:lang w:val="sr-Latn-ME"/>
              </w:rPr>
              <w:t xml:space="preserve"> </w:t>
            </w:r>
            <w:proofErr w:type="spellStart"/>
            <w:r w:rsidRPr="002A6AB6">
              <w:rPr>
                <w:sz w:val="22"/>
                <w:szCs w:val="22"/>
                <w:lang w:val="sr-Latn-ME"/>
              </w:rPr>
              <w:t>uvećavajućim</w:t>
            </w:r>
            <w:proofErr w:type="spellEnd"/>
            <w:r w:rsidRPr="002A6AB6">
              <w:rPr>
                <w:sz w:val="22"/>
                <w:szCs w:val="22"/>
                <w:lang w:val="sr-Latn-ME"/>
              </w:rPr>
              <w:t xml:space="preserve"> T1 </w:t>
            </w:r>
            <w:proofErr w:type="spellStart"/>
            <w:r w:rsidRPr="002A6AB6">
              <w:rPr>
                <w:sz w:val="22"/>
                <w:szCs w:val="22"/>
                <w:lang w:val="sr-Latn-ME"/>
              </w:rPr>
              <w:t>lezijama</w:t>
            </w:r>
            <w:proofErr w:type="spellEnd"/>
          </w:p>
        </w:tc>
        <w:tc>
          <w:tcPr>
            <w:tcW w:w="1482" w:type="dxa"/>
            <w:tcBorders>
              <w:top w:val="single" w:sz="4" w:space="0" w:color="auto"/>
              <w:left w:val="single" w:sz="4" w:space="0" w:color="auto"/>
              <w:bottom w:val="single" w:sz="4" w:space="0" w:color="auto"/>
              <w:right w:val="single" w:sz="4" w:space="0" w:color="auto"/>
            </w:tcBorders>
          </w:tcPr>
          <w:p w14:paraId="58EC6489" w14:textId="77777777" w:rsidR="00466B8B" w:rsidRPr="002A6AB6" w:rsidRDefault="00466B8B" w:rsidP="00122792">
            <w:pPr>
              <w:keepNext/>
              <w:keepLines/>
              <w:tabs>
                <w:tab w:val="left" w:pos="567"/>
              </w:tabs>
              <w:jc w:val="center"/>
              <w:rPr>
                <w:sz w:val="22"/>
                <w:szCs w:val="22"/>
                <w:lang w:val="sr-Latn-ME"/>
              </w:rPr>
            </w:pPr>
            <w:r w:rsidRPr="002A6AB6">
              <w:rPr>
                <w:color w:val="222222"/>
                <w:sz w:val="22"/>
                <w:szCs w:val="22"/>
                <w:lang w:val="sr-Latn-ME"/>
              </w:rPr>
              <w:t>42,5</w:t>
            </w:r>
          </w:p>
        </w:tc>
        <w:tc>
          <w:tcPr>
            <w:tcW w:w="1419" w:type="dxa"/>
            <w:tcBorders>
              <w:top w:val="single" w:sz="4" w:space="0" w:color="auto"/>
              <w:left w:val="single" w:sz="4" w:space="0" w:color="auto"/>
              <w:bottom w:val="single" w:sz="4" w:space="0" w:color="auto"/>
              <w:right w:val="single" w:sz="4" w:space="0" w:color="auto"/>
            </w:tcBorders>
          </w:tcPr>
          <w:p w14:paraId="7FD9C856" w14:textId="77777777" w:rsidR="00466B8B" w:rsidRPr="002A6AB6" w:rsidRDefault="00466B8B" w:rsidP="00122792">
            <w:pPr>
              <w:keepNext/>
              <w:keepLines/>
              <w:tabs>
                <w:tab w:val="left" w:pos="567"/>
              </w:tabs>
              <w:jc w:val="center"/>
              <w:rPr>
                <w:sz w:val="22"/>
                <w:szCs w:val="22"/>
                <w:lang w:val="sr-Latn-ME"/>
              </w:rPr>
            </w:pPr>
            <w:r w:rsidRPr="002A6AB6">
              <w:rPr>
                <w:color w:val="222222"/>
                <w:sz w:val="22"/>
                <w:szCs w:val="22"/>
                <w:lang w:val="sr-Latn-ME"/>
              </w:rPr>
              <w:t>38,1</w:t>
            </w:r>
          </w:p>
        </w:tc>
        <w:tc>
          <w:tcPr>
            <w:tcW w:w="1345" w:type="dxa"/>
            <w:tcBorders>
              <w:top w:val="single" w:sz="4" w:space="0" w:color="auto"/>
              <w:left w:val="single" w:sz="4" w:space="0" w:color="auto"/>
              <w:bottom w:val="single" w:sz="4" w:space="0" w:color="auto"/>
              <w:right w:val="single" w:sz="4" w:space="0" w:color="auto"/>
            </w:tcBorders>
          </w:tcPr>
          <w:p w14:paraId="60E79303" w14:textId="77777777" w:rsidR="00466B8B" w:rsidRPr="002A6AB6" w:rsidRDefault="00466B8B" w:rsidP="00122792">
            <w:pPr>
              <w:keepNext/>
              <w:keepLines/>
              <w:tabs>
                <w:tab w:val="left" w:pos="567"/>
              </w:tabs>
              <w:jc w:val="center"/>
              <w:rPr>
                <w:sz w:val="22"/>
                <w:szCs w:val="22"/>
                <w:lang w:val="sr-Latn-ME"/>
              </w:rPr>
            </w:pPr>
            <w:r w:rsidRPr="002A6AB6">
              <w:rPr>
                <w:color w:val="222222"/>
                <w:sz w:val="22"/>
                <w:szCs w:val="22"/>
                <w:lang w:val="sr-Latn-ME"/>
              </w:rPr>
              <w:t>39,0</w:t>
            </w:r>
          </w:p>
        </w:tc>
        <w:tc>
          <w:tcPr>
            <w:tcW w:w="1346" w:type="dxa"/>
            <w:tcBorders>
              <w:top w:val="single" w:sz="4" w:space="0" w:color="auto"/>
              <w:left w:val="single" w:sz="4" w:space="0" w:color="auto"/>
              <w:bottom w:val="single" w:sz="4" w:space="0" w:color="auto"/>
              <w:right w:val="single" w:sz="4" w:space="0" w:color="auto"/>
            </w:tcBorders>
          </w:tcPr>
          <w:p w14:paraId="2EFFB906" w14:textId="77777777" w:rsidR="00466B8B" w:rsidRPr="002A6AB6" w:rsidRDefault="00466B8B" w:rsidP="00122792">
            <w:pPr>
              <w:keepNext/>
              <w:keepLines/>
              <w:tabs>
                <w:tab w:val="left" w:pos="567"/>
              </w:tabs>
              <w:jc w:val="center"/>
              <w:rPr>
                <w:sz w:val="22"/>
                <w:szCs w:val="22"/>
                <w:lang w:val="sr-Latn-ME"/>
              </w:rPr>
            </w:pPr>
            <w:r w:rsidRPr="002A6AB6">
              <w:rPr>
                <w:color w:val="222222"/>
                <w:sz w:val="22"/>
                <w:szCs w:val="22"/>
                <w:lang w:val="sr-Latn-ME"/>
              </w:rPr>
              <w:t>41,4</w:t>
            </w:r>
          </w:p>
        </w:tc>
      </w:tr>
      <w:tr w:rsidR="00466B8B" w:rsidRPr="002A6AB6" w14:paraId="229A50B4" w14:textId="77777777" w:rsidTr="00122792">
        <w:trPr>
          <w:cantSplit/>
          <w:trHeight w:val="563"/>
        </w:trPr>
        <w:tc>
          <w:tcPr>
            <w:tcW w:w="3055" w:type="dxa"/>
            <w:tcBorders>
              <w:top w:val="single" w:sz="4" w:space="0" w:color="auto"/>
              <w:left w:val="single" w:sz="4" w:space="0" w:color="auto"/>
              <w:bottom w:val="single" w:sz="4" w:space="0" w:color="auto"/>
              <w:right w:val="single" w:sz="4" w:space="0" w:color="auto"/>
            </w:tcBorders>
          </w:tcPr>
          <w:p w14:paraId="33B5A94F" w14:textId="77777777" w:rsidR="00466B8B" w:rsidRPr="002A6AB6" w:rsidRDefault="00466B8B" w:rsidP="00587700">
            <w:pPr>
              <w:keepNext/>
              <w:keepLines/>
              <w:tabs>
                <w:tab w:val="left" w:pos="567"/>
              </w:tabs>
              <w:jc w:val="both"/>
              <w:rPr>
                <w:sz w:val="22"/>
                <w:szCs w:val="22"/>
                <w:lang w:val="sr-Latn-ME"/>
              </w:rPr>
            </w:pPr>
            <w:r w:rsidRPr="002A6AB6">
              <w:rPr>
                <w:sz w:val="22"/>
                <w:szCs w:val="22"/>
                <w:lang w:val="sr-Latn-ME"/>
              </w:rPr>
              <w:t>Srednja vrijednost EDSS*</w:t>
            </w:r>
          </w:p>
        </w:tc>
        <w:tc>
          <w:tcPr>
            <w:tcW w:w="1482" w:type="dxa"/>
            <w:tcBorders>
              <w:top w:val="single" w:sz="4" w:space="0" w:color="auto"/>
              <w:left w:val="single" w:sz="4" w:space="0" w:color="auto"/>
              <w:bottom w:val="single" w:sz="4" w:space="0" w:color="auto"/>
              <w:right w:val="single" w:sz="4" w:space="0" w:color="auto"/>
            </w:tcBorders>
          </w:tcPr>
          <w:p w14:paraId="5B2CFD09"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2,82</w:t>
            </w:r>
          </w:p>
        </w:tc>
        <w:tc>
          <w:tcPr>
            <w:tcW w:w="1419" w:type="dxa"/>
            <w:tcBorders>
              <w:top w:val="single" w:sz="4" w:space="0" w:color="auto"/>
              <w:left w:val="single" w:sz="4" w:space="0" w:color="auto"/>
              <w:bottom w:val="single" w:sz="4" w:space="0" w:color="auto"/>
              <w:right w:val="single" w:sz="4" w:space="0" w:color="auto"/>
            </w:tcBorders>
          </w:tcPr>
          <w:p w14:paraId="67F42B18"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2,71</w:t>
            </w:r>
          </w:p>
        </w:tc>
        <w:tc>
          <w:tcPr>
            <w:tcW w:w="1345" w:type="dxa"/>
            <w:tcBorders>
              <w:top w:val="single" w:sz="4" w:space="0" w:color="auto"/>
              <w:left w:val="single" w:sz="4" w:space="0" w:color="auto"/>
              <w:bottom w:val="single" w:sz="4" w:space="0" w:color="auto"/>
              <w:right w:val="single" w:sz="4" w:space="0" w:color="auto"/>
            </w:tcBorders>
          </w:tcPr>
          <w:p w14:paraId="1D2615FB"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2,73</w:t>
            </w:r>
          </w:p>
        </w:tc>
        <w:tc>
          <w:tcPr>
            <w:tcW w:w="1346" w:type="dxa"/>
            <w:tcBorders>
              <w:top w:val="single" w:sz="4" w:space="0" w:color="auto"/>
              <w:left w:val="single" w:sz="4" w:space="0" w:color="auto"/>
              <w:bottom w:val="single" w:sz="4" w:space="0" w:color="auto"/>
              <w:right w:val="single" w:sz="4" w:space="0" w:color="auto"/>
            </w:tcBorders>
          </w:tcPr>
          <w:p w14:paraId="592604FD"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2,79</w:t>
            </w:r>
          </w:p>
        </w:tc>
      </w:tr>
    </w:tbl>
    <w:p w14:paraId="1516C75C"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Proširena skala statusa invaliditeta</w:t>
      </w:r>
    </w:p>
    <w:p w14:paraId="25EAD037"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 Pacijenti koji nisu liječeni nijednom terapijom koja modifikuje tok bolesti (engl. </w:t>
      </w:r>
      <w:proofErr w:type="spellStart"/>
      <w:r w:rsidRPr="002A6AB6">
        <w:rPr>
          <w:bCs/>
          <w:i/>
          <w:iCs/>
          <w:sz w:val="22"/>
          <w:szCs w:val="22"/>
          <w:lang w:val="sr-Latn-ME"/>
        </w:rPr>
        <w:t>disease-modifying</w:t>
      </w:r>
      <w:proofErr w:type="spellEnd"/>
      <w:r w:rsidRPr="002A6AB6">
        <w:rPr>
          <w:bCs/>
          <w:i/>
          <w:iCs/>
          <w:sz w:val="22"/>
          <w:szCs w:val="22"/>
          <w:lang w:val="sr-Latn-ME"/>
        </w:rPr>
        <w:t xml:space="preserve"> </w:t>
      </w:r>
      <w:proofErr w:type="spellStart"/>
      <w:r w:rsidRPr="002A6AB6">
        <w:rPr>
          <w:bCs/>
          <w:i/>
          <w:iCs/>
          <w:sz w:val="22"/>
          <w:szCs w:val="22"/>
          <w:lang w:val="sr-Latn-ME"/>
        </w:rPr>
        <w:t>therapy</w:t>
      </w:r>
      <w:proofErr w:type="spellEnd"/>
      <w:r w:rsidRPr="002A6AB6">
        <w:rPr>
          <w:bCs/>
          <w:sz w:val="22"/>
          <w:szCs w:val="22"/>
          <w:lang w:val="sr-Latn-ME"/>
        </w:rPr>
        <w:t xml:space="preserve">, DMT) u periodu od 2 godine prije </w:t>
      </w:r>
      <w:proofErr w:type="spellStart"/>
      <w:r w:rsidRPr="002A6AB6">
        <w:rPr>
          <w:bCs/>
          <w:sz w:val="22"/>
          <w:szCs w:val="22"/>
          <w:lang w:val="sr-Latn-ME"/>
        </w:rPr>
        <w:t>randomizacije</w:t>
      </w:r>
      <w:proofErr w:type="spellEnd"/>
      <w:r w:rsidRPr="002A6AB6">
        <w:rPr>
          <w:bCs/>
          <w:sz w:val="22"/>
          <w:szCs w:val="22"/>
          <w:lang w:val="sr-Latn-ME"/>
        </w:rPr>
        <w:t>.</w:t>
      </w:r>
    </w:p>
    <w:p w14:paraId="3C42A5DF" w14:textId="77777777" w:rsidR="00466B8B" w:rsidRPr="002A6AB6" w:rsidRDefault="00466B8B" w:rsidP="00587700">
      <w:pPr>
        <w:tabs>
          <w:tab w:val="left" w:pos="540"/>
          <w:tab w:val="left" w:pos="569"/>
        </w:tabs>
        <w:jc w:val="both"/>
        <w:rPr>
          <w:bCs/>
          <w:sz w:val="22"/>
          <w:szCs w:val="22"/>
          <w:lang w:val="sr-Latn-ME"/>
        </w:rPr>
      </w:pPr>
    </w:p>
    <w:p w14:paraId="63E23852"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Ključni rezultati kliničke efikasnosti i efikasnosti na MR prikazani su u tabeli 3 i na slici 1.  </w:t>
      </w:r>
    </w:p>
    <w:p w14:paraId="78979999" w14:textId="77777777" w:rsidR="00466B8B" w:rsidRPr="002A6AB6" w:rsidRDefault="00466B8B" w:rsidP="00587700">
      <w:pPr>
        <w:tabs>
          <w:tab w:val="left" w:pos="540"/>
          <w:tab w:val="left" w:pos="569"/>
        </w:tabs>
        <w:jc w:val="both"/>
        <w:rPr>
          <w:bCs/>
          <w:sz w:val="22"/>
          <w:szCs w:val="22"/>
          <w:lang w:val="sr-Latn-ME"/>
        </w:rPr>
      </w:pPr>
    </w:p>
    <w:p w14:paraId="6AEC6D6D"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lang w:val="sr-Latn-ME"/>
        </w:rPr>
        <w:t xml:space="preserve">Rezultati ovih studija pokazuju da je </w:t>
      </w:r>
      <w:proofErr w:type="spellStart"/>
      <w:r w:rsidRPr="002A6AB6">
        <w:rPr>
          <w:bCs/>
          <w:sz w:val="22"/>
          <w:szCs w:val="22"/>
          <w:lang w:val="sr-Latn-ME"/>
        </w:rPr>
        <w:t>okrelizumab</w:t>
      </w:r>
      <w:proofErr w:type="spellEnd"/>
      <w:r w:rsidRPr="002A6AB6">
        <w:rPr>
          <w:bCs/>
          <w:sz w:val="22"/>
          <w:szCs w:val="22"/>
          <w:lang w:val="sr-Latn-ME"/>
        </w:rPr>
        <w:t xml:space="preserve"> značajno </w:t>
      </w:r>
      <w:proofErr w:type="spellStart"/>
      <w:r w:rsidRPr="002A6AB6">
        <w:rPr>
          <w:bCs/>
          <w:sz w:val="22"/>
          <w:szCs w:val="22"/>
          <w:lang w:val="sr-Latn-ME"/>
        </w:rPr>
        <w:t>suprimirao</w:t>
      </w:r>
      <w:proofErr w:type="spellEnd"/>
      <w:r w:rsidRPr="002A6AB6">
        <w:rPr>
          <w:bCs/>
          <w:sz w:val="22"/>
          <w:szCs w:val="22"/>
          <w:lang w:val="sr-Latn-ME"/>
        </w:rPr>
        <w:t xml:space="preserve"> </w:t>
      </w:r>
      <w:proofErr w:type="spellStart"/>
      <w:r w:rsidRPr="002A6AB6">
        <w:rPr>
          <w:bCs/>
          <w:sz w:val="22"/>
          <w:szCs w:val="22"/>
          <w:lang w:val="sr-Latn-ME"/>
        </w:rPr>
        <w:t>relapse</w:t>
      </w:r>
      <w:proofErr w:type="spellEnd"/>
      <w:r w:rsidRPr="002A6AB6">
        <w:rPr>
          <w:bCs/>
          <w:sz w:val="22"/>
          <w:szCs w:val="22"/>
          <w:lang w:val="sr-Latn-ME"/>
        </w:rPr>
        <w:t xml:space="preserve">, </w:t>
      </w:r>
      <w:proofErr w:type="spellStart"/>
      <w:r w:rsidRPr="002A6AB6">
        <w:rPr>
          <w:bCs/>
          <w:sz w:val="22"/>
          <w:szCs w:val="22"/>
          <w:lang w:val="sr-Latn-ME"/>
        </w:rPr>
        <w:t>supkliničku</w:t>
      </w:r>
      <w:proofErr w:type="spellEnd"/>
      <w:r w:rsidRPr="002A6AB6">
        <w:rPr>
          <w:bCs/>
          <w:sz w:val="22"/>
          <w:szCs w:val="22"/>
          <w:lang w:val="sr-Latn-ME"/>
        </w:rPr>
        <w:t xml:space="preserve"> aktivnost bolesti izmjerenu na magnetnoj rezonanci i progresiju bolesti, u poređenju sa </w:t>
      </w:r>
      <w:proofErr w:type="spellStart"/>
      <w:r w:rsidRPr="002A6AB6">
        <w:rPr>
          <w:bCs/>
          <w:sz w:val="22"/>
          <w:szCs w:val="22"/>
          <w:lang w:val="sr-Latn-ME"/>
        </w:rPr>
        <w:t>subkutano</w:t>
      </w:r>
      <w:proofErr w:type="spellEnd"/>
      <w:r w:rsidRPr="002A6AB6">
        <w:rPr>
          <w:bCs/>
          <w:sz w:val="22"/>
          <w:szCs w:val="22"/>
          <w:lang w:val="sr-Latn-ME"/>
        </w:rPr>
        <w:t xml:space="preserve"> primijenjenim </w:t>
      </w:r>
      <w:proofErr w:type="spellStart"/>
      <w:r w:rsidRPr="002A6AB6">
        <w:rPr>
          <w:bCs/>
          <w:sz w:val="22"/>
          <w:szCs w:val="22"/>
          <w:lang w:val="sr-Latn-ME"/>
        </w:rPr>
        <w:t>interferonom</w:t>
      </w:r>
      <w:proofErr w:type="spellEnd"/>
      <w:r w:rsidRPr="002A6AB6">
        <w:rPr>
          <w:bCs/>
          <w:sz w:val="22"/>
          <w:szCs w:val="22"/>
          <w:lang w:val="sr-Latn-ME"/>
        </w:rPr>
        <w:t xml:space="preserve"> beta 1a 44 </w:t>
      </w:r>
      <w:proofErr w:type="spellStart"/>
      <w:r w:rsidRPr="002A6AB6">
        <w:rPr>
          <w:bCs/>
          <w:sz w:val="22"/>
          <w:szCs w:val="22"/>
          <w:lang w:val="sr-Latn-ME"/>
        </w:rPr>
        <w:t>mikrograma</w:t>
      </w:r>
      <w:proofErr w:type="spellEnd"/>
      <w:r w:rsidRPr="002A6AB6">
        <w:rPr>
          <w:bCs/>
          <w:sz w:val="22"/>
          <w:szCs w:val="22"/>
          <w:lang w:val="sr-Latn-ME"/>
        </w:rPr>
        <w:t>.</w:t>
      </w:r>
    </w:p>
    <w:p w14:paraId="0B2EEFB4" w14:textId="77777777" w:rsidR="00466B8B" w:rsidRPr="002A6AB6" w:rsidRDefault="00466B8B" w:rsidP="00587700">
      <w:pPr>
        <w:tabs>
          <w:tab w:val="left" w:pos="540"/>
          <w:tab w:val="left" w:pos="569"/>
        </w:tabs>
        <w:jc w:val="both"/>
        <w:rPr>
          <w:b/>
          <w:bCs/>
          <w:sz w:val="22"/>
          <w:szCs w:val="22"/>
          <w:lang w:val="sr-Latn-ME"/>
        </w:rPr>
      </w:pPr>
    </w:p>
    <w:p w14:paraId="22AE7EAB" w14:textId="77777777" w:rsidR="00320270" w:rsidRPr="002A6AB6" w:rsidRDefault="00320270">
      <w:pPr>
        <w:rPr>
          <w:b/>
          <w:bCs/>
          <w:sz w:val="22"/>
          <w:szCs w:val="22"/>
          <w:lang w:val="sr-Latn-ME"/>
        </w:rPr>
      </w:pPr>
      <w:r w:rsidRPr="002A6AB6">
        <w:rPr>
          <w:b/>
          <w:bCs/>
          <w:sz w:val="22"/>
          <w:szCs w:val="22"/>
          <w:lang w:val="sr-Latn-ME"/>
        </w:rPr>
        <w:br w:type="page"/>
      </w:r>
    </w:p>
    <w:p w14:paraId="1B3E3B64" w14:textId="77777777" w:rsidR="00466B8B" w:rsidRPr="002A6AB6" w:rsidRDefault="00466B8B" w:rsidP="00587700">
      <w:pPr>
        <w:tabs>
          <w:tab w:val="left" w:pos="540"/>
          <w:tab w:val="left" w:pos="569"/>
        </w:tabs>
        <w:jc w:val="both"/>
        <w:rPr>
          <w:b/>
          <w:bCs/>
          <w:sz w:val="22"/>
          <w:szCs w:val="22"/>
          <w:lang w:val="sr-Latn-ME"/>
        </w:rPr>
      </w:pPr>
      <w:r w:rsidRPr="002A6AB6">
        <w:rPr>
          <w:b/>
          <w:bCs/>
          <w:sz w:val="22"/>
          <w:szCs w:val="22"/>
          <w:lang w:val="sr-Latn-ME"/>
        </w:rPr>
        <w:lastRenderedPageBreak/>
        <w:t>Tabela 3</w:t>
      </w:r>
      <w:r w:rsidRPr="002A6AB6">
        <w:rPr>
          <w:b/>
          <w:bCs/>
          <w:sz w:val="22"/>
          <w:szCs w:val="22"/>
          <w:lang w:val="sr-Latn-ME"/>
        </w:rPr>
        <w:tab/>
        <w:t>Ključni klinički i MR parametri praćenja efikasnosti iz studija WA21092 i WA21093 (RMS)</w:t>
      </w:r>
    </w:p>
    <w:p w14:paraId="3D7939EE" w14:textId="77777777" w:rsidR="00466B8B" w:rsidRPr="002A6AB6" w:rsidRDefault="00466B8B" w:rsidP="00587700">
      <w:pPr>
        <w:tabs>
          <w:tab w:val="left" w:pos="540"/>
          <w:tab w:val="left" w:pos="569"/>
        </w:tabs>
        <w:jc w:val="both"/>
        <w:rPr>
          <w:b/>
          <w:bCs/>
          <w:sz w:val="22"/>
          <w:szCs w:val="22"/>
          <w:lang w:val="sr-Latn-ME"/>
        </w:rPr>
      </w:pPr>
    </w:p>
    <w:tbl>
      <w:tblPr>
        <w:tblW w:w="8905" w:type="dxa"/>
        <w:jc w:val="center"/>
        <w:tblLayout w:type="fixed"/>
        <w:tblCellMar>
          <w:left w:w="57" w:type="dxa"/>
          <w:right w:w="57" w:type="dxa"/>
        </w:tblCellMar>
        <w:tblLook w:val="0000" w:firstRow="0" w:lastRow="0" w:firstColumn="0" w:lastColumn="0" w:noHBand="0" w:noVBand="0"/>
      </w:tblPr>
      <w:tblGrid>
        <w:gridCol w:w="4225"/>
        <w:gridCol w:w="1350"/>
        <w:gridCol w:w="990"/>
        <w:gridCol w:w="620"/>
        <w:gridCol w:w="730"/>
        <w:gridCol w:w="990"/>
      </w:tblGrid>
      <w:tr w:rsidR="00466B8B" w:rsidRPr="002A6AB6" w14:paraId="3B9EDC85" w14:textId="77777777" w:rsidTr="00466B8B">
        <w:trPr>
          <w:cantSplit/>
          <w:trHeight w:val="312"/>
          <w:jc w:val="center"/>
        </w:trPr>
        <w:tc>
          <w:tcPr>
            <w:tcW w:w="4225" w:type="dxa"/>
            <w:vMerge w:val="restart"/>
            <w:tcBorders>
              <w:top w:val="single" w:sz="4" w:space="0" w:color="auto"/>
              <w:left w:val="single" w:sz="4" w:space="0" w:color="auto"/>
              <w:right w:val="single" w:sz="4" w:space="0" w:color="auto"/>
            </w:tcBorders>
            <w:shd w:val="clear" w:color="auto" w:fill="auto"/>
          </w:tcPr>
          <w:p w14:paraId="6EB027B0" w14:textId="77777777" w:rsidR="00466B8B" w:rsidRPr="002A6AB6" w:rsidRDefault="00466B8B" w:rsidP="00587700">
            <w:pPr>
              <w:pStyle w:val="QRDEnTableText"/>
              <w:keepNext/>
              <w:keepLines/>
              <w:spacing w:line="240" w:lineRule="auto"/>
              <w:jc w:val="both"/>
              <w:rPr>
                <w:b/>
                <w:bCs/>
                <w:szCs w:val="22"/>
                <w:lang w:val="sr-Latn-ME"/>
              </w:rPr>
            </w:pPr>
            <w:r w:rsidRPr="002A6AB6">
              <w:rPr>
                <w:szCs w:val="22"/>
                <w:lang w:val="sr-Latn-ME"/>
              </w:rPr>
              <w:br/>
            </w:r>
            <w:r w:rsidRPr="002A6AB6">
              <w:rPr>
                <w:szCs w:val="22"/>
                <w:lang w:val="sr-Latn-ME"/>
              </w:rPr>
              <w:br/>
            </w:r>
            <w:r w:rsidRPr="002A6AB6">
              <w:rPr>
                <w:b/>
                <w:bCs/>
                <w:szCs w:val="22"/>
                <w:lang w:val="sr-Latn-ME"/>
              </w:rPr>
              <w:t>Parametri praćenja</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14:paraId="76EF8F08" w14:textId="77777777" w:rsidR="00466B8B" w:rsidRPr="002A6AB6" w:rsidRDefault="00466B8B" w:rsidP="00122792">
            <w:pPr>
              <w:pStyle w:val="QRDEnTableText"/>
              <w:keepNext/>
              <w:keepLines/>
              <w:spacing w:line="240" w:lineRule="auto"/>
              <w:jc w:val="center"/>
              <w:rPr>
                <w:b/>
                <w:bCs/>
                <w:szCs w:val="22"/>
                <w:lang w:val="sr-Latn-ME"/>
              </w:rPr>
            </w:pPr>
            <w:r w:rsidRPr="002A6AB6">
              <w:rPr>
                <w:b/>
                <w:bCs/>
                <w:szCs w:val="22"/>
                <w:lang w:val="sr-Latn-ME"/>
              </w:rPr>
              <w:t>1. studija: WA21092</w:t>
            </w:r>
          </w:p>
          <w:p w14:paraId="5F4F2F19" w14:textId="77777777" w:rsidR="00466B8B" w:rsidRPr="002A6AB6" w:rsidRDefault="00466B8B" w:rsidP="00122792">
            <w:pPr>
              <w:pStyle w:val="QRDEnTableText"/>
              <w:keepNext/>
              <w:keepLines/>
              <w:spacing w:line="240" w:lineRule="auto"/>
              <w:jc w:val="center"/>
              <w:rPr>
                <w:b/>
                <w:bCs/>
                <w:szCs w:val="22"/>
                <w:lang w:val="sr-Latn-ME"/>
              </w:rPr>
            </w:pPr>
            <w:r w:rsidRPr="002A6AB6">
              <w:rPr>
                <w:b/>
                <w:bCs/>
                <w:szCs w:val="22"/>
                <w:lang w:val="sr-Latn-ME"/>
              </w:rPr>
              <w:t>(OPERA I)</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tcPr>
          <w:p w14:paraId="7BCEC265" w14:textId="77777777" w:rsidR="00466B8B" w:rsidRPr="002A6AB6" w:rsidRDefault="00466B8B" w:rsidP="00122792">
            <w:pPr>
              <w:pStyle w:val="QRDEnTableText"/>
              <w:keepNext/>
              <w:keepLines/>
              <w:spacing w:line="240" w:lineRule="auto"/>
              <w:jc w:val="center"/>
              <w:rPr>
                <w:b/>
                <w:bCs/>
                <w:szCs w:val="22"/>
                <w:lang w:val="sr-Latn-ME"/>
              </w:rPr>
            </w:pPr>
            <w:r w:rsidRPr="002A6AB6">
              <w:rPr>
                <w:b/>
                <w:bCs/>
                <w:szCs w:val="22"/>
                <w:lang w:val="sr-Latn-ME"/>
              </w:rPr>
              <w:t>2. studija: WA21093</w:t>
            </w:r>
          </w:p>
          <w:p w14:paraId="4604A79C" w14:textId="77777777" w:rsidR="00466B8B" w:rsidRPr="002A6AB6" w:rsidRDefault="00466B8B" w:rsidP="00122792">
            <w:pPr>
              <w:pStyle w:val="QRDEnTableText"/>
              <w:keepNext/>
              <w:keepLines/>
              <w:spacing w:line="240" w:lineRule="auto"/>
              <w:jc w:val="center"/>
              <w:rPr>
                <w:b/>
                <w:bCs/>
                <w:szCs w:val="22"/>
                <w:lang w:val="sr-Latn-ME"/>
              </w:rPr>
            </w:pPr>
            <w:r w:rsidRPr="002A6AB6">
              <w:rPr>
                <w:b/>
                <w:bCs/>
                <w:szCs w:val="22"/>
                <w:lang w:val="sr-Latn-ME"/>
              </w:rPr>
              <w:t>(OPERA II)</w:t>
            </w:r>
          </w:p>
        </w:tc>
      </w:tr>
      <w:tr w:rsidR="00466B8B" w:rsidRPr="002A6AB6" w14:paraId="29665E6B" w14:textId="77777777" w:rsidTr="00466B8B">
        <w:trPr>
          <w:cantSplit/>
          <w:trHeight w:val="544"/>
          <w:jc w:val="center"/>
        </w:trPr>
        <w:tc>
          <w:tcPr>
            <w:tcW w:w="4225" w:type="dxa"/>
            <w:vMerge/>
            <w:tcBorders>
              <w:left w:val="single" w:sz="4" w:space="0" w:color="auto"/>
              <w:bottom w:val="single" w:sz="4" w:space="0" w:color="auto"/>
              <w:right w:val="single" w:sz="4" w:space="0" w:color="auto"/>
            </w:tcBorders>
            <w:shd w:val="clear" w:color="auto" w:fill="auto"/>
          </w:tcPr>
          <w:p w14:paraId="587EB3C8" w14:textId="77777777" w:rsidR="00466B8B" w:rsidRPr="002A6AB6" w:rsidRDefault="00466B8B" w:rsidP="00587700">
            <w:pPr>
              <w:pStyle w:val="QRDEnTableText"/>
              <w:keepNext/>
              <w:keepLines/>
              <w:spacing w:line="240" w:lineRule="auto"/>
              <w:jc w:val="both"/>
              <w:rPr>
                <w:szCs w:val="22"/>
                <w:lang w:val="sr-Latn-ME"/>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FC3D4DA" w14:textId="77777777" w:rsidR="00466B8B" w:rsidRPr="002A6AB6" w:rsidRDefault="00466B8B" w:rsidP="00122792">
            <w:pPr>
              <w:pStyle w:val="QRDEnTableText"/>
              <w:keepNext/>
              <w:keepLines/>
              <w:spacing w:line="240" w:lineRule="auto"/>
              <w:jc w:val="center"/>
              <w:rPr>
                <w:szCs w:val="22"/>
                <w:lang w:val="sr-Latn-ME"/>
              </w:rPr>
            </w:pPr>
            <w:proofErr w:type="spellStart"/>
            <w:r w:rsidRPr="002A6AB6">
              <w:rPr>
                <w:szCs w:val="22"/>
                <w:lang w:val="sr-Latn-ME"/>
              </w:rPr>
              <w:t>Okrelizumab</w:t>
            </w:r>
            <w:proofErr w:type="spellEnd"/>
          </w:p>
          <w:p w14:paraId="66C976D3" w14:textId="77777777" w:rsidR="00466B8B" w:rsidRPr="002A6AB6" w:rsidRDefault="00466B8B" w:rsidP="00122792">
            <w:pPr>
              <w:pStyle w:val="QRDEnTableText"/>
              <w:keepNext/>
              <w:keepLines/>
              <w:spacing w:line="240" w:lineRule="auto"/>
              <w:jc w:val="center"/>
              <w:rPr>
                <w:szCs w:val="22"/>
                <w:lang w:val="sr-Latn-ME"/>
              </w:rPr>
            </w:pPr>
            <w:r w:rsidRPr="002A6AB6">
              <w:rPr>
                <w:szCs w:val="22"/>
                <w:lang w:val="sr-Latn-ME"/>
              </w:rPr>
              <w:t>600 mg</w:t>
            </w:r>
          </w:p>
          <w:p w14:paraId="59E06F5E" w14:textId="77777777" w:rsidR="00466B8B" w:rsidRPr="002A6AB6" w:rsidRDefault="00466B8B" w:rsidP="00122792">
            <w:pPr>
              <w:pStyle w:val="QRDEnTableText"/>
              <w:keepNext/>
              <w:keepLines/>
              <w:spacing w:line="240" w:lineRule="auto"/>
              <w:jc w:val="center"/>
              <w:rPr>
                <w:szCs w:val="22"/>
                <w:lang w:val="sr-Latn-ME"/>
              </w:rPr>
            </w:pPr>
            <w:r w:rsidRPr="002A6AB6">
              <w:rPr>
                <w:szCs w:val="22"/>
                <w:lang w:val="sr-Latn-ME"/>
              </w:rPr>
              <w:t>(n=410)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21D4683" w14:textId="77777777" w:rsidR="00466B8B" w:rsidRPr="002A6AB6" w:rsidRDefault="00466B8B" w:rsidP="00122792">
            <w:pPr>
              <w:pStyle w:val="QRDEnTableText"/>
              <w:keepNext/>
              <w:keepLines/>
              <w:spacing w:line="240" w:lineRule="auto"/>
              <w:jc w:val="center"/>
              <w:rPr>
                <w:szCs w:val="22"/>
                <w:lang w:val="sr-Latn-ME"/>
              </w:rPr>
            </w:pPr>
            <w:r w:rsidRPr="002A6AB6">
              <w:rPr>
                <w:szCs w:val="22"/>
                <w:lang w:val="sr-Latn-ME"/>
              </w:rPr>
              <w:t xml:space="preserve">IFN </w:t>
            </w:r>
            <w:r w:rsidRPr="002A6AB6">
              <w:rPr>
                <w:szCs w:val="22"/>
                <w:lang w:val="sr-Latn-ME"/>
              </w:rPr>
              <w:br/>
              <w:t xml:space="preserve">44 </w:t>
            </w:r>
            <w:proofErr w:type="spellStart"/>
            <w:r w:rsidRPr="002A6AB6">
              <w:rPr>
                <w:szCs w:val="22"/>
                <w:lang w:val="sr-Latn-ME"/>
              </w:rPr>
              <w:t>mcg</w:t>
            </w:r>
            <w:proofErr w:type="spellEnd"/>
          </w:p>
          <w:p w14:paraId="0826CF82" w14:textId="77777777" w:rsidR="00466B8B" w:rsidRPr="002A6AB6" w:rsidRDefault="00466B8B" w:rsidP="00122792">
            <w:pPr>
              <w:pStyle w:val="QRDEnTableText"/>
              <w:keepNext/>
              <w:keepLines/>
              <w:spacing w:line="240" w:lineRule="auto"/>
              <w:jc w:val="center"/>
              <w:rPr>
                <w:szCs w:val="22"/>
                <w:lang w:val="sr-Latn-ME"/>
              </w:rPr>
            </w:pPr>
            <w:r w:rsidRPr="002A6AB6">
              <w:rPr>
                <w:szCs w:val="22"/>
                <w:lang w:val="sr-Latn-ME"/>
              </w:rPr>
              <w:t>(n=411)</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14:paraId="53F35F61" w14:textId="77777777" w:rsidR="00466B8B" w:rsidRPr="002A6AB6" w:rsidRDefault="00466B8B" w:rsidP="00122792">
            <w:pPr>
              <w:pStyle w:val="QRDEnTableText"/>
              <w:keepNext/>
              <w:keepLines/>
              <w:spacing w:line="240" w:lineRule="auto"/>
              <w:jc w:val="center"/>
              <w:rPr>
                <w:szCs w:val="22"/>
                <w:lang w:val="sr-Latn-ME"/>
              </w:rPr>
            </w:pPr>
            <w:proofErr w:type="spellStart"/>
            <w:r w:rsidRPr="002A6AB6">
              <w:rPr>
                <w:szCs w:val="22"/>
                <w:lang w:val="sr-Latn-ME"/>
              </w:rPr>
              <w:t>Okrelizumab</w:t>
            </w:r>
            <w:proofErr w:type="spellEnd"/>
          </w:p>
          <w:p w14:paraId="3A9EEC12" w14:textId="77777777" w:rsidR="00466B8B" w:rsidRPr="002A6AB6" w:rsidRDefault="00466B8B" w:rsidP="00122792">
            <w:pPr>
              <w:pStyle w:val="QRDEnTableText"/>
              <w:keepNext/>
              <w:keepLines/>
              <w:spacing w:line="240" w:lineRule="auto"/>
              <w:jc w:val="center"/>
              <w:rPr>
                <w:szCs w:val="22"/>
                <w:lang w:val="sr-Latn-ME"/>
              </w:rPr>
            </w:pPr>
            <w:r w:rsidRPr="002A6AB6">
              <w:rPr>
                <w:szCs w:val="22"/>
                <w:lang w:val="sr-Latn-ME"/>
              </w:rPr>
              <w:t>600 mg</w:t>
            </w:r>
          </w:p>
          <w:p w14:paraId="7DD35497" w14:textId="77777777" w:rsidR="00466B8B" w:rsidRPr="002A6AB6" w:rsidRDefault="00466B8B" w:rsidP="00122792">
            <w:pPr>
              <w:pStyle w:val="QRDEnTableText"/>
              <w:keepNext/>
              <w:keepLines/>
              <w:spacing w:line="240" w:lineRule="auto"/>
              <w:jc w:val="center"/>
              <w:rPr>
                <w:szCs w:val="22"/>
                <w:lang w:val="sr-Latn-ME"/>
              </w:rPr>
            </w:pPr>
            <w:r w:rsidRPr="002A6AB6">
              <w:rPr>
                <w:szCs w:val="22"/>
                <w:lang w:val="sr-Latn-ME"/>
              </w:rPr>
              <w:t>(n=417)</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F610DD5" w14:textId="77777777" w:rsidR="00466B8B" w:rsidRPr="002A6AB6" w:rsidRDefault="00466B8B" w:rsidP="00122792">
            <w:pPr>
              <w:pStyle w:val="QRDEnTableText"/>
              <w:keepNext/>
              <w:keepLines/>
              <w:spacing w:line="240" w:lineRule="auto"/>
              <w:jc w:val="center"/>
              <w:rPr>
                <w:szCs w:val="22"/>
                <w:lang w:val="sr-Latn-ME"/>
              </w:rPr>
            </w:pPr>
            <w:r w:rsidRPr="002A6AB6">
              <w:rPr>
                <w:szCs w:val="22"/>
                <w:lang w:val="sr-Latn-ME"/>
              </w:rPr>
              <w:t xml:space="preserve">IFN </w:t>
            </w:r>
            <w:r w:rsidRPr="002A6AB6">
              <w:rPr>
                <w:szCs w:val="22"/>
                <w:lang w:val="sr-Latn-ME"/>
              </w:rPr>
              <w:br/>
              <w:t xml:space="preserve">44 </w:t>
            </w:r>
            <w:proofErr w:type="spellStart"/>
            <w:r w:rsidRPr="002A6AB6">
              <w:rPr>
                <w:szCs w:val="22"/>
                <w:lang w:val="sr-Latn-ME"/>
              </w:rPr>
              <w:t>mcg</w:t>
            </w:r>
            <w:proofErr w:type="spellEnd"/>
          </w:p>
          <w:p w14:paraId="395C6A4A" w14:textId="77777777" w:rsidR="00466B8B" w:rsidRPr="002A6AB6" w:rsidRDefault="00466B8B" w:rsidP="00122792">
            <w:pPr>
              <w:pStyle w:val="QRDEnTableText"/>
              <w:keepNext/>
              <w:keepLines/>
              <w:spacing w:line="240" w:lineRule="auto"/>
              <w:jc w:val="center"/>
              <w:rPr>
                <w:szCs w:val="22"/>
                <w:lang w:val="sr-Latn-ME"/>
              </w:rPr>
            </w:pPr>
            <w:r w:rsidRPr="002A6AB6">
              <w:rPr>
                <w:szCs w:val="22"/>
                <w:lang w:val="sr-Latn-ME"/>
              </w:rPr>
              <w:t>(n=418)</w:t>
            </w:r>
          </w:p>
        </w:tc>
      </w:tr>
      <w:tr w:rsidR="00466B8B" w:rsidRPr="002A6AB6" w14:paraId="6B801A43" w14:textId="77777777" w:rsidTr="00466B8B">
        <w:trPr>
          <w:cantSplit/>
          <w:trHeight w:val="225"/>
          <w:jc w:val="center"/>
        </w:trPr>
        <w:tc>
          <w:tcPr>
            <w:tcW w:w="4225" w:type="dxa"/>
            <w:tcBorders>
              <w:top w:val="single" w:sz="4" w:space="0" w:color="auto"/>
              <w:left w:val="single" w:sz="4" w:space="0" w:color="auto"/>
              <w:right w:val="single" w:sz="4" w:space="0" w:color="auto"/>
            </w:tcBorders>
            <w:shd w:val="clear" w:color="auto" w:fill="auto"/>
          </w:tcPr>
          <w:p w14:paraId="5740F7ED" w14:textId="77777777" w:rsidR="00466B8B" w:rsidRPr="002A6AB6" w:rsidRDefault="00466B8B" w:rsidP="00587700">
            <w:pPr>
              <w:pStyle w:val="QRDEnTableText"/>
              <w:keepNext/>
              <w:keepLines/>
              <w:spacing w:line="240" w:lineRule="auto"/>
              <w:jc w:val="both"/>
              <w:rPr>
                <w:b/>
                <w:bCs/>
                <w:szCs w:val="22"/>
                <w:lang w:val="sr-Latn-ME"/>
              </w:rPr>
            </w:pPr>
            <w:r w:rsidRPr="002A6AB6">
              <w:rPr>
                <w:rFonts w:eastAsia="Calibri"/>
                <w:b/>
                <w:bCs/>
                <w:szCs w:val="22"/>
                <w:lang w:val="sr-Latn-ME"/>
              </w:rPr>
              <w:t>Klinički parametri praćenja</w:t>
            </w:r>
          </w:p>
        </w:tc>
        <w:tc>
          <w:tcPr>
            <w:tcW w:w="4680" w:type="dxa"/>
            <w:gridSpan w:val="5"/>
            <w:tcBorders>
              <w:top w:val="single" w:sz="4" w:space="0" w:color="auto"/>
              <w:left w:val="single" w:sz="4" w:space="0" w:color="auto"/>
              <w:bottom w:val="single" w:sz="4" w:space="0" w:color="auto"/>
              <w:right w:val="single" w:sz="4" w:space="0" w:color="auto"/>
            </w:tcBorders>
            <w:shd w:val="clear" w:color="auto" w:fill="auto"/>
          </w:tcPr>
          <w:p w14:paraId="72741CC1" w14:textId="77777777" w:rsidR="00466B8B" w:rsidRPr="002A6AB6" w:rsidRDefault="00466B8B" w:rsidP="00122792">
            <w:pPr>
              <w:pStyle w:val="QRDEnTableText"/>
              <w:keepNext/>
              <w:keepLines/>
              <w:spacing w:line="240" w:lineRule="auto"/>
              <w:jc w:val="center"/>
              <w:rPr>
                <w:szCs w:val="22"/>
                <w:lang w:val="sr-Latn-ME"/>
              </w:rPr>
            </w:pPr>
          </w:p>
        </w:tc>
      </w:tr>
      <w:tr w:rsidR="00466B8B" w:rsidRPr="002A6AB6" w14:paraId="3C4ED673" w14:textId="77777777" w:rsidTr="002A6AB6">
        <w:trPr>
          <w:cantSplit/>
          <w:trHeight w:hRule="exact" w:val="586"/>
          <w:jc w:val="center"/>
        </w:trPr>
        <w:tc>
          <w:tcPr>
            <w:tcW w:w="4225" w:type="dxa"/>
            <w:tcBorders>
              <w:top w:val="single" w:sz="4" w:space="0" w:color="auto"/>
              <w:left w:val="single" w:sz="4" w:space="0" w:color="auto"/>
              <w:right w:val="single" w:sz="4" w:space="0" w:color="auto"/>
            </w:tcBorders>
            <w:shd w:val="clear" w:color="auto" w:fill="auto"/>
          </w:tcPr>
          <w:p w14:paraId="2C7C69D0" w14:textId="77777777" w:rsidR="00466B8B" w:rsidRPr="002A6AB6" w:rsidRDefault="00466B8B" w:rsidP="00587700">
            <w:pPr>
              <w:pStyle w:val="QRDEnTableText"/>
              <w:keepNext/>
              <w:keepLines/>
              <w:spacing w:line="240" w:lineRule="auto"/>
              <w:jc w:val="both"/>
              <w:rPr>
                <w:szCs w:val="22"/>
                <w:vertAlign w:val="superscript"/>
                <w:lang w:val="sr-Latn-ME"/>
              </w:rPr>
            </w:pPr>
            <w:r w:rsidRPr="002A6AB6">
              <w:rPr>
                <w:szCs w:val="22"/>
                <w:lang w:val="sr-Latn-ME"/>
              </w:rPr>
              <w:t xml:space="preserve">Stopa </w:t>
            </w:r>
            <w:proofErr w:type="spellStart"/>
            <w:r w:rsidRPr="002A6AB6">
              <w:rPr>
                <w:szCs w:val="22"/>
                <w:lang w:val="sr-Latn-ME"/>
              </w:rPr>
              <w:t>relapsa</w:t>
            </w:r>
            <w:proofErr w:type="spellEnd"/>
            <w:r w:rsidRPr="002A6AB6">
              <w:rPr>
                <w:szCs w:val="22"/>
                <w:lang w:val="sr-Latn-ME"/>
              </w:rPr>
              <w:t xml:space="preserve"> na godišnjem nivou (ARR) (primarni parametar)</w:t>
            </w:r>
            <w:r w:rsidRPr="002A6AB6">
              <w:rPr>
                <w:szCs w:val="22"/>
                <w:vertAlign w:val="superscript"/>
                <w:lang w:val="sr-Latn-ME"/>
              </w:rPr>
              <w:t>8</w:t>
            </w:r>
            <w:r w:rsidRPr="002A6AB6">
              <w:rPr>
                <w:szCs w:val="22"/>
                <w:lang w:val="sr-Latn-ME"/>
              </w:rPr>
              <w:t xml:space="preserve"> praćenja)</w:t>
            </w:r>
            <w:r w:rsidRPr="002A6AB6">
              <w:rPr>
                <w:szCs w:val="22"/>
                <w:vertAlign w:val="superscript"/>
                <w:lang w:val="sr-Latn-ME"/>
              </w:rPr>
              <w:t>8</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BF41293" w14:textId="77777777" w:rsidR="00466B8B" w:rsidRPr="002A6AB6" w:rsidRDefault="00466B8B" w:rsidP="00122792">
            <w:pPr>
              <w:pStyle w:val="QRDEnTableText"/>
              <w:keepNext/>
              <w:keepLines/>
              <w:spacing w:line="240" w:lineRule="auto"/>
              <w:jc w:val="center"/>
              <w:rPr>
                <w:szCs w:val="22"/>
                <w:lang w:val="sr-Latn-ME"/>
              </w:rPr>
            </w:pPr>
            <w:r w:rsidRPr="002A6AB6">
              <w:rPr>
                <w:szCs w:val="22"/>
                <w:lang w:val="sr-Latn-ME"/>
              </w:rPr>
              <w:t>0,156</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D796C38" w14:textId="77777777" w:rsidR="00466B8B" w:rsidRPr="002A6AB6" w:rsidRDefault="00466B8B" w:rsidP="00122792">
            <w:pPr>
              <w:pStyle w:val="QRDEnTableText"/>
              <w:keepNext/>
              <w:keepLines/>
              <w:spacing w:line="240" w:lineRule="auto"/>
              <w:jc w:val="center"/>
              <w:rPr>
                <w:szCs w:val="22"/>
                <w:lang w:val="sr-Latn-ME"/>
              </w:rPr>
            </w:pPr>
            <w:r w:rsidRPr="002A6AB6">
              <w:rPr>
                <w:szCs w:val="22"/>
                <w:lang w:val="sr-Latn-ME"/>
              </w:rPr>
              <w:t>0,292</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14:paraId="56395983" w14:textId="77777777" w:rsidR="00466B8B" w:rsidRPr="002A6AB6" w:rsidRDefault="00466B8B" w:rsidP="00122792">
            <w:pPr>
              <w:pStyle w:val="QRDEnTableText"/>
              <w:keepNext/>
              <w:keepLines/>
              <w:spacing w:line="240" w:lineRule="auto"/>
              <w:jc w:val="center"/>
              <w:rPr>
                <w:szCs w:val="22"/>
                <w:lang w:val="sr-Latn-ME"/>
              </w:rPr>
            </w:pPr>
            <w:r w:rsidRPr="002A6AB6">
              <w:rPr>
                <w:szCs w:val="22"/>
                <w:lang w:val="sr-Latn-ME"/>
              </w:rPr>
              <w:t>0,155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12BE721" w14:textId="77777777" w:rsidR="00466B8B" w:rsidRPr="002A6AB6" w:rsidRDefault="00466B8B" w:rsidP="00122792">
            <w:pPr>
              <w:pStyle w:val="QRDEnTableText"/>
              <w:keepNext/>
              <w:keepLines/>
              <w:spacing w:line="240" w:lineRule="auto"/>
              <w:jc w:val="center"/>
              <w:rPr>
                <w:szCs w:val="22"/>
                <w:lang w:val="sr-Latn-ME"/>
              </w:rPr>
            </w:pPr>
            <w:r w:rsidRPr="002A6AB6">
              <w:rPr>
                <w:szCs w:val="22"/>
                <w:lang w:val="sr-Latn-ME"/>
              </w:rPr>
              <w:t>0,290</w:t>
            </w:r>
          </w:p>
        </w:tc>
      </w:tr>
      <w:tr w:rsidR="00466B8B" w:rsidRPr="002A6AB6" w14:paraId="1D1633B3" w14:textId="77777777" w:rsidTr="00466B8B">
        <w:trPr>
          <w:cantSplit/>
          <w:trHeight w:val="231"/>
          <w:jc w:val="center"/>
        </w:trPr>
        <w:tc>
          <w:tcPr>
            <w:tcW w:w="4225" w:type="dxa"/>
            <w:tcBorders>
              <w:left w:val="single" w:sz="4" w:space="0" w:color="auto"/>
              <w:bottom w:val="single" w:sz="4" w:space="0" w:color="auto"/>
              <w:right w:val="single" w:sz="4" w:space="0" w:color="auto"/>
            </w:tcBorders>
            <w:shd w:val="clear" w:color="auto" w:fill="auto"/>
          </w:tcPr>
          <w:p w14:paraId="3785BE30" w14:textId="77777777" w:rsidR="00466B8B" w:rsidRPr="002A6AB6" w:rsidRDefault="00466B8B" w:rsidP="00587700">
            <w:pPr>
              <w:pStyle w:val="QRDEnTableText"/>
              <w:keepNext/>
              <w:keepLines/>
              <w:spacing w:line="240" w:lineRule="auto"/>
              <w:ind w:left="431"/>
              <w:jc w:val="both"/>
              <w:rPr>
                <w:szCs w:val="22"/>
                <w:lang w:val="sr-Latn-ME"/>
              </w:rPr>
            </w:pPr>
            <w:r w:rsidRPr="002A6AB6">
              <w:rPr>
                <w:szCs w:val="22"/>
                <w:lang w:val="sr-Latn-ME"/>
              </w:rPr>
              <w:t xml:space="preserve">Relativno smanjenje </w:t>
            </w:r>
          </w:p>
        </w:tc>
        <w:tc>
          <w:tcPr>
            <w:tcW w:w="2340" w:type="dxa"/>
            <w:gridSpan w:val="2"/>
            <w:tcBorders>
              <w:left w:val="single" w:sz="4" w:space="0" w:color="auto"/>
              <w:bottom w:val="single" w:sz="4" w:space="0" w:color="auto"/>
              <w:right w:val="single" w:sz="4" w:space="0" w:color="auto"/>
            </w:tcBorders>
            <w:shd w:val="clear" w:color="auto" w:fill="auto"/>
          </w:tcPr>
          <w:p w14:paraId="20DE0B0F" w14:textId="77777777" w:rsidR="00466B8B" w:rsidRPr="002A6AB6" w:rsidRDefault="00466B8B" w:rsidP="00122792">
            <w:pPr>
              <w:pStyle w:val="QRDEnTableText"/>
              <w:keepNext/>
              <w:keepLines/>
              <w:spacing w:line="240" w:lineRule="auto"/>
              <w:jc w:val="center"/>
              <w:rPr>
                <w:szCs w:val="22"/>
                <w:lang w:val="sr-Latn-ME"/>
              </w:rPr>
            </w:pPr>
            <w:r w:rsidRPr="002A6AB6">
              <w:rPr>
                <w:szCs w:val="22"/>
                <w:lang w:val="sr-Latn-ME"/>
              </w:rPr>
              <w:t>46% (p&lt;0,0001)</w:t>
            </w:r>
          </w:p>
        </w:tc>
        <w:tc>
          <w:tcPr>
            <w:tcW w:w="2340" w:type="dxa"/>
            <w:gridSpan w:val="3"/>
            <w:tcBorders>
              <w:left w:val="single" w:sz="4" w:space="0" w:color="auto"/>
              <w:bottom w:val="single" w:sz="4" w:space="0" w:color="auto"/>
              <w:right w:val="single" w:sz="4" w:space="0" w:color="auto"/>
            </w:tcBorders>
            <w:shd w:val="clear" w:color="auto" w:fill="auto"/>
          </w:tcPr>
          <w:p w14:paraId="015B0D34" w14:textId="77777777" w:rsidR="00466B8B" w:rsidRPr="002A6AB6" w:rsidRDefault="00466B8B" w:rsidP="00122792">
            <w:pPr>
              <w:pStyle w:val="QRDEnTableText"/>
              <w:keepNext/>
              <w:keepLines/>
              <w:spacing w:line="240" w:lineRule="auto"/>
              <w:jc w:val="center"/>
              <w:rPr>
                <w:szCs w:val="22"/>
                <w:lang w:val="sr-Latn-ME"/>
              </w:rPr>
            </w:pPr>
            <w:r w:rsidRPr="002A6AB6">
              <w:rPr>
                <w:szCs w:val="22"/>
                <w:lang w:val="sr-Latn-ME"/>
              </w:rPr>
              <w:t>47% (p&lt;0,0001)</w:t>
            </w:r>
          </w:p>
        </w:tc>
      </w:tr>
      <w:tr w:rsidR="00466B8B" w:rsidRPr="002A6AB6" w14:paraId="67EF5419" w14:textId="77777777" w:rsidTr="00466B8B">
        <w:trPr>
          <w:cantSplit/>
          <w:trHeight w:val="603"/>
          <w:jc w:val="center"/>
        </w:trPr>
        <w:tc>
          <w:tcPr>
            <w:tcW w:w="4225" w:type="dxa"/>
            <w:vMerge w:val="restart"/>
            <w:tcBorders>
              <w:top w:val="single" w:sz="4" w:space="0" w:color="auto"/>
              <w:left w:val="single" w:sz="4" w:space="0" w:color="auto"/>
              <w:right w:val="single" w:sz="4" w:space="0" w:color="auto"/>
            </w:tcBorders>
            <w:shd w:val="clear" w:color="auto" w:fill="auto"/>
          </w:tcPr>
          <w:p w14:paraId="77CA0928" w14:textId="77777777" w:rsidR="00466B8B" w:rsidRPr="002A6AB6" w:rsidRDefault="00466B8B" w:rsidP="00587700">
            <w:pPr>
              <w:pStyle w:val="QRDEnTableText"/>
              <w:keepNext/>
              <w:keepLines/>
              <w:spacing w:line="240" w:lineRule="auto"/>
              <w:jc w:val="both"/>
              <w:rPr>
                <w:szCs w:val="22"/>
                <w:vertAlign w:val="superscript"/>
                <w:lang w:val="sr-Latn-ME"/>
              </w:rPr>
            </w:pPr>
            <w:r w:rsidRPr="002A6AB6">
              <w:rPr>
                <w:szCs w:val="22"/>
                <w:lang w:val="sr-Latn-ME"/>
              </w:rPr>
              <w:t xml:space="preserve">Procenat pacijenata sa potvrđenom progresijom </w:t>
            </w:r>
            <w:proofErr w:type="spellStart"/>
            <w:r w:rsidRPr="002A6AB6">
              <w:rPr>
                <w:szCs w:val="22"/>
                <w:lang w:val="sr-Latn-ME"/>
              </w:rPr>
              <w:t>onesposobljenosti</w:t>
            </w:r>
            <w:proofErr w:type="spellEnd"/>
            <w:r w:rsidRPr="002A6AB6">
              <w:rPr>
                <w:szCs w:val="22"/>
                <w:lang w:val="sr-Latn-ME"/>
              </w:rPr>
              <w:t xml:space="preserve"> u 12. nedjelji</w:t>
            </w:r>
            <w:r w:rsidRPr="002A6AB6">
              <w:rPr>
                <w:szCs w:val="22"/>
                <w:vertAlign w:val="superscript"/>
                <w:lang w:val="sr-Latn-ME"/>
              </w:rPr>
              <w:t>3</w:t>
            </w:r>
          </w:p>
          <w:p w14:paraId="1CCE328A" w14:textId="77777777" w:rsidR="00466B8B" w:rsidRPr="002A6AB6" w:rsidRDefault="00466B8B" w:rsidP="00587700">
            <w:pPr>
              <w:pStyle w:val="QRDEnTableText"/>
              <w:keepNext/>
              <w:keepLines/>
              <w:spacing w:line="240" w:lineRule="auto"/>
              <w:ind w:left="431"/>
              <w:jc w:val="both"/>
              <w:rPr>
                <w:szCs w:val="22"/>
                <w:lang w:val="sr-Latn-ME"/>
              </w:rPr>
            </w:pPr>
            <w:r w:rsidRPr="002A6AB6">
              <w:rPr>
                <w:szCs w:val="22"/>
                <w:lang w:val="sr-Latn-ME"/>
              </w:rPr>
              <w:t>Smanjenje rizika (objedinjena analiza</w:t>
            </w:r>
            <w:r w:rsidRPr="002A6AB6">
              <w:rPr>
                <w:szCs w:val="22"/>
                <w:vertAlign w:val="superscript"/>
                <w:lang w:val="sr-Latn-ME"/>
              </w:rPr>
              <w:t>1</w:t>
            </w:r>
            <w:r w:rsidRPr="002A6AB6">
              <w:rPr>
                <w:szCs w:val="22"/>
                <w:lang w:val="sr-Latn-ME"/>
              </w:rPr>
              <w:t>)</w:t>
            </w:r>
          </w:p>
          <w:p w14:paraId="2D75A2B0" w14:textId="77777777" w:rsidR="00466B8B" w:rsidRPr="002A6AB6" w:rsidRDefault="00466B8B" w:rsidP="00587700">
            <w:pPr>
              <w:pStyle w:val="QRDEnTableText"/>
              <w:keepNext/>
              <w:keepLines/>
              <w:spacing w:line="240" w:lineRule="auto"/>
              <w:ind w:left="431"/>
              <w:jc w:val="both"/>
              <w:rPr>
                <w:szCs w:val="22"/>
                <w:lang w:val="sr-Latn-ME"/>
              </w:rPr>
            </w:pPr>
            <w:r w:rsidRPr="002A6AB6">
              <w:rPr>
                <w:szCs w:val="22"/>
                <w:lang w:val="sr-Latn-ME"/>
              </w:rPr>
              <w:t>Smanjenje rizika (pojedinačne studije</w:t>
            </w:r>
            <w:r w:rsidRPr="002A6AB6">
              <w:rPr>
                <w:szCs w:val="22"/>
                <w:vertAlign w:val="superscript"/>
                <w:lang w:val="sr-Latn-ME"/>
              </w:rPr>
              <w:t>2</w:t>
            </w:r>
            <w:r w:rsidRPr="002A6AB6">
              <w:rPr>
                <w:szCs w:val="22"/>
                <w:lang w:val="sr-Latn-ME"/>
              </w:rPr>
              <w:t>)</w:t>
            </w:r>
          </w:p>
        </w:tc>
        <w:tc>
          <w:tcPr>
            <w:tcW w:w="4680" w:type="dxa"/>
            <w:gridSpan w:val="5"/>
            <w:tcBorders>
              <w:top w:val="single" w:sz="4" w:space="0" w:color="auto"/>
              <w:left w:val="single" w:sz="4" w:space="0" w:color="auto"/>
              <w:right w:val="single" w:sz="4" w:space="0" w:color="auto"/>
            </w:tcBorders>
            <w:shd w:val="clear" w:color="auto" w:fill="auto"/>
          </w:tcPr>
          <w:p w14:paraId="14EF0984" w14:textId="77777777" w:rsidR="00466B8B" w:rsidRPr="002A6AB6" w:rsidRDefault="00466B8B" w:rsidP="00122792">
            <w:pPr>
              <w:pStyle w:val="QRDEnTableText"/>
              <w:keepNext/>
              <w:keepLines/>
              <w:spacing w:beforeLines="20" w:before="48" w:line="240" w:lineRule="auto"/>
              <w:jc w:val="center"/>
              <w:rPr>
                <w:szCs w:val="22"/>
                <w:lang w:val="sr-Latn-ME"/>
              </w:rPr>
            </w:pPr>
            <w:r w:rsidRPr="002A6AB6">
              <w:rPr>
                <w:szCs w:val="22"/>
                <w:lang w:val="sr-Latn-ME"/>
              </w:rPr>
              <w:t xml:space="preserve">9,8% </w:t>
            </w:r>
            <w:proofErr w:type="spellStart"/>
            <w:r w:rsidRPr="002A6AB6">
              <w:rPr>
                <w:szCs w:val="22"/>
                <w:lang w:val="sr-Latn-ME"/>
              </w:rPr>
              <w:t>okrelizumab</w:t>
            </w:r>
            <w:proofErr w:type="spellEnd"/>
            <w:r w:rsidRPr="002A6AB6">
              <w:rPr>
                <w:szCs w:val="22"/>
                <w:lang w:val="sr-Latn-ME"/>
              </w:rPr>
              <w:t xml:space="preserve"> </w:t>
            </w:r>
            <w:proofErr w:type="spellStart"/>
            <w:r w:rsidRPr="002A6AB6">
              <w:rPr>
                <w:szCs w:val="22"/>
                <w:lang w:val="sr-Latn-ME"/>
              </w:rPr>
              <w:t>vs</w:t>
            </w:r>
            <w:proofErr w:type="spellEnd"/>
            <w:r w:rsidRPr="002A6AB6">
              <w:rPr>
                <w:szCs w:val="22"/>
                <w:lang w:val="sr-Latn-ME"/>
              </w:rPr>
              <w:t xml:space="preserve"> 15,2% IFN</w:t>
            </w:r>
          </w:p>
          <w:p w14:paraId="314CBCAF" w14:textId="77777777" w:rsidR="00466B8B" w:rsidRPr="002A6AB6" w:rsidRDefault="00466B8B" w:rsidP="00122792">
            <w:pPr>
              <w:pStyle w:val="QRDEnTableText"/>
              <w:keepNext/>
              <w:keepLines/>
              <w:spacing w:beforeLines="50" w:before="120" w:line="240" w:lineRule="auto"/>
              <w:jc w:val="center"/>
              <w:rPr>
                <w:szCs w:val="22"/>
                <w:lang w:val="sr-Latn-ME"/>
              </w:rPr>
            </w:pPr>
            <w:r w:rsidRPr="002A6AB6">
              <w:rPr>
                <w:szCs w:val="22"/>
                <w:lang w:val="sr-Latn-ME"/>
              </w:rPr>
              <w:t>40% (p=0,0006)</w:t>
            </w:r>
            <w:r w:rsidRPr="002A6AB6">
              <w:rPr>
                <w:szCs w:val="22"/>
                <w:vertAlign w:val="superscript"/>
                <w:lang w:val="sr-Latn-ME"/>
              </w:rPr>
              <w:t>7</w:t>
            </w:r>
          </w:p>
        </w:tc>
      </w:tr>
      <w:tr w:rsidR="00466B8B" w:rsidRPr="002A6AB6" w14:paraId="7385D184" w14:textId="77777777" w:rsidTr="00466B8B">
        <w:trPr>
          <w:cantSplit/>
          <w:trHeight w:val="272"/>
          <w:jc w:val="center"/>
        </w:trPr>
        <w:tc>
          <w:tcPr>
            <w:tcW w:w="4225" w:type="dxa"/>
            <w:vMerge/>
            <w:tcBorders>
              <w:left w:val="single" w:sz="4" w:space="0" w:color="auto"/>
              <w:right w:val="single" w:sz="4" w:space="0" w:color="auto"/>
            </w:tcBorders>
            <w:shd w:val="clear" w:color="auto" w:fill="auto"/>
          </w:tcPr>
          <w:p w14:paraId="637A2AB5" w14:textId="77777777" w:rsidR="00466B8B" w:rsidRPr="002A6AB6" w:rsidRDefault="00466B8B" w:rsidP="00587700">
            <w:pPr>
              <w:pStyle w:val="QRDEnTableText"/>
              <w:keepNext/>
              <w:keepLines/>
              <w:spacing w:line="240" w:lineRule="auto"/>
              <w:jc w:val="both"/>
              <w:rPr>
                <w:szCs w:val="22"/>
                <w:lang w:val="sr-Latn-ME"/>
              </w:rPr>
            </w:pPr>
          </w:p>
        </w:tc>
        <w:tc>
          <w:tcPr>
            <w:tcW w:w="2340" w:type="dxa"/>
            <w:gridSpan w:val="2"/>
            <w:tcBorders>
              <w:top w:val="single" w:sz="4" w:space="0" w:color="auto"/>
              <w:left w:val="single" w:sz="4" w:space="0" w:color="auto"/>
              <w:right w:val="single" w:sz="4" w:space="0" w:color="auto"/>
            </w:tcBorders>
            <w:shd w:val="clear" w:color="auto" w:fill="auto"/>
          </w:tcPr>
          <w:p w14:paraId="60C5439C" w14:textId="77777777" w:rsidR="00466B8B" w:rsidRPr="002A6AB6" w:rsidRDefault="00466B8B" w:rsidP="00122792">
            <w:pPr>
              <w:pStyle w:val="QRDEnTableText"/>
              <w:keepNext/>
              <w:keepLines/>
              <w:spacing w:beforeLines="20" w:before="48" w:line="240" w:lineRule="auto"/>
              <w:jc w:val="center"/>
              <w:rPr>
                <w:szCs w:val="22"/>
                <w:lang w:val="sr-Latn-ME"/>
              </w:rPr>
            </w:pPr>
            <w:r w:rsidRPr="002A6AB6">
              <w:rPr>
                <w:szCs w:val="22"/>
                <w:lang w:val="sr-Latn-ME"/>
              </w:rPr>
              <w:t>43% (p=0,0139)</w:t>
            </w:r>
            <w:r w:rsidRPr="002A6AB6">
              <w:rPr>
                <w:szCs w:val="22"/>
                <w:vertAlign w:val="superscript"/>
                <w:lang w:val="sr-Latn-ME"/>
              </w:rPr>
              <w:t>7</w:t>
            </w:r>
          </w:p>
        </w:tc>
        <w:tc>
          <w:tcPr>
            <w:tcW w:w="2340" w:type="dxa"/>
            <w:gridSpan w:val="3"/>
            <w:tcBorders>
              <w:top w:val="single" w:sz="4" w:space="0" w:color="auto"/>
              <w:left w:val="single" w:sz="4" w:space="0" w:color="auto"/>
              <w:right w:val="single" w:sz="4" w:space="0" w:color="auto"/>
            </w:tcBorders>
            <w:shd w:val="clear" w:color="auto" w:fill="auto"/>
          </w:tcPr>
          <w:p w14:paraId="0ABF9A0E" w14:textId="77777777" w:rsidR="00466B8B" w:rsidRPr="002A6AB6" w:rsidRDefault="00466B8B" w:rsidP="00122792">
            <w:pPr>
              <w:pStyle w:val="QRDEnTableText"/>
              <w:keepNext/>
              <w:keepLines/>
              <w:spacing w:beforeLines="20" w:before="48" w:line="240" w:lineRule="auto"/>
              <w:jc w:val="center"/>
              <w:rPr>
                <w:szCs w:val="22"/>
                <w:lang w:val="sr-Latn-ME"/>
              </w:rPr>
            </w:pPr>
            <w:r w:rsidRPr="002A6AB6">
              <w:rPr>
                <w:szCs w:val="22"/>
                <w:lang w:val="sr-Latn-ME"/>
              </w:rPr>
              <w:t>37% (p=0,0169)</w:t>
            </w:r>
            <w:r w:rsidRPr="002A6AB6">
              <w:rPr>
                <w:szCs w:val="22"/>
                <w:vertAlign w:val="superscript"/>
                <w:lang w:val="sr-Latn-ME"/>
              </w:rPr>
              <w:t>7</w:t>
            </w:r>
          </w:p>
        </w:tc>
      </w:tr>
      <w:tr w:rsidR="00466B8B" w:rsidRPr="002A6AB6" w14:paraId="0CF6B2F6" w14:textId="77777777" w:rsidTr="00466B8B">
        <w:trPr>
          <w:cantSplit/>
          <w:trHeight w:val="531"/>
          <w:jc w:val="center"/>
        </w:trPr>
        <w:tc>
          <w:tcPr>
            <w:tcW w:w="4225" w:type="dxa"/>
            <w:vMerge w:val="restart"/>
            <w:tcBorders>
              <w:top w:val="single" w:sz="4" w:space="0" w:color="auto"/>
              <w:left w:val="single" w:sz="4" w:space="0" w:color="auto"/>
              <w:right w:val="single" w:sz="4" w:space="0" w:color="auto"/>
            </w:tcBorders>
            <w:shd w:val="clear" w:color="auto" w:fill="auto"/>
          </w:tcPr>
          <w:p w14:paraId="6FC3AB43" w14:textId="77777777" w:rsidR="00466B8B" w:rsidRPr="002A6AB6" w:rsidRDefault="00466B8B" w:rsidP="00587700">
            <w:pPr>
              <w:pStyle w:val="QRDEnTableText"/>
              <w:keepNext/>
              <w:keepLines/>
              <w:spacing w:line="240" w:lineRule="auto"/>
              <w:jc w:val="both"/>
              <w:rPr>
                <w:szCs w:val="22"/>
                <w:vertAlign w:val="superscript"/>
                <w:lang w:val="sr-Latn-ME"/>
              </w:rPr>
            </w:pPr>
            <w:r w:rsidRPr="002A6AB6">
              <w:rPr>
                <w:szCs w:val="22"/>
                <w:lang w:val="sr-Latn-ME"/>
              </w:rPr>
              <w:t xml:space="preserve">Procenat pacijenata sa potvrđenom progresijom </w:t>
            </w:r>
            <w:proofErr w:type="spellStart"/>
            <w:r w:rsidRPr="002A6AB6">
              <w:rPr>
                <w:szCs w:val="22"/>
                <w:lang w:val="sr-Latn-ME"/>
              </w:rPr>
              <w:t>onesposobljenosti</w:t>
            </w:r>
            <w:proofErr w:type="spellEnd"/>
            <w:r w:rsidRPr="002A6AB6">
              <w:rPr>
                <w:szCs w:val="22"/>
                <w:lang w:val="sr-Latn-ME"/>
              </w:rPr>
              <w:t xml:space="preserve"> (CDP) u 24. nedjelji</w:t>
            </w:r>
            <w:r w:rsidRPr="002A6AB6">
              <w:rPr>
                <w:szCs w:val="22"/>
                <w:vertAlign w:val="superscript"/>
                <w:lang w:val="sr-Latn-ME"/>
              </w:rPr>
              <w:t>3</w:t>
            </w:r>
          </w:p>
          <w:p w14:paraId="408E2259" w14:textId="77777777" w:rsidR="00466B8B" w:rsidRPr="002A6AB6" w:rsidRDefault="00466B8B" w:rsidP="00587700">
            <w:pPr>
              <w:pStyle w:val="QRDEnTableText"/>
              <w:keepNext/>
              <w:keepLines/>
              <w:spacing w:line="240" w:lineRule="auto"/>
              <w:ind w:left="431"/>
              <w:jc w:val="both"/>
              <w:rPr>
                <w:szCs w:val="22"/>
                <w:lang w:val="sr-Latn-ME"/>
              </w:rPr>
            </w:pPr>
            <w:r w:rsidRPr="002A6AB6">
              <w:rPr>
                <w:szCs w:val="22"/>
                <w:lang w:val="sr-Latn-ME"/>
              </w:rPr>
              <w:t>Smanjenje rizika (objedinjena analiza</w:t>
            </w:r>
            <w:r w:rsidRPr="002A6AB6">
              <w:rPr>
                <w:szCs w:val="22"/>
                <w:vertAlign w:val="superscript"/>
                <w:lang w:val="sr-Latn-ME"/>
              </w:rPr>
              <w:t>1</w:t>
            </w:r>
            <w:r w:rsidRPr="002A6AB6">
              <w:rPr>
                <w:szCs w:val="22"/>
                <w:lang w:val="sr-Latn-ME"/>
              </w:rPr>
              <w:t>)</w:t>
            </w:r>
          </w:p>
          <w:p w14:paraId="27C897A9" w14:textId="77777777" w:rsidR="00466B8B" w:rsidRPr="002A6AB6" w:rsidRDefault="00466B8B" w:rsidP="00587700">
            <w:pPr>
              <w:pStyle w:val="QRDEnTableText"/>
              <w:keepNext/>
              <w:keepLines/>
              <w:spacing w:line="240" w:lineRule="auto"/>
              <w:ind w:left="431"/>
              <w:jc w:val="both"/>
              <w:rPr>
                <w:szCs w:val="22"/>
                <w:lang w:val="sr-Latn-ME"/>
              </w:rPr>
            </w:pPr>
            <w:r w:rsidRPr="002A6AB6">
              <w:rPr>
                <w:szCs w:val="22"/>
                <w:lang w:val="sr-Latn-ME"/>
              </w:rPr>
              <w:t>Smanjenje rizika (pojedinačne studije</w:t>
            </w:r>
            <w:r w:rsidRPr="002A6AB6">
              <w:rPr>
                <w:szCs w:val="22"/>
                <w:vertAlign w:val="superscript"/>
                <w:lang w:val="sr-Latn-ME"/>
              </w:rPr>
              <w:t>2</w:t>
            </w:r>
            <w:r w:rsidRPr="002A6AB6">
              <w:rPr>
                <w:szCs w:val="22"/>
                <w:lang w:val="sr-Latn-ME"/>
              </w:rPr>
              <w:t>)</w:t>
            </w:r>
          </w:p>
        </w:tc>
        <w:tc>
          <w:tcPr>
            <w:tcW w:w="4680" w:type="dxa"/>
            <w:gridSpan w:val="5"/>
            <w:tcBorders>
              <w:top w:val="single" w:sz="4" w:space="0" w:color="auto"/>
              <w:left w:val="single" w:sz="4" w:space="0" w:color="auto"/>
              <w:right w:val="single" w:sz="4" w:space="0" w:color="auto"/>
            </w:tcBorders>
            <w:shd w:val="clear" w:color="auto" w:fill="auto"/>
          </w:tcPr>
          <w:p w14:paraId="556EF460" w14:textId="77777777" w:rsidR="00466B8B" w:rsidRPr="002A6AB6" w:rsidRDefault="00466B8B" w:rsidP="00122792">
            <w:pPr>
              <w:pStyle w:val="QRDEnTableText"/>
              <w:keepNext/>
              <w:keepLines/>
              <w:spacing w:line="240" w:lineRule="auto"/>
              <w:jc w:val="center"/>
              <w:rPr>
                <w:szCs w:val="22"/>
                <w:lang w:val="sr-Latn-ME"/>
              </w:rPr>
            </w:pPr>
            <w:r w:rsidRPr="002A6AB6">
              <w:rPr>
                <w:szCs w:val="22"/>
                <w:lang w:val="sr-Latn-ME"/>
              </w:rPr>
              <w:t xml:space="preserve">7,6% </w:t>
            </w:r>
            <w:proofErr w:type="spellStart"/>
            <w:r w:rsidRPr="002A6AB6">
              <w:rPr>
                <w:szCs w:val="22"/>
                <w:lang w:val="sr-Latn-ME"/>
              </w:rPr>
              <w:t>okrelizumab</w:t>
            </w:r>
            <w:proofErr w:type="spellEnd"/>
            <w:r w:rsidRPr="002A6AB6">
              <w:rPr>
                <w:szCs w:val="22"/>
                <w:lang w:val="sr-Latn-ME"/>
              </w:rPr>
              <w:t xml:space="preserve"> </w:t>
            </w:r>
            <w:proofErr w:type="spellStart"/>
            <w:r w:rsidRPr="002A6AB6">
              <w:rPr>
                <w:szCs w:val="22"/>
                <w:lang w:val="sr-Latn-ME"/>
              </w:rPr>
              <w:t>vs</w:t>
            </w:r>
            <w:proofErr w:type="spellEnd"/>
            <w:r w:rsidRPr="002A6AB6">
              <w:rPr>
                <w:szCs w:val="22"/>
                <w:lang w:val="sr-Latn-ME"/>
              </w:rPr>
              <w:t xml:space="preserve"> 12,0% IFN</w:t>
            </w:r>
          </w:p>
          <w:p w14:paraId="1CA1F9BE" w14:textId="77777777" w:rsidR="00466B8B" w:rsidRPr="002A6AB6" w:rsidRDefault="00466B8B" w:rsidP="00122792">
            <w:pPr>
              <w:pStyle w:val="QRDEnTableText"/>
              <w:keepNext/>
              <w:keepLines/>
              <w:spacing w:line="240" w:lineRule="auto"/>
              <w:jc w:val="center"/>
              <w:rPr>
                <w:szCs w:val="22"/>
                <w:lang w:val="sr-Latn-ME"/>
              </w:rPr>
            </w:pPr>
            <w:r w:rsidRPr="002A6AB6">
              <w:rPr>
                <w:szCs w:val="22"/>
                <w:lang w:val="sr-Latn-ME"/>
              </w:rPr>
              <w:t>40% (p=0,0025)</w:t>
            </w:r>
            <w:r w:rsidRPr="002A6AB6">
              <w:rPr>
                <w:szCs w:val="22"/>
                <w:vertAlign w:val="superscript"/>
                <w:lang w:val="sr-Latn-ME"/>
              </w:rPr>
              <w:t>7</w:t>
            </w:r>
          </w:p>
        </w:tc>
      </w:tr>
      <w:tr w:rsidR="00466B8B" w:rsidRPr="002A6AB6" w14:paraId="69126CFD" w14:textId="77777777" w:rsidTr="00466B8B">
        <w:trPr>
          <w:cantSplit/>
          <w:trHeight w:val="268"/>
          <w:jc w:val="center"/>
        </w:trPr>
        <w:tc>
          <w:tcPr>
            <w:tcW w:w="4225" w:type="dxa"/>
            <w:vMerge/>
            <w:tcBorders>
              <w:left w:val="single" w:sz="4" w:space="0" w:color="auto"/>
              <w:bottom w:val="single" w:sz="4" w:space="0" w:color="auto"/>
              <w:right w:val="single" w:sz="4" w:space="0" w:color="auto"/>
            </w:tcBorders>
            <w:shd w:val="clear" w:color="auto" w:fill="auto"/>
          </w:tcPr>
          <w:p w14:paraId="6F3C3F09" w14:textId="77777777" w:rsidR="00466B8B" w:rsidRPr="002A6AB6" w:rsidRDefault="00466B8B" w:rsidP="00587700">
            <w:pPr>
              <w:pStyle w:val="QRDEnTableText"/>
              <w:spacing w:line="240" w:lineRule="auto"/>
              <w:jc w:val="both"/>
              <w:rPr>
                <w:szCs w:val="22"/>
                <w:lang w:val="sr-Latn-ME"/>
              </w:rPr>
            </w:pPr>
          </w:p>
        </w:tc>
        <w:tc>
          <w:tcPr>
            <w:tcW w:w="2340" w:type="dxa"/>
            <w:gridSpan w:val="2"/>
            <w:tcBorders>
              <w:top w:val="single" w:sz="4" w:space="0" w:color="auto"/>
              <w:left w:val="single" w:sz="4" w:space="0" w:color="auto"/>
              <w:right w:val="single" w:sz="4" w:space="0" w:color="auto"/>
            </w:tcBorders>
            <w:shd w:val="clear" w:color="auto" w:fill="auto"/>
          </w:tcPr>
          <w:p w14:paraId="754B3AE5" w14:textId="77777777" w:rsidR="00466B8B" w:rsidRPr="002A6AB6" w:rsidRDefault="00466B8B" w:rsidP="00122792">
            <w:pPr>
              <w:pStyle w:val="QRDEnTableText"/>
              <w:spacing w:line="240" w:lineRule="auto"/>
              <w:jc w:val="center"/>
              <w:rPr>
                <w:szCs w:val="22"/>
                <w:lang w:val="sr-Latn-ME"/>
              </w:rPr>
            </w:pPr>
            <w:r w:rsidRPr="002A6AB6">
              <w:rPr>
                <w:szCs w:val="22"/>
                <w:lang w:val="sr-Latn-ME"/>
              </w:rPr>
              <w:t>43% (p=0,0278)</w:t>
            </w:r>
            <w:r w:rsidRPr="002A6AB6">
              <w:rPr>
                <w:szCs w:val="22"/>
                <w:vertAlign w:val="superscript"/>
                <w:lang w:val="sr-Latn-ME"/>
              </w:rPr>
              <w:t>7</w:t>
            </w:r>
          </w:p>
        </w:tc>
        <w:tc>
          <w:tcPr>
            <w:tcW w:w="2340" w:type="dxa"/>
            <w:gridSpan w:val="3"/>
            <w:tcBorders>
              <w:top w:val="single" w:sz="4" w:space="0" w:color="auto"/>
              <w:left w:val="single" w:sz="4" w:space="0" w:color="auto"/>
              <w:right w:val="single" w:sz="4" w:space="0" w:color="auto"/>
            </w:tcBorders>
            <w:shd w:val="clear" w:color="auto" w:fill="auto"/>
          </w:tcPr>
          <w:p w14:paraId="621F627E" w14:textId="77777777" w:rsidR="00466B8B" w:rsidRPr="002A6AB6" w:rsidRDefault="00466B8B" w:rsidP="00122792">
            <w:pPr>
              <w:pStyle w:val="QRDEnTableText"/>
              <w:spacing w:line="240" w:lineRule="auto"/>
              <w:jc w:val="center"/>
              <w:rPr>
                <w:szCs w:val="22"/>
                <w:lang w:val="sr-Latn-ME"/>
              </w:rPr>
            </w:pPr>
            <w:r w:rsidRPr="002A6AB6">
              <w:rPr>
                <w:szCs w:val="22"/>
                <w:lang w:val="sr-Latn-ME"/>
              </w:rPr>
              <w:t>37% (p=0,0370)</w:t>
            </w:r>
            <w:r w:rsidRPr="002A6AB6">
              <w:rPr>
                <w:szCs w:val="22"/>
                <w:vertAlign w:val="superscript"/>
                <w:lang w:val="sr-Latn-ME"/>
              </w:rPr>
              <w:t>7</w:t>
            </w:r>
          </w:p>
        </w:tc>
      </w:tr>
      <w:tr w:rsidR="00466B8B" w:rsidRPr="002A6AB6" w14:paraId="27D44EEF" w14:textId="77777777" w:rsidTr="00466B8B">
        <w:trPr>
          <w:cantSplit/>
          <w:trHeight w:hRule="exact" w:val="631"/>
          <w:jc w:val="center"/>
        </w:trPr>
        <w:tc>
          <w:tcPr>
            <w:tcW w:w="4225" w:type="dxa"/>
            <w:tcBorders>
              <w:top w:val="single" w:sz="4" w:space="0" w:color="auto"/>
              <w:left w:val="single" w:sz="4" w:space="0" w:color="auto"/>
              <w:right w:val="single" w:sz="4" w:space="0" w:color="auto"/>
            </w:tcBorders>
            <w:shd w:val="clear" w:color="auto" w:fill="auto"/>
          </w:tcPr>
          <w:p w14:paraId="02EC115D" w14:textId="77777777" w:rsidR="00466B8B" w:rsidRPr="002A6AB6" w:rsidRDefault="00466B8B" w:rsidP="00587700">
            <w:pPr>
              <w:pStyle w:val="QRDEnTableText"/>
              <w:spacing w:line="240" w:lineRule="auto"/>
              <w:jc w:val="both"/>
              <w:rPr>
                <w:szCs w:val="22"/>
                <w:lang w:val="sr-Latn-ME"/>
              </w:rPr>
            </w:pPr>
            <w:r w:rsidRPr="002A6AB6">
              <w:rPr>
                <w:szCs w:val="22"/>
                <w:lang w:val="sr-Latn-ME"/>
              </w:rPr>
              <w:t xml:space="preserve">Procenat pacijenata sa barem potvrđenim poboljšanjem </w:t>
            </w:r>
            <w:proofErr w:type="spellStart"/>
            <w:r w:rsidRPr="002A6AB6">
              <w:rPr>
                <w:szCs w:val="22"/>
                <w:lang w:val="sr-Latn-ME"/>
              </w:rPr>
              <w:t>onesposobljenosti</w:t>
            </w:r>
            <w:proofErr w:type="spellEnd"/>
            <w:r w:rsidRPr="002A6AB6">
              <w:rPr>
                <w:szCs w:val="22"/>
                <w:lang w:val="sr-Latn-ME"/>
              </w:rPr>
              <w:t xml:space="preserve"> u 12. nedjelji</w:t>
            </w:r>
            <w:r w:rsidRPr="002A6AB6">
              <w:rPr>
                <w:szCs w:val="22"/>
                <w:vertAlign w:val="superscript"/>
                <w:lang w:val="sr-Latn-ME"/>
              </w:rPr>
              <w:t>4</w:t>
            </w:r>
            <w:r w:rsidRPr="002A6AB6">
              <w:rPr>
                <w:szCs w:val="22"/>
                <w:lang w:val="sr-Latn-ME"/>
              </w:rPr>
              <w:t xml:space="preserve"> </w:t>
            </w:r>
          </w:p>
        </w:tc>
        <w:tc>
          <w:tcPr>
            <w:tcW w:w="4680" w:type="dxa"/>
            <w:gridSpan w:val="5"/>
            <w:tcBorders>
              <w:top w:val="single" w:sz="4" w:space="0" w:color="auto"/>
              <w:left w:val="single" w:sz="4" w:space="0" w:color="auto"/>
              <w:bottom w:val="single" w:sz="4" w:space="0" w:color="auto"/>
              <w:right w:val="single" w:sz="4" w:space="0" w:color="auto"/>
            </w:tcBorders>
            <w:shd w:val="clear" w:color="auto" w:fill="auto"/>
          </w:tcPr>
          <w:p w14:paraId="3562BC08" w14:textId="77777777" w:rsidR="00466B8B" w:rsidRPr="002A6AB6" w:rsidRDefault="00466B8B" w:rsidP="00122792">
            <w:pPr>
              <w:pStyle w:val="QRDEnTableText"/>
              <w:spacing w:line="240" w:lineRule="auto"/>
              <w:jc w:val="center"/>
              <w:rPr>
                <w:szCs w:val="22"/>
                <w:lang w:val="sr-Latn-ME"/>
              </w:rPr>
            </w:pPr>
            <w:r w:rsidRPr="002A6AB6">
              <w:rPr>
                <w:szCs w:val="22"/>
                <w:lang w:val="sr-Latn-ME"/>
              </w:rPr>
              <w:t xml:space="preserve">20,7% </w:t>
            </w:r>
            <w:proofErr w:type="spellStart"/>
            <w:r w:rsidRPr="002A6AB6">
              <w:rPr>
                <w:szCs w:val="22"/>
                <w:lang w:val="sr-Latn-ME"/>
              </w:rPr>
              <w:t>okrelizumab</w:t>
            </w:r>
            <w:proofErr w:type="spellEnd"/>
            <w:r w:rsidRPr="002A6AB6">
              <w:rPr>
                <w:szCs w:val="22"/>
                <w:lang w:val="sr-Latn-ME"/>
              </w:rPr>
              <w:t xml:space="preserve"> </w:t>
            </w:r>
            <w:proofErr w:type="spellStart"/>
            <w:r w:rsidRPr="002A6AB6">
              <w:rPr>
                <w:szCs w:val="22"/>
                <w:lang w:val="sr-Latn-ME"/>
              </w:rPr>
              <w:t>vs</w:t>
            </w:r>
            <w:proofErr w:type="spellEnd"/>
            <w:r w:rsidRPr="002A6AB6">
              <w:rPr>
                <w:szCs w:val="22"/>
                <w:lang w:val="sr-Latn-ME"/>
              </w:rPr>
              <w:t xml:space="preserve"> 15,6% IFN</w:t>
            </w:r>
          </w:p>
        </w:tc>
      </w:tr>
      <w:tr w:rsidR="00466B8B" w:rsidRPr="002A6AB6" w14:paraId="657E6B5D" w14:textId="77777777" w:rsidTr="00466B8B">
        <w:trPr>
          <w:cantSplit/>
          <w:trHeight w:hRule="exact" w:val="309"/>
          <w:jc w:val="center"/>
        </w:trPr>
        <w:tc>
          <w:tcPr>
            <w:tcW w:w="4225" w:type="dxa"/>
            <w:vMerge w:val="restart"/>
            <w:tcBorders>
              <w:left w:val="single" w:sz="4" w:space="0" w:color="auto"/>
              <w:right w:val="single" w:sz="4" w:space="0" w:color="auto"/>
            </w:tcBorders>
            <w:shd w:val="clear" w:color="auto" w:fill="auto"/>
          </w:tcPr>
          <w:p w14:paraId="16E4F102" w14:textId="77777777" w:rsidR="00466B8B" w:rsidRPr="002A6AB6" w:rsidRDefault="00466B8B" w:rsidP="00587700">
            <w:pPr>
              <w:pStyle w:val="QRDEnTableText"/>
              <w:spacing w:line="240" w:lineRule="auto"/>
              <w:ind w:left="431"/>
              <w:jc w:val="both"/>
              <w:rPr>
                <w:szCs w:val="22"/>
                <w:lang w:val="sr-Latn-ME"/>
              </w:rPr>
            </w:pPr>
            <w:r w:rsidRPr="002A6AB6">
              <w:rPr>
                <w:szCs w:val="22"/>
                <w:lang w:val="sr-Latn-ME"/>
              </w:rPr>
              <w:t>Relativno povećanje (objedinjena analiza</w:t>
            </w:r>
            <w:r w:rsidRPr="002A6AB6">
              <w:rPr>
                <w:szCs w:val="22"/>
                <w:vertAlign w:val="superscript"/>
                <w:lang w:val="sr-Latn-ME"/>
              </w:rPr>
              <w:t>1</w:t>
            </w:r>
            <w:r w:rsidRPr="002A6AB6">
              <w:rPr>
                <w:szCs w:val="22"/>
                <w:lang w:val="sr-Latn-ME"/>
              </w:rPr>
              <w:t>)</w:t>
            </w:r>
          </w:p>
          <w:p w14:paraId="67FE8675" w14:textId="3E6EEF04" w:rsidR="00466B8B" w:rsidRPr="002A6AB6" w:rsidRDefault="00466B8B" w:rsidP="002A6AB6">
            <w:pPr>
              <w:pStyle w:val="QRDEnTableText"/>
              <w:spacing w:line="240" w:lineRule="auto"/>
              <w:ind w:left="431"/>
              <w:jc w:val="both"/>
              <w:rPr>
                <w:szCs w:val="22"/>
                <w:lang w:val="sr-Latn-ME"/>
              </w:rPr>
            </w:pPr>
            <w:r w:rsidRPr="002A6AB6">
              <w:rPr>
                <w:szCs w:val="22"/>
                <w:lang w:val="sr-Latn-ME"/>
              </w:rPr>
              <w:t>Relativno povećanje (pojedinačne</w:t>
            </w:r>
            <w:r w:rsidR="002A6AB6">
              <w:rPr>
                <w:szCs w:val="22"/>
                <w:lang w:val="sr-Latn-ME"/>
              </w:rPr>
              <w:t xml:space="preserve"> </w:t>
            </w:r>
            <w:r w:rsidRPr="002A6AB6">
              <w:rPr>
                <w:szCs w:val="22"/>
                <w:lang w:val="sr-Latn-ME"/>
              </w:rPr>
              <w:t xml:space="preserve"> studije</w:t>
            </w:r>
            <w:r w:rsidRPr="002A6AB6">
              <w:rPr>
                <w:szCs w:val="22"/>
                <w:vertAlign w:val="superscript"/>
                <w:lang w:val="sr-Latn-ME"/>
              </w:rPr>
              <w:t>2</w:t>
            </w:r>
            <w:r w:rsidRPr="002A6AB6">
              <w:rPr>
                <w:szCs w:val="22"/>
                <w:lang w:val="sr-Latn-ME"/>
              </w:rPr>
              <w:t>)</w:t>
            </w:r>
          </w:p>
          <w:p w14:paraId="2A792134" w14:textId="77777777" w:rsidR="00466B8B" w:rsidRPr="002A6AB6" w:rsidRDefault="00466B8B" w:rsidP="00587700">
            <w:pPr>
              <w:pStyle w:val="QRDEnTableText"/>
              <w:spacing w:line="240" w:lineRule="auto"/>
              <w:jc w:val="both"/>
              <w:rPr>
                <w:szCs w:val="22"/>
                <w:lang w:val="sr-Latn-ME"/>
              </w:rPr>
            </w:pPr>
          </w:p>
        </w:tc>
        <w:tc>
          <w:tcPr>
            <w:tcW w:w="4680" w:type="dxa"/>
            <w:gridSpan w:val="5"/>
            <w:tcBorders>
              <w:top w:val="single" w:sz="4" w:space="0" w:color="auto"/>
              <w:left w:val="single" w:sz="4" w:space="0" w:color="auto"/>
              <w:bottom w:val="single" w:sz="4" w:space="0" w:color="auto"/>
              <w:right w:val="single" w:sz="4" w:space="0" w:color="auto"/>
            </w:tcBorders>
            <w:shd w:val="clear" w:color="auto" w:fill="auto"/>
          </w:tcPr>
          <w:p w14:paraId="03FB948C" w14:textId="77777777" w:rsidR="00466B8B" w:rsidRPr="002A6AB6" w:rsidRDefault="00466B8B" w:rsidP="00122792">
            <w:pPr>
              <w:pStyle w:val="QRDEnTableText"/>
              <w:spacing w:line="240" w:lineRule="auto"/>
              <w:jc w:val="center"/>
              <w:rPr>
                <w:szCs w:val="22"/>
                <w:lang w:val="sr-Latn-ME"/>
              </w:rPr>
            </w:pPr>
            <w:r w:rsidRPr="002A6AB6">
              <w:rPr>
                <w:szCs w:val="22"/>
                <w:lang w:val="sr-Latn-ME"/>
              </w:rPr>
              <w:t>33% (p=0,0194)</w:t>
            </w:r>
          </w:p>
        </w:tc>
      </w:tr>
      <w:tr w:rsidR="00466B8B" w:rsidRPr="002A6AB6" w14:paraId="79E20397" w14:textId="77777777" w:rsidTr="002A6AB6">
        <w:trPr>
          <w:cantSplit/>
          <w:trHeight w:hRule="exact" w:val="739"/>
          <w:jc w:val="center"/>
        </w:trPr>
        <w:tc>
          <w:tcPr>
            <w:tcW w:w="4225" w:type="dxa"/>
            <w:vMerge/>
            <w:tcBorders>
              <w:left w:val="single" w:sz="4" w:space="0" w:color="auto"/>
              <w:bottom w:val="single" w:sz="4" w:space="0" w:color="auto"/>
              <w:right w:val="single" w:sz="4" w:space="0" w:color="auto"/>
            </w:tcBorders>
            <w:shd w:val="clear" w:color="auto" w:fill="auto"/>
          </w:tcPr>
          <w:p w14:paraId="3DE9CAF1" w14:textId="77777777" w:rsidR="00466B8B" w:rsidRPr="002A6AB6" w:rsidRDefault="00466B8B" w:rsidP="00587700">
            <w:pPr>
              <w:pStyle w:val="QRDEnTableText"/>
              <w:spacing w:line="240" w:lineRule="auto"/>
              <w:jc w:val="both"/>
              <w:rPr>
                <w:szCs w:val="22"/>
                <w:lang w:val="sr-Latn-ME"/>
              </w:rPr>
            </w:pPr>
          </w:p>
        </w:tc>
        <w:tc>
          <w:tcPr>
            <w:tcW w:w="2960" w:type="dxa"/>
            <w:gridSpan w:val="3"/>
            <w:tcBorders>
              <w:top w:val="single" w:sz="4" w:space="0" w:color="auto"/>
              <w:left w:val="single" w:sz="4" w:space="0" w:color="auto"/>
              <w:bottom w:val="single" w:sz="4" w:space="0" w:color="auto"/>
              <w:right w:val="single" w:sz="4" w:space="0" w:color="auto"/>
            </w:tcBorders>
            <w:shd w:val="clear" w:color="auto" w:fill="auto"/>
          </w:tcPr>
          <w:p w14:paraId="4D1B5891" w14:textId="77777777" w:rsidR="00466B8B" w:rsidRPr="002A6AB6" w:rsidRDefault="00466B8B" w:rsidP="00122792">
            <w:pPr>
              <w:pStyle w:val="QRDEnTableText"/>
              <w:spacing w:line="240" w:lineRule="auto"/>
              <w:jc w:val="center"/>
              <w:rPr>
                <w:szCs w:val="22"/>
                <w:lang w:val="sr-Latn-ME"/>
              </w:rPr>
            </w:pPr>
            <w:r w:rsidRPr="002A6AB6">
              <w:rPr>
                <w:szCs w:val="22"/>
                <w:lang w:val="sr-Latn-ME"/>
              </w:rPr>
              <w:t>61% (p=0,0106)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tcPr>
          <w:p w14:paraId="2D21846D" w14:textId="77777777" w:rsidR="00466B8B" w:rsidRPr="002A6AB6" w:rsidRDefault="00466B8B" w:rsidP="00122792">
            <w:pPr>
              <w:pStyle w:val="QRDEnTableText"/>
              <w:spacing w:line="240" w:lineRule="auto"/>
              <w:jc w:val="center"/>
              <w:rPr>
                <w:szCs w:val="22"/>
                <w:lang w:val="sr-Latn-ME"/>
              </w:rPr>
            </w:pPr>
            <w:r w:rsidRPr="002A6AB6">
              <w:rPr>
                <w:szCs w:val="22"/>
                <w:lang w:val="sr-Latn-ME"/>
              </w:rPr>
              <w:t>14% (p=0,4019)</w:t>
            </w:r>
          </w:p>
        </w:tc>
      </w:tr>
      <w:tr w:rsidR="00466B8B" w:rsidRPr="002A6AB6" w14:paraId="22E98B73" w14:textId="77777777" w:rsidTr="00466B8B">
        <w:trPr>
          <w:cantSplit/>
          <w:trHeight w:hRule="exact" w:val="427"/>
          <w:jc w:val="center"/>
        </w:trPr>
        <w:tc>
          <w:tcPr>
            <w:tcW w:w="4225" w:type="dxa"/>
            <w:vMerge w:val="restart"/>
            <w:tcBorders>
              <w:left w:val="single" w:sz="4" w:space="0" w:color="auto"/>
              <w:right w:val="single" w:sz="4" w:space="0" w:color="auto"/>
            </w:tcBorders>
            <w:shd w:val="clear" w:color="auto" w:fill="auto"/>
          </w:tcPr>
          <w:p w14:paraId="1C2DBF80" w14:textId="77777777" w:rsidR="002A6AB6" w:rsidRDefault="002A6AB6" w:rsidP="00587700">
            <w:pPr>
              <w:pStyle w:val="QRDEnTableText"/>
              <w:spacing w:line="240" w:lineRule="auto"/>
              <w:jc w:val="both"/>
              <w:rPr>
                <w:szCs w:val="22"/>
                <w:lang w:val="sr-Latn-ME"/>
              </w:rPr>
            </w:pPr>
          </w:p>
          <w:p w14:paraId="0A36445C" w14:textId="2DA7DF49" w:rsidR="00466B8B" w:rsidRPr="002A6AB6" w:rsidRDefault="00466B8B" w:rsidP="00587700">
            <w:pPr>
              <w:pStyle w:val="QRDEnTableText"/>
              <w:spacing w:line="240" w:lineRule="auto"/>
              <w:jc w:val="both"/>
              <w:rPr>
                <w:szCs w:val="22"/>
                <w:lang w:val="sr-Latn-ME"/>
              </w:rPr>
            </w:pPr>
            <w:r w:rsidRPr="002A6AB6">
              <w:rPr>
                <w:szCs w:val="22"/>
                <w:lang w:val="sr-Latn-ME"/>
              </w:rPr>
              <w:t xml:space="preserve">Procenat pacijenata bez </w:t>
            </w:r>
            <w:proofErr w:type="spellStart"/>
            <w:r w:rsidRPr="002A6AB6">
              <w:rPr>
                <w:szCs w:val="22"/>
                <w:lang w:val="sr-Latn-ME"/>
              </w:rPr>
              <w:t>relapsa</w:t>
            </w:r>
            <w:proofErr w:type="spellEnd"/>
            <w:r w:rsidRPr="002A6AB6">
              <w:rPr>
                <w:szCs w:val="22"/>
                <w:lang w:val="sr-Latn-ME"/>
              </w:rPr>
              <w:t xml:space="preserve"> nakon 96 nedjelja</w:t>
            </w:r>
            <w:r w:rsidRPr="002A6AB6">
              <w:rPr>
                <w:szCs w:val="22"/>
                <w:vertAlign w:val="superscript"/>
                <w:lang w:val="sr-Latn-ME"/>
              </w:rPr>
              <w:t>2</w:t>
            </w:r>
          </w:p>
          <w:p w14:paraId="5EE9268E" w14:textId="77777777" w:rsidR="00466B8B" w:rsidRPr="002A6AB6" w:rsidRDefault="00466B8B" w:rsidP="00587700">
            <w:pPr>
              <w:pStyle w:val="QRDEnTableText"/>
              <w:spacing w:line="240" w:lineRule="auto"/>
              <w:jc w:val="both"/>
              <w:rPr>
                <w:szCs w:val="22"/>
                <w:lang w:val="sr-Latn-ME"/>
              </w:rPr>
            </w:pPr>
          </w:p>
          <w:p w14:paraId="31790B13" w14:textId="77777777" w:rsidR="00466B8B" w:rsidRPr="002A6AB6" w:rsidRDefault="00466B8B" w:rsidP="00587700">
            <w:pPr>
              <w:pStyle w:val="QRDEnTableText"/>
              <w:spacing w:line="240" w:lineRule="auto"/>
              <w:jc w:val="both"/>
              <w:rPr>
                <w:szCs w:val="22"/>
                <w:lang w:val="sr-Latn-ME"/>
              </w:rPr>
            </w:pPr>
          </w:p>
          <w:p w14:paraId="0BAAAA8D" w14:textId="77777777" w:rsidR="00466B8B" w:rsidRPr="002A6AB6" w:rsidRDefault="00466B8B" w:rsidP="00587700">
            <w:pPr>
              <w:pStyle w:val="QRDEnTableText"/>
              <w:spacing w:line="240" w:lineRule="auto"/>
              <w:jc w:val="both"/>
              <w:rPr>
                <w:szCs w:val="22"/>
                <w:lang w:val="sr-Latn-ME"/>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D5DA41D" w14:textId="77777777" w:rsidR="00466B8B" w:rsidRPr="002A6AB6" w:rsidRDefault="00466B8B" w:rsidP="00122792">
            <w:pPr>
              <w:pStyle w:val="QRDEnTableText"/>
              <w:spacing w:line="240" w:lineRule="auto"/>
              <w:jc w:val="center"/>
              <w:rPr>
                <w:szCs w:val="22"/>
                <w:lang w:val="sr-Latn-ME"/>
              </w:rPr>
            </w:pPr>
            <w:r w:rsidRPr="002A6AB6">
              <w:rPr>
                <w:szCs w:val="22"/>
                <w:shd w:val="clear" w:color="auto" w:fill="FFFFFF"/>
                <w:lang w:val="sr-Latn-ME"/>
              </w:rPr>
              <w:t>80,4%</w:t>
            </w:r>
          </w:p>
        </w:tc>
        <w:tc>
          <w:tcPr>
            <w:tcW w:w="1610" w:type="dxa"/>
            <w:gridSpan w:val="2"/>
            <w:tcBorders>
              <w:top w:val="single" w:sz="4" w:space="0" w:color="auto"/>
              <w:left w:val="single" w:sz="4" w:space="0" w:color="auto"/>
              <w:bottom w:val="single" w:sz="4" w:space="0" w:color="auto"/>
              <w:right w:val="single" w:sz="4" w:space="0" w:color="auto"/>
            </w:tcBorders>
            <w:shd w:val="clear" w:color="auto" w:fill="auto"/>
          </w:tcPr>
          <w:p w14:paraId="7C6DAB8C" w14:textId="77777777" w:rsidR="00466B8B" w:rsidRPr="002A6AB6" w:rsidRDefault="00466B8B" w:rsidP="00122792">
            <w:pPr>
              <w:pStyle w:val="QRDEnTableText"/>
              <w:spacing w:line="240" w:lineRule="auto"/>
              <w:jc w:val="center"/>
              <w:rPr>
                <w:szCs w:val="22"/>
                <w:lang w:val="sr-Latn-ME"/>
              </w:rPr>
            </w:pPr>
            <w:r w:rsidRPr="002A6AB6">
              <w:rPr>
                <w:szCs w:val="22"/>
                <w:shd w:val="clear" w:color="auto" w:fill="FFFFFF"/>
                <w:lang w:val="sr-Latn-ME"/>
              </w:rPr>
              <w:t>66,7%</w:t>
            </w:r>
          </w:p>
        </w:tc>
        <w:tc>
          <w:tcPr>
            <w:tcW w:w="730" w:type="dxa"/>
            <w:tcBorders>
              <w:top w:val="single" w:sz="4" w:space="0" w:color="auto"/>
              <w:left w:val="single" w:sz="4" w:space="0" w:color="auto"/>
              <w:bottom w:val="single" w:sz="4" w:space="0" w:color="auto"/>
              <w:right w:val="single" w:sz="4" w:space="0" w:color="auto"/>
            </w:tcBorders>
            <w:shd w:val="clear" w:color="auto" w:fill="auto"/>
          </w:tcPr>
          <w:p w14:paraId="165B10D9" w14:textId="77777777" w:rsidR="00466B8B" w:rsidRPr="002A6AB6" w:rsidRDefault="00466B8B" w:rsidP="00122792">
            <w:pPr>
              <w:pStyle w:val="QRDEnTableText"/>
              <w:spacing w:line="240" w:lineRule="auto"/>
              <w:jc w:val="center"/>
              <w:rPr>
                <w:szCs w:val="22"/>
                <w:lang w:val="sr-Latn-ME"/>
              </w:rPr>
            </w:pPr>
            <w:r w:rsidRPr="002A6AB6">
              <w:rPr>
                <w:szCs w:val="22"/>
                <w:shd w:val="clear" w:color="auto" w:fill="FFFFFF"/>
                <w:lang w:val="sr-Latn-ME"/>
              </w:rPr>
              <w:t>78,9%</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EA21964" w14:textId="77777777" w:rsidR="00466B8B" w:rsidRPr="002A6AB6" w:rsidRDefault="00466B8B" w:rsidP="00122792">
            <w:pPr>
              <w:pStyle w:val="QRDEnTableText"/>
              <w:spacing w:line="240" w:lineRule="auto"/>
              <w:jc w:val="center"/>
              <w:rPr>
                <w:szCs w:val="22"/>
                <w:shd w:val="clear" w:color="auto" w:fill="FFFFFF"/>
                <w:lang w:val="sr-Latn-ME"/>
              </w:rPr>
            </w:pPr>
            <w:r w:rsidRPr="002A6AB6">
              <w:rPr>
                <w:szCs w:val="22"/>
                <w:shd w:val="clear" w:color="auto" w:fill="FFFFFF"/>
                <w:lang w:val="sr-Latn-ME"/>
              </w:rPr>
              <w:t>64,3%</w:t>
            </w:r>
          </w:p>
          <w:p w14:paraId="6BB4F2E2" w14:textId="77777777" w:rsidR="00466B8B" w:rsidRPr="002A6AB6" w:rsidRDefault="00466B8B" w:rsidP="00122792">
            <w:pPr>
              <w:pStyle w:val="QRDEnTableText"/>
              <w:spacing w:line="240" w:lineRule="auto"/>
              <w:jc w:val="center"/>
              <w:rPr>
                <w:szCs w:val="22"/>
                <w:shd w:val="clear" w:color="auto" w:fill="FFFFFF"/>
                <w:lang w:val="sr-Latn-ME"/>
              </w:rPr>
            </w:pPr>
          </w:p>
          <w:p w14:paraId="17D6B4FA" w14:textId="77777777" w:rsidR="00466B8B" w:rsidRPr="002A6AB6" w:rsidRDefault="00466B8B" w:rsidP="00122792">
            <w:pPr>
              <w:pStyle w:val="QRDEnTableText"/>
              <w:spacing w:line="240" w:lineRule="auto"/>
              <w:jc w:val="center"/>
              <w:rPr>
                <w:szCs w:val="22"/>
                <w:lang w:val="sr-Latn-ME"/>
              </w:rPr>
            </w:pPr>
          </w:p>
        </w:tc>
      </w:tr>
      <w:tr w:rsidR="00466B8B" w:rsidRPr="002A6AB6" w14:paraId="2CE4F6AC" w14:textId="77777777" w:rsidTr="00466B8B">
        <w:trPr>
          <w:cantSplit/>
          <w:trHeight w:hRule="exact" w:val="427"/>
          <w:jc w:val="center"/>
        </w:trPr>
        <w:tc>
          <w:tcPr>
            <w:tcW w:w="4225" w:type="dxa"/>
            <w:vMerge/>
            <w:tcBorders>
              <w:left w:val="single" w:sz="4" w:space="0" w:color="auto"/>
              <w:bottom w:val="single" w:sz="4" w:space="0" w:color="auto"/>
              <w:right w:val="single" w:sz="4" w:space="0" w:color="auto"/>
            </w:tcBorders>
            <w:shd w:val="clear" w:color="auto" w:fill="auto"/>
          </w:tcPr>
          <w:p w14:paraId="74979031" w14:textId="77777777" w:rsidR="00466B8B" w:rsidRPr="002A6AB6" w:rsidRDefault="00466B8B" w:rsidP="00587700">
            <w:pPr>
              <w:pStyle w:val="QRDEnTableText"/>
              <w:spacing w:line="240" w:lineRule="auto"/>
              <w:jc w:val="both"/>
              <w:rPr>
                <w:szCs w:val="22"/>
                <w:lang w:val="sr-Latn-ME"/>
              </w:rPr>
            </w:pPr>
          </w:p>
        </w:tc>
        <w:tc>
          <w:tcPr>
            <w:tcW w:w="2960" w:type="dxa"/>
            <w:gridSpan w:val="3"/>
            <w:tcBorders>
              <w:top w:val="single" w:sz="4" w:space="0" w:color="auto"/>
              <w:left w:val="single" w:sz="4" w:space="0" w:color="auto"/>
              <w:bottom w:val="single" w:sz="4" w:space="0" w:color="auto"/>
              <w:right w:val="single" w:sz="4" w:space="0" w:color="auto"/>
            </w:tcBorders>
            <w:shd w:val="clear" w:color="auto" w:fill="auto"/>
          </w:tcPr>
          <w:p w14:paraId="7583AAB3" w14:textId="77777777" w:rsidR="00466B8B" w:rsidRPr="002A6AB6" w:rsidRDefault="00466B8B" w:rsidP="00122792">
            <w:pPr>
              <w:pStyle w:val="QRDEnTableText"/>
              <w:spacing w:line="240" w:lineRule="auto"/>
              <w:jc w:val="center"/>
              <w:rPr>
                <w:szCs w:val="22"/>
                <w:shd w:val="clear" w:color="auto" w:fill="FFFFFF"/>
                <w:lang w:val="sr-Latn-ME"/>
              </w:rPr>
            </w:pPr>
            <w:r w:rsidRPr="002A6AB6">
              <w:rPr>
                <w:szCs w:val="22"/>
                <w:shd w:val="clear" w:color="auto" w:fill="FFFFFF"/>
                <w:lang w:val="sr-Latn-ME"/>
              </w:rPr>
              <w:t>(p&lt;0,0001)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tcPr>
          <w:p w14:paraId="57387B74" w14:textId="77777777" w:rsidR="00466B8B" w:rsidRPr="002A6AB6" w:rsidRDefault="00466B8B" w:rsidP="00122792">
            <w:pPr>
              <w:pStyle w:val="QRDEnTableText"/>
              <w:spacing w:line="240" w:lineRule="auto"/>
              <w:jc w:val="center"/>
              <w:rPr>
                <w:szCs w:val="22"/>
                <w:shd w:val="clear" w:color="auto" w:fill="FFFFFF"/>
                <w:lang w:val="sr-Latn-ME"/>
              </w:rPr>
            </w:pPr>
            <w:r w:rsidRPr="002A6AB6">
              <w:rPr>
                <w:szCs w:val="22"/>
                <w:shd w:val="clear" w:color="auto" w:fill="FFFFFF"/>
                <w:lang w:val="sr-Latn-ME"/>
              </w:rPr>
              <w:t>(p&lt;0,0001)</w:t>
            </w:r>
          </w:p>
        </w:tc>
      </w:tr>
      <w:tr w:rsidR="00466B8B" w:rsidRPr="002A6AB6" w14:paraId="299841AE" w14:textId="77777777" w:rsidTr="00466B8B">
        <w:trPr>
          <w:cantSplit/>
          <w:trHeight w:hRule="exact" w:val="595"/>
          <w:jc w:val="center"/>
        </w:trPr>
        <w:tc>
          <w:tcPr>
            <w:tcW w:w="4225" w:type="dxa"/>
            <w:tcBorders>
              <w:left w:val="single" w:sz="4" w:space="0" w:color="auto"/>
              <w:right w:val="single" w:sz="4" w:space="0" w:color="auto"/>
            </w:tcBorders>
            <w:shd w:val="clear" w:color="auto" w:fill="auto"/>
          </w:tcPr>
          <w:p w14:paraId="66D7DCAE" w14:textId="77777777" w:rsidR="00466B8B" w:rsidRPr="002A6AB6" w:rsidRDefault="00466B8B" w:rsidP="00587700">
            <w:pPr>
              <w:pStyle w:val="QRDEnTableText"/>
              <w:spacing w:line="240" w:lineRule="auto"/>
              <w:jc w:val="both"/>
              <w:rPr>
                <w:szCs w:val="22"/>
                <w:lang w:val="sr-Latn-ME"/>
              </w:rPr>
            </w:pPr>
            <w:r w:rsidRPr="002A6AB6">
              <w:rPr>
                <w:szCs w:val="22"/>
                <w:lang w:val="sr-Latn-ME"/>
              </w:rPr>
              <w:t>Procenat pacijenata kod kojih nema dokaza o aktivnosti bolesti (NEDA)</w:t>
            </w:r>
            <w:r w:rsidRPr="002A6AB6">
              <w:rPr>
                <w:szCs w:val="22"/>
                <w:vertAlign w:val="superscript"/>
                <w:lang w:val="sr-Latn-ME"/>
              </w:rPr>
              <w:t xml:space="preserve">5 </w:t>
            </w:r>
            <w:r w:rsidRPr="002A6AB6">
              <w:rPr>
                <w:szCs w:val="22"/>
                <w:lang w:val="sr-Latn-ME"/>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239E1E5" w14:textId="77777777" w:rsidR="00466B8B" w:rsidRPr="002A6AB6" w:rsidRDefault="00466B8B" w:rsidP="00122792">
            <w:pPr>
              <w:pStyle w:val="QRDEnTableText"/>
              <w:spacing w:line="240" w:lineRule="auto"/>
              <w:jc w:val="center"/>
              <w:rPr>
                <w:szCs w:val="22"/>
                <w:lang w:val="sr-Latn-ME"/>
              </w:rPr>
            </w:pPr>
            <w:r w:rsidRPr="002A6AB6">
              <w:rPr>
                <w:szCs w:val="22"/>
                <w:lang w:val="sr-Latn-ME"/>
              </w:rPr>
              <w:t>48%</w:t>
            </w:r>
          </w:p>
        </w:tc>
        <w:tc>
          <w:tcPr>
            <w:tcW w:w="1610" w:type="dxa"/>
            <w:gridSpan w:val="2"/>
            <w:tcBorders>
              <w:top w:val="single" w:sz="4" w:space="0" w:color="auto"/>
              <w:left w:val="single" w:sz="4" w:space="0" w:color="auto"/>
              <w:bottom w:val="single" w:sz="4" w:space="0" w:color="auto"/>
              <w:right w:val="single" w:sz="4" w:space="0" w:color="auto"/>
            </w:tcBorders>
            <w:shd w:val="clear" w:color="auto" w:fill="auto"/>
          </w:tcPr>
          <w:p w14:paraId="019BCA23" w14:textId="77777777" w:rsidR="00466B8B" w:rsidRPr="002A6AB6" w:rsidRDefault="00466B8B" w:rsidP="00122792">
            <w:pPr>
              <w:pStyle w:val="QRDEnTableText"/>
              <w:spacing w:line="240" w:lineRule="auto"/>
              <w:jc w:val="center"/>
              <w:rPr>
                <w:szCs w:val="22"/>
                <w:lang w:val="sr-Latn-ME"/>
              </w:rPr>
            </w:pPr>
            <w:r w:rsidRPr="002A6AB6">
              <w:rPr>
                <w:szCs w:val="22"/>
                <w:lang w:val="sr-Latn-ME"/>
              </w:rPr>
              <w:t>29%</w:t>
            </w:r>
          </w:p>
        </w:tc>
        <w:tc>
          <w:tcPr>
            <w:tcW w:w="730" w:type="dxa"/>
            <w:tcBorders>
              <w:top w:val="single" w:sz="4" w:space="0" w:color="auto"/>
              <w:left w:val="single" w:sz="4" w:space="0" w:color="auto"/>
              <w:bottom w:val="single" w:sz="4" w:space="0" w:color="auto"/>
              <w:right w:val="single" w:sz="4" w:space="0" w:color="auto"/>
            </w:tcBorders>
            <w:shd w:val="clear" w:color="auto" w:fill="auto"/>
          </w:tcPr>
          <w:p w14:paraId="50A6602E" w14:textId="77777777" w:rsidR="00466B8B" w:rsidRPr="002A6AB6" w:rsidRDefault="00466B8B" w:rsidP="00122792">
            <w:pPr>
              <w:pStyle w:val="QRDEnTableText"/>
              <w:spacing w:line="240" w:lineRule="auto"/>
              <w:jc w:val="center"/>
              <w:rPr>
                <w:szCs w:val="22"/>
                <w:lang w:val="sr-Latn-ME"/>
              </w:rPr>
            </w:pPr>
            <w:r w:rsidRPr="002A6AB6">
              <w:rPr>
                <w:szCs w:val="22"/>
                <w:lang w:val="sr-Latn-ME"/>
              </w:rPr>
              <w:t>48%</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9C4AFC8" w14:textId="77777777" w:rsidR="00466B8B" w:rsidRPr="002A6AB6" w:rsidRDefault="00466B8B" w:rsidP="00122792">
            <w:pPr>
              <w:pStyle w:val="QRDEnTableText"/>
              <w:spacing w:line="240" w:lineRule="auto"/>
              <w:jc w:val="center"/>
              <w:rPr>
                <w:szCs w:val="22"/>
                <w:lang w:val="sr-Latn-ME"/>
              </w:rPr>
            </w:pPr>
            <w:r w:rsidRPr="002A6AB6">
              <w:rPr>
                <w:szCs w:val="22"/>
                <w:lang w:val="sr-Latn-ME"/>
              </w:rPr>
              <w:t>25%</w:t>
            </w:r>
          </w:p>
        </w:tc>
      </w:tr>
      <w:tr w:rsidR="00466B8B" w:rsidRPr="002A6AB6" w14:paraId="5DA32200" w14:textId="77777777" w:rsidTr="00466B8B">
        <w:trPr>
          <w:cantSplit/>
          <w:trHeight w:hRule="exact" w:val="310"/>
          <w:jc w:val="center"/>
        </w:trPr>
        <w:tc>
          <w:tcPr>
            <w:tcW w:w="4225" w:type="dxa"/>
            <w:tcBorders>
              <w:left w:val="single" w:sz="4" w:space="0" w:color="auto"/>
              <w:bottom w:val="single" w:sz="4" w:space="0" w:color="auto"/>
              <w:right w:val="single" w:sz="4" w:space="0" w:color="auto"/>
            </w:tcBorders>
            <w:shd w:val="clear" w:color="auto" w:fill="auto"/>
          </w:tcPr>
          <w:p w14:paraId="511C88A0" w14:textId="77777777" w:rsidR="00466B8B" w:rsidRPr="002A6AB6" w:rsidRDefault="00466B8B" w:rsidP="00587700">
            <w:pPr>
              <w:pStyle w:val="QRDEnTableText"/>
              <w:spacing w:line="240" w:lineRule="auto"/>
              <w:ind w:left="431"/>
              <w:jc w:val="both"/>
              <w:rPr>
                <w:szCs w:val="22"/>
                <w:vertAlign w:val="superscript"/>
                <w:lang w:val="sr-Latn-ME"/>
              </w:rPr>
            </w:pPr>
            <w:r w:rsidRPr="002A6AB6">
              <w:rPr>
                <w:szCs w:val="22"/>
                <w:lang w:val="sr-Latn-ME"/>
              </w:rPr>
              <w:t>Relativno povećanje</w:t>
            </w:r>
            <w:r w:rsidRPr="002A6AB6">
              <w:rPr>
                <w:szCs w:val="22"/>
                <w:vertAlign w:val="superscript"/>
                <w:lang w:val="sr-Latn-ME"/>
              </w:rPr>
              <w:t>2</w:t>
            </w:r>
          </w:p>
        </w:tc>
        <w:tc>
          <w:tcPr>
            <w:tcW w:w="2960" w:type="dxa"/>
            <w:gridSpan w:val="3"/>
            <w:tcBorders>
              <w:top w:val="single" w:sz="4" w:space="0" w:color="auto"/>
              <w:left w:val="single" w:sz="4" w:space="0" w:color="auto"/>
              <w:bottom w:val="single" w:sz="4" w:space="0" w:color="auto"/>
              <w:right w:val="single" w:sz="4" w:space="0" w:color="auto"/>
            </w:tcBorders>
            <w:shd w:val="clear" w:color="auto" w:fill="auto"/>
          </w:tcPr>
          <w:p w14:paraId="4EB248DA" w14:textId="77777777" w:rsidR="00466B8B" w:rsidRPr="002A6AB6" w:rsidRDefault="00466B8B" w:rsidP="00122792">
            <w:pPr>
              <w:pStyle w:val="QRDEnTableText"/>
              <w:spacing w:line="240" w:lineRule="auto"/>
              <w:jc w:val="center"/>
              <w:rPr>
                <w:szCs w:val="22"/>
                <w:lang w:val="sr-Latn-ME"/>
              </w:rPr>
            </w:pPr>
            <w:r w:rsidRPr="002A6AB6">
              <w:rPr>
                <w:szCs w:val="22"/>
                <w:lang w:val="sr-Latn-ME"/>
              </w:rPr>
              <w:t>64% (p&lt;0,0001)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tcPr>
          <w:p w14:paraId="28A1AE29" w14:textId="77777777" w:rsidR="00466B8B" w:rsidRPr="002A6AB6" w:rsidRDefault="00466B8B" w:rsidP="00122792">
            <w:pPr>
              <w:pStyle w:val="QRDEnTableText"/>
              <w:spacing w:line="240" w:lineRule="auto"/>
              <w:jc w:val="center"/>
              <w:rPr>
                <w:szCs w:val="22"/>
                <w:lang w:val="sr-Latn-ME"/>
              </w:rPr>
            </w:pPr>
            <w:r w:rsidRPr="002A6AB6">
              <w:rPr>
                <w:szCs w:val="22"/>
                <w:lang w:val="sr-Latn-ME"/>
              </w:rPr>
              <w:t>89% (p&lt;0,0001)</w:t>
            </w:r>
          </w:p>
        </w:tc>
      </w:tr>
      <w:tr w:rsidR="00466B8B" w:rsidRPr="002A6AB6" w14:paraId="39FDD095" w14:textId="77777777" w:rsidTr="00466B8B">
        <w:trPr>
          <w:cantSplit/>
          <w:trHeight w:val="313"/>
          <w:jc w:val="center"/>
        </w:trPr>
        <w:tc>
          <w:tcPr>
            <w:tcW w:w="4225" w:type="dxa"/>
            <w:tcBorders>
              <w:top w:val="single" w:sz="4" w:space="0" w:color="auto"/>
              <w:left w:val="single" w:sz="4" w:space="0" w:color="auto"/>
              <w:right w:val="single" w:sz="4" w:space="0" w:color="auto"/>
            </w:tcBorders>
            <w:shd w:val="clear" w:color="auto" w:fill="auto"/>
          </w:tcPr>
          <w:p w14:paraId="565C424D" w14:textId="77777777" w:rsidR="00466B8B" w:rsidRPr="002A6AB6" w:rsidRDefault="00466B8B" w:rsidP="00587700">
            <w:pPr>
              <w:pStyle w:val="QRDEnTableText"/>
              <w:spacing w:line="240" w:lineRule="auto"/>
              <w:jc w:val="both"/>
              <w:rPr>
                <w:b/>
                <w:bCs/>
                <w:szCs w:val="22"/>
                <w:lang w:val="sr-Latn-ME"/>
              </w:rPr>
            </w:pPr>
            <w:r w:rsidRPr="002A6AB6">
              <w:rPr>
                <w:rFonts w:eastAsia="Calibri"/>
                <w:b/>
                <w:bCs/>
                <w:szCs w:val="22"/>
                <w:lang w:val="sr-Latn-ME"/>
              </w:rPr>
              <w:t>Parametri praćenja MR</w:t>
            </w:r>
          </w:p>
        </w:tc>
        <w:tc>
          <w:tcPr>
            <w:tcW w:w="4680" w:type="dxa"/>
            <w:gridSpan w:val="5"/>
            <w:tcBorders>
              <w:top w:val="single" w:sz="4" w:space="0" w:color="auto"/>
              <w:left w:val="single" w:sz="4" w:space="0" w:color="auto"/>
              <w:bottom w:val="single" w:sz="4" w:space="0" w:color="auto"/>
              <w:right w:val="single" w:sz="4" w:space="0" w:color="auto"/>
            </w:tcBorders>
            <w:shd w:val="clear" w:color="auto" w:fill="auto"/>
          </w:tcPr>
          <w:p w14:paraId="2C6857D2" w14:textId="77777777" w:rsidR="00466B8B" w:rsidRPr="002A6AB6" w:rsidRDefault="00466B8B" w:rsidP="00122792">
            <w:pPr>
              <w:pStyle w:val="QRDEnTableText"/>
              <w:spacing w:line="240" w:lineRule="auto"/>
              <w:jc w:val="center"/>
              <w:rPr>
                <w:szCs w:val="22"/>
                <w:lang w:val="sr-Latn-ME"/>
              </w:rPr>
            </w:pPr>
          </w:p>
        </w:tc>
      </w:tr>
      <w:tr w:rsidR="00466B8B" w:rsidRPr="002A6AB6" w14:paraId="7692C55C" w14:textId="77777777" w:rsidTr="00466B8B">
        <w:trPr>
          <w:cantSplit/>
          <w:trHeight w:hRule="exact" w:val="667"/>
          <w:jc w:val="center"/>
        </w:trPr>
        <w:tc>
          <w:tcPr>
            <w:tcW w:w="4225" w:type="dxa"/>
            <w:tcBorders>
              <w:top w:val="single" w:sz="4" w:space="0" w:color="auto"/>
              <w:left w:val="single" w:sz="4" w:space="0" w:color="auto"/>
              <w:right w:val="single" w:sz="4" w:space="0" w:color="auto"/>
            </w:tcBorders>
            <w:shd w:val="clear" w:color="auto" w:fill="auto"/>
          </w:tcPr>
          <w:p w14:paraId="5937ADEF" w14:textId="77777777" w:rsidR="00466B8B" w:rsidRPr="002A6AB6" w:rsidRDefault="00466B8B" w:rsidP="00587700">
            <w:pPr>
              <w:pStyle w:val="QRDEnTableText"/>
              <w:spacing w:line="240" w:lineRule="auto"/>
              <w:jc w:val="both"/>
              <w:rPr>
                <w:szCs w:val="22"/>
                <w:lang w:val="sr-Latn-ME"/>
              </w:rPr>
            </w:pPr>
            <w:r w:rsidRPr="002A6AB6">
              <w:rPr>
                <w:szCs w:val="22"/>
                <w:lang w:val="sr-Latn-ME"/>
              </w:rPr>
              <w:t xml:space="preserve">Srednji broj T1 </w:t>
            </w:r>
            <w:proofErr w:type="spellStart"/>
            <w:r w:rsidRPr="002A6AB6">
              <w:rPr>
                <w:szCs w:val="22"/>
                <w:lang w:val="sr-Latn-ME"/>
              </w:rPr>
              <w:t>Gd-prebojavajućih</w:t>
            </w:r>
            <w:proofErr w:type="spellEnd"/>
            <w:r w:rsidRPr="002A6AB6">
              <w:rPr>
                <w:szCs w:val="22"/>
                <w:lang w:val="sr-Latn-ME"/>
              </w:rPr>
              <w:t xml:space="preserve"> </w:t>
            </w:r>
            <w:proofErr w:type="spellStart"/>
            <w:r w:rsidRPr="002A6AB6">
              <w:rPr>
                <w:szCs w:val="22"/>
                <w:lang w:val="sr-Latn-ME"/>
              </w:rPr>
              <w:t>lezija</w:t>
            </w:r>
            <w:proofErr w:type="spellEnd"/>
            <w:r w:rsidRPr="002A6AB6">
              <w:rPr>
                <w:szCs w:val="22"/>
                <w:lang w:val="sr-Latn-ME"/>
              </w:rPr>
              <w:t xml:space="preserve"> po MR snimku</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8188071" w14:textId="77777777" w:rsidR="00466B8B" w:rsidRPr="002A6AB6" w:rsidRDefault="00466B8B" w:rsidP="00122792">
            <w:pPr>
              <w:pStyle w:val="QRDEnTableText"/>
              <w:spacing w:line="240" w:lineRule="auto"/>
              <w:jc w:val="center"/>
              <w:rPr>
                <w:szCs w:val="22"/>
                <w:lang w:val="sr-Latn-ME"/>
              </w:rPr>
            </w:pPr>
            <w:r w:rsidRPr="002A6AB6">
              <w:rPr>
                <w:szCs w:val="22"/>
                <w:lang w:val="sr-Latn-ME"/>
              </w:rPr>
              <w:t>0,016</w:t>
            </w:r>
          </w:p>
        </w:tc>
        <w:tc>
          <w:tcPr>
            <w:tcW w:w="1610" w:type="dxa"/>
            <w:gridSpan w:val="2"/>
            <w:tcBorders>
              <w:top w:val="single" w:sz="4" w:space="0" w:color="auto"/>
              <w:left w:val="single" w:sz="4" w:space="0" w:color="auto"/>
              <w:bottom w:val="single" w:sz="4" w:space="0" w:color="auto"/>
              <w:right w:val="single" w:sz="4" w:space="0" w:color="auto"/>
            </w:tcBorders>
            <w:shd w:val="clear" w:color="auto" w:fill="auto"/>
          </w:tcPr>
          <w:p w14:paraId="6F0447FD" w14:textId="77777777" w:rsidR="00466B8B" w:rsidRPr="002A6AB6" w:rsidRDefault="00466B8B" w:rsidP="00122792">
            <w:pPr>
              <w:pStyle w:val="QRDEnTableText"/>
              <w:spacing w:line="240" w:lineRule="auto"/>
              <w:jc w:val="center"/>
              <w:rPr>
                <w:szCs w:val="22"/>
                <w:lang w:val="sr-Latn-ME"/>
              </w:rPr>
            </w:pPr>
            <w:r w:rsidRPr="002A6AB6">
              <w:rPr>
                <w:szCs w:val="22"/>
                <w:lang w:val="sr-Latn-ME"/>
              </w:rPr>
              <w:t>0,286</w:t>
            </w:r>
          </w:p>
        </w:tc>
        <w:tc>
          <w:tcPr>
            <w:tcW w:w="730" w:type="dxa"/>
            <w:tcBorders>
              <w:top w:val="single" w:sz="4" w:space="0" w:color="auto"/>
              <w:left w:val="single" w:sz="4" w:space="0" w:color="auto"/>
              <w:bottom w:val="single" w:sz="4" w:space="0" w:color="auto"/>
              <w:right w:val="single" w:sz="4" w:space="0" w:color="auto"/>
            </w:tcBorders>
            <w:shd w:val="clear" w:color="auto" w:fill="auto"/>
          </w:tcPr>
          <w:p w14:paraId="124AA60E" w14:textId="77777777" w:rsidR="00466B8B" w:rsidRPr="002A6AB6" w:rsidRDefault="00466B8B" w:rsidP="00122792">
            <w:pPr>
              <w:pStyle w:val="QRDEnTableText"/>
              <w:spacing w:line="240" w:lineRule="auto"/>
              <w:jc w:val="center"/>
              <w:rPr>
                <w:szCs w:val="22"/>
                <w:lang w:val="sr-Latn-ME"/>
              </w:rPr>
            </w:pPr>
            <w:r w:rsidRPr="002A6AB6">
              <w:rPr>
                <w:szCs w:val="22"/>
                <w:lang w:val="sr-Latn-ME"/>
              </w:rPr>
              <w:t>0,021</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4D1255A" w14:textId="77777777" w:rsidR="00466B8B" w:rsidRPr="002A6AB6" w:rsidRDefault="00466B8B" w:rsidP="00122792">
            <w:pPr>
              <w:pStyle w:val="QRDEnTableText"/>
              <w:spacing w:line="240" w:lineRule="auto"/>
              <w:jc w:val="center"/>
              <w:rPr>
                <w:szCs w:val="22"/>
                <w:lang w:val="sr-Latn-ME"/>
              </w:rPr>
            </w:pPr>
            <w:r w:rsidRPr="002A6AB6">
              <w:rPr>
                <w:szCs w:val="22"/>
                <w:lang w:val="sr-Latn-ME"/>
              </w:rPr>
              <w:t>0,416</w:t>
            </w:r>
          </w:p>
        </w:tc>
      </w:tr>
      <w:tr w:rsidR="00466B8B" w:rsidRPr="002A6AB6" w14:paraId="3822389B" w14:textId="77777777" w:rsidTr="00466B8B">
        <w:trPr>
          <w:cantSplit/>
          <w:trHeight w:hRule="exact" w:val="382"/>
          <w:jc w:val="center"/>
        </w:trPr>
        <w:tc>
          <w:tcPr>
            <w:tcW w:w="4225" w:type="dxa"/>
            <w:tcBorders>
              <w:left w:val="single" w:sz="4" w:space="0" w:color="auto"/>
              <w:bottom w:val="single" w:sz="4" w:space="0" w:color="auto"/>
              <w:right w:val="single" w:sz="4" w:space="0" w:color="auto"/>
            </w:tcBorders>
            <w:shd w:val="clear" w:color="auto" w:fill="auto"/>
          </w:tcPr>
          <w:p w14:paraId="77AA4830" w14:textId="77777777" w:rsidR="00466B8B" w:rsidRPr="002A6AB6" w:rsidRDefault="00466B8B" w:rsidP="00587700">
            <w:pPr>
              <w:pStyle w:val="QRDEnTableText"/>
              <w:spacing w:line="240" w:lineRule="auto"/>
              <w:ind w:left="431"/>
              <w:jc w:val="both"/>
              <w:rPr>
                <w:szCs w:val="22"/>
                <w:lang w:val="sr-Latn-ME"/>
              </w:rPr>
            </w:pPr>
            <w:r w:rsidRPr="002A6AB6">
              <w:rPr>
                <w:szCs w:val="22"/>
                <w:lang w:val="sr-Latn-ME"/>
              </w:rPr>
              <w:t>Relativno smanjenje</w:t>
            </w:r>
          </w:p>
        </w:tc>
        <w:tc>
          <w:tcPr>
            <w:tcW w:w="2960" w:type="dxa"/>
            <w:gridSpan w:val="3"/>
            <w:tcBorders>
              <w:left w:val="single" w:sz="4" w:space="0" w:color="auto"/>
              <w:bottom w:val="single" w:sz="4" w:space="0" w:color="auto"/>
              <w:right w:val="single" w:sz="4" w:space="0" w:color="auto"/>
            </w:tcBorders>
            <w:shd w:val="clear" w:color="auto" w:fill="auto"/>
          </w:tcPr>
          <w:p w14:paraId="5AA05DAF" w14:textId="77777777" w:rsidR="00466B8B" w:rsidRPr="002A6AB6" w:rsidRDefault="00466B8B" w:rsidP="00122792">
            <w:pPr>
              <w:pStyle w:val="QRDEnTableText"/>
              <w:spacing w:line="240" w:lineRule="auto"/>
              <w:jc w:val="center"/>
              <w:rPr>
                <w:szCs w:val="22"/>
                <w:lang w:val="sr-Latn-ME"/>
              </w:rPr>
            </w:pPr>
            <w:r w:rsidRPr="002A6AB6">
              <w:rPr>
                <w:szCs w:val="22"/>
                <w:lang w:val="sr-Latn-ME"/>
              </w:rPr>
              <w:t>94% (p&lt;0,0001)</w:t>
            </w:r>
          </w:p>
        </w:tc>
        <w:tc>
          <w:tcPr>
            <w:tcW w:w="1720" w:type="dxa"/>
            <w:gridSpan w:val="2"/>
            <w:tcBorders>
              <w:left w:val="single" w:sz="4" w:space="0" w:color="auto"/>
              <w:bottom w:val="single" w:sz="4" w:space="0" w:color="auto"/>
              <w:right w:val="single" w:sz="4" w:space="0" w:color="auto"/>
            </w:tcBorders>
            <w:shd w:val="clear" w:color="auto" w:fill="auto"/>
          </w:tcPr>
          <w:p w14:paraId="5536F357" w14:textId="77777777" w:rsidR="00466B8B" w:rsidRPr="002A6AB6" w:rsidRDefault="00466B8B" w:rsidP="00122792">
            <w:pPr>
              <w:pStyle w:val="QRDEnTableText"/>
              <w:spacing w:line="240" w:lineRule="auto"/>
              <w:jc w:val="center"/>
              <w:rPr>
                <w:szCs w:val="22"/>
                <w:lang w:val="sr-Latn-ME"/>
              </w:rPr>
            </w:pPr>
            <w:r w:rsidRPr="002A6AB6">
              <w:rPr>
                <w:szCs w:val="22"/>
                <w:lang w:val="sr-Latn-ME"/>
              </w:rPr>
              <w:t>95% (p&lt;0,0001)</w:t>
            </w:r>
          </w:p>
        </w:tc>
      </w:tr>
      <w:tr w:rsidR="00466B8B" w:rsidRPr="002A6AB6" w14:paraId="1B781477" w14:textId="77777777" w:rsidTr="00466B8B">
        <w:trPr>
          <w:cantSplit/>
          <w:trHeight w:hRule="exact" w:val="631"/>
          <w:jc w:val="center"/>
        </w:trPr>
        <w:tc>
          <w:tcPr>
            <w:tcW w:w="4225" w:type="dxa"/>
            <w:tcBorders>
              <w:top w:val="single" w:sz="4" w:space="0" w:color="auto"/>
              <w:left w:val="single" w:sz="4" w:space="0" w:color="auto"/>
              <w:right w:val="single" w:sz="4" w:space="0" w:color="auto"/>
            </w:tcBorders>
            <w:shd w:val="clear" w:color="auto" w:fill="auto"/>
          </w:tcPr>
          <w:p w14:paraId="13E270A5" w14:textId="77777777" w:rsidR="00466B8B" w:rsidRPr="002A6AB6" w:rsidRDefault="00466B8B" w:rsidP="00587700">
            <w:pPr>
              <w:pStyle w:val="QRDEnTableText"/>
              <w:spacing w:line="240" w:lineRule="auto"/>
              <w:jc w:val="both"/>
              <w:rPr>
                <w:szCs w:val="22"/>
                <w:lang w:val="sr-Latn-ME"/>
              </w:rPr>
            </w:pPr>
            <w:r w:rsidRPr="002A6AB6">
              <w:rPr>
                <w:szCs w:val="22"/>
                <w:lang w:val="sr-Latn-ME"/>
              </w:rPr>
              <w:t xml:space="preserve">Srednji broj novih odnosno povećanih T2 </w:t>
            </w:r>
            <w:proofErr w:type="spellStart"/>
            <w:r w:rsidRPr="002A6AB6">
              <w:rPr>
                <w:szCs w:val="22"/>
                <w:lang w:val="sr-Latn-ME"/>
              </w:rPr>
              <w:t>hiperintenzivnih</w:t>
            </w:r>
            <w:proofErr w:type="spellEnd"/>
            <w:r w:rsidRPr="002A6AB6">
              <w:rPr>
                <w:szCs w:val="22"/>
                <w:lang w:val="sr-Latn-ME"/>
              </w:rPr>
              <w:t xml:space="preserve"> </w:t>
            </w:r>
            <w:proofErr w:type="spellStart"/>
            <w:r w:rsidRPr="002A6AB6">
              <w:rPr>
                <w:szCs w:val="22"/>
                <w:lang w:val="sr-Latn-ME"/>
              </w:rPr>
              <w:t>lezija</w:t>
            </w:r>
            <w:proofErr w:type="spellEnd"/>
            <w:r w:rsidRPr="002A6AB6">
              <w:rPr>
                <w:szCs w:val="22"/>
                <w:lang w:val="sr-Latn-ME"/>
              </w:rPr>
              <w:t xml:space="preserve"> po MR snimku</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10837B7" w14:textId="77777777" w:rsidR="00466B8B" w:rsidRPr="002A6AB6" w:rsidRDefault="00466B8B" w:rsidP="00122792">
            <w:pPr>
              <w:pStyle w:val="QRDEnTableText"/>
              <w:spacing w:line="240" w:lineRule="auto"/>
              <w:jc w:val="center"/>
              <w:rPr>
                <w:szCs w:val="22"/>
                <w:lang w:val="sr-Latn-ME"/>
              </w:rPr>
            </w:pPr>
            <w:r w:rsidRPr="002A6AB6">
              <w:rPr>
                <w:szCs w:val="22"/>
                <w:lang w:val="sr-Latn-ME"/>
              </w:rPr>
              <w:t>0,323</w:t>
            </w:r>
          </w:p>
        </w:tc>
        <w:tc>
          <w:tcPr>
            <w:tcW w:w="1610" w:type="dxa"/>
            <w:gridSpan w:val="2"/>
            <w:tcBorders>
              <w:top w:val="single" w:sz="4" w:space="0" w:color="auto"/>
              <w:left w:val="single" w:sz="4" w:space="0" w:color="auto"/>
              <w:bottom w:val="single" w:sz="4" w:space="0" w:color="auto"/>
              <w:right w:val="single" w:sz="4" w:space="0" w:color="auto"/>
            </w:tcBorders>
            <w:shd w:val="clear" w:color="auto" w:fill="auto"/>
          </w:tcPr>
          <w:p w14:paraId="634E5626" w14:textId="77777777" w:rsidR="00466B8B" w:rsidRPr="002A6AB6" w:rsidRDefault="00466B8B" w:rsidP="00122792">
            <w:pPr>
              <w:pStyle w:val="QRDEnTableText"/>
              <w:spacing w:line="240" w:lineRule="auto"/>
              <w:jc w:val="center"/>
              <w:rPr>
                <w:szCs w:val="22"/>
                <w:lang w:val="sr-Latn-ME"/>
              </w:rPr>
            </w:pPr>
            <w:r w:rsidRPr="002A6AB6">
              <w:rPr>
                <w:szCs w:val="22"/>
                <w:lang w:val="sr-Latn-ME"/>
              </w:rPr>
              <w:t>1,413</w:t>
            </w:r>
          </w:p>
        </w:tc>
        <w:tc>
          <w:tcPr>
            <w:tcW w:w="730" w:type="dxa"/>
            <w:tcBorders>
              <w:top w:val="single" w:sz="4" w:space="0" w:color="auto"/>
              <w:left w:val="single" w:sz="4" w:space="0" w:color="auto"/>
              <w:bottom w:val="single" w:sz="4" w:space="0" w:color="auto"/>
              <w:right w:val="single" w:sz="4" w:space="0" w:color="auto"/>
            </w:tcBorders>
            <w:shd w:val="clear" w:color="auto" w:fill="auto"/>
          </w:tcPr>
          <w:p w14:paraId="4F4BD495" w14:textId="77777777" w:rsidR="00466B8B" w:rsidRPr="002A6AB6" w:rsidRDefault="00466B8B" w:rsidP="00122792">
            <w:pPr>
              <w:pStyle w:val="QRDEnTableText"/>
              <w:spacing w:line="240" w:lineRule="auto"/>
              <w:jc w:val="center"/>
              <w:rPr>
                <w:szCs w:val="22"/>
                <w:lang w:val="sr-Latn-ME"/>
              </w:rPr>
            </w:pPr>
            <w:r w:rsidRPr="002A6AB6">
              <w:rPr>
                <w:szCs w:val="22"/>
                <w:lang w:val="sr-Latn-ME"/>
              </w:rPr>
              <w:t>0,325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B273DBC" w14:textId="77777777" w:rsidR="00466B8B" w:rsidRPr="002A6AB6" w:rsidRDefault="00466B8B" w:rsidP="00122792">
            <w:pPr>
              <w:pStyle w:val="QRDEnTableText"/>
              <w:spacing w:line="240" w:lineRule="auto"/>
              <w:jc w:val="center"/>
              <w:rPr>
                <w:szCs w:val="22"/>
                <w:lang w:val="sr-Latn-ME"/>
              </w:rPr>
            </w:pPr>
            <w:r w:rsidRPr="002A6AB6">
              <w:rPr>
                <w:szCs w:val="22"/>
                <w:lang w:val="sr-Latn-ME"/>
              </w:rPr>
              <w:t>1,904</w:t>
            </w:r>
          </w:p>
        </w:tc>
      </w:tr>
      <w:tr w:rsidR="00466B8B" w:rsidRPr="002A6AB6" w14:paraId="6E9E5FE8" w14:textId="77777777" w:rsidTr="00466B8B">
        <w:trPr>
          <w:cantSplit/>
          <w:trHeight w:hRule="exact" w:val="372"/>
          <w:jc w:val="center"/>
        </w:trPr>
        <w:tc>
          <w:tcPr>
            <w:tcW w:w="4225" w:type="dxa"/>
            <w:tcBorders>
              <w:left w:val="single" w:sz="4" w:space="0" w:color="auto"/>
              <w:bottom w:val="single" w:sz="4" w:space="0" w:color="auto"/>
              <w:right w:val="single" w:sz="4" w:space="0" w:color="auto"/>
            </w:tcBorders>
            <w:shd w:val="clear" w:color="auto" w:fill="auto"/>
          </w:tcPr>
          <w:p w14:paraId="68B5D16D" w14:textId="77777777" w:rsidR="00466B8B" w:rsidRPr="002A6AB6" w:rsidRDefault="00466B8B" w:rsidP="00587700">
            <w:pPr>
              <w:pStyle w:val="QRDEnTableText"/>
              <w:spacing w:line="240" w:lineRule="auto"/>
              <w:ind w:left="431"/>
              <w:jc w:val="both"/>
              <w:rPr>
                <w:szCs w:val="22"/>
                <w:lang w:val="sr-Latn-ME"/>
              </w:rPr>
            </w:pPr>
            <w:r w:rsidRPr="002A6AB6">
              <w:rPr>
                <w:szCs w:val="22"/>
                <w:lang w:val="sr-Latn-ME"/>
              </w:rPr>
              <w:t>Relativno smanjenje</w:t>
            </w:r>
          </w:p>
        </w:tc>
        <w:tc>
          <w:tcPr>
            <w:tcW w:w="2960" w:type="dxa"/>
            <w:gridSpan w:val="3"/>
            <w:tcBorders>
              <w:top w:val="single" w:sz="4" w:space="0" w:color="auto"/>
              <w:left w:val="single" w:sz="4" w:space="0" w:color="auto"/>
              <w:bottom w:val="single" w:sz="4" w:space="0" w:color="auto"/>
              <w:right w:val="single" w:sz="4" w:space="0" w:color="auto"/>
            </w:tcBorders>
            <w:shd w:val="clear" w:color="auto" w:fill="auto"/>
          </w:tcPr>
          <w:p w14:paraId="22302548" w14:textId="77777777" w:rsidR="00466B8B" w:rsidRPr="002A6AB6" w:rsidRDefault="00466B8B" w:rsidP="00122792">
            <w:pPr>
              <w:pStyle w:val="QRDEnTableText"/>
              <w:spacing w:line="240" w:lineRule="auto"/>
              <w:jc w:val="center"/>
              <w:rPr>
                <w:szCs w:val="22"/>
                <w:lang w:val="sr-Latn-ME"/>
              </w:rPr>
            </w:pPr>
            <w:r w:rsidRPr="002A6AB6">
              <w:rPr>
                <w:szCs w:val="22"/>
                <w:lang w:val="sr-Latn-ME"/>
              </w:rPr>
              <w:t>77% (p&lt;0,0001)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tcPr>
          <w:p w14:paraId="2C12F71A" w14:textId="77777777" w:rsidR="00466B8B" w:rsidRPr="002A6AB6" w:rsidRDefault="00466B8B" w:rsidP="00122792">
            <w:pPr>
              <w:pStyle w:val="QRDEnTableText"/>
              <w:spacing w:line="240" w:lineRule="auto"/>
              <w:jc w:val="center"/>
              <w:rPr>
                <w:szCs w:val="22"/>
                <w:lang w:val="sr-Latn-ME"/>
              </w:rPr>
            </w:pPr>
            <w:r w:rsidRPr="002A6AB6">
              <w:rPr>
                <w:szCs w:val="22"/>
                <w:lang w:val="sr-Latn-ME"/>
              </w:rPr>
              <w:t>83% (p&lt;0,0001)</w:t>
            </w:r>
          </w:p>
        </w:tc>
      </w:tr>
      <w:tr w:rsidR="00466B8B" w:rsidRPr="002A6AB6" w14:paraId="4151A19D" w14:textId="77777777" w:rsidTr="00466B8B">
        <w:trPr>
          <w:cantSplit/>
          <w:trHeight w:hRule="exact" w:val="622"/>
          <w:jc w:val="center"/>
        </w:trPr>
        <w:tc>
          <w:tcPr>
            <w:tcW w:w="4225" w:type="dxa"/>
            <w:tcBorders>
              <w:top w:val="single" w:sz="4" w:space="0" w:color="auto"/>
              <w:left w:val="single" w:sz="4" w:space="0" w:color="auto"/>
              <w:right w:val="single" w:sz="4" w:space="0" w:color="auto"/>
            </w:tcBorders>
            <w:shd w:val="clear" w:color="auto" w:fill="auto"/>
          </w:tcPr>
          <w:p w14:paraId="4CD241B7" w14:textId="77777777" w:rsidR="00466B8B" w:rsidRPr="002A6AB6" w:rsidRDefault="00466B8B" w:rsidP="00587700">
            <w:pPr>
              <w:pStyle w:val="QRDEnTableText"/>
              <w:spacing w:line="240" w:lineRule="auto"/>
              <w:jc w:val="both"/>
              <w:rPr>
                <w:szCs w:val="22"/>
                <w:vertAlign w:val="superscript"/>
                <w:lang w:val="sr-Latn-ME"/>
              </w:rPr>
            </w:pPr>
            <w:r w:rsidRPr="002A6AB6">
              <w:rPr>
                <w:szCs w:val="22"/>
                <w:lang w:val="sr-Latn-ME"/>
              </w:rPr>
              <w:t xml:space="preserve">Procentualna promjena u zapremini mozga od 24. do 96. nedjelje </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92FDBD4" w14:textId="77777777" w:rsidR="00466B8B" w:rsidRPr="002A6AB6" w:rsidRDefault="00466B8B" w:rsidP="00122792">
            <w:pPr>
              <w:pStyle w:val="QRDEnTableText"/>
              <w:spacing w:line="240" w:lineRule="auto"/>
              <w:jc w:val="center"/>
              <w:rPr>
                <w:szCs w:val="22"/>
                <w:lang w:val="sr-Latn-ME"/>
              </w:rPr>
            </w:pPr>
            <w:r w:rsidRPr="002A6AB6">
              <w:rPr>
                <w:szCs w:val="22"/>
                <w:lang w:val="sr-Latn-ME"/>
              </w:rPr>
              <w:t>-0,572</w:t>
            </w:r>
          </w:p>
        </w:tc>
        <w:tc>
          <w:tcPr>
            <w:tcW w:w="1610" w:type="dxa"/>
            <w:gridSpan w:val="2"/>
            <w:tcBorders>
              <w:top w:val="single" w:sz="4" w:space="0" w:color="auto"/>
              <w:left w:val="single" w:sz="4" w:space="0" w:color="auto"/>
              <w:bottom w:val="single" w:sz="4" w:space="0" w:color="auto"/>
              <w:right w:val="single" w:sz="4" w:space="0" w:color="auto"/>
            </w:tcBorders>
            <w:shd w:val="clear" w:color="auto" w:fill="auto"/>
          </w:tcPr>
          <w:p w14:paraId="7C111F64" w14:textId="77777777" w:rsidR="00466B8B" w:rsidRPr="002A6AB6" w:rsidRDefault="00466B8B" w:rsidP="00122792">
            <w:pPr>
              <w:pStyle w:val="QRDEnTableText"/>
              <w:spacing w:line="240" w:lineRule="auto"/>
              <w:jc w:val="center"/>
              <w:rPr>
                <w:szCs w:val="22"/>
                <w:lang w:val="sr-Latn-ME"/>
              </w:rPr>
            </w:pPr>
            <w:r w:rsidRPr="002A6AB6">
              <w:rPr>
                <w:szCs w:val="22"/>
                <w:lang w:val="sr-Latn-ME"/>
              </w:rPr>
              <w:t>-0,741</w:t>
            </w:r>
          </w:p>
        </w:tc>
        <w:tc>
          <w:tcPr>
            <w:tcW w:w="730" w:type="dxa"/>
            <w:tcBorders>
              <w:top w:val="single" w:sz="4" w:space="0" w:color="auto"/>
              <w:left w:val="single" w:sz="4" w:space="0" w:color="auto"/>
              <w:bottom w:val="single" w:sz="4" w:space="0" w:color="auto"/>
              <w:right w:val="single" w:sz="4" w:space="0" w:color="auto"/>
            </w:tcBorders>
            <w:shd w:val="clear" w:color="auto" w:fill="auto"/>
          </w:tcPr>
          <w:p w14:paraId="37EE3531" w14:textId="77777777" w:rsidR="00466B8B" w:rsidRPr="002A6AB6" w:rsidRDefault="00466B8B" w:rsidP="00122792">
            <w:pPr>
              <w:pStyle w:val="QRDEnTableText"/>
              <w:spacing w:line="240" w:lineRule="auto"/>
              <w:jc w:val="center"/>
              <w:rPr>
                <w:szCs w:val="22"/>
                <w:lang w:val="sr-Latn-ME"/>
              </w:rPr>
            </w:pPr>
            <w:r w:rsidRPr="002A6AB6">
              <w:rPr>
                <w:szCs w:val="22"/>
                <w:lang w:val="sr-Latn-ME"/>
              </w:rPr>
              <w:t>-0,638</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87B6800" w14:textId="77777777" w:rsidR="00466B8B" w:rsidRPr="002A6AB6" w:rsidRDefault="00466B8B" w:rsidP="00122792">
            <w:pPr>
              <w:pStyle w:val="QRDEnTableText"/>
              <w:spacing w:line="240" w:lineRule="auto"/>
              <w:jc w:val="center"/>
              <w:rPr>
                <w:szCs w:val="22"/>
                <w:lang w:val="sr-Latn-ME"/>
              </w:rPr>
            </w:pPr>
            <w:r w:rsidRPr="002A6AB6">
              <w:rPr>
                <w:szCs w:val="22"/>
                <w:lang w:val="sr-Latn-ME"/>
              </w:rPr>
              <w:t>-0,750</w:t>
            </w:r>
          </w:p>
        </w:tc>
      </w:tr>
      <w:tr w:rsidR="00466B8B" w:rsidRPr="002A6AB6" w14:paraId="6344B81C" w14:textId="77777777" w:rsidTr="002A6AB6">
        <w:trPr>
          <w:cantSplit/>
          <w:trHeight w:hRule="exact" w:val="577"/>
          <w:jc w:val="center"/>
        </w:trPr>
        <w:tc>
          <w:tcPr>
            <w:tcW w:w="4225" w:type="dxa"/>
            <w:tcBorders>
              <w:left w:val="single" w:sz="4" w:space="0" w:color="auto"/>
              <w:bottom w:val="single" w:sz="4" w:space="0" w:color="auto"/>
              <w:right w:val="single" w:sz="4" w:space="0" w:color="auto"/>
            </w:tcBorders>
            <w:shd w:val="clear" w:color="auto" w:fill="auto"/>
          </w:tcPr>
          <w:p w14:paraId="73B1E72A" w14:textId="40E84DAE" w:rsidR="00466B8B" w:rsidRPr="002A6AB6" w:rsidRDefault="00466B8B" w:rsidP="00587700">
            <w:pPr>
              <w:pStyle w:val="QRDEnTableText"/>
              <w:spacing w:line="240" w:lineRule="auto"/>
              <w:ind w:left="431"/>
              <w:jc w:val="both"/>
              <w:rPr>
                <w:szCs w:val="22"/>
                <w:lang w:val="sr-Latn-ME"/>
              </w:rPr>
            </w:pPr>
            <w:r w:rsidRPr="002A6AB6">
              <w:rPr>
                <w:szCs w:val="22"/>
                <w:lang w:val="sr-Latn-ME"/>
              </w:rPr>
              <w:t>Relativno smanjenje gubitka zapremine</w:t>
            </w:r>
            <w:r w:rsidR="002A6AB6">
              <w:rPr>
                <w:szCs w:val="22"/>
                <w:lang w:val="sr-Latn-ME"/>
              </w:rPr>
              <w:t xml:space="preserve"> </w:t>
            </w:r>
            <w:r w:rsidRPr="002A6AB6">
              <w:rPr>
                <w:szCs w:val="22"/>
                <w:lang w:val="sr-Latn-ME"/>
              </w:rPr>
              <w:t xml:space="preserve"> mozga</w:t>
            </w:r>
          </w:p>
        </w:tc>
        <w:tc>
          <w:tcPr>
            <w:tcW w:w="2960" w:type="dxa"/>
            <w:gridSpan w:val="3"/>
            <w:tcBorders>
              <w:top w:val="single" w:sz="4" w:space="0" w:color="auto"/>
              <w:left w:val="single" w:sz="4" w:space="0" w:color="auto"/>
              <w:bottom w:val="single" w:sz="4" w:space="0" w:color="auto"/>
              <w:right w:val="single" w:sz="4" w:space="0" w:color="auto"/>
            </w:tcBorders>
            <w:shd w:val="clear" w:color="auto" w:fill="auto"/>
          </w:tcPr>
          <w:p w14:paraId="0AFE1C04" w14:textId="77777777" w:rsidR="00466B8B" w:rsidRPr="002A6AB6" w:rsidRDefault="00466B8B" w:rsidP="00122792">
            <w:pPr>
              <w:pStyle w:val="QRDEnTableText"/>
              <w:spacing w:line="240" w:lineRule="auto"/>
              <w:jc w:val="center"/>
              <w:rPr>
                <w:szCs w:val="22"/>
                <w:lang w:val="sr-Latn-ME"/>
              </w:rPr>
            </w:pPr>
            <w:r w:rsidRPr="002A6AB6">
              <w:rPr>
                <w:szCs w:val="22"/>
                <w:lang w:val="sr-Latn-ME"/>
              </w:rPr>
              <w:t>22,8% (p=0,0042)</w:t>
            </w:r>
            <w:r w:rsidRPr="002A6AB6">
              <w:rPr>
                <w:szCs w:val="22"/>
                <w:vertAlign w:val="superscript"/>
                <w:lang w:val="sr-Latn-ME"/>
              </w:rPr>
              <w:t>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tcPr>
          <w:p w14:paraId="51856C57" w14:textId="77777777" w:rsidR="00466B8B" w:rsidRPr="002A6AB6" w:rsidRDefault="00466B8B" w:rsidP="00122792">
            <w:pPr>
              <w:pStyle w:val="QRDEnTableText"/>
              <w:spacing w:line="240" w:lineRule="auto"/>
              <w:jc w:val="center"/>
              <w:rPr>
                <w:szCs w:val="22"/>
                <w:lang w:val="sr-Latn-ME"/>
              </w:rPr>
            </w:pPr>
            <w:r w:rsidRPr="002A6AB6">
              <w:rPr>
                <w:szCs w:val="22"/>
                <w:lang w:val="sr-Latn-ME"/>
              </w:rPr>
              <w:t>14,9% (p=0,0900)</w:t>
            </w:r>
          </w:p>
          <w:p w14:paraId="069A29DD" w14:textId="77777777" w:rsidR="00466B8B" w:rsidRPr="002A6AB6" w:rsidRDefault="00466B8B" w:rsidP="00122792">
            <w:pPr>
              <w:pStyle w:val="QRDEnTableText"/>
              <w:spacing w:line="240" w:lineRule="auto"/>
              <w:jc w:val="center"/>
              <w:rPr>
                <w:szCs w:val="22"/>
                <w:lang w:val="sr-Latn-ME"/>
              </w:rPr>
            </w:pPr>
          </w:p>
        </w:tc>
      </w:tr>
    </w:tbl>
    <w:p w14:paraId="5E57E62F"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vertAlign w:val="superscript"/>
          <w:lang w:val="sr-Latn-ME"/>
        </w:rPr>
        <w:t xml:space="preserve">1 </w:t>
      </w:r>
      <w:r w:rsidRPr="002A6AB6">
        <w:rPr>
          <w:bCs/>
          <w:sz w:val="22"/>
          <w:szCs w:val="22"/>
          <w:lang w:val="sr-Latn-ME"/>
        </w:rPr>
        <w:t>Prospektivno objedinjeni podaci iz 1. i 2. studije</w:t>
      </w:r>
    </w:p>
    <w:p w14:paraId="6D267502"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vertAlign w:val="superscript"/>
          <w:lang w:val="sr-Latn-ME"/>
        </w:rPr>
        <w:t xml:space="preserve">2 </w:t>
      </w:r>
      <w:proofErr w:type="spellStart"/>
      <w:r w:rsidRPr="002A6AB6">
        <w:rPr>
          <w:bCs/>
          <w:sz w:val="22"/>
          <w:szCs w:val="22"/>
          <w:lang w:val="sr-Latn-ME"/>
        </w:rPr>
        <w:t>Nekonfirmatorna</w:t>
      </w:r>
      <w:proofErr w:type="spellEnd"/>
      <w:r w:rsidRPr="002A6AB6">
        <w:rPr>
          <w:bCs/>
          <w:sz w:val="22"/>
          <w:szCs w:val="22"/>
          <w:lang w:val="sr-Latn-ME"/>
        </w:rPr>
        <w:t xml:space="preserve"> analiza p-vrijednosti; nije dio unaprijed određene hijerarhije testiranja</w:t>
      </w:r>
    </w:p>
    <w:p w14:paraId="7763C90E"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vertAlign w:val="superscript"/>
          <w:lang w:val="sr-Latn-ME"/>
        </w:rPr>
        <w:t>3</w:t>
      </w:r>
      <w:r w:rsidRPr="002A6AB6">
        <w:rPr>
          <w:bCs/>
          <w:sz w:val="22"/>
          <w:szCs w:val="22"/>
          <w:lang w:val="sr-Latn-ME"/>
        </w:rPr>
        <w:t xml:space="preserve"> CDP se definiše kao povećanje od ≥ 1,0 poena od početnog skora proširene skale statusa invaliditeta (EDSS) za pacijente sa početnim skorom od 5,5 ili manje, ili ≥ 0,5 kada je početni skor &gt; 5,5, </w:t>
      </w:r>
      <w:proofErr w:type="spellStart"/>
      <w:r w:rsidRPr="002A6AB6">
        <w:rPr>
          <w:bCs/>
          <w:sz w:val="22"/>
          <w:szCs w:val="22"/>
          <w:lang w:val="sr-Latn-ME"/>
        </w:rPr>
        <w:t>Kaplan</w:t>
      </w:r>
      <w:proofErr w:type="spellEnd"/>
      <w:r w:rsidRPr="002A6AB6">
        <w:rPr>
          <w:bCs/>
          <w:sz w:val="22"/>
          <w:szCs w:val="22"/>
          <w:lang w:val="sr-Latn-ME"/>
        </w:rPr>
        <w:t>-Majerove procjene u 96. nedjelji</w:t>
      </w:r>
    </w:p>
    <w:p w14:paraId="4A251DB0"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vertAlign w:val="superscript"/>
          <w:lang w:val="sr-Latn-ME"/>
        </w:rPr>
        <w:t>4</w:t>
      </w:r>
      <w:r w:rsidRPr="002A6AB6">
        <w:rPr>
          <w:bCs/>
          <w:sz w:val="22"/>
          <w:szCs w:val="22"/>
          <w:lang w:val="sr-Latn-ME"/>
        </w:rPr>
        <w:t xml:space="preserve"> Definiše se kao smanjenje od ≥ 1,0 poena od početnog skora EDSS za pacijente sa početnim skorom EDSS ≥ 2 i ≤ 5,5, ili ≥0,5 kada je početni skor &gt; 5,5. Pacijenti sa početnim skorom manjim od 2 nisu obuhvaćeni analizom. </w:t>
      </w:r>
    </w:p>
    <w:p w14:paraId="0CF0CFAB"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vertAlign w:val="superscript"/>
          <w:lang w:val="sr-Latn-ME"/>
        </w:rPr>
        <w:lastRenderedPageBreak/>
        <w:t xml:space="preserve">5 </w:t>
      </w:r>
      <w:r w:rsidRPr="002A6AB6">
        <w:rPr>
          <w:bCs/>
          <w:sz w:val="22"/>
          <w:szCs w:val="22"/>
          <w:lang w:val="sr-Latn-ME"/>
        </w:rPr>
        <w:t xml:space="preserve">NEDA definisano kao odsustvo </w:t>
      </w:r>
      <w:proofErr w:type="spellStart"/>
      <w:r w:rsidRPr="002A6AB6">
        <w:rPr>
          <w:bCs/>
          <w:sz w:val="22"/>
          <w:szCs w:val="22"/>
          <w:lang w:val="sr-Latn-ME"/>
        </w:rPr>
        <w:t>relapsa</w:t>
      </w:r>
      <w:proofErr w:type="spellEnd"/>
      <w:r w:rsidRPr="002A6AB6">
        <w:rPr>
          <w:bCs/>
          <w:sz w:val="22"/>
          <w:szCs w:val="22"/>
          <w:lang w:val="sr-Latn-ME"/>
        </w:rPr>
        <w:t xml:space="preserve"> definisanih protokolom, potvrđena progresija invaliditeta (CDP) u 12. nedjelji, i svaka aktivnost na MR (bilo </w:t>
      </w:r>
      <w:proofErr w:type="spellStart"/>
      <w:r w:rsidRPr="002A6AB6">
        <w:rPr>
          <w:bCs/>
          <w:sz w:val="22"/>
          <w:szCs w:val="22"/>
          <w:lang w:val="sr-Latn-ME"/>
        </w:rPr>
        <w:t>Gd-prebojavajuće</w:t>
      </w:r>
      <w:proofErr w:type="spellEnd"/>
      <w:r w:rsidRPr="002A6AB6">
        <w:rPr>
          <w:bCs/>
          <w:sz w:val="22"/>
          <w:szCs w:val="22"/>
          <w:lang w:val="sr-Latn-ME"/>
        </w:rPr>
        <w:t xml:space="preserve"> T1 </w:t>
      </w:r>
      <w:proofErr w:type="spellStart"/>
      <w:r w:rsidRPr="002A6AB6">
        <w:rPr>
          <w:bCs/>
          <w:sz w:val="22"/>
          <w:szCs w:val="22"/>
          <w:lang w:val="sr-Latn-ME"/>
        </w:rPr>
        <w:t>lezije</w:t>
      </w:r>
      <w:proofErr w:type="spellEnd"/>
      <w:r w:rsidRPr="002A6AB6">
        <w:rPr>
          <w:bCs/>
          <w:sz w:val="22"/>
          <w:szCs w:val="22"/>
          <w:lang w:val="sr-Latn-ME"/>
        </w:rPr>
        <w:t xml:space="preserve">, ili nove ili </w:t>
      </w:r>
      <w:proofErr w:type="spellStart"/>
      <w:r w:rsidRPr="002A6AB6">
        <w:rPr>
          <w:bCs/>
          <w:sz w:val="22"/>
          <w:szCs w:val="22"/>
          <w:lang w:val="sr-Latn-ME"/>
        </w:rPr>
        <w:t>uvećavajuće</w:t>
      </w:r>
      <w:proofErr w:type="spellEnd"/>
      <w:r w:rsidRPr="002A6AB6">
        <w:rPr>
          <w:bCs/>
          <w:sz w:val="22"/>
          <w:szCs w:val="22"/>
          <w:lang w:val="sr-Latn-ME"/>
        </w:rPr>
        <w:t xml:space="preserve"> T2 </w:t>
      </w:r>
      <w:proofErr w:type="spellStart"/>
      <w:r w:rsidRPr="002A6AB6">
        <w:rPr>
          <w:bCs/>
          <w:sz w:val="22"/>
          <w:szCs w:val="22"/>
          <w:lang w:val="sr-Latn-ME"/>
        </w:rPr>
        <w:t>lezije</w:t>
      </w:r>
      <w:proofErr w:type="spellEnd"/>
      <w:r w:rsidRPr="002A6AB6">
        <w:rPr>
          <w:bCs/>
          <w:sz w:val="22"/>
          <w:szCs w:val="22"/>
          <w:lang w:val="sr-Latn-ME"/>
        </w:rPr>
        <w:t xml:space="preserve">) tokom kompletnog liječenja u trajanju od 96 nedjelja. </w:t>
      </w:r>
      <w:proofErr w:type="spellStart"/>
      <w:r w:rsidRPr="002A6AB6">
        <w:rPr>
          <w:bCs/>
          <w:sz w:val="22"/>
          <w:szCs w:val="22"/>
          <w:lang w:val="sr-Latn-ME"/>
        </w:rPr>
        <w:t>Eksploratorni</w:t>
      </w:r>
      <w:proofErr w:type="spellEnd"/>
      <w:r w:rsidRPr="002A6AB6">
        <w:rPr>
          <w:bCs/>
          <w:sz w:val="22"/>
          <w:szCs w:val="22"/>
          <w:lang w:val="sr-Latn-ME"/>
        </w:rPr>
        <w:t xml:space="preserve"> rezultat na osnovu kompletne ITT populacije.  </w:t>
      </w:r>
    </w:p>
    <w:p w14:paraId="0D5B87B9"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vertAlign w:val="superscript"/>
          <w:lang w:val="sr-Latn-ME"/>
        </w:rPr>
        <w:t xml:space="preserve">6 </w:t>
      </w:r>
      <w:proofErr w:type="spellStart"/>
      <w:r w:rsidRPr="002A6AB6">
        <w:rPr>
          <w:bCs/>
          <w:sz w:val="22"/>
          <w:szCs w:val="22"/>
          <w:lang w:val="sr-Latn-ME"/>
        </w:rPr>
        <w:t>Nekonfirmatorna</w:t>
      </w:r>
      <w:proofErr w:type="spellEnd"/>
      <w:r w:rsidRPr="002A6AB6">
        <w:rPr>
          <w:bCs/>
          <w:sz w:val="22"/>
          <w:szCs w:val="22"/>
          <w:lang w:val="sr-Latn-ME"/>
        </w:rPr>
        <w:t xml:space="preserve"> p-vrijednost; hijerarhijski postupak testiranja prekinut prije postizanja parametra praćenja.</w:t>
      </w:r>
    </w:p>
    <w:p w14:paraId="0B728B51"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vertAlign w:val="superscript"/>
          <w:lang w:val="sr-Latn-ME"/>
        </w:rPr>
        <w:t>7</w:t>
      </w:r>
      <w:r w:rsidRPr="002A6AB6">
        <w:rPr>
          <w:bCs/>
          <w:sz w:val="22"/>
          <w:szCs w:val="22"/>
          <w:lang w:val="sr-Latn-ME"/>
        </w:rPr>
        <w:t xml:space="preserve"> </w:t>
      </w:r>
      <w:r w:rsidRPr="002A6AB6">
        <w:rPr>
          <w:bCs/>
          <w:i/>
          <w:iCs/>
          <w:sz w:val="22"/>
          <w:szCs w:val="22"/>
          <w:lang w:val="sr-Latn-ME"/>
        </w:rPr>
        <w:t>Log-</w:t>
      </w:r>
      <w:proofErr w:type="spellStart"/>
      <w:r w:rsidRPr="002A6AB6">
        <w:rPr>
          <w:bCs/>
          <w:i/>
          <w:iCs/>
          <w:sz w:val="22"/>
          <w:szCs w:val="22"/>
          <w:lang w:val="sr-Latn-ME"/>
        </w:rPr>
        <w:t>rank</w:t>
      </w:r>
      <w:proofErr w:type="spellEnd"/>
      <w:r w:rsidRPr="002A6AB6">
        <w:rPr>
          <w:bCs/>
          <w:sz w:val="22"/>
          <w:szCs w:val="22"/>
          <w:lang w:val="sr-Latn-ME"/>
        </w:rPr>
        <w:t xml:space="preserve"> test</w:t>
      </w:r>
    </w:p>
    <w:p w14:paraId="4457645D" w14:textId="77777777" w:rsidR="00466B8B" w:rsidRPr="002A6AB6" w:rsidRDefault="00466B8B" w:rsidP="00587700">
      <w:pPr>
        <w:tabs>
          <w:tab w:val="left" w:pos="540"/>
          <w:tab w:val="left" w:pos="569"/>
        </w:tabs>
        <w:jc w:val="both"/>
        <w:rPr>
          <w:bCs/>
          <w:sz w:val="22"/>
          <w:szCs w:val="22"/>
          <w:lang w:val="sr-Latn-ME"/>
        </w:rPr>
      </w:pPr>
      <w:r w:rsidRPr="002A6AB6">
        <w:rPr>
          <w:bCs/>
          <w:sz w:val="22"/>
          <w:szCs w:val="22"/>
          <w:vertAlign w:val="superscript"/>
          <w:lang w:val="sr-Latn-ME"/>
        </w:rPr>
        <w:t xml:space="preserve">8 </w:t>
      </w:r>
      <w:r w:rsidRPr="002A6AB6">
        <w:rPr>
          <w:bCs/>
          <w:sz w:val="22"/>
          <w:szCs w:val="22"/>
          <w:lang w:val="sr-Latn-ME"/>
        </w:rPr>
        <w:t xml:space="preserve">Potvrđeni </w:t>
      </w:r>
      <w:proofErr w:type="spellStart"/>
      <w:r w:rsidRPr="002A6AB6">
        <w:rPr>
          <w:bCs/>
          <w:sz w:val="22"/>
          <w:szCs w:val="22"/>
          <w:lang w:val="sr-Latn-ME"/>
        </w:rPr>
        <w:t>relapsi</w:t>
      </w:r>
      <w:proofErr w:type="spellEnd"/>
      <w:r w:rsidRPr="002A6AB6">
        <w:rPr>
          <w:bCs/>
          <w:sz w:val="22"/>
          <w:szCs w:val="22"/>
          <w:lang w:val="sr-Latn-ME"/>
        </w:rPr>
        <w:t xml:space="preserve"> (praćeni klinički značajnom promjenom EDSS rezultata). </w:t>
      </w:r>
    </w:p>
    <w:p w14:paraId="67B217A1" w14:textId="77777777" w:rsidR="00466B8B" w:rsidRPr="002A6AB6" w:rsidRDefault="00466B8B" w:rsidP="00587700">
      <w:pPr>
        <w:tabs>
          <w:tab w:val="left" w:pos="540"/>
          <w:tab w:val="left" w:pos="569"/>
        </w:tabs>
        <w:jc w:val="both"/>
        <w:rPr>
          <w:b/>
          <w:bCs/>
          <w:sz w:val="22"/>
          <w:szCs w:val="22"/>
          <w:lang w:val="sr-Latn-ME"/>
        </w:rPr>
      </w:pPr>
    </w:p>
    <w:p w14:paraId="36415F25" w14:textId="77777777" w:rsidR="00466B8B" w:rsidRPr="002A6AB6" w:rsidRDefault="00466B8B" w:rsidP="00587700">
      <w:pPr>
        <w:tabs>
          <w:tab w:val="left" w:pos="540"/>
          <w:tab w:val="left" w:pos="569"/>
        </w:tabs>
        <w:jc w:val="both"/>
        <w:rPr>
          <w:b/>
          <w:bCs/>
          <w:sz w:val="22"/>
          <w:szCs w:val="22"/>
          <w:lang w:val="sr-Latn-ME"/>
        </w:rPr>
      </w:pPr>
      <w:r w:rsidRPr="002A6AB6">
        <w:rPr>
          <w:b/>
          <w:bCs/>
          <w:sz w:val="22"/>
          <w:szCs w:val="22"/>
          <w:lang w:val="sr-Latn-ME"/>
        </w:rPr>
        <w:t xml:space="preserve">Slika 1: </w:t>
      </w:r>
      <w:proofErr w:type="spellStart"/>
      <w:r w:rsidRPr="002A6AB6">
        <w:rPr>
          <w:b/>
          <w:bCs/>
          <w:sz w:val="22"/>
          <w:szCs w:val="22"/>
          <w:lang w:val="sr-Latn-ME"/>
        </w:rPr>
        <w:t>Kaplan</w:t>
      </w:r>
      <w:proofErr w:type="spellEnd"/>
      <w:r w:rsidRPr="002A6AB6">
        <w:rPr>
          <w:b/>
          <w:bCs/>
          <w:sz w:val="22"/>
          <w:szCs w:val="22"/>
          <w:lang w:val="sr-Latn-ME"/>
        </w:rPr>
        <w:t xml:space="preserve">-Majerov grafikon </w:t>
      </w:r>
      <w:proofErr w:type="spellStart"/>
      <w:r w:rsidRPr="002A6AB6">
        <w:rPr>
          <w:b/>
          <w:bCs/>
          <w:sz w:val="22"/>
          <w:szCs w:val="22"/>
          <w:lang w:val="sr-Latn-ME"/>
        </w:rPr>
        <w:t>vremena</w:t>
      </w:r>
      <w:proofErr w:type="spellEnd"/>
      <w:r w:rsidRPr="002A6AB6">
        <w:rPr>
          <w:b/>
          <w:bCs/>
          <w:sz w:val="22"/>
          <w:szCs w:val="22"/>
          <w:lang w:val="sr-Latn-ME"/>
        </w:rPr>
        <w:t xml:space="preserve"> do početka potvrđene progresije </w:t>
      </w:r>
      <w:proofErr w:type="spellStart"/>
      <w:r w:rsidRPr="002A6AB6">
        <w:rPr>
          <w:b/>
          <w:bCs/>
          <w:sz w:val="22"/>
          <w:szCs w:val="22"/>
          <w:lang w:val="sr-Latn-ME"/>
        </w:rPr>
        <w:t>onesposobljenosti</w:t>
      </w:r>
      <w:proofErr w:type="spellEnd"/>
      <w:r w:rsidRPr="002A6AB6">
        <w:rPr>
          <w:b/>
          <w:bCs/>
          <w:sz w:val="22"/>
          <w:szCs w:val="22"/>
          <w:lang w:val="sr-Latn-ME"/>
        </w:rPr>
        <w:t xml:space="preserve"> koja traje neprekidno najmanje 12 nedjelja sa inicijalnim događajem neurološkog pogoršanja do koga dolazi nakon dvostruko slijepog perioda davanja terapije (objedinjena ITT populacija iz WA21092 i WA21093)*</w:t>
      </w:r>
    </w:p>
    <w:p w14:paraId="04EBD840" w14:textId="77777777" w:rsidR="00466B8B" w:rsidRPr="002A6AB6" w:rsidRDefault="00466B8B" w:rsidP="00587700">
      <w:pPr>
        <w:tabs>
          <w:tab w:val="left" w:pos="540"/>
          <w:tab w:val="left" w:pos="569"/>
        </w:tabs>
        <w:jc w:val="both"/>
        <w:rPr>
          <w:b/>
          <w:bCs/>
          <w:sz w:val="22"/>
          <w:szCs w:val="22"/>
          <w:lang w:val="sr-Latn-ME"/>
        </w:rPr>
      </w:pPr>
    </w:p>
    <w:p w14:paraId="66D3BF80" w14:textId="77777777" w:rsidR="00466B8B" w:rsidRPr="002A6AB6" w:rsidRDefault="00466B8B" w:rsidP="00587700">
      <w:pPr>
        <w:tabs>
          <w:tab w:val="left" w:pos="540"/>
          <w:tab w:val="left" w:pos="569"/>
        </w:tabs>
        <w:jc w:val="both"/>
        <w:rPr>
          <w:b/>
          <w:bCs/>
          <w:sz w:val="22"/>
          <w:szCs w:val="22"/>
          <w:lang w:val="sr-Latn-ME"/>
        </w:rPr>
      </w:pPr>
      <w:r w:rsidRPr="002A6AB6">
        <w:rPr>
          <w:sz w:val="22"/>
          <w:szCs w:val="22"/>
          <w:lang w:val="sr-Latn-ME"/>
        </w:rPr>
        <w:drawing>
          <wp:inline distT="0" distB="0" distL="0" distR="0" wp14:anchorId="75D88AB5" wp14:editId="0F4E470E">
            <wp:extent cx="5761355" cy="34128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1355" cy="3412867"/>
                    </a:xfrm>
                    <a:prstGeom prst="rect">
                      <a:avLst/>
                    </a:prstGeom>
                  </pic:spPr>
                </pic:pic>
              </a:graphicData>
            </a:graphic>
          </wp:inline>
        </w:drawing>
      </w:r>
    </w:p>
    <w:p w14:paraId="646690CD" w14:textId="77777777" w:rsidR="00466B8B" w:rsidRPr="002A6AB6" w:rsidRDefault="00466B8B" w:rsidP="00587700">
      <w:pPr>
        <w:keepNext/>
        <w:keepLines/>
        <w:ind w:left="245" w:hanging="216"/>
        <w:jc w:val="both"/>
        <w:rPr>
          <w:color w:val="222222"/>
          <w:sz w:val="22"/>
          <w:szCs w:val="22"/>
          <w:shd w:val="clear" w:color="auto" w:fill="FFFFFF"/>
          <w:lang w:val="sr-Latn-ME" w:eastAsia="ja-JP"/>
        </w:rPr>
      </w:pPr>
      <w:r w:rsidRPr="002A6AB6">
        <w:rPr>
          <w:sz w:val="22"/>
          <w:szCs w:val="22"/>
          <w:lang w:val="sr-Latn-ME" w:eastAsia="ja-JP"/>
        </w:rPr>
        <w:t>* Unaprijed definisana objedinjena analiza WA21092 i WA21093.</w:t>
      </w:r>
    </w:p>
    <w:p w14:paraId="4DCDF99D" w14:textId="77777777" w:rsidR="00466B8B" w:rsidRPr="002A6AB6" w:rsidRDefault="00466B8B" w:rsidP="00587700">
      <w:pPr>
        <w:tabs>
          <w:tab w:val="left" w:pos="567"/>
        </w:tabs>
        <w:jc w:val="both"/>
        <w:rPr>
          <w:sz w:val="22"/>
          <w:szCs w:val="22"/>
          <w:u w:val="single"/>
          <w:lang w:val="sr-Latn-ME"/>
        </w:rPr>
      </w:pPr>
    </w:p>
    <w:p w14:paraId="71EDE083" w14:textId="77777777" w:rsidR="00466B8B" w:rsidRPr="002A6AB6" w:rsidRDefault="00466B8B" w:rsidP="00587700">
      <w:pPr>
        <w:tabs>
          <w:tab w:val="left" w:pos="567"/>
        </w:tabs>
        <w:jc w:val="both"/>
        <w:rPr>
          <w:sz w:val="22"/>
          <w:szCs w:val="22"/>
          <w:lang w:val="sr-Latn-ME"/>
        </w:rPr>
      </w:pPr>
      <w:r w:rsidRPr="002A6AB6">
        <w:rPr>
          <w:sz w:val="22"/>
          <w:szCs w:val="22"/>
          <w:lang w:val="sr-Latn-ME"/>
        </w:rPr>
        <w:t xml:space="preserve">Rezultati unaprijed definisanih </w:t>
      </w:r>
      <w:proofErr w:type="spellStart"/>
      <w:r w:rsidRPr="002A6AB6">
        <w:rPr>
          <w:sz w:val="22"/>
          <w:szCs w:val="22"/>
          <w:lang w:val="sr-Latn-ME"/>
        </w:rPr>
        <w:t>objedinjenih</w:t>
      </w:r>
      <w:proofErr w:type="spellEnd"/>
      <w:r w:rsidRPr="002A6AB6">
        <w:rPr>
          <w:sz w:val="22"/>
          <w:szCs w:val="22"/>
          <w:lang w:val="sr-Latn-ME"/>
        </w:rPr>
        <w:t xml:space="preserve"> analiza </w:t>
      </w:r>
      <w:proofErr w:type="spellStart"/>
      <w:r w:rsidRPr="002A6AB6">
        <w:rPr>
          <w:sz w:val="22"/>
          <w:szCs w:val="22"/>
          <w:lang w:val="sr-Latn-ME"/>
        </w:rPr>
        <w:t>vremena</w:t>
      </w:r>
      <w:proofErr w:type="spellEnd"/>
      <w:r w:rsidRPr="002A6AB6">
        <w:rPr>
          <w:sz w:val="22"/>
          <w:szCs w:val="22"/>
          <w:lang w:val="sr-Latn-ME"/>
        </w:rPr>
        <w:t xml:space="preserve"> do CDP koja se održala najmanje 12 nedjelja (smanjenje rizika za </w:t>
      </w:r>
      <w:proofErr w:type="spellStart"/>
      <w:r w:rsidRPr="002A6AB6">
        <w:rPr>
          <w:sz w:val="22"/>
          <w:szCs w:val="22"/>
          <w:lang w:val="sr-Latn-ME"/>
        </w:rPr>
        <w:t>okrelizumab</w:t>
      </w:r>
      <w:proofErr w:type="spellEnd"/>
      <w:r w:rsidRPr="002A6AB6">
        <w:rPr>
          <w:sz w:val="22"/>
          <w:szCs w:val="22"/>
          <w:lang w:val="sr-Latn-ME"/>
        </w:rPr>
        <w:t xml:space="preserve"> od 40% u poređenju sa </w:t>
      </w:r>
      <w:proofErr w:type="spellStart"/>
      <w:r w:rsidRPr="002A6AB6">
        <w:rPr>
          <w:sz w:val="22"/>
          <w:szCs w:val="22"/>
          <w:lang w:val="sr-Latn-ME"/>
        </w:rPr>
        <w:t>interferonom</w:t>
      </w:r>
      <w:proofErr w:type="spellEnd"/>
      <w:r w:rsidRPr="002A6AB6">
        <w:rPr>
          <w:sz w:val="22"/>
          <w:szCs w:val="22"/>
          <w:lang w:val="sr-Latn-ME"/>
        </w:rPr>
        <w:t xml:space="preserve"> beta-1a (p=0,0006) bili su izrazito konzistentni sa rezultatima koji su se održali tokom najmanje 24 nedjelje (smanjenje rizika od 40% za </w:t>
      </w:r>
      <w:proofErr w:type="spellStart"/>
      <w:r w:rsidRPr="002A6AB6">
        <w:rPr>
          <w:sz w:val="22"/>
          <w:szCs w:val="22"/>
          <w:lang w:val="sr-Latn-ME"/>
        </w:rPr>
        <w:t>okrelizumab</w:t>
      </w:r>
      <w:proofErr w:type="spellEnd"/>
      <w:r w:rsidRPr="002A6AB6">
        <w:rPr>
          <w:sz w:val="22"/>
          <w:szCs w:val="22"/>
          <w:lang w:val="sr-Latn-ME"/>
        </w:rPr>
        <w:t xml:space="preserve"> u poređenju sa </w:t>
      </w:r>
      <w:proofErr w:type="spellStart"/>
      <w:r w:rsidRPr="002A6AB6">
        <w:rPr>
          <w:sz w:val="22"/>
          <w:szCs w:val="22"/>
          <w:lang w:val="sr-Latn-ME"/>
        </w:rPr>
        <w:t>interferonom</w:t>
      </w:r>
      <w:proofErr w:type="spellEnd"/>
      <w:r w:rsidRPr="002A6AB6">
        <w:rPr>
          <w:sz w:val="22"/>
          <w:szCs w:val="22"/>
          <w:lang w:val="sr-Latn-ME"/>
        </w:rPr>
        <w:t xml:space="preserve"> beta-1a, p=0,0025).   </w:t>
      </w:r>
    </w:p>
    <w:p w14:paraId="4DCAF1AF" w14:textId="77777777" w:rsidR="00466B8B" w:rsidRPr="002A6AB6" w:rsidRDefault="00466B8B" w:rsidP="00587700">
      <w:pPr>
        <w:tabs>
          <w:tab w:val="left" w:pos="567"/>
        </w:tabs>
        <w:jc w:val="both"/>
        <w:rPr>
          <w:iCs/>
          <w:sz w:val="22"/>
          <w:szCs w:val="22"/>
          <w:shd w:val="clear" w:color="auto" w:fill="FFFFFF"/>
          <w:lang w:val="sr-Latn-ME"/>
        </w:rPr>
      </w:pPr>
    </w:p>
    <w:p w14:paraId="7DA69638" w14:textId="77777777" w:rsidR="00466B8B" w:rsidRPr="002A6AB6" w:rsidRDefault="00466B8B" w:rsidP="00587700">
      <w:pPr>
        <w:tabs>
          <w:tab w:val="left" w:pos="567"/>
        </w:tabs>
        <w:jc w:val="both"/>
        <w:rPr>
          <w:sz w:val="22"/>
          <w:szCs w:val="22"/>
          <w:lang w:val="sr-Latn-ME"/>
        </w:rPr>
      </w:pPr>
      <w:r w:rsidRPr="002A6AB6">
        <w:rPr>
          <w:sz w:val="22"/>
          <w:szCs w:val="22"/>
          <w:lang w:val="sr-Latn-ME"/>
        </w:rPr>
        <w:t>U studije su uključivani pacijenti sa aktivnom bolešću. Time su obuhvaćeni pacijenti sa aktivnom bolešću, koji ranije nisu primali terapiju, i oni koji su prethodno liječeni, ali nisu adekvatno odgovorili na terapiju, prema kliničkim karakteristikama ili karakteristikama sa snimaka. Analiza</w:t>
      </w:r>
      <w:r w:rsidRPr="002A6AB6">
        <w:rPr>
          <w:sz w:val="22"/>
          <w:szCs w:val="22"/>
          <w:shd w:val="clear" w:color="auto" w:fill="FFFFFF"/>
          <w:lang w:val="sr-Latn-ME"/>
        </w:rPr>
        <w:t xml:space="preserve"> populacija pacijenata sa različitim početnim nivoima aktivnosti bolesti, uključujući aktivnu i veoma aktivnu bolest, pokazala je da je efikasnost </w:t>
      </w:r>
      <w:proofErr w:type="spellStart"/>
      <w:r w:rsidRPr="002A6AB6">
        <w:rPr>
          <w:sz w:val="22"/>
          <w:szCs w:val="22"/>
          <w:shd w:val="clear" w:color="auto" w:fill="FFFFFF"/>
          <w:lang w:val="sr-Latn-ME"/>
        </w:rPr>
        <w:t>okrelizumaba</w:t>
      </w:r>
      <w:proofErr w:type="spellEnd"/>
      <w:r w:rsidRPr="002A6AB6">
        <w:rPr>
          <w:sz w:val="22"/>
          <w:szCs w:val="22"/>
          <w:shd w:val="clear" w:color="auto" w:fill="FFFFFF"/>
          <w:lang w:val="sr-Latn-ME"/>
        </w:rPr>
        <w:t xml:space="preserve"> u pogledu ARR i CDP u 12.</w:t>
      </w:r>
      <w:r w:rsidRPr="002A6AB6">
        <w:rPr>
          <w:sz w:val="22"/>
          <w:szCs w:val="22"/>
          <w:lang w:val="sr-Latn-ME"/>
        </w:rPr>
        <w:t> </w:t>
      </w:r>
      <w:r w:rsidRPr="002A6AB6">
        <w:rPr>
          <w:sz w:val="22"/>
          <w:szCs w:val="22"/>
          <w:shd w:val="clear" w:color="auto" w:fill="FFFFFF"/>
          <w:lang w:val="sr-Latn-ME"/>
        </w:rPr>
        <w:t xml:space="preserve">nedjelji u skladu sa opštom populacijom.  </w:t>
      </w:r>
    </w:p>
    <w:p w14:paraId="7ADDE5C4" w14:textId="77777777" w:rsidR="00466B8B" w:rsidRPr="002A6AB6" w:rsidRDefault="00466B8B" w:rsidP="00587700">
      <w:pPr>
        <w:tabs>
          <w:tab w:val="left" w:pos="567"/>
        </w:tabs>
        <w:jc w:val="both"/>
        <w:rPr>
          <w:sz w:val="22"/>
          <w:szCs w:val="22"/>
          <w:lang w:val="sr-Latn-ME"/>
        </w:rPr>
      </w:pPr>
    </w:p>
    <w:p w14:paraId="2DC4811F" w14:textId="77777777" w:rsidR="00466B8B" w:rsidRPr="002A6AB6" w:rsidRDefault="00466B8B" w:rsidP="00587700">
      <w:pPr>
        <w:jc w:val="both"/>
        <w:rPr>
          <w:i/>
          <w:sz w:val="22"/>
          <w:szCs w:val="22"/>
          <w:lang w:val="sr-Latn-ME" w:eastAsia="ja-JP"/>
        </w:rPr>
      </w:pPr>
      <w:r w:rsidRPr="002A6AB6">
        <w:rPr>
          <w:i/>
          <w:iCs/>
          <w:sz w:val="22"/>
          <w:szCs w:val="22"/>
          <w:lang w:val="sr-Latn-ME" w:eastAsia="ja-JP"/>
        </w:rPr>
        <w:t xml:space="preserve">Primarno progresivna multipla skleroza (PPMS) </w:t>
      </w:r>
    </w:p>
    <w:p w14:paraId="494534B5" w14:textId="77777777" w:rsidR="00466B8B" w:rsidRPr="002A6AB6" w:rsidRDefault="00466B8B" w:rsidP="00587700">
      <w:pPr>
        <w:keepNext/>
        <w:tabs>
          <w:tab w:val="left" w:pos="567"/>
        </w:tabs>
        <w:jc w:val="both"/>
        <w:rPr>
          <w:sz w:val="22"/>
          <w:szCs w:val="22"/>
          <w:lang w:val="sr-Latn-ME"/>
        </w:rPr>
      </w:pPr>
      <w:r w:rsidRPr="002A6AB6">
        <w:rPr>
          <w:sz w:val="22"/>
          <w:szCs w:val="22"/>
          <w:lang w:val="sr-Latn-ME"/>
        </w:rPr>
        <w:t xml:space="preserve">Efikasnost i bezbjednost </w:t>
      </w:r>
      <w:proofErr w:type="spellStart"/>
      <w:r w:rsidRPr="002A6AB6">
        <w:rPr>
          <w:sz w:val="22"/>
          <w:szCs w:val="22"/>
          <w:lang w:val="sr-Latn-ME"/>
        </w:rPr>
        <w:t>okrelizumaba</w:t>
      </w:r>
      <w:proofErr w:type="spellEnd"/>
      <w:r w:rsidRPr="002A6AB6">
        <w:rPr>
          <w:sz w:val="22"/>
          <w:szCs w:val="22"/>
          <w:lang w:val="sr-Latn-ME"/>
        </w:rPr>
        <w:t xml:space="preserve"> bile su takođe procjenjivane u </w:t>
      </w:r>
      <w:proofErr w:type="spellStart"/>
      <w:r w:rsidRPr="002A6AB6">
        <w:rPr>
          <w:sz w:val="22"/>
          <w:szCs w:val="22"/>
          <w:lang w:val="sr-Latn-ME"/>
        </w:rPr>
        <w:t>randomizovanom</w:t>
      </w:r>
      <w:proofErr w:type="spellEnd"/>
      <w:r w:rsidRPr="002A6AB6">
        <w:rPr>
          <w:sz w:val="22"/>
          <w:szCs w:val="22"/>
          <w:lang w:val="sr-Latn-ME"/>
        </w:rPr>
        <w:t xml:space="preserve">, dvostruko slijepom, </w:t>
      </w:r>
      <w:proofErr w:type="spellStart"/>
      <w:r w:rsidRPr="002A6AB6">
        <w:rPr>
          <w:sz w:val="22"/>
          <w:szCs w:val="22"/>
          <w:lang w:val="sr-Latn-ME"/>
        </w:rPr>
        <w:t>placebom</w:t>
      </w:r>
      <w:proofErr w:type="spellEnd"/>
      <w:r w:rsidRPr="002A6AB6">
        <w:rPr>
          <w:sz w:val="22"/>
          <w:szCs w:val="22"/>
          <w:lang w:val="sr-Latn-ME"/>
        </w:rPr>
        <w:t xml:space="preserve"> kontrolisanom kliničkom ispitivanju pacijenata sa primarnom progresivnom MS (Studija WA25064) koji su bili u ranom toku bolesti prema glavnim kriterijumima za uključivanje, tj. starosti od 18 do 55 godina, uključujući i te dvije granične vrijednosti; EDSS na </w:t>
      </w:r>
      <w:proofErr w:type="spellStart"/>
      <w:r w:rsidRPr="002A6AB6">
        <w:rPr>
          <w:sz w:val="22"/>
          <w:szCs w:val="22"/>
          <w:lang w:val="sr-Latn-ME"/>
        </w:rPr>
        <w:t>skriningu</w:t>
      </w:r>
      <w:proofErr w:type="spellEnd"/>
      <w:r w:rsidRPr="002A6AB6">
        <w:rPr>
          <w:sz w:val="22"/>
          <w:szCs w:val="22"/>
          <w:lang w:val="sr-Latn-ME"/>
        </w:rPr>
        <w:t xml:space="preserve"> od 3,0 do 6,5 poena; trajanjem bolesti od početka simptoma MS manjim od 10 godina kod pacijenata sa EDSS pri </w:t>
      </w:r>
      <w:proofErr w:type="spellStart"/>
      <w:r w:rsidRPr="002A6AB6">
        <w:rPr>
          <w:sz w:val="22"/>
          <w:szCs w:val="22"/>
          <w:lang w:val="sr-Latn-ME"/>
        </w:rPr>
        <w:t>skriningu</w:t>
      </w:r>
      <w:proofErr w:type="spellEnd"/>
      <w:r w:rsidRPr="002A6AB6">
        <w:rPr>
          <w:sz w:val="22"/>
          <w:szCs w:val="22"/>
          <w:lang w:val="sr-Latn-ME"/>
        </w:rPr>
        <w:t xml:space="preserve"> ≤5,0 ili manjim od 15 godina kod pacijenata sa EDSS pri </w:t>
      </w:r>
      <w:proofErr w:type="spellStart"/>
      <w:r w:rsidRPr="002A6AB6">
        <w:rPr>
          <w:sz w:val="22"/>
          <w:szCs w:val="22"/>
          <w:lang w:val="sr-Latn-ME"/>
        </w:rPr>
        <w:t>skriningu</w:t>
      </w:r>
      <w:proofErr w:type="spellEnd"/>
      <w:r w:rsidRPr="002A6AB6">
        <w:rPr>
          <w:sz w:val="22"/>
          <w:szCs w:val="22"/>
          <w:lang w:val="sr-Latn-ME"/>
        </w:rPr>
        <w:t xml:space="preserve"> &gt;5,0. Što se tiče aktivnosti bolesti, karakteristike uobičajene za </w:t>
      </w:r>
      <w:proofErr w:type="spellStart"/>
      <w:r w:rsidRPr="002A6AB6">
        <w:rPr>
          <w:sz w:val="22"/>
          <w:szCs w:val="22"/>
          <w:lang w:val="sr-Latn-ME"/>
        </w:rPr>
        <w:t>inflamatornu</w:t>
      </w:r>
      <w:proofErr w:type="spellEnd"/>
      <w:r w:rsidRPr="002A6AB6">
        <w:rPr>
          <w:sz w:val="22"/>
          <w:szCs w:val="22"/>
          <w:lang w:val="sr-Latn-ME"/>
        </w:rPr>
        <w:t xml:space="preserve"> aktivnost, čak i kod progresivne MS, mogu biti </w:t>
      </w:r>
      <w:r w:rsidRPr="002A6AB6">
        <w:rPr>
          <w:sz w:val="22"/>
          <w:szCs w:val="22"/>
          <w:lang w:val="sr-Latn-ME"/>
        </w:rPr>
        <w:lastRenderedPageBreak/>
        <w:t xml:space="preserve">povezane sa postupcima snimanja (tj. T1 </w:t>
      </w:r>
      <w:proofErr w:type="spellStart"/>
      <w:r w:rsidRPr="002A6AB6">
        <w:rPr>
          <w:sz w:val="22"/>
          <w:szCs w:val="22"/>
          <w:lang w:val="sr-Latn-ME"/>
        </w:rPr>
        <w:t>Gd-prebojavajuće</w:t>
      </w:r>
      <w:proofErr w:type="spellEnd"/>
      <w:r w:rsidRPr="002A6AB6">
        <w:rPr>
          <w:sz w:val="22"/>
          <w:szCs w:val="22"/>
          <w:lang w:val="sr-Latn-ME"/>
        </w:rPr>
        <w:t xml:space="preserve"> </w:t>
      </w:r>
      <w:proofErr w:type="spellStart"/>
      <w:r w:rsidRPr="002A6AB6">
        <w:rPr>
          <w:sz w:val="22"/>
          <w:szCs w:val="22"/>
          <w:lang w:val="sr-Latn-ME"/>
        </w:rPr>
        <w:t>lezije</w:t>
      </w:r>
      <w:proofErr w:type="spellEnd"/>
      <w:r w:rsidRPr="002A6AB6">
        <w:rPr>
          <w:sz w:val="22"/>
          <w:szCs w:val="22"/>
          <w:lang w:val="sr-Latn-ME"/>
        </w:rPr>
        <w:t xml:space="preserve"> i/ili aktivne [nove ili povećane] T2 </w:t>
      </w:r>
      <w:proofErr w:type="spellStart"/>
      <w:r w:rsidRPr="002A6AB6">
        <w:rPr>
          <w:sz w:val="22"/>
          <w:szCs w:val="22"/>
          <w:lang w:val="sr-Latn-ME"/>
        </w:rPr>
        <w:t>lezije</w:t>
      </w:r>
      <w:proofErr w:type="spellEnd"/>
      <w:r w:rsidRPr="002A6AB6">
        <w:rPr>
          <w:sz w:val="22"/>
          <w:szCs w:val="22"/>
          <w:lang w:val="sr-Latn-ME"/>
        </w:rPr>
        <w:t xml:space="preserve">). Dokaze sa magnetne rezonance treba iskoristiti za potvrđivanje </w:t>
      </w:r>
      <w:proofErr w:type="spellStart"/>
      <w:r w:rsidRPr="002A6AB6">
        <w:rPr>
          <w:sz w:val="22"/>
          <w:szCs w:val="22"/>
          <w:lang w:val="sr-Latn-ME"/>
        </w:rPr>
        <w:t>inflamatorne</w:t>
      </w:r>
      <w:proofErr w:type="spellEnd"/>
      <w:r w:rsidRPr="002A6AB6">
        <w:rPr>
          <w:sz w:val="22"/>
          <w:szCs w:val="22"/>
          <w:lang w:val="sr-Latn-ME"/>
        </w:rPr>
        <w:t xml:space="preserve"> aktivnosti kod svih pacijenata.  Pacijenti stariji od 55 godina nisu bili proučavani. Dizajn studije i početne karakteristike studijske populacije navedeni su u tabeli 4.</w:t>
      </w:r>
    </w:p>
    <w:p w14:paraId="7F03CE27" w14:textId="77777777" w:rsidR="00466B8B" w:rsidRPr="002A6AB6" w:rsidRDefault="00466B8B" w:rsidP="00587700">
      <w:pPr>
        <w:tabs>
          <w:tab w:val="left" w:pos="567"/>
        </w:tabs>
        <w:jc w:val="both"/>
        <w:rPr>
          <w:sz w:val="22"/>
          <w:szCs w:val="22"/>
          <w:lang w:val="sr-Latn-ME"/>
        </w:rPr>
      </w:pPr>
    </w:p>
    <w:p w14:paraId="5008BC88" w14:textId="77777777" w:rsidR="00466B8B" w:rsidRPr="002A6AB6" w:rsidRDefault="00466B8B" w:rsidP="00587700">
      <w:pPr>
        <w:tabs>
          <w:tab w:val="left" w:pos="567"/>
        </w:tabs>
        <w:jc w:val="both"/>
        <w:rPr>
          <w:strike/>
          <w:sz w:val="22"/>
          <w:szCs w:val="22"/>
          <w:lang w:val="sr-Latn-ME"/>
        </w:rPr>
      </w:pPr>
      <w:r w:rsidRPr="002A6AB6">
        <w:rPr>
          <w:sz w:val="22"/>
          <w:szCs w:val="22"/>
          <w:lang w:val="sr-Latn-ME"/>
        </w:rPr>
        <w:t xml:space="preserve">Demografske i početne karakteristike bile su ujednačene u obje terapijske grupe. Na snimku magnetne rezonance glavne karakteristike koje su ukazivale na </w:t>
      </w:r>
      <w:proofErr w:type="spellStart"/>
      <w:r w:rsidRPr="002A6AB6">
        <w:rPr>
          <w:sz w:val="22"/>
          <w:szCs w:val="22"/>
          <w:lang w:val="sr-Latn-ME"/>
        </w:rPr>
        <w:t>inflamatornu</w:t>
      </w:r>
      <w:proofErr w:type="spellEnd"/>
      <w:r w:rsidRPr="002A6AB6">
        <w:rPr>
          <w:sz w:val="22"/>
          <w:szCs w:val="22"/>
          <w:lang w:val="sr-Latn-ME"/>
        </w:rPr>
        <w:t xml:space="preserve"> aktivnost bile su ili prisustvo T1 </w:t>
      </w:r>
      <w:proofErr w:type="spellStart"/>
      <w:r w:rsidRPr="002A6AB6">
        <w:rPr>
          <w:sz w:val="22"/>
          <w:szCs w:val="22"/>
          <w:lang w:val="sr-Latn-ME"/>
        </w:rPr>
        <w:t>Gd</w:t>
      </w:r>
      <w:proofErr w:type="spellEnd"/>
      <w:r w:rsidRPr="002A6AB6">
        <w:rPr>
          <w:sz w:val="22"/>
          <w:szCs w:val="22"/>
          <w:lang w:val="sr-Latn-ME"/>
        </w:rPr>
        <w:t xml:space="preserve"> </w:t>
      </w:r>
      <w:proofErr w:type="spellStart"/>
      <w:r w:rsidRPr="002A6AB6">
        <w:rPr>
          <w:sz w:val="22"/>
          <w:szCs w:val="22"/>
          <w:lang w:val="sr-Latn-ME"/>
        </w:rPr>
        <w:t>prebojavajućih</w:t>
      </w:r>
      <w:proofErr w:type="spellEnd"/>
      <w:r w:rsidRPr="002A6AB6">
        <w:rPr>
          <w:sz w:val="22"/>
          <w:szCs w:val="22"/>
          <w:lang w:val="sr-Latn-ME"/>
        </w:rPr>
        <w:t xml:space="preserve"> ili T2 </w:t>
      </w:r>
      <w:proofErr w:type="spellStart"/>
      <w:r w:rsidRPr="002A6AB6">
        <w:rPr>
          <w:sz w:val="22"/>
          <w:szCs w:val="22"/>
          <w:lang w:val="sr-Latn-ME"/>
        </w:rPr>
        <w:t>lezija</w:t>
      </w:r>
      <w:proofErr w:type="spellEnd"/>
      <w:r w:rsidRPr="002A6AB6">
        <w:rPr>
          <w:sz w:val="22"/>
          <w:szCs w:val="22"/>
          <w:lang w:val="sr-Latn-ME"/>
        </w:rPr>
        <w:t xml:space="preserve">. </w:t>
      </w:r>
    </w:p>
    <w:p w14:paraId="7A358BBD" w14:textId="77777777" w:rsidR="00466B8B" w:rsidRPr="002A6AB6" w:rsidRDefault="00466B8B" w:rsidP="00587700">
      <w:pPr>
        <w:tabs>
          <w:tab w:val="left" w:pos="567"/>
        </w:tabs>
        <w:jc w:val="both"/>
        <w:rPr>
          <w:sz w:val="22"/>
          <w:szCs w:val="22"/>
          <w:lang w:val="sr-Latn-ME"/>
        </w:rPr>
      </w:pPr>
    </w:p>
    <w:p w14:paraId="733EC5CC" w14:textId="27139048" w:rsidR="00466B8B" w:rsidRPr="002A6AB6" w:rsidRDefault="00466B8B" w:rsidP="00587700">
      <w:pPr>
        <w:tabs>
          <w:tab w:val="left" w:pos="567"/>
        </w:tabs>
        <w:jc w:val="both"/>
        <w:rPr>
          <w:rFonts w:eastAsia="SimSun"/>
          <w:sz w:val="22"/>
          <w:szCs w:val="22"/>
          <w:lang w:val="sr-Latn-ME"/>
        </w:rPr>
      </w:pPr>
      <w:r w:rsidRPr="002A6AB6">
        <w:rPr>
          <w:sz w:val="22"/>
          <w:szCs w:val="22"/>
          <w:lang w:val="sr-Latn-ME"/>
        </w:rPr>
        <w:t xml:space="preserve">Tokom studije faze III za PPMS, pacijenti su primali 600 mg </w:t>
      </w:r>
      <w:proofErr w:type="spellStart"/>
      <w:r w:rsidRPr="002A6AB6">
        <w:rPr>
          <w:sz w:val="22"/>
          <w:szCs w:val="22"/>
          <w:lang w:val="sr-Latn-ME"/>
        </w:rPr>
        <w:t>okrelizumaba</w:t>
      </w:r>
      <w:proofErr w:type="spellEnd"/>
      <w:r w:rsidRPr="002A6AB6">
        <w:rPr>
          <w:sz w:val="22"/>
          <w:szCs w:val="22"/>
          <w:lang w:val="sr-Latn-ME"/>
        </w:rPr>
        <w:t xml:space="preserve"> svakih 6 mjeseci u vidu dvije infuzije od 300 mg, date u razmaku od dvije nedjelje, tokom čitavog perioda liječenja. Infuzije od 600 mg za RMS i infuzije od 2 x 300 mg za PPMS pokazale su konzistentne </w:t>
      </w:r>
      <w:proofErr w:type="spellStart"/>
      <w:r w:rsidRPr="002A6AB6">
        <w:rPr>
          <w:sz w:val="22"/>
          <w:szCs w:val="22"/>
          <w:lang w:val="sr-Latn-ME"/>
        </w:rPr>
        <w:t>farmakokinetičke</w:t>
      </w:r>
      <w:proofErr w:type="spellEnd"/>
      <w:r w:rsidRPr="002A6AB6">
        <w:rPr>
          <w:sz w:val="22"/>
          <w:szCs w:val="22"/>
          <w:lang w:val="sr-Latn-ME"/>
        </w:rPr>
        <w:t>/</w:t>
      </w:r>
      <w:proofErr w:type="spellStart"/>
      <w:r w:rsidRPr="002A6AB6">
        <w:rPr>
          <w:sz w:val="22"/>
          <w:szCs w:val="22"/>
          <w:lang w:val="sr-Latn-ME"/>
        </w:rPr>
        <w:t>farmakodinamske</w:t>
      </w:r>
      <w:proofErr w:type="spellEnd"/>
      <w:r w:rsidRPr="002A6AB6">
        <w:rPr>
          <w:sz w:val="22"/>
          <w:szCs w:val="22"/>
          <w:lang w:val="sr-Latn-ME"/>
        </w:rPr>
        <w:t xml:space="preserve"> profile. Profili reakcija povezanih sa infuzijom po infuziji takođe su bili slični, nezavisno od toga da li je doza od 600 mg davana kao jedna infuzija od 600 mg ili kao dvije infuzije od po 300 mg u razmaku od dvije nedjelje (vidjeti </w:t>
      </w:r>
      <w:r w:rsidR="0002688D" w:rsidRPr="002A6AB6">
        <w:rPr>
          <w:sz w:val="22"/>
          <w:szCs w:val="22"/>
          <w:lang w:val="sr-Latn-ME"/>
        </w:rPr>
        <w:t>djelove</w:t>
      </w:r>
      <w:r w:rsidRPr="002A6AB6">
        <w:rPr>
          <w:sz w:val="22"/>
          <w:szCs w:val="22"/>
          <w:lang w:val="sr-Latn-ME"/>
        </w:rPr>
        <w:t xml:space="preserve">4.8 i 5.2), ali zbog više primijenjenih infuzija u režimu 2 x 300 mg, ukupan broj reakcija povezanih sa infuzijom bio je veći. Zato se nakon 1. doze preporučuje davanje </w:t>
      </w:r>
      <w:proofErr w:type="spellStart"/>
      <w:r w:rsidRPr="002A6AB6">
        <w:rPr>
          <w:sz w:val="22"/>
          <w:szCs w:val="22"/>
          <w:lang w:val="sr-Latn-ME"/>
        </w:rPr>
        <w:t>okrelizumaba</w:t>
      </w:r>
      <w:proofErr w:type="spellEnd"/>
      <w:r w:rsidRPr="002A6AB6">
        <w:rPr>
          <w:sz w:val="22"/>
          <w:szCs w:val="22"/>
          <w:lang w:val="sr-Latn-ME"/>
        </w:rPr>
        <w:t xml:space="preserve"> u jednoj infuziji od 600 mg (vidjeti </w:t>
      </w:r>
      <w:r w:rsidR="00ED0D01" w:rsidRPr="002A6AB6">
        <w:rPr>
          <w:sz w:val="22"/>
          <w:szCs w:val="22"/>
          <w:lang w:val="sr-Latn-ME"/>
        </w:rPr>
        <w:t xml:space="preserve">dio </w:t>
      </w:r>
      <w:r w:rsidRPr="002A6AB6">
        <w:rPr>
          <w:sz w:val="22"/>
          <w:szCs w:val="22"/>
          <w:lang w:val="sr-Latn-ME"/>
        </w:rPr>
        <w:t xml:space="preserve">4.2) kako bi se smanjio ukupan broj infuzija (uz istovremeno izlaganje </w:t>
      </w:r>
      <w:proofErr w:type="spellStart"/>
      <w:r w:rsidRPr="002A6AB6">
        <w:rPr>
          <w:sz w:val="22"/>
          <w:szCs w:val="22"/>
          <w:lang w:val="sr-Latn-ME"/>
        </w:rPr>
        <w:t>profilaktičkom</w:t>
      </w:r>
      <w:proofErr w:type="spellEnd"/>
      <w:r w:rsidRPr="002A6AB6">
        <w:rPr>
          <w:sz w:val="22"/>
          <w:szCs w:val="22"/>
          <w:lang w:val="sr-Latn-ME"/>
        </w:rPr>
        <w:t xml:space="preserve"> </w:t>
      </w:r>
      <w:proofErr w:type="spellStart"/>
      <w:r w:rsidRPr="002A6AB6">
        <w:rPr>
          <w:sz w:val="22"/>
          <w:szCs w:val="22"/>
          <w:lang w:val="sr-Latn-ME"/>
        </w:rPr>
        <w:t>metilprednizolonu</w:t>
      </w:r>
      <w:proofErr w:type="spellEnd"/>
      <w:r w:rsidRPr="002A6AB6">
        <w:rPr>
          <w:sz w:val="22"/>
          <w:szCs w:val="22"/>
          <w:lang w:val="sr-Latn-ME"/>
        </w:rPr>
        <w:t xml:space="preserve"> i jednom antihistaminiku) i pratećih reakcija povezanih sa infuzijom.</w:t>
      </w:r>
    </w:p>
    <w:p w14:paraId="4A3711EE" w14:textId="77777777" w:rsidR="00466B8B" w:rsidRPr="002A6AB6" w:rsidRDefault="00466B8B" w:rsidP="00587700">
      <w:pPr>
        <w:tabs>
          <w:tab w:val="left" w:pos="567"/>
        </w:tabs>
        <w:jc w:val="both"/>
        <w:rPr>
          <w:rFonts w:eastAsia="SimSun"/>
          <w:sz w:val="22"/>
          <w:szCs w:val="22"/>
          <w:lang w:val="sr-Latn-ME"/>
        </w:rPr>
      </w:pPr>
    </w:p>
    <w:p w14:paraId="3DB7A3D0" w14:textId="77777777" w:rsidR="00466B8B" w:rsidRPr="002A6AB6" w:rsidRDefault="00466B8B" w:rsidP="00587700">
      <w:pPr>
        <w:keepNext/>
        <w:keepLines/>
        <w:tabs>
          <w:tab w:val="left" w:pos="1152"/>
        </w:tabs>
        <w:ind w:left="1151" w:hanging="1151"/>
        <w:jc w:val="both"/>
        <w:rPr>
          <w:b/>
          <w:sz w:val="22"/>
          <w:szCs w:val="22"/>
          <w:lang w:val="sr-Latn-ME" w:eastAsia="ja-JP"/>
        </w:rPr>
      </w:pPr>
      <w:r w:rsidRPr="002A6AB6">
        <w:rPr>
          <w:b/>
          <w:bCs/>
          <w:sz w:val="22"/>
          <w:szCs w:val="22"/>
          <w:lang w:val="sr-Latn-ME" w:eastAsia="ja-JP"/>
        </w:rPr>
        <w:t>Tabela 4</w:t>
      </w:r>
      <w:r w:rsidRPr="002A6AB6">
        <w:rPr>
          <w:b/>
          <w:bCs/>
          <w:sz w:val="22"/>
          <w:szCs w:val="22"/>
          <w:lang w:val="sr-Latn-ME" w:eastAsia="ja-JP"/>
        </w:rPr>
        <w:tab/>
        <w:t>Dizajn studije, demografske i početne karakteristike za studiju WA25046</w:t>
      </w:r>
    </w:p>
    <w:p w14:paraId="49143FEC" w14:textId="77777777" w:rsidR="00466B8B" w:rsidRPr="002A6AB6" w:rsidRDefault="00466B8B" w:rsidP="00587700">
      <w:pPr>
        <w:tabs>
          <w:tab w:val="left" w:pos="540"/>
          <w:tab w:val="left" w:pos="569"/>
        </w:tabs>
        <w:jc w:val="both"/>
        <w:rPr>
          <w:b/>
          <w:bCs/>
          <w:sz w:val="22"/>
          <w:szCs w:val="22"/>
          <w:lang w:val="sr-Latn-ME"/>
        </w:rPr>
      </w:pPr>
    </w:p>
    <w:tbl>
      <w:tblPr>
        <w:tblW w:w="8668" w:type="dxa"/>
        <w:tblInd w:w="57" w:type="dxa"/>
        <w:tblLayout w:type="fixed"/>
        <w:tblCellMar>
          <w:left w:w="57" w:type="dxa"/>
          <w:right w:w="57" w:type="dxa"/>
        </w:tblCellMar>
        <w:tblLook w:val="0000" w:firstRow="0" w:lastRow="0" w:firstColumn="0" w:lastColumn="0" w:noHBand="0" w:noVBand="0"/>
      </w:tblPr>
      <w:tblGrid>
        <w:gridCol w:w="3178"/>
        <w:gridCol w:w="2918"/>
        <w:gridCol w:w="2572"/>
      </w:tblGrid>
      <w:tr w:rsidR="00466B8B" w:rsidRPr="002A6AB6" w14:paraId="0E0E9A35" w14:textId="77777777" w:rsidTr="00466B8B">
        <w:trPr>
          <w:cantSplit/>
        </w:trPr>
        <w:tc>
          <w:tcPr>
            <w:tcW w:w="3178" w:type="dxa"/>
            <w:tcBorders>
              <w:top w:val="single" w:sz="4" w:space="0" w:color="auto"/>
              <w:left w:val="single" w:sz="4" w:space="0" w:color="auto"/>
              <w:bottom w:val="single" w:sz="4" w:space="0" w:color="auto"/>
              <w:right w:val="single" w:sz="4" w:space="0" w:color="auto"/>
            </w:tcBorders>
            <w:shd w:val="clear" w:color="auto" w:fill="auto"/>
          </w:tcPr>
          <w:p w14:paraId="28E52703" w14:textId="77777777" w:rsidR="00466B8B" w:rsidRPr="002A6AB6" w:rsidRDefault="00466B8B" w:rsidP="00587700">
            <w:pPr>
              <w:tabs>
                <w:tab w:val="left" w:pos="567"/>
              </w:tabs>
              <w:jc w:val="both"/>
              <w:rPr>
                <w:b/>
                <w:bCs/>
                <w:sz w:val="22"/>
                <w:szCs w:val="22"/>
                <w:lang w:val="sr-Latn-ME"/>
              </w:rPr>
            </w:pPr>
            <w:r w:rsidRPr="002A6AB6">
              <w:rPr>
                <w:b/>
                <w:bCs/>
                <w:sz w:val="22"/>
                <w:szCs w:val="22"/>
                <w:lang w:val="sr-Latn-ME"/>
              </w:rPr>
              <w:t>Naziv studije</w:t>
            </w:r>
          </w:p>
        </w:tc>
        <w:tc>
          <w:tcPr>
            <w:tcW w:w="5490" w:type="dxa"/>
            <w:gridSpan w:val="2"/>
            <w:tcBorders>
              <w:top w:val="single" w:sz="4" w:space="0" w:color="auto"/>
              <w:left w:val="single" w:sz="4" w:space="0" w:color="auto"/>
              <w:bottom w:val="single" w:sz="4" w:space="0" w:color="auto"/>
              <w:right w:val="single" w:sz="4" w:space="0" w:color="auto"/>
            </w:tcBorders>
            <w:shd w:val="clear" w:color="auto" w:fill="auto"/>
          </w:tcPr>
          <w:p w14:paraId="7A16759A" w14:textId="77777777" w:rsidR="00466B8B" w:rsidRPr="002A6AB6" w:rsidRDefault="00466B8B" w:rsidP="00122792">
            <w:pPr>
              <w:tabs>
                <w:tab w:val="left" w:pos="567"/>
              </w:tabs>
              <w:jc w:val="center"/>
              <w:rPr>
                <w:b/>
                <w:bCs/>
                <w:sz w:val="22"/>
                <w:szCs w:val="22"/>
                <w:lang w:val="sr-Latn-ME"/>
              </w:rPr>
            </w:pPr>
            <w:r w:rsidRPr="002A6AB6">
              <w:rPr>
                <w:b/>
                <w:bCs/>
                <w:sz w:val="22"/>
                <w:szCs w:val="22"/>
                <w:lang w:val="sr-Latn-ME"/>
              </w:rPr>
              <w:t>Studija WA25046 ORATORIO (n=732)</w:t>
            </w:r>
          </w:p>
          <w:p w14:paraId="4AAA9B24" w14:textId="77777777" w:rsidR="00466B8B" w:rsidRPr="002A6AB6" w:rsidRDefault="00466B8B" w:rsidP="00122792">
            <w:pPr>
              <w:tabs>
                <w:tab w:val="left" w:pos="567"/>
              </w:tabs>
              <w:jc w:val="center"/>
              <w:rPr>
                <w:b/>
                <w:bCs/>
                <w:sz w:val="22"/>
                <w:szCs w:val="22"/>
                <w:lang w:val="sr-Latn-ME"/>
              </w:rPr>
            </w:pPr>
          </w:p>
        </w:tc>
      </w:tr>
      <w:tr w:rsidR="00466B8B" w:rsidRPr="002A6AB6" w14:paraId="3C794F74" w14:textId="77777777" w:rsidTr="00466B8B">
        <w:trPr>
          <w:cantSplit/>
        </w:trPr>
        <w:tc>
          <w:tcPr>
            <w:tcW w:w="8668" w:type="dxa"/>
            <w:gridSpan w:val="3"/>
            <w:tcBorders>
              <w:top w:val="single" w:sz="4" w:space="0" w:color="auto"/>
              <w:left w:val="single" w:sz="4" w:space="0" w:color="auto"/>
              <w:bottom w:val="single" w:sz="4" w:space="0" w:color="auto"/>
              <w:right w:val="single" w:sz="4" w:space="0" w:color="auto"/>
            </w:tcBorders>
            <w:shd w:val="clear" w:color="auto" w:fill="auto"/>
          </w:tcPr>
          <w:p w14:paraId="613EACD5" w14:textId="77777777" w:rsidR="00466B8B" w:rsidRPr="002A6AB6" w:rsidRDefault="00466B8B" w:rsidP="00587700">
            <w:pPr>
              <w:tabs>
                <w:tab w:val="left" w:pos="567"/>
              </w:tabs>
              <w:jc w:val="both"/>
              <w:rPr>
                <w:b/>
                <w:bCs/>
                <w:sz w:val="22"/>
                <w:szCs w:val="22"/>
                <w:lang w:val="sr-Latn-ME"/>
              </w:rPr>
            </w:pPr>
            <w:r w:rsidRPr="002A6AB6">
              <w:rPr>
                <w:b/>
                <w:bCs/>
                <w:sz w:val="22"/>
                <w:szCs w:val="22"/>
                <w:lang w:val="sr-Latn-ME"/>
              </w:rPr>
              <w:t>Dizajn studije</w:t>
            </w:r>
          </w:p>
        </w:tc>
      </w:tr>
      <w:tr w:rsidR="00466B8B" w:rsidRPr="002A6AB6" w14:paraId="36EFEDAD" w14:textId="77777777" w:rsidTr="00466B8B">
        <w:trPr>
          <w:cantSplit/>
        </w:trPr>
        <w:tc>
          <w:tcPr>
            <w:tcW w:w="3178" w:type="dxa"/>
            <w:tcBorders>
              <w:top w:val="single" w:sz="4" w:space="0" w:color="auto"/>
              <w:left w:val="single" w:sz="4" w:space="0" w:color="auto"/>
              <w:bottom w:val="single" w:sz="4" w:space="0" w:color="auto"/>
              <w:right w:val="single" w:sz="4" w:space="0" w:color="auto"/>
            </w:tcBorders>
            <w:shd w:val="clear" w:color="auto" w:fill="auto"/>
          </w:tcPr>
          <w:p w14:paraId="14E9FA72" w14:textId="77777777" w:rsidR="00466B8B" w:rsidRPr="002A6AB6" w:rsidRDefault="00466B8B" w:rsidP="00587700">
            <w:pPr>
              <w:tabs>
                <w:tab w:val="left" w:pos="567"/>
              </w:tabs>
              <w:jc w:val="both"/>
              <w:rPr>
                <w:sz w:val="22"/>
                <w:szCs w:val="22"/>
                <w:lang w:val="sr-Latn-ME"/>
              </w:rPr>
            </w:pPr>
            <w:r w:rsidRPr="002A6AB6">
              <w:rPr>
                <w:sz w:val="22"/>
                <w:szCs w:val="22"/>
                <w:lang w:val="sr-Latn-ME"/>
              </w:rPr>
              <w:t>Studijska populacija</w:t>
            </w:r>
          </w:p>
        </w:tc>
        <w:tc>
          <w:tcPr>
            <w:tcW w:w="5490" w:type="dxa"/>
            <w:gridSpan w:val="2"/>
            <w:tcBorders>
              <w:top w:val="single" w:sz="4" w:space="0" w:color="auto"/>
              <w:left w:val="single" w:sz="4" w:space="0" w:color="auto"/>
              <w:bottom w:val="single" w:sz="4" w:space="0" w:color="auto"/>
              <w:right w:val="single" w:sz="4" w:space="0" w:color="auto"/>
            </w:tcBorders>
            <w:shd w:val="clear" w:color="auto" w:fill="auto"/>
          </w:tcPr>
          <w:p w14:paraId="6F39B111" w14:textId="77777777" w:rsidR="00466B8B" w:rsidRPr="002A6AB6" w:rsidRDefault="00466B8B" w:rsidP="00122792">
            <w:pPr>
              <w:tabs>
                <w:tab w:val="left" w:pos="567"/>
              </w:tabs>
              <w:jc w:val="center"/>
              <w:rPr>
                <w:sz w:val="22"/>
                <w:szCs w:val="22"/>
                <w:lang w:val="sr-Latn-ME"/>
              </w:rPr>
            </w:pPr>
            <w:r w:rsidRPr="002A6AB6">
              <w:rPr>
                <w:sz w:val="22"/>
                <w:szCs w:val="22"/>
                <w:lang w:val="sr-Latn-ME"/>
              </w:rPr>
              <w:t>Pacijenti sa primarno progresivnim oblikom MS</w:t>
            </w:r>
          </w:p>
          <w:p w14:paraId="134AC839" w14:textId="77777777" w:rsidR="00466B8B" w:rsidRPr="002A6AB6" w:rsidRDefault="00466B8B" w:rsidP="00122792">
            <w:pPr>
              <w:tabs>
                <w:tab w:val="left" w:pos="567"/>
              </w:tabs>
              <w:jc w:val="center"/>
              <w:rPr>
                <w:sz w:val="22"/>
                <w:szCs w:val="22"/>
                <w:lang w:val="sr-Latn-ME"/>
              </w:rPr>
            </w:pPr>
          </w:p>
        </w:tc>
      </w:tr>
      <w:tr w:rsidR="00466B8B" w:rsidRPr="002A6AB6" w14:paraId="5C0044F8" w14:textId="77777777" w:rsidTr="00466B8B">
        <w:trPr>
          <w:cantSplit/>
        </w:trPr>
        <w:tc>
          <w:tcPr>
            <w:tcW w:w="3178" w:type="dxa"/>
            <w:tcBorders>
              <w:top w:val="single" w:sz="4" w:space="0" w:color="auto"/>
              <w:left w:val="single" w:sz="4" w:space="0" w:color="auto"/>
              <w:bottom w:val="single" w:sz="4" w:space="0" w:color="auto"/>
              <w:right w:val="single" w:sz="4" w:space="0" w:color="auto"/>
            </w:tcBorders>
            <w:shd w:val="clear" w:color="auto" w:fill="auto"/>
          </w:tcPr>
          <w:p w14:paraId="2D7DDDD1" w14:textId="77777777" w:rsidR="00466B8B" w:rsidRPr="002A6AB6" w:rsidRDefault="00466B8B" w:rsidP="00587700">
            <w:pPr>
              <w:tabs>
                <w:tab w:val="left" w:pos="567"/>
              </w:tabs>
              <w:jc w:val="both"/>
              <w:rPr>
                <w:sz w:val="22"/>
                <w:szCs w:val="22"/>
                <w:lang w:val="sr-Latn-ME"/>
              </w:rPr>
            </w:pPr>
            <w:r w:rsidRPr="002A6AB6">
              <w:rPr>
                <w:sz w:val="22"/>
                <w:szCs w:val="22"/>
                <w:lang w:val="sr-Latn-ME"/>
              </w:rPr>
              <w:t>Trajanje studije</w:t>
            </w:r>
          </w:p>
        </w:tc>
        <w:tc>
          <w:tcPr>
            <w:tcW w:w="5490" w:type="dxa"/>
            <w:gridSpan w:val="2"/>
            <w:tcBorders>
              <w:top w:val="single" w:sz="4" w:space="0" w:color="auto"/>
              <w:left w:val="single" w:sz="4" w:space="0" w:color="auto"/>
              <w:bottom w:val="single" w:sz="4" w:space="0" w:color="auto"/>
              <w:right w:val="single" w:sz="4" w:space="0" w:color="auto"/>
            </w:tcBorders>
            <w:shd w:val="clear" w:color="auto" w:fill="auto"/>
          </w:tcPr>
          <w:p w14:paraId="50B357D7" w14:textId="77777777" w:rsidR="00466B8B" w:rsidRPr="002A6AB6" w:rsidRDefault="00466B8B" w:rsidP="00122792">
            <w:pPr>
              <w:tabs>
                <w:tab w:val="left" w:pos="567"/>
              </w:tabs>
              <w:jc w:val="center"/>
              <w:rPr>
                <w:sz w:val="22"/>
                <w:szCs w:val="22"/>
                <w:lang w:val="sr-Latn-ME"/>
              </w:rPr>
            </w:pPr>
            <w:r w:rsidRPr="002A6AB6">
              <w:rPr>
                <w:sz w:val="22"/>
                <w:szCs w:val="22"/>
                <w:lang w:val="sr-Latn-ME"/>
              </w:rPr>
              <w:t>Na osnovu događaja (</w:t>
            </w:r>
            <w:r w:rsidRPr="002A6AB6">
              <w:rPr>
                <w:i/>
                <w:iCs/>
                <w:sz w:val="22"/>
                <w:szCs w:val="22"/>
                <w:lang w:val="sr-Latn-ME"/>
              </w:rPr>
              <w:t xml:space="preserve">najmanje 120 nedjelja i 253 potvrđena događaja progresije </w:t>
            </w:r>
            <w:proofErr w:type="spellStart"/>
            <w:r w:rsidRPr="002A6AB6">
              <w:rPr>
                <w:i/>
                <w:iCs/>
                <w:sz w:val="22"/>
                <w:szCs w:val="22"/>
                <w:lang w:val="sr-Latn-ME"/>
              </w:rPr>
              <w:t>onesposobljenosti</w:t>
            </w:r>
            <w:proofErr w:type="spellEnd"/>
            <w:r w:rsidRPr="002A6AB6">
              <w:rPr>
                <w:sz w:val="22"/>
                <w:szCs w:val="22"/>
                <w:lang w:val="sr-Latn-ME"/>
              </w:rPr>
              <w:t>)</w:t>
            </w:r>
          </w:p>
          <w:p w14:paraId="0B3DC6CC" w14:textId="77777777" w:rsidR="00466B8B" w:rsidRPr="002A6AB6" w:rsidRDefault="00466B8B" w:rsidP="00122792">
            <w:pPr>
              <w:tabs>
                <w:tab w:val="left" w:pos="567"/>
              </w:tabs>
              <w:jc w:val="center"/>
              <w:rPr>
                <w:i/>
                <w:iCs/>
                <w:sz w:val="22"/>
                <w:szCs w:val="22"/>
                <w:lang w:val="sr-Latn-ME"/>
              </w:rPr>
            </w:pPr>
            <w:r w:rsidRPr="002A6AB6">
              <w:rPr>
                <w:i/>
                <w:iCs/>
                <w:sz w:val="22"/>
                <w:szCs w:val="22"/>
                <w:lang w:val="sr-Latn-ME"/>
              </w:rPr>
              <w:t>(</w:t>
            </w:r>
            <w:proofErr w:type="spellStart"/>
            <w:r w:rsidRPr="002A6AB6">
              <w:rPr>
                <w:i/>
                <w:iCs/>
                <w:sz w:val="22"/>
                <w:szCs w:val="22"/>
                <w:lang w:val="sr-Latn-ME"/>
              </w:rPr>
              <w:t>Medijana</w:t>
            </w:r>
            <w:proofErr w:type="spellEnd"/>
            <w:r w:rsidRPr="002A6AB6">
              <w:rPr>
                <w:i/>
                <w:iCs/>
                <w:sz w:val="22"/>
                <w:szCs w:val="22"/>
                <w:lang w:val="sr-Latn-ME"/>
              </w:rPr>
              <w:t xml:space="preserve"> </w:t>
            </w:r>
            <w:proofErr w:type="spellStart"/>
            <w:r w:rsidRPr="002A6AB6">
              <w:rPr>
                <w:i/>
                <w:iCs/>
                <w:sz w:val="22"/>
                <w:szCs w:val="22"/>
                <w:lang w:val="sr-Latn-ME"/>
              </w:rPr>
              <w:t>vremena</w:t>
            </w:r>
            <w:proofErr w:type="spellEnd"/>
            <w:r w:rsidRPr="002A6AB6">
              <w:rPr>
                <w:i/>
                <w:iCs/>
                <w:sz w:val="22"/>
                <w:szCs w:val="22"/>
                <w:lang w:val="sr-Latn-ME"/>
              </w:rPr>
              <w:t xml:space="preserve"> praćenja: </w:t>
            </w:r>
            <w:proofErr w:type="spellStart"/>
            <w:r w:rsidRPr="002A6AB6">
              <w:rPr>
                <w:i/>
                <w:iCs/>
                <w:sz w:val="22"/>
                <w:szCs w:val="22"/>
                <w:lang w:val="sr-Latn-ME"/>
              </w:rPr>
              <w:t>okrelizumab</w:t>
            </w:r>
            <w:proofErr w:type="spellEnd"/>
            <w:r w:rsidRPr="002A6AB6">
              <w:rPr>
                <w:i/>
                <w:iCs/>
                <w:sz w:val="22"/>
                <w:szCs w:val="22"/>
                <w:lang w:val="sr-Latn-ME"/>
              </w:rPr>
              <w:t xml:space="preserve"> 3,0 godina, </w:t>
            </w:r>
            <w:proofErr w:type="spellStart"/>
            <w:r w:rsidRPr="002A6AB6">
              <w:rPr>
                <w:i/>
                <w:iCs/>
                <w:sz w:val="22"/>
                <w:szCs w:val="22"/>
                <w:lang w:val="sr-Latn-ME"/>
              </w:rPr>
              <w:t>placebo</w:t>
            </w:r>
            <w:proofErr w:type="spellEnd"/>
            <w:r w:rsidRPr="002A6AB6">
              <w:rPr>
                <w:i/>
                <w:iCs/>
                <w:sz w:val="22"/>
                <w:szCs w:val="22"/>
                <w:lang w:val="sr-Latn-ME"/>
              </w:rPr>
              <w:t xml:space="preserve"> 2,8 godina</w:t>
            </w:r>
          </w:p>
        </w:tc>
      </w:tr>
      <w:tr w:rsidR="00466B8B" w:rsidRPr="002A6AB6" w14:paraId="54461C92" w14:textId="77777777" w:rsidTr="00466B8B">
        <w:trPr>
          <w:cantSplit/>
        </w:trPr>
        <w:tc>
          <w:tcPr>
            <w:tcW w:w="3178" w:type="dxa"/>
            <w:tcBorders>
              <w:top w:val="single" w:sz="4" w:space="0" w:color="auto"/>
              <w:left w:val="single" w:sz="4" w:space="0" w:color="auto"/>
              <w:bottom w:val="single" w:sz="4" w:space="0" w:color="auto"/>
              <w:right w:val="single" w:sz="4" w:space="0" w:color="auto"/>
            </w:tcBorders>
            <w:shd w:val="clear" w:color="auto" w:fill="auto"/>
          </w:tcPr>
          <w:p w14:paraId="1162B52A" w14:textId="77777777" w:rsidR="00466B8B" w:rsidRPr="002A6AB6" w:rsidRDefault="00466B8B" w:rsidP="00587700">
            <w:pPr>
              <w:tabs>
                <w:tab w:val="left" w:pos="567"/>
              </w:tabs>
              <w:jc w:val="both"/>
              <w:rPr>
                <w:sz w:val="22"/>
                <w:szCs w:val="22"/>
                <w:lang w:val="sr-Latn-ME"/>
              </w:rPr>
            </w:pPr>
            <w:r w:rsidRPr="002A6AB6">
              <w:rPr>
                <w:sz w:val="22"/>
                <w:szCs w:val="22"/>
                <w:lang w:val="sr-Latn-ME"/>
              </w:rPr>
              <w:t xml:space="preserve">Istorija bolesti na </w:t>
            </w:r>
            <w:proofErr w:type="spellStart"/>
            <w:r w:rsidRPr="002A6AB6">
              <w:rPr>
                <w:sz w:val="22"/>
                <w:szCs w:val="22"/>
                <w:lang w:val="sr-Latn-ME"/>
              </w:rPr>
              <w:t>skriningu</w:t>
            </w:r>
            <w:proofErr w:type="spellEnd"/>
          </w:p>
        </w:tc>
        <w:tc>
          <w:tcPr>
            <w:tcW w:w="5490" w:type="dxa"/>
            <w:gridSpan w:val="2"/>
            <w:tcBorders>
              <w:top w:val="single" w:sz="4" w:space="0" w:color="auto"/>
              <w:left w:val="single" w:sz="4" w:space="0" w:color="auto"/>
              <w:bottom w:val="single" w:sz="4" w:space="0" w:color="auto"/>
              <w:right w:val="single" w:sz="4" w:space="0" w:color="auto"/>
            </w:tcBorders>
            <w:shd w:val="clear" w:color="auto" w:fill="auto"/>
          </w:tcPr>
          <w:p w14:paraId="12CCC249" w14:textId="77777777" w:rsidR="00466B8B" w:rsidRPr="002A6AB6" w:rsidRDefault="00466B8B" w:rsidP="00122792">
            <w:pPr>
              <w:tabs>
                <w:tab w:val="left" w:pos="567"/>
              </w:tabs>
              <w:jc w:val="center"/>
              <w:rPr>
                <w:sz w:val="22"/>
                <w:szCs w:val="22"/>
                <w:lang w:val="sr-Latn-ME"/>
              </w:rPr>
            </w:pPr>
            <w:r w:rsidRPr="002A6AB6">
              <w:rPr>
                <w:sz w:val="22"/>
                <w:szCs w:val="22"/>
                <w:lang w:val="sr-Latn-ME"/>
              </w:rPr>
              <w:t>Uzrast 18–55 godina, EDSS od 3,0 do 6,5</w:t>
            </w:r>
          </w:p>
        </w:tc>
      </w:tr>
      <w:tr w:rsidR="00466B8B" w:rsidRPr="002A6AB6" w14:paraId="4D1468F2" w14:textId="77777777" w:rsidTr="00466B8B">
        <w:trPr>
          <w:cantSplit/>
        </w:trPr>
        <w:tc>
          <w:tcPr>
            <w:tcW w:w="3178" w:type="dxa"/>
            <w:tcBorders>
              <w:top w:val="single" w:sz="4" w:space="0" w:color="auto"/>
              <w:left w:val="single" w:sz="4" w:space="0" w:color="auto"/>
              <w:bottom w:val="single" w:sz="4" w:space="0" w:color="auto"/>
              <w:right w:val="single" w:sz="4" w:space="0" w:color="auto"/>
            </w:tcBorders>
            <w:shd w:val="clear" w:color="auto" w:fill="auto"/>
          </w:tcPr>
          <w:p w14:paraId="20C2F3C5" w14:textId="77777777" w:rsidR="00466B8B" w:rsidRPr="002A6AB6" w:rsidRDefault="00466B8B" w:rsidP="00587700">
            <w:pPr>
              <w:tabs>
                <w:tab w:val="left" w:pos="567"/>
              </w:tabs>
              <w:jc w:val="both"/>
              <w:rPr>
                <w:sz w:val="22"/>
                <w:szCs w:val="22"/>
                <w:lang w:val="sr-Latn-ME"/>
              </w:rPr>
            </w:pPr>
            <w:r w:rsidRPr="002A6AB6">
              <w:rPr>
                <w:sz w:val="22"/>
                <w:szCs w:val="22"/>
                <w:lang w:val="sr-Latn-ME"/>
              </w:rPr>
              <w:t>Terapijske grupe</w:t>
            </w:r>
          </w:p>
        </w:tc>
        <w:tc>
          <w:tcPr>
            <w:tcW w:w="5490" w:type="dxa"/>
            <w:gridSpan w:val="2"/>
            <w:tcBorders>
              <w:top w:val="single" w:sz="4" w:space="0" w:color="auto"/>
              <w:left w:val="single" w:sz="4" w:space="0" w:color="auto"/>
              <w:bottom w:val="single" w:sz="4" w:space="0" w:color="auto"/>
              <w:right w:val="single" w:sz="4" w:space="0" w:color="auto"/>
            </w:tcBorders>
            <w:shd w:val="clear" w:color="auto" w:fill="auto"/>
          </w:tcPr>
          <w:p w14:paraId="720E812A" w14:textId="77777777" w:rsidR="00466B8B" w:rsidRPr="002A6AB6" w:rsidRDefault="00466B8B" w:rsidP="00122792">
            <w:pPr>
              <w:tabs>
                <w:tab w:val="left" w:pos="567"/>
              </w:tabs>
              <w:jc w:val="center"/>
              <w:rPr>
                <w:sz w:val="22"/>
                <w:szCs w:val="22"/>
                <w:lang w:val="sr-Latn-ME"/>
              </w:rPr>
            </w:pPr>
            <w:r w:rsidRPr="002A6AB6">
              <w:rPr>
                <w:sz w:val="22"/>
                <w:szCs w:val="22"/>
                <w:lang w:val="sr-Latn-ME"/>
              </w:rPr>
              <w:t xml:space="preserve">Grupa A: </w:t>
            </w:r>
            <w:proofErr w:type="spellStart"/>
            <w:r w:rsidRPr="002A6AB6">
              <w:rPr>
                <w:sz w:val="22"/>
                <w:szCs w:val="22"/>
                <w:lang w:val="sr-Latn-ME"/>
              </w:rPr>
              <w:t>Okrelizumab</w:t>
            </w:r>
            <w:proofErr w:type="spellEnd"/>
            <w:r w:rsidRPr="002A6AB6">
              <w:rPr>
                <w:sz w:val="22"/>
                <w:szCs w:val="22"/>
                <w:lang w:val="sr-Latn-ME"/>
              </w:rPr>
              <w:t xml:space="preserve"> 600 mg</w:t>
            </w:r>
          </w:p>
          <w:p w14:paraId="317E15BB" w14:textId="77777777" w:rsidR="00466B8B" w:rsidRPr="002A6AB6" w:rsidRDefault="00466B8B" w:rsidP="00122792">
            <w:pPr>
              <w:tabs>
                <w:tab w:val="left" w:pos="567"/>
              </w:tabs>
              <w:jc w:val="center"/>
              <w:rPr>
                <w:sz w:val="22"/>
                <w:szCs w:val="22"/>
                <w:lang w:val="sr-Latn-ME"/>
              </w:rPr>
            </w:pPr>
            <w:r w:rsidRPr="002A6AB6">
              <w:rPr>
                <w:sz w:val="22"/>
                <w:szCs w:val="22"/>
                <w:lang w:val="sr-Latn-ME"/>
              </w:rPr>
              <w:t xml:space="preserve">Grupa B: </w:t>
            </w:r>
            <w:proofErr w:type="spellStart"/>
            <w:r w:rsidRPr="002A6AB6">
              <w:rPr>
                <w:sz w:val="22"/>
                <w:szCs w:val="22"/>
                <w:lang w:val="sr-Latn-ME"/>
              </w:rPr>
              <w:t>Placebo</w:t>
            </w:r>
            <w:proofErr w:type="spellEnd"/>
            <w:r w:rsidRPr="002A6AB6">
              <w:rPr>
                <w:sz w:val="22"/>
                <w:szCs w:val="22"/>
                <w:lang w:val="sr-Latn-ME"/>
              </w:rPr>
              <w:t xml:space="preserve">, u </w:t>
            </w:r>
            <w:proofErr w:type="spellStart"/>
            <w:r w:rsidRPr="002A6AB6">
              <w:rPr>
                <w:sz w:val="22"/>
                <w:szCs w:val="22"/>
                <w:lang w:val="sr-Latn-ME"/>
              </w:rPr>
              <w:t>randomizaciji</w:t>
            </w:r>
            <w:proofErr w:type="spellEnd"/>
            <w:r w:rsidRPr="002A6AB6">
              <w:rPr>
                <w:sz w:val="22"/>
                <w:szCs w:val="22"/>
                <w:lang w:val="sr-Latn-ME"/>
              </w:rPr>
              <w:t xml:space="preserve"> 2 : 1</w:t>
            </w:r>
          </w:p>
        </w:tc>
      </w:tr>
      <w:tr w:rsidR="00466B8B" w:rsidRPr="002A6AB6" w14:paraId="1DD59328" w14:textId="77777777" w:rsidTr="00466B8B">
        <w:trPr>
          <w:cantSplit/>
        </w:trPr>
        <w:tc>
          <w:tcPr>
            <w:tcW w:w="3178" w:type="dxa"/>
            <w:tcBorders>
              <w:top w:val="single" w:sz="4" w:space="0" w:color="auto"/>
              <w:left w:val="single" w:sz="4" w:space="0" w:color="auto"/>
              <w:bottom w:val="single" w:sz="4" w:space="0" w:color="auto"/>
              <w:right w:val="single" w:sz="4" w:space="0" w:color="auto"/>
            </w:tcBorders>
            <w:shd w:val="clear" w:color="auto" w:fill="auto"/>
          </w:tcPr>
          <w:p w14:paraId="230AE6BB" w14:textId="77777777" w:rsidR="00466B8B" w:rsidRPr="002A6AB6" w:rsidRDefault="00466B8B" w:rsidP="00587700">
            <w:pPr>
              <w:tabs>
                <w:tab w:val="left" w:pos="567"/>
              </w:tabs>
              <w:jc w:val="both"/>
              <w:rPr>
                <w:b/>
                <w:bCs/>
                <w:sz w:val="22"/>
                <w:szCs w:val="22"/>
                <w:lang w:val="sr-Latn-ME"/>
              </w:rPr>
            </w:pPr>
            <w:r w:rsidRPr="002A6AB6">
              <w:rPr>
                <w:b/>
                <w:bCs/>
                <w:sz w:val="22"/>
                <w:szCs w:val="22"/>
                <w:lang w:val="sr-Latn-ME"/>
              </w:rPr>
              <w:t>Početne karakteristike</w:t>
            </w:r>
          </w:p>
        </w:tc>
        <w:tc>
          <w:tcPr>
            <w:tcW w:w="2918" w:type="dxa"/>
            <w:tcBorders>
              <w:top w:val="single" w:sz="4" w:space="0" w:color="auto"/>
              <w:left w:val="single" w:sz="4" w:space="0" w:color="auto"/>
              <w:bottom w:val="single" w:sz="4" w:space="0" w:color="auto"/>
              <w:right w:val="single" w:sz="4" w:space="0" w:color="auto"/>
            </w:tcBorders>
            <w:shd w:val="clear" w:color="auto" w:fill="auto"/>
          </w:tcPr>
          <w:p w14:paraId="74424D1A" w14:textId="77777777" w:rsidR="00466B8B" w:rsidRPr="002A6AB6" w:rsidRDefault="00466B8B" w:rsidP="00122792">
            <w:pPr>
              <w:tabs>
                <w:tab w:val="left" w:pos="567"/>
              </w:tabs>
              <w:jc w:val="center"/>
              <w:rPr>
                <w:sz w:val="22"/>
                <w:szCs w:val="22"/>
                <w:lang w:val="sr-Latn-ME"/>
              </w:rPr>
            </w:pPr>
            <w:proofErr w:type="spellStart"/>
            <w:r w:rsidRPr="002A6AB6">
              <w:rPr>
                <w:sz w:val="22"/>
                <w:szCs w:val="22"/>
                <w:lang w:val="sr-Latn-ME"/>
              </w:rPr>
              <w:t>Okrelizumab</w:t>
            </w:r>
            <w:proofErr w:type="spellEnd"/>
            <w:r w:rsidRPr="002A6AB6">
              <w:rPr>
                <w:sz w:val="22"/>
                <w:szCs w:val="22"/>
                <w:lang w:val="sr-Latn-ME"/>
              </w:rPr>
              <w:t xml:space="preserve"> 600 mg (n=488)</w:t>
            </w:r>
          </w:p>
        </w:tc>
        <w:tc>
          <w:tcPr>
            <w:tcW w:w="2572" w:type="dxa"/>
            <w:tcBorders>
              <w:top w:val="single" w:sz="4" w:space="0" w:color="auto"/>
              <w:left w:val="single" w:sz="4" w:space="0" w:color="auto"/>
              <w:bottom w:val="single" w:sz="4" w:space="0" w:color="auto"/>
              <w:right w:val="single" w:sz="4" w:space="0" w:color="auto"/>
            </w:tcBorders>
          </w:tcPr>
          <w:p w14:paraId="2E94CEFD" w14:textId="77777777" w:rsidR="00466B8B" w:rsidRPr="002A6AB6" w:rsidRDefault="00466B8B" w:rsidP="00122792">
            <w:pPr>
              <w:tabs>
                <w:tab w:val="left" w:pos="567"/>
              </w:tabs>
              <w:jc w:val="center"/>
              <w:rPr>
                <w:sz w:val="22"/>
                <w:szCs w:val="22"/>
                <w:lang w:val="sr-Latn-ME"/>
              </w:rPr>
            </w:pPr>
            <w:proofErr w:type="spellStart"/>
            <w:r w:rsidRPr="002A6AB6">
              <w:rPr>
                <w:sz w:val="22"/>
                <w:szCs w:val="22"/>
                <w:lang w:val="sr-Latn-ME"/>
              </w:rPr>
              <w:t>Placebo</w:t>
            </w:r>
            <w:proofErr w:type="spellEnd"/>
            <w:r w:rsidRPr="002A6AB6">
              <w:rPr>
                <w:sz w:val="22"/>
                <w:szCs w:val="22"/>
                <w:lang w:val="sr-Latn-ME"/>
              </w:rPr>
              <w:t xml:space="preserve"> (n=244)</w:t>
            </w:r>
          </w:p>
        </w:tc>
      </w:tr>
      <w:tr w:rsidR="00466B8B" w:rsidRPr="002A6AB6" w14:paraId="3D490BFB" w14:textId="77777777" w:rsidTr="00466B8B">
        <w:trPr>
          <w:cantSplit/>
        </w:trPr>
        <w:tc>
          <w:tcPr>
            <w:tcW w:w="3178" w:type="dxa"/>
            <w:tcBorders>
              <w:top w:val="single" w:sz="4" w:space="0" w:color="auto"/>
              <w:left w:val="single" w:sz="4" w:space="0" w:color="auto"/>
              <w:bottom w:val="single" w:sz="4" w:space="0" w:color="auto"/>
              <w:right w:val="single" w:sz="4" w:space="0" w:color="auto"/>
            </w:tcBorders>
            <w:shd w:val="clear" w:color="auto" w:fill="auto"/>
          </w:tcPr>
          <w:p w14:paraId="257B37CE" w14:textId="77777777" w:rsidR="00466B8B" w:rsidRPr="002A6AB6" w:rsidRDefault="00466B8B" w:rsidP="00587700">
            <w:pPr>
              <w:tabs>
                <w:tab w:val="left" w:pos="567"/>
              </w:tabs>
              <w:jc w:val="both"/>
              <w:rPr>
                <w:sz w:val="22"/>
                <w:szCs w:val="22"/>
                <w:lang w:val="sr-Latn-ME"/>
              </w:rPr>
            </w:pPr>
            <w:r w:rsidRPr="002A6AB6">
              <w:rPr>
                <w:sz w:val="22"/>
                <w:szCs w:val="22"/>
                <w:lang w:val="sr-Latn-ME"/>
              </w:rPr>
              <w:t>Prosječna starost (godine)</w:t>
            </w:r>
          </w:p>
        </w:tc>
        <w:tc>
          <w:tcPr>
            <w:tcW w:w="2918" w:type="dxa"/>
            <w:tcBorders>
              <w:top w:val="single" w:sz="4" w:space="0" w:color="auto"/>
              <w:left w:val="single" w:sz="4" w:space="0" w:color="auto"/>
              <w:bottom w:val="single" w:sz="4" w:space="0" w:color="auto"/>
              <w:right w:val="single" w:sz="4" w:space="0" w:color="auto"/>
            </w:tcBorders>
            <w:shd w:val="clear" w:color="auto" w:fill="auto"/>
          </w:tcPr>
          <w:p w14:paraId="03189E40" w14:textId="77777777" w:rsidR="00466B8B" w:rsidRPr="002A6AB6" w:rsidRDefault="00466B8B" w:rsidP="00122792">
            <w:pPr>
              <w:tabs>
                <w:tab w:val="left" w:pos="567"/>
              </w:tabs>
              <w:jc w:val="center"/>
              <w:rPr>
                <w:sz w:val="22"/>
                <w:szCs w:val="22"/>
                <w:lang w:val="sr-Latn-ME"/>
              </w:rPr>
            </w:pPr>
            <w:r w:rsidRPr="002A6AB6">
              <w:rPr>
                <w:sz w:val="22"/>
                <w:szCs w:val="22"/>
                <w:lang w:val="sr-Latn-ME"/>
              </w:rPr>
              <w:t>44,7</w:t>
            </w:r>
          </w:p>
        </w:tc>
        <w:tc>
          <w:tcPr>
            <w:tcW w:w="2572" w:type="dxa"/>
            <w:tcBorders>
              <w:top w:val="single" w:sz="4" w:space="0" w:color="auto"/>
              <w:left w:val="single" w:sz="4" w:space="0" w:color="auto"/>
              <w:bottom w:val="single" w:sz="4" w:space="0" w:color="auto"/>
              <w:right w:val="single" w:sz="4" w:space="0" w:color="auto"/>
            </w:tcBorders>
          </w:tcPr>
          <w:p w14:paraId="627BAA81" w14:textId="77777777" w:rsidR="00466B8B" w:rsidRPr="002A6AB6" w:rsidRDefault="00466B8B" w:rsidP="00122792">
            <w:pPr>
              <w:tabs>
                <w:tab w:val="left" w:pos="567"/>
              </w:tabs>
              <w:jc w:val="center"/>
              <w:rPr>
                <w:sz w:val="22"/>
                <w:szCs w:val="22"/>
                <w:lang w:val="sr-Latn-ME"/>
              </w:rPr>
            </w:pPr>
            <w:r w:rsidRPr="002A6AB6">
              <w:rPr>
                <w:sz w:val="22"/>
                <w:szCs w:val="22"/>
                <w:lang w:val="sr-Latn-ME"/>
              </w:rPr>
              <w:t>44,4</w:t>
            </w:r>
          </w:p>
        </w:tc>
      </w:tr>
      <w:tr w:rsidR="00466B8B" w:rsidRPr="002A6AB6" w14:paraId="336FA637" w14:textId="77777777" w:rsidTr="00466B8B">
        <w:trPr>
          <w:cantSplit/>
        </w:trPr>
        <w:tc>
          <w:tcPr>
            <w:tcW w:w="3178" w:type="dxa"/>
            <w:tcBorders>
              <w:top w:val="single" w:sz="4" w:space="0" w:color="auto"/>
              <w:left w:val="single" w:sz="4" w:space="0" w:color="auto"/>
              <w:bottom w:val="single" w:sz="4" w:space="0" w:color="auto"/>
              <w:right w:val="single" w:sz="4" w:space="0" w:color="auto"/>
            </w:tcBorders>
            <w:shd w:val="clear" w:color="auto" w:fill="auto"/>
          </w:tcPr>
          <w:p w14:paraId="365D62FE" w14:textId="77777777" w:rsidR="00466B8B" w:rsidRPr="002A6AB6" w:rsidRDefault="00466B8B" w:rsidP="00587700">
            <w:pPr>
              <w:tabs>
                <w:tab w:val="left" w:pos="567"/>
              </w:tabs>
              <w:jc w:val="both"/>
              <w:rPr>
                <w:sz w:val="22"/>
                <w:szCs w:val="22"/>
                <w:lang w:val="sr-Latn-ME"/>
              </w:rPr>
            </w:pPr>
            <w:r w:rsidRPr="002A6AB6">
              <w:rPr>
                <w:sz w:val="22"/>
                <w:szCs w:val="22"/>
                <w:lang w:val="sr-Latn-ME"/>
              </w:rPr>
              <w:t>Raspon starosti (godina) pri uključivanju u studiju</w:t>
            </w:r>
          </w:p>
        </w:tc>
        <w:tc>
          <w:tcPr>
            <w:tcW w:w="2918" w:type="dxa"/>
            <w:tcBorders>
              <w:top w:val="single" w:sz="4" w:space="0" w:color="auto"/>
              <w:left w:val="single" w:sz="4" w:space="0" w:color="auto"/>
              <w:bottom w:val="single" w:sz="4" w:space="0" w:color="auto"/>
              <w:right w:val="single" w:sz="4" w:space="0" w:color="auto"/>
            </w:tcBorders>
            <w:shd w:val="clear" w:color="auto" w:fill="auto"/>
          </w:tcPr>
          <w:p w14:paraId="37AB76B3" w14:textId="77777777" w:rsidR="00466B8B" w:rsidRPr="002A6AB6" w:rsidRDefault="00466B8B" w:rsidP="00122792">
            <w:pPr>
              <w:tabs>
                <w:tab w:val="left" w:pos="567"/>
              </w:tabs>
              <w:jc w:val="center"/>
              <w:rPr>
                <w:sz w:val="22"/>
                <w:szCs w:val="22"/>
                <w:lang w:val="sr-Latn-ME"/>
              </w:rPr>
            </w:pPr>
            <w:r w:rsidRPr="002A6AB6">
              <w:rPr>
                <w:rFonts w:eastAsia="SimSun"/>
                <w:sz w:val="22"/>
                <w:szCs w:val="22"/>
                <w:lang w:val="sr-Latn-ME"/>
              </w:rPr>
              <w:t>20–56</w:t>
            </w:r>
          </w:p>
        </w:tc>
        <w:tc>
          <w:tcPr>
            <w:tcW w:w="2572" w:type="dxa"/>
            <w:tcBorders>
              <w:top w:val="single" w:sz="4" w:space="0" w:color="auto"/>
              <w:left w:val="single" w:sz="4" w:space="0" w:color="auto"/>
              <w:bottom w:val="single" w:sz="4" w:space="0" w:color="auto"/>
              <w:right w:val="single" w:sz="4" w:space="0" w:color="auto"/>
            </w:tcBorders>
          </w:tcPr>
          <w:p w14:paraId="47F5955B" w14:textId="77777777" w:rsidR="00466B8B" w:rsidRPr="002A6AB6" w:rsidRDefault="00466B8B" w:rsidP="00122792">
            <w:pPr>
              <w:tabs>
                <w:tab w:val="left" w:pos="567"/>
              </w:tabs>
              <w:jc w:val="center"/>
              <w:rPr>
                <w:sz w:val="22"/>
                <w:szCs w:val="22"/>
                <w:lang w:val="sr-Latn-ME"/>
              </w:rPr>
            </w:pPr>
            <w:r w:rsidRPr="002A6AB6">
              <w:rPr>
                <w:sz w:val="22"/>
                <w:szCs w:val="22"/>
                <w:lang w:val="sr-Latn-ME"/>
              </w:rPr>
              <w:t>18–56</w:t>
            </w:r>
          </w:p>
        </w:tc>
      </w:tr>
      <w:tr w:rsidR="00466B8B" w:rsidRPr="002A6AB6" w14:paraId="2679236F" w14:textId="77777777" w:rsidTr="00466B8B">
        <w:trPr>
          <w:cantSplit/>
        </w:trPr>
        <w:tc>
          <w:tcPr>
            <w:tcW w:w="3178" w:type="dxa"/>
            <w:tcBorders>
              <w:top w:val="single" w:sz="4" w:space="0" w:color="auto"/>
              <w:left w:val="single" w:sz="4" w:space="0" w:color="auto"/>
              <w:bottom w:val="single" w:sz="4" w:space="0" w:color="auto"/>
              <w:right w:val="single" w:sz="4" w:space="0" w:color="auto"/>
            </w:tcBorders>
            <w:shd w:val="clear" w:color="auto" w:fill="auto"/>
          </w:tcPr>
          <w:p w14:paraId="5D4863DF" w14:textId="77777777" w:rsidR="00466B8B" w:rsidRPr="002A6AB6" w:rsidRDefault="00466B8B" w:rsidP="00587700">
            <w:pPr>
              <w:tabs>
                <w:tab w:val="left" w:pos="567"/>
              </w:tabs>
              <w:jc w:val="both"/>
              <w:rPr>
                <w:sz w:val="22"/>
                <w:szCs w:val="22"/>
                <w:lang w:val="sr-Latn-ME"/>
              </w:rPr>
            </w:pPr>
            <w:r w:rsidRPr="002A6AB6">
              <w:rPr>
                <w:sz w:val="22"/>
                <w:szCs w:val="22"/>
                <w:lang w:val="sr-Latn-ME"/>
              </w:rPr>
              <w:t>Pol (% muškaraca/% žena)</w:t>
            </w:r>
          </w:p>
        </w:tc>
        <w:tc>
          <w:tcPr>
            <w:tcW w:w="2918" w:type="dxa"/>
            <w:tcBorders>
              <w:top w:val="single" w:sz="4" w:space="0" w:color="auto"/>
              <w:left w:val="single" w:sz="4" w:space="0" w:color="auto"/>
              <w:bottom w:val="single" w:sz="4" w:space="0" w:color="auto"/>
              <w:right w:val="single" w:sz="4" w:space="0" w:color="auto"/>
            </w:tcBorders>
            <w:shd w:val="clear" w:color="auto" w:fill="auto"/>
          </w:tcPr>
          <w:p w14:paraId="3D2C3E53" w14:textId="77777777" w:rsidR="00466B8B" w:rsidRPr="002A6AB6" w:rsidRDefault="00466B8B" w:rsidP="00122792">
            <w:pPr>
              <w:tabs>
                <w:tab w:val="left" w:pos="567"/>
              </w:tabs>
              <w:jc w:val="center"/>
              <w:rPr>
                <w:sz w:val="22"/>
                <w:szCs w:val="22"/>
                <w:lang w:val="sr-Latn-ME"/>
              </w:rPr>
            </w:pPr>
            <w:r w:rsidRPr="002A6AB6">
              <w:rPr>
                <w:sz w:val="22"/>
                <w:szCs w:val="22"/>
                <w:lang w:val="sr-Latn-ME"/>
              </w:rPr>
              <w:t>51,4/48,6</w:t>
            </w:r>
          </w:p>
        </w:tc>
        <w:tc>
          <w:tcPr>
            <w:tcW w:w="2572" w:type="dxa"/>
            <w:tcBorders>
              <w:top w:val="single" w:sz="4" w:space="0" w:color="auto"/>
              <w:left w:val="single" w:sz="4" w:space="0" w:color="auto"/>
              <w:bottom w:val="single" w:sz="4" w:space="0" w:color="auto"/>
              <w:right w:val="single" w:sz="4" w:space="0" w:color="auto"/>
            </w:tcBorders>
          </w:tcPr>
          <w:p w14:paraId="655FC799" w14:textId="77777777" w:rsidR="00466B8B" w:rsidRPr="002A6AB6" w:rsidRDefault="00466B8B" w:rsidP="00122792">
            <w:pPr>
              <w:tabs>
                <w:tab w:val="left" w:pos="567"/>
              </w:tabs>
              <w:jc w:val="center"/>
              <w:rPr>
                <w:sz w:val="22"/>
                <w:szCs w:val="22"/>
                <w:lang w:val="sr-Latn-ME"/>
              </w:rPr>
            </w:pPr>
            <w:r w:rsidRPr="002A6AB6">
              <w:rPr>
                <w:sz w:val="22"/>
                <w:szCs w:val="22"/>
                <w:lang w:val="sr-Latn-ME"/>
              </w:rPr>
              <w:t>49,2/50,8</w:t>
            </w:r>
          </w:p>
        </w:tc>
      </w:tr>
      <w:tr w:rsidR="00466B8B" w:rsidRPr="002A6AB6" w14:paraId="43B4C5A2" w14:textId="77777777" w:rsidTr="00466B8B">
        <w:trPr>
          <w:cantSplit/>
        </w:trPr>
        <w:tc>
          <w:tcPr>
            <w:tcW w:w="3178" w:type="dxa"/>
            <w:tcBorders>
              <w:top w:val="single" w:sz="4" w:space="0" w:color="auto"/>
              <w:left w:val="single" w:sz="4" w:space="0" w:color="auto"/>
              <w:bottom w:val="single" w:sz="4" w:space="0" w:color="auto"/>
              <w:right w:val="single" w:sz="4" w:space="0" w:color="auto"/>
            </w:tcBorders>
            <w:shd w:val="clear" w:color="auto" w:fill="auto"/>
          </w:tcPr>
          <w:p w14:paraId="10510D8D" w14:textId="77777777" w:rsidR="00466B8B" w:rsidRPr="002A6AB6" w:rsidRDefault="00466B8B" w:rsidP="00587700">
            <w:pPr>
              <w:tabs>
                <w:tab w:val="left" w:pos="567"/>
              </w:tabs>
              <w:jc w:val="both"/>
              <w:rPr>
                <w:sz w:val="22"/>
                <w:szCs w:val="22"/>
                <w:lang w:val="sr-Latn-ME"/>
              </w:rPr>
            </w:pPr>
            <w:r w:rsidRPr="002A6AB6">
              <w:rPr>
                <w:sz w:val="22"/>
                <w:szCs w:val="22"/>
                <w:lang w:val="sr-Latn-ME"/>
              </w:rPr>
              <w:t>Srednja vrijednost/</w:t>
            </w:r>
            <w:proofErr w:type="spellStart"/>
            <w:r w:rsidRPr="002A6AB6">
              <w:rPr>
                <w:sz w:val="22"/>
                <w:szCs w:val="22"/>
                <w:lang w:val="sr-Latn-ME"/>
              </w:rPr>
              <w:t>medijana</w:t>
            </w:r>
            <w:proofErr w:type="spellEnd"/>
            <w:r w:rsidRPr="002A6AB6">
              <w:rPr>
                <w:sz w:val="22"/>
                <w:szCs w:val="22"/>
                <w:lang w:val="sr-Latn-ME"/>
              </w:rPr>
              <w:t xml:space="preserve"> trajanja bolesti od postavljanja dijagnoze PPMS (godine)</w:t>
            </w:r>
          </w:p>
        </w:tc>
        <w:tc>
          <w:tcPr>
            <w:tcW w:w="2918" w:type="dxa"/>
            <w:tcBorders>
              <w:top w:val="single" w:sz="4" w:space="0" w:color="auto"/>
              <w:left w:val="single" w:sz="4" w:space="0" w:color="auto"/>
              <w:bottom w:val="single" w:sz="4" w:space="0" w:color="auto"/>
              <w:right w:val="single" w:sz="4" w:space="0" w:color="auto"/>
            </w:tcBorders>
            <w:shd w:val="clear" w:color="auto" w:fill="auto"/>
          </w:tcPr>
          <w:p w14:paraId="1081A4DB" w14:textId="77777777" w:rsidR="00466B8B" w:rsidRPr="002A6AB6" w:rsidRDefault="00466B8B" w:rsidP="00122792">
            <w:pPr>
              <w:tabs>
                <w:tab w:val="left" w:pos="567"/>
              </w:tabs>
              <w:jc w:val="center"/>
              <w:rPr>
                <w:sz w:val="22"/>
                <w:szCs w:val="22"/>
                <w:lang w:val="sr-Latn-ME"/>
              </w:rPr>
            </w:pPr>
            <w:r w:rsidRPr="002A6AB6">
              <w:rPr>
                <w:sz w:val="22"/>
                <w:szCs w:val="22"/>
                <w:lang w:val="sr-Latn-ME"/>
              </w:rPr>
              <w:t>2,9/1,6</w:t>
            </w:r>
          </w:p>
        </w:tc>
        <w:tc>
          <w:tcPr>
            <w:tcW w:w="2572" w:type="dxa"/>
            <w:tcBorders>
              <w:top w:val="single" w:sz="4" w:space="0" w:color="auto"/>
              <w:left w:val="single" w:sz="4" w:space="0" w:color="auto"/>
              <w:bottom w:val="single" w:sz="4" w:space="0" w:color="auto"/>
              <w:right w:val="single" w:sz="4" w:space="0" w:color="auto"/>
            </w:tcBorders>
          </w:tcPr>
          <w:p w14:paraId="589E15BC" w14:textId="77777777" w:rsidR="00466B8B" w:rsidRPr="002A6AB6" w:rsidRDefault="00466B8B" w:rsidP="00122792">
            <w:pPr>
              <w:tabs>
                <w:tab w:val="left" w:pos="567"/>
              </w:tabs>
              <w:jc w:val="center"/>
              <w:rPr>
                <w:sz w:val="22"/>
                <w:szCs w:val="22"/>
                <w:lang w:val="sr-Latn-ME"/>
              </w:rPr>
            </w:pPr>
            <w:r w:rsidRPr="002A6AB6">
              <w:rPr>
                <w:sz w:val="22"/>
                <w:szCs w:val="22"/>
                <w:lang w:val="sr-Latn-ME"/>
              </w:rPr>
              <w:t>2,8/1,3</w:t>
            </w:r>
          </w:p>
        </w:tc>
      </w:tr>
      <w:tr w:rsidR="00466B8B" w:rsidRPr="002A6AB6" w14:paraId="5DA63E74" w14:textId="77777777" w:rsidTr="00466B8B">
        <w:trPr>
          <w:cantSplit/>
        </w:trPr>
        <w:tc>
          <w:tcPr>
            <w:tcW w:w="3178" w:type="dxa"/>
            <w:tcBorders>
              <w:top w:val="single" w:sz="4" w:space="0" w:color="auto"/>
              <w:left w:val="single" w:sz="4" w:space="0" w:color="auto"/>
              <w:bottom w:val="single" w:sz="4" w:space="0" w:color="auto"/>
              <w:right w:val="single" w:sz="4" w:space="0" w:color="auto"/>
            </w:tcBorders>
            <w:shd w:val="clear" w:color="auto" w:fill="auto"/>
          </w:tcPr>
          <w:p w14:paraId="090EA6C1" w14:textId="77777777" w:rsidR="00466B8B" w:rsidRPr="002A6AB6" w:rsidRDefault="00466B8B" w:rsidP="00587700">
            <w:pPr>
              <w:tabs>
                <w:tab w:val="left" w:pos="567"/>
              </w:tabs>
              <w:jc w:val="both"/>
              <w:rPr>
                <w:sz w:val="22"/>
                <w:szCs w:val="22"/>
                <w:lang w:val="sr-Latn-ME"/>
              </w:rPr>
            </w:pPr>
            <w:r w:rsidRPr="002A6AB6">
              <w:rPr>
                <w:sz w:val="22"/>
                <w:szCs w:val="22"/>
                <w:lang w:val="sr-Latn-ME"/>
              </w:rPr>
              <w:t>Srednja vrijednost EDSS</w:t>
            </w:r>
          </w:p>
        </w:tc>
        <w:tc>
          <w:tcPr>
            <w:tcW w:w="2918" w:type="dxa"/>
            <w:tcBorders>
              <w:top w:val="single" w:sz="4" w:space="0" w:color="auto"/>
              <w:left w:val="single" w:sz="4" w:space="0" w:color="auto"/>
              <w:bottom w:val="single" w:sz="4" w:space="0" w:color="auto"/>
              <w:right w:val="single" w:sz="4" w:space="0" w:color="auto"/>
            </w:tcBorders>
            <w:shd w:val="clear" w:color="auto" w:fill="auto"/>
          </w:tcPr>
          <w:p w14:paraId="121FF7DB" w14:textId="77777777" w:rsidR="00466B8B" w:rsidRPr="002A6AB6" w:rsidRDefault="00466B8B" w:rsidP="00122792">
            <w:pPr>
              <w:tabs>
                <w:tab w:val="left" w:pos="567"/>
              </w:tabs>
              <w:jc w:val="center"/>
              <w:rPr>
                <w:sz w:val="22"/>
                <w:szCs w:val="22"/>
                <w:lang w:val="sr-Latn-ME"/>
              </w:rPr>
            </w:pPr>
            <w:r w:rsidRPr="002A6AB6">
              <w:rPr>
                <w:sz w:val="22"/>
                <w:szCs w:val="22"/>
                <w:lang w:val="sr-Latn-ME"/>
              </w:rPr>
              <w:t>4,7</w:t>
            </w:r>
          </w:p>
        </w:tc>
        <w:tc>
          <w:tcPr>
            <w:tcW w:w="2572" w:type="dxa"/>
            <w:tcBorders>
              <w:top w:val="single" w:sz="4" w:space="0" w:color="auto"/>
              <w:left w:val="single" w:sz="4" w:space="0" w:color="auto"/>
              <w:bottom w:val="single" w:sz="4" w:space="0" w:color="auto"/>
              <w:right w:val="single" w:sz="4" w:space="0" w:color="auto"/>
            </w:tcBorders>
          </w:tcPr>
          <w:p w14:paraId="6F7459CF" w14:textId="77777777" w:rsidR="00466B8B" w:rsidRPr="002A6AB6" w:rsidRDefault="00466B8B" w:rsidP="00122792">
            <w:pPr>
              <w:tabs>
                <w:tab w:val="left" w:pos="567"/>
              </w:tabs>
              <w:jc w:val="center"/>
              <w:rPr>
                <w:sz w:val="22"/>
                <w:szCs w:val="22"/>
                <w:lang w:val="sr-Latn-ME"/>
              </w:rPr>
            </w:pPr>
            <w:r w:rsidRPr="002A6AB6">
              <w:rPr>
                <w:sz w:val="22"/>
                <w:szCs w:val="22"/>
                <w:lang w:val="sr-Latn-ME"/>
              </w:rPr>
              <w:t>4,7</w:t>
            </w:r>
          </w:p>
        </w:tc>
      </w:tr>
    </w:tbl>
    <w:p w14:paraId="4DB6C37A" w14:textId="77777777" w:rsidR="00466B8B" w:rsidRPr="002A6AB6" w:rsidRDefault="00466B8B" w:rsidP="00587700">
      <w:pPr>
        <w:tabs>
          <w:tab w:val="left" w:pos="540"/>
          <w:tab w:val="left" w:pos="569"/>
        </w:tabs>
        <w:jc w:val="both"/>
        <w:rPr>
          <w:b/>
          <w:bCs/>
          <w:sz w:val="22"/>
          <w:szCs w:val="22"/>
          <w:lang w:val="sr-Latn-ME"/>
        </w:rPr>
      </w:pPr>
    </w:p>
    <w:p w14:paraId="77760944" w14:textId="77777777" w:rsidR="00466B8B" w:rsidRPr="002A6AB6" w:rsidRDefault="00466B8B" w:rsidP="00587700">
      <w:pPr>
        <w:tabs>
          <w:tab w:val="left" w:pos="567"/>
        </w:tabs>
        <w:jc w:val="both"/>
        <w:rPr>
          <w:sz w:val="22"/>
          <w:szCs w:val="22"/>
          <w:lang w:val="sr-Latn-ME"/>
        </w:rPr>
      </w:pPr>
      <w:r w:rsidRPr="002A6AB6">
        <w:rPr>
          <w:sz w:val="22"/>
          <w:szCs w:val="22"/>
          <w:lang w:val="sr-Latn-ME"/>
        </w:rPr>
        <w:t xml:space="preserve">Ključni rezultati kliničke efikasnosti i efikasnosti na MR prikazani su u tabeli 5 i na slici 2.  </w:t>
      </w:r>
    </w:p>
    <w:p w14:paraId="064E6FC4" w14:textId="77777777" w:rsidR="00466B8B" w:rsidRPr="002A6AB6" w:rsidRDefault="00466B8B" w:rsidP="00587700">
      <w:pPr>
        <w:tabs>
          <w:tab w:val="left" w:pos="567"/>
        </w:tabs>
        <w:jc w:val="both"/>
        <w:rPr>
          <w:strike/>
          <w:sz w:val="22"/>
          <w:szCs w:val="22"/>
          <w:lang w:val="sr-Latn-ME"/>
        </w:rPr>
      </w:pPr>
    </w:p>
    <w:p w14:paraId="0A2261A3" w14:textId="77777777" w:rsidR="00466B8B" w:rsidRPr="002A6AB6" w:rsidRDefault="00466B8B" w:rsidP="00587700">
      <w:pPr>
        <w:tabs>
          <w:tab w:val="left" w:pos="567"/>
        </w:tabs>
        <w:jc w:val="both"/>
        <w:rPr>
          <w:sz w:val="22"/>
          <w:szCs w:val="22"/>
          <w:lang w:val="sr-Latn-ME"/>
        </w:rPr>
      </w:pPr>
      <w:r w:rsidRPr="002A6AB6">
        <w:rPr>
          <w:sz w:val="22"/>
          <w:szCs w:val="22"/>
          <w:lang w:val="sr-Latn-ME"/>
        </w:rPr>
        <w:t xml:space="preserve">Rezultati ove studije pokazuju da </w:t>
      </w:r>
      <w:proofErr w:type="spellStart"/>
      <w:r w:rsidRPr="002A6AB6">
        <w:rPr>
          <w:sz w:val="22"/>
          <w:szCs w:val="22"/>
          <w:lang w:val="sr-Latn-ME"/>
        </w:rPr>
        <w:t>okrelizumab</w:t>
      </w:r>
      <w:proofErr w:type="spellEnd"/>
      <w:r w:rsidRPr="002A6AB6">
        <w:rPr>
          <w:sz w:val="22"/>
          <w:szCs w:val="22"/>
          <w:lang w:val="sr-Latn-ME"/>
        </w:rPr>
        <w:t xml:space="preserve"> znatno odlaže progresiju bolesti i smanjuje pogoršanje brzine hodanja u poređenju sa </w:t>
      </w:r>
      <w:proofErr w:type="spellStart"/>
      <w:r w:rsidRPr="002A6AB6">
        <w:rPr>
          <w:sz w:val="22"/>
          <w:szCs w:val="22"/>
          <w:lang w:val="sr-Latn-ME"/>
        </w:rPr>
        <w:t>placebom</w:t>
      </w:r>
      <w:proofErr w:type="spellEnd"/>
      <w:r w:rsidRPr="002A6AB6">
        <w:rPr>
          <w:sz w:val="22"/>
          <w:szCs w:val="22"/>
          <w:lang w:val="sr-Latn-ME"/>
        </w:rPr>
        <w:t>.</w:t>
      </w:r>
    </w:p>
    <w:p w14:paraId="64085CDD" w14:textId="77777777" w:rsidR="00466B8B" w:rsidRPr="002A6AB6" w:rsidRDefault="00466B8B" w:rsidP="00587700">
      <w:pPr>
        <w:tabs>
          <w:tab w:val="left" w:pos="540"/>
          <w:tab w:val="left" w:pos="569"/>
        </w:tabs>
        <w:jc w:val="both"/>
        <w:rPr>
          <w:b/>
          <w:bCs/>
          <w:sz w:val="22"/>
          <w:szCs w:val="22"/>
          <w:lang w:val="sr-Latn-ME"/>
        </w:rPr>
      </w:pPr>
    </w:p>
    <w:p w14:paraId="2FDF8266" w14:textId="77777777" w:rsidR="00320270" w:rsidRPr="002A6AB6" w:rsidRDefault="00320270">
      <w:pPr>
        <w:rPr>
          <w:b/>
          <w:bCs/>
          <w:sz w:val="22"/>
          <w:szCs w:val="22"/>
          <w:lang w:val="sr-Latn-ME" w:eastAsia="ja-JP"/>
        </w:rPr>
      </w:pPr>
      <w:r w:rsidRPr="002A6AB6">
        <w:rPr>
          <w:b/>
          <w:bCs/>
          <w:sz w:val="22"/>
          <w:szCs w:val="22"/>
          <w:lang w:val="sr-Latn-ME" w:eastAsia="ja-JP"/>
        </w:rPr>
        <w:br w:type="page"/>
      </w:r>
    </w:p>
    <w:p w14:paraId="2C9A3D0D" w14:textId="77777777" w:rsidR="00466B8B" w:rsidRPr="002A6AB6" w:rsidRDefault="00466B8B" w:rsidP="00587700">
      <w:pPr>
        <w:keepNext/>
        <w:keepLines/>
        <w:tabs>
          <w:tab w:val="left" w:pos="1152"/>
        </w:tabs>
        <w:ind w:left="1152" w:hanging="1152"/>
        <w:jc w:val="both"/>
        <w:rPr>
          <w:sz w:val="22"/>
          <w:szCs w:val="22"/>
          <w:lang w:val="sr-Latn-ME" w:eastAsia="ja-JP"/>
        </w:rPr>
      </w:pPr>
      <w:r w:rsidRPr="002A6AB6">
        <w:rPr>
          <w:b/>
          <w:bCs/>
          <w:sz w:val="22"/>
          <w:szCs w:val="22"/>
          <w:lang w:val="sr-Latn-ME" w:eastAsia="ja-JP"/>
        </w:rPr>
        <w:lastRenderedPageBreak/>
        <w:t>Tabela 5</w:t>
      </w:r>
      <w:r w:rsidRPr="002A6AB6">
        <w:rPr>
          <w:b/>
          <w:bCs/>
          <w:sz w:val="22"/>
          <w:szCs w:val="22"/>
          <w:lang w:val="sr-Latn-ME" w:eastAsia="ja-JP"/>
        </w:rPr>
        <w:tab/>
        <w:t>Ključni klinički i MR parametri praćenja efikasnosti iz studije WA25046 (PPMS)</w:t>
      </w:r>
    </w:p>
    <w:p w14:paraId="3424E5D4" w14:textId="77777777" w:rsidR="00466B8B" w:rsidRPr="002A6AB6" w:rsidRDefault="00466B8B" w:rsidP="00587700">
      <w:pPr>
        <w:tabs>
          <w:tab w:val="left" w:pos="540"/>
          <w:tab w:val="left" w:pos="569"/>
        </w:tabs>
        <w:jc w:val="both"/>
        <w:rPr>
          <w:b/>
          <w:bCs/>
          <w:sz w:val="22"/>
          <w:szCs w:val="22"/>
          <w:lang w:val="sr-Latn-ME"/>
        </w:rPr>
      </w:pPr>
    </w:p>
    <w:tbl>
      <w:tblPr>
        <w:tblW w:w="8704" w:type="dxa"/>
        <w:tblLayout w:type="fixed"/>
        <w:tblCellMar>
          <w:left w:w="57" w:type="dxa"/>
          <w:right w:w="57" w:type="dxa"/>
        </w:tblCellMar>
        <w:tblLook w:val="0000" w:firstRow="0" w:lastRow="0" w:firstColumn="0" w:lastColumn="0" w:noHBand="0" w:noVBand="0"/>
      </w:tblPr>
      <w:tblGrid>
        <w:gridCol w:w="4875"/>
        <w:gridCol w:w="1842"/>
        <w:gridCol w:w="1987"/>
      </w:tblGrid>
      <w:tr w:rsidR="00466B8B" w:rsidRPr="002A6AB6" w14:paraId="2BD4BCD5" w14:textId="77777777" w:rsidTr="00466B8B">
        <w:trPr>
          <w:cantSplit/>
          <w:trHeight w:val="410"/>
        </w:trPr>
        <w:tc>
          <w:tcPr>
            <w:tcW w:w="4875" w:type="dxa"/>
            <w:tcBorders>
              <w:top w:val="single" w:sz="4" w:space="0" w:color="auto"/>
              <w:left w:val="single" w:sz="4" w:space="0" w:color="auto"/>
              <w:right w:val="single" w:sz="4" w:space="0" w:color="auto"/>
            </w:tcBorders>
            <w:shd w:val="clear" w:color="auto" w:fill="auto"/>
          </w:tcPr>
          <w:p w14:paraId="0691C226" w14:textId="77777777" w:rsidR="00466B8B" w:rsidRPr="002A6AB6" w:rsidRDefault="00466B8B" w:rsidP="00587700">
            <w:pPr>
              <w:keepNext/>
              <w:keepLines/>
              <w:tabs>
                <w:tab w:val="left" w:pos="567"/>
              </w:tabs>
              <w:jc w:val="both"/>
              <w:rPr>
                <w:sz w:val="22"/>
                <w:szCs w:val="22"/>
                <w:lang w:val="sr-Latn-ME"/>
              </w:rPr>
            </w:pPr>
          </w:p>
        </w:tc>
        <w:tc>
          <w:tcPr>
            <w:tcW w:w="3829" w:type="dxa"/>
            <w:gridSpan w:val="2"/>
            <w:tcBorders>
              <w:top w:val="single" w:sz="4" w:space="0" w:color="auto"/>
              <w:left w:val="single" w:sz="4" w:space="0" w:color="auto"/>
              <w:bottom w:val="single" w:sz="4" w:space="0" w:color="auto"/>
              <w:right w:val="single" w:sz="4" w:space="0" w:color="auto"/>
            </w:tcBorders>
            <w:shd w:val="clear" w:color="auto" w:fill="auto"/>
          </w:tcPr>
          <w:p w14:paraId="20D1CDE6" w14:textId="77777777" w:rsidR="00466B8B" w:rsidRPr="002A6AB6" w:rsidRDefault="00466B8B" w:rsidP="00122792">
            <w:pPr>
              <w:keepNext/>
              <w:keepLines/>
              <w:tabs>
                <w:tab w:val="left" w:pos="567"/>
              </w:tabs>
              <w:jc w:val="center"/>
              <w:rPr>
                <w:b/>
                <w:sz w:val="22"/>
                <w:szCs w:val="22"/>
                <w:lang w:val="sr-Latn-ME"/>
              </w:rPr>
            </w:pPr>
            <w:r w:rsidRPr="002A6AB6">
              <w:rPr>
                <w:b/>
                <w:bCs/>
                <w:sz w:val="22"/>
                <w:szCs w:val="22"/>
                <w:lang w:val="sr-Latn-ME"/>
              </w:rPr>
              <w:t>3. studija</w:t>
            </w:r>
          </w:p>
        </w:tc>
      </w:tr>
      <w:tr w:rsidR="00466B8B" w:rsidRPr="002A6AB6" w14:paraId="27BE62E0" w14:textId="77777777" w:rsidTr="00466B8B">
        <w:trPr>
          <w:cantSplit/>
          <w:trHeight w:val="282"/>
        </w:trPr>
        <w:tc>
          <w:tcPr>
            <w:tcW w:w="4875" w:type="dxa"/>
            <w:vMerge w:val="restart"/>
            <w:tcBorders>
              <w:top w:val="single" w:sz="4" w:space="0" w:color="auto"/>
              <w:left w:val="single" w:sz="4" w:space="0" w:color="auto"/>
              <w:right w:val="single" w:sz="4" w:space="0" w:color="auto"/>
            </w:tcBorders>
            <w:shd w:val="clear" w:color="auto" w:fill="auto"/>
          </w:tcPr>
          <w:p w14:paraId="1B5D0DC6" w14:textId="77777777" w:rsidR="00466B8B" w:rsidRPr="002A6AB6" w:rsidRDefault="00466B8B" w:rsidP="00587700">
            <w:pPr>
              <w:keepNext/>
              <w:keepLines/>
              <w:tabs>
                <w:tab w:val="left" w:pos="567"/>
              </w:tabs>
              <w:jc w:val="both"/>
              <w:rPr>
                <w:b/>
                <w:sz w:val="22"/>
                <w:szCs w:val="22"/>
                <w:lang w:val="sr-Latn-ME"/>
              </w:rPr>
            </w:pPr>
            <w:r w:rsidRPr="002A6AB6">
              <w:rPr>
                <w:sz w:val="22"/>
                <w:szCs w:val="22"/>
                <w:lang w:val="sr-Latn-ME"/>
              </w:rPr>
              <w:br/>
            </w:r>
            <w:r w:rsidRPr="002A6AB6">
              <w:rPr>
                <w:sz w:val="22"/>
                <w:szCs w:val="22"/>
                <w:lang w:val="sr-Latn-ME"/>
              </w:rPr>
              <w:br/>
            </w:r>
            <w:r w:rsidRPr="002A6AB6">
              <w:rPr>
                <w:b/>
                <w:bCs/>
                <w:sz w:val="22"/>
                <w:szCs w:val="22"/>
                <w:lang w:val="sr-Latn-ME"/>
              </w:rPr>
              <w:t>Parametri praćenja</w:t>
            </w:r>
          </w:p>
        </w:tc>
        <w:tc>
          <w:tcPr>
            <w:tcW w:w="3829" w:type="dxa"/>
            <w:gridSpan w:val="2"/>
            <w:tcBorders>
              <w:top w:val="single" w:sz="4" w:space="0" w:color="auto"/>
              <w:left w:val="single" w:sz="4" w:space="0" w:color="auto"/>
              <w:bottom w:val="single" w:sz="4" w:space="0" w:color="auto"/>
              <w:right w:val="single" w:sz="4" w:space="0" w:color="auto"/>
            </w:tcBorders>
            <w:shd w:val="clear" w:color="auto" w:fill="auto"/>
          </w:tcPr>
          <w:p w14:paraId="5BE628F7" w14:textId="77777777" w:rsidR="00466B8B" w:rsidRPr="002A6AB6" w:rsidRDefault="00466B8B" w:rsidP="00122792">
            <w:pPr>
              <w:keepNext/>
              <w:keepLines/>
              <w:tabs>
                <w:tab w:val="left" w:pos="567"/>
              </w:tabs>
              <w:jc w:val="center"/>
              <w:rPr>
                <w:sz w:val="22"/>
                <w:szCs w:val="22"/>
                <w:lang w:val="sr-Latn-ME"/>
              </w:rPr>
            </w:pPr>
            <w:r w:rsidRPr="002A6AB6">
              <w:rPr>
                <w:b/>
                <w:bCs/>
                <w:sz w:val="22"/>
                <w:szCs w:val="22"/>
                <w:lang w:val="sr-Latn-ME"/>
              </w:rPr>
              <w:t>WA25046 (</w:t>
            </w:r>
            <w:proofErr w:type="spellStart"/>
            <w:r w:rsidRPr="002A6AB6">
              <w:rPr>
                <w:b/>
                <w:bCs/>
                <w:sz w:val="22"/>
                <w:szCs w:val="22"/>
                <w:lang w:val="sr-Latn-ME"/>
              </w:rPr>
              <w:t>Oratorio</w:t>
            </w:r>
            <w:proofErr w:type="spellEnd"/>
            <w:r w:rsidRPr="002A6AB6">
              <w:rPr>
                <w:b/>
                <w:bCs/>
                <w:sz w:val="22"/>
                <w:szCs w:val="22"/>
                <w:lang w:val="sr-Latn-ME"/>
              </w:rPr>
              <w:t>)</w:t>
            </w:r>
          </w:p>
        </w:tc>
      </w:tr>
      <w:tr w:rsidR="00466B8B" w:rsidRPr="002A6AB6" w14:paraId="0DE36DD1" w14:textId="77777777" w:rsidTr="00466B8B">
        <w:trPr>
          <w:cantSplit/>
          <w:trHeight w:val="604"/>
        </w:trPr>
        <w:tc>
          <w:tcPr>
            <w:tcW w:w="4875" w:type="dxa"/>
            <w:vMerge/>
            <w:tcBorders>
              <w:left w:val="single" w:sz="4" w:space="0" w:color="auto"/>
              <w:bottom w:val="single" w:sz="4" w:space="0" w:color="auto"/>
              <w:right w:val="single" w:sz="4" w:space="0" w:color="auto"/>
            </w:tcBorders>
            <w:shd w:val="clear" w:color="auto" w:fill="auto"/>
          </w:tcPr>
          <w:p w14:paraId="4DE3E85E" w14:textId="77777777" w:rsidR="00466B8B" w:rsidRPr="002A6AB6" w:rsidRDefault="00466B8B" w:rsidP="00587700">
            <w:pPr>
              <w:keepNext/>
              <w:keepLines/>
              <w:tabs>
                <w:tab w:val="left" w:pos="567"/>
              </w:tabs>
              <w:jc w:val="both"/>
              <w:rPr>
                <w:sz w:val="22"/>
                <w:szCs w:val="22"/>
                <w:lang w:val="sr-Latn-ME"/>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B563272" w14:textId="77777777" w:rsidR="00466B8B" w:rsidRPr="002A6AB6" w:rsidRDefault="00466B8B" w:rsidP="00122792">
            <w:pPr>
              <w:keepNext/>
              <w:keepLines/>
              <w:tabs>
                <w:tab w:val="left" w:pos="567"/>
              </w:tabs>
              <w:jc w:val="center"/>
              <w:rPr>
                <w:sz w:val="22"/>
                <w:szCs w:val="22"/>
                <w:lang w:val="sr-Latn-ME"/>
              </w:rPr>
            </w:pPr>
            <w:proofErr w:type="spellStart"/>
            <w:r w:rsidRPr="002A6AB6">
              <w:rPr>
                <w:sz w:val="22"/>
                <w:szCs w:val="22"/>
                <w:lang w:val="sr-Latn-ME"/>
              </w:rPr>
              <w:t>Okrelizumab</w:t>
            </w:r>
            <w:proofErr w:type="spellEnd"/>
            <w:r w:rsidRPr="002A6AB6">
              <w:rPr>
                <w:sz w:val="22"/>
                <w:szCs w:val="22"/>
                <w:lang w:val="sr-Latn-ME"/>
              </w:rPr>
              <w:t xml:space="preserve"> 600 mg</w:t>
            </w:r>
          </w:p>
          <w:p w14:paraId="74DA0026"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(n=488)</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6A44AF9B" w14:textId="77777777" w:rsidR="00466B8B" w:rsidRPr="002A6AB6" w:rsidRDefault="00466B8B" w:rsidP="00122792">
            <w:pPr>
              <w:keepNext/>
              <w:keepLines/>
              <w:tabs>
                <w:tab w:val="left" w:pos="567"/>
              </w:tabs>
              <w:jc w:val="center"/>
              <w:rPr>
                <w:sz w:val="22"/>
                <w:szCs w:val="22"/>
                <w:lang w:val="sr-Latn-ME"/>
              </w:rPr>
            </w:pPr>
            <w:proofErr w:type="spellStart"/>
            <w:r w:rsidRPr="002A6AB6">
              <w:rPr>
                <w:sz w:val="22"/>
                <w:szCs w:val="22"/>
                <w:lang w:val="sr-Latn-ME"/>
              </w:rPr>
              <w:t>Placebo</w:t>
            </w:r>
            <w:proofErr w:type="spellEnd"/>
          </w:p>
          <w:p w14:paraId="6811CC9C"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(n=244)</w:t>
            </w:r>
          </w:p>
        </w:tc>
      </w:tr>
      <w:tr w:rsidR="00466B8B" w:rsidRPr="002A6AB6" w14:paraId="2679D4BA" w14:textId="77777777" w:rsidTr="00466B8B">
        <w:trPr>
          <w:cantSplit/>
          <w:trHeight w:val="257"/>
        </w:trPr>
        <w:tc>
          <w:tcPr>
            <w:tcW w:w="8704" w:type="dxa"/>
            <w:gridSpan w:val="3"/>
            <w:tcBorders>
              <w:top w:val="single" w:sz="4" w:space="0" w:color="auto"/>
              <w:left w:val="single" w:sz="4" w:space="0" w:color="auto"/>
              <w:right w:val="double" w:sz="4" w:space="0" w:color="auto"/>
            </w:tcBorders>
            <w:shd w:val="clear" w:color="auto" w:fill="auto"/>
          </w:tcPr>
          <w:p w14:paraId="68F8A90A" w14:textId="77777777" w:rsidR="00466B8B" w:rsidRPr="002A6AB6" w:rsidRDefault="00466B8B" w:rsidP="00587700">
            <w:pPr>
              <w:keepNext/>
              <w:keepLines/>
              <w:tabs>
                <w:tab w:val="left" w:pos="567"/>
              </w:tabs>
              <w:jc w:val="both"/>
              <w:rPr>
                <w:sz w:val="22"/>
                <w:szCs w:val="22"/>
                <w:lang w:val="sr-Latn-ME"/>
              </w:rPr>
            </w:pPr>
            <w:r w:rsidRPr="002A6AB6">
              <w:rPr>
                <w:b/>
                <w:bCs/>
                <w:sz w:val="22"/>
                <w:szCs w:val="22"/>
                <w:lang w:val="sr-Latn-ME"/>
              </w:rPr>
              <w:t>Klinički parametri praćenja</w:t>
            </w:r>
          </w:p>
        </w:tc>
      </w:tr>
      <w:tr w:rsidR="00466B8B" w:rsidRPr="002A6AB6" w14:paraId="7C294079" w14:textId="77777777" w:rsidTr="00466B8B">
        <w:trPr>
          <w:cantSplit/>
          <w:trHeight w:val="1030"/>
        </w:trPr>
        <w:tc>
          <w:tcPr>
            <w:tcW w:w="4875" w:type="dxa"/>
            <w:vMerge w:val="restart"/>
            <w:tcBorders>
              <w:top w:val="single" w:sz="4" w:space="0" w:color="auto"/>
              <w:left w:val="single" w:sz="4" w:space="0" w:color="auto"/>
              <w:bottom w:val="single" w:sz="4" w:space="0" w:color="auto"/>
              <w:right w:val="single" w:sz="4" w:space="0" w:color="auto"/>
            </w:tcBorders>
            <w:shd w:val="clear" w:color="auto" w:fill="auto"/>
          </w:tcPr>
          <w:p w14:paraId="2AE2B338" w14:textId="77777777" w:rsidR="00466B8B" w:rsidRPr="002A6AB6" w:rsidRDefault="00466B8B" w:rsidP="00587700">
            <w:pPr>
              <w:keepNext/>
              <w:keepLines/>
              <w:tabs>
                <w:tab w:val="left" w:pos="567"/>
              </w:tabs>
              <w:jc w:val="both"/>
              <w:rPr>
                <w:b/>
                <w:sz w:val="22"/>
                <w:szCs w:val="22"/>
                <w:lang w:val="sr-Latn-ME"/>
              </w:rPr>
            </w:pPr>
            <w:r w:rsidRPr="002A6AB6">
              <w:rPr>
                <w:b/>
                <w:bCs/>
                <w:sz w:val="22"/>
                <w:szCs w:val="22"/>
                <w:lang w:val="sr-Latn-ME"/>
              </w:rPr>
              <w:t xml:space="preserve">Primarni parametar praćenja efikasnosti </w:t>
            </w:r>
          </w:p>
          <w:p w14:paraId="56024867" w14:textId="77777777" w:rsidR="00466B8B" w:rsidRPr="002A6AB6" w:rsidRDefault="00466B8B" w:rsidP="00587700">
            <w:pPr>
              <w:keepNext/>
              <w:keepLines/>
              <w:tabs>
                <w:tab w:val="left" w:pos="567"/>
              </w:tabs>
              <w:jc w:val="both"/>
              <w:rPr>
                <w:sz w:val="22"/>
                <w:szCs w:val="22"/>
                <w:lang w:val="sr-Latn-ME"/>
              </w:rPr>
            </w:pPr>
            <w:r w:rsidRPr="002A6AB6">
              <w:rPr>
                <w:sz w:val="22"/>
                <w:szCs w:val="22"/>
                <w:lang w:val="sr-Latn-ME"/>
              </w:rPr>
              <w:t xml:space="preserve">Procenat pacijenata sa potvrđenom progresijom </w:t>
            </w:r>
            <w:proofErr w:type="spellStart"/>
            <w:r w:rsidRPr="002A6AB6">
              <w:rPr>
                <w:sz w:val="22"/>
                <w:szCs w:val="22"/>
                <w:lang w:val="sr-Latn-ME"/>
              </w:rPr>
              <w:t>onesposobljenosti</w:t>
            </w:r>
            <w:proofErr w:type="spellEnd"/>
            <w:r w:rsidRPr="002A6AB6">
              <w:rPr>
                <w:sz w:val="22"/>
                <w:szCs w:val="22"/>
                <w:lang w:val="sr-Latn-ME"/>
              </w:rPr>
              <w:t xml:space="preserve"> u 12. nedjelji</w:t>
            </w:r>
            <w:r w:rsidRPr="002A6AB6">
              <w:rPr>
                <w:sz w:val="22"/>
                <w:szCs w:val="22"/>
                <w:vertAlign w:val="superscript"/>
                <w:lang w:val="sr-Latn-ME"/>
              </w:rPr>
              <w:t xml:space="preserve">1 </w:t>
            </w:r>
            <w:r w:rsidRPr="002A6AB6">
              <w:rPr>
                <w:sz w:val="22"/>
                <w:szCs w:val="22"/>
                <w:lang w:val="sr-Latn-ME"/>
              </w:rPr>
              <w:t>(primarni parametar praćenja)</w:t>
            </w:r>
          </w:p>
          <w:p w14:paraId="30A08830" w14:textId="77777777" w:rsidR="00466B8B" w:rsidRPr="002A6AB6" w:rsidRDefault="00466B8B" w:rsidP="00587700">
            <w:pPr>
              <w:keepNext/>
              <w:keepLines/>
              <w:tabs>
                <w:tab w:val="left" w:pos="567"/>
              </w:tabs>
              <w:jc w:val="both"/>
              <w:rPr>
                <w:sz w:val="22"/>
                <w:szCs w:val="22"/>
                <w:lang w:val="sr-Latn-ME"/>
              </w:rPr>
            </w:pPr>
          </w:p>
          <w:p w14:paraId="19955B14" w14:textId="77777777" w:rsidR="00466B8B" w:rsidRPr="002A6AB6" w:rsidRDefault="00466B8B" w:rsidP="00587700">
            <w:pPr>
              <w:keepNext/>
              <w:keepLines/>
              <w:tabs>
                <w:tab w:val="left" w:pos="567"/>
              </w:tabs>
              <w:ind w:left="431"/>
              <w:jc w:val="both"/>
              <w:rPr>
                <w:sz w:val="22"/>
                <w:szCs w:val="22"/>
                <w:lang w:val="sr-Latn-ME"/>
              </w:rPr>
            </w:pPr>
            <w:r w:rsidRPr="002A6AB6">
              <w:rPr>
                <w:sz w:val="22"/>
                <w:szCs w:val="22"/>
                <w:lang w:val="sr-Latn-ME"/>
              </w:rPr>
              <w:t>Smanjenje rizika</w:t>
            </w:r>
          </w:p>
          <w:p w14:paraId="11D3C63D" w14:textId="77777777" w:rsidR="00466B8B" w:rsidRPr="002A6AB6" w:rsidRDefault="00466B8B" w:rsidP="00587700">
            <w:pPr>
              <w:keepNext/>
              <w:keepLines/>
              <w:tabs>
                <w:tab w:val="left" w:pos="567"/>
              </w:tabs>
              <w:jc w:val="both"/>
              <w:rPr>
                <w:sz w:val="22"/>
                <w:szCs w:val="22"/>
                <w:lang w:val="sr-Latn-ME"/>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468DFF1"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30,2%</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4663C27E"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34,0%</w:t>
            </w:r>
          </w:p>
        </w:tc>
      </w:tr>
      <w:tr w:rsidR="00466B8B" w:rsidRPr="002A6AB6" w14:paraId="7C0BA544" w14:textId="77777777" w:rsidTr="00466B8B">
        <w:trPr>
          <w:cantSplit/>
          <w:trHeight w:val="571"/>
        </w:trPr>
        <w:tc>
          <w:tcPr>
            <w:tcW w:w="4875" w:type="dxa"/>
            <w:vMerge/>
            <w:tcBorders>
              <w:left w:val="single" w:sz="4" w:space="0" w:color="auto"/>
              <w:bottom w:val="single" w:sz="4" w:space="0" w:color="auto"/>
              <w:right w:val="single" w:sz="4" w:space="0" w:color="auto"/>
            </w:tcBorders>
            <w:shd w:val="clear" w:color="auto" w:fill="auto"/>
          </w:tcPr>
          <w:p w14:paraId="559B66F4" w14:textId="77777777" w:rsidR="00466B8B" w:rsidRPr="002A6AB6" w:rsidRDefault="00466B8B" w:rsidP="00587700">
            <w:pPr>
              <w:keepNext/>
              <w:keepLines/>
              <w:tabs>
                <w:tab w:val="left" w:pos="567"/>
              </w:tabs>
              <w:jc w:val="both"/>
              <w:rPr>
                <w:b/>
                <w:sz w:val="22"/>
                <w:szCs w:val="22"/>
                <w:lang w:val="sr-Latn-ME"/>
              </w:rPr>
            </w:pPr>
          </w:p>
        </w:tc>
        <w:tc>
          <w:tcPr>
            <w:tcW w:w="3829" w:type="dxa"/>
            <w:gridSpan w:val="2"/>
            <w:tcBorders>
              <w:top w:val="single" w:sz="4" w:space="0" w:color="auto"/>
              <w:left w:val="single" w:sz="4" w:space="0" w:color="auto"/>
              <w:bottom w:val="single" w:sz="4" w:space="0" w:color="auto"/>
              <w:right w:val="single" w:sz="4" w:space="0" w:color="auto"/>
            </w:tcBorders>
            <w:shd w:val="clear" w:color="auto" w:fill="auto"/>
          </w:tcPr>
          <w:p w14:paraId="45C9885D"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24%</w:t>
            </w:r>
          </w:p>
          <w:p w14:paraId="5F813CF0"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(p=0,0321)</w:t>
            </w:r>
          </w:p>
        </w:tc>
      </w:tr>
      <w:tr w:rsidR="00466B8B" w:rsidRPr="002A6AB6" w14:paraId="3779DD27" w14:textId="77777777" w:rsidTr="00466B8B">
        <w:trPr>
          <w:cantSplit/>
          <w:trHeight w:val="622"/>
        </w:trPr>
        <w:tc>
          <w:tcPr>
            <w:tcW w:w="4875" w:type="dxa"/>
            <w:tcBorders>
              <w:top w:val="single" w:sz="4" w:space="0" w:color="auto"/>
              <w:left w:val="single" w:sz="4" w:space="0" w:color="auto"/>
              <w:right w:val="single" w:sz="4" w:space="0" w:color="auto"/>
            </w:tcBorders>
            <w:shd w:val="clear" w:color="auto" w:fill="auto"/>
          </w:tcPr>
          <w:p w14:paraId="65D018FD" w14:textId="77777777" w:rsidR="00466B8B" w:rsidRPr="002A6AB6" w:rsidRDefault="00466B8B" w:rsidP="00587700">
            <w:pPr>
              <w:keepNext/>
              <w:keepLines/>
              <w:tabs>
                <w:tab w:val="left" w:pos="567"/>
              </w:tabs>
              <w:jc w:val="both"/>
              <w:rPr>
                <w:sz w:val="22"/>
                <w:szCs w:val="22"/>
                <w:lang w:val="sr-Latn-ME"/>
              </w:rPr>
            </w:pPr>
            <w:r w:rsidRPr="002A6AB6">
              <w:rPr>
                <w:sz w:val="22"/>
                <w:szCs w:val="22"/>
                <w:lang w:val="sr-Latn-ME"/>
              </w:rPr>
              <w:t xml:space="preserve">Procenat pacijenata sa potvrđenom progresijom </w:t>
            </w:r>
            <w:proofErr w:type="spellStart"/>
            <w:r w:rsidRPr="002A6AB6">
              <w:rPr>
                <w:sz w:val="22"/>
                <w:szCs w:val="22"/>
                <w:lang w:val="sr-Latn-ME"/>
              </w:rPr>
              <w:t>onesposobljenosti</w:t>
            </w:r>
            <w:proofErr w:type="spellEnd"/>
            <w:r w:rsidRPr="002A6AB6">
              <w:rPr>
                <w:sz w:val="22"/>
                <w:szCs w:val="22"/>
                <w:lang w:val="sr-Latn-ME"/>
              </w:rPr>
              <w:t xml:space="preserve"> u 24. nedjelji</w:t>
            </w:r>
            <w:r w:rsidRPr="002A6AB6">
              <w:rPr>
                <w:sz w:val="22"/>
                <w:szCs w:val="22"/>
                <w:vertAlign w:val="superscript"/>
                <w:lang w:val="sr-Latn-ME"/>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5B8257"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28,3%</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00A43B0C"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32,7%</w:t>
            </w:r>
          </w:p>
        </w:tc>
      </w:tr>
      <w:tr w:rsidR="00466B8B" w:rsidRPr="002A6AB6" w14:paraId="2A6D7A3A" w14:textId="77777777" w:rsidTr="00466B8B">
        <w:trPr>
          <w:cantSplit/>
          <w:trHeight w:val="413"/>
        </w:trPr>
        <w:tc>
          <w:tcPr>
            <w:tcW w:w="4875" w:type="dxa"/>
            <w:tcBorders>
              <w:left w:val="single" w:sz="4" w:space="0" w:color="auto"/>
              <w:bottom w:val="single" w:sz="4" w:space="0" w:color="auto"/>
              <w:right w:val="single" w:sz="4" w:space="0" w:color="auto"/>
            </w:tcBorders>
            <w:shd w:val="clear" w:color="auto" w:fill="auto"/>
          </w:tcPr>
          <w:p w14:paraId="5925F7EF" w14:textId="77777777" w:rsidR="00466B8B" w:rsidRPr="002A6AB6" w:rsidRDefault="00466B8B" w:rsidP="00587700">
            <w:pPr>
              <w:keepNext/>
              <w:keepLines/>
              <w:tabs>
                <w:tab w:val="left" w:pos="567"/>
              </w:tabs>
              <w:ind w:left="431"/>
              <w:jc w:val="both"/>
              <w:rPr>
                <w:sz w:val="22"/>
                <w:szCs w:val="22"/>
                <w:lang w:val="sr-Latn-ME"/>
              </w:rPr>
            </w:pPr>
            <w:r w:rsidRPr="002A6AB6">
              <w:rPr>
                <w:sz w:val="22"/>
                <w:szCs w:val="22"/>
                <w:lang w:val="sr-Latn-ME"/>
              </w:rPr>
              <w:t>Smanjenje rizika</w:t>
            </w:r>
          </w:p>
          <w:p w14:paraId="20A57E2B" w14:textId="77777777" w:rsidR="00466B8B" w:rsidRPr="002A6AB6" w:rsidRDefault="00466B8B" w:rsidP="00587700">
            <w:pPr>
              <w:keepNext/>
              <w:keepLines/>
              <w:tabs>
                <w:tab w:val="left" w:pos="567"/>
              </w:tabs>
              <w:jc w:val="both"/>
              <w:rPr>
                <w:sz w:val="22"/>
                <w:szCs w:val="22"/>
                <w:lang w:val="sr-Latn-ME"/>
              </w:rPr>
            </w:pPr>
          </w:p>
        </w:tc>
        <w:tc>
          <w:tcPr>
            <w:tcW w:w="3829" w:type="dxa"/>
            <w:gridSpan w:val="2"/>
            <w:tcBorders>
              <w:top w:val="single" w:sz="4" w:space="0" w:color="auto"/>
              <w:left w:val="single" w:sz="4" w:space="0" w:color="auto"/>
              <w:bottom w:val="single" w:sz="4" w:space="0" w:color="auto"/>
              <w:right w:val="single" w:sz="4" w:space="0" w:color="auto"/>
            </w:tcBorders>
            <w:shd w:val="clear" w:color="auto" w:fill="auto"/>
          </w:tcPr>
          <w:p w14:paraId="07E5F225"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25%</w:t>
            </w:r>
          </w:p>
          <w:p w14:paraId="1B87239A"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(p=0,0365)</w:t>
            </w:r>
          </w:p>
        </w:tc>
      </w:tr>
      <w:tr w:rsidR="00466B8B" w:rsidRPr="002A6AB6" w14:paraId="01E6DC36" w14:textId="77777777" w:rsidTr="00466B8B">
        <w:trPr>
          <w:cantSplit/>
          <w:trHeight w:val="614"/>
        </w:trPr>
        <w:tc>
          <w:tcPr>
            <w:tcW w:w="4875" w:type="dxa"/>
            <w:tcBorders>
              <w:left w:val="single" w:sz="4" w:space="0" w:color="auto"/>
              <w:right w:val="single" w:sz="4" w:space="0" w:color="auto"/>
            </w:tcBorders>
            <w:shd w:val="clear" w:color="auto" w:fill="auto"/>
          </w:tcPr>
          <w:p w14:paraId="44F6CE26" w14:textId="77777777" w:rsidR="00466B8B" w:rsidRPr="002A6AB6" w:rsidRDefault="00466B8B" w:rsidP="00587700">
            <w:pPr>
              <w:keepNext/>
              <w:keepLines/>
              <w:tabs>
                <w:tab w:val="left" w:pos="567"/>
              </w:tabs>
              <w:jc w:val="both"/>
              <w:rPr>
                <w:sz w:val="22"/>
                <w:szCs w:val="22"/>
                <w:lang w:val="sr-Latn-ME"/>
              </w:rPr>
            </w:pPr>
            <w:r w:rsidRPr="002A6AB6">
              <w:rPr>
                <w:sz w:val="22"/>
                <w:szCs w:val="22"/>
                <w:lang w:val="sr-Latn-ME"/>
              </w:rPr>
              <w:t xml:space="preserve">Procentualna promjena u testu hoda na određenu udaljenost (engl. </w:t>
            </w:r>
            <w:proofErr w:type="spellStart"/>
            <w:r w:rsidRPr="002A6AB6">
              <w:rPr>
                <w:i/>
                <w:iCs/>
                <w:sz w:val="22"/>
                <w:szCs w:val="22"/>
                <w:lang w:val="sr-Latn-ME"/>
              </w:rPr>
              <w:t>Timed</w:t>
            </w:r>
            <w:proofErr w:type="spellEnd"/>
            <w:r w:rsidRPr="002A6AB6">
              <w:rPr>
                <w:i/>
                <w:iCs/>
                <w:sz w:val="22"/>
                <w:szCs w:val="22"/>
                <w:lang w:val="sr-Latn-ME"/>
              </w:rPr>
              <w:t xml:space="preserve"> 25-Foot </w:t>
            </w:r>
            <w:proofErr w:type="spellStart"/>
            <w:r w:rsidRPr="002A6AB6">
              <w:rPr>
                <w:i/>
                <w:iCs/>
                <w:sz w:val="22"/>
                <w:szCs w:val="22"/>
                <w:lang w:val="sr-Latn-ME"/>
              </w:rPr>
              <w:t>Walk</w:t>
            </w:r>
            <w:proofErr w:type="spellEnd"/>
            <w:r w:rsidRPr="002A6AB6">
              <w:rPr>
                <w:sz w:val="22"/>
                <w:szCs w:val="22"/>
                <w:lang w:val="sr-Latn-ME"/>
              </w:rPr>
              <w:t>) do 120. nedjelje</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B4F61CB"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38,9</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3F67885B" w14:textId="77777777" w:rsidR="00466B8B" w:rsidRPr="002A6AB6" w:rsidRDefault="00466B8B" w:rsidP="00122792">
            <w:pPr>
              <w:keepNext/>
              <w:keepLines/>
              <w:tabs>
                <w:tab w:val="left" w:pos="567"/>
              </w:tabs>
              <w:jc w:val="center"/>
              <w:rPr>
                <w:sz w:val="22"/>
                <w:szCs w:val="22"/>
                <w:lang w:val="sr-Latn-ME"/>
              </w:rPr>
            </w:pPr>
            <w:r w:rsidRPr="002A6AB6">
              <w:rPr>
                <w:sz w:val="22"/>
                <w:szCs w:val="22"/>
                <w:lang w:val="sr-Latn-ME"/>
              </w:rPr>
              <w:t>55,1</w:t>
            </w:r>
          </w:p>
        </w:tc>
      </w:tr>
      <w:tr w:rsidR="00466B8B" w:rsidRPr="002A6AB6" w14:paraId="1AA57139" w14:textId="77777777" w:rsidTr="00466B8B">
        <w:trPr>
          <w:cantSplit/>
          <w:trHeight w:val="567"/>
        </w:trPr>
        <w:tc>
          <w:tcPr>
            <w:tcW w:w="4875" w:type="dxa"/>
            <w:tcBorders>
              <w:left w:val="single" w:sz="4" w:space="0" w:color="auto"/>
              <w:bottom w:val="single" w:sz="4" w:space="0" w:color="auto"/>
              <w:right w:val="single" w:sz="4" w:space="0" w:color="auto"/>
            </w:tcBorders>
            <w:shd w:val="clear" w:color="auto" w:fill="auto"/>
          </w:tcPr>
          <w:p w14:paraId="109AAC3B" w14:textId="77777777" w:rsidR="00466B8B" w:rsidRPr="002A6AB6" w:rsidRDefault="00466B8B" w:rsidP="00587700">
            <w:pPr>
              <w:tabs>
                <w:tab w:val="left" w:pos="567"/>
              </w:tabs>
              <w:ind w:left="431"/>
              <w:jc w:val="both"/>
              <w:rPr>
                <w:sz w:val="22"/>
                <w:szCs w:val="22"/>
                <w:lang w:val="sr-Latn-ME"/>
              </w:rPr>
            </w:pPr>
            <w:r w:rsidRPr="002A6AB6">
              <w:rPr>
                <w:sz w:val="22"/>
                <w:szCs w:val="22"/>
                <w:lang w:val="sr-Latn-ME"/>
              </w:rPr>
              <w:t xml:space="preserve">Relativno smanjenje stope progresije </w:t>
            </w:r>
            <w:proofErr w:type="spellStart"/>
            <w:r w:rsidRPr="002A6AB6">
              <w:rPr>
                <w:sz w:val="22"/>
                <w:szCs w:val="22"/>
                <w:lang w:val="sr-Latn-ME"/>
              </w:rPr>
              <w:t>vremena</w:t>
            </w:r>
            <w:proofErr w:type="spellEnd"/>
            <w:r w:rsidRPr="002A6AB6">
              <w:rPr>
                <w:sz w:val="22"/>
                <w:szCs w:val="22"/>
                <w:lang w:val="sr-Latn-ME"/>
              </w:rPr>
              <w:t xml:space="preserve"> hodanja</w:t>
            </w:r>
          </w:p>
          <w:p w14:paraId="18CE1826" w14:textId="77777777" w:rsidR="00466B8B" w:rsidRPr="002A6AB6" w:rsidRDefault="00466B8B" w:rsidP="00587700">
            <w:pPr>
              <w:tabs>
                <w:tab w:val="left" w:pos="567"/>
              </w:tabs>
              <w:jc w:val="both"/>
              <w:rPr>
                <w:sz w:val="22"/>
                <w:szCs w:val="22"/>
                <w:lang w:val="sr-Latn-ME"/>
              </w:rPr>
            </w:pPr>
          </w:p>
        </w:tc>
        <w:tc>
          <w:tcPr>
            <w:tcW w:w="3829" w:type="dxa"/>
            <w:gridSpan w:val="2"/>
            <w:tcBorders>
              <w:top w:val="single" w:sz="4" w:space="0" w:color="auto"/>
              <w:left w:val="single" w:sz="4" w:space="0" w:color="auto"/>
              <w:bottom w:val="single" w:sz="4" w:space="0" w:color="auto"/>
              <w:right w:val="single" w:sz="4" w:space="0" w:color="auto"/>
            </w:tcBorders>
            <w:shd w:val="clear" w:color="auto" w:fill="auto"/>
          </w:tcPr>
          <w:p w14:paraId="35812393" w14:textId="77777777" w:rsidR="00466B8B" w:rsidRPr="002A6AB6" w:rsidRDefault="00466B8B" w:rsidP="00122792">
            <w:pPr>
              <w:tabs>
                <w:tab w:val="left" w:pos="567"/>
              </w:tabs>
              <w:jc w:val="center"/>
              <w:rPr>
                <w:sz w:val="22"/>
                <w:szCs w:val="22"/>
                <w:lang w:val="sr-Latn-ME"/>
              </w:rPr>
            </w:pPr>
            <w:r w:rsidRPr="002A6AB6">
              <w:rPr>
                <w:sz w:val="22"/>
                <w:szCs w:val="22"/>
                <w:lang w:val="sr-Latn-ME"/>
              </w:rPr>
              <w:t>29,4%</w:t>
            </w:r>
          </w:p>
          <w:p w14:paraId="363E99F7" w14:textId="77777777" w:rsidR="00466B8B" w:rsidRPr="002A6AB6" w:rsidRDefault="00466B8B" w:rsidP="00122792">
            <w:pPr>
              <w:tabs>
                <w:tab w:val="left" w:pos="567"/>
              </w:tabs>
              <w:jc w:val="center"/>
              <w:rPr>
                <w:sz w:val="22"/>
                <w:szCs w:val="22"/>
                <w:lang w:val="sr-Latn-ME"/>
              </w:rPr>
            </w:pPr>
            <w:r w:rsidRPr="002A6AB6">
              <w:rPr>
                <w:sz w:val="22"/>
                <w:szCs w:val="22"/>
                <w:lang w:val="sr-Latn-ME"/>
              </w:rPr>
              <w:t>(p=0,0404)</w:t>
            </w:r>
          </w:p>
        </w:tc>
      </w:tr>
      <w:tr w:rsidR="00466B8B" w:rsidRPr="002A6AB6" w14:paraId="7B4BD979" w14:textId="77777777" w:rsidTr="00466B8B">
        <w:trPr>
          <w:cantSplit/>
          <w:trHeight w:val="433"/>
        </w:trPr>
        <w:tc>
          <w:tcPr>
            <w:tcW w:w="8704" w:type="dxa"/>
            <w:gridSpan w:val="3"/>
            <w:tcBorders>
              <w:top w:val="single" w:sz="4" w:space="0" w:color="auto"/>
              <w:left w:val="single" w:sz="4" w:space="0" w:color="auto"/>
              <w:bottom w:val="single" w:sz="4" w:space="0" w:color="auto"/>
              <w:right w:val="double" w:sz="4" w:space="0" w:color="auto"/>
            </w:tcBorders>
            <w:shd w:val="clear" w:color="auto" w:fill="auto"/>
          </w:tcPr>
          <w:p w14:paraId="57F55F0A" w14:textId="77777777" w:rsidR="00466B8B" w:rsidRPr="002A6AB6" w:rsidRDefault="00466B8B" w:rsidP="00587700">
            <w:pPr>
              <w:tabs>
                <w:tab w:val="left" w:pos="567"/>
              </w:tabs>
              <w:jc w:val="both"/>
              <w:rPr>
                <w:sz w:val="22"/>
                <w:szCs w:val="22"/>
                <w:lang w:val="sr-Latn-ME"/>
              </w:rPr>
            </w:pPr>
            <w:r w:rsidRPr="002A6AB6">
              <w:rPr>
                <w:b/>
                <w:bCs/>
                <w:sz w:val="22"/>
                <w:szCs w:val="22"/>
                <w:lang w:val="sr-Latn-ME"/>
              </w:rPr>
              <w:t>Parametri praćenja MR</w:t>
            </w:r>
          </w:p>
        </w:tc>
      </w:tr>
      <w:tr w:rsidR="00466B8B" w:rsidRPr="002A6AB6" w14:paraId="46032981" w14:textId="77777777" w:rsidTr="00466B8B">
        <w:trPr>
          <w:cantSplit/>
          <w:trHeight w:val="740"/>
        </w:trPr>
        <w:tc>
          <w:tcPr>
            <w:tcW w:w="4875" w:type="dxa"/>
            <w:tcBorders>
              <w:top w:val="single" w:sz="4" w:space="0" w:color="auto"/>
              <w:left w:val="single" w:sz="4" w:space="0" w:color="auto"/>
              <w:right w:val="single" w:sz="4" w:space="0" w:color="auto"/>
            </w:tcBorders>
            <w:shd w:val="clear" w:color="auto" w:fill="auto"/>
          </w:tcPr>
          <w:p w14:paraId="27E2E4CE" w14:textId="77777777" w:rsidR="00466B8B" w:rsidRPr="002A6AB6" w:rsidRDefault="00466B8B" w:rsidP="00587700">
            <w:pPr>
              <w:tabs>
                <w:tab w:val="left" w:pos="567"/>
              </w:tabs>
              <w:jc w:val="both"/>
              <w:rPr>
                <w:sz w:val="22"/>
                <w:szCs w:val="22"/>
                <w:lang w:val="sr-Latn-ME"/>
              </w:rPr>
            </w:pPr>
            <w:r w:rsidRPr="002A6AB6">
              <w:rPr>
                <w:sz w:val="22"/>
                <w:szCs w:val="22"/>
                <w:lang w:val="sr-Latn-ME"/>
              </w:rPr>
              <w:t xml:space="preserve">Procentualna promjena u zapremini </w:t>
            </w:r>
            <w:proofErr w:type="spellStart"/>
            <w:r w:rsidRPr="002A6AB6">
              <w:rPr>
                <w:sz w:val="22"/>
                <w:szCs w:val="22"/>
                <w:lang w:val="sr-Latn-ME"/>
              </w:rPr>
              <w:t>hiperintenzivnih</w:t>
            </w:r>
            <w:proofErr w:type="spellEnd"/>
            <w:r w:rsidRPr="002A6AB6">
              <w:rPr>
                <w:sz w:val="22"/>
                <w:szCs w:val="22"/>
                <w:lang w:val="sr-Latn-ME"/>
              </w:rPr>
              <w:t xml:space="preserve"> T2 </w:t>
            </w:r>
            <w:proofErr w:type="spellStart"/>
            <w:r w:rsidRPr="002A6AB6">
              <w:rPr>
                <w:sz w:val="22"/>
                <w:szCs w:val="22"/>
                <w:lang w:val="sr-Latn-ME"/>
              </w:rPr>
              <w:t>lezija</w:t>
            </w:r>
            <w:proofErr w:type="spellEnd"/>
            <w:r w:rsidRPr="002A6AB6">
              <w:rPr>
                <w:sz w:val="22"/>
                <w:szCs w:val="22"/>
                <w:lang w:val="sr-Latn-ME"/>
              </w:rPr>
              <w:t xml:space="preserve">, od uključenja do 120. nedjelje </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6707167" w14:textId="77777777" w:rsidR="00466B8B" w:rsidRPr="002A6AB6" w:rsidRDefault="00466B8B" w:rsidP="00122792">
            <w:pPr>
              <w:tabs>
                <w:tab w:val="left" w:pos="567"/>
              </w:tabs>
              <w:jc w:val="center"/>
              <w:rPr>
                <w:sz w:val="22"/>
                <w:szCs w:val="22"/>
                <w:lang w:val="sr-Latn-ME"/>
              </w:rPr>
            </w:pPr>
            <w:r w:rsidRPr="002A6AB6">
              <w:rPr>
                <w:sz w:val="22"/>
                <w:szCs w:val="22"/>
                <w:lang w:val="sr-Latn-ME"/>
              </w:rPr>
              <w:t>-3,4</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62BB4998" w14:textId="77777777" w:rsidR="00466B8B" w:rsidRPr="002A6AB6" w:rsidRDefault="00466B8B" w:rsidP="00122792">
            <w:pPr>
              <w:tabs>
                <w:tab w:val="left" w:pos="567"/>
              </w:tabs>
              <w:jc w:val="center"/>
              <w:rPr>
                <w:sz w:val="22"/>
                <w:szCs w:val="22"/>
                <w:lang w:val="sr-Latn-ME"/>
              </w:rPr>
            </w:pPr>
            <w:r w:rsidRPr="002A6AB6">
              <w:rPr>
                <w:sz w:val="22"/>
                <w:szCs w:val="22"/>
                <w:lang w:val="sr-Latn-ME"/>
              </w:rPr>
              <w:t>7,4</w:t>
            </w:r>
          </w:p>
        </w:tc>
      </w:tr>
      <w:tr w:rsidR="00466B8B" w:rsidRPr="002A6AB6" w14:paraId="540C1B39" w14:textId="77777777" w:rsidTr="00466B8B">
        <w:trPr>
          <w:cantSplit/>
          <w:trHeight w:val="437"/>
        </w:trPr>
        <w:tc>
          <w:tcPr>
            <w:tcW w:w="4875" w:type="dxa"/>
            <w:tcBorders>
              <w:left w:val="single" w:sz="4" w:space="0" w:color="auto"/>
              <w:bottom w:val="single" w:sz="4" w:space="0" w:color="auto"/>
              <w:right w:val="single" w:sz="4" w:space="0" w:color="auto"/>
            </w:tcBorders>
            <w:shd w:val="clear" w:color="auto" w:fill="auto"/>
          </w:tcPr>
          <w:p w14:paraId="025C192D" w14:textId="77777777" w:rsidR="00466B8B" w:rsidRPr="002A6AB6" w:rsidRDefault="00466B8B" w:rsidP="00587700">
            <w:pPr>
              <w:tabs>
                <w:tab w:val="left" w:pos="567"/>
              </w:tabs>
              <w:jc w:val="both"/>
              <w:rPr>
                <w:sz w:val="22"/>
                <w:szCs w:val="22"/>
                <w:lang w:val="sr-Latn-ME"/>
              </w:rPr>
            </w:pPr>
            <w:r w:rsidRPr="002A6AB6">
              <w:rPr>
                <w:sz w:val="22"/>
                <w:szCs w:val="22"/>
                <w:lang w:val="sr-Latn-ME"/>
              </w:rPr>
              <w:t xml:space="preserve"> </w:t>
            </w:r>
          </w:p>
        </w:tc>
        <w:tc>
          <w:tcPr>
            <w:tcW w:w="3829" w:type="dxa"/>
            <w:gridSpan w:val="2"/>
            <w:tcBorders>
              <w:top w:val="single" w:sz="4" w:space="0" w:color="auto"/>
              <w:left w:val="single" w:sz="4" w:space="0" w:color="auto"/>
              <w:bottom w:val="single" w:sz="4" w:space="0" w:color="auto"/>
              <w:right w:val="single" w:sz="4" w:space="0" w:color="auto"/>
            </w:tcBorders>
            <w:shd w:val="clear" w:color="auto" w:fill="auto"/>
          </w:tcPr>
          <w:p w14:paraId="223E88A0" w14:textId="77777777" w:rsidR="00466B8B" w:rsidRPr="002A6AB6" w:rsidRDefault="00466B8B" w:rsidP="00122792">
            <w:pPr>
              <w:tabs>
                <w:tab w:val="left" w:pos="567"/>
              </w:tabs>
              <w:jc w:val="center"/>
              <w:rPr>
                <w:sz w:val="22"/>
                <w:szCs w:val="22"/>
                <w:lang w:val="sr-Latn-ME"/>
              </w:rPr>
            </w:pPr>
            <w:r w:rsidRPr="002A6AB6">
              <w:rPr>
                <w:sz w:val="22"/>
                <w:szCs w:val="22"/>
                <w:lang w:val="sr-Latn-ME"/>
              </w:rPr>
              <w:t>(p&lt;0,0001)</w:t>
            </w:r>
          </w:p>
        </w:tc>
      </w:tr>
      <w:tr w:rsidR="00466B8B" w:rsidRPr="002A6AB6" w14:paraId="70C90E37" w14:textId="77777777" w:rsidTr="00466B8B">
        <w:trPr>
          <w:cantSplit/>
          <w:trHeight w:val="549"/>
        </w:trPr>
        <w:tc>
          <w:tcPr>
            <w:tcW w:w="4875" w:type="dxa"/>
            <w:tcBorders>
              <w:top w:val="single" w:sz="4" w:space="0" w:color="auto"/>
              <w:left w:val="single" w:sz="4" w:space="0" w:color="auto"/>
              <w:right w:val="single" w:sz="4" w:space="0" w:color="auto"/>
            </w:tcBorders>
            <w:shd w:val="clear" w:color="auto" w:fill="auto"/>
          </w:tcPr>
          <w:p w14:paraId="6F7D33EB" w14:textId="77777777" w:rsidR="00466B8B" w:rsidRPr="002A6AB6" w:rsidRDefault="00466B8B" w:rsidP="00587700">
            <w:pPr>
              <w:tabs>
                <w:tab w:val="left" w:pos="567"/>
              </w:tabs>
              <w:jc w:val="both"/>
              <w:rPr>
                <w:sz w:val="22"/>
                <w:szCs w:val="22"/>
                <w:lang w:val="sr-Latn-ME"/>
              </w:rPr>
            </w:pPr>
            <w:r w:rsidRPr="002A6AB6">
              <w:rPr>
                <w:sz w:val="22"/>
                <w:szCs w:val="22"/>
                <w:lang w:val="sr-Latn-ME"/>
              </w:rPr>
              <w:t>Procentualna promjena u zapremini mozga od 24. do 120. nedjelje</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3DB2E3" w14:textId="77777777" w:rsidR="00466B8B" w:rsidRPr="002A6AB6" w:rsidRDefault="00466B8B" w:rsidP="00122792">
            <w:pPr>
              <w:tabs>
                <w:tab w:val="left" w:pos="567"/>
              </w:tabs>
              <w:jc w:val="center"/>
              <w:rPr>
                <w:sz w:val="22"/>
                <w:szCs w:val="22"/>
                <w:lang w:val="sr-Latn-ME"/>
              </w:rPr>
            </w:pPr>
            <w:r w:rsidRPr="002A6AB6">
              <w:rPr>
                <w:sz w:val="22"/>
                <w:szCs w:val="22"/>
                <w:lang w:val="sr-Latn-ME"/>
              </w:rPr>
              <w:t>-0,902</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27047353" w14:textId="77777777" w:rsidR="00466B8B" w:rsidRPr="002A6AB6" w:rsidRDefault="00466B8B" w:rsidP="00122792">
            <w:pPr>
              <w:tabs>
                <w:tab w:val="left" w:pos="567"/>
              </w:tabs>
              <w:jc w:val="center"/>
              <w:rPr>
                <w:sz w:val="22"/>
                <w:szCs w:val="22"/>
                <w:lang w:val="sr-Latn-ME"/>
              </w:rPr>
            </w:pPr>
            <w:r w:rsidRPr="002A6AB6">
              <w:rPr>
                <w:sz w:val="22"/>
                <w:szCs w:val="22"/>
                <w:lang w:val="sr-Latn-ME"/>
              </w:rPr>
              <w:t>-1,093</w:t>
            </w:r>
          </w:p>
        </w:tc>
      </w:tr>
      <w:tr w:rsidR="00466B8B" w:rsidRPr="002A6AB6" w14:paraId="021B892D" w14:textId="77777777" w:rsidTr="00466B8B">
        <w:trPr>
          <w:cantSplit/>
          <w:trHeight w:val="708"/>
        </w:trPr>
        <w:tc>
          <w:tcPr>
            <w:tcW w:w="4875" w:type="dxa"/>
            <w:tcBorders>
              <w:left w:val="single" w:sz="4" w:space="0" w:color="auto"/>
              <w:bottom w:val="single" w:sz="4" w:space="0" w:color="auto"/>
              <w:right w:val="single" w:sz="4" w:space="0" w:color="auto"/>
            </w:tcBorders>
            <w:shd w:val="clear" w:color="auto" w:fill="auto"/>
          </w:tcPr>
          <w:p w14:paraId="6C3356BA" w14:textId="77777777" w:rsidR="00466B8B" w:rsidRPr="002A6AB6" w:rsidRDefault="00466B8B" w:rsidP="00587700">
            <w:pPr>
              <w:tabs>
                <w:tab w:val="left" w:pos="567"/>
              </w:tabs>
              <w:ind w:left="431"/>
              <w:jc w:val="both"/>
              <w:rPr>
                <w:sz w:val="22"/>
                <w:szCs w:val="22"/>
                <w:lang w:val="sr-Latn-ME"/>
              </w:rPr>
            </w:pPr>
            <w:r w:rsidRPr="002A6AB6">
              <w:rPr>
                <w:sz w:val="22"/>
                <w:szCs w:val="22"/>
                <w:lang w:val="sr-Latn-ME"/>
              </w:rPr>
              <w:t>Relativno smanjenje gubitka zapremine mozga</w:t>
            </w:r>
          </w:p>
        </w:tc>
        <w:tc>
          <w:tcPr>
            <w:tcW w:w="3829" w:type="dxa"/>
            <w:gridSpan w:val="2"/>
            <w:tcBorders>
              <w:top w:val="single" w:sz="4" w:space="0" w:color="auto"/>
              <w:left w:val="single" w:sz="4" w:space="0" w:color="auto"/>
              <w:bottom w:val="single" w:sz="4" w:space="0" w:color="auto"/>
              <w:right w:val="single" w:sz="4" w:space="0" w:color="auto"/>
            </w:tcBorders>
            <w:shd w:val="clear" w:color="auto" w:fill="auto"/>
          </w:tcPr>
          <w:p w14:paraId="08931C6D" w14:textId="77777777" w:rsidR="00466B8B" w:rsidRPr="002A6AB6" w:rsidRDefault="00466B8B" w:rsidP="00122792">
            <w:pPr>
              <w:tabs>
                <w:tab w:val="left" w:pos="567"/>
              </w:tabs>
              <w:jc w:val="center"/>
              <w:rPr>
                <w:sz w:val="22"/>
                <w:szCs w:val="22"/>
                <w:lang w:val="sr-Latn-ME"/>
              </w:rPr>
            </w:pPr>
            <w:r w:rsidRPr="002A6AB6">
              <w:rPr>
                <w:sz w:val="22"/>
                <w:szCs w:val="22"/>
                <w:lang w:val="sr-Latn-ME"/>
              </w:rPr>
              <w:t>17,5%</w:t>
            </w:r>
          </w:p>
          <w:p w14:paraId="0EB64902" w14:textId="77777777" w:rsidR="00466B8B" w:rsidRPr="002A6AB6" w:rsidRDefault="00466B8B" w:rsidP="00122792">
            <w:pPr>
              <w:tabs>
                <w:tab w:val="left" w:pos="567"/>
              </w:tabs>
              <w:jc w:val="center"/>
              <w:rPr>
                <w:sz w:val="22"/>
                <w:szCs w:val="22"/>
                <w:lang w:val="sr-Latn-ME"/>
              </w:rPr>
            </w:pPr>
            <w:r w:rsidRPr="002A6AB6">
              <w:rPr>
                <w:sz w:val="22"/>
                <w:szCs w:val="22"/>
                <w:lang w:val="sr-Latn-ME"/>
              </w:rPr>
              <w:t>(p=0,0206)</w:t>
            </w:r>
          </w:p>
        </w:tc>
      </w:tr>
    </w:tbl>
    <w:p w14:paraId="756A46B5" w14:textId="77777777" w:rsidR="00466B8B" w:rsidRPr="002A6AB6" w:rsidRDefault="00466B8B" w:rsidP="00587700">
      <w:pPr>
        <w:keepNext/>
        <w:keepLines/>
        <w:ind w:left="29"/>
        <w:jc w:val="both"/>
        <w:rPr>
          <w:color w:val="000000"/>
          <w:sz w:val="22"/>
          <w:szCs w:val="22"/>
          <w:shd w:val="clear" w:color="auto" w:fill="FFFFFF"/>
          <w:lang w:val="sr-Latn-ME" w:eastAsia="ja-JP"/>
        </w:rPr>
      </w:pPr>
      <w:r w:rsidRPr="002A6AB6">
        <w:rPr>
          <w:sz w:val="22"/>
          <w:szCs w:val="22"/>
          <w:vertAlign w:val="superscript"/>
          <w:lang w:val="sr-Latn-ME" w:eastAsia="ja-JP"/>
        </w:rPr>
        <w:t>1</w:t>
      </w:r>
      <w:r w:rsidRPr="002A6AB6">
        <w:rPr>
          <w:sz w:val="22"/>
          <w:szCs w:val="22"/>
          <w:lang w:val="sr-Latn-ME" w:eastAsia="ja-JP"/>
        </w:rPr>
        <w:t xml:space="preserve"> Definiše se kao povećanje od ≥ 1,0 poena od početnog skora proširene skale statusa invaliditeta (EDSS) za pacijente sa početnim skorom od 5,5 ili manje, ili ≥ 0,5 kada je početni skor &gt; 5,5</w:t>
      </w:r>
      <w:r w:rsidRPr="002A6AB6">
        <w:rPr>
          <w:color w:val="000000"/>
          <w:sz w:val="22"/>
          <w:szCs w:val="22"/>
          <w:shd w:val="clear" w:color="auto" w:fill="FFFFFF"/>
          <w:lang w:val="sr-Latn-ME" w:eastAsia="ja-JP"/>
        </w:rPr>
        <w:t xml:space="preserve">, </w:t>
      </w:r>
      <w:proofErr w:type="spellStart"/>
      <w:r w:rsidRPr="002A6AB6">
        <w:rPr>
          <w:color w:val="000000"/>
          <w:sz w:val="22"/>
          <w:szCs w:val="22"/>
          <w:shd w:val="clear" w:color="auto" w:fill="FFFFFF"/>
          <w:lang w:val="sr-Latn-ME" w:eastAsia="ja-JP"/>
        </w:rPr>
        <w:t>Kaplan</w:t>
      </w:r>
      <w:proofErr w:type="spellEnd"/>
      <w:r w:rsidRPr="002A6AB6">
        <w:rPr>
          <w:color w:val="000000"/>
          <w:sz w:val="22"/>
          <w:szCs w:val="22"/>
          <w:shd w:val="clear" w:color="auto" w:fill="FFFFFF"/>
          <w:lang w:val="sr-Latn-ME" w:eastAsia="ja-JP"/>
        </w:rPr>
        <w:t>-Majerove procjene u 120. nedjelji.</w:t>
      </w:r>
    </w:p>
    <w:p w14:paraId="092772EA" w14:textId="77777777" w:rsidR="00466B8B" w:rsidRPr="002A6AB6" w:rsidRDefault="00466B8B" w:rsidP="00587700">
      <w:pPr>
        <w:tabs>
          <w:tab w:val="left" w:pos="540"/>
          <w:tab w:val="left" w:pos="569"/>
        </w:tabs>
        <w:jc w:val="both"/>
        <w:rPr>
          <w:b/>
          <w:bCs/>
          <w:sz w:val="22"/>
          <w:szCs w:val="22"/>
          <w:lang w:val="sr-Latn-ME"/>
        </w:rPr>
      </w:pPr>
    </w:p>
    <w:p w14:paraId="49702771" w14:textId="77777777" w:rsidR="00320270" w:rsidRPr="002A6AB6" w:rsidRDefault="00320270">
      <w:pPr>
        <w:rPr>
          <w:b/>
          <w:bCs/>
          <w:sz w:val="22"/>
          <w:szCs w:val="22"/>
          <w:lang w:val="sr-Latn-ME" w:eastAsia="ja-JP"/>
        </w:rPr>
      </w:pPr>
      <w:r w:rsidRPr="002A6AB6">
        <w:rPr>
          <w:b/>
          <w:bCs/>
          <w:sz w:val="22"/>
          <w:szCs w:val="22"/>
          <w:lang w:val="sr-Latn-ME" w:eastAsia="ja-JP"/>
        </w:rPr>
        <w:br w:type="page"/>
      </w:r>
    </w:p>
    <w:p w14:paraId="6EA5E8DF" w14:textId="77777777" w:rsidR="00466B8B" w:rsidRPr="002A6AB6" w:rsidRDefault="00466B8B" w:rsidP="00587700">
      <w:pPr>
        <w:keepNext/>
        <w:keepLines/>
        <w:tabs>
          <w:tab w:val="left" w:pos="1152"/>
        </w:tabs>
        <w:jc w:val="both"/>
        <w:rPr>
          <w:rFonts w:eastAsia="MS Mincho"/>
          <w:bCs/>
          <w:sz w:val="22"/>
          <w:szCs w:val="22"/>
          <w:lang w:val="sr-Latn-ME" w:eastAsia="ja-JP"/>
        </w:rPr>
      </w:pPr>
      <w:r w:rsidRPr="002A6AB6">
        <w:rPr>
          <w:b/>
          <w:bCs/>
          <w:sz w:val="22"/>
          <w:szCs w:val="22"/>
          <w:lang w:val="sr-Latn-ME" w:eastAsia="ja-JP"/>
        </w:rPr>
        <w:lastRenderedPageBreak/>
        <w:t xml:space="preserve">Slika 2: </w:t>
      </w:r>
      <w:proofErr w:type="spellStart"/>
      <w:r w:rsidRPr="002A6AB6">
        <w:rPr>
          <w:b/>
          <w:bCs/>
          <w:sz w:val="22"/>
          <w:szCs w:val="22"/>
          <w:lang w:val="sr-Latn-ME" w:eastAsia="ja-JP"/>
        </w:rPr>
        <w:t>Kaplan</w:t>
      </w:r>
      <w:proofErr w:type="spellEnd"/>
      <w:r w:rsidRPr="002A6AB6">
        <w:rPr>
          <w:b/>
          <w:bCs/>
          <w:sz w:val="22"/>
          <w:szCs w:val="22"/>
          <w:lang w:val="sr-Latn-ME" w:eastAsia="ja-JP"/>
        </w:rPr>
        <w:t xml:space="preserve">-Majerov grafikon </w:t>
      </w:r>
      <w:proofErr w:type="spellStart"/>
      <w:r w:rsidRPr="002A6AB6">
        <w:rPr>
          <w:b/>
          <w:bCs/>
          <w:sz w:val="22"/>
          <w:szCs w:val="22"/>
          <w:lang w:val="sr-Latn-ME" w:eastAsia="ja-JP"/>
        </w:rPr>
        <w:t>vremena</w:t>
      </w:r>
      <w:proofErr w:type="spellEnd"/>
      <w:r w:rsidRPr="002A6AB6">
        <w:rPr>
          <w:b/>
          <w:bCs/>
          <w:sz w:val="22"/>
          <w:szCs w:val="22"/>
          <w:lang w:val="sr-Latn-ME" w:eastAsia="ja-JP"/>
        </w:rPr>
        <w:t xml:space="preserve"> do početka potvrđene progresije </w:t>
      </w:r>
      <w:proofErr w:type="spellStart"/>
      <w:r w:rsidRPr="002A6AB6">
        <w:rPr>
          <w:b/>
          <w:bCs/>
          <w:sz w:val="22"/>
          <w:szCs w:val="22"/>
          <w:lang w:val="sr-Latn-ME" w:eastAsia="ja-JP"/>
        </w:rPr>
        <w:t>onesposobljenosti</w:t>
      </w:r>
      <w:proofErr w:type="spellEnd"/>
      <w:r w:rsidRPr="002A6AB6">
        <w:rPr>
          <w:b/>
          <w:bCs/>
          <w:sz w:val="22"/>
          <w:szCs w:val="22"/>
          <w:lang w:val="sr-Latn-ME" w:eastAsia="ja-JP"/>
        </w:rPr>
        <w:t xml:space="preserve"> koja se održava najmanje 12 nedjelja sa inicijalnim događajem neurološkog pogoršanja do koga dolazi tokom dvostruko slijepog perioda terapije (ITT populacija iz WA25046)* </w:t>
      </w:r>
    </w:p>
    <w:p w14:paraId="6DE3B682" w14:textId="77777777" w:rsidR="00466B8B" w:rsidRPr="002A6AB6" w:rsidRDefault="00466B8B" w:rsidP="00587700">
      <w:pPr>
        <w:tabs>
          <w:tab w:val="left" w:pos="540"/>
          <w:tab w:val="left" w:pos="569"/>
        </w:tabs>
        <w:jc w:val="both"/>
        <w:rPr>
          <w:b/>
          <w:bCs/>
          <w:sz w:val="22"/>
          <w:szCs w:val="22"/>
          <w:lang w:val="sr-Latn-ME"/>
        </w:rPr>
      </w:pPr>
    </w:p>
    <w:p w14:paraId="53DD9109" w14:textId="77777777" w:rsidR="00466B8B" w:rsidRPr="002A6AB6" w:rsidRDefault="00466B8B" w:rsidP="00587700">
      <w:pPr>
        <w:tabs>
          <w:tab w:val="left" w:pos="540"/>
          <w:tab w:val="left" w:pos="569"/>
        </w:tabs>
        <w:jc w:val="both"/>
        <w:rPr>
          <w:b/>
          <w:bCs/>
          <w:sz w:val="22"/>
          <w:szCs w:val="22"/>
          <w:lang w:val="sr-Latn-ME"/>
        </w:rPr>
      </w:pPr>
      <w:r w:rsidRPr="002A6AB6">
        <w:rPr>
          <w:rFonts w:eastAsia="MS Mincho"/>
          <w:sz w:val="22"/>
          <w:szCs w:val="22"/>
          <w:lang w:val="sr-Latn-ME"/>
        </w:rPr>
        <w:drawing>
          <wp:inline distT="0" distB="0" distL="0" distR="0" wp14:anchorId="49089CF5" wp14:editId="6A7A37AC">
            <wp:extent cx="5761355" cy="3560105"/>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1355" cy="3560105"/>
                    </a:xfrm>
                    <a:prstGeom prst="rect">
                      <a:avLst/>
                    </a:prstGeom>
                  </pic:spPr>
                </pic:pic>
              </a:graphicData>
            </a:graphic>
          </wp:inline>
        </w:drawing>
      </w:r>
    </w:p>
    <w:p w14:paraId="7611F130" w14:textId="77777777" w:rsidR="00466B8B" w:rsidRPr="002A6AB6" w:rsidRDefault="00466B8B" w:rsidP="00587700">
      <w:pPr>
        <w:tabs>
          <w:tab w:val="left" w:pos="540"/>
          <w:tab w:val="left" w:pos="569"/>
        </w:tabs>
        <w:jc w:val="both"/>
        <w:rPr>
          <w:b/>
          <w:bCs/>
          <w:sz w:val="22"/>
          <w:szCs w:val="22"/>
          <w:lang w:val="sr-Latn-ME"/>
        </w:rPr>
      </w:pPr>
    </w:p>
    <w:p w14:paraId="295EC65C" w14:textId="77777777" w:rsidR="00466B8B" w:rsidRPr="002A6AB6" w:rsidRDefault="00466B8B" w:rsidP="00587700">
      <w:pPr>
        <w:keepNext/>
        <w:keepLines/>
        <w:ind w:left="29"/>
        <w:jc w:val="both"/>
        <w:rPr>
          <w:sz w:val="22"/>
          <w:szCs w:val="22"/>
          <w:lang w:val="sr-Latn-ME" w:eastAsia="ja-JP"/>
        </w:rPr>
      </w:pPr>
      <w:r w:rsidRPr="002A6AB6">
        <w:rPr>
          <w:sz w:val="22"/>
          <w:szCs w:val="22"/>
          <w:lang w:val="sr-Latn-ME" w:eastAsia="ja-JP"/>
        </w:rPr>
        <w:t xml:space="preserve">* Svi pacijenti u ovoj analizi bili su praćeni najmanje 120 nedjelja. Primarna analiza zasniva se na svim prikupljenim događajima. </w:t>
      </w:r>
    </w:p>
    <w:p w14:paraId="33EC7E15" w14:textId="77777777" w:rsidR="00466B8B" w:rsidRPr="002A6AB6" w:rsidRDefault="00466B8B" w:rsidP="00587700">
      <w:pPr>
        <w:jc w:val="both"/>
        <w:rPr>
          <w:sz w:val="22"/>
          <w:szCs w:val="22"/>
          <w:lang w:val="sr-Latn-ME" w:eastAsia="ja-JP"/>
        </w:rPr>
      </w:pPr>
    </w:p>
    <w:p w14:paraId="12ADAA1F" w14:textId="77777777" w:rsidR="00466B8B" w:rsidRPr="002A6AB6" w:rsidRDefault="00466B8B" w:rsidP="00587700">
      <w:pPr>
        <w:tabs>
          <w:tab w:val="left" w:pos="567"/>
        </w:tabs>
        <w:jc w:val="both"/>
        <w:rPr>
          <w:sz w:val="22"/>
          <w:szCs w:val="22"/>
          <w:lang w:val="sr-Latn-ME"/>
        </w:rPr>
      </w:pPr>
      <w:r w:rsidRPr="002A6AB6">
        <w:rPr>
          <w:sz w:val="22"/>
          <w:szCs w:val="22"/>
          <w:lang w:val="sr-Latn-ME"/>
        </w:rPr>
        <w:t xml:space="preserve">Unaprijed definisana analiza podgrupa koja se odnosi na primarni parametar praćenja ukazuje na to da pacijenti koji su mlađi ili koji imaju T1 </w:t>
      </w:r>
      <w:proofErr w:type="spellStart"/>
      <w:r w:rsidRPr="002A6AB6">
        <w:rPr>
          <w:sz w:val="22"/>
          <w:szCs w:val="22"/>
          <w:lang w:val="sr-Latn-ME"/>
        </w:rPr>
        <w:t>Gd</w:t>
      </w:r>
      <w:proofErr w:type="spellEnd"/>
      <w:r w:rsidRPr="002A6AB6">
        <w:rPr>
          <w:sz w:val="22"/>
          <w:szCs w:val="22"/>
          <w:lang w:val="sr-Latn-ME"/>
        </w:rPr>
        <w:t xml:space="preserve"> </w:t>
      </w:r>
      <w:proofErr w:type="spellStart"/>
      <w:r w:rsidRPr="002A6AB6">
        <w:rPr>
          <w:sz w:val="22"/>
          <w:szCs w:val="22"/>
          <w:lang w:val="sr-Latn-ME"/>
        </w:rPr>
        <w:t>prebojavajuće</w:t>
      </w:r>
      <w:proofErr w:type="spellEnd"/>
      <w:r w:rsidRPr="002A6AB6">
        <w:rPr>
          <w:sz w:val="22"/>
          <w:szCs w:val="22"/>
          <w:lang w:val="sr-Latn-ME"/>
        </w:rPr>
        <w:t xml:space="preserve"> </w:t>
      </w:r>
      <w:proofErr w:type="spellStart"/>
      <w:r w:rsidRPr="002A6AB6">
        <w:rPr>
          <w:sz w:val="22"/>
          <w:szCs w:val="22"/>
          <w:lang w:val="sr-Latn-ME"/>
        </w:rPr>
        <w:t>lezije</w:t>
      </w:r>
      <w:proofErr w:type="spellEnd"/>
      <w:r w:rsidRPr="002A6AB6">
        <w:rPr>
          <w:sz w:val="22"/>
          <w:szCs w:val="22"/>
          <w:lang w:val="sr-Latn-ME"/>
        </w:rPr>
        <w:t xml:space="preserve"> na uključenju imaju veću korist od terapije u odnosu na pacijente koji su stariji ili koji nemaju T1 </w:t>
      </w:r>
      <w:proofErr w:type="spellStart"/>
      <w:r w:rsidRPr="002A6AB6">
        <w:rPr>
          <w:sz w:val="22"/>
          <w:szCs w:val="22"/>
          <w:lang w:val="sr-Latn-ME"/>
        </w:rPr>
        <w:t>Gd</w:t>
      </w:r>
      <w:proofErr w:type="spellEnd"/>
      <w:r w:rsidRPr="002A6AB6">
        <w:rPr>
          <w:sz w:val="22"/>
          <w:szCs w:val="22"/>
          <w:lang w:val="sr-Latn-ME"/>
        </w:rPr>
        <w:t xml:space="preserve"> </w:t>
      </w:r>
      <w:proofErr w:type="spellStart"/>
      <w:r w:rsidRPr="002A6AB6">
        <w:rPr>
          <w:sz w:val="22"/>
          <w:szCs w:val="22"/>
          <w:lang w:val="sr-Latn-ME"/>
        </w:rPr>
        <w:t>prebojavajuće</w:t>
      </w:r>
      <w:proofErr w:type="spellEnd"/>
      <w:r w:rsidRPr="002A6AB6">
        <w:rPr>
          <w:sz w:val="22"/>
          <w:szCs w:val="22"/>
          <w:lang w:val="sr-Latn-ME"/>
        </w:rPr>
        <w:t xml:space="preserve"> </w:t>
      </w:r>
      <w:proofErr w:type="spellStart"/>
      <w:r w:rsidRPr="002A6AB6">
        <w:rPr>
          <w:sz w:val="22"/>
          <w:szCs w:val="22"/>
          <w:lang w:val="sr-Latn-ME"/>
        </w:rPr>
        <w:t>lezije</w:t>
      </w:r>
      <w:proofErr w:type="spellEnd"/>
      <w:r w:rsidRPr="002A6AB6">
        <w:rPr>
          <w:sz w:val="22"/>
          <w:szCs w:val="22"/>
          <w:lang w:val="sr-Latn-ME"/>
        </w:rPr>
        <w:t xml:space="preserve"> (≤45 godina: HR 0,64 [0,45, 0,92], &gt;45 godina: HR 0,88 [0,62, 1,26]; sa T1 </w:t>
      </w:r>
      <w:proofErr w:type="spellStart"/>
      <w:r w:rsidRPr="002A6AB6">
        <w:rPr>
          <w:sz w:val="22"/>
          <w:szCs w:val="22"/>
          <w:lang w:val="sr-Latn-ME"/>
        </w:rPr>
        <w:t>Gd</w:t>
      </w:r>
      <w:proofErr w:type="spellEnd"/>
      <w:r w:rsidRPr="002A6AB6">
        <w:rPr>
          <w:sz w:val="22"/>
          <w:szCs w:val="22"/>
          <w:lang w:val="sr-Latn-ME"/>
        </w:rPr>
        <w:t xml:space="preserve"> </w:t>
      </w:r>
      <w:proofErr w:type="spellStart"/>
      <w:r w:rsidRPr="002A6AB6">
        <w:rPr>
          <w:sz w:val="22"/>
          <w:szCs w:val="22"/>
          <w:lang w:val="sr-Latn-ME"/>
        </w:rPr>
        <w:t>prebojavajućim</w:t>
      </w:r>
      <w:proofErr w:type="spellEnd"/>
      <w:r w:rsidRPr="002A6AB6">
        <w:rPr>
          <w:sz w:val="22"/>
          <w:szCs w:val="22"/>
          <w:lang w:val="sr-Latn-ME"/>
        </w:rPr>
        <w:t xml:space="preserve"> </w:t>
      </w:r>
      <w:proofErr w:type="spellStart"/>
      <w:r w:rsidRPr="002A6AB6">
        <w:rPr>
          <w:sz w:val="22"/>
          <w:szCs w:val="22"/>
          <w:lang w:val="sr-Latn-ME"/>
        </w:rPr>
        <w:t>lezijama</w:t>
      </w:r>
      <w:proofErr w:type="spellEnd"/>
      <w:r w:rsidRPr="002A6AB6">
        <w:rPr>
          <w:sz w:val="22"/>
          <w:szCs w:val="22"/>
          <w:lang w:val="sr-Latn-ME"/>
        </w:rPr>
        <w:t xml:space="preserve"> na uključenju: HR 0,65 [0,40 - 1,06]; bez T1 </w:t>
      </w:r>
      <w:proofErr w:type="spellStart"/>
      <w:r w:rsidRPr="002A6AB6">
        <w:rPr>
          <w:sz w:val="22"/>
          <w:szCs w:val="22"/>
          <w:lang w:val="sr-Latn-ME"/>
        </w:rPr>
        <w:t>Gd</w:t>
      </w:r>
      <w:proofErr w:type="spellEnd"/>
      <w:r w:rsidRPr="002A6AB6">
        <w:rPr>
          <w:sz w:val="22"/>
          <w:szCs w:val="22"/>
          <w:lang w:val="sr-Latn-ME"/>
        </w:rPr>
        <w:t xml:space="preserve"> </w:t>
      </w:r>
      <w:proofErr w:type="spellStart"/>
      <w:r w:rsidRPr="002A6AB6">
        <w:rPr>
          <w:sz w:val="22"/>
          <w:szCs w:val="22"/>
          <w:lang w:val="sr-Latn-ME"/>
        </w:rPr>
        <w:t>prebojavajućih</w:t>
      </w:r>
      <w:proofErr w:type="spellEnd"/>
      <w:r w:rsidRPr="002A6AB6">
        <w:rPr>
          <w:sz w:val="22"/>
          <w:szCs w:val="22"/>
          <w:lang w:val="sr-Latn-ME"/>
        </w:rPr>
        <w:t xml:space="preserve"> </w:t>
      </w:r>
      <w:proofErr w:type="spellStart"/>
      <w:r w:rsidRPr="002A6AB6">
        <w:rPr>
          <w:sz w:val="22"/>
          <w:szCs w:val="22"/>
          <w:lang w:val="sr-Latn-ME"/>
        </w:rPr>
        <w:t>lezija</w:t>
      </w:r>
      <w:proofErr w:type="spellEnd"/>
      <w:r w:rsidRPr="002A6AB6">
        <w:rPr>
          <w:sz w:val="22"/>
          <w:szCs w:val="22"/>
          <w:lang w:val="sr-Latn-ME"/>
        </w:rPr>
        <w:t xml:space="preserve"> na uključenju: HR 0,84 [0,62 - 1,13]). </w:t>
      </w:r>
    </w:p>
    <w:p w14:paraId="2B642D79" w14:textId="77777777" w:rsidR="00466B8B" w:rsidRPr="002A6AB6" w:rsidRDefault="00466B8B" w:rsidP="00587700">
      <w:pPr>
        <w:tabs>
          <w:tab w:val="left" w:pos="567"/>
        </w:tabs>
        <w:jc w:val="both"/>
        <w:rPr>
          <w:sz w:val="22"/>
          <w:szCs w:val="22"/>
          <w:lang w:val="sr-Latn-ME"/>
        </w:rPr>
      </w:pPr>
    </w:p>
    <w:p w14:paraId="3D313600" w14:textId="77777777" w:rsidR="00466B8B" w:rsidRPr="002A6AB6" w:rsidRDefault="00466B8B" w:rsidP="00587700">
      <w:pPr>
        <w:tabs>
          <w:tab w:val="left" w:pos="567"/>
        </w:tabs>
        <w:jc w:val="both"/>
        <w:rPr>
          <w:sz w:val="22"/>
          <w:szCs w:val="22"/>
          <w:lang w:val="sr-Latn-ME"/>
        </w:rPr>
      </w:pPr>
      <w:r w:rsidRPr="002A6AB6">
        <w:rPr>
          <w:sz w:val="22"/>
          <w:szCs w:val="22"/>
          <w:lang w:val="sr-Latn-ME"/>
        </w:rPr>
        <w:t>Osim toga, post-</w:t>
      </w:r>
      <w:proofErr w:type="spellStart"/>
      <w:r w:rsidRPr="002A6AB6">
        <w:rPr>
          <w:sz w:val="22"/>
          <w:szCs w:val="22"/>
          <w:lang w:val="sr-Latn-ME"/>
        </w:rPr>
        <w:t>hoc</w:t>
      </w:r>
      <w:proofErr w:type="spellEnd"/>
      <w:r w:rsidRPr="002A6AB6">
        <w:rPr>
          <w:sz w:val="22"/>
          <w:szCs w:val="22"/>
          <w:lang w:val="sr-Latn-ME"/>
        </w:rPr>
        <w:t xml:space="preserve"> analize ukazuju na to da je kod mlađih pacijenata sa T1 </w:t>
      </w:r>
      <w:proofErr w:type="spellStart"/>
      <w:r w:rsidRPr="002A6AB6">
        <w:rPr>
          <w:sz w:val="22"/>
          <w:szCs w:val="22"/>
          <w:lang w:val="sr-Latn-ME"/>
        </w:rPr>
        <w:t>Gd</w:t>
      </w:r>
      <w:proofErr w:type="spellEnd"/>
      <w:r w:rsidRPr="002A6AB6">
        <w:rPr>
          <w:sz w:val="22"/>
          <w:szCs w:val="22"/>
          <w:lang w:val="sr-Latn-ME"/>
        </w:rPr>
        <w:t xml:space="preserve"> </w:t>
      </w:r>
      <w:proofErr w:type="spellStart"/>
      <w:r w:rsidRPr="002A6AB6">
        <w:rPr>
          <w:sz w:val="22"/>
          <w:szCs w:val="22"/>
          <w:lang w:val="sr-Latn-ME"/>
        </w:rPr>
        <w:t>prebojavajućim</w:t>
      </w:r>
      <w:proofErr w:type="spellEnd"/>
      <w:r w:rsidRPr="002A6AB6">
        <w:rPr>
          <w:sz w:val="22"/>
          <w:szCs w:val="22"/>
          <w:lang w:val="sr-Latn-ME"/>
        </w:rPr>
        <w:t xml:space="preserve"> </w:t>
      </w:r>
      <w:proofErr w:type="spellStart"/>
      <w:r w:rsidRPr="002A6AB6">
        <w:rPr>
          <w:sz w:val="22"/>
          <w:szCs w:val="22"/>
          <w:lang w:val="sr-Latn-ME"/>
        </w:rPr>
        <w:t>lezijama</w:t>
      </w:r>
      <w:proofErr w:type="spellEnd"/>
      <w:r w:rsidRPr="002A6AB6">
        <w:rPr>
          <w:sz w:val="22"/>
          <w:szCs w:val="22"/>
          <w:lang w:val="sr-Latn-ME"/>
        </w:rPr>
        <w:t xml:space="preserve"> na uključenju postojao bolji terapijski efekat (≤ 45 godina: HR 0,52 [0,27 - 1,00]; ≤ 46 godina [</w:t>
      </w:r>
      <w:proofErr w:type="spellStart"/>
      <w:r w:rsidRPr="002A6AB6">
        <w:rPr>
          <w:sz w:val="22"/>
          <w:szCs w:val="22"/>
          <w:lang w:val="sr-Latn-ME"/>
        </w:rPr>
        <w:t>medijana</w:t>
      </w:r>
      <w:proofErr w:type="spellEnd"/>
      <w:r w:rsidRPr="002A6AB6">
        <w:rPr>
          <w:sz w:val="22"/>
          <w:szCs w:val="22"/>
          <w:lang w:val="sr-Latn-ME"/>
        </w:rPr>
        <w:t xml:space="preserve"> starosti u studiji WA25046]; HR 0,48 [0,25 - 0,92]; &lt; 51 godine: HR 0,53 [0,31 - 0,89]).  </w:t>
      </w:r>
    </w:p>
    <w:p w14:paraId="23F17CF0" w14:textId="77777777" w:rsidR="00466B8B" w:rsidRPr="002A6AB6" w:rsidRDefault="00466B8B" w:rsidP="00587700">
      <w:pPr>
        <w:tabs>
          <w:tab w:val="left" w:pos="567"/>
        </w:tabs>
        <w:jc w:val="both"/>
        <w:rPr>
          <w:sz w:val="22"/>
          <w:szCs w:val="22"/>
          <w:lang w:val="sr-Latn-ME"/>
        </w:rPr>
      </w:pPr>
    </w:p>
    <w:p w14:paraId="0252BBFD" w14:textId="77777777" w:rsidR="00466B8B" w:rsidRPr="002A6AB6" w:rsidRDefault="00466B8B" w:rsidP="00587700">
      <w:pPr>
        <w:tabs>
          <w:tab w:val="left" w:pos="567"/>
        </w:tabs>
        <w:jc w:val="both"/>
        <w:rPr>
          <w:sz w:val="22"/>
          <w:szCs w:val="22"/>
          <w:lang w:val="sr-Latn-ME"/>
        </w:rPr>
      </w:pPr>
      <w:r w:rsidRPr="002A6AB6">
        <w:rPr>
          <w:sz w:val="22"/>
          <w:szCs w:val="22"/>
          <w:lang w:val="sr-Latn-ME"/>
        </w:rPr>
        <w:t>Sprovedene su i post-</w:t>
      </w:r>
      <w:proofErr w:type="spellStart"/>
      <w:r w:rsidRPr="002A6AB6">
        <w:rPr>
          <w:sz w:val="22"/>
          <w:szCs w:val="22"/>
          <w:lang w:val="sr-Latn-ME"/>
        </w:rPr>
        <w:t>hoc</w:t>
      </w:r>
      <w:proofErr w:type="spellEnd"/>
      <w:r w:rsidRPr="002A6AB6">
        <w:rPr>
          <w:sz w:val="22"/>
          <w:szCs w:val="22"/>
          <w:lang w:val="sr-Latn-ME"/>
        </w:rPr>
        <w:t xml:space="preserve"> analize u produženom kontrolisanom periodu (engl. </w:t>
      </w:r>
      <w:proofErr w:type="spellStart"/>
      <w:r w:rsidRPr="002A6AB6">
        <w:rPr>
          <w:i/>
          <w:sz w:val="22"/>
          <w:szCs w:val="22"/>
          <w:lang w:val="sr-Latn-ME"/>
        </w:rPr>
        <w:t>Extended</w:t>
      </w:r>
      <w:proofErr w:type="spellEnd"/>
      <w:r w:rsidRPr="002A6AB6">
        <w:rPr>
          <w:i/>
          <w:sz w:val="22"/>
          <w:szCs w:val="22"/>
          <w:lang w:val="sr-Latn-ME"/>
        </w:rPr>
        <w:t xml:space="preserve"> </w:t>
      </w:r>
      <w:proofErr w:type="spellStart"/>
      <w:r w:rsidRPr="002A6AB6">
        <w:rPr>
          <w:i/>
          <w:sz w:val="22"/>
          <w:szCs w:val="22"/>
          <w:lang w:val="sr-Latn-ME"/>
        </w:rPr>
        <w:t>Controlled</w:t>
      </w:r>
      <w:proofErr w:type="spellEnd"/>
      <w:r w:rsidRPr="002A6AB6">
        <w:rPr>
          <w:i/>
          <w:sz w:val="22"/>
          <w:szCs w:val="22"/>
          <w:lang w:val="sr-Latn-ME"/>
        </w:rPr>
        <w:t xml:space="preserve"> Period - ECP</w:t>
      </w:r>
      <w:r w:rsidRPr="002A6AB6">
        <w:rPr>
          <w:sz w:val="22"/>
          <w:szCs w:val="22"/>
          <w:lang w:val="sr-Latn-ME"/>
        </w:rPr>
        <w:t xml:space="preserve">), koji uključuje period dvostruko slijepog liječenja i približno 9 dodatnih mjeseci kontrolisanog praćenja prije ulaska u otvoreni produžetak studije (OLE) ili do prekida primjene ispitivane terapije. U 144. nedjelji </w:t>
      </w:r>
      <w:proofErr w:type="spellStart"/>
      <w:r w:rsidRPr="002A6AB6">
        <w:rPr>
          <w:sz w:val="22"/>
          <w:szCs w:val="22"/>
          <w:lang w:val="sr-Latn-ME"/>
        </w:rPr>
        <w:t>udio</w:t>
      </w:r>
      <w:proofErr w:type="spellEnd"/>
      <w:r w:rsidRPr="002A6AB6">
        <w:rPr>
          <w:sz w:val="22"/>
          <w:szCs w:val="22"/>
          <w:lang w:val="sr-Latn-ME"/>
        </w:rPr>
        <w:t xml:space="preserve"> pacijenata sa potvrđenom progresijom </w:t>
      </w:r>
      <w:proofErr w:type="spellStart"/>
      <w:r w:rsidRPr="002A6AB6">
        <w:rPr>
          <w:sz w:val="22"/>
          <w:szCs w:val="22"/>
          <w:lang w:val="sr-Latn-ME"/>
        </w:rPr>
        <w:t>onesposobljenosti</w:t>
      </w:r>
      <w:proofErr w:type="spellEnd"/>
      <w:r w:rsidRPr="002A6AB6">
        <w:rPr>
          <w:sz w:val="22"/>
          <w:szCs w:val="22"/>
          <w:lang w:val="sr-Latn-ME"/>
        </w:rPr>
        <w:t xml:space="preserve"> nakon 24. nedjelje uz EDSS ≥ 7,0 (vr</w:t>
      </w:r>
      <w:r w:rsidR="00320270" w:rsidRPr="002A6AB6">
        <w:rPr>
          <w:sz w:val="22"/>
          <w:szCs w:val="22"/>
          <w:lang w:val="sr-Latn-ME"/>
        </w:rPr>
        <w:t>ij</w:t>
      </w:r>
      <w:r w:rsidRPr="002A6AB6">
        <w:rPr>
          <w:sz w:val="22"/>
          <w:szCs w:val="22"/>
          <w:lang w:val="sr-Latn-ME"/>
        </w:rPr>
        <w:t xml:space="preserve">eme do zavisnosti od invalidskih kolica) iznosio je 9,1% u grupi koja je primala </w:t>
      </w:r>
      <w:proofErr w:type="spellStart"/>
      <w:r w:rsidRPr="002A6AB6">
        <w:rPr>
          <w:sz w:val="22"/>
          <w:szCs w:val="22"/>
          <w:lang w:val="sr-Latn-ME"/>
        </w:rPr>
        <w:t>placebo</w:t>
      </w:r>
      <w:proofErr w:type="spellEnd"/>
      <w:r w:rsidRPr="002A6AB6">
        <w:rPr>
          <w:sz w:val="22"/>
          <w:szCs w:val="22"/>
          <w:lang w:val="sr-Latn-ME"/>
        </w:rPr>
        <w:t xml:space="preserve"> u poređenju sa 4,8% u grupi liječenoj </w:t>
      </w:r>
      <w:proofErr w:type="spellStart"/>
      <w:r w:rsidRPr="002A6AB6">
        <w:rPr>
          <w:sz w:val="22"/>
          <w:szCs w:val="22"/>
          <w:lang w:val="sr-Latn-ME"/>
        </w:rPr>
        <w:t>okrelizumabom</w:t>
      </w:r>
      <w:proofErr w:type="spellEnd"/>
      <w:r w:rsidRPr="002A6AB6">
        <w:rPr>
          <w:sz w:val="22"/>
          <w:szCs w:val="22"/>
          <w:lang w:val="sr-Latn-ME"/>
        </w:rPr>
        <w:t xml:space="preserve">, što ukazuje na smanjenje rizika za zavisnost od invalidskih kolica za 47% (HR 0,53 [0,31; 0,92]) tokom produženog kontrolisanog perioda. Budući da su dobijeni rezultati bili </w:t>
      </w:r>
      <w:proofErr w:type="spellStart"/>
      <w:r w:rsidRPr="002A6AB6">
        <w:rPr>
          <w:sz w:val="22"/>
          <w:szCs w:val="22"/>
          <w:lang w:val="sr-Latn-ME"/>
        </w:rPr>
        <w:t>eksploracijske</w:t>
      </w:r>
      <w:proofErr w:type="spellEnd"/>
      <w:r w:rsidRPr="002A6AB6">
        <w:rPr>
          <w:sz w:val="22"/>
          <w:szCs w:val="22"/>
          <w:lang w:val="sr-Latn-ME"/>
        </w:rPr>
        <w:t xml:space="preserve"> prirode i uključivali podatke nakon otkrivanja slijepe šifre liječenja (</w:t>
      </w:r>
      <w:proofErr w:type="spellStart"/>
      <w:r w:rsidRPr="002A6AB6">
        <w:rPr>
          <w:sz w:val="22"/>
          <w:szCs w:val="22"/>
          <w:lang w:val="sr-Latn-ME"/>
        </w:rPr>
        <w:t>eng</w:t>
      </w:r>
      <w:proofErr w:type="spellEnd"/>
      <w:r w:rsidRPr="002A6AB6">
        <w:rPr>
          <w:sz w:val="22"/>
          <w:szCs w:val="22"/>
          <w:lang w:val="sr-Latn-ME"/>
        </w:rPr>
        <w:t xml:space="preserve">. </w:t>
      </w:r>
      <w:proofErr w:type="spellStart"/>
      <w:r w:rsidRPr="002A6AB6">
        <w:rPr>
          <w:i/>
          <w:sz w:val="22"/>
          <w:szCs w:val="22"/>
          <w:lang w:val="sr-Latn-ME"/>
        </w:rPr>
        <w:t>unblinding</w:t>
      </w:r>
      <w:proofErr w:type="spellEnd"/>
      <w:r w:rsidRPr="002A6AB6">
        <w:rPr>
          <w:i/>
          <w:sz w:val="22"/>
          <w:szCs w:val="22"/>
          <w:lang w:val="sr-Latn-ME"/>
        </w:rPr>
        <w:t>)</w:t>
      </w:r>
      <w:r w:rsidRPr="002A6AB6">
        <w:rPr>
          <w:sz w:val="22"/>
          <w:szCs w:val="22"/>
          <w:lang w:val="sr-Latn-ME"/>
        </w:rPr>
        <w:t>, treba ih tumačiti uz oprez.</w:t>
      </w:r>
    </w:p>
    <w:p w14:paraId="3B028040" w14:textId="77777777" w:rsidR="00466B8B" w:rsidRPr="002A6AB6" w:rsidRDefault="00466B8B" w:rsidP="00587700">
      <w:pPr>
        <w:tabs>
          <w:tab w:val="left" w:pos="567"/>
        </w:tabs>
        <w:jc w:val="both"/>
        <w:rPr>
          <w:i/>
          <w:iCs/>
          <w:sz w:val="22"/>
          <w:szCs w:val="22"/>
          <w:lang w:val="sr-Latn-ME"/>
        </w:rPr>
      </w:pPr>
    </w:p>
    <w:p w14:paraId="69FED896" w14:textId="77777777" w:rsidR="00466B8B" w:rsidRPr="002A6AB6" w:rsidRDefault="00466B8B" w:rsidP="00587700">
      <w:pPr>
        <w:tabs>
          <w:tab w:val="left" w:pos="567"/>
        </w:tabs>
        <w:jc w:val="both"/>
        <w:rPr>
          <w:sz w:val="22"/>
          <w:szCs w:val="22"/>
          <w:u w:val="single"/>
          <w:lang w:val="sr-Latn-ME"/>
        </w:rPr>
      </w:pPr>
      <w:proofErr w:type="spellStart"/>
      <w:r w:rsidRPr="002A6AB6">
        <w:rPr>
          <w:sz w:val="22"/>
          <w:szCs w:val="22"/>
          <w:u w:val="single"/>
          <w:lang w:val="sr-Latn-ME"/>
        </w:rPr>
        <w:t>Imunogenost</w:t>
      </w:r>
      <w:bookmarkStart w:id="6" w:name="_Hlk134812574"/>
      <w:proofErr w:type="spellEnd"/>
    </w:p>
    <w:p w14:paraId="70C7F251" w14:textId="77777777" w:rsidR="00466B8B" w:rsidRPr="002A6AB6" w:rsidRDefault="00466B8B" w:rsidP="00587700">
      <w:pPr>
        <w:shd w:val="clear" w:color="auto" w:fill="FFFFFF"/>
        <w:autoSpaceDE w:val="0"/>
        <w:autoSpaceDN w:val="0"/>
        <w:adjustRightInd w:val="0"/>
        <w:jc w:val="both"/>
        <w:rPr>
          <w:i/>
          <w:iCs/>
          <w:sz w:val="22"/>
          <w:szCs w:val="22"/>
          <w:u w:val="single"/>
          <w:lang w:val="sr-Latn-ME" w:eastAsia="ja-JP"/>
        </w:rPr>
      </w:pPr>
    </w:p>
    <w:p w14:paraId="41A808FC" w14:textId="77777777" w:rsidR="00466B8B" w:rsidRPr="002A6AB6" w:rsidRDefault="00466B8B" w:rsidP="00587700">
      <w:pPr>
        <w:shd w:val="clear" w:color="auto" w:fill="FFFFFF"/>
        <w:autoSpaceDE w:val="0"/>
        <w:autoSpaceDN w:val="0"/>
        <w:adjustRightInd w:val="0"/>
        <w:jc w:val="both"/>
        <w:rPr>
          <w:i/>
          <w:iCs/>
          <w:sz w:val="22"/>
          <w:szCs w:val="22"/>
          <w:u w:val="single"/>
          <w:lang w:val="sr-Latn-ME" w:eastAsia="ja-JP"/>
        </w:rPr>
      </w:pPr>
      <w:proofErr w:type="spellStart"/>
      <w:r w:rsidRPr="002A6AB6">
        <w:rPr>
          <w:i/>
          <w:iCs/>
          <w:sz w:val="22"/>
          <w:szCs w:val="22"/>
          <w:u w:val="single"/>
          <w:lang w:val="sr-Latn-ME" w:eastAsia="ja-JP"/>
        </w:rPr>
        <w:t>Subkutana</w:t>
      </w:r>
      <w:proofErr w:type="spellEnd"/>
      <w:r w:rsidRPr="002A6AB6">
        <w:rPr>
          <w:i/>
          <w:iCs/>
          <w:sz w:val="22"/>
          <w:szCs w:val="22"/>
          <w:u w:val="single"/>
          <w:lang w:val="sr-Latn-ME" w:eastAsia="ja-JP"/>
        </w:rPr>
        <w:t xml:space="preserve"> formula </w:t>
      </w:r>
    </w:p>
    <w:p w14:paraId="666D7340" w14:textId="77777777" w:rsidR="00466B8B" w:rsidRPr="002A6AB6" w:rsidRDefault="00466B8B" w:rsidP="00587700">
      <w:pPr>
        <w:shd w:val="clear" w:color="auto" w:fill="FFFFFF"/>
        <w:autoSpaceDE w:val="0"/>
        <w:autoSpaceDN w:val="0"/>
        <w:adjustRightInd w:val="0"/>
        <w:jc w:val="both"/>
        <w:rPr>
          <w:b/>
          <w:bCs/>
          <w:sz w:val="22"/>
          <w:szCs w:val="22"/>
          <w:u w:val="single"/>
          <w:lang w:val="sr-Latn-ME" w:eastAsia="ja-JP"/>
        </w:rPr>
      </w:pPr>
    </w:p>
    <w:p w14:paraId="0FEB57F0" w14:textId="77777777" w:rsidR="00466B8B" w:rsidRPr="002A6AB6" w:rsidRDefault="00466B8B" w:rsidP="00587700">
      <w:pPr>
        <w:jc w:val="both"/>
        <w:rPr>
          <w:sz w:val="22"/>
          <w:szCs w:val="22"/>
          <w:lang w:val="sr-Latn-ME" w:eastAsia="ja-JP"/>
        </w:rPr>
      </w:pPr>
      <w:r w:rsidRPr="002A6AB6">
        <w:rPr>
          <w:sz w:val="22"/>
          <w:szCs w:val="22"/>
          <w:lang w:val="sr-Latn-ME" w:eastAsia="ja-JP"/>
        </w:rPr>
        <w:t xml:space="preserve">U studijama OCARINA I </w:t>
      </w:r>
      <w:proofErr w:type="spellStart"/>
      <w:r w:rsidRPr="002A6AB6">
        <w:rPr>
          <w:sz w:val="22"/>
          <w:szCs w:val="22"/>
          <w:lang w:val="sr-Latn-ME" w:eastAsia="ja-JP"/>
        </w:rPr>
        <w:t>i</w:t>
      </w:r>
      <w:proofErr w:type="spellEnd"/>
      <w:r w:rsidRPr="002A6AB6">
        <w:rPr>
          <w:sz w:val="22"/>
          <w:szCs w:val="22"/>
          <w:lang w:val="sr-Latn-ME" w:eastAsia="ja-JP"/>
        </w:rPr>
        <w:t xml:space="preserve"> OCARINA II nije bilo pacijenata kod kojih su se javila antitijela (</w:t>
      </w:r>
      <w:proofErr w:type="spellStart"/>
      <w:r w:rsidRPr="002A6AB6">
        <w:rPr>
          <w:sz w:val="22"/>
          <w:szCs w:val="22"/>
          <w:lang w:val="sr-Latn-ME" w:eastAsia="ja-JP"/>
        </w:rPr>
        <w:t>eng</w:t>
      </w:r>
      <w:proofErr w:type="spellEnd"/>
      <w:r w:rsidRPr="002A6AB6">
        <w:rPr>
          <w:sz w:val="22"/>
          <w:szCs w:val="22"/>
          <w:lang w:val="sr-Latn-ME" w:eastAsia="ja-JP"/>
        </w:rPr>
        <w:t xml:space="preserve">. </w:t>
      </w:r>
      <w:r w:rsidRPr="002A6AB6">
        <w:rPr>
          <w:i/>
          <w:sz w:val="22"/>
          <w:szCs w:val="22"/>
          <w:lang w:val="sr-Latn-ME" w:eastAsia="ja-JP"/>
        </w:rPr>
        <w:t xml:space="preserve">anti-drug </w:t>
      </w:r>
      <w:proofErr w:type="spellStart"/>
      <w:r w:rsidRPr="002A6AB6">
        <w:rPr>
          <w:i/>
          <w:sz w:val="22"/>
          <w:szCs w:val="22"/>
          <w:lang w:val="sr-Latn-ME" w:eastAsia="ja-JP"/>
        </w:rPr>
        <w:t>antibodies</w:t>
      </w:r>
      <w:proofErr w:type="spellEnd"/>
      <w:r w:rsidRPr="002A6AB6">
        <w:rPr>
          <w:sz w:val="22"/>
          <w:szCs w:val="22"/>
          <w:lang w:val="sr-Latn-ME" w:eastAsia="ja-JP"/>
        </w:rPr>
        <w:t xml:space="preserve"> - ADA) na </w:t>
      </w:r>
      <w:proofErr w:type="spellStart"/>
      <w:r w:rsidRPr="002A6AB6">
        <w:rPr>
          <w:sz w:val="22"/>
          <w:szCs w:val="22"/>
          <w:lang w:val="sr-Latn-ME" w:eastAsia="ja-JP"/>
        </w:rPr>
        <w:t>okrelizumab</w:t>
      </w:r>
      <w:proofErr w:type="spellEnd"/>
      <w:r w:rsidRPr="002A6AB6">
        <w:rPr>
          <w:sz w:val="22"/>
          <w:szCs w:val="22"/>
          <w:lang w:val="sr-Latn-ME" w:eastAsia="ja-JP"/>
        </w:rPr>
        <w:t xml:space="preserve"> koja se javljaju zbog terapije. Pacijenti u studiji OCARINA II </w:t>
      </w:r>
      <w:r w:rsidRPr="002A6AB6">
        <w:rPr>
          <w:sz w:val="22"/>
          <w:szCs w:val="22"/>
          <w:lang w:val="sr-Latn-ME" w:eastAsia="ja-JP"/>
        </w:rPr>
        <w:lastRenderedPageBreak/>
        <w:t xml:space="preserve">bili su testirani na uključivanju i svakih 6 mjeseci nakon terapije tokom trajanja studije na antitijela na lijek (ADA). Prolazna ADA se stoga možda neće otkriti između procijenjenih vremenskih tačaka. </w:t>
      </w:r>
    </w:p>
    <w:p w14:paraId="52994510" w14:textId="77777777" w:rsidR="00466B8B" w:rsidRPr="002A6AB6" w:rsidRDefault="00466B8B" w:rsidP="00587700">
      <w:pPr>
        <w:jc w:val="both"/>
        <w:rPr>
          <w:sz w:val="22"/>
          <w:szCs w:val="22"/>
          <w:lang w:val="sr-Latn-ME" w:eastAsia="ja-JP"/>
        </w:rPr>
      </w:pPr>
    </w:p>
    <w:p w14:paraId="5CFB5D76" w14:textId="77777777" w:rsidR="00466B8B" w:rsidRPr="002A6AB6" w:rsidRDefault="00466B8B" w:rsidP="00587700">
      <w:pPr>
        <w:jc w:val="both"/>
        <w:rPr>
          <w:sz w:val="22"/>
          <w:szCs w:val="22"/>
          <w:lang w:val="sr-Latn-ME" w:eastAsia="ja-JP"/>
        </w:rPr>
      </w:pPr>
      <w:proofErr w:type="spellStart"/>
      <w:r w:rsidRPr="002A6AB6">
        <w:rPr>
          <w:sz w:val="22"/>
          <w:szCs w:val="22"/>
          <w:lang w:val="sr-Latn-ME" w:eastAsia="ja-JP"/>
        </w:rPr>
        <w:t>Incidenca</w:t>
      </w:r>
      <w:proofErr w:type="spellEnd"/>
      <w:r w:rsidRPr="002A6AB6">
        <w:rPr>
          <w:sz w:val="22"/>
          <w:szCs w:val="22"/>
          <w:lang w:val="sr-Latn-ME" w:eastAsia="ja-JP"/>
        </w:rPr>
        <w:t xml:space="preserve"> antitijela na anti-rHuPH20 (</w:t>
      </w:r>
      <w:proofErr w:type="spellStart"/>
      <w:r w:rsidRPr="002A6AB6">
        <w:rPr>
          <w:sz w:val="22"/>
          <w:szCs w:val="22"/>
          <w:lang w:val="sr-Latn-ME" w:eastAsia="ja-JP"/>
        </w:rPr>
        <w:t>hijaluronidazu</w:t>
      </w:r>
      <w:proofErr w:type="spellEnd"/>
      <w:r w:rsidRPr="002A6AB6">
        <w:rPr>
          <w:sz w:val="22"/>
          <w:szCs w:val="22"/>
          <w:lang w:val="sr-Latn-ME" w:eastAsia="ja-JP"/>
        </w:rPr>
        <w:t xml:space="preserve">) koja se javljaju zbog terapije kod pacijenata liječenih </w:t>
      </w:r>
      <w:proofErr w:type="spellStart"/>
      <w:r w:rsidRPr="002A6AB6">
        <w:rPr>
          <w:sz w:val="22"/>
          <w:szCs w:val="22"/>
          <w:lang w:val="sr-Latn-ME" w:eastAsia="ja-JP"/>
        </w:rPr>
        <w:t>subkutanim</w:t>
      </w:r>
      <w:proofErr w:type="spellEnd"/>
      <w:r w:rsidRPr="002A6AB6">
        <w:rPr>
          <w:sz w:val="22"/>
          <w:szCs w:val="22"/>
          <w:lang w:val="sr-Latn-ME" w:eastAsia="ja-JP"/>
        </w:rPr>
        <w:t xml:space="preserve"> </w:t>
      </w:r>
      <w:proofErr w:type="spellStart"/>
      <w:r w:rsidRPr="002A6AB6">
        <w:rPr>
          <w:sz w:val="22"/>
          <w:szCs w:val="22"/>
          <w:lang w:val="sr-Latn-ME" w:eastAsia="ja-JP"/>
        </w:rPr>
        <w:t>okrelizumabom</w:t>
      </w:r>
      <w:proofErr w:type="spellEnd"/>
      <w:r w:rsidRPr="002A6AB6">
        <w:rPr>
          <w:sz w:val="22"/>
          <w:szCs w:val="22"/>
          <w:lang w:val="sr-Latn-ME" w:eastAsia="ja-JP"/>
        </w:rPr>
        <w:t xml:space="preserve"> u studiji OCARINA I iznosila je 2,3% (3/132). Nijedan pacijent iz studije OCARINA II nije imao antitijela na anti-rHuPH20 koja se javljaju zbog terapije. </w:t>
      </w:r>
    </w:p>
    <w:p w14:paraId="323D723A" w14:textId="77777777" w:rsidR="00466B8B" w:rsidRPr="002A6AB6" w:rsidRDefault="00466B8B" w:rsidP="00587700">
      <w:pPr>
        <w:tabs>
          <w:tab w:val="left" w:pos="567"/>
        </w:tabs>
        <w:jc w:val="both"/>
        <w:rPr>
          <w:sz w:val="22"/>
          <w:szCs w:val="22"/>
          <w:lang w:val="sr-Latn-ME"/>
        </w:rPr>
      </w:pPr>
    </w:p>
    <w:p w14:paraId="7A53E64C" w14:textId="77777777" w:rsidR="00466B8B" w:rsidRPr="002A6AB6" w:rsidRDefault="00466B8B" w:rsidP="00587700">
      <w:pPr>
        <w:jc w:val="both"/>
        <w:rPr>
          <w:i/>
          <w:iCs/>
          <w:sz w:val="22"/>
          <w:szCs w:val="22"/>
          <w:u w:val="single"/>
          <w:lang w:val="sr-Latn-ME" w:eastAsia="ja-JP"/>
        </w:rPr>
      </w:pPr>
      <w:proofErr w:type="spellStart"/>
      <w:r w:rsidRPr="002A6AB6">
        <w:rPr>
          <w:i/>
          <w:iCs/>
          <w:sz w:val="22"/>
          <w:szCs w:val="22"/>
          <w:u w:val="single"/>
          <w:lang w:val="sr-Latn-ME" w:eastAsia="ja-JP"/>
        </w:rPr>
        <w:t>Intravenska</w:t>
      </w:r>
      <w:proofErr w:type="spellEnd"/>
      <w:r w:rsidRPr="002A6AB6">
        <w:rPr>
          <w:i/>
          <w:iCs/>
          <w:sz w:val="22"/>
          <w:szCs w:val="22"/>
          <w:u w:val="single"/>
          <w:lang w:val="sr-Latn-ME" w:eastAsia="ja-JP"/>
        </w:rPr>
        <w:t xml:space="preserve"> formula </w:t>
      </w:r>
    </w:p>
    <w:p w14:paraId="24C43436" w14:textId="77777777" w:rsidR="00466B8B" w:rsidRPr="002A6AB6" w:rsidRDefault="00466B8B" w:rsidP="00587700">
      <w:pPr>
        <w:jc w:val="both"/>
        <w:rPr>
          <w:sz w:val="22"/>
          <w:szCs w:val="22"/>
          <w:lang w:val="sr-Latn-ME" w:eastAsia="ja-JP"/>
        </w:rPr>
      </w:pPr>
      <w:bookmarkStart w:id="7" w:name="_Hlk134810161"/>
      <w:r w:rsidRPr="002A6AB6">
        <w:rPr>
          <w:sz w:val="22"/>
          <w:szCs w:val="22"/>
          <w:lang w:val="sr-Latn-ME" w:eastAsia="ja-JP"/>
        </w:rPr>
        <w:t xml:space="preserve">Pacijenti u MS kliničkim studijama (WA21092, WA21093 i WA25064) bili su testirani u više navrata (na početku i svakih 6 mjeseci nakon terapije tokom trajanja studije) na antitijela na lijek. Od 1311 pacijenata liječenih </w:t>
      </w:r>
      <w:proofErr w:type="spellStart"/>
      <w:r w:rsidRPr="002A6AB6">
        <w:rPr>
          <w:sz w:val="22"/>
          <w:szCs w:val="22"/>
          <w:lang w:val="sr-Latn-ME" w:eastAsia="ja-JP"/>
        </w:rPr>
        <w:t>okrelizumabom</w:t>
      </w:r>
      <w:proofErr w:type="spellEnd"/>
      <w:r w:rsidRPr="002A6AB6">
        <w:rPr>
          <w:sz w:val="22"/>
          <w:szCs w:val="22"/>
          <w:lang w:val="sr-Latn-ME" w:eastAsia="ja-JP"/>
        </w:rPr>
        <w:t xml:space="preserve">, 12 (oko 1%) bilo je pozitivno na ADA koja se javljaju zbog terapije, a dvoje od njih je bilo pozitivno na </w:t>
      </w:r>
      <w:proofErr w:type="spellStart"/>
      <w:r w:rsidRPr="002A6AB6">
        <w:rPr>
          <w:sz w:val="22"/>
          <w:szCs w:val="22"/>
          <w:lang w:val="sr-Latn-ME" w:eastAsia="ja-JP"/>
        </w:rPr>
        <w:t>neutrališuća</w:t>
      </w:r>
      <w:proofErr w:type="spellEnd"/>
      <w:r w:rsidRPr="002A6AB6">
        <w:rPr>
          <w:sz w:val="22"/>
          <w:szCs w:val="22"/>
          <w:lang w:val="sr-Latn-ME" w:eastAsia="ja-JP"/>
        </w:rPr>
        <w:t xml:space="preserve"> antitijela. Uticaj ADA koja se javljaju zbog terapije na bezbjednost i efikasnost ne može se procijeniti s obzirom na nisku </w:t>
      </w:r>
      <w:proofErr w:type="spellStart"/>
      <w:r w:rsidRPr="002A6AB6">
        <w:rPr>
          <w:sz w:val="22"/>
          <w:szCs w:val="22"/>
          <w:lang w:val="sr-Latn-ME" w:eastAsia="ja-JP"/>
        </w:rPr>
        <w:t>incidencu</w:t>
      </w:r>
      <w:proofErr w:type="spellEnd"/>
      <w:r w:rsidRPr="002A6AB6">
        <w:rPr>
          <w:sz w:val="22"/>
          <w:szCs w:val="22"/>
          <w:lang w:val="sr-Latn-ME" w:eastAsia="ja-JP"/>
        </w:rPr>
        <w:t xml:space="preserve"> ADA koja se povezuju sa </w:t>
      </w:r>
      <w:proofErr w:type="spellStart"/>
      <w:r w:rsidRPr="002A6AB6">
        <w:rPr>
          <w:sz w:val="22"/>
          <w:szCs w:val="22"/>
          <w:lang w:val="sr-Latn-ME" w:eastAsia="ja-JP"/>
        </w:rPr>
        <w:t>okrelizumabom</w:t>
      </w:r>
      <w:proofErr w:type="spellEnd"/>
      <w:r w:rsidRPr="002A6AB6">
        <w:rPr>
          <w:sz w:val="22"/>
          <w:szCs w:val="22"/>
          <w:lang w:val="sr-Latn-ME" w:eastAsia="ja-JP"/>
        </w:rPr>
        <w:t>.</w:t>
      </w:r>
    </w:p>
    <w:bookmarkEnd w:id="7"/>
    <w:p w14:paraId="1613D48F" w14:textId="77777777" w:rsidR="00466B8B" w:rsidRPr="002A6AB6" w:rsidRDefault="00466B8B" w:rsidP="00587700">
      <w:pPr>
        <w:jc w:val="both"/>
        <w:rPr>
          <w:sz w:val="22"/>
          <w:szCs w:val="22"/>
          <w:lang w:val="sr-Latn-ME" w:eastAsia="ja-JP"/>
        </w:rPr>
      </w:pPr>
    </w:p>
    <w:p w14:paraId="11CE3CBB" w14:textId="77777777" w:rsidR="00466B8B" w:rsidRPr="002A6AB6" w:rsidRDefault="00466B8B" w:rsidP="00587700">
      <w:pPr>
        <w:jc w:val="both"/>
        <w:rPr>
          <w:sz w:val="22"/>
          <w:szCs w:val="22"/>
          <w:u w:val="single"/>
          <w:lang w:val="sr-Latn-ME" w:eastAsia="ja-JP"/>
        </w:rPr>
      </w:pPr>
      <w:bookmarkStart w:id="8" w:name="_Hlk134810019"/>
      <w:bookmarkEnd w:id="6"/>
      <w:r w:rsidRPr="002A6AB6">
        <w:rPr>
          <w:sz w:val="22"/>
          <w:szCs w:val="22"/>
          <w:u w:val="single"/>
          <w:lang w:val="sr-Latn-ME" w:eastAsia="ja-JP"/>
        </w:rPr>
        <w:t>Imunizacije</w:t>
      </w:r>
    </w:p>
    <w:p w14:paraId="072F0C75" w14:textId="2976350D" w:rsidR="00466B8B" w:rsidRPr="002A6AB6" w:rsidRDefault="00466B8B" w:rsidP="00587700">
      <w:pPr>
        <w:jc w:val="both"/>
        <w:rPr>
          <w:sz w:val="22"/>
          <w:szCs w:val="22"/>
          <w:lang w:val="sr-Latn-ME" w:eastAsia="ja-JP"/>
        </w:rPr>
      </w:pPr>
      <w:r w:rsidRPr="002A6AB6">
        <w:rPr>
          <w:sz w:val="22"/>
          <w:szCs w:val="22"/>
          <w:lang w:val="sr-Latn-ME" w:eastAsia="ja-JP"/>
        </w:rPr>
        <w:t xml:space="preserve">U </w:t>
      </w:r>
      <w:proofErr w:type="spellStart"/>
      <w:r w:rsidRPr="002A6AB6">
        <w:rPr>
          <w:sz w:val="22"/>
          <w:szCs w:val="22"/>
          <w:lang w:val="sr-Latn-ME" w:eastAsia="ja-JP"/>
        </w:rPr>
        <w:t>randomizovanoj</w:t>
      </w:r>
      <w:proofErr w:type="spellEnd"/>
      <w:r w:rsidRPr="002A6AB6">
        <w:rPr>
          <w:sz w:val="22"/>
          <w:szCs w:val="22"/>
          <w:lang w:val="sr-Latn-ME" w:eastAsia="ja-JP"/>
        </w:rPr>
        <w:t xml:space="preserve"> studiji otvorenog tipa pacijenata sa RMS-om (N=102), procenat pacijenata sa pozitivnim odgovorom na </w:t>
      </w:r>
      <w:proofErr w:type="spellStart"/>
      <w:r w:rsidRPr="002A6AB6">
        <w:rPr>
          <w:sz w:val="22"/>
          <w:szCs w:val="22"/>
          <w:lang w:val="sr-Latn-ME" w:eastAsia="ja-JP"/>
        </w:rPr>
        <w:t>tetanusnu</w:t>
      </w:r>
      <w:proofErr w:type="spellEnd"/>
      <w:r w:rsidRPr="002A6AB6">
        <w:rPr>
          <w:sz w:val="22"/>
          <w:szCs w:val="22"/>
          <w:lang w:val="sr-Latn-ME" w:eastAsia="ja-JP"/>
        </w:rPr>
        <w:t xml:space="preserve"> vakcinu 8 nedjelja nakon vakcinacije bio je 23,9% u grupi pacijenata liječenih </w:t>
      </w:r>
      <w:proofErr w:type="spellStart"/>
      <w:r w:rsidRPr="002A6AB6">
        <w:rPr>
          <w:sz w:val="22"/>
          <w:szCs w:val="22"/>
          <w:lang w:val="sr-Latn-ME" w:eastAsia="ja-JP"/>
        </w:rPr>
        <w:t>okrelizumabom</w:t>
      </w:r>
      <w:proofErr w:type="spellEnd"/>
      <w:r w:rsidRPr="002A6AB6">
        <w:rPr>
          <w:sz w:val="22"/>
          <w:szCs w:val="22"/>
          <w:lang w:val="sr-Latn-ME" w:eastAsia="ja-JP"/>
        </w:rPr>
        <w:t xml:space="preserve"> u poređenju sa 54,5% u kontrolnoj grupi (bez terapije koja modifikuje tok bolesti izuzev </w:t>
      </w:r>
      <w:proofErr w:type="spellStart"/>
      <w:r w:rsidRPr="002A6AB6">
        <w:rPr>
          <w:sz w:val="22"/>
          <w:szCs w:val="22"/>
          <w:lang w:val="sr-Latn-ME" w:eastAsia="ja-JP"/>
        </w:rPr>
        <w:t>interferona</w:t>
      </w:r>
      <w:proofErr w:type="spellEnd"/>
      <w:r w:rsidRPr="002A6AB6">
        <w:rPr>
          <w:sz w:val="22"/>
          <w:szCs w:val="22"/>
          <w:lang w:val="sr-Latn-ME" w:eastAsia="ja-JP"/>
        </w:rPr>
        <w:t xml:space="preserve"> beta).  Geometrijske srednje vrijednosti titra specifičnih antitijela anti-</w:t>
      </w:r>
      <w:proofErr w:type="spellStart"/>
      <w:r w:rsidRPr="002A6AB6">
        <w:rPr>
          <w:sz w:val="22"/>
          <w:szCs w:val="22"/>
          <w:lang w:val="sr-Latn-ME" w:eastAsia="ja-JP"/>
        </w:rPr>
        <w:t>tetanusnog</w:t>
      </w:r>
      <w:proofErr w:type="spellEnd"/>
      <w:r w:rsidRPr="002A6AB6">
        <w:rPr>
          <w:sz w:val="22"/>
          <w:szCs w:val="22"/>
          <w:lang w:val="sr-Latn-ME" w:eastAsia="ja-JP"/>
        </w:rPr>
        <w:t xml:space="preserve"> </w:t>
      </w:r>
      <w:proofErr w:type="spellStart"/>
      <w:r w:rsidRPr="002A6AB6">
        <w:rPr>
          <w:sz w:val="22"/>
          <w:szCs w:val="22"/>
          <w:lang w:val="sr-Latn-ME" w:eastAsia="ja-JP"/>
        </w:rPr>
        <w:t>toksoida</w:t>
      </w:r>
      <w:proofErr w:type="spellEnd"/>
      <w:r w:rsidRPr="002A6AB6">
        <w:rPr>
          <w:sz w:val="22"/>
          <w:szCs w:val="22"/>
          <w:lang w:val="sr-Latn-ME" w:eastAsia="ja-JP"/>
        </w:rPr>
        <w:t xml:space="preserve"> 8 nedjelja nakon vakcinacije bile su 3,74 odnosno 9,81 </w:t>
      </w:r>
      <w:proofErr w:type="spellStart"/>
      <w:r w:rsidRPr="002A6AB6">
        <w:rPr>
          <w:sz w:val="22"/>
          <w:szCs w:val="22"/>
          <w:lang w:val="sr-Latn-ME" w:eastAsia="ja-JP"/>
        </w:rPr>
        <w:t>i.j</w:t>
      </w:r>
      <w:proofErr w:type="spellEnd"/>
      <w:r w:rsidRPr="002A6AB6">
        <w:rPr>
          <w:sz w:val="22"/>
          <w:szCs w:val="22"/>
          <w:lang w:val="sr-Latn-ME" w:eastAsia="ja-JP"/>
        </w:rPr>
        <w:t>./m</w:t>
      </w:r>
      <w:r w:rsidR="00320270" w:rsidRPr="002A6AB6">
        <w:rPr>
          <w:sz w:val="22"/>
          <w:szCs w:val="22"/>
          <w:lang w:val="sr-Latn-ME" w:eastAsia="ja-JP"/>
        </w:rPr>
        <w:t>l</w:t>
      </w:r>
      <w:r w:rsidRPr="002A6AB6">
        <w:rPr>
          <w:sz w:val="22"/>
          <w:szCs w:val="22"/>
          <w:lang w:val="sr-Latn-ME" w:eastAsia="ja-JP"/>
        </w:rPr>
        <w:t xml:space="preserve">. Pozitivan odgovor na </w:t>
      </w:r>
      <w:r w:rsidRPr="002A6AB6">
        <w:rPr>
          <w:sz w:val="22"/>
          <w:szCs w:val="22"/>
          <w:lang w:val="sr-Latn-ME" w:eastAsia="ja-JP"/>
        </w:rPr>
        <w:sym w:font="Symbol" w:char="F0B3"/>
      </w:r>
      <w:r w:rsidRPr="002A6AB6">
        <w:rPr>
          <w:sz w:val="22"/>
          <w:szCs w:val="22"/>
          <w:lang w:val="sr-Latn-ME" w:eastAsia="ja-JP"/>
        </w:rPr>
        <w:t xml:space="preserve">5 </w:t>
      </w:r>
      <w:proofErr w:type="spellStart"/>
      <w:r w:rsidRPr="002A6AB6">
        <w:rPr>
          <w:sz w:val="22"/>
          <w:szCs w:val="22"/>
          <w:lang w:val="sr-Latn-ME" w:eastAsia="ja-JP"/>
        </w:rPr>
        <w:t>serotipova</w:t>
      </w:r>
      <w:proofErr w:type="spellEnd"/>
      <w:r w:rsidRPr="002A6AB6">
        <w:rPr>
          <w:sz w:val="22"/>
          <w:szCs w:val="22"/>
          <w:lang w:val="sr-Latn-ME" w:eastAsia="ja-JP"/>
        </w:rPr>
        <w:t xml:space="preserve"> kod 23-PPV četvrte nedjelje nakon vakcinacije bio je 71,6% u grupi </w:t>
      </w:r>
      <w:proofErr w:type="spellStart"/>
      <w:r w:rsidRPr="002A6AB6">
        <w:rPr>
          <w:sz w:val="22"/>
          <w:szCs w:val="22"/>
          <w:lang w:val="sr-Latn-ME" w:eastAsia="ja-JP"/>
        </w:rPr>
        <w:t>intravenskog</w:t>
      </w:r>
      <w:proofErr w:type="spellEnd"/>
      <w:r w:rsidRPr="002A6AB6">
        <w:rPr>
          <w:sz w:val="22"/>
          <w:szCs w:val="22"/>
          <w:lang w:val="sr-Latn-ME" w:eastAsia="ja-JP"/>
        </w:rPr>
        <w:t xml:space="preserve"> </w:t>
      </w:r>
      <w:proofErr w:type="spellStart"/>
      <w:r w:rsidRPr="002A6AB6">
        <w:rPr>
          <w:sz w:val="22"/>
          <w:szCs w:val="22"/>
          <w:lang w:val="sr-Latn-ME" w:eastAsia="ja-JP"/>
        </w:rPr>
        <w:t>okrelizumaba</w:t>
      </w:r>
      <w:proofErr w:type="spellEnd"/>
      <w:r w:rsidRPr="002A6AB6">
        <w:rPr>
          <w:sz w:val="22"/>
          <w:szCs w:val="22"/>
          <w:lang w:val="sr-Latn-ME" w:eastAsia="ja-JP"/>
        </w:rPr>
        <w:t xml:space="preserve"> i 100% u kontrolnoj grupi. Kod pacijenata liječenih </w:t>
      </w:r>
      <w:proofErr w:type="spellStart"/>
      <w:r w:rsidRPr="002A6AB6">
        <w:rPr>
          <w:sz w:val="22"/>
          <w:szCs w:val="22"/>
          <w:lang w:val="sr-Latn-ME" w:eastAsia="ja-JP"/>
        </w:rPr>
        <w:t>intravenskim</w:t>
      </w:r>
      <w:proofErr w:type="spellEnd"/>
      <w:r w:rsidRPr="002A6AB6">
        <w:rPr>
          <w:sz w:val="22"/>
          <w:szCs w:val="22"/>
          <w:lang w:val="sr-Latn-ME" w:eastAsia="ja-JP"/>
        </w:rPr>
        <w:t xml:space="preserve"> </w:t>
      </w:r>
      <w:proofErr w:type="spellStart"/>
      <w:r w:rsidRPr="002A6AB6">
        <w:rPr>
          <w:sz w:val="22"/>
          <w:szCs w:val="22"/>
          <w:lang w:val="sr-Latn-ME" w:eastAsia="ja-JP"/>
        </w:rPr>
        <w:t>okrelizumabom</w:t>
      </w:r>
      <w:proofErr w:type="spellEnd"/>
      <w:r w:rsidRPr="002A6AB6">
        <w:rPr>
          <w:sz w:val="22"/>
          <w:szCs w:val="22"/>
          <w:lang w:val="sr-Latn-ME" w:eastAsia="ja-JP"/>
        </w:rPr>
        <w:t xml:space="preserve">, </w:t>
      </w:r>
      <w:proofErr w:type="spellStart"/>
      <w:r w:rsidRPr="002A6AB6">
        <w:rPr>
          <w:sz w:val="22"/>
          <w:szCs w:val="22"/>
          <w:lang w:val="sr-Latn-ME" w:eastAsia="ja-JP"/>
        </w:rPr>
        <w:t>buster</w:t>
      </w:r>
      <w:proofErr w:type="spellEnd"/>
      <w:r w:rsidRPr="002A6AB6">
        <w:rPr>
          <w:sz w:val="22"/>
          <w:szCs w:val="22"/>
          <w:lang w:val="sr-Latn-ME" w:eastAsia="ja-JP"/>
        </w:rPr>
        <w:t xml:space="preserve"> vakcina (13-PCV) data 4 nedjelje nakon 23-PPV nije značajno pojačala odgovor na 12 </w:t>
      </w:r>
      <w:proofErr w:type="spellStart"/>
      <w:r w:rsidRPr="002A6AB6">
        <w:rPr>
          <w:sz w:val="22"/>
          <w:szCs w:val="22"/>
          <w:lang w:val="sr-Latn-ME" w:eastAsia="ja-JP"/>
        </w:rPr>
        <w:t>serotipova</w:t>
      </w:r>
      <w:proofErr w:type="spellEnd"/>
      <w:r w:rsidRPr="002A6AB6">
        <w:rPr>
          <w:sz w:val="22"/>
          <w:szCs w:val="22"/>
          <w:lang w:val="sr-Latn-ME" w:eastAsia="ja-JP"/>
        </w:rPr>
        <w:t xml:space="preserve"> u poređenju sa 23-PPV. Procenat pacijenata sa </w:t>
      </w:r>
      <w:proofErr w:type="spellStart"/>
      <w:r w:rsidRPr="002A6AB6">
        <w:rPr>
          <w:sz w:val="22"/>
          <w:szCs w:val="22"/>
          <w:lang w:val="sr-Latn-ME" w:eastAsia="ja-JP"/>
        </w:rPr>
        <w:t>seroprotektivnim</w:t>
      </w:r>
      <w:proofErr w:type="spellEnd"/>
      <w:r w:rsidRPr="002A6AB6">
        <w:rPr>
          <w:sz w:val="22"/>
          <w:szCs w:val="22"/>
          <w:lang w:val="sr-Latn-ME" w:eastAsia="ja-JP"/>
        </w:rPr>
        <w:t xml:space="preserve"> </w:t>
      </w:r>
      <w:proofErr w:type="spellStart"/>
      <w:r w:rsidRPr="002A6AB6">
        <w:rPr>
          <w:sz w:val="22"/>
          <w:szCs w:val="22"/>
          <w:lang w:val="sr-Latn-ME" w:eastAsia="ja-JP"/>
        </w:rPr>
        <w:t>titrima</w:t>
      </w:r>
      <w:proofErr w:type="spellEnd"/>
      <w:r w:rsidRPr="002A6AB6">
        <w:rPr>
          <w:sz w:val="22"/>
          <w:szCs w:val="22"/>
          <w:lang w:val="sr-Latn-ME" w:eastAsia="ja-JP"/>
        </w:rPr>
        <w:t xml:space="preserve"> protiv pet sojeva gripa varirao je od 20,0</w:t>
      </w:r>
      <w:r w:rsidRPr="002A6AB6">
        <w:rPr>
          <w:sz w:val="22"/>
          <w:szCs w:val="22"/>
          <w:lang w:val="sr-Latn-ME" w:eastAsia="ja-JP"/>
        </w:rPr>
        <w:sym w:font="Symbol" w:char="F02D"/>
      </w:r>
      <w:r w:rsidRPr="002A6AB6">
        <w:rPr>
          <w:sz w:val="22"/>
          <w:szCs w:val="22"/>
          <w:lang w:val="sr-Latn-ME" w:eastAsia="ja-JP"/>
        </w:rPr>
        <w:t>60,0% odnosno 16,7</w:t>
      </w:r>
      <w:r w:rsidRPr="002A6AB6">
        <w:rPr>
          <w:sz w:val="22"/>
          <w:szCs w:val="22"/>
          <w:lang w:val="sr-Latn-ME" w:eastAsia="ja-JP"/>
        </w:rPr>
        <w:sym w:font="Symbol" w:char="F02D"/>
      </w:r>
      <w:r w:rsidRPr="002A6AB6">
        <w:rPr>
          <w:sz w:val="22"/>
          <w:szCs w:val="22"/>
          <w:lang w:val="sr-Latn-ME" w:eastAsia="ja-JP"/>
        </w:rPr>
        <w:t>43,8% prije vakcinacije, a 4 nedjelje nakon vakcinacije varirao je 55,6</w:t>
      </w:r>
      <w:r w:rsidRPr="002A6AB6">
        <w:rPr>
          <w:sz w:val="22"/>
          <w:szCs w:val="22"/>
          <w:lang w:val="sr-Latn-ME" w:eastAsia="ja-JP"/>
        </w:rPr>
        <w:sym w:font="Symbol" w:char="F02D"/>
      </w:r>
      <w:r w:rsidRPr="002A6AB6">
        <w:rPr>
          <w:sz w:val="22"/>
          <w:szCs w:val="22"/>
          <w:lang w:val="sr-Latn-ME" w:eastAsia="ja-JP"/>
        </w:rPr>
        <w:t xml:space="preserve">80,0% kod pacijenata liječenih </w:t>
      </w:r>
      <w:proofErr w:type="spellStart"/>
      <w:r w:rsidRPr="002A6AB6">
        <w:rPr>
          <w:sz w:val="22"/>
          <w:szCs w:val="22"/>
          <w:lang w:val="sr-Latn-ME" w:eastAsia="ja-JP"/>
        </w:rPr>
        <w:t>intravenskim</w:t>
      </w:r>
      <w:proofErr w:type="spellEnd"/>
      <w:r w:rsidRPr="002A6AB6">
        <w:rPr>
          <w:sz w:val="22"/>
          <w:szCs w:val="22"/>
          <w:lang w:val="sr-Latn-ME" w:eastAsia="ja-JP"/>
        </w:rPr>
        <w:t xml:space="preserve"> </w:t>
      </w:r>
      <w:proofErr w:type="spellStart"/>
      <w:r w:rsidRPr="002A6AB6">
        <w:rPr>
          <w:sz w:val="22"/>
          <w:szCs w:val="22"/>
          <w:lang w:val="sr-Latn-ME" w:eastAsia="ja-JP"/>
        </w:rPr>
        <w:t>okrelizumabom</w:t>
      </w:r>
      <w:proofErr w:type="spellEnd"/>
      <w:r w:rsidRPr="002A6AB6">
        <w:rPr>
          <w:sz w:val="22"/>
          <w:szCs w:val="22"/>
          <w:lang w:val="sr-Latn-ME" w:eastAsia="ja-JP"/>
        </w:rPr>
        <w:t xml:space="preserve"> odnosno 75,0</w:t>
      </w:r>
      <w:r w:rsidRPr="002A6AB6">
        <w:rPr>
          <w:sz w:val="22"/>
          <w:szCs w:val="22"/>
          <w:lang w:val="sr-Latn-ME" w:eastAsia="ja-JP"/>
        </w:rPr>
        <w:sym w:font="Symbol" w:char="F02D"/>
      </w:r>
      <w:r w:rsidRPr="002A6AB6">
        <w:rPr>
          <w:sz w:val="22"/>
          <w:szCs w:val="22"/>
          <w:lang w:val="sr-Latn-ME" w:eastAsia="ja-JP"/>
        </w:rPr>
        <w:t xml:space="preserve">97,0% u kontrolnoj grupi. Vidjeti </w:t>
      </w:r>
      <w:r w:rsidR="0002688D" w:rsidRPr="002A6AB6">
        <w:rPr>
          <w:sz w:val="22"/>
          <w:szCs w:val="22"/>
          <w:lang w:val="sr-Latn-ME" w:eastAsia="ja-JP"/>
        </w:rPr>
        <w:t xml:space="preserve">djelove </w:t>
      </w:r>
      <w:r w:rsidRPr="002A6AB6">
        <w:rPr>
          <w:sz w:val="22"/>
          <w:szCs w:val="22"/>
          <w:lang w:val="sr-Latn-ME" w:eastAsia="ja-JP"/>
        </w:rPr>
        <w:t>4.4 i 4.5.</w:t>
      </w:r>
    </w:p>
    <w:bookmarkEnd w:id="8"/>
    <w:p w14:paraId="32FD8DCA" w14:textId="77777777" w:rsidR="00466B8B" w:rsidRPr="002A6AB6" w:rsidRDefault="00466B8B" w:rsidP="00587700">
      <w:pPr>
        <w:tabs>
          <w:tab w:val="left" w:pos="567"/>
        </w:tabs>
        <w:jc w:val="both"/>
        <w:rPr>
          <w:sz w:val="22"/>
          <w:szCs w:val="22"/>
          <w:lang w:val="sr-Latn-ME"/>
        </w:rPr>
      </w:pPr>
    </w:p>
    <w:p w14:paraId="44355B72" w14:textId="77777777" w:rsidR="00466B8B" w:rsidRPr="002A6AB6" w:rsidRDefault="00466B8B" w:rsidP="00587700">
      <w:pPr>
        <w:tabs>
          <w:tab w:val="left" w:pos="567"/>
        </w:tabs>
        <w:jc w:val="both"/>
        <w:rPr>
          <w:sz w:val="22"/>
          <w:szCs w:val="22"/>
          <w:u w:val="single"/>
          <w:lang w:val="sr-Latn-ME"/>
        </w:rPr>
      </w:pPr>
      <w:r w:rsidRPr="002A6AB6">
        <w:rPr>
          <w:sz w:val="22"/>
          <w:szCs w:val="22"/>
          <w:u w:val="single"/>
          <w:lang w:val="sr-Latn-ME"/>
        </w:rPr>
        <w:t>Pedijatrijska populacija</w:t>
      </w:r>
    </w:p>
    <w:p w14:paraId="3B33AFED" w14:textId="77777777" w:rsidR="00466B8B" w:rsidRPr="002A6AB6" w:rsidRDefault="00466B8B" w:rsidP="00587700">
      <w:pPr>
        <w:tabs>
          <w:tab w:val="left" w:pos="569"/>
        </w:tabs>
        <w:jc w:val="both"/>
        <w:rPr>
          <w:sz w:val="22"/>
          <w:szCs w:val="22"/>
          <w:lang w:val="sr-Latn-ME"/>
        </w:rPr>
      </w:pPr>
      <w:r w:rsidRPr="002A6AB6">
        <w:rPr>
          <w:sz w:val="22"/>
          <w:szCs w:val="22"/>
          <w:lang w:val="sr-Latn-ME"/>
        </w:rPr>
        <w:t xml:space="preserve">Evropska agencija za ljekove izuzela je od obaveze podnošenje rezultata ispitivanja lijeka </w:t>
      </w:r>
      <w:proofErr w:type="spellStart"/>
      <w:r w:rsidRPr="002A6AB6">
        <w:rPr>
          <w:sz w:val="22"/>
          <w:szCs w:val="22"/>
          <w:lang w:val="sr-Latn-ME"/>
        </w:rPr>
        <w:t>Ocrevus</w:t>
      </w:r>
      <w:proofErr w:type="spellEnd"/>
      <w:r w:rsidRPr="002A6AB6">
        <w:rPr>
          <w:sz w:val="22"/>
          <w:szCs w:val="22"/>
          <w:lang w:val="sr-Latn-ME"/>
        </w:rPr>
        <w:t xml:space="preserve"> u jednoj ili više podgrupa pedijatrijske populacije u terapiji multiple skleroze.</w:t>
      </w:r>
      <w:r w:rsidRPr="002A6AB6">
        <w:rPr>
          <w:i/>
          <w:iCs/>
          <w:sz w:val="22"/>
          <w:szCs w:val="22"/>
          <w:lang w:val="sr-Latn-ME"/>
        </w:rPr>
        <w:t xml:space="preserve"> </w:t>
      </w:r>
      <w:r w:rsidRPr="002A6AB6">
        <w:rPr>
          <w:sz w:val="22"/>
          <w:szCs w:val="22"/>
          <w:lang w:val="sr-Latn-ME"/>
        </w:rPr>
        <w:t xml:space="preserve">Vidjeti </w:t>
      </w:r>
      <w:r w:rsidR="00ED0D01" w:rsidRPr="002A6AB6">
        <w:rPr>
          <w:sz w:val="22"/>
          <w:szCs w:val="22"/>
          <w:lang w:val="sr-Latn-ME"/>
        </w:rPr>
        <w:t xml:space="preserve">dio </w:t>
      </w:r>
      <w:r w:rsidRPr="002A6AB6">
        <w:rPr>
          <w:sz w:val="22"/>
          <w:szCs w:val="22"/>
          <w:lang w:val="sr-Latn-ME"/>
        </w:rPr>
        <w:t>4.2 radi informacija o pedijatrijskoj prim</w:t>
      </w:r>
      <w:r w:rsidR="00320270" w:rsidRPr="002A6AB6">
        <w:rPr>
          <w:sz w:val="22"/>
          <w:szCs w:val="22"/>
          <w:lang w:val="sr-Latn-ME"/>
        </w:rPr>
        <w:t>j</w:t>
      </w:r>
      <w:r w:rsidRPr="002A6AB6">
        <w:rPr>
          <w:sz w:val="22"/>
          <w:szCs w:val="22"/>
          <w:lang w:val="sr-Latn-ME"/>
        </w:rPr>
        <w:t>eni.</w:t>
      </w:r>
    </w:p>
    <w:p w14:paraId="48F0F56F" w14:textId="77777777" w:rsidR="00466B8B" w:rsidRPr="002A6AB6" w:rsidRDefault="00466B8B" w:rsidP="00587700">
      <w:pPr>
        <w:tabs>
          <w:tab w:val="left" w:pos="540"/>
          <w:tab w:val="left" w:pos="569"/>
        </w:tabs>
        <w:jc w:val="both"/>
        <w:rPr>
          <w:b/>
          <w:bCs/>
          <w:sz w:val="22"/>
          <w:szCs w:val="22"/>
          <w:lang w:val="sr-Latn-ME"/>
        </w:rPr>
      </w:pPr>
    </w:p>
    <w:p w14:paraId="5F047119" w14:textId="77777777" w:rsidR="0072020E" w:rsidRPr="002A6AB6" w:rsidRDefault="0072020E" w:rsidP="00587700">
      <w:pPr>
        <w:tabs>
          <w:tab w:val="left" w:pos="540"/>
          <w:tab w:val="left" w:pos="569"/>
        </w:tabs>
        <w:jc w:val="both"/>
        <w:rPr>
          <w:b/>
          <w:bCs/>
          <w:sz w:val="22"/>
          <w:szCs w:val="22"/>
          <w:lang w:val="sr-Latn-ME"/>
        </w:rPr>
      </w:pPr>
      <w:r w:rsidRPr="002A6AB6">
        <w:rPr>
          <w:b/>
          <w:bCs/>
          <w:sz w:val="22"/>
          <w:szCs w:val="22"/>
          <w:lang w:val="sr-Latn-ME"/>
        </w:rPr>
        <w:t xml:space="preserve">5.2. </w:t>
      </w:r>
      <w:r w:rsidR="00480FB1" w:rsidRPr="002A6AB6">
        <w:rPr>
          <w:b/>
          <w:bCs/>
          <w:sz w:val="22"/>
          <w:szCs w:val="22"/>
          <w:lang w:val="sr-Latn-ME"/>
        </w:rPr>
        <w:tab/>
      </w:r>
      <w:proofErr w:type="spellStart"/>
      <w:r w:rsidRPr="002A6AB6">
        <w:rPr>
          <w:b/>
          <w:bCs/>
          <w:sz w:val="22"/>
          <w:szCs w:val="22"/>
          <w:lang w:val="sr-Latn-ME"/>
        </w:rPr>
        <w:t>Farmakokinetički</w:t>
      </w:r>
      <w:proofErr w:type="spellEnd"/>
      <w:r w:rsidRPr="002A6AB6">
        <w:rPr>
          <w:b/>
          <w:bCs/>
          <w:sz w:val="22"/>
          <w:szCs w:val="22"/>
          <w:lang w:val="sr-Latn-ME"/>
        </w:rPr>
        <w:t xml:space="preserve"> podaci</w:t>
      </w:r>
      <w:r w:rsidR="003A7059" w:rsidRPr="002A6AB6">
        <w:rPr>
          <w:b/>
          <w:bCs/>
          <w:sz w:val="22"/>
          <w:szCs w:val="22"/>
          <w:lang w:val="sr-Latn-ME"/>
        </w:rPr>
        <w:t xml:space="preserve"> </w:t>
      </w:r>
    </w:p>
    <w:p w14:paraId="4873BAC0" w14:textId="77777777" w:rsidR="0072020E" w:rsidRPr="002A6AB6" w:rsidRDefault="0072020E" w:rsidP="00587700">
      <w:pPr>
        <w:tabs>
          <w:tab w:val="left" w:pos="540"/>
          <w:tab w:val="left" w:pos="569"/>
        </w:tabs>
        <w:jc w:val="both"/>
        <w:rPr>
          <w:bCs/>
          <w:sz w:val="22"/>
          <w:szCs w:val="22"/>
          <w:lang w:val="sr-Latn-ME"/>
        </w:rPr>
      </w:pPr>
    </w:p>
    <w:p w14:paraId="1AD03C75" w14:textId="77777777" w:rsidR="00040429" w:rsidRPr="002A6AB6" w:rsidRDefault="00040429" w:rsidP="00587700">
      <w:pPr>
        <w:numPr>
          <w:ilvl w:val="12"/>
          <w:numId w:val="0"/>
        </w:numPr>
        <w:ind w:right="2"/>
        <w:jc w:val="both"/>
        <w:rPr>
          <w:sz w:val="22"/>
          <w:szCs w:val="22"/>
          <w:lang w:val="sr-Latn-ME" w:eastAsia="ja-JP"/>
        </w:rPr>
      </w:pPr>
      <w:proofErr w:type="spellStart"/>
      <w:r w:rsidRPr="002A6AB6">
        <w:rPr>
          <w:sz w:val="22"/>
          <w:szCs w:val="22"/>
          <w:lang w:val="sr-Latn-ME" w:eastAsia="ja-JP"/>
        </w:rPr>
        <w:t>Farmakokinetika</w:t>
      </w:r>
      <w:proofErr w:type="spellEnd"/>
      <w:r w:rsidRPr="002A6AB6">
        <w:rPr>
          <w:sz w:val="22"/>
          <w:szCs w:val="22"/>
          <w:lang w:val="sr-Latn-ME" w:eastAsia="ja-JP"/>
        </w:rPr>
        <w:t xml:space="preserve"> </w:t>
      </w:r>
      <w:proofErr w:type="spellStart"/>
      <w:r w:rsidRPr="002A6AB6">
        <w:rPr>
          <w:sz w:val="22"/>
          <w:szCs w:val="22"/>
          <w:lang w:val="sr-Latn-ME" w:eastAsia="ja-JP"/>
        </w:rPr>
        <w:t>okrelizumaba</w:t>
      </w:r>
      <w:proofErr w:type="spellEnd"/>
      <w:r w:rsidRPr="002A6AB6">
        <w:rPr>
          <w:sz w:val="22"/>
          <w:szCs w:val="22"/>
          <w:lang w:val="sr-Latn-ME" w:eastAsia="ja-JP"/>
        </w:rPr>
        <w:t xml:space="preserve"> u MS studijama opisana je </w:t>
      </w:r>
      <w:proofErr w:type="spellStart"/>
      <w:r w:rsidRPr="002A6AB6">
        <w:rPr>
          <w:sz w:val="22"/>
          <w:szCs w:val="22"/>
          <w:lang w:val="sr-Latn-ME" w:eastAsia="ja-JP"/>
        </w:rPr>
        <w:t>dvokompartmanskim</w:t>
      </w:r>
      <w:proofErr w:type="spellEnd"/>
      <w:r w:rsidRPr="002A6AB6">
        <w:rPr>
          <w:sz w:val="22"/>
          <w:szCs w:val="22"/>
          <w:lang w:val="sr-Latn-ME" w:eastAsia="ja-JP"/>
        </w:rPr>
        <w:t xml:space="preserve"> modelom sa </w:t>
      </w:r>
      <w:proofErr w:type="spellStart"/>
      <w:r w:rsidRPr="002A6AB6">
        <w:rPr>
          <w:sz w:val="22"/>
          <w:szCs w:val="22"/>
          <w:lang w:val="sr-Latn-ME" w:eastAsia="ja-JP"/>
        </w:rPr>
        <w:t>klirensom</w:t>
      </w:r>
      <w:proofErr w:type="spellEnd"/>
      <w:r w:rsidRPr="002A6AB6">
        <w:rPr>
          <w:sz w:val="22"/>
          <w:szCs w:val="22"/>
          <w:lang w:val="sr-Latn-ME" w:eastAsia="ja-JP"/>
        </w:rPr>
        <w:t xml:space="preserve"> zavisnim od </w:t>
      </w:r>
      <w:proofErr w:type="spellStart"/>
      <w:r w:rsidRPr="002A6AB6">
        <w:rPr>
          <w:sz w:val="22"/>
          <w:szCs w:val="22"/>
          <w:lang w:val="sr-Latn-ME" w:eastAsia="ja-JP"/>
        </w:rPr>
        <w:t>vremena</w:t>
      </w:r>
      <w:proofErr w:type="spellEnd"/>
      <w:r w:rsidRPr="002A6AB6">
        <w:rPr>
          <w:sz w:val="22"/>
          <w:szCs w:val="22"/>
          <w:lang w:val="sr-Latn-ME" w:eastAsia="ja-JP"/>
        </w:rPr>
        <w:t xml:space="preserve">, i sa </w:t>
      </w:r>
      <w:proofErr w:type="spellStart"/>
      <w:r w:rsidRPr="002A6AB6">
        <w:rPr>
          <w:sz w:val="22"/>
          <w:szCs w:val="22"/>
          <w:lang w:val="sr-Latn-ME" w:eastAsia="ja-JP"/>
        </w:rPr>
        <w:t>farmakokinetičkim</w:t>
      </w:r>
      <w:proofErr w:type="spellEnd"/>
      <w:r w:rsidRPr="002A6AB6">
        <w:rPr>
          <w:sz w:val="22"/>
          <w:szCs w:val="22"/>
          <w:lang w:val="sr-Latn-ME" w:eastAsia="ja-JP"/>
        </w:rPr>
        <w:t xml:space="preserve"> parametrima svojstvenim IgG1 </w:t>
      </w:r>
      <w:proofErr w:type="spellStart"/>
      <w:r w:rsidRPr="002A6AB6">
        <w:rPr>
          <w:sz w:val="22"/>
          <w:szCs w:val="22"/>
          <w:lang w:val="sr-Latn-ME" w:eastAsia="ja-JP"/>
        </w:rPr>
        <w:t>monoklonskom</w:t>
      </w:r>
      <w:proofErr w:type="spellEnd"/>
      <w:r w:rsidRPr="002A6AB6">
        <w:rPr>
          <w:sz w:val="22"/>
          <w:szCs w:val="22"/>
          <w:lang w:val="sr-Latn-ME" w:eastAsia="ja-JP"/>
        </w:rPr>
        <w:t xml:space="preserve"> antit</w:t>
      </w:r>
      <w:r w:rsidR="00320270" w:rsidRPr="002A6AB6">
        <w:rPr>
          <w:sz w:val="22"/>
          <w:szCs w:val="22"/>
          <w:lang w:val="sr-Latn-ME" w:eastAsia="ja-JP"/>
        </w:rPr>
        <w:t>ij</w:t>
      </w:r>
      <w:r w:rsidRPr="002A6AB6">
        <w:rPr>
          <w:sz w:val="22"/>
          <w:szCs w:val="22"/>
          <w:lang w:val="sr-Latn-ME" w:eastAsia="ja-JP"/>
        </w:rPr>
        <w:t xml:space="preserve">elu. </w:t>
      </w:r>
    </w:p>
    <w:p w14:paraId="41AC0CC6" w14:textId="77777777" w:rsidR="00040429" w:rsidRPr="002A6AB6" w:rsidRDefault="00040429" w:rsidP="00587700">
      <w:pPr>
        <w:jc w:val="both"/>
        <w:rPr>
          <w:sz w:val="22"/>
          <w:szCs w:val="22"/>
          <w:lang w:val="sr-Latn-ME" w:eastAsia="ja-JP"/>
        </w:rPr>
      </w:pPr>
    </w:p>
    <w:p w14:paraId="0072F195" w14:textId="19785DDC" w:rsidR="00040429" w:rsidRPr="002A6AB6" w:rsidRDefault="00040429" w:rsidP="00587700">
      <w:pPr>
        <w:jc w:val="both"/>
        <w:rPr>
          <w:rFonts w:eastAsia="SimSun"/>
          <w:sz w:val="22"/>
          <w:szCs w:val="22"/>
          <w:lang w:val="sr-Latn-ME" w:eastAsia="ja-JP"/>
        </w:rPr>
      </w:pPr>
      <w:r w:rsidRPr="002A6AB6">
        <w:rPr>
          <w:sz w:val="22"/>
          <w:szCs w:val="22"/>
          <w:lang w:val="sr-Latn-ME" w:eastAsia="ja-JP"/>
        </w:rPr>
        <w:t xml:space="preserve">Nakon primjene 920 mg </w:t>
      </w:r>
      <w:proofErr w:type="spellStart"/>
      <w:r w:rsidRPr="002A6AB6">
        <w:rPr>
          <w:sz w:val="22"/>
          <w:szCs w:val="22"/>
          <w:lang w:val="sr-Latn-ME" w:eastAsia="ja-JP"/>
        </w:rPr>
        <w:t>subkutanog</w:t>
      </w:r>
      <w:proofErr w:type="spellEnd"/>
      <w:r w:rsidRPr="002A6AB6">
        <w:rPr>
          <w:sz w:val="22"/>
          <w:szCs w:val="22"/>
          <w:lang w:val="sr-Latn-ME" w:eastAsia="ja-JP"/>
        </w:rPr>
        <w:t xml:space="preserve"> </w:t>
      </w:r>
      <w:proofErr w:type="spellStart"/>
      <w:r w:rsidRPr="002A6AB6">
        <w:rPr>
          <w:sz w:val="22"/>
          <w:szCs w:val="22"/>
          <w:lang w:val="sr-Latn-ME" w:eastAsia="ja-JP"/>
        </w:rPr>
        <w:t>okrelizumaba</w:t>
      </w:r>
      <w:proofErr w:type="spellEnd"/>
      <w:r w:rsidRPr="002A6AB6">
        <w:rPr>
          <w:sz w:val="22"/>
          <w:szCs w:val="22"/>
          <w:lang w:val="sr-Latn-ME" w:eastAsia="ja-JP"/>
        </w:rPr>
        <w:t>, predviđena srednja izloženost (AUC u intervalu doziranja od 24 nedjelje) iznosila je 3730 </w:t>
      </w:r>
      <w:bookmarkStart w:id="9" w:name="_Hlk119074509"/>
      <w:r w:rsidRPr="002A6AB6">
        <w:rPr>
          <w:sz w:val="22"/>
          <w:szCs w:val="22"/>
          <w:lang w:val="sr-Latn-ME" w:eastAsia="ja-JP"/>
        </w:rPr>
        <w:t>µg/</w:t>
      </w:r>
      <w:proofErr w:type="spellStart"/>
      <w:r w:rsidRPr="002A6AB6">
        <w:rPr>
          <w:sz w:val="22"/>
          <w:szCs w:val="22"/>
          <w:lang w:val="sr-Latn-ME" w:eastAsia="ja-JP"/>
        </w:rPr>
        <w:t>m</w:t>
      </w:r>
      <w:r w:rsidR="00320270" w:rsidRPr="002A6AB6">
        <w:rPr>
          <w:sz w:val="22"/>
          <w:szCs w:val="22"/>
          <w:lang w:val="sr-Latn-ME" w:eastAsia="ja-JP"/>
        </w:rPr>
        <w:t>l</w:t>
      </w:r>
      <w:r w:rsidRPr="002A6AB6">
        <w:rPr>
          <w:color w:val="000000"/>
          <w:sz w:val="22"/>
          <w:szCs w:val="22"/>
          <w:shd w:val="clear" w:color="auto" w:fill="FFFFFF"/>
          <w:lang w:val="sr-Latn-ME" w:eastAsia="ja-JP"/>
        </w:rPr>
        <w:t>•</w:t>
      </w:r>
      <w:r w:rsidRPr="002A6AB6">
        <w:rPr>
          <w:sz w:val="22"/>
          <w:szCs w:val="22"/>
          <w:lang w:val="sr-Latn-ME" w:eastAsia="ja-JP"/>
        </w:rPr>
        <w:t>na</w:t>
      </w:r>
      <w:proofErr w:type="spellEnd"/>
      <w:r w:rsidRPr="002A6AB6">
        <w:rPr>
          <w:sz w:val="22"/>
          <w:szCs w:val="22"/>
          <w:lang w:val="sr-Latn-ME" w:eastAsia="ja-JP"/>
        </w:rPr>
        <w:t xml:space="preserve"> dan. Primarni </w:t>
      </w:r>
      <w:proofErr w:type="spellStart"/>
      <w:r w:rsidRPr="002A6AB6">
        <w:rPr>
          <w:sz w:val="22"/>
          <w:szCs w:val="22"/>
          <w:lang w:val="sr-Latn-ME" w:eastAsia="ja-JP"/>
        </w:rPr>
        <w:t>farmakokinetički</w:t>
      </w:r>
      <w:proofErr w:type="spellEnd"/>
      <w:r w:rsidRPr="002A6AB6">
        <w:rPr>
          <w:sz w:val="22"/>
          <w:szCs w:val="22"/>
          <w:lang w:val="sr-Latn-ME" w:eastAsia="ja-JP"/>
        </w:rPr>
        <w:t xml:space="preserve"> parametar praćenja u studiji OCARINA II, AUC</w:t>
      </w:r>
      <w:r w:rsidRPr="002A6AB6">
        <w:rPr>
          <w:sz w:val="22"/>
          <w:szCs w:val="22"/>
          <w:vertAlign w:val="subscript"/>
          <w:lang w:val="sr-Latn-ME" w:eastAsia="ja-JP"/>
        </w:rPr>
        <w:t>w1-12</w:t>
      </w:r>
      <w:r w:rsidRPr="002A6AB6">
        <w:rPr>
          <w:sz w:val="22"/>
          <w:szCs w:val="22"/>
          <w:lang w:val="sr-Latn-ME" w:eastAsia="ja-JP"/>
        </w:rPr>
        <w:t xml:space="preserve">, nakon 920 mg </w:t>
      </w:r>
      <w:proofErr w:type="spellStart"/>
      <w:r w:rsidRPr="002A6AB6">
        <w:rPr>
          <w:sz w:val="22"/>
          <w:szCs w:val="22"/>
          <w:lang w:val="sr-Latn-ME" w:eastAsia="ja-JP"/>
        </w:rPr>
        <w:t>subkutanog</w:t>
      </w:r>
      <w:proofErr w:type="spellEnd"/>
      <w:r w:rsidRPr="002A6AB6">
        <w:rPr>
          <w:sz w:val="22"/>
          <w:szCs w:val="22"/>
          <w:lang w:val="sr-Latn-ME" w:eastAsia="ja-JP"/>
        </w:rPr>
        <w:t xml:space="preserve"> </w:t>
      </w:r>
      <w:proofErr w:type="spellStart"/>
      <w:r w:rsidRPr="002A6AB6">
        <w:rPr>
          <w:sz w:val="22"/>
          <w:szCs w:val="22"/>
          <w:lang w:val="sr-Latn-ME" w:eastAsia="ja-JP"/>
        </w:rPr>
        <w:t>okrelizumaba</w:t>
      </w:r>
      <w:proofErr w:type="spellEnd"/>
      <w:r w:rsidRPr="002A6AB6">
        <w:rPr>
          <w:sz w:val="22"/>
          <w:szCs w:val="22"/>
          <w:lang w:val="sr-Latn-ME" w:eastAsia="ja-JP"/>
        </w:rPr>
        <w:t xml:space="preserve"> dokazano je </w:t>
      </w:r>
      <w:proofErr w:type="spellStart"/>
      <w:r w:rsidRPr="002A6AB6">
        <w:rPr>
          <w:sz w:val="22"/>
          <w:szCs w:val="22"/>
          <w:lang w:val="sr-Latn-ME" w:eastAsia="ja-JP"/>
        </w:rPr>
        <w:t>neinferioran</w:t>
      </w:r>
      <w:proofErr w:type="spellEnd"/>
      <w:r w:rsidRPr="002A6AB6">
        <w:rPr>
          <w:sz w:val="22"/>
          <w:szCs w:val="22"/>
          <w:lang w:val="sr-Latn-ME" w:eastAsia="ja-JP"/>
        </w:rPr>
        <w:t xml:space="preserve"> u odnosu na 600 mg </w:t>
      </w:r>
      <w:proofErr w:type="spellStart"/>
      <w:r w:rsidRPr="002A6AB6">
        <w:rPr>
          <w:sz w:val="22"/>
          <w:szCs w:val="22"/>
          <w:lang w:val="sr-Latn-ME" w:eastAsia="ja-JP"/>
        </w:rPr>
        <w:t>intravenskog</w:t>
      </w:r>
      <w:proofErr w:type="spellEnd"/>
      <w:r w:rsidRPr="002A6AB6">
        <w:rPr>
          <w:sz w:val="22"/>
          <w:szCs w:val="22"/>
          <w:lang w:val="sr-Latn-ME" w:eastAsia="ja-JP"/>
        </w:rPr>
        <w:t xml:space="preserve"> </w:t>
      </w:r>
      <w:proofErr w:type="spellStart"/>
      <w:r w:rsidRPr="002A6AB6">
        <w:rPr>
          <w:sz w:val="22"/>
          <w:szCs w:val="22"/>
          <w:lang w:val="sr-Latn-ME" w:eastAsia="ja-JP"/>
        </w:rPr>
        <w:t>okrelizumaba</w:t>
      </w:r>
      <w:proofErr w:type="spellEnd"/>
      <w:r w:rsidRPr="002A6AB6">
        <w:rPr>
          <w:sz w:val="22"/>
          <w:szCs w:val="22"/>
          <w:lang w:val="sr-Latn-ME" w:eastAsia="ja-JP"/>
        </w:rPr>
        <w:t>. Geometrijska sredina za AUC</w:t>
      </w:r>
      <w:r w:rsidRPr="002A6AB6">
        <w:rPr>
          <w:sz w:val="22"/>
          <w:szCs w:val="22"/>
          <w:vertAlign w:val="subscript"/>
          <w:lang w:val="sr-Latn-ME" w:eastAsia="ja-JP"/>
        </w:rPr>
        <w:t xml:space="preserve">w1-12 </w:t>
      </w:r>
      <w:r w:rsidRPr="002A6AB6">
        <w:rPr>
          <w:sz w:val="22"/>
          <w:szCs w:val="22"/>
          <w:lang w:val="sr-Latn-ME" w:eastAsia="ja-JP"/>
        </w:rPr>
        <w:t>iznosila je 1,29 (90% CI: 1,23–1,35).</w:t>
      </w:r>
      <w:bookmarkEnd w:id="9"/>
    </w:p>
    <w:p w14:paraId="54AA98F3" w14:textId="77777777" w:rsidR="00040429" w:rsidRPr="002A6AB6" w:rsidRDefault="00040429" w:rsidP="00587700">
      <w:pPr>
        <w:jc w:val="both"/>
        <w:rPr>
          <w:rFonts w:eastAsia="SimSun"/>
          <w:sz w:val="22"/>
          <w:szCs w:val="22"/>
          <w:lang w:val="sr-Latn-ME" w:eastAsia="ja-JP"/>
        </w:rPr>
      </w:pPr>
    </w:p>
    <w:p w14:paraId="2FBA887B" w14:textId="77777777" w:rsidR="00040429" w:rsidRPr="002A6AB6" w:rsidRDefault="00040429" w:rsidP="00587700">
      <w:pPr>
        <w:tabs>
          <w:tab w:val="left" w:pos="567"/>
        </w:tabs>
        <w:jc w:val="both"/>
        <w:rPr>
          <w:sz w:val="22"/>
          <w:szCs w:val="22"/>
          <w:u w:val="single"/>
          <w:lang w:val="sr-Latn-ME"/>
        </w:rPr>
      </w:pPr>
      <w:proofErr w:type="spellStart"/>
      <w:r w:rsidRPr="002A6AB6">
        <w:rPr>
          <w:sz w:val="22"/>
          <w:szCs w:val="22"/>
          <w:u w:val="single"/>
          <w:lang w:val="sr-Latn-ME"/>
        </w:rPr>
        <w:t>Apsorbcija</w:t>
      </w:r>
      <w:proofErr w:type="spellEnd"/>
    </w:p>
    <w:p w14:paraId="425E329A" w14:textId="799341D0" w:rsidR="00040429" w:rsidRPr="002A6AB6" w:rsidRDefault="00040429" w:rsidP="00587700">
      <w:pPr>
        <w:numPr>
          <w:ilvl w:val="12"/>
          <w:numId w:val="0"/>
        </w:numPr>
        <w:ind w:right="2"/>
        <w:jc w:val="both"/>
        <w:rPr>
          <w:sz w:val="22"/>
          <w:szCs w:val="22"/>
          <w:lang w:val="sr-Latn-ME" w:eastAsia="ja-JP"/>
        </w:rPr>
      </w:pPr>
      <w:r w:rsidRPr="002A6AB6">
        <w:rPr>
          <w:sz w:val="22"/>
          <w:szCs w:val="22"/>
          <w:lang w:val="sr-Latn-ME" w:eastAsia="ja-JP"/>
        </w:rPr>
        <w:t xml:space="preserve">Procijenjena </w:t>
      </w:r>
      <w:proofErr w:type="spellStart"/>
      <w:r w:rsidRPr="002A6AB6">
        <w:rPr>
          <w:sz w:val="22"/>
          <w:szCs w:val="22"/>
          <w:lang w:val="sr-Latn-ME" w:eastAsia="ja-JP"/>
        </w:rPr>
        <w:t>bioraspoloživost</w:t>
      </w:r>
      <w:proofErr w:type="spellEnd"/>
      <w:r w:rsidRPr="002A6AB6">
        <w:rPr>
          <w:sz w:val="22"/>
          <w:szCs w:val="22"/>
          <w:lang w:val="sr-Latn-ME" w:eastAsia="ja-JP"/>
        </w:rPr>
        <w:t xml:space="preserve"> nakon </w:t>
      </w:r>
      <w:proofErr w:type="spellStart"/>
      <w:r w:rsidRPr="002A6AB6">
        <w:rPr>
          <w:sz w:val="22"/>
          <w:szCs w:val="22"/>
          <w:lang w:val="sr-Latn-ME" w:eastAsia="ja-JP"/>
        </w:rPr>
        <w:t>subkutane</w:t>
      </w:r>
      <w:proofErr w:type="spellEnd"/>
      <w:r w:rsidRPr="002A6AB6">
        <w:rPr>
          <w:sz w:val="22"/>
          <w:szCs w:val="22"/>
          <w:lang w:val="sr-Latn-ME" w:eastAsia="ja-JP"/>
        </w:rPr>
        <w:t xml:space="preserve"> primjene 920 mg </w:t>
      </w:r>
      <w:proofErr w:type="spellStart"/>
      <w:r w:rsidRPr="002A6AB6">
        <w:rPr>
          <w:sz w:val="22"/>
          <w:szCs w:val="22"/>
          <w:lang w:val="sr-Latn-ME" w:eastAsia="ja-JP"/>
        </w:rPr>
        <w:t>okrelizumaba</w:t>
      </w:r>
      <w:proofErr w:type="spellEnd"/>
      <w:r w:rsidRPr="002A6AB6">
        <w:rPr>
          <w:sz w:val="22"/>
          <w:szCs w:val="22"/>
          <w:lang w:val="sr-Latn-ME" w:eastAsia="ja-JP"/>
        </w:rPr>
        <w:t xml:space="preserve"> iznosila je 81%. Srednja </w:t>
      </w:r>
      <w:proofErr w:type="spellStart"/>
      <w:r w:rsidRPr="002A6AB6">
        <w:rPr>
          <w:sz w:val="22"/>
          <w:szCs w:val="22"/>
          <w:lang w:val="sr-Latn-ME" w:eastAsia="ja-JP"/>
        </w:rPr>
        <w:t>C</w:t>
      </w:r>
      <w:r w:rsidRPr="002A6AB6">
        <w:rPr>
          <w:sz w:val="22"/>
          <w:szCs w:val="22"/>
          <w:vertAlign w:val="subscript"/>
          <w:lang w:val="sr-Latn-ME" w:eastAsia="ja-JP"/>
        </w:rPr>
        <w:t>max</w:t>
      </w:r>
      <w:proofErr w:type="spellEnd"/>
      <w:r w:rsidRPr="002A6AB6">
        <w:rPr>
          <w:sz w:val="22"/>
          <w:szCs w:val="22"/>
          <w:vertAlign w:val="subscript"/>
          <w:lang w:val="sr-Latn-ME" w:eastAsia="ja-JP"/>
        </w:rPr>
        <w:t xml:space="preserve"> </w:t>
      </w:r>
      <w:r w:rsidRPr="002A6AB6">
        <w:rPr>
          <w:sz w:val="22"/>
          <w:szCs w:val="22"/>
          <w:lang w:val="sr-Latn-ME" w:eastAsia="ja-JP"/>
        </w:rPr>
        <w:t>je bila 132 µg/m</w:t>
      </w:r>
      <w:r w:rsidR="00320270" w:rsidRPr="002A6AB6">
        <w:rPr>
          <w:sz w:val="22"/>
          <w:szCs w:val="22"/>
          <w:lang w:val="sr-Latn-ME" w:eastAsia="ja-JP"/>
        </w:rPr>
        <w:t>l</w:t>
      </w:r>
      <w:r w:rsidRPr="002A6AB6">
        <w:rPr>
          <w:sz w:val="22"/>
          <w:szCs w:val="22"/>
          <w:lang w:val="sr-Latn-ME" w:eastAsia="ja-JP"/>
        </w:rPr>
        <w:t xml:space="preserve">, a </w:t>
      </w:r>
      <w:proofErr w:type="spellStart"/>
      <w:r w:rsidRPr="002A6AB6">
        <w:rPr>
          <w:sz w:val="22"/>
          <w:szCs w:val="22"/>
          <w:lang w:val="sr-Latn-ME" w:eastAsia="ja-JP"/>
        </w:rPr>
        <w:t>t</w:t>
      </w:r>
      <w:r w:rsidRPr="002A6AB6">
        <w:rPr>
          <w:sz w:val="22"/>
          <w:szCs w:val="22"/>
          <w:vertAlign w:val="subscript"/>
          <w:lang w:val="sr-Latn-ME" w:eastAsia="ja-JP"/>
        </w:rPr>
        <w:t>max</w:t>
      </w:r>
      <w:proofErr w:type="spellEnd"/>
      <w:r w:rsidRPr="002A6AB6">
        <w:rPr>
          <w:sz w:val="22"/>
          <w:szCs w:val="22"/>
          <w:lang w:val="sr-Latn-ME" w:eastAsia="ja-JP"/>
        </w:rPr>
        <w:t xml:space="preserve"> je dostignuto nakon približno 4 dana (raspon 2–13 dana).</w:t>
      </w:r>
    </w:p>
    <w:p w14:paraId="32C812EA" w14:textId="77777777" w:rsidR="00040429" w:rsidRPr="002A6AB6" w:rsidRDefault="00040429" w:rsidP="00587700">
      <w:pPr>
        <w:numPr>
          <w:ilvl w:val="12"/>
          <w:numId w:val="0"/>
        </w:numPr>
        <w:ind w:right="2"/>
        <w:jc w:val="both"/>
        <w:rPr>
          <w:iCs/>
          <w:sz w:val="22"/>
          <w:szCs w:val="22"/>
          <w:lang w:val="sr-Latn-ME" w:eastAsia="ja-JP"/>
        </w:rPr>
      </w:pPr>
    </w:p>
    <w:p w14:paraId="408A7419" w14:textId="77777777" w:rsidR="00040429" w:rsidRPr="002A6AB6" w:rsidRDefault="00040429" w:rsidP="00587700">
      <w:pPr>
        <w:tabs>
          <w:tab w:val="left" w:pos="567"/>
        </w:tabs>
        <w:jc w:val="both"/>
        <w:rPr>
          <w:sz w:val="22"/>
          <w:szCs w:val="22"/>
          <w:u w:val="single"/>
          <w:lang w:val="sr-Latn-ME"/>
        </w:rPr>
      </w:pPr>
      <w:r w:rsidRPr="002A6AB6">
        <w:rPr>
          <w:sz w:val="22"/>
          <w:szCs w:val="22"/>
          <w:u w:val="single"/>
          <w:lang w:val="sr-Latn-ME"/>
        </w:rPr>
        <w:t>Distribucija</w:t>
      </w:r>
    </w:p>
    <w:p w14:paraId="56F55D58" w14:textId="77777777" w:rsidR="00040429" w:rsidRPr="002A6AB6" w:rsidRDefault="00040429" w:rsidP="00587700">
      <w:pPr>
        <w:tabs>
          <w:tab w:val="left" w:pos="567"/>
        </w:tabs>
        <w:jc w:val="both"/>
        <w:rPr>
          <w:sz w:val="22"/>
          <w:szCs w:val="22"/>
          <w:lang w:val="sr-Latn-ME"/>
        </w:rPr>
      </w:pPr>
      <w:r w:rsidRPr="002A6AB6">
        <w:rPr>
          <w:sz w:val="22"/>
          <w:szCs w:val="22"/>
          <w:lang w:val="sr-Latn-ME"/>
        </w:rPr>
        <w:t xml:space="preserve">Populaciona </w:t>
      </w:r>
      <w:proofErr w:type="spellStart"/>
      <w:r w:rsidRPr="002A6AB6">
        <w:rPr>
          <w:sz w:val="22"/>
          <w:szCs w:val="22"/>
          <w:lang w:val="sr-Latn-ME"/>
        </w:rPr>
        <w:t>farmakokinetička</w:t>
      </w:r>
      <w:proofErr w:type="spellEnd"/>
      <w:r w:rsidRPr="002A6AB6">
        <w:rPr>
          <w:sz w:val="22"/>
          <w:szCs w:val="22"/>
          <w:lang w:val="sr-Latn-ME"/>
        </w:rPr>
        <w:t xml:space="preserve"> procjena u pogledu centralne zapremine distribucije bila je 2,78 l. Periferna zapremina i </w:t>
      </w:r>
      <w:proofErr w:type="spellStart"/>
      <w:r w:rsidRPr="002A6AB6">
        <w:rPr>
          <w:sz w:val="22"/>
          <w:szCs w:val="22"/>
          <w:lang w:val="sr-Latn-ME"/>
        </w:rPr>
        <w:t>klirens</w:t>
      </w:r>
      <w:proofErr w:type="spellEnd"/>
      <w:r w:rsidRPr="002A6AB6">
        <w:rPr>
          <w:sz w:val="22"/>
          <w:szCs w:val="22"/>
          <w:lang w:val="sr-Latn-ME"/>
        </w:rPr>
        <w:t xml:space="preserve"> u okviru </w:t>
      </w:r>
      <w:proofErr w:type="spellStart"/>
      <w:r w:rsidRPr="002A6AB6">
        <w:rPr>
          <w:sz w:val="22"/>
          <w:szCs w:val="22"/>
          <w:lang w:val="sr-Latn-ME"/>
        </w:rPr>
        <w:t>kompartmana</w:t>
      </w:r>
      <w:proofErr w:type="spellEnd"/>
      <w:r w:rsidRPr="002A6AB6">
        <w:rPr>
          <w:sz w:val="22"/>
          <w:szCs w:val="22"/>
          <w:lang w:val="sr-Latn-ME"/>
        </w:rPr>
        <w:t xml:space="preserve"> procijenjeni su na 2,68 l i 0,294 l na dan.  </w:t>
      </w:r>
    </w:p>
    <w:p w14:paraId="1E0AE9D0" w14:textId="77777777" w:rsidR="00040429" w:rsidRPr="002A6AB6" w:rsidRDefault="00040429" w:rsidP="00587700">
      <w:pPr>
        <w:tabs>
          <w:tab w:val="left" w:pos="567"/>
        </w:tabs>
        <w:jc w:val="both"/>
        <w:rPr>
          <w:sz w:val="22"/>
          <w:szCs w:val="22"/>
          <w:lang w:val="sr-Latn-ME"/>
        </w:rPr>
      </w:pPr>
    </w:p>
    <w:p w14:paraId="23B8992C" w14:textId="77777777" w:rsidR="00040429" w:rsidRPr="002A6AB6" w:rsidRDefault="00040429" w:rsidP="00587700">
      <w:pPr>
        <w:tabs>
          <w:tab w:val="left" w:pos="567"/>
        </w:tabs>
        <w:jc w:val="both"/>
        <w:rPr>
          <w:sz w:val="22"/>
          <w:szCs w:val="22"/>
          <w:u w:val="single"/>
          <w:lang w:val="sr-Latn-ME"/>
        </w:rPr>
      </w:pPr>
      <w:proofErr w:type="spellStart"/>
      <w:r w:rsidRPr="002A6AB6">
        <w:rPr>
          <w:sz w:val="22"/>
          <w:szCs w:val="22"/>
          <w:u w:val="single"/>
          <w:lang w:val="sr-Latn-ME"/>
        </w:rPr>
        <w:t>Biotransformacija</w:t>
      </w:r>
      <w:proofErr w:type="spellEnd"/>
    </w:p>
    <w:p w14:paraId="4A363FE4" w14:textId="77777777" w:rsidR="00040429" w:rsidRPr="002A6AB6" w:rsidRDefault="00040429" w:rsidP="00587700">
      <w:pPr>
        <w:tabs>
          <w:tab w:val="left" w:pos="567"/>
        </w:tabs>
        <w:jc w:val="both"/>
        <w:rPr>
          <w:sz w:val="22"/>
          <w:szCs w:val="22"/>
          <w:lang w:val="sr-Latn-ME"/>
        </w:rPr>
      </w:pPr>
      <w:r w:rsidRPr="002A6AB6">
        <w:rPr>
          <w:sz w:val="22"/>
          <w:szCs w:val="22"/>
          <w:lang w:val="sr-Latn-ME"/>
        </w:rPr>
        <w:t xml:space="preserve">Metabolizam </w:t>
      </w:r>
      <w:proofErr w:type="spellStart"/>
      <w:r w:rsidRPr="002A6AB6">
        <w:rPr>
          <w:sz w:val="22"/>
          <w:szCs w:val="22"/>
          <w:lang w:val="sr-Latn-ME"/>
        </w:rPr>
        <w:t>okrelizumaba</w:t>
      </w:r>
      <w:proofErr w:type="spellEnd"/>
      <w:r w:rsidRPr="002A6AB6">
        <w:rPr>
          <w:sz w:val="22"/>
          <w:szCs w:val="22"/>
          <w:lang w:val="sr-Latn-ME"/>
        </w:rPr>
        <w:t xml:space="preserve"> nije direktno proučen, jer se antitijela izlučuju uglavnom putem </w:t>
      </w:r>
      <w:proofErr w:type="spellStart"/>
      <w:r w:rsidRPr="002A6AB6">
        <w:rPr>
          <w:sz w:val="22"/>
          <w:szCs w:val="22"/>
          <w:lang w:val="sr-Latn-ME"/>
        </w:rPr>
        <w:t>katabolizma</w:t>
      </w:r>
      <w:proofErr w:type="spellEnd"/>
      <w:r w:rsidRPr="002A6AB6">
        <w:rPr>
          <w:sz w:val="22"/>
          <w:szCs w:val="22"/>
          <w:lang w:val="sr-Latn-ME"/>
        </w:rPr>
        <w:t xml:space="preserve"> (tj. razgradnjom na </w:t>
      </w:r>
      <w:proofErr w:type="spellStart"/>
      <w:r w:rsidRPr="002A6AB6">
        <w:rPr>
          <w:sz w:val="22"/>
          <w:szCs w:val="22"/>
          <w:lang w:val="sr-Latn-ME"/>
        </w:rPr>
        <w:t>peptide</w:t>
      </w:r>
      <w:proofErr w:type="spellEnd"/>
      <w:r w:rsidRPr="002A6AB6">
        <w:rPr>
          <w:sz w:val="22"/>
          <w:szCs w:val="22"/>
          <w:lang w:val="sr-Latn-ME"/>
        </w:rPr>
        <w:t xml:space="preserve"> i </w:t>
      </w:r>
      <w:proofErr w:type="spellStart"/>
      <w:r w:rsidRPr="002A6AB6">
        <w:rPr>
          <w:sz w:val="22"/>
          <w:szCs w:val="22"/>
          <w:lang w:val="sr-Latn-ME"/>
        </w:rPr>
        <w:t>aminokiseline</w:t>
      </w:r>
      <w:proofErr w:type="spellEnd"/>
      <w:r w:rsidRPr="002A6AB6">
        <w:rPr>
          <w:sz w:val="22"/>
          <w:szCs w:val="22"/>
          <w:lang w:val="sr-Latn-ME"/>
        </w:rPr>
        <w:t>).</w:t>
      </w:r>
    </w:p>
    <w:p w14:paraId="1E3DF90E" w14:textId="77777777" w:rsidR="00040429" w:rsidRPr="002A6AB6" w:rsidRDefault="00040429" w:rsidP="00587700">
      <w:pPr>
        <w:tabs>
          <w:tab w:val="left" w:pos="567"/>
        </w:tabs>
        <w:jc w:val="both"/>
        <w:rPr>
          <w:sz w:val="22"/>
          <w:szCs w:val="22"/>
          <w:lang w:val="sr-Latn-ME"/>
        </w:rPr>
      </w:pPr>
    </w:p>
    <w:p w14:paraId="4A883ECA" w14:textId="77777777" w:rsidR="00040429" w:rsidRPr="002A6AB6" w:rsidRDefault="00040429" w:rsidP="00587700">
      <w:pPr>
        <w:tabs>
          <w:tab w:val="left" w:pos="567"/>
        </w:tabs>
        <w:jc w:val="both"/>
        <w:rPr>
          <w:sz w:val="22"/>
          <w:szCs w:val="22"/>
          <w:u w:val="single"/>
          <w:lang w:val="sr-Latn-ME"/>
        </w:rPr>
      </w:pPr>
      <w:r w:rsidRPr="002A6AB6">
        <w:rPr>
          <w:sz w:val="22"/>
          <w:szCs w:val="22"/>
          <w:u w:val="single"/>
          <w:lang w:val="sr-Latn-ME"/>
        </w:rPr>
        <w:lastRenderedPageBreak/>
        <w:t>Eliminacija</w:t>
      </w:r>
    </w:p>
    <w:p w14:paraId="3D7A08FB" w14:textId="77777777" w:rsidR="00040429" w:rsidRPr="002A6AB6" w:rsidRDefault="00040429" w:rsidP="00587700">
      <w:pPr>
        <w:tabs>
          <w:tab w:val="left" w:pos="567"/>
        </w:tabs>
        <w:jc w:val="both"/>
        <w:rPr>
          <w:sz w:val="22"/>
          <w:szCs w:val="22"/>
          <w:lang w:val="sr-Latn-ME"/>
        </w:rPr>
      </w:pPr>
      <w:r w:rsidRPr="002A6AB6">
        <w:rPr>
          <w:sz w:val="22"/>
          <w:szCs w:val="22"/>
          <w:lang w:val="sr-Latn-ME"/>
        </w:rPr>
        <w:t xml:space="preserve">Konstantni </w:t>
      </w:r>
      <w:proofErr w:type="spellStart"/>
      <w:r w:rsidRPr="002A6AB6">
        <w:rPr>
          <w:sz w:val="22"/>
          <w:szCs w:val="22"/>
          <w:lang w:val="sr-Latn-ME"/>
        </w:rPr>
        <w:t>klirens</w:t>
      </w:r>
      <w:proofErr w:type="spellEnd"/>
      <w:r w:rsidRPr="002A6AB6">
        <w:rPr>
          <w:sz w:val="22"/>
          <w:szCs w:val="22"/>
          <w:lang w:val="sr-Latn-ME"/>
        </w:rPr>
        <w:t xml:space="preserve"> procijenjen je na 0,17 l na dan, a početni vremenski zavisni </w:t>
      </w:r>
      <w:proofErr w:type="spellStart"/>
      <w:r w:rsidRPr="002A6AB6">
        <w:rPr>
          <w:sz w:val="22"/>
          <w:szCs w:val="22"/>
          <w:lang w:val="sr-Latn-ME"/>
        </w:rPr>
        <w:t>klirens</w:t>
      </w:r>
      <w:proofErr w:type="spellEnd"/>
      <w:r w:rsidRPr="002A6AB6">
        <w:rPr>
          <w:sz w:val="22"/>
          <w:szCs w:val="22"/>
          <w:lang w:val="sr-Latn-ME"/>
        </w:rPr>
        <w:t xml:space="preserve"> na 0,0489 l na dan, što je opadalo uz poluvrijeme od 33 nedjelje. Terminalno poluvrijeme eliminacije </w:t>
      </w:r>
      <w:proofErr w:type="spellStart"/>
      <w:r w:rsidRPr="002A6AB6">
        <w:rPr>
          <w:sz w:val="22"/>
          <w:szCs w:val="22"/>
          <w:lang w:val="sr-Latn-ME"/>
        </w:rPr>
        <w:t>okrelizumaba</w:t>
      </w:r>
      <w:proofErr w:type="spellEnd"/>
      <w:r w:rsidRPr="002A6AB6">
        <w:rPr>
          <w:sz w:val="22"/>
          <w:szCs w:val="22"/>
          <w:lang w:val="sr-Latn-ME"/>
        </w:rPr>
        <w:t xml:space="preserve"> iznosilo je 26 dana. </w:t>
      </w:r>
    </w:p>
    <w:p w14:paraId="0DB76BEA" w14:textId="77777777" w:rsidR="00040429" w:rsidRPr="002A6AB6" w:rsidRDefault="00040429" w:rsidP="00587700">
      <w:pPr>
        <w:tabs>
          <w:tab w:val="left" w:pos="567"/>
        </w:tabs>
        <w:jc w:val="both"/>
        <w:rPr>
          <w:sz w:val="22"/>
          <w:szCs w:val="22"/>
          <w:lang w:val="sr-Latn-ME"/>
        </w:rPr>
      </w:pPr>
    </w:p>
    <w:p w14:paraId="50B3A49B" w14:textId="77777777" w:rsidR="00040429" w:rsidRPr="002A6AB6" w:rsidRDefault="00040429" w:rsidP="00587700">
      <w:pPr>
        <w:tabs>
          <w:tab w:val="left" w:pos="567"/>
        </w:tabs>
        <w:jc w:val="both"/>
        <w:rPr>
          <w:sz w:val="22"/>
          <w:szCs w:val="22"/>
          <w:u w:val="single"/>
          <w:lang w:val="sr-Latn-ME"/>
        </w:rPr>
      </w:pPr>
      <w:r w:rsidRPr="002A6AB6">
        <w:rPr>
          <w:sz w:val="22"/>
          <w:szCs w:val="22"/>
          <w:u w:val="single"/>
          <w:lang w:val="sr-Latn-ME"/>
        </w:rPr>
        <w:t>Posebne populacije</w:t>
      </w:r>
    </w:p>
    <w:p w14:paraId="16BEBBC8" w14:textId="77777777" w:rsidR="00040429" w:rsidRPr="002A6AB6" w:rsidRDefault="00040429" w:rsidP="00587700">
      <w:pPr>
        <w:tabs>
          <w:tab w:val="left" w:pos="567"/>
        </w:tabs>
        <w:jc w:val="both"/>
        <w:rPr>
          <w:bCs/>
          <w:i/>
          <w:iCs/>
          <w:sz w:val="22"/>
          <w:szCs w:val="22"/>
          <w:lang w:val="sr-Latn-ME"/>
        </w:rPr>
      </w:pPr>
    </w:p>
    <w:p w14:paraId="2E36A998" w14:textId="77777777" w:rsidR="00040429" w:rsidRPr="002A6AB6" w:rsidRDefault="00040429" w:rsidP="00587700">
      <w:pPr>
        <w:tabs>
          <w:tab w:val="left" w:pos="567"/>
        </w:tabs>
        <w:jc w:val="both"/>
        <w:rPr>
          <w:bCs/>
          <w:i/>
          <w:iCs/>
          <w:sz w:val="22"/>
          <w:szCs w:val="22"/>
          <w:lang w:val="sr-Latn-ME"/>
        </w:rPr>
      </w:pPr>
      <w:r w:rsidRPr="002A6AB6">
        <w:rPr>
          <w:i/>
          <w:iCs/>
          <w:sz w:val="22"/>
          <w:szCs w:val="22"/>
          <w:lang w:val="sr-Latn-ME"/>
        </w:rPr>
        <w:t>Pedijatrijska populacija</w:t>
      </w:r>
    </w:p>
    <w:p w14:paraId="7AB04977" w14:textId="77777777" w:rsidR="00040429" w:rsidRPr="002A6AB6" w:rsidRDefault="00040429" w:rsidP="00587700">
      <w:pPr>
        <w:tabs>
          <w:tab w:val="left" w:pos="567"/>
        </w:tabs>
        <w:jc w:val="both"/>
        <w:rPr>
          <w:sz w:val="22"/>
          <w:szCs w:val="22"/>
          <w:lang w:val="sr-Latn-ME"/>
        </w:rPr>
      </w:pPr>
      <w:r w:rsidRPr="002A6AB6">
        <w:rPr>
          <w:sz w:val="22"/>
          <w:szCs w:val="22"/>
          <w:lang w:val="sr-Latn-ME"/>
        </w:rPr>
        <w:t xml:space="preserve">Nisu izvršene studije kojima bi se ispitala </w:t>
      </w:r>
      <w:proofErr w:type="spellStart"/>
      <w:r w:rsidRPr="002A6AB6">
        <w:rPr>
          <w:sz w:val="22"/>
          <w:szCs w:val="22"/>
          <w:lang w:val="sr-Latn-ME"/>
        </w:rPr>
        <w:t>farmakokinetika</w:t>
      </w:r>
      <w:proofErr w:type="spellEnd"/>
      <w:r w:rsidRPr="002A6AB6">
        <w:rPr>
          <w:sz w:val="22"/>
          <w:szCs w:val="22"/>
          <w:lang w:val="sr-Latn-ME"/>
        </w:rPr>
        <w:t xml:space="preserve"> </w:t>
      </w:r>
      <w:proofErr w:type="spellStart"/>
      <w:r w:rsidRPr="002A6AB6">
        <w:rPr>
          <w:sz w:val="22"/>
          <w:szCs w:val="22"/>
          <w:lang w:val="sr-Latn-ME"/>
        </w:rPr>
        <w:t>okrelizumaba</w:t>
      </w:r>
      <w:proofErr w:type="spellEnd"/>
      <w:r w:rsidRPr="002A6AB6">
        <w:rPr>
          <w:sz w:val="22"/>
          <w:szCs w:val="22"/>
          <w:lang w:val="sr-Latn-ME"/>
        </w:rPr>
        <w:t xml:space="preserve"> kod djece i adolescenata mlađih od 18 godina.</w:t>
      </w:r>
    </w:p>
    <w:p w14:paraId="57FF4A66" w14:textId="77777777" w:rsidR="00040429" w:rsidRPr="002A6AB6" w:rsidRDefault="00040429" w:rsidP="00587700">
      <w:pPr>
        <w:tabs>
          <w:tab w:val="left" w:pos="567"/>
        </w:tabs>
        <w:jc w:val="both"/>
        <w:rPr>
          <w:sz w:val="22"/>
          <w:szCs w:val="22"/>
          <w:lang w:val="sr-Latn-ME"/>
        </w:rPr>
      </w:pPr>
    </w:p>
    <w:p w14:paraId="77D618AC" w14:textId="77777777" w:rsidR="00040429" w:rsidRPr="002A6AB6" w:rsidRDefault="00040429" w:rsidP="00587700">
      <w:pPr>
        <w:tabs>
          <w:tab w:val="left" w:pos="567"/>
        </w:tabs>
        <w:jc w:val="both"/>
        <w:rPr>
          <w:bCs/>
          <w:i/>
          <w:iCs/>
          <w:sz w:val="22"/>
          <w:szCs w:val="22"/>
          <w:lang w:val="sr-Latn-ME"/>
        </w:rPr>
      </w:pPr>
      <w:r w:rsidRPr="002A6AB6">
        <w:rPr>
          <w:i/>
          <w:iCs/>
          <w:sz w:val="22"/>
          <w:szCs w:val="22"/>
          <w:lang w:val="sr-Latn-ME"/>
        </w:rPr>
        <w:t>Starije osobe</w:t>
      </w:r>
    </w:p>
    <w:p w14:paraId="46F3A8F6" w14:textId="77777777" w:rsidR="00040429" w:rsidRPr="002A6AB6" w:rsidRDefault="00040429" w:rsidP="00587700">
      <w:pPr>
        <w:tabs>
          <w:tab w:val="left" w:pos="567"/>
        </w:tabs>
        <w:jc w:val="both"/>
        <w:rPr>
          <w:sz w:val="22"/>
          <w:szCs w:val="22"/>
          <w:lang w:val="sr-Latn-ME"/>
        </w:rPr>
      </w:pPr>
      <w:r w:rsidRPr="002A6AB6">
        <w:rPr>
          <w:sz w:val="22"/>
          <w:szCs w:val="22"/>
          <w:lang w:val="sr-Latn-ME"/>
        </w:rPr>
        <w:t xml:space="preserve">Ne postoje posebne </w:t>
      </w:r>
      <w:proofErr w:type="spellStart"/>
      <w:r w:rsidRPr="002A6AB6">
        <w:rPr>
          <w:sz w:val="22"/>
          <w:szCs w:val="22"/>
          <w:lang w:val="sr-Latn-ME"/>
        </w:rPr>
        <w:t>farmakokinetske</w:t>
      </w:r>
      <w:proofErr w:type="spellEnd"/>
      <w:r w:rsidRPr="002A6AB6">
        <w:rPr>
          <w:sz w:val="22"/>
          <w:szCs w:val="22"/>
          <w:lang w:val="sr-Latn-ME"/>
        </w:rPr>
        <w:t xml:space="preserve"> studije </w:t>
      </w:r>
      <w:proofErr w:type="spellStart"/>
      <w:r w:rsidRPr="002A6AB6">
        <w:rPr>
          <w:sz w:val="22"/>
          <w:szCs w:val="22"/>
          <w:lang w:val="sr-Latn-ME"/>
        </w:rPr>
        <w:t>okrelizumaba</w:t>
      </w:r>
      <w:proofErr w:type="spellEnd"/>
      <w:r w:rsidRPr="002A6AB6">
        <w:rPr>
          <w:sz w:val="22"/>
          <w:szCs w:val="22"/>
          <w:lang w:val="sr-Latn-ME"/>
        </w:rPr>
        <w:t xml:space="preserve"> kod pacijenata ≥55 godina zbog ograničenog kliničkog iskustva (vidjeti </w:t>
      </w:r>
      <w:r w:rsidR="00ED0D01" w:rsidRPr="002A6AB6">
        <w:rPr>
          <w:sz w:val="22"/>
          <w:szCs w:val="22"/>
          <w:lang w:val="sr-Latn-ME"/>
        </w:rPr>
        <w:t xml:space="preserve">dio </w:t>
      </w:r>
      <w:r w:rsidRPr="002A6AB6">
        <w:rPr>
          <w:sz w:val="22"/>
          <w:szCs w:val="22"/>
          <w:lang w:val="sr-Latn-ME"/>
        </w:rPr>
        <w:t>4.2).</w:t>
      </w:r>
    </w:p>
    <w:p w14:paraId="0CA5B16C" w14:textId="77777777" w:rsidR="00040429" w:rsidRPr="002A6AB6" w:rsidRDefault="00040429" w:rsidP="00587700">
      <w:pPr>
        <w:tabs>
          <w:tab w:val="left" w:pos="567"/>
        </w:tabs>
        <w:jc w:val="both"/>
        <w:rPr>
          <w:sz w:val="22"/>
          <w:szCs w:val="22"/>
          <w:lang w:val="sr-Latn-ME"/>
        </w:rPr>
      </w:pPr>
    </w:p>
    <w:p w14:paraId="4B943DB9" w14:textId="77777777" w:rsidR="00040429" w:rsidRPr="002A6AB6" w:rsidRDefault="00040429" w:rsidP="00587700">
      <w:pPr>
        <w:tabs>
          <w:tab w:val="left" w:pos="567"/>
        </w:tabs>
        <w:jc w:val="both"/>
        <w:rPr>
          <w:bCs/>
          <w:i/>
          <w:iCs/>
          <w:sz w:val="22"/>
          <w:szCs w:val="22"/>
          <w:lang w:val="sr-Latn-ME"/>
        </w:rPr>
      </w:pPr>
      <w:r w:rsidRPr="002A6AB6">
        <w:rPr>
          <w:i/>
          <w:iCs/>
          <w:sz w:val="22"/>
          <w:szCs w:val="22"/>
          <w:lang w:val="sr-Latn-ME"/>
        </w:rPr>
        <w:t>Oštećenje funkcije bubrega</w:t>
      </w:r>
    </w:p>
    <w:p w14:paraId="48A0BA53" w14:textId="77777777" w:rsidR="00040429" w:rsidRPr="002A6AB6" w:rsidRDefault="00040429" w:rsidP="00587700">
      <w:pPr>
        <w:tabs>
          <w:tab w:val="left" w:pos="567"/>
        </w:tabs>
        <w:jc w:val="both"/>
        <w:rPr>
          <w:sz w:val="22"/>
          <w:szCs w:val="22"/>
          <w:lang w:val="sr-Latn-ME"/>
        </w:rPr>
      </w:pPr>
      <w:r w:rsidRPr="002A6AB6">
        <w:rPr>
          <w:sz w:val="22"/>
          <w:szCs w:val="22"/>
          <w:lang w:val="sr-Latn-ME"/>
        </w:rPr>
        <w:t xml:space="preserve">Nije obavljena nijedna formalna </w:t>
      </w:r>
      <w:proofErr w:type="spellStart"/>
      <w:r w:rsidRPr="002A6AB6">
        <w:rPr>
          <w:sz w:val="22"/>
          <w:szCs w:val="22"/>
          <w:lang w:val="sr-Latn-ME"/>
        </w:rPr>
        <w:t>farmakokinetička</w:t>
      </w:r>
      <w:proofErr w:type="spellEnd"/>
      <w:r w:rsidRPr="002A6AB6">
        <w:rPr>
          <w:sz w:val="22"/>
          <w:szCs w:val="22"/>
          <w:lang w:val="sr-Latn-ME"/>
        </w:rPr>
        <w:t xml:space="preserve"> studija. Pacijenti sa blago oštećenom funkcijom bubrega uključivani su u klinička ispitivanja i nije zabilježena nikakva promjena u </w:t>
      </w:r>
      <w:proofErr w:type="spellStart"/>
      <w:r w:rsidRPr="002A6AB6">
        <w:rPr>
          <w:sz w:val="22"/>
          <w:szCs w:val="22"/>
          <w:lang w:val="sr-Latn-ME"/>
        </w:rPr>
        <w:t>farmakokinetici</w:t>
      </w:r>
      <w:proofErr w:type="spellEnd"/>
      <w:r w:rsidRPr="002A6AB6">
        <w:rPr>
          <w:sz w:val="22"/>
          <w:szCs w:val="22"/>
          <w:lang w:val="sr-Latn-ME"/>
        </w:rPr>
        <w:t xml:space="preserve"> </w:t>
      </w:r>
      <w:proofErr w:type="spellStart"/>
      <w:r w:rsidRPr="002A6AB6">
        <w:rPr>
          <w:sz w:val="22"/>
          <w:szCs w:val="22"/>
          <w:lang w:val="sr-Latn-ME"/>
        </w:rPr>
        <w:t>okrelizumaba</w:t>
      </w:r>
      <w:proofErr w:type="spellEnd"/>
      <w:r w:rsidRPr="002A6AB6">
        <w:rPr>
          <w:sz w:val="22"/>
          <w:szCs w:val="22"/>
          <w:lang w:val="sr-Latn-ME"/>
        </w:rPr>
        <w:t xml:space="preserve"> kod tih pacijenata. Nema dostupnih </w:t>
      </w:r>
      <w:proofErr w:type="spellStart"/>
      <w:r w:rsidRPr="002A6AB6">
        <w:rPr>
          <w:sz w:val="22"/>
          <w:szCs w:val="22"/>
          <w:lang w:val="sr-Latn-ME"/>
        </w:rPr>
        <w:t>farmakokinetičkih</w:t>
      </w:r>
      <w:proofErr w:type="spellEnd"/>
      <w:r w:rsidRPr="002A6AB6">
        <w:rPr>
          <w:sz w:val="22"/>
          <w:szCs w:val="22"/>
          <w:lang w:val="sr-Latn-ME"/>
        </w:rPr>
        <w:t xml:space="preserve"> podataka za pacijente sa umjereno do teško oštećenom funkcijom bubrega.</w:t>
      </w:r>
    </w:p>
    <w:p w14:paraId="5918F012" w14:textId="77777777" w:rsidR="00040429" w:rsidRPr="002A6AB6" w:rsidRDefault="00040429" w:rsidP="00587700">
      <w:pPr>
        <w:tabs>
          <w:tab w:val="left" w:pos="567"/>
        </w:tabs>
        <w:jc w:val="both"/>
        <w:rPr>
          <w:sz w:val="22"/>
          <w:szCs w:val="22"/>
          <w:lang w:val="sr-Latn-ME"/>
        </w:rPr>
      </w:pPr>
    </w:p>
    <w:p w14:paraId="2CBECE4A" w14:textId="77777777" w:rsidR="00040429" w:rsidRPr="002A6AB6" w:rsidRDefault="00040429" w:rsidP="00587700">
      <w:pPr>
        <w:tabs>
          <w:tab w:val="left" w:pos="567"/>
        </w:tabs>
        <w:jc w:val="both"/>
        <w:rPr>
          <w:bCs/>
          <w:i/>
          <w:iCs/>
          <w:sz w:val="22"/>
          <w:szCs w:val="22"/>
          <w:lang w:val="sr-Latn-ME"/>
        </w:rPr>
      </w:pPr>
      <w:r w:rsidRPr="002A6AB6">
        <w:rPr>
          <w:i/>
          <w:iCs/>
          <w:sz w:val="22"/>
          <w:szCs w:val="22"/>
          <w:lang w:val="sr-Latn-ME"/>
        </w:rPr>
        <w:t>Oštećenje funkcije jetre</w:t>
      </w:r>
    </w:p>
    <w:p w14:paraId="2DC5EDE7" w14:textId="77777777" w:rsidR="00040429" w:rsidRPr="002A6AB6" w:rsidRDefault="00040429" w:rsidP="00587700">
      <w:pPr>
        <w:tabs>
          <w:tab w:val="left" w:pos="569"/>
        </w:tabs>
        <w:jc w:val="both"/>
        <w:rPr>
          <w:sz w:val="22"/>
          <w:szCs w:val="22"/>
          <w:lang w:val="sr-Latn-ME"/>
        </w:rPr>
      </w:pPr>
      <w:r w:rsidRPr="002A6AB6">
        <w:rPr>
          <w:sz w:val="22"/>
          <w:szCs w:val="22"/>
          <w:lang w:val="sr-Latn-ME"/>
        </w:rPr>
        <w:t xml:space="preserve">Nije obavljena nijedna formalna </w:t>
      </w:r>
      <w:proofErr w:type="spellStart"/>
      <w:r w:rsidRPr="002A6AB6">
        <w:rPr>
          <w:sz w:val="22"/>
          <w:szCs w:val="22"/>
          <w:lang w:val="sr-Latn-ME"/>
        </w:rPr>
        <w:t>farmakokinetička</w:t>
      </w:r>
      <w:proofErr w:type="spellEnd"/>
      <w:r w:rsidRPr="002A6AB6">
        <w:rPr>
          <w:sz w:val="22"/>
          <w:szCs w:val="22"/>
          <w:lang w:val="sr-Latn-ME"/>
        </w:rPr>
        <w:t xml:space="preserve"> studija. Pacijenti sa blago oštećenom funkcijom jetre uključivani su u klinička ispitivanja i nije zabilježena nikakva promjena u </w:t>
      </w:r>
      <w:proofErr w:type="spellStart"/>
      <w:r w:rsidRPr="002A6AB6">
        <w:rPr>
          <w:sz w:val="22"/>
          <w:szCs w:val="22"/>
          <w:lang w:val="sr-Latn-ME"/>
        </w:rPr>
        <w:t>farmakokinetici</w:t>
      </w:r>
      <w:proofErr w:type="spellEnd"/>
      <w:r w:rsidRPr="002A6AB6">
        <w:rPr>
          <w:sz w:val="22"/>
          <w:szCs w:val="22"/>
          <w:lang w:val="sr-Latn-ME"/>
        </w:rPr>
        <w:t xml:space="preserve"> kod tih pacijenata. Nema dostupnih </w:t>
      </w:r>
      <w:proofErr w:type="spellStart"/>
      <w:r w:rsidRPr="002A6AB6">
        <w:rPr>
          <w:sz w:val="22"/>
          <w:szCs w:val="22"/>
          <w:lang w:val="sr-Latn-ME"/>
        </w:rPr>
        <w:t>farmakokinetičkih</w:t>
      </w:r>
      <w:proofErr w:type="spellEnd"/>
      <w:r w:rsidRPr="002A6AB6">
        <w:rPr>
          <w:sz w:val="22"/>
          <w:szCs w:val="22"/>
          <w:lang w:val="sr-Latn-ME"/>
        </w:rPr>
        <w:t xml:space="preserve"> podataka za pacijente sa umjerenim do teškim oštećenjem funkcije jetre.</w:t>
      </w:r>
    </w:p>
    <w:p w14:paraId="1D4491F5" w14:textId="77777777" w:rsidR="00040429" w:rsidRPr="002A6AB6" w:rsidRDefault="00040429" w:rsidP="00587700">
      <w:pPr>
        <w:tabs>
          <w:tab w:val="left" w:pos="540"/>
          <w:tab w:val="left" w:pos="569"/>
        </w:tabs>
        <w:jc w:val="both"/>
        <w:rPr>
          <w:bCs/>
          <w:sz w:val="22"/>
          <w:szCs w:val="22"/>
          <w:lang w:val="sr-Latn-ME"/>
        </w:rPr>
      </w:pPr>
    </w:p>
    <w:p w14:paraId="6AA03214" w14:textId="77777777" w:rsidR="0072020E" w:rsidRPr="002A6AB6" w:rsidRDefault="0072020E" w:rsidP="00587700">
      <w:pPr>
        <w:tabs>
          <w:tab w:val="left" w:pos="540"/>
          <w:tab w:val="left" w:pos="569"/>
        </w:tabs>
        <w:jc w:val="both"/>
        <w:rPr>
          <w:b/>
          <w:bCs/>
          <w:sz w:val="22"/>
          <w:szCs w:val="22"/>
          <w:lang w:val="sr-Latn-ME"/>
        </w:rPr>
      </w:pPr>
      <w:r w:rsidRPr="002A6AB6">
        <w:rPr>
          <w:b/>
          <w:bCs/>
          <w:sz w:val="22"/>
          <w:szCs w:val="22"/>
          <w:lang w:val="sr-Latn-ME"/>
        </w:rPr>
        <w:t xml:space="preserve">5.3. </w:t>
      </w:r>
      <w:r w:rsidR="00480FB1" w:rsidRPr="002A6AB6">
        <w:rPr>
          <w:b/>
          <w:bCs/>
          <w:sz w:val="22"/>
          <w:szCs w:val="22"/>
          <w:lang w:val="sr-Latn-ME"/>
        </w:rPr>
        <w:tab/>
      </w:r>
      <w:proofErr w:type="spellStart"/>
      <w:r w:rsidRPr="002A6AB6">
        <w:rPr>
          <w:b/>
          <w:bCs/>
          <w:sz w:val="22"/>
          <w:szCs w:val="22"/>
          <w:lang w:val="sr-Latn-ME"/>
        </w:rPr>
        <w:t>Pretklinički</w:t>
      </w:r>
      <w:proofErr w:type="spellEnd"/>
      <w:r w:rsidRPr="002A6AB6">
        <w:rPr>
          <w:b/>
          <w:bCs/>
          <w:sz w:val="22"/>
          <w:szCs w:val="22"/>
          <w:lang w:val="sr-Latn-ME"/>
        </w:rPr>
        <w:t xml:space="preserve"> podaci o bezbjednosti </w:t>
      </w:r>
    </w:p>
    <w:p w14:paraId="1EAE0D72" w14:textId="77777777" w:rsidR="00836B35" w:rsidRPr="002A6AB6" w:rsidRDefault="00836B35" w:rsidP="00587700">
      <w:pPr>
        <w:tabs>
          <w:tab w:val="left" w:pos="540"/>
          <w:tab w:val="left" w:pos="569"/>
        </w:tabs>
        <w:jc w:val="both"/>
        <w:rPr>
          <w:bCs/>
          <w:sz w:val="22"/>
          <w:szCs w:val="22"/>
          <w:lang w:val="sr-Latn-ME"/>
        </w:rPr>
      </w:pPr>
    </w:p>
    <w:p w14:paraId="1646A2A3" w14:textId="77777777" w:rsidR="00040429" w:rsidRPr="002A6AB6" w:rsidRDefault="00040429" w:rsidP="00587700">
      <w:pPr>
        <w:jc w:val="both"/>
        <w:rPr>
          <w:bCs/>
          <w:iCs/>
          <w:kern w:val="32"/>
          <w:sz w:val="22"/>
          <w:szCs w:val="22"/>
          <w:lang w:val="sr-Latn-ME" w:eastAsia="ja-JP"/>
        </w:rPr>
      </w:pPr>
      <w:proofErr w:type="spellStart"/>
      <w:r w:rsidRPr="002A6AB6">
        <w:rPr>
          <w:kern w:val="32"/>
          <w:sz w:val="22"/>
          <w:szCs w:val="22"/>
          <w:lang w:val="sr-Latn-ME" w:eastAsia="ja-JP"/>
        </w:rPr>
        <w:t>Pretklinički</w:t>
      </w:r>
      <w:proofErr w:type="spellEnd"/>
      <w:r w:rsidRPr="002A6AB6">
        <w:rPr>
          <w:kern w:val="32"/>
          <w:sz w:val="22"/>
          <w:szCs w:val="22"/>
          <w:lang w:val="sr-Latn-ME" w:eastAsia="ja-JP"/>
        </w:rPr>
        <w:t xml:space="preserve"> podaci ne ukazuju na poseban rizik za </w:t>
      </w:r>
      <w:proofErr w:type="spellStart"/>
      <w:r w:rsidRPr="002A6AB6">
        <w:rPr>
          <w:kern w:val="32"/>
          <w:sz w:val="22"/>
          <w:szCs w:val="22"/>
          <w:lang w:val="sr-Latn-ME" w:eastAsia="ja-JP"/>
        </w:rPr>
        <w:t>ljude</w:t>
      </w:r>
      <w:proofErr w:type="spellEnd"/>
      <w:r w:rsidRPr="002A6AB6">
        <w:rPr>
          <w:kern w:val="32"/>
          <w:sz w:val="22"/>
          <w:szCs w:val="22"/>
          <w:lang w:val="sr-Latn-ME" w:eastAsia="ja-JP"/>
        </w:rPr>
        <w:t xml:space="preserve"> na osnovu konvencionalnih ispitivanja </w:t>
      </w:r>
      <w:proofErr w:type="spellStart"/>
      <w:r w:rsidRPr="002A6AB6">
        <w:rPr>
          <w:kern w:val="32"/>
          <w:sz w:val="22"/>
          <w:szCs w:val="22"/>
          <w:lang w:val="sr-Latn-ME" w:eastAsia="ja-JP"/>
        </w:rPr>
        <w:t>bezbjednosne</w:t>
      </w:r>
      <w:proofErr w:type="spellEnd"/>
      <w:r w:rsidRPr="002A6AB6">
        <w:rPr>
          <w:kern w:val="32"/>
          <w:sz w:val="22"/>
          <w:szCs w:val="22"/>
          <w:lang w:val="sr-Latn-ME" w:eastAsia="ja-JP"/>
        </w:rPr>
        <w:t xml:space="preserve"> farmakologije, toksičnosti ponovljenih doza i embrio-</w:t>
      </w:r>
      <w:proofErr w:type="spellStart"/>
      <w:r w:rsidRPr="002A6AB6">
        <w:rPr>
          <w:kern w:val="32"/>
          <w:sz w:val="22"/>
          <w:szCs w:val="22"/>
          <w:lang w:val="sr-Latn-ME" w:eastAsia="ja-JP"/>
        </w:rPr>
        <w:t>fetalnog</w:t>
      </w:r>
      <w:proofErr w:type="spellEnd"/>
      <w:r w:rsidRPr="002A6AB6">
        <w:rPr>
          <w:kern w:val="32"/>
          <w:sz w:val="22"/>
          <w:szCs w:val="22"/>
          <w:lang w:val="sr-Latn-ME" w:eastAsia="ja-JP"/>
        </w:rPr>
        <w:t xml:space="preserve"> razvoja. Sa </w:t>
      </w:r>
      <w:proofErr w:type="spellStart"/>
      <w:r w:rsidRPr="002A6AB6">
        <w:rPr>
          <w:kern w:val="32"/>
          <w:sz w:val="22"/>
          <w:szCs w:val="22"/>
          <w:lang w:val="sr-Latn-ME" w:eastAsia="ja-JP"/>
        </w:rPr>
        <w:t>okrelizumabom</w:t>
      </w:r>
      <w:proofErr w:type="spellEnd"/>
      <w:r w:rsidRPr="002A6AB6">
        <w:rPr>
          <w:kern w:val="32"/>
          <w:sz w:val="22"/>
          <w:szCs w:val="22"/>
          <w:lang w:val="sr-Latn-ME" w:eastAsia="ja-JP"/>
        </w:rPr>
        <w:t xml:space="preserve"> nisu sprovođene ni studije </w:t>
      </w:r>
      <w:proofErr w:type="spellStart"/>
      <w:r w:rsidRPr="002A6AB6">
        <w:rPr>
          <w:kern w:val="32"/>
          <w:sz w:val="22"/>
          <w:szCs w:val="22"/>
          <w:lang w:val="sr-Latn-ME" w:eastAsia="ja-JP"/>
        </w:rPr>
        <w:t>karcinogenosti</w:t>
      </w:r>
      <w:proofErr w:type="spellEnd"/>
      <w:r w:rsidRPr="002A6AB6">
        <w:rPr>
          <w:kern w:val="32"/>
          <w:sz w:val="22"/>
          <w:szCs w:val="22"/>
          <w:lang w:val="sr-Latn-ME" w:eastAsia="ja-JP"/>
        </w:rPr>
        <w:t xml:space="preserve">, ni studije </w:t>
      </w:r>
      <w:proofErr w:type="spellStart"/>
      <w:r w:rsidRPr="002A6AB6">
        <w:rPr>
          <w:kern w:val="32"/>
          <w:sz w:val="22"/>
          <w:szCs w:val="22"/>
          <w:lang w:val="sr-Latn-ME" w:eastAsia="ja-JP"/>
        </w:rPr>
        <w:t>mutagenosti</w:t>
      </w:r>
      <w:proofErr w:type="spellEnd"/>
      <w:r w:rsidRPr="002A6AB6">
        <w:rPr>
          <w:kern w:val="32"/>
          <w:sz w:val="22"/>
          <w:szCs w:val="22"/>
          <w:lang w:val="sr-Latn-ME" w:eastAsia="ja-JP"/>
        </w:rPr>
        <w:t xml:space="preserve">.  </w:t>
      </w:r>
    </w:p>
    <w:p w14:paraId="2EDA00FC" w14:textId="77777777" w:rsidR="00040429" w:rsidRPr="002A6AB6" w:rsidRDefault="00040429" w:rsidP="00587700">
      <w:pPr>
        <w:tabs>
          <w:tab w:val="left" w:pos="567"/>
        </w:tabs>
        <w:jc w:val="both"/>
        <w:rPr>
          <w:color w:val="222222"/>
          <w:sz w:val="22"/>
          <w:szCs w:val="22"/>
          <w:shd w:val="clear" w:color="auto" w:fill="FFFFFF"/>
          <w:lang w:val="sr-Latn-ME"/>
        </w:rPr>
      </w:pPr>
    </w:p>
    <w:p w14:paraId="7C649F1B" w14:textId="77777777" w:rsidR="00040429" w:rsidRPr="002A6AB6" w:rsidRDefault="00040429" w:rsidP="00587700">
      <w:pPr>
        <w:tabs>
          <w:tab w:val="left" w:pos="567"/>
        </w:tabs>
        <w:jc w:val="both"/>
        <w:rPr>
          <w:color w:val="222222"/>
          <w:sz w:val="22"/>
          <w:szCs w:val="22"/>
          <w:shd w:val="clear" w:color="auto" w:fill="FFFFFF"/>
          <w:lang w:val="sr-Latn-ME"/>
        </w:rPr>
      </w:pPr>
      <w:r w:rsidRPr="002A6AB6">
        <w:rPr>
          <w:color w:val="222222"/>
          <w:sz w:val="22"/>
          <w:szCs w:val="22"/>
          <w:shd w:val="clear" w:color="auto" w:fill="FFFFFF"/>
          <w:lang w:val="sr-Latn-ME"/>
        </w:rPr>
        <w:t xml:space="preserve">U dvije studije prenatalnog i </w:t>
      </w:r>
      <w:proofErr w:type="spellStart"/>
      <w:r w:rsidRPr="002A6AB6">
        <w:rPr>
          <w:color w:val="222222"/>
          <w:sz w:val="22"/>
          <w:szCs w:val="22"/>
          <w:shd w:val="clear" w:color="auto" w:fill="FFFFFF"/>
          <w:lang w:val="sr-Latn-ME"/>
        </w:rPr>
        <w:t>postnatalnog</w:t>
      </w:r>
      <w:proofErr w:type="spellEnd"/>
      <w:r w:rsidRPr="002A6AB6">
        <w:rPr>
          <w:color w:val="222222"/>
          <w:sz w:val="22"/>
          <w:szCs w:val="22"/>
          <w:shd w:val="clear" w:color="auto" w:fill="FFFFFF"/>
          <w:lang w:val="sr-Latn-ME"/>
        </w:rPr>
        <w:t xml:space="preserve"> razvoja kod </w:t>
      </w:r>
      <w:proofErr w:type="spellStart"/>
      <w:r w:rsidRPr="002A6AB6">
        <w:rPr>
          <w:color w:val="222222"/>
          <w:sz w:val="22"/>
          <w:szCs w:val="22"/>
          <w:shd w:val="clear" w:color="auto" w:fill="FFFFFF"/>
          <w:lang w:val="sr-Latn-ME"/>
        </w:rPr>
        <w:t>cinomolgus</w:t>
      </w:r>
      <w:proofErr w:type="spellEnd"/>
      <w:r w:rsidRPr="002A6AB6">
        <w:rPr>
          <w:color w:val="222222"/>
          <w:sz w:val="22"/>
          <w:szCs w:val="22"/>
          <w:shd w:val="clear" w:color="auto" w:fill="FFFFFF"/>
          <w:lang w:val="sr-Latn-ME"/>
        </w:rPr>
        <w:t xml:space="preserve"> majmuna, primjena </w:t>
      </w:r>
      <w:proofErr w:type="spellStart"/>
      <w:r w:rsidRPr="002A6AB6">
        <w:rPr>
          <w:color w:val="222222"/>
          <w:sz w:val="22"/>
          <w:szCs w:val="22"/>
          <w:shd w:val="clear" w:color="auto" w:fill="FFFFFF"/>
          <w:lang w:val="sr-Latn-ME"/>
        </w:rPr>
        <w:t>intravenskog</w:t>
      </w:r>
      <w:proofErr w:type="spellEnd"/>
      <w:r w:rsidRPr="002A6AB6">
        <w:rPr>
          <w:color w:val="222222"/>
          <w:sz w:val="22"/>
          <w:szCs w:val="22"/>
          <w:shd w:val="clear" w:color="auto" w:fill="FFFFFF"/>
          <w:lang w:val="sr-Latn-ME"/>
        </w:rPr>
        <w:t xml:space="preserve"> </w:t>
      </w:r>
      <w:proofErr w:type="spellStart"/>
      <w:r w:rsidRPr="002A6AB6">
        <w:rPr>
          <w:color w:val="222222"/>
          <w:sz w:val="22"/>
          <w:szCs w:val="22"/>
          <w:shd w:val="clear" w:color="auto" w:fill="FFFFFF"/>
          <w:lang w:val="sr-Latn-ME"/>
        </w:rPr>
        <w:t>okrelizumaba</w:t>
      </w:r>
      <w:proofErr w:type="spellEnd"/>
      <w:r w:rsidRPr="002A6AB6">
        <w:rPr>
          <w:color w:val="222222"/>
          <w:sz w:val="22"/>
          <w:szCs w:val="22"/>
          <w:shd w:val="clear" w:color="auto" w:fill="FFFFFF"/>
          <w:lang w:val="sr-Latn-ME"/>
        </w:rPr>
        <w:t xml:space="preserve"> od 20. dana </w:t>
      </w:r>
      <w:proofErr w:type="spellStart"/>
      <w:r w:rsidRPr="002A6AB6">
        <w:rPr>
          <w:color w:val="222222"/>
          <w:sz w:val="22"/>
          <w:szCs w:val="22"/>
          <w:shd w:val="clear" w:color="auto" w:fill="FFFFFF"/>
          <w:lang w:val="sr-Latn-ME"/>
        </w:rPr>
        <w:t>gestacije</w:t>
      </w:r>
      <w:proofErr w:type="spellEnd"/>
      <w:r w:rsidRPr="002A6AB6">
        <w:rPr>
          <w:color w:val="222222"/>
          <w:sz w:val="22"/>
          <w:szCs w:val="22"/>
          <w:shd w:val="clear" w:color="auto" w:fill="FFFFFF"/>
          <w:lang w:val="sr-Latn-ME"/>
        </w:rPr>
        <w:t xml:space="preserve"> pa najmanje do porođaja povezuje se sa </w:t>
      </w:r>
      <w:proofErr w:type="spellStart"/>
      <w:r w:rsidRPr="002A6AB6">
        <w:rPr>
          <w:color w:val="222222"/>
          <w:sz w:val="22"/>
          <w:szCs w:val="22"/>
          <w:shd w:val="clear" w:color="auto" w:fill="FFFFFF"/>
          <w:lang w:val="sr-Latn-ME"/>
        </w:rPr>
        <w:t>glomerulopatijom</w:t>
      </w:r>
      <w:proofErr w:type="spellEnd"/>
      <w:r w:rsidRPr="002A6AB6">
        <w:rPr>
          <w:color w:val="222222"/>
          <w:sz w:val="22"/>
          <w:szCs w:val="22"/>
          <w:shd w:val="clear" w:color="auto" w:fill="FFFFFF"/>
          <w:lang w:val="sr-Latn-ME"/>
        </w:rPr>
        <w:t xml:space="preserve">, formiranjem </w:t>
      </w:r>
      <w:proofErr w:type="spellStart"/>
      <w:r w:rsidRPr="002A6AB6">
        <w:rPr>
          <w:color w:val="222222"/>
          <w:sz w:val="22"/>
          <w:szCs w:val="22"/>
          <w:shd w:val="clear" w:color="auto" w:fill="FFFFFF"/>
          <w:lang w:val="sr-Latn-ME"/>
        </w:rPr>
        <w:t>limfoidnog</w:t>
      </w:r>
      <w:proofErr w:type="spellEnd"/>
      <w:r w:rsidRPr="002A6AB6">
        <w:rPr>
          <w:color w:val="222222"/>
          <w:sz w:val="22"/>
          <w:szCs w:val="22"/>
          <w:shd w:val="clear" w:color="auto" w:fill="FFFFFF"/>
          <w:lang w:val="sr-Latn-ME"/>
        </w:rPr>
        <w:t xml:space="preserve"> </w:t>
      </w:r>
      <w:proofErr w:type="spellStart"/>
      <w:r w:rsidRPr="002A6AB6">
        <w:rPr>
          <w:color w:val="222222"/>
          <w:sz w:val="22"/>
          <w:szCs w:val="22"/>
          <w:shd w:val="clear" w:color="auto" w:fill="FFFFFF"/>
          <w:lang w:val="sr-Latn-ME"/>
        </w:rPr>
        <w:t>folikula</w:t>
      </w:r>
      <w:proofErr w:type="spellEnd"/>
      <w:r w:rsidRPr="002A6AB6">
        <w:rPr>
          <w:color w:val="222222"/>
          <w:sz w:val="22"/>
          <w:szCs w:val="22"/>
          <w:shd w:val="clear" w:color="auto" w:fill="FFFFFF"/>
          <w:lang w:val="sr-Latn-ME"/>
        </w:rPr>
        <w:t xml:space="preserve"> u koštanoj srži, </w:t>
      </w:r>
      <w:proofErr w:type="spellStart"/>
      <w:r w:rsidRPr="002A6AB6">
        <w:rPr>
          <w:color w:val="222222"/>
          <w:sz w:val="22"/>
          <w:szCs w:val="22"/>
          <w:shd w:val="clear" w:color="auto" w:fill="FFFFFF"/>
          <w:lang w:val="sr-Latn-ME"/>
        </w:rPr>
        <w:t>limfoplazmacitnim</w:t>
      </w:r>
      <w:proofErr w:type="spellEnd"/>
      <w:r w:rsidRPr="002A6AB6">
        <w:rPr>
          <w:color w:val="222222"/>
          <w:sz w:val="22"/>
          <w:szCs w:val="22"/>
          <w:shd w:val="clear" w:color="auto" w:fill="FFFFFF"/>
          <w:lang w:val="sr-Latn-ME"/>
        </w:rPr>
        <w:t xml:space="preserve"> zapaljenjem bubrega i smanjenjem mase testisa kod potomaka. </w:t>
      </w:r>
      <w:proofErr w:type="spellStart"/>
      <w:r w:rsidRPr="002A6AB6">
        <w:rPr>
          <w:color w:val="222222"/>
          <w:sz w:val="22"/>
          <w:szCs w:val="22"/>
          <w:shd w:val="clear" w:color="auto" w:fill="FFFFFF"/>
          <w:lang w:val="sr-Latn-ME"/>
        </w:rPr>
        <w:t>Maternalne</w:t>
      </w:r>
      <w:proofErr w:type="spellEnd"/>
      <w:r w:rsidRPr="002A6AB6">
        <w:rPr>
          <w:color w:val="222222"/>
          <w:sz w:val="22"/>
          <w:szCs w:val="22"/>
          <w:shd w:val="clear" w:color="auto" w:fill="FFFFFF"/>
          <w:lang w:val="sr-Latn-ME"/>
        </w:rPr>
        <w:t xml:space="preserve"> doze primijenjene u ovim studijama dovele su do maksimalnih srednjih koncentracija u serumu (</w:t>
      </w:r>
      <w:proofErr w:type="spellStart"/>
      <w:r w:rsidRPr="002A6AB6">
        <w:rPr>
          <w:color w:val="222222"/>
          <w:sz w:val="22"/>
          <w:szCs w:val="22"/>
          <w:shd w:val="clear" w:color="auto" w:fill="FFFFFF"/>
          <w:lang w:val="sr-Latn-ME"/>
        </w:rPr>
        <w:t>C</w:t>
      </w:r>
      <w:r w:rsidRPr="002A6AB6">
        <w:rPr>
          <w:color w:val="222222"/>
          <w:sz w:val="22"/>
          <w:szCs w:val="22"/>
          <w:shd w:val="clear" w:color="auto" w:fill="FFFFFF"/>
          <w:vertAlign w:val="subscript"/>
          <w:lang w:val="sr-Latn-ME"/>
        </w:rPr>
        <w:t>max</w:t>
      </w:r>
      <w:proofErr w:type="spellEnd"/>
      <w:r w:rsidRPr="002A6AB6">
        <w:rPr>
          <w:color w:val="222222"/>
          <w:sz w:val="22"/>
          <w:szCs w:val="22"/>
          <w:shd w:val="clear" w:color="auto" w:fill="FFFFFF"/>
          <w:lang w:val="sr-Latn-ME"/>
        </w:rPr>
        <w:t>) koje su bile 4,5 do 21 put iznad onih očekivanih u kliničkom okruženju.</w:t>
      </w:r>
    </w:p>
    <w:p w14:paraId="3B38CDAA" w14:textId="77777777" w:rsidR="00040429" w:rsidRPr="002A6AB6" w:rsidRDefault="00040429" w:rsidP="00587700">
      <w:pPr>
        <w:tabs>
          <w:tab w:val="left" w:pos="567"/>
        </w:tabs>
        <w:jc w:val="both"/>
        <w:rPr>
          <w:color w:val="222222"/>
          <w:sz w:val="22"/>
          <w:szCs w:val="22"/>
          <w:shd w:val="clear" w:color="auto" w:fill="FFFFFF"/>
          <w:lang w:val="sr-Latn-ME"/>
        </w:rPr>
      </w:pPr>
    </w:p>
    <w:p w14:paraId="0D36BA2B" w14:textId="77777777" w:rsidR="00040429" w:rsidRPr="002A6AB6" w:rsidRDefault="00040429" w:rsidP="00587700">
      <w:pPr>
        <w:tabs>
          <w:tab w:val="left" w:pos="567"/>
        </w:tabs>
        <w:jc w:val="both"/>
        <w:rPr>
          <w:sz w:val="22"/>
          <w:szCs w:val="22"/>
          <w:lang w:val="sr-Latn-ME"/>
        </w:rPr>
      </w:pPr>
      <w:r w:rsidRPr="002A6AB6">
        <w:rPr>
          <w:color w:val="000000"/>
          <w:sz w:val="22"/>
          <w:szCs w:val="22"/>
          <w:shd w:val="clear" w:color="auto" w:fill="FFFFFF"/>
          <w:lang w:val="sr-Latn-ME"/>
        </w:rPr>
        <w:t xml:space="preserve">Zabilježeno je pet slučajeva </w:t>
      </w:r>
      <w:proofErr w:type="spellStart"/>
      <w:r w:rsidRPr="002A6AB6">
        <w:rPr>
          <w:color w:val="000000"/>
          <w:sz w:val="22"/>
          <w:szCs w:val="22"/>
          <w:shd w:val="clear" w:color="auto" w:fill="FFFFFF"/>
          <w:lang w:val="sr-Latn-ME"/>
        </w:rPr>
        <w:t>neonatalne</w:t>
      </w:r>
      <w:proofErr w:type="spellEnd"/>
      <w:r w:rsidRPr="002A6AB6">
        <w:rPr>
          <w:color w:val="000000"/>
          <w:sz w:val="22"/>
          <w:szCs w:val="22"/>
          <w:shd w:val="clear" w:color="auto" w:fill="FFFFFF"/>
          <w:lang w:val="sr-Latn-ME"/>
        </w:rPr>
        <w:t xml:space="preserve"> smrti, jedan pripisan slabosti zbog prijevremenog rođenja praćenog oportunističkom </w:t>
      </w:r>
      <w:proofErr w:type="spellStart"/>
      <w:r w:rsidRPr="002A6AB6">
        <w:rPr>
          <w:color w:val="000000"/>
          <w:sz w:val="22"/>
          <w:szCs w:val="22"/>
          <w:shd w:val="clear" w:color="auto" w:fill="FFFFFF"/>
          <w:lang w:val="sr-Latn-ME"/>
        </w:rPr>
        <w:t>bakterijskom</w:t>
      </w:r>
      <w:proofErr w:type="spellEnd"/>
      <w:r w:rsidRPr="002A6AB6">
        <w:rPr>
          <w:color w:val="000000"/>
          <w:sz w:val="22"/>
          <w:szCs w:val="22"/>
          <w:shd w:val="clear" w:color="auto" w:fill="FFFFFF"/>
          <w:lang w:val="sr-Latn-ME"/>
        </w:rPr>
        <w:t xml:space="preserve"> infekcijom, jedan zbog infektivnog </w:t>
      </w:r>
      <w:proofErr w:type="spellStart"/>
      <w:r w:rsidRPr="002A6AB6">
        <w:rPr>
          <w:color w:val="000000"/>
          <w:sz w:val="22"/>
          <w:szCs w:val="22"/>
          <w:shd w:val="clear" w:color="auto" w:fill="FFFFFF"/>
          <w:lang w:val="sr-Latn-ME"/>
        </w:rPr>
        <w:t>meningoencefalitisa</w:t>
      </w:r>
      <w:proofErr w:type="spellEnd"/>
      <w:r w:rsidRPr="002A6AB6">
        <w:rPr>
          <w:color w:val="000000"/>
          <w:sz w:val="22"/>
          <w:szCs w:val="22"/>
          <w:shd w:val="clear" w:color="auto" w:fill="FFFFFF"/>
          <w:lang w:val="sr-Latn-ME"/>
        </w:rPr>
        <w:t xml:space="preserve"> koji je zahvatio cerebelum novorođenčeta zbog toga što je majka imala aktivnu </w:t>
      </w:r>
      <w:proofErr w:type="spellStart"/>
      <w:r w:rsidRPr="002A6AB6">
        <w:rPr>
          <w:color w:val="000000"/>
          <w:sz w:val="22"/>
          <w:szCs w:val="22"/>
          <w:shd w:val="clear" w:color="auto" w:fill="FFFFFF"/>
          <w:lang w:val="sr-Latn-ME"/>
        </w:rPr>
        <w:t>bakterijsku</w:t>
      </w:r>
      <w:proofErr w:type="spellEnd"/>
      <w:r w:rsidRPr="002A6AB6">
        <w:rPr>
          <w:color w:val="000000"/>
          <w:sz w:val="22"/>
          <w:szCs w:val="22"/>
          <w:shd w:val="clear" w:color="auto" w:fill="FFFFFF"/>
          <w:lang w:val="sr-Latn-ME"/>
        </w:rPr>
        <w:t xml:space="preserve"> infekciju (</w:t>
      </w:r>
      <w:proofErr w:type="spellStart"/>
      <w:r w:rsidRPr="002A6AB6">
        <w:rPr>
          <w:color w:val="000000"/>
          <w:sz w:val="22"/>
          <w:szCs w:val="22"/>
          <w:shd w:val="clear" w:color="auto" w:fill="FFFFFF"/>
          <w:lang w:val="sr-Latn-ME"/>
        </w:rPr>
        <w:t>mastitis</w:t>
      </w:r>
      <w:proofErr w:type="spellEnd"/>
      <w:r w:rsidRPr="002A6AB6">
        <w:rPr>
          <w:color w:val="000000"/>
          <w:sz w:val="22"/>
          <w:szCs w:val="22"/>
          <w:shd w:val="clear" w:color="auto" w:fill="FFFFFF"/>
          <w:lang w:val="sr-Latn-ME"/>
        </w:rPr>
        <w:t xml:space="preserve">) i tri sa dokazima žutice i oštećenja jetre, sa sumnjom na virusnu etiologiju, moguće </w:t>
      </w:r>
      <w:proofErr w:type="spellStart"/>
      <w:r w:rsidRPr="002A6AB6">
        <w:rPr>
          <w:color w:val="000000"/>
          <w:sz w:val="22"/>
          <w:szCs w:val="22"/>
          <w:shd w:val="clear" w:color="auto" w:fill="FFFFFF"/>
          <w:lang w:val="sr-Latn-ME"/>
        </w:rPr>
        <w:t>poliomavirus</w:t>
      </w:r>
      <w:proofErr w:type="spellEnd"/>
      <w:r w:rsidRPr="002A6AB6">
        <w:rPr>
          <w:color w:val="000000"/>
          <w:sz w:val="22"/>
          <w:szCs w:val="22"/>
          <w:shd w:val="clear" w:color="auto" w:fill="FFFFFF"/>
          <w:lang w:val="sr-Latn-ME"/>
        </w:rPr>
        <w:t xml:space="preserve">. Na tok ovih pet potvrđenih ili </w:t>
      </w:r>
      <w:proofErr w:type="spellStart"/>
      <w:r w:rsidRPr="002A6AB6">
        <w:rPr>
          <w:color w:val="000000"/>
          <w:sz w:val="22"/>
          <w:szCs w:val="22"/>
          <w:shd w:val="clear" w:color="auto" w:fill="FFFFFF"/>
          <w:lang w:val="sr-Latn-ME"/>
        </w:rPr>
        <w:t>suspektnih</w:t>
      </w:r>
      <w:proofErr w:type="spellEnd"/>
      <w:r w:rsidRPr="002A6AB6">
        <w:rPr>
          <w:color w:val="000000"/>
          <w:sz w:val="22"/>
          <w:szCs w:val="22"/>
          <w:shd w:val="clear" w:color="auto" w:fill="FFFFFF"/>
          <w:lang w:val="sr-Latn-ME"/>
        </w:rPr>
        <w:t xml:space="preserve"> infekcija mogla je potencijalno da utiče </w:t>
      </w:r>
      <w:proofErr w:type="spellStart"/>
      <w:r w:rsidRPr="002A6AB6">
        <w:rPr>
          <w:color w:val="000000"/>
          <w:sz w:val="22"/>
          <w:szCs w:val="22"/>
          <w:shd w:val="clear" w:color="auto" w:fill="FFFFFF"/>
          <w:lang w:val="sr-Latn-ME"/>
        </w:rPr>
        <w:t>deplecija</w:t>
      </w:r>
      <w:proofErr w:type="spellEnd"/>
      <w:r w:rsidRPr="002A6AB6">
        <w:rPr>
          <w:color w:val="000000"/>
          <w:sz w:val="22"/>
          <w:szCs w:val="22"/>
          <w:shd w:val="clear" w:color="auto" w:fill="FFFFFF"/>
          <w:lang w:val="sr-Latn-ME"/>
        </w:rPr>
        <w:t xml:space="preserve"> B-ćelija.</w:t>
      </w:r>
      <w:r w:rsidRPr="002A6AB6">
        <w:rPr>
          <w:sz w:val="22"/>
          <w:szCs w:val="22"/>
          <w:lang w:val="sr-Latn-ME"/>
        </w:rPr>
        <w:t xml:space="preserve"> Porod ženki izloženih </w:t>
      </w:r>
      <w:proofErr w:type="spellStart"/>
      <w:r w:rsidRPr="002A6AB6">
        <w:rPr>
          <w:sz w:val="22"/>
          <w:szCs w:val="22"/>
          <w:lang w:val="sr-Latn-ME"/>
        </w:rPr>
        <w:t>okrelizumabu</w:t>
      </w:r>
      <w:proofErr w:type="spellEnd"/>
      <w:r w:rsidRPr="002A6AB6">
        <w:rPr>
          <w:sz w:val="22"/>
          <w:szCs w:val="22"/>
          <w:lang w:val="sr-Latn-ME"/>
        </w:rPr>
        <w:t xml:space="preserve"> imao je </w:t>
      </w:r>
      <w:proofErr w:type="spellStart"/>
      <w:r w:rsidRPr="002A6AB6">
        <w:rPr>
          <w:sz w:val="22"/>
          <w:szCs w:val="22"/>
          <w:lang w:val="sr-Latn-ME"/>
        </w:rPr>
        <w:t>depletirane</w:t>
      </w:r>
      <w:proofErr w:type="spellEnd"/>
      <w:r w:rsidRPr="002A6AB6">
        <w:rPr>
          <w:sz w:val="22"/>
          <w:szCs w:val="22"/>
          <w:lang w:val="sr-Latn-ME"/>
        </w:rPr>
        <w:t xml:space="preserve"> B-ćelije tokom </w:t>
      </w:r>
      <w:proofErr w:type="spellStart"/>
      <w:r w:rsidRPr="002A6AB6">
        <w:rPr>
          <w:sz w:val="22"/>
          <w:szCs w:val="22"/>
          <w:lang w:val="sr-Latn-ME"/>
        </w:rPr>
        <w:t>postnatalne</w:t>
      </w:r>
      <w:proofErr w:type="spellEnd"/>
      <w:r w:rsidRPr="002A6AB6">
        <w:rPr>
          <w:sz w:val="22"/>
          <w:szCs w:val="22"/>
          <w:lang w:val="sr-Latn-ME"/>
        </w:rPr>
        <w:t xml:space="preserve"> faze. Mjerljive koncentracije </w:t>
      </w:r>
      <w:proofErr w:type="spellStart"/>
      <w:r w:rsidRPr="002A6AB6">
        <w:rPr>
          <w:sz w:val="22"/>
          <w:szCs w:val="22"/>
          <w:lang w:val="sr-Latn-ME"/>
        </w:rPr>
        <w:t>okrelizumaba</w:t>
      </w:r>
      <w:proofErr w:type="spellEnd"/>
      <w:r w:rsidRPr="002A6AB6">
        <w:rPr>
          <w:sz w:val="22"/>
          <w:szCs w:val="22"/>
          <w:lang w:val="sr-Latn-ME"/>
        </w:rPr>
        <w:t xml:space="preserve"> otkrivene su u mlijeku (približno 0,2% minimalnih koncentracija u serumu u stabilnom stanju) tokom perioda </w:t>
      </w:r>
      <w:proofErr w:type="spellStart"/>
      <w:r w:rsidRPr="002A6AB6">
        <w:rPr>
          <w:sz w:val="22"/>
          <w:szCs w:val="22"/>
          <w:lang w:val="sr-Latn-ME"/>
        </w:rPr>
        <w:t>laktacije</w:t>
      </w:r>
      <w:proofErr w:type="spellEnd"/>
      <w:r w:rsidRPr="002A6AB6">
        <w:rPr>
          <w:sz w:val="22"/>
          <w:szCs w:val="22"/>
          <w:lang w:val="sr-Latn-ME"/>
        </w:rPr>
        <w:t>.</w:t>
      </w:r>
    </w:p>
    <w:p w14:paraId="0790BB12" w14:textId="77777777" w:rsidR="00040429" w:rsidRPr="002A6AB6" w:rsidRDefault="00040429" w:rsidP="00587700">
      <w:pPr>
        <w:jc w:val="both"/>
        <w:rPr>
          <w:sz w:val="22"/>
          <w:szCs w:val="22"/>
          <w:u w:val="single"/>
          <w:lang w:val="sr-Latn-ME" w:eastAsia="ja-JP"/>
        </w:rPr>
      </w:pPr>
    </w:p>
    <w:p w14:paraId="566564E6" w14:textId="77777777" w:rsidR="00040429" w:rsidRPr="002A6AB6" w:rsidRDefault="00040429" w:rsidP="00587700">
      <w:pPr>
        <w:keepNext/>
        <w:keepLines/>
        <w:jc w:val="both"/>
        <w:rPr>
          <w:sz w:val="22"/>
          <w:szCs w:val="22"/>
          <w:u w:val="single"/>
          <w:lang w:val="sr-Latn-ME" w:eastAsia="ja-JP"/>
        </w:rPr>
      </w:pPr>
      <w:proofErr w:type="spellStart"/>
      <w:r w:rsidRPr="002A6AB6">
        <w:rPr>
          <w:sz w:val="22"/>
          <w:szCs w:val="22"/>
          <w:u w:val="single"/>
          <w:lang w:val="sr-Latn-ME" w:eastAsia="ja-JP"/>
        </w:rPr>
        <w:t>Hijaluronidaza</w:t>
      </w:r>
      <w:proofErr w:type="spellEnd"/>
      <w:r w:rsidRPr="002A6AB6">
        <w:rPr>
          <w:sz w:val="22"/>
          <w:szCs w:val="22"/>
          <w:u w:val="single"/>
          <w:lang w:val="sr-Latn-ME" w:eastAsia="ja-JP"/>
        </w:rPr>
        <w:t xml:space="preserve"> </w:t>
      </w:r>
    </w:p>
    <w:p w14:paraId="4F73F1D6" w14:textId="77777777" w:rsidR="00040429" w:rsidRPr="002A6AB6" w:rsidRDefault="00040429" w:rsidP="00587700">
      <w:pPr>
        <w:keepNext/>
        <w:keepLines/>
        <w:jc w:val="both"/>
        <w:rPr>
          <w:sz w:val="22"/>
          <w:szCs w:val="22"/>
          <w:lang w:val="sr-Latn-ME" w:eastAsia="ja-JP"/>
        </w:rPr>
      </w:pPr>
      <w:proofErr w:type="spellStart"/>
      <w:r w:rsidRPr="002A6AB6">
        <w:rPr>
          <w:sz w:val="22"/>
          <w:szCs w:val="22"/>
          <w:lang w:val="sr-Latn-ME" w:eastAsia="ja-JP"/>
        </w:rPr>
        <w:t>Pretklinički</w:t>
      </w:r>
      <w:proofErr w:type="spellEnd"/>
      <w:r w:rsidRPr="002A6AB6">
        <w:rPr>
          <w:sz w:val="22"/>
          <w:szCs w:val="22"/>
          <w:lang w:val="sr-Latn-ME" w:eastAsia="ja-JP"/>
        </w:rPr>
        <w:t xml:space="preserve"> podaci za </w:t>
      </w:r>
      <w:proofErr w:type="spellStart"/>
      <w:r w:rsidRPr="002A6AB6">
        <w:rPr>
          <w:sz w:val="22"/>
          <w:szCs w:val="22"/>
          <w:lang w:val="sr-Latn-ME" w:eastAsia="ja-JP"/>
        </w:rPr>
        <w:t>rekombinantnu</w:t>
      </w:r>
      <w:proofErr w:type="spellEnd"/>
      <w:r w:rsidRPr="002A6AB6">
        <w:rPr>
          <w:sz w:val="22"/>
          <w:szCs w:val="22"/>
          <w:lang w:val="sr-Latn-ME" w:eastAsia="ja-JP"/>
        </w:rPr>
        <w:t xml:space="preserve"> humanu </w:t>
      </w:r>
      <w:proofErr w:type="spellStart"/>
      <w:r w:rsidRPr="002A6AB6">
        <w:rPr>
          <w:sz w:val="22"/>
          <w:szCs w:val="22"/>
          <w:lang w:val="sr-Latn-ME" w:eastAsia="ja-JP"/>
        </w:rPr>
        <w:t>hijaluronidazu</w:t>
      </w:r>
      <w:proofErr w:type="spellEnd"/>
      <w:r w:rsidRPr="002A6AB6">
        <w:rPr>
          <w:sz w:val="22"/>
          <w:szCs w:val="22"/>
          <w:lang w:val="sr-Latn-ME" w:eastAsia="ja-JP"/>
        </w:rPr>
        <w:t xml:space="preserve"> ne ukazuju na poseban rizik za </w:t>
      </w:r>
      <w:proofErr w:type="spellStart"/>
      <w:r w:rsidRPr="002A6AB6">
        <w:rPr>
          <w:sz w:val="22"/>
          <w:szCs w:val="22"/>
          <w:lang w:val="sr-Latn-ME" w:eastAsia="ja-JP"/>
        </w:rPr>
        <w:t>ljude</w:t>
      </w:r>
      <w:proofErr w:type="spellEnd"/>
      <w:r w:rsidRPr="002A6AB6">
        <w:rPr>
          <w:sz w:val="22"/>
          <w:szCs w:val="22"/>
          <w:lang w:val="sr-Latn-ME" w:eastAsia="ja-JP"/>
        </w:rPr>
        <w:t xml:space="preserve"> na osnovu konvencionalnih studija toksičnosti ponovljenih doza, uključujući parametre praćenja farmakološke bezbjednosti. </w:t>
      </w:r>
    </w:p>
    <w:p w14:paraId="2E116FAB" w14:textId="77777777" w:rsidR="00040429" w:rsidRPr="002A6AB6" w:rsidRDefault="00040429" w:rsidP="00587700">
      <w:pPr>
        <w:jc w:val="both"/>
        <w:rPr>
          <w:sz w:val="22"/>
          <w:szCs w:val="22"/>
          <w:lang w:val="sr-Latn-ME" w:eastAsia="ja-JP"/>
        </w:rPr>
      </w:pPr>
    </w:p>
    <w:p w14:paraId="6DF5AD30" w14:textId="77777777" w:rsidR="00040429" w:rsidRPr="002A6AB6" w:rsidRDefault="00040429" w:rsidP="00587700">
      <w:pPr>
        <w:jc w:val="both"/>
        <w:rPr>
          <w:sz w:val="22"/>
          <w:szCs w:val="22"/>
          <w:lang w:val="sr-Latn-ME" w:eastAsia="ja-JP"/>
        </w:rPr>
      </w:pPr>
      <w:proofErr w:type="spellStart"/>
      <w:r w:rsidRPr="002A6AB6">
        <w:rPr>
          <w:sz w:val="22"/>
          <w:szCs w:val="22"/>
          <w:lang w:val="sr-Latn-ME" w:eastAsia="ja-JP"/>
        </w:rPr>
        <w:t>Hijaluronidaza</w:t>
      </w:r>
      <w:proofErr w:type="spellEnd"/>
      <w:r w:rsidRPr="002A6AB6">
        <w:rPr>
          <w:sz w:val="22"/>
          <w:szCs w:val="22"/>
          <w:lang w:val="sr-Latn-ME" w:eastAsia="ja-JP"/>
        </w:rPr>
        <w:t xml:space="preserve"> (rHuPH20) je prisutna u većini tkiva u ljudskom organizmu. Pacovi i minijaturne svinje dobro su podnosili </w:t>
      </w:r>
      <w:proofErr w:type="spellStart"/>
      <w:r w:rsidRPr="002A6AB6">
        <w:rPr>
          <w:sz w:val="22"/>
          <w:szCs w:val="22"/>
          <w:lang w:val="sr-Latn-ME" w:eastAsia="ja-JP"/>
        </w:rPr>
        <w:t>subkutanu</w:t>
      </w:r>
      <w:proofErr w:type="spellEnd"/>
      <w:r w:rsidRPr="002A6AB6">
        <w:rPr>
          <w:sz w:val="22"/>
          <w:szCs w:val="22"/>
          <w:lang w:val="sr-Latn-ME" w:eastAsia="ja-JP"/>
        </w:rPr>
        <w:t xml:space="preserve"> primjenu </w:t>
      </w:r>
      <w:proofErr w:type="spellStart"/>
      <w:r w:rsidRPr="002A6AB6">
        <w:rPr>
          <w:sz w:val="22"/>
          <w:szCs w:val="22"/>
          <w:lang w:val="sr-Latn-ME" w:eastAsia="ja-JP"/>
        </w:rPr>
        <w:t>okrelizumaba</w:t>
      </w:r>
      <w:proofErr w:type="spellEnd"/>
      <w:r w:rsidRPr="002A6AB6">
        <w:rPr>
          <w:sz w:val="22"/>
          <w:szCs w:val="22"/>
          <w:lang w:val="sr-Latn-ME" w:eastAsia="ja-JP"/>
        </w:rPr>
        <w:t xml:space="preserve"> sa </w:t>
      </w:r>
      <w:proofErr w:type="spellStart"/>
      <w:r w:rsidRPr="002A6AB6">
        <w:rPr>
          <w:sz w:val="22"/>
          <w:szCs w:val="22"/>
          <w:lang w:val="sr-Latn-ME" w:eastAsia="ja-JP"/>
        </w:rPr>
        <w:t>hijaluronidazom</w:t>
      </w:r>
      <w:proofErr w:type="spellEnd"/>
      <w:r w:rsidRPr="002A6AB6">
        <w:rPr>
          <w:sz w:val="22"/>
          <w:szCs w:val="22"/>
          <w:lang w:val="sr-Latn-ME" w:eastAsia="ja-JP"/>
        </w:rPr>
        <w:t xml:space="preserve"> u studijama lokalne tolerancije. </w:t>
      </w:r>
    </w:p>
    <w:p w14:paraId="050201E1" w14:textId="77777777" w:rsidR="00040429" w:rsidRPr="002A6AB6" w:rsidRDefault="00040429" w:rsidP="00587700">
      <w:pPr>
        <w:jc w:val="both"/>
        <w:rPr>
          <w:sz w:val="22"/>
          <w:szCs w:val="22"/>
          <w:lang w:val="sr-Latn-ME" w:eastAsia="ja-JP"/>
        </w:rPr>
      </w:pPr>
    </w:p>
    <w:p w14:paraId="390EB688" w14:textId="77777777" w:rsidR="00396DFD" w:rsidRPr="002A6AB6" w:rsidRDefault="00040429" w:rsidP="00587700">
      <w:pPr>
        <w:tabs>
          <w:tab w:val="left" w:pos="540"/>
          <w:tab w:val="left" w:pos="569"/>
        </w:tabs>
        <w:jc w:val="both"/>
        <w:rPr>
          <w:sz w:val="22"/>
          <w:szCs w:val="22"/>
          <w:lang w:val="sr-Latn-ME" w:eastAsia="ja-JP"/>
        </w:rPr>
      </w:pPr>
      <w:r w:rsidRPr="002A6AB6">
        <w:rPr>
          <w:sz w:val="22"/>
          <w:szCs w:val="22"/>
          <w:lang w:val="sr-Latn-ME" w:eastAsia="ja-JP"/>
        </w:rPr>
        <w:t xml:space="preserve">Studije reproduktivne toksikologije sa rHuPH20 otkrile su </w:t>
      </w:r>
      <w:proofErr w:type="spellStart"/>
      <w:r w:rsidRPr="002A6AB6">
        <w:rPr>
          <w:sz w:val="22"/>
          <w:szCs w:val="22"/>
          <w:lang w:val="sr-Latn-ME" w:eastAsia="ja-JP"/>
        </w:rPr>
        <w:t>embriofetalnu</w:t>
      </w:r>
      <w:proofErr w:type="spellEnd"/>
      <w:r w:rsidRPr="002A6AB6">
        <w:rPr>
          <w:sz w:val="22"/>
          <w:szCs w:val="22"/>
          <w:lang w:val="sr-Latn-ME" w:eastAsia="ja-JP"/>
        </w:rPr>
        <w:t xml:space="preserve"> toksičnost kod miševa, bez efekta sa nivoom &gt;1100 puta većim od predložene kliničke doze, ali bez dokaza o </w:t>
      </w:r>
      <w:proofErr w:type="spellStart"/>
      <w:r w:rsidRPr="002A6AB6">
        <w:rPr>
          <w:sz w:val="22"/>
          <w:szCs w:val="22"/>
          <w:lang w:val="sr-Latn-ME" w:eastAsia="ja-JP"/>
        </w:rPr>
        <w:t>teratogenosti</w:t>
      </w:r>
      <w:proofErr w:type="spellEnd"/>
      <w:r w:rsidRPr="002A6AB6">
        <w:rPr>
          <w:sz w:val="22"/>
          <w:szCs w:val="22"/>
          <w:lang w:val="sr-Latn-ME" w:eastAsia="ja-JP"/>
        </w:rPr>
        <w:t>.</w:t>
      </w:r>
    </w:p>
    <w:p w14:paraId="047D562D" w14:textId="77777777" w:rsidR="00040429" w:rsidRPr="002A6AB6" w:rsidRDefault="00040429" w:rsidP="00587700">
      <w:pPr>
        <w:tabs>
          <w:tab w:val="left" w:pos="540"/>
          <w:tab w:val="left" w:pos="569"/>
        </w:tabs>
        <w:jc w:val="both"/>
        <w:rPr>
          <w:b/>
          <w:bCs/>
          <w:sz w:val="22"/>
          <w:szCs w:val="22"/>
          <w:lang w:val="sr-Latn-ME"/>
        </w:rPr>
      </w:pPr>
    </w:p>
    <w:p w14:paraId="575FBCDC" w14:textId="77777777" w:rsidR="00687DF0" w:rsidRPr="002A6AB6" w:rsidRDefault="00687DF0" w:rsidP="00587700">
      <w:pPr>
        <w:tabs>
          <w:tab w:val="left" w:pos="540"/>
          <w:tab w:val="left" w:pos="569"/>
        </w:tabs>
        <w:jc w:val="both"/>
        <w:rPr>
          <w:b/>
          <w:bCs/>
          <w:sz w:val="22"/>
          <w:szCs w:val="22"/>
          <w:lang w:val="sr-Latn-ME"/>
        </w:rPr>
      </w:pPr>
    </w:p>
    <w:p w14:paraId="0EDD2CD3" w14:textId="77777777" w:rsidR="0072020E" w:rsidRPr="002A6AB6" w:rsidRDefault="0072020E" w:rsidP="00587700">
      <w:pPr>
        <w:tabs>
          <w:tab w:val="left" w:pos="540"/>
          <w:tab w:val="left" w:pos="569"/>
        </w:tabs>
        <w:jc w:val="both"/>
        <w:rPr>
          <w:b/>
          <w:bCs/>
          <w:sz w:val="22"/>
          <w:szCs w:val="22"/>
          <w:lang w:val="sr-Latn-ME"/>
        </w:rPr>
      </w:pPr>
      <w:r w:rsidRPr="002A6AB6">
        <w:rPr>
          <w:b/>
          <w:bCs/>
          <w:sz w:val="22"/>
          <w:szCs w:val="22"/>
          <w:lang w:val="sr-Latn-ME"/>
        </w:rPr>
        <w:t xml:space="preserve">6. </w:t>
      </w:r>
      <w:r w:rsidR="00480FB1" w:rsidRPr="002A6AB6">
        <w:rPr>
          <w:b/>
          <w:bCs/>
          <w:sz w:val="22"/>
          <w:szCs w:val="22"/>
          <w:lang w:val="sr-Latn-ME"/>
        </w:rPr>
        <w:tab/>
      </w:r>
      <w:r w:rsidRPr="002A6AB6">
        <w:rPr>
          <w:b/>
          <w:bCs/>
          <w:sz w:val="22"/>
          <w:szCs w:val="22"/>
          <w:lang w:val="sr-Latn-ME"/>
        </w:rPr>
        <w:t>FARMACEUTSKI PODACI</w:t>
      </w:r>
    </w:p>
    <w:p w14:paraId="560D5984" w14:textId="77777777" w:rsidR="00836B35" w:rsidRPr="002A6AB6" w:rsidRDefault="00836B35" w:rsidP="00587700">
      <w:pPr>
        <w:tabs>
          <w:tab w:val="left" w:pos="540"/>
          <w:tab w:val="left" w:pos="569"/>
        </w:tabs>
        <w:jc w:val="both"/>
        <w:rPr>
          <w:bCs/>
          <w:sz w:val="22"/>
          <w:szCs w:val="22"/>
          <w:lang w:val="sr-Latn-ME"/>
        </w:rPr>
      </w:pPr>
    </w:p>
    <w:p w14:paraId="59300600" w14:textId="77777777" w:rsidR="0072020E" w:rsidRPr="002A6AB6" w:rsidRDefault="0072020E" w:rsidP="00587700">
      <w:pPr>
        <w:tabs>
          <w:tab w:val="left" w:pos="540"/>
          <w:tab w:val="left" w:pos="569"/>
        </w:tabs>
        <w:jc w:val="both"/>
        <w:rPr>
          <w:b/>
          <w:bCs/>
          <w:sz w:val="22"/>
          <w:szCs w:val="22"/>
          <w:lang w:val="sr-Latn-ME"/>
        </w:rPr>
      </w:pPr>
      <w:r w:rsidRPr="002A6AB6">
        <w:rPr>
          <w:b/>
          <w:bCs/>
          <w:sz w:val="22"/>
          <w:szCs w:val="22"/>
          <w:lang w:val="sr-Latn-ME"/>
        </w:rPr>
        <w:t xml:space="preserve">6.1. </w:t>
      </w:r>
      <w:r w:rsidR="00480FB1" w:rsidRPr="002A6AB6">
        <w:rPr>
          <w:b/>
          <w:bCs/>
          <w:sz w:val="22"/>
          <w:szCs w:val="22"/>
          <w:lang w:val="sr-Latn-ME"/>
        </w:rPr>
        <w:tab/>
      </w:r>
      <w:r w:rsidRPr="002A6AB6">
        <w:rPr>
          <w:b/>
          <w:bCs/>
          <w:sz w:val="22"/>
          <w:szCs w:val="22"/>
          <w:lang w:val="sr-Latn-ME"/>
        </w:rPr>
        <w:t>Lista pomoćnih supstanci</w:t>
      </w:r>
      <w:r w:rsidR="002E0135" w:rsidRPr="002A6AB6">
        <w:rPr>
          <w:b/>
          <w:bCs/>
          <w:sz w:val="22"/>
          <w:szCs w:val="22"/>
          <w:lang w:val="sr-Latn-ME"/>
        </w:rPr>
        <w:t xml:space="preserve"> (</w:t>
      </w:r>
      <w:proofErr w:type="spellStart"/>
      <w:r w:rsidR="002E0135" w:rsidRPr="002A6AB6">
        <w:rPr>
          <w:b/>
          <w:bCs/>
          <w:sz w:val="22"/>
          <w:szCs w:val="22"/>
          <w:lang w:val="sr-Latn-ME"/>
        </w:rPr>
        <w:t>ekscipijenasa</w:t>
      </w:r>
      <w:proofErr w:type="spellEnd"/>
      <w:r w:rsidR="002E0135" w:rsidRPr="002A6AB6">
        <w:rPr>
          <w:b/>
          <w:bCs/>
          <w:sz w:val="22"/>
          <w:szCs w:val="22"/>
          <w:lang w:val="sr-Latn-ME"/>
        </w:rPr>
        <w:t>)</w:t>
      </w:r>
    </w:p>
    <w:p w14:paraId="2263212B" w14:textId="77777777" w:rsidR="0072020E" w:rsidRPr="002A6AB6" w:rsidRDefault="0072020E" w:rsidP="00587700">
      <w:pPr>
        <w:tabs>
          <w:tab w:val="left" w:pos="540"/>
          <w:tab w:val="left" w:pos="569"/>
        </w:tabs>
        <w:jc w:val="both"/>
        <w:rPr>
          <w:bCs/>
          <w:sz w:val="22"/>
          <w:szCs w:val="22"/>
          <w:lang w:val="sr-Latn-ME"/>
        </w:rPr>
      </w:pPr>
    </w:p>
    <w:p w14:paraId="4FFC2911" w14:textId="77777777" w:rsidR="00040429" w:rsidRPr="002A6AB6" w:rsidRDefault="00040429" w:rsidP="00587700">
      <w:pPr>
        <w:tabs>
          <w:tab w:val="left" w:pos="567"/>
        </w:tabs>
        <w:jc w:val="both"/>
        <w:rPr>
          <w:sz w:val="22"/>
          <w:szCs w:val="22"/>
          <w:lang w:val="sr-Latn-ME"/>
        </w:rPr>
      </w:pPr>
      <w:proofErr w:type="spellStart"/>
      <w:r w:rsidRPr="002A6AB6">
        <w:rPr>
          <w:sz w:val="22"/>
          <w:szCs w:val="22"/>
          <w:lang w:val="sr-Latn-ME"/>
        </w:rPr>
        <w:t>Rekombinantna</w:t>
      </w:r>
      <w:proofErr w:type="spellEnd"/>
      <w:r w:rsidRPr="002A6AB6">
        <w:rPr>
          <w:sz w:val="22"/>
          <w:szCs w:val="22"/>
          <w:lang w:val="sr-Latn-ME"/>
        </w:rPr>
        <w:t xml:space="preserve"> humana </w:t>
      </w:r>
      <w:proofErr w:type="spellStart"/>
      <w:r w:rsidRPr="002A6AB6">
        <w:rPr>
          <w:sz w:val="22"/>
          <w:szCs w:val="22"/>
          <w:lang w:val="sr-Latn-ME"/>
        </w:rPr>
        <w:t>hijaluronidaza</w:t>
      </w:r>
      <w:proofErr w:type="spellEnd"/>
      <w:r w:rsidRPr="002A6AB6">
        <w:rPr>
          <w:sz w:val="22"/>
          <w:szCs w:val="22"/>
          <w:lang w:val="sr-Latn-ME"/>
        </w:rPr>
        <w:t xml:space="preserve"> (rHuPH20)</w:t>
      </w:r>
    </w:p>
    <w:p w14:paraId="17C03EBB" w14:textId="77777777" w:rsidR="00040429" w:rsidRPr="002A6AB6" w:rsidRDefault="00040429" w:rsidP="00587700">
      <w:pPr>
        <w:tabs>
          <w:tab w:val="left" w:pos="567"/>
        </w:tabs>
        <w:jc w:val="both"/>
        <w:rPr>
          <w:sz w:val="22"/>
          <w:szCs w:val="22"/>
          <w:lang w:val="sr-Latn-ME"/>
        </w:rPr>
      </w:pPr>
      <w:r w:rsidRPr="002A6AB6">
        <w:rPr>
          <w:sz w:val="22"/>
          <w:szCs w:val="22"/>
          <w:lang w:val="sr-Latn-ME"/>
        </w:rPr>
        <w:t xml:space="preserve">Natrijum acetat </w:t>
      </w:r>
      <w:proofErr w:type="spellStart"/>
      <w:r w:rsidRPr="002A6AB6">
        <w:rPr>
          <w:sz w:val="22"/>
          <w:szCs w:val="22"/>
          <w:lang w:val="sr-Latn-ME"/>
        </w:rPr>
        <w:t>trihidrat</w:t>
      </w:r>
      <w:proofErr w:type="spellEnd"/>
      <w:r w:rsidRPr="002A6AB6">
        <w:rPr>
          <w:sz w:val="22"/>
          <w:szCs w:val="22"/>
          <w:lang w:val="sr-Latn-ME"/>
        </w:rPr>
        <w:t xml:space="preserve"> (E 262)</w:t>
      </w:r>
    </w:p>
    <w:p w14:paraId="45333F56" w14:textId="77777777" w:rsidR="00040429" w:rsidRPr="002A6AB6" w:rsidRDefault="00040429" w:rsidP="00587700">
      <w:pPr>
        <w:tabs>
          <w:tab w:val="left" w:pos="567"/>
        </w:tabs>
        <w:jc w:val="both"/>
        <w:rPr>
          <w:sz w:val="22"/>
          <w:szCs w:val="22"/>
          <w:lang w:val="sr-Latn-ME"/>
        </w:rPr>
      </w:pPr>
      <w:proofErr w:type="spellStart"/>
      <w:r w:rsidRPr="002A6AB6">
        <w:rPr>
          <w:sz w:val="22"/>
          <w:szCs w:val="22"/>
          <w:lang w:val="sr-Latn-ME"/>
        </w:rPr>
        <w:t>Sirćetna</w:t>
      </w:r>
      <w:proofErr w:type="spellEnd"/>
      <w:r w:rsidRPr="002A6AB6">
        <w:rPr>
          <w:sz w:val="22"/>
          <w:szCs w:val="22"/>
          <w:lang w:val="sr-Latn-ME"/>
        </w:rPr>
        <w:t xml:space="preserve"> kiselina, glacijalna</w:t>
      </w:r>
    </w:p>
    <w:p w14:paraId="5A1190F2" w14:textId="77777777" w:rsidR="00040429" w:rsidRPr="002A6AB6" w:rsidRDefault="00040429" w:rsidP="00587700">
      <w:pPr>
        <w:tabs>
          <w:tab w:val="left" w:pos="567"/>
        </w:tabs>
        <w:jc w:val="both"/>
        <w:rPr>
          <w:sz w:val="22"/>
          <w:szCs w:val="22"/>
          <w:lang w:val="sr-Latn-ME"/>
        </w:rPr>
      </w:pPr>
      <w:r w:rsidRPr="002A6AB6">
        <w:rPr>
          <w:sz w:val="22"/>
          <w:szCs w:val="22"/>
          <w:lang w:val="sr-Latn-ME"/>
        </w:rPr>
        <w:t>α,α-</w:t>
      </w:r>
      <w:proofErr w:type="spellStart"/>
      <w:r w:rsidRPr="002A6AB6">
        <w:rPr>
          <w:sz w:val="22"/>
          <w:szCs w:val="22"/>
          <w:lang w:val="sr-Latn-ME"/>
        </w:rPr>
        <w:t>trehaloza</w:t>
      </w:r>
      <w:proofErr w:type="spellEnd"/>
      <w:r w:rsidRPr="002A6AB6">
        <w:rPr>
          <w:sz w:val="22"/>
          <w:szCs w:val="22"/>
          <w:lang w:val="sr-Latn-ME"/>
        </w:rPr>
        <w:t xml:space="preserve"> </w:t>
      </w:r>
      <w:proofErr w:type="spellStart"/>
      <w:r w:rsidRPr="002A6AB6">
        <w:rPr>
          <w:sz w:val="22"/>
          <w:szCs w:val="22"/>
          <w:lang w:val="sr-Latn-ME"/>
        </w:rPr>
        <w:t>dihidrat</w:t>
      </w:r>
      <w:proofErr w:type="spellEnd"/>
    </w:p>
    <w:p w14:paraId="6EF2716C" w14:textId="77777777" w:rsidR="00040429" w:rsidRPr="002A6AB6" w:rsidRDefault="00040429" w:rsidP="00587700">
      <w:pPr>
        <w:tabs>
          <w:tab w:val="left" w:pos="567"/>
        </w:tabs>
        <w:jc w:val="both"/>
        <w:rPr>
          <w:sz w:val="22"/>
          <w:szCs w:val="22"/>
          <w:lang w:val="sr-Latn-ME"/>
        </w:rPr>
      </w:pPr>
      <w:proofErr w:type="spellStart"/>
      <w:r w:rsidRPr="002A6AB6">
        <w:rPr>
          <w:sz w:val="22"/>
          <w:szCs w:val="22"/>
          <w:lang w:val="sr-Latn-ME"/>
        </w:rPr>
        <w:t>Polisorbat</w:t>
      </w:r>
      <w:proofErr w:type="spellEnd"/>
      <w:r w:rsidRPr="002A6AB6">
        <w:rPr>
          <w:sz w:val="22"/>
          <w:szCs w:val="22"/>
          <w:lang w:val="sr-Latn-ME"/>
        </w:rPr>
        <w:t xml:space="preserve"> 20 (E 432)</w:t>
      </w:r>
    </w:p>
    <w:p w14:paraId="65F63072" w14:textId="77777777" w:rsidR="00040429" w:rsidRPr="002A6AB6" w:rsidRDefault="00040429" w:rsidP="00587700">
      <w:pPr>
        <w:tabs>
          <w:tab w:val="left" w:pos="567"/>
        </w:tabs>
        <w:jc w:val="both"/>
        <w:rPr>
          <w:sz w:val="22"/>
          <w:szCs w:val="22"/>
          <w:lang w:val="sr-Latn-ME"/>
        </w:rPr>
      </w:pPr>
      <w:r w:rsidRPr="002A6AB6">
        <w:rPr>
          <w:sz w:val="22"/>
          <w:szCs w:val="22"/>
          <w:lang w:val="sr-Latn-ME"/>
        </w:rPr>
        <w:t>L-</w:t>
      </w:r>
      <w:proofErr w:type="spellStart"/>
      <w:r w:rsidRPr="002A6AB6">
        <w:rPr>
          <w:sz w:val="22"/>
          <w:szCs w:val="22"/>
          <w:lang w:val="sr-Latn-ME"/>
        </w:rPr>
        <w:t>metionin</w:t>
      </w:r>
      <w:proofErr w:type="spellEnd"/>
    </w:p>
    <w:p w14:paraId="30AD7B21" w14:textId="77777777" w:rsidR="00040429" w:rsidRPr="002A6AB6" w:rsidRDefault="00040429" w:rsidP="00587700">
      <w:pPr>
        <w:tabs>
          <w:tab w:val="left" w:pos="569"/>
        </w:tabs>
        <w:jc w:val="both"/>
        <w:rPr>
          <w:sz w:val="22"/>
          <w:szCs w:val="22"/>
          <w:lang w:val="sr-Latn-ME"/>
        </w:rPr>
      </w:pPr>
      <w:r w:rsidRPr="002A6AB6">
        <w:rPr>
          <w:sz w:val="22"/>
          <w:szCs w:val="22"/>
          <w:lang w:val="sr-Latn-ME"/>
        </w:rPr>
        <w:t xml:space="preserve">Voda za injekcije </w:t>
      </w:r>
    </w:p>
    <w:p w14:paraId="0A59622E" w14:textId="77777777" w:rsidR="00040429" w:rsidRPr="002A6AB6" w:rsidRDefault="00040429" w:rsidP="00587700">
      <w:pPr>
        <w:tabs>
          <w:tab w:val="left" w:pos="540"/>
          <w:tab w:val="left" w:pos="569"/>
        </w:tabs>
        <w:jc w:val="both"/>
        <w:rPr>
          <w:bCs/>
          <w:sz w:val="22"/>
          <w:szCs w:val="22"/>
          <w:lang w:val="sr-Latn-ME"/>
        </w:rPr>
      </w:pPr>
    </w:p>
    <w:p w14:paraId="2218333D" w14:textId="77777777" w:rsidR="0072020E" w:rsidRPr="002A6AB6" w:rsidRDefault="0072020E" w:rsidP="00587700">
      <w:pPr>
        <w:tabs>
          <w:tab w:val="left" w:pos="540"/>
          <w:tab w:val="left" w:pos="569"/>
        </w:tabs>
        <w:jc w:val="both"/>
        <w:rPr>
          <w:b/>
          <w:bCs/>
          <w:sz w:val="22"/>
          <w:szCs w:val="22"/>
          <w:lang w:val="sr-Latn-ME"/>
        </w:rPr>
      </w:pPr>
      <w:r w:rsidRPr="002A6AB6">
        <w:rPr>
          <w:b/>
          <w:bCs/>
          <w:sz w:val="22"/>
          <w:szCs w:val="22"/>
          <w:lang w:val="sr-Latn-ME"/>
        </w:rPr>
        <w:t xml:space="preserve">6.2. </w:t>
      </w:r>
      <w:r w:rsidR="00480FB1" w:rsidRPr="002A6AB6">
        <w:rPr>
          <w:b/>
          <w:bCs/>
          <w:sz w:val="22"/>
          <w:szCs w:val="22"/>
          <w:lang w:val="sr-Latn-ME"/>
        </w:rPr>
        <w:tab/>
      </w:r>
      <w:r w:rsidRPr="002A6AB6">
        <w:rPr>
          <w:b/>
          <w:bCs/>
          <w:sz w:val="22"/>
          <w:szCs w:val="22"/>
          <w:lang w:val="sr-Latn-ME"/>
        </w:rPr>
        <w:t>Inkompatibilnost</w:t>
      </w:r>
      <w:r w:rsidR="002846DB" w:rsidRPr="002A6AB6">
        <w:rPr>
          <w:b/>
          <w:bCs/>
          <w:sz w:val="22"/>
          <w:szCs w:val="22"/>
          <w:lang w:val="sr-Latn-ME"/>
        </w:rPr>
        <w:t>i</w:t>
      </w:r>
    </w:p>
    <w:p w14:paraId="15726B4D" w14:textId="77777777" w:rsidR="0072020E" w:rsidRPr="002A6AB6" w:rsidRDefault="0072020E" w:rsidP="00587700">
      <w:pPr>
        <w:tabs>
          <w:tab w:val="left" w:pos="540"/>
          <w:tab w:val="left" w:pos="569"/>
        </w:tabs>
        <w:jc w:val="both"/>
        <w:rPr>
          <w:bCs/>
          <w:sz w:val="22"/>
          <w:szCs w:val="22"/>
          <w:lang w:val="sr-Latn-ME"/>
        </w:rPr>
      </w:pPr>
    </w:p>
    <w:p w14:paraId="618B2F07" w14:textId="77777777" w:rsidR="00040429" w:rsidRPr="002A6AB6" w:rsidRDefault="00040429" w:rsidP="00587700">
      <w:pPr>
        <w:tabs>
          <w:tab w:val="left" w:pos="540"/>
          <w:tab w:val="left" w:pos="567"/>
        </w:tabs>
        <w:jc w:val="both"/>
        <w:rPr>
          <w:bCs/>
          <w:sz w:val="22"/>
          <w:szCs w:val="22"/>
          <w:lang w:val="sr-Latn-ME"/>
        </w:rPr>
      </w:pPr>
      <w:r w:rsidRPr="002A6AB6">
        <w:rPr>
          <w:bCs/>
          <w:sz w:val="22"/>
          <w:szCs w:val="22"/>
          <w:lang w:val="sr-Latn-ME"/>
        </w:rPr>
        <w:t>U odsustvu studija kompatibilnosti, ovaj lijek se ne smije miješati s</w:t>
      </w:r>
      <w:r w:rsidR="00284F15" w:rsidRPr="002A6AB6">
        <w:rPr>
          <w:bCs/>
          <w:sz w:val="22"/>
          <w:szCs w:val="22"/>
          <w:lang w:val="sr-Latn-ME"/>
        </w:rPr>
        <w:t>a</w:t>
      </w:r>
      <w:r w:rsidRPr="002A6AB6">
        <w:rPr>
          <w:bCs/>
          <w:sz w:val="22"/>
          <w:szCs w:val="22"/>
          <w:lang w:val="sr-Latn-ME"/>
        </w:rPr>
        <w:t xml:space="preserve"> drugim ljekovima.</w:t>
      </w:r>
    </w:p>
    <w:p w14:paraId="33981961" w14:textId="77777777" w:rsidR="00040429" w:rsidRPr="002A6AB6" w:rsidRDefault="00040429" w:rsidP="00587700">
      <w:pPr>
        <w:tabs>
          <w:tab w:val="left" w:pos="540"/>
          <w:tab w:val="left" w:pos="569"/>
        </w:tabs>
        <w:jc w:val="both"/>
        <w:rPr>
          <w:bCs/>
          <w:sz w:val="22"/>
          <w:szCs w:val="22"/>
          <w:lang w:val="sr-Latn-ME"/>
        </w:rPr>
      </w:pPr>
    </w:p>
    <w:p w14:paraId="6D125F0D" w14:textId="77777777" w:rsidR="0072020E" w:rsidRPr="002A6AB6" w:rsidRDefault="0072020E" w:rsidP="00587700">
      <w:pPr>
        <w:tabs>
          <w:tab w:val="left" w:pos="540"/>
          <w:tab w:val="left" w:pos="569"/>
        </w:tabs>
        <w:jc w:val="both"/>
        <w:rPr>
          <w:b/>
          <w:bCs/>
          <w:sz w:val="22"/>
          <w:szCs w:val="22"/>
          <w:lang w:val="sr-Latn-ME"/>
        </w:rPr>
      </w:pPr>
      <w:r w:rsidRPr="002A6AB6">
        <w:rPr>
          <w:b/>
          <w:bCs/>
          <w:sz w:val="22"/>
          <w:szCs w:val="22"/>
          <w:lang w:val="sr-Latn-ME"/>
        </w:rPr>
        <w:t>6.3.</w:t>
      </w:r>
      <w:r w:rsidR="00C05DF8" w:rsidRPr="002A6AB6">
        <w:rPr>
          <w:b/>
          <w:bCs/>
          <w:sz w:val="22"/>
          <w:szCs w:val="22"/>
          <w:lang w:val="sr-Latn-ME"/>
        </w:rPr>
        <w:t xml:space="preserve"> </w:t>
      </w:r>
      <w:r w:rsidR="00480FB1" w:rsidRPr="002A6AB6">
        <w:rPr>
          <w:b/>
          <w:bCs/>
          <w:sz w:val="22"/>
          <w:szCs w:val="22"/>
          <w:lang w:val="sr-Latn-ME"/>
        </w:rPr>
        <w:tab/>
      </w:r>
      <w:r w:rsidRPr="002A6AB6">
        <w:rPr>
          <w:b/>
          <w:bCs/>
          <w:sz w:val="22"/>
          <w:szCs w:val="22"/>
          <w:lang w:val="sr-Latn-ME"/>
        </w:rPr>
        <w:t>Rok upotrebe</w:t>
      </w:r>
    </w:p>
    <w:p w14:paraId="74D55421" w14:textId="77777777" w:rsidR="0072020E" w:rsidRPr="002A6AB6" w:rsidRDefault="0072020E" w:rsidP="00587700">
      <w:pPr>
        <w:tabs>
          <w:tab w:val="left" w:pos="540"/>
          <w:tab w:val="left" w:pos="569"/>
        </w:tabs>
        <w:jc w:val="both"/>
        <w:rPr>
          <w:bCs/>
          <w:sz w:val="22"/>
          <w:szCs w:val="22"/>
          <w:lang w:val="sr-Latn-ME"/>
        </w:rPr>
      </w:pPr>
    </w:p>
    <w:p w14:paraId="37097119" w14:textId="77777777" w:rsidR="00040429" w:rsidRPr="002A6AB6" w:rsidRDefault="00040429" w:rsidP="00587700">
      <w:pPr>
        <w:tabs>
          <w:tab w:val="left" w:pos="567"/>
        </w:tabs>
        <w:jc w:val="both"/>
        <w:rPr>
          <w:sz w:val="22"/>
          <w:szCs w:val="22"/>
          <w:u w:val="single"/>
          <w:lang w:val="sr-Latn-ME"/>
        </w:rPr>
      </w:pPr>
      <w:proofErr w:type="spellStart"/>
      <w:r w:rsidRPr="002A6AB6">
        <w:rPr>
          <w:sz w:val="22"/>
          <w:szCs w:val="22"/>
          <w:u w:val="single"/>
          <w:lang w:val="sr-Latn-ME"/>
        </w:rPr>
        <w:t>Neotvorena</w:t>
      </w:r>
      <w:proofErr w:type="spellEnd"/>
      <w:r w:rsidRPr="002A6AB6">
        <w:rPr>
          <w:sz w:val="22"/>
          <w:szCs w:val="22"/>
          <w:u w:val="single"/>
          <w:lang w:val="sr-Latn-ME"/>
        </w:rPr>
        <w:t xml:space="preserve"> bočica</w:t>
      </w:r>
    </w:p>
    <w:p w14:paraId="00449059" w14:textId="77777777" w:rsidR="00040429" w:rsidRPr="002A6AB6" w:rsidRDefault="00040429" w:rsidP="00587700">
      <w:pPr>
        <w:tabs>
          <w:tab w:val="left" w:pos="567"/>
        </w:tabs>
        <w:jc w:val="both"/>
        <w:rPr>
          <w:sz w:val="22"/>
          <w:szCs w:val="22"/>
          <w:u w:val="single"/>
          <w:lang w:val="sr-Latn-ME"/>
        </w:rPr>
      </w:pPr>
    </w:p>
    <w:p w14:paraId="616245A6" w14:textId="77777777" w:rsidR="00040429" w:rsidRPr="002A6AB6" w:rsidRDefault="00040429" w:rsidP="00587700">
      <w:pPr>
        <w:jc w:val="both"/>
        <w:rPr>
          <w:sz w:val="22"/>
          <w:szCs w:val="22"/>
          <w:lang w:val="sr-Latn-ME" w:eastAsia="ja-JP"/>
        </w:rPr>
      </w:pPr>
      <w:r w:rsidRPr="002A6AB6">
        <w:rPr>
          <w:sz w:val="22"/>
          <w:szCs w:val="22"/>
          <w:lang w:val="sr-Latn-ME" w:eastAsia="ja-JP"/>
        </w:rPr>
        <w:t>2 godine</w:t>
      </w:r>
    </w:p>
    <w:p w14:paraId="1216EEAA" w14:textId="77777777" w:rsidR="00040429" w:rsidRPr="002A6AB6" w:rsidRDefault="00040429" w:rsidP="00587700">
      <w:pPr>
        <w:jc w:val="both"/>
        <w:rPr>
          <w:sz w:val="22"/>
          <w:szCs w:val="22"/>
          <w:lang w:val="sr-Latn-ME" w:eastAsia="ja-JP"/>
        </w:rPr>
      </w:pPr>
    </w:p>
    <w:p w14:paraId="14CEAD34" w14:textId="77777777" w:rsidR="00040429" w:rsidRPr="002A6AB6" w:rsidRDefault="00040429" w:rsidP="00587700">
      <w:pPr>
        <w:ind w:left="567" w:hanging="567"/>
        <w:jc w:val="both"/>
        <w:outlineLvl w:val="0"/>
        <w:rPr>
          <w:sz w:val="22"/>
          <w:szCs w:val="22"/>
          <w:u w:val="single"/>
          <w:lang w:val="sr-Latn-ME" w:eastAsia="ja-JP"/>
        </w:rPr>
      </w:pPr>
      <w:r w:rsidRPr="002A6AB6">
        <w:rPr>
          <w:sz w:val="22"/>
          <w:szCs w:val="22"/>
          <w:u w:val="single"/>
          <w:lang w:val="sr-Latn-ME" w:eastAsia="ja-JP"/>
        </w:rPr>
        <w:t>Pripremljeni špric</w:t>
      </w:r>
    </w:p>
    <w:p w14:paraId="57D75544" w14:textId="77777777" w:rsidR="00040429" w:rsidRPr="002A6AB6" w:rsidRDefault="00040429" w:rsidP="00587700">
      <w:pPr>
        <w:ind w:left="567" w:hanging="567"/>
        <w:jc w:val="both"/>
        <w:outlineLvl w:val="0"/>
        <w:rPr>
          <w:sz w:val="22"/>
          <w:szCs w:val="22"/>
          <w:u w:val="single"/>
          <w:lang w:val="sr-Latn-ME" w:eastAsia="ja-JP"/>
        </w:rPr>
      </w:pPr>
    </w:p>
    <w:p w14:paraId="7AEF0670" w14:textId="3CD2970F" w:rsidR="00040429" w:rsidRPr="002A6AB6" w:rsidRDefault="00040429" w:rsidP="00587700">
      <w:pPr>
        <w:ind w:left="567" w:hanging="567"/>
        <w:jc w:val="both"/>
        <w:outlineLvl w:val="0"/>
        <w:rPr>
          <w:sz w:val="22"/>
          <w:szCs w:val="22"/>
          <w:lang w:val="sr-Latn-ME" w:eastAsia="ja-JP"/>
        </w:rPr>
      </w:pPr>
      <w:r w:rsidRPr="002A6AB6">
        <w:rPr>
          <w:sz w:val="22"/>
          <w:szCs w:val="22"/>
          <w:lang w:val="sr-Latn-ME" w:eastAsia="ja-JP"/>
        </w:rPr>
        <w:sym w:font="Symbol" w:char="F0B7"/>
      </w:r>
      <w:r w:rsidRPr="002A6AB6">
        <w:rPr>
          <w:sz w:val="22"/>
          <w:szCs w:val="22"/>
          <w:lang w:val="sr-Latn-ME" w:eastAsia="ja-JP"/>
        </w:rPr>
        <w:tab/>
        <w:t xml:space="preserve">Dokazana je hemijska i fizička stabilnost </w:t>
      </w:r>
      <w:r w:rsidR="00687DF0" w:rsidRPr="002A6AB6">
        <w:rPr>
          <w:sz w:val="22"/>
          <w:szCs w:val="22"/>
          <w:lang w:val="sr-Latn-ME" w:eastAsia="ja-JP"/>
        </w:rPr>
        <w:t xml:space="preserve">lijeka prije </w:t>
      </w:r>
      <w:r w:rsidRPr="002A6AB6">
        <w:rPr>
          <w:sz w:val="22"/>
          <w:szCs w:val="22"/>
          <w:lang w:val="sr-Latn-ME" w:eastAsia="ja-JP"/>
        </w:rPr>
        <w:t>upotrebe tokom 30 dana na temperaturi</w:t>
      </w:r>
      <w:r w:rsidR="00687DF0" w:rsidRPr="002A6AB6">
        <w:rPr>
          <w:sz w:val="22"/>
          <w:szCs w:val="22"/>
          <w:lang w:val="sr-Latn-ME" w:eastAsia="ja-JP"/>
        </w:rPr>
        <w:t xml:space="preserve"> od</w:t>
      </w:r>
      <w:r w:rsidRPr="002A6AB6">
        <w:rPr>
          <w:sz w:val="22"/>
          <w:szCs w:val="22"/>
          <w:lang w:val="sr-Latn-ME" w:eastAsia="ja-JP"/>
        </w:rPr>
        <w:t xml:space="preserve"> 2°C do 8°C i dodatno tokom 8 sati na</w:t>
      </w:r>
      <w:r w:rsidR="00687DF0" w:rsidRPr="002A6AB6">
        <w:rPr>
          <w:sz w:val="22"/>
          <w:szCs w:val="22"/>
          <w:lang w:val="sr-Latn-ME" w:eastAsia="ja-JP"/>
        </w:rPr>
        <w:t xml:space="preserve"> temperaturi </w:t>
      </w:r>
      <w:r w:rsidRPr="002A6AB6">
        <w:rPr>
          <w:sz w:val="22"/>
          <w:szCs w:val="22"/>
          <w:lang w:val="sr-Latn-ME" w:eastAsia="ja-JP"/>
        </w:rPr>
        <w:t>≤30°C</w:t>
      </w:r>
      <w:r w:rsidR="00687DF0" w:rsidRPr="002A6AB6">
        <w:rPr>
          <w:sz w:val="22"/>
          <w:szCs w:val="22"/>
          <w:lang w:val="sr-Latn-ME" w:eastAsia="ja-JP"/>
        </w:rPr>
        <w:t>, nezaštićeno od svjetlosti</w:t>
      </w:r>
      <w:r w:rsidRPr="002A6AB6">
        <w:rPr>
          <w:sz w:val="22"/>
          <w:szCs w:val="22"/>
          <w:lang w:val="sr-Latn-ME" w:eastAsia="ja-JP"/>
        </w:rPr>
        <w:t>.</w:t>
      </w:r>
    </w:p>
    <w:p w14:paraId="3ED6F6BE" w14:textId="7BEA0E5F" w:rsidR="00040429" w:rsidRPr="002A6AB6" w:rsidRDefault="00040429" w:rsidP="00587700">
      <w:pPr>
        <w:ind w:left="567" w:hanging="567"/>
        <w:jc w:val="both"/>
        <w:outlineLvl w:val="0"/>
        <w:rPr>
          <w:sz w:val="22"/>
          <w:szCs w:val="22"/>
          <w:lang w:val="sr-Latn-ME" w:eastAsia="ja-JP"/>
        </w:rPr>
      </w:pPr>
      <w:r w:rsidRPr="002A6AB6">
        <w:rPr>
          <w:sz w:val="22"/>
          <w:szCs w:val="22"/>
          <w:lang w:val="sr-Latn-ME" w:eastAsia="ja-JP"/>
        </w:rPr>
        <w:sym w:font="Symbol" w:char="F0B7"/>
      </w:r>
      <w:r w:rsidRPr="002A6AB6">
        <w:rPr>
          <w:sz w:val="22"/>
          <w:szCs w:val="22"/>
          <w:lang w:val="sr-Latn-ME" w:eastAsia="ja-JP"/>
        </w:rPr>
        <w:tab/>
        <w:t xml:space="preserve">Sa mikrobiološke tačke gledišta, </w:t>
      </w:r>
      <w:r w:rsidR="00687DF0" w:rsidRPr="002A6AB6">
        <w:rPr>
          <w:sz w:val="22"/>
          <w:szCs w:val="22"/>
          <w:lang w:val="sr-Latn-ME" w:eastAsia="ja-JP"/>
        </w:rPr>
        <w:t>lijek treba upotrijebiti odmah kada se</w:t>
      </w:r>
      <w:r w:rsidRPr="002A6AB6">
        <w:rPr>
          <w:sz w:val="22"/>
          <w:szCs w:val="22"/>
          <w:lang w:val="sr-Latn-ME" w:eastAsia="ja-JP"/>
        </w:rPr>
        <w:t xml:space="preserve"> prebaci iz bočice u špric. Ukoliko se ne upotrijebi odmah, vrijeme i uslovi čuvanja</w:t>
      </w:r>
      <w:r w:rsidR="00687DF0" w:rsidRPr="002A6AB6">
        <w:rPr>
          <w:sz w:val="22"/>
          <w:szCs w:val="22"/>
          <w:lang w:val="sr-Latn-ME" w:eastAsia="ja-JP"/>
        </w:rPr>
        <w:t xml:space="preserve"> lijeka</w:t>
      </w:r>
      <w:r w:rsidRPr="002A6AB6">
        <w:rPr>
          <w:sz w:val="22"/>
          <w:szCs w:val="22"/>
          <w:lang w:val="sr-Latn-ME" w:eastAsia="ja-JP"/>
        </w:rPr>
        <w:t xml:space="preserve"> prije upotrebe odgovornost</w:t>
      </w:r>
      <w:r w:rsidR="00687DF0" w:rsidRPr="002A6AB6">
        <w:rPr>
          <w:sz w:val="22"/>
          <w:szCs w:val="22"/>
          <w:lang w:val="sr-Latn-ME" w:eastAsia="ja-JP"/>
        </w:rPr>
        <w:t xml:space="preserve"> su</w:t>
      </w:r>
      <w:r w:rsidRPr="002A6AB6">
        <w:rPr>
          <w:sz w:val="22"/>
          <w:szCs w:val="22"/>
          <w:lang w:val="sr-Latn-ME" w:eastAsia="ja-JP"/>
        </w:rPr>
        <w:t xml:space="preserve"> korisnika i </w:t>
      </w:r>
      <w:r w:rsidR="00687DF0" w:rsidRPr="002A6AB6">
        <w:rPr>
          <w:sz w:val="22"/>
          <w:szCs w:val="22"/>
          <w:lang w:val="sr-Latn-ME" w:eastAsia="ja-JP"/>
        </w:rPr>
        <w:t xml:space="preserve">isti </w:t>
      </w:r>
      <w:r w:rsidRPr="002A6AB6">
        <w:rPr>
          <w:sz w:val="22"/>
          <w:szCs w:val="22"/>
          <w:lang w:val="sr-Latn-ME" w:eastAsia="ja-JP"/>
        </w:rPr>
        <w:t>ne bi trebal</w:t>
      </w:r>
      <w:r w:rsidR="00284F15" w:rsidRPr="002A6AB6">
        <w:rPr>
          <w:sz w:val="22"/>
          <w:szCs w:val="22"/>
          <w:lang w:val="sr-Latn-ME" w:eastAsia="ja-JP"/>
        </w:rPr>
        <w:t>i</w:t>
      </w:r>
      <w:r w:rsidRPr="002A6AB6">
        <w:rPr>
          <w:sz w:val="22"/>
          <w:szCs w:val="22"/>
          <w:lang w:val="sr-Latn-ME" w:eastAsia="ja-JP"/>
        </w:rPr>
        <w:t xml:space="preserve"> da budu duži od 24 sata na </w:t>
      </w:r>
      <w:r w:rsidR="00687DF0" w:rsidRPr="002A6AB6">
        <w:rPr>
          <w:sz w:val="22"/>
          <w:szCs w:val="22"/>
          <w:lang w:val="sr-Latn-ME" w:eastAsia="ja-JP"/>
        </w:rPr>
        <w:t xml:space="preserve">temperaturi od </w:t>
      </w:r>
      <w:r w:rsidRPr="002A6AB6">
        <w:rPr>
          <w:sz w:val="22"/>
          <w:szCs w:val="22"/>
          <w:lang w:val="sr-Latn-ME" w:eastAsia="ja-JP"/>
        </w:rPr>
        <w:t xml:space="preserve">2°C do 8°C, osim ukoliko je </w:t>
      </w:r>
      <w:r w:rsidR="00687DF0" w:rsidRPr="002A6AB6">
        <w:rPr>
          <w:sz w:val="22"/>
          <w:szCs w:val="22"/>
          <w:lang w:val="sr-Latn-ME" w:eastAsia="ja-JP"/>
        </w:rPr>
        <w:t>priprema sprovedena</w:t>
      </w:r>
      <w:r w:rsidRPr="002A6AB6">
        <w:rPr>
          <w:sz w:val="22"/>
          <w:szCs w:val="22"/>
          <w:lang w:val="sr-Latn-ME" w:eastAsia="ja-JP"/>
        </w:rPr>
        <w:t xml:space="preserve"> u kontrolisanim i </w:t>
      </w:r>
      <w:proofErr w:type="spellStart"/>
      <w:r w:rsidR="00687DF0" w:rsidRPr="002A6AB6">
        <w:rPr>
          <w:sz w:val="22"/>
          <w:szCs w:val="22"/>
          <w:lang w:val="sr-Latn-ME" w:eastAsia="ja-JP"/>
        </w:rPr>
        <w:t>validiranim</w:t>
      </w:r>
      <w:proofErr w:type="spellEnd"/>
      <w:r w:rsidR="00687DF0" w:rsidRPr="002A6AB6">
        <w:rPr>
          <w:sz w:val="22"/>
          <w:szCs w:val="22"/>
          <w:lang w:val="sr-Latn-ME" w:eastAsia="ja-JP"/>
        </w:rPr>
        <w:t xml:space="preserve"> </w:t>
      </w:r>
      <w:r w:rsidRPr="002A6AB6">
        <w:rPr>
          <w:sz w:val="22"/>
          <w:szCs w:val="22"/>
          <w:lang w:val="sr-Latn-ME" w:eastAsia="ja-JP"/>
        </w:rPr>
        <w:t xml:space="preserve">aseptičnim uslovima. </w:t>
      </w:r>
    </w:p>
    <w:p w14:paraId="57C49AD5" w14:textId="77777777" w:rsidR="00040429" w:rsidRPr="002A6AB6" w:rsidRDefault="00040429" w:rsidP="00587700">
      <w:pPr>
        <w:tabs>
          <w:tab w:val="left" w:pos="540"/>
          <w:tab w:val="left" w:pos="569"/>
        </w:tabs>
        <w:jc w:val="both"/>
        <w:rPr>
          <w:bCs/>
          <w:sz w:val="22"/>
          <w:szCs w:val="22"/>
          <w:lang w:val="sr-Latn-ME"/>
        </w:rPr>
      </w:pPr>
    </w:p>
    <w:p w14:paraId="2C74C5FB" w14:textId="77777777" w:rsidR="0072020E" w:rsidRPr="002A6AB6" w:rsidRDefault="0072020E" w:rsidP="00587700">
      <w:pPr>
        <w:tabs>
          <w:tab w:val="left" w:pos="540"/>
          <w:tab w:val="left" w:pos="569"/>
        </w:tabs>
        <w:jc w:val="both"/>
        <w:rPr>
          <w:b/>
          <w:bCs/>
          <w:sz w:val="22"/>
          <w:szCs w:val="22"/>
          <w:lang w:val="sr-Latn-ME"/>
        </w:rPr>
      </w:pPr>
      <w:r w:rsidRPr="002A6AB6">
        <w:rPr>
          <w:b/>
          <w:bCs/>
          <w:sz w:val="22"/>
          <w:szCs w:val="22"/>
          <w:lang w:val="sr-Latn-ME"/>
        </w:rPr>
        <w:t xml:space="preserve">6.4. </w:t>
      </w:r>
      <w:r w:rsidR="00480FB1" w:rsidRPr="002A6AB6">
        <w:rPr>
          <w:b/>
          <w:bCs/>
          <w:sz w:val="22"/>
          <w:szCs w:val="22"/>
          <w:lang w:val="sr-Latn-ME"/>
        </w:rPr>
        <w:tab/>
      </w:r>
      <w:r w:rsidRPr="002A6AB6">
        <w:rPr>
          <w:b/>
          <w:bCs/>
          <w:sz w:val="22"/>
          <w:szCs w:val="22"/>
          <w:lang w:val="sr-Latn-ME"/>
        </w:rPr>
        <w:t>Posebne mjere upozorenja pri čuvanju</w:t>
      </w:r>
      <w:r w:rsidR="00F8570A" w:rsidRPr="002A6AB6">
        <w:rPr>
          <w:b/>
          <w:bCs/>
          <w:sz w:val="22"/>
          <w:szCs w:val="22"/>
          <w:lang w:val="sr-Latn-ME"/>
        </w:rPr>
        <w:t xml:space="preserve"> lijeka</w:t>
      </w:r>
    </w:p>
    <w:p w14:paraId="16DBF78B" w14:textId="77777777" w:rsidR="00EC2532" w:rsidRPr="002A6AB6" w:rsidRDefault="00EC2532" w:rsidP="00587700">
      <w:pPr>
        <w:tabs>
          <w:tab w:val="left" w:pos="540"/>
          <w:tab w:val="left" w:pos="569"/>
        </w:tabs>
        <w:jc w:val="both"/>
        <w:rPr>
          <w:bCs/>
          <w:sz w:val="22"/>
          <w:szCs w:val="22"/>
          <w:lang w:val="sr-Latn-ME"/>
        </w:rPr>
      </w:pPr>
    </w:p>
    <w:p w14:paraId="0FB43C4E" w14:textId="04B76EC5" w:rsidR="00040429" w:rsidRPr="002A6AB6" w:rsidRDefault="00040429" w:rsidP="00587700">
      <w:pPr>
        <w:tabs>
          <w:tab w:val="left" w:pos="567"/>
        </w:tabs>
        <w:jc w:val="both"/>
        <w:rPr>
          <w:sz w:val="22"/>
          <w:szCs w:val="22"/>
          <w:lang w:val="sr-Latn-ME"/>
        </w:rPr>
      </w:pPr>
      <w:r w:rsidRPr="002A6AB6">
        <w:rPr>
          <w:sz w:val="22"/>
          <w:szCs w:val="22"/>
          <w:lang w:val="sr-Latn-ME"/>
        </w:rPr>
        <w:t xml:space="preserve">Čuvati u frižideru (na temperaturi od 2°C do 8°C). </w:t>
      </w:r>
    </w:p>
    <w:p w14:paraId="107A47A4" w14:textId="77777777" w:rsidR="00040429" w:rsidRPr="002A6AB6" w:rsidRDefault="00040429" w:rsidP="00587700">
      <w:pPr>
        <w:jc w:val="both"/>
        <w:rPr>
          <w:sz w:val="22"/>
          <w:szCs w:val="22"/>
          <w:lang w:val="sr-Latn-ME" w:eastAsia="ja-JP"/>
        </w:rPr>
      </w:pPr>
      <w:r w:rsidRPr="002A6AB6">
        <w:rPr>
          <w:sz w:val="22"/>
          <w:szCs w:val="22"/>
          <w:lang w:val="sr-Latn-ME" w:eastAsia="ja-JP"/>
        </w:rPr>
        <w:t xml:space="preserve">Ne zamrzavati. Ne mućkati. </w:t>
      </w:r>
    </w:p>
    <w:p w14:paraId="3E1B271C" w14:textId="0C213604" w:rsidR="00040429" w:rsidRPr="002A6AB6" w:rsidRDefault="00040429" w:rsidP="00587700">
      <w:pPr>
        <w:jc w:val="both"/>
        <w:rPr>
          <w:sz w:val="22"/>
          <w:szCs w:val="22"/>
          <w:lang w:val="sr-Latn-ME" w:eastAsia="ja-JP"/>
        </w:rPr>
      </w:pPr>
      <w:r w:rsidRPr="002A6AB6">
        <w:rPr>
          <w:sz w:val="22"/>
          <w:szCs w:val="22"/>
          <w:lang w:val="sr-Latn-ME" w:eastAsia="ja-JP"/>
        </w:rPr>
        <w:t>Bočicu čuvati u spoljašnjem pakovanju radi zaštite od sv</w:t>
      </w:r>
      <w:r w:rsidR="00687DF0" w:rsidRPr="002A6AB6">
        <w:rPr>
          <w:sz w:val="22"/>
          <w:szCs w:val="22"/>
          <w:lang w:val="sr-Latn-ME" w:eastAsia="ja-JP"/>
        </w:rPr>
        <w:t>j</w:t>
      </w:r>
      <w:r w:rsidRPr="002A6AB6">
        <w:rPr>
          <w:sz w:val="22"/>
          <w:szCs w:val="22"/>
          <w:lang w:val="sr-Latn-ME" w:eastAsia="ja-JP"/>
        </w:rPr>
        <w:t xml:space="preserve">etlosti. </w:t>
      </w:r>
    </w:p>
    <w:p w14:paraId="32B8306B" w14:textId="77777777" w:rsidR="00040429" w:rsidRPr="002A6AB6" w:rsidRDefault="00040429" w:rsidP="00587700">
      <w:pPr>
        <w:jc w:val="both"/>
        <w:rPr>
          <w:sz w:val="22"/>
          <w:szCs w:val="22"/>
          <w:lang w:val="sr-Latn-ME" w:eastAsia="ja-JP"/>
        </w:rPr>
      </w:pPr>
    </w:p>
    <w:p w14:paraId="5F264B24" w14:textId="38AD20BD" w:rsidR="00040429" w:rsidRPr="002A6AB6" w:rsidRDefault="00687DF0" w:rsidP="00587700">
      <w:pPr>
        <w:jc w:val="both"/>
        <w:rPr>
          <w:sz w:val="22"/>
          <w:szCs w:val="22"/>
          <w:lang w:val="sr-Latn-ME" w:eastAsia="ja-JP"/>
        </w:rPr>
      </w:pPr>
      <w:r w:rsidRPr="002A6AB6">
        <w:rPr>
          <w:sz w:val="22"/>
          <w:szCs w:val="22"/>
          <w:lang w:val="sr-Latn-ME" w:eastAsia="ja-JP"/>
        </w:rPr>
        <w:t>Ukoliko postoji potreba</w:t>
      </w:r>
      <w:r w:rsidR="00040429" w:rsidRPr="002A6AB6">
        <w:rPr>
          <w:sz w:val="22"/>
          <w:szCs w:val="22"/>
          <w:lang w:val="sr-Latn-ME" w:eastAsia="ja-JP"/>
        </w:rPr>
        <w:t xml:space="preserve">, </w:t>
      </w:r>
      <w:proofErr w:type="spellStart"/>
      <w:r w:rsidR="00040429" w:rsidRPr="002A6AB6">
        <w:rPr>
          <w:sz w:val="22"/>
          <w:szCs w:val="22"/>
          <w:lang w:val="sr-Latn-ME" w:eastAsia="ja-JP"/>
        </w:rPr>
        <w:t>neotvorena</w:t>
      </w:r>
      <w:proofErr w:type="spellEnd"/>
      <w:r w:rsidR="00040429" w:rsidRPr="002A6AB6">
        <w:rPr>
          <w:sz w:val="22"/>
          <w:szCs w:val="22"/>
          <w:lang w:val="sr-Latn-ME" w:eastAsia="ja-JP"/>
        </w:rPr>
        <w:t xml:space="preserve"> bočica </w:t>
      </w:r>
      <w:r w:rsidRPr="002A6AB6">
        <w:rPr>
          <w:sz w:val="22"/>
          <w:szCs w:val="22"/>
          <w:lang w:val="sr-Latn-ME" w:eastAsia="ja-JP"/>
        </w:rPr>
        <w:t xml:space="preserve">se </w:t>
      </w:r>
      <w:r w:rsidR="00040429" w:rsidRPr="002A6AB6">
        <w:rPr>
          <w:sz w:val="22"/>
          <w:szCs w:val="22"/>
          <w:lang w:val="sr-Latn-ME" w:eastAsia="ja-JP"/>
        </w:rPr>
        <w:t>može čuvati van frižidera na temperaturi ≤25°C do 12 sati.</w:t>
      </w:r>
    </w:p>
    <w:p w14:paraId="5B1D8EDA" w14:textId="77777777" w:rsidR="00040429" w:rsidRPr="002A6AB6" w:rsidRDefault="00040429" w:rsidP="00587700">
      <w:pPr>
        <w:jc w:val="both"/>
        <w:rPr>
          <w:sz w:val="22"/>
          <w:szCs w:val="22"/>
          <w:lang w:val="sr-Latn-ME" w:eastAsia="ja-JP"/>
        </w:rPr>
      </w:pPr>
    </w:p>
    <w:p w14:paraId="17FE14D1" w14:textId="4328BED5" w:rsidR="00040429" w:rsidRPr="002A6AB6" w:rsidRDefault="00040429" w:rsidP="00587700">
      <w:pPr>
        <w:jc w:val="both"/>
        <w:rPr>
          <w:sz w:val="22"/>
          <w:szCs w:val="22"/>
          <w:lang w:val="sr-Latn-ME" w:eastAsia="ja-JP"/>
        </w:rPr>
      </w:pPr>
      <w:r w:rsidRPr="002A6AB6">
        <w:rPr>
          <w:sz w:val="22"/>
          <w:szCs w:val="22"/>
          <w:lang w:val="sr-Latn-ME" w:eastAsia="ja-JP"/>
        </w:rPr>
        <w:t xml:space="preserve">Bočice se mogu izvaditi i </w:t>
      </w:r>
      <w:r w:rsidR="00687DF0" w:rsidRPr="002A6AB6">
        <w:rPr>
          <w:sz w:val="22"/>
          <w:szCs w:val="22"/>
          <w:lang w:val="sr-Latn-ME" w:eastAsia="ja-JP"/>
        </w:rPr>
        <w:t xml:space="preserve">ponovo </w:t>
      </w:r>
      <w:r w:rsidRPr="002A6AB6">
        <w:rPr>
          <w:sz w:val="22"/>
          <w:szCs w:val="22"/>
          <w:lang w:val="sr-Latn-ME" w:eastAsia="ja-JP"/>
        </w:rPr>
        <w:t>vratiti u frižider</w:t>
      </w:r>
      <w:r w:rsidR="00687DF0" w:rsidRPr="002A6AB6">
        <w:rPr>
          <w:sz w:val="22"/>
          <w:szCs w:val="22"/>
          <w:lang w:val="sr-Latn-ME" w:eastAsia="ja-JP"/>
        </w:rPr>
        <w:t>, s tim</w:t>
      </w:r>
      <w:r w:rsidRPr="002A6AB6">
        <w:rPr>
          <w:sz w:val="22"/>
          <w:szCs w:val="22"/>
          <w:lang w:val="sr-Latn-ME" w:eastAsia="ja-JP"/>
        </w:rPr>
        <w:t xml:space="preserve"> da ukupno vrijeme čuvanja </w:t>
      </w:r>
      <w:proofErr w:type="spellStart"/>
      <w:r w:rsidRPr="002A6AB6">
        <w:rPr>
          <w:sz w:val="22"/>
          <w:szCs w:val="22"/>
          <w:lang w:val="sr-Latn-ME" w:eastAsia="ja-JP"/>
        </w:rPr>
        <w:t>neotvorene</w:t>
      </w:r>
      <w:proofErr w:type="spellEnd"/>
      <w:r w:rsidRPr="002A6AB6">
        <w:rPr>
          <w:sz w:val="22"/>
          <w:szCs w:val="22"/>
          <w:lang w:val="sr-Latn-ME" w:eastAsia="ja-JP"/>
        </w:rPr>
        <w:t xml:space="preserve"> bočice van frižidera ne bude duže od 12 sati na temperaturi ≤25°C.   </w:t>
      </w:r>
    </w:p>
    <w:p w14:paraId="097164AE" w14:textId="77777777" w:rsidR="00040429" w:rsidRPr="002A6AB6" w:rsidRDefault="00040429" w:rsidP="00587700">
      <w:pPr>
        <w:jc w:val="both"/>
        <w:rPr>
          <w:sz w:val="22"/>
          <w:szCs w:val="22"/>
          <w:lang w:val="sr-Latn-ME" w:eastAsia="ja-JP"/>
        </w:rPr>
      </w:pPr>
    </w:p>
    <w:p w14:paraId="5E301704" w14:textId="77777777" w:rsidR="00040429" w:rsidRPr="002A6AB6" w:rsidRDefault="00040429" w:rsidP="00587700">
      <w:pPr>
        <w:jc w:val="both"/>
        <w:rPr>
          <w:sz w:val="22"/>
          <w:szCs w:val="22"/>
          <w:lang w:val="sr-Latn-ME" w:eastAsia="ja-JP"/>
        </w:rPr>
      </w:pPr>
      <w:r w:rsidRPr="002A6AB6">
        <w:rPr>
          <w:sz w:val="22"/>
          <w:szCs w:val="22"/>
          <w:lang w:val="sr-Latn-ME" w:eastAsia="ja-JP"/>
        </w:rPr>
        <w:t xml:space="preserve">Za uslove čuvanja </w:t>
      </w:r>
      <w:r w:rsidR="00687DF0" w:rsidRPr="002A6AB6">
        <w:rPr>
          <w:sz w:val="22"/>
          <w:szCs w:val="22"/>
          <w:lang w:val="sr-Latn-ME" w:eastAsia="ja-JP"/>
        </w:rPr>
        <w:t xml:space="preserve">lijeka </w:t>
      </w:r>
      <w:r w:rsidRPr="002A6AB6">
        <w:rPr>
          <w:sz w:val="22"/>
          <w:szCs w:val="22"/>
          <w:lang w:val="sr-Latn-ME" w:eastAsia="ja-JP"/>
        </w:rPr>
        <w:t>nakon pripreme šprica</w:t>
      </w:r>
      <w:r w:rsidR="00687DF0" w:rsidRPr="002A6AB6">
        <w:rPr>
          <w:sz w:val="22"/>
          <w:szCs w:val="22"/>
          <w:lang w:val="sr-Latn-ME" w:eastAsia="ja-JP"/>
        </w:rPr>
        <w:t>,</w:t>
      </w:r>
      <w:r w:rsidRPr="002A6AB6">
        <w:rPr>
          <w:sz w:val="22"/>
          <w:szCs w:val="22"/>
          <w:lang w:val="sr-Latn-ME" w:eastAsia="ja-JP"/>
        </w:rPr>
        <w:t xml:space="preserve"> vidjeti </w:t>
      </w:r>
      <w:r w:rsidR="00ED0D01" w:rsidRPr="002A6AB6">
        <w:rPr>
          <w:sz w:val="22"/>
          <w:szCs w:val="22"/>
          <w:lang w:val="sr-Latn-ME" w:eastAsia="ja-JP"/>
        </w:rPr>
        <w:t xml:space="preserve">dio </w:t>
      </w:r>
      <w:r w:rsidRPr="002A6AB6">
        <w:rPr>
          <w:sz w:val="22"/>
          <w:szCs w:val="22"/>
          <w:lang w:val="sr-Latn-ME" w:eastAsia="ja-JP"/>
        </w:rPr>
        <w:t>6.3.</w:t>
      </w:r>
    </w:p>
    <w:p w14:paraId="75EFC9F1" w14:textId="77777777" w:rsidR="00040429" w:rsidRPr="002A6AB6" w:rsidRDefault="00040429" w:rsidP="00587700">
      <w:pPr>
        <w:tabs>
          <w:tab w:val="left" w:pos="540"/>
          <w:tab w:val="left" w:pos="569"/>
        </w:tabs>
        <w:jc w:val="both"/>
        <w:rPr>
          <w:bCs/>
          <w:sz w:val="22"/>
          <w:szCs w:val="22"/>
          <w:lang w:val="sr-Latn-ME"/>
        </w:rPr>
      </w:pPr>
    </w:p>
    <w:p w14:paraId="0B232C6C" w14:textId="77777777" w:rsidR="0072020E" w:rsidRPr="002A6AB6" w:rsidRDefault="0072020E" w:rsidP="00587700">
      <w:pPr>
        <w:tabs>
          <w:tab w:val="left" w:pos="540"/>
          <w:tab w:val="left" w:pos="569"/>
        </w:tabs>
        <w:jc w:val="both"/>
        <w:rPr>
          <w:b/>
          <w:bCs/>
          <w:sz w:val="22"/>
          <w:szCs w:val="22"/>
          <w:lang w:val="sr-Latn-ME"/>
        </w:rPr>
      </w:pPr>
      <w:r w:rsidRPr="002A6AB6">
        <w:rPr>
          <w:b/>
          <w:bCs/>
          <w:sz w:val="22"/>
          <w:szCs w:val="22"/>
          <w:lang w:val="sr-Latn-ME"/>
        </w:rPr>
        <w:t xml:space="preserve">6.5. </w:t>
      </w:r>
      <w:r w:rsidR="00480FB1" w:rsidRPr="002A6AB6">
        <w:rPr>
          <w:b/>
          <w:bCs/>
          <w:sz w:val="22"/>
          <w:szCs w:val="22"/>
          <w:lang w:val="sr-Latn-ME"/>
        </w:rPr>
        <w:tab/>
      </w:r>
      <w:r w:rsidR="002846DB" w:rsidRPr="002A6AB6">
        <w:rPr>
          <w:b/>
          <w:bCs/>
          <w:sz w:val="22"/>
          <w:szCs w:val="22"/>
          <w:lang w:val="sr-Latn-ME"/>
        </w:rPr>
        <w:t xml:space="preserve">Vrsta i sadržaj </w:t>
      </w:r>
      <w:r w:rsidR="00F8570A" w:rsidRPr="002A6AB6">
        <w:rPr>
          <w:b/>
          <w:bCs/>
          <w:sz w:val="22"/>
          <w:szCs w:val="22"/>
          <w:lang w:val="sr-Latn-ME"/>
        </w:rPr>
        <w:t>pakovanja</w:t>
      </w:r>
      <w:r w:rsidR="00C06864" w:rsidRPr="002A6AB6">
        <w:rPr>
          <w:b/>
          <w:bCs/>
          <w:sz w:val="22"/>
          <w:szCs w:val="22"/>
          <w:lang w:val="sr-Latn-ME"/>
        </w:rPr>
        <w:t xml:space="preserve"> </w:t>
      </w:r>
    </w:p>
    <w:p w14:paraId="5F6BE71A" w14:textId="77777777" w:rsidR="0072020E" w:rsidRPr="002A6AB6" w:rsidRDefault="0072020E" w:rsidP="00587700">
      <w:pPr>
        <w:tabs>
          <w:tab w:val="left" w:pos="540"/>
          <w:tab w:val="left" w:pos="569"/>
        </w:tabs>
        <w:jc w:val="both"/>
        <w:rPr>
          <w:bCs/>
          <w:sz w:val="22"/>
          <w:szCs w:val="22"/>
          <w:lang w:val="sr-Latn-ME"/>
        </w:rPr>
      </w:pPr>
    </w:p>
    <w:p w14:paraId="498DAF4E" w14:textId="0D2DC2AE" w:rsidR="00040429" w:rsidRPr="002A6AB6" w:rsidRDefault="004421B3" w:rsidP="00587700">
      <w:pPr>
        <w:jc w:val="both"/>
        <w:rPr>
          <w:sz w:val="22"/>
          <w:szCs w:val="22"/>
          <w:lang w:val="sr-Latn-ME" w:eastAsia="ja-JP"/>
        </w:rPr>
      </w:pPr>
      <w:r w:rsidRPr="002A6AB6">
        <w:rPr>
          <w:sz w:val="22"/>
          <w:szCs w:val="22"/>
          <w:lang w:val="sr-Latn-ME" w:eastAsia="ja-JP"/>
        </w:rPr>
        <w:t xml:space="preserve">Unutrašnje pakovanje lijeka je bočica od bezbojnog stakla tipa I zatvorena gumenim čepom i aluminijumskim zatvaračem sa plastičnom </w:t>
      </w:r>
      <w:proofErr w:type="spellStart"/>
      <w:r w:rsidRPr="002A6AB6">
        <w:rPr>
          <w:i/>
          <w:sz w:val="22"/>
          <w:szCs w:val="22"/>
          <w:lang w:val="sr-Latn-ME" w:eastAsia="ja-JP"/>
        </w:rPr>
        <w:t>flip-off</w:t>
      </w:r>
      <w:proofErr w:type="spellEnd"/>
      <w:r w:rsidRPr="002A6AB6">
        <w:rPr>
          <w:sz w:val="22"/>
          <w:szCs w:val="22"/>
          <w:lang w:val="sr-Latn-ME" w:eastAsia="ja-JP"/>
        </w:rPr>
        <w:t xml:space="preserve"> kapicom, koja sadrži </w:t>
      </w:r>
      <w:r w:rsidR="00040429" w:rsidRPr="002A6AB6">
        <w:rPr>
          <w:sz w:val="22"/>
          <w:szCs w:val="22"/>
          <w:lang w:val="sr-Latn-ME" w:eastAsia="ja-JP"/>
        </w:rPr>
        <w:t>23 ml rastvora za injekciju</w:t>
      </w:r>
      <w:r w:rsidRPr="002A6AB6">
        <w:rPr>
          <w:sz w:val="22"/>
          <w:szCs w:val="22"/>
          <w:lang w:val="sr-Latn-ME" w:eastAsia="ja-JP"/>
        </w:rPr>
        <w:t>.</w:t>
      </w:r>
    </w:p>
    <w:p w14:paraId="5B8B1B86" w14:textId="77777777" w:rsidR="004421B3" w:rsidRPr="002A6AB6" w:rsidRDefault="004421B3" w:rsidP="00587700">
      <w:pPr>
        <w:tabs>
          <w:tab w:val="left" w:pos="540"/>
          <w:tab w:val="left" w:pos="569"/>
        </w:tabs>
        <w:jc w:val="both"/>
        <w:rPr>
          <w:sz w:val="22"/>
          <w:szCs w:val="22"/>
          <w:lang w:val="sr-Latn-ME" w:eastAsia="ja-JP"/>
        </w:rPr>
      </w:pPr>
    </w:p>
    <w:p w14:paraId="02ABDBDE" w14:textId="193E4C4F" w:rsidR="00040429" w:rsidRPr="002A6AB6" w:rsidRDefault="004421B3" w:rsidP="00587700">
      <w:pPr>
        <w:tabs>
          <w:tab w:val="left" w:pos="540"/>
          <w:tab w:val="left" w:pos="569"/>
        </w:tabs>
        <w:jc w:val="both"/>
        <w:rPr>
          <w:bCs/>
          <w:sz w:val="22"/>
          <w:szCs w:val="22"/>
          <w:lang w:val="sr-Latn-ME"/>
        </w:rPr>
      </w:pPr>
      <w:r w:rsidRPr="002A6AB6">
        <w:rPr>
          <w:sz w:val="22"/>
          <w:szCs w:val="22"/>
          <w:lang w:val="sr-Latn-ME" w:eastAsia="ja-JP"/>
        </w:rPr>
        <w:t>Spoljašnje p</w:t>
      </w:r>
      <w:r w:rsidR="00040429" w:rsidRPr="002A6AB6">
        <w:rPr>
          <w:sz w:val="22"/>
          <w:szCs w:val="22"/>
          <w:lang w:val="sr-Latn-ME" w:eastAsia="ja-JP"/>
        </w:rPr>
        <w:t xml:space="preserve">akovanje </w:t>
      </w:r>
      <w:r w:rsidRPr="002A6AB6">
        <w:rPr>
          <w:sz w:val="22"/>
          <w:szCs w:val="22"/>
          <w:lang w:val="sr-Latn-ME" w:eastAsia="ja-JP"/>
        </w:rPr>
        <w:t xml:space="preserve">lijeka </w:t>
      </w:r>
      <w:r w:rsidR="00284F15" w:rsidRPr="002A6AB6">
        <w:rPr>
          <w:sz w:val="22"/>
          <w:szCs w:val="22"/>
          <w:lang w:val="sr-Latn-ME" w:eastAsia="ja-JP"/>
        </w:rPr>
        <w:t xml:space="preserve">je </w:t>
      </w:r>
      <w:proofErr w:type="spellStart"/>
      <w:r w:rsidR="00284F15" w:rsidRPr="002A6AB6">
        <w:rPr>
          <w:sz w:val="22"/>
          <w:szCs w:val="22"/>
          <w:lang w:val="sr-Latn-ME" w:eastAsia="ja-JP"/>
        </w:rPr>
        <w:t>složiva</w:t>
      </w:r>
      <w:proofErr w:type="spellEnd"/>
      <w:r w:rsidR="00284F15" w:rsidRPr="002A6AB6">
        <w:rPr>
          <w:sz w:val="22"/>
          <w:szCs w:val="22"/>
          <w:lang w:val="sr-Latn-ME" w:eastAsia="ja-JP"/>
        </w:rPr>
        <w:t xml:space="preserve"> kartonska kutija koja </w:t>
      </w:r>
      <w:r w:rsidR="00040429" w:rsidRPr="002A6AB6">
        <w:rPr>
          <w:sz w:val="22"/>
          <w:szCs w:val="22"/>
          <w:lang w:val="sr-Latn-ME" w:eastAsia="ja-JP"/>
        </w:rPr>
        <w:t>sadrži 1 bočicu</w:t>
      </w:r>
      <w:r w:rsidRPr="002A6AB6">
        <w:rPr>
          <w:sz w:val="22"/>
          <w:szCs w:val="22"/>
          <w:lang w:val="sr-Latn-ME" w:eastAsia="ja-JP"/>
        </w:rPr>
        <w:t xml:space="preserve"> i Uputstvo za lijek.</w:t>
      </w:r>
      <w:r w:rsidR="00040429" w:rsidRPr="002A6AB6">
        <w:rPr>
          <w:sz w:val="22"/>
          <w:szCs w:val="22"/>
          <w:lang w:val="sr-Latn-ME" w:eastAsia="ja-JP"/>
        </w:rPr>
        <w:t xml:space="preserve">   </w:t>
      </w:r>
    </w:p>
    <w:p w14:paraId="161E949D" w14:textId="77777777" w:rsidR="00040429" w:rsidRPr="002A6AB6" w:rsidRDefault="00040429" w:rsidP="00587700">
      <w:pPr>
        <w:tabs>
          <w:tab w:val="left" w:pos="540"/>
          <w:tab w:val="left" w:pos="569"/>
        </w:tabs>
        <w:jc w:val="both"/>
        <w:rPr>
          <w:bCs/>
          <w:sz w:val="22"/>
          <w:szCs w:val="22"/>
          <w:lang w:val="sr-Latn-ME"/>
        </w:rPr>
      </w:pPr>
    </w:p>
    <w:p w14:paraId="2E381106" w14:textId="77777777" w:rsidR="002846DB" w:rsidRPr="002A6AB6" w:rsidRDefault="0072020E" w:rsidP="00587700">
      <w:pPr>
        <w:tabs>
          <w:tab w:val="left" w:pos="540"/>
          <w:tab w:val="left" w:pos="569"/>
        </w:tabs>
        <w:jc w:val="both"/>
        <w:rPr>
          <w:b/>
          <w:bCs/>
          <w:sz w:val="22"/>
          <w:szCs w:val="22"/>
          <w:lang w:val="sr-Latn-ME"/>
        </w:rPr>
      </w:pPr>
      <w:r w:rsidRPr="002A6AB6">
        <w:rPr>
          <w:b/>
          <w:bCs/>
          <w:sz w:val="22"/>
          <w:szCs w:val="22"/>
          <w:lang w:val="sr-Latn-ME"/>
        </w:rPr>
        <w:lastRenderedPageBreak/>
        <w:t xml:space="preserve">6.6. </w:t>
      </w:r>
      <w:r w:rsidR="00480FB1" w:rsidRPr="002A6AB6">
        <w:rPr>
          <w:b/>
          <w:bCs/>
          <w:sz w:val="22"/>
          <w:szCs w:val="22"/>
          <w:lang w:val="sr-Latn-ME"/>
        </w:rPr>
        <w:tab/>
      </w:r>
      <w:r w:rsidRPr="002A6AB6">
        <w:rPr>
          <w:b/>
          <w:bCs/>
          <w:color w:val="000000"/>
          <w:sz w:val="22"/>
          <w:szCs w:val="22"/>
          <w:lang w:val="sr-Latn-ME"/>
        </w:rPr>
        <w:t>Posebne mjere opreza pri odlaganju materijala koji treba odbaciti nakon primjene lijeka</w:t>
      </w:r>
      <w:r w:rsidRPr="002A6AB6">
        <w:rPr>
          <w:b/>
          <w:bCs/>
          <w:sz w:val="22"/>
          <w:szCs w:val="22"/>
          <w:lang w:val="sr-Latn-ME"/>
        </w:rPr>
        <w:t xml:space="preserve"> </w:t>
      </w:r>
      <w:r w:rsidR="00310F03" w:rsidRPr="002A6AB6">
        <w:rPr>
          <w:b/>
          <w:bCs/>
          <w:sz w:val="22"/>
          <w:szCs w:val="22"/>
          <w:lang w:val="sr-Latn-ME"/>
        </w:rPr>
        <w:t>(i druga uputs</w:t>
      </w:r>
      <w:r w:rsidR="004109FA" w:rsidRPr="002A6AB6">
        <w:rPr>
          <w:b/>
          <w:bCs/>
          <w:sz w:val="22"/>
          <w:szCs w:val="22"/>
          <w:lang w:val="sr-Latn-ME"/>
        </w:rPr>
        <w:t>t</w:t>
      </w:r>
      <w:r w:rsidR="00310F03" w:rsidRPr="002A6AB6">
        <w:rPr>
          <w:b/>
          <w:bCs/>
          <w:sz w:val="22"/>
          <w:szCs w:val="22"/>
          <w:lang w:val="sr-Latn-ME"/>
        </w:rPr>
        <w:t xml:space="preserve">va za rukovanje lijekom) </w:t>
      </w:r>
    </w:p>
    <w:p w14:paraId="37F1D052" w14:textId="77777777" w:rsidR="00B66A70" w:rsidRPr="002A6AB6" w:rsidRDefault="00B66A70" w:rsidP="00587700">
      <w:pPr>
        <w:tabs>
          <w:tab w:val="left" w:pos="540"/>
          <w:tab w:val="left" w:pos="569"/>
        </w:tabs>
        <w:jc w:val="both"/>
        <w:rPr>
          <w:b/>
          <w:bCs/>
          <w:sz w:val="22"/>
          <w:szCs w:val="22"/>
          <w:lang w:val="sr-Latn-ME"/>
        </w:rPr>
      </w:pPr>
    </w:p>
    <w:p w14:paraId="52D1BC05" w14:textId="376D1FC4" w:rsidR="00040429" w:rsidRPr="002A6AB6" w:rsidRDefault="00284F15" w:rsidP="00587700">
      <w:pPr>
        <w:tabs>
          <w:tab w:val="left" w:pos="540"/>
          <w:tab w:val="left" w:pos="569"/>
        </w:tabs>
        <w:jc w:val="both"/>
        <w:rPr>
          <w:bCs/>
          <w:sz w:val="22"/>
          <w:szCs w:val="22"/>
          <w:lang w:val="sr-Latn-ME"/>
        </w:rPr>
      </w:pPr>
      <w:r w:rsidRPr="002A6AB6">
        <w:rPr>
          <w:bCs/>
          <w:sz w:val="22"/>
          <w:szCs w:val="22"/>
          <w:lang w:val="sr-Latn-ME"/>
        </w:rPr>
        <w:t>Prije primjene, l</w:t>
      </w:r>
      <w:r w:rsidR="00040429" w:rsidRPr="002A6AB6">
        <w:rPr>
          <w:bCs/>
          <w:sz w:val="22"/>
          <w:szCs w:val="22"/>
          <w:lang w:val="sr-Latn-ME"/>
        </w:rPr>
        <w:t xml:space="preserve">ijek treba vizuelno pregledati kako bi se </w:t>
      </w:r>
      <w:r w:rsidRPr="002A6AB6">
        <w:rPr>
          <w:bCs/>
          <w:sz w:val="22"/>
          <w:szCs w:val="22"/>
          <w:lang w:val="sr-Latn-ME"/>
        </w:rPr>
        <w:t>osiguralo da nema</w:t>
      </w:r>
      <w:r w:rsidR="00040429" w:rsidRPr="002A6AB6">
        <w:rPr>
          <w:bCs/>
          <w:sz w:val="22"/>
          <w:szCs w:val="22"/>
          <w:lang w:val="sr-Latn-ME"/>
        </w:rPr>
        <w:t xml:space="preserve"> čestica </w:t>
      </w:r>
      <w:r w:rsidRPr="002A6AB6">
        <w:rPr>
          <w:bCs/>
          <w:sz w:val="22"/>
          <w:szCs w:val="22"/>
          <w:lang w:val="sr-Latn-ME"/>
        </w:rPr>
        <w:t>niti</w:t>
      </w:r>
      <w:r w:rsidR="00151BB4" w:rsidRPr="002A6AB6">
        <w:rPr>
          <w:bCs/>
          <w:sz w:val="22"/>
          <w:szCs w:val="22"/>
          <w:lang w:val="sr-Latn-ME"/>
        </w:rPr>
        <w:t xml:space="preserve"> prom</w:t>
      </w:r>
      <w:r w:rsidRPr="002A6AB6">
        <w:rPr>
          <w:bCs/>
          <w:sz w:val="22"/>
          <w:szCs w:val="22"/>
          <w:lang w:val="sr-Latn-ME"/>
        </w:rPr>
        <w:t>jene boje</w:t>
      </w:r>
      <w:r w:rsidR="00040429" w:rsidRPr="002A6AB6">
        <w:rPr>
          <w:bCs/>
          <w:sz w:val="22"/>
          <w:szCs w:val="22"/>
          <w:lang w:val="sr-Latn-ME"/>
        </w:rPr>
        <w:t>.</w:t>
      </w:r>
    </w:p>
    <w:p w14:paraId="5326EAAD" w14:textId="77777777" w:rsidR="00040429" w:rsidRPr="002A6AB6" w:rsidRDefault="00040429" w:rsidP="00587700">
      <w:pPr>
        <w:tabs>
          <w:tab w:val="left" w:pos="540"/>
          <w:tab w:val="left" w:pos="569"/>
        </w:tabs>
        <w:jc w:val="both"/>
        <w:rPr>
          <w:bCs/>
          <w:sz w:val="22"/>
          <w:szCs w:val="22"/>
          <w:lang w:val="sr-Latn-ME"/>
        </w:rPr>
      </w:pPr>
    </w:p>
    <w:p w14:paraId="1705C70B" w14:textId="77777777" w:rsidR="00040429" w:rsidRPr="002A6AB6" w:rsidRDefault="00040429" w:rsidP="00587700">
      <w:pPr>
        <w:tabs>
          <w:tab w:val="left" w:pos="540"/>
          <w:tab w:val="left" w:pos="569"/>
        </w:tabs>
        <w:jc w:val="both"/>
        <w:rPr>
          <w:bCs/>
          <w:sz w:val="22"/>
          <w:szCs w:val="22"/>
          <w:lang w:val="sr-Latn-ME"/>
        </w:rPr>
      </w:pPr>
      <w:r w:rsidRPr="002A6AB6">
        <w:rPr>
          <w:bCs/>
          <w:sz w:val="22"/>
          <w:szCs w:val="22"/>
          <w:lang w:val="sr-Latn-ME"/>
        </w:rPr>
        <w:t>Lijek je namijenjen isključivo za jednokratnu upotrebu i treba da ga pripremi zdravstveni radnik uz upotrebu aseptične tehnike.</w:t>
      </w:r>
    </w:p>
    <w:p w14:paraId="53B19C74" w14:textId="77777777" w:rsidR="00040429" w:rsidRPr="002A6AB6" w:rsidRDefault="00040429" w:rsidP="00587700">
      <w:pPr>
        <w:tabs>
          <w:tab w:val="left" w:pos="540"/>
          <w:tab w:val="left" w:pos="569"/>
        </w:tabs>
        <w:jc w:val="both"/>
        <w:rPr>
          <w:bCs/>
          <w:sz w:val="22"/>
          <w:szCs w:val="22"/>
          <w:lang w:val="sr-Latn-ME"/>
        </w:rPr>
      </w:pPr>
    </w:p>
    <w:p w14:paraId="5FCBF577" w14:textId="77777777" w:rsidR="00040429" w:rsidRPr="002A6AB6" w:rsidRDefault="00040429" w:rsidP="00587700">
      <w:pPr>
        <w:tabs>
          <w:tab w:val="left" w:pos="540"/>
          <w:tab w:val="left" w:pos="569"/>
        </w:tabs>
        <w:jc w:val="both"/>
        <w:rPr>
          <w:bCs/>
          <w:sz w:val="22"/>
          <w:szCs w:val="22"/>
          <w:lang w:val="sr-Latn-ME"/>
        </w:rPr>
      </w:pPr>
      <w:r w:rsidRPr="002A6AB6">
        <w:rPr>
          <w:bCs/>
          <w:sz w:val="22"/>
          <w:szCs w:val="22"/>
          <w:lang w:val="sr-Latn-ME"/>
        </w:rPr>
        <w:t xml:space="preserve">Nisu zabilježene inkompatibilnosti između ovog lijeka i </w:t>
      </w:r>
      <w:proofErr w:type="spellStart"/>
      <w:r w:rsidRPr="002A6AB6">
        <w:rPr>
          <w:bCs/>
          <w:sz w:val="22"/>
          <w:szCs w:val="22"/>
          <w:lang w:val="sr-Latn-ME"/>
        </w:rPr>
        <w:t>polipropilena</w:t>
      </w:r>
      <w:proofErr w:type="spellEnd"/>
      <w:r w:rsidRPr="002A6AB6">
        <w:rPr>
          <w:bCs/>
          <w:sz w:val="22"/>
          <w:szCs w:val="22"/>
          <w:lang w:val="sr-Latn-ME"/>
        </w:rPr>
        <w:t xml:space="preserve"> (PP), </w:t>
      </w:r>
      <w:proofErr w:type="spellStart"/>
      <w:r w:rsidRPr="002A6AB6">
        <w:rPr>
          <w:bCs/>
          <w:sz w:val="22"/>
          <w:szCs w:val="22"/>
          <w:lang w:val="sr-Latn-ME"/>
        </w:rPr>
        <w:t>polikarbonata</w:t>
      </w:r>
      <w:proofErr w:type="spellEnd"/>
      <w:r w:rsidRPr="002A6AB6">
        <w:rPr>
          <w:bCs/>
          <w:sz w:val="22"/>
          <w:szCs w:val="22"/>
          <w:lang w:val="sr-Latn-ME"/>
        </w:rPr>
        <w:t xml:space="preserve"> (PC), </w:t>
      </w:r>
      <w:proofErr w:type="spellStart"/>
      <w:r w:rsidRPr="002A6AB6">
        <w:rPr>
          <w:bCs/>
          <w:sz w:val="22"/>
          <w:szCs w:val="22"/>
          <w:lang w:val="sr-Latn-ME"/>
        </w:rPr>
        <w:t>polietilena</w:t>
      </w:r>
      <w:proofErr w:type="spellEnd"/>
      <w:r w:rsidRPr="002A6AB6">
        <w:rPr>
          <w:bCs/>
          <w:sz w:val="22"/>
          <w:szCs w:val="22"/>
          <w:lang w:val="sr-Latn-ME"/>
        </w:rPr>
        <w:t xml:space="preserve"> (PE), polivinil hlorida (PVC), </w:t>
      </w:r>
      <w:proofErr w:type="spellStart"/>
      <w:r w:rsidRPr="002A6AB6">
        <w:rPr>
          <w:bCs/>
          <w:sz w:val="22"/>
          <w:szCs w:val="22"/>
          <w:lang w:val="sr-Latn-ME"/>
        </w:rPr>
        <w:t>poliuretana</w:t>
      </w:r>
      <w:proofErr w:type="spellEnd"/>
      <w:r w:rsidRPr="002A6AB6">
        <w:rPr>
          <w:bCs/>
          <w:sz w:val="22"/>
          <w:szCs w:val="22"/>
          <w:lang w:val="sr-Latn-ME"/>
        </w:rPr>
        <w:t xml:space="preserve"> (PUR) i hirurškog čelika.</w:t>
      </w:r>
    </w:p>
    <w:p w14:paraId="2E94C294" w14:textId="77777777" w:rsidR="00040429" w:rsidRPr="002A6AB6" w:rsidRDefault="00040429" w:rsidP="00587700">
      <w:pPr>
        <w:tabs>
          <w:tab w:val="left" w:pos="540"/>
          <w:tab w:val="left" w:pos="569"/>
        </w:tabs>
        <w:jc w:val="both"/>
        <w:rPr>
          <w:bCs/>
          <w:sz w:val="22"/>
          <w:szCs w:val="22"/>
          <w:lang w:val="sr-Latn-ME"/>
        </w:rPr>
      </w:pPr>
    </w:p>
    <w:p w14:paraId="1BF97445" w14:textId="77777777" w:rsidR="00040429" w:rsidRPr="002A6AB6" w:rsidRDefault="00040429" w:rsidP="00587700">
      <w:pPr>
        <w:tabs>
          <w:tab w:val="left" w:pos="540"/>
          <w:tab w:val="left" w:pos="569"/>
        </w:tabs>
        <w:jc w:val="both"/>
        <w:rPr>
          <w:bCs/>
          <w:iCs/>
          <w:sz w:val="22"/>
          <w:szCs w:val="22"/>
          <w:u w:val="single"/>
          <w:lang w:val="sr-Latn-ME"/>
        </w:rPr>
      </w:pPr>
      <w:r w:rsidRPr="002A6AB6">
        <w:rPr>
          <w:bCs/>
          <w:sz w:val="22"/>
          <w:szCs w:val="22"/>
          <w:u w:val="single"/>
          <w:lang w:val="sr-Latn-ME"/>
        </w:rPr>
        <w:t>Priprema šprica</w:t>
      </w:r>
    </w:p>
    <w:p w14:paraId="4BEE4000" w14:textId="77777777" w:rsidR="00040429" w:rsidRPr="002A6AB6" w:rsidRDefault="00040429" w:rsidP="00587700">
      <w:pPr>
        <w:tabs>
          <w:tab w:val="left" w:pos="540"/>
          <w:tab w:val="left" w:pos="569"/>
        </w:tabs>
        <w:jc w:val="both"/>
        <w:rPr>
          <w:bCs/>
          <w:iCs/>
          <w:sz w:val="22"/>
          <w:szCs w:val="22"/>
          <w:lang w:val="sr-Latn-ME"/>
        </w:rPr>
      </w:pPr>
    </w:p>
    <w:p w14:paraId="0E1A1E0A" w14:textId="77777777" w:rsidR="00040429" w:rsidRPr="002A6AB6" w:rsidRDefault="00040429" w:rsidP="00587700">
      <w:pPr>
        <w:tabs>
          <w:tab w:val="left" w:pos="540"/>
          <w:tab w:val="left" w:pos="569"/>
        </w:tabs>
        <w:jc w:val="both"/>
        <w:rPr>
          <w:bCs/>
          <w:iCs/>
          <w:sz w:val="22"/>
          <w:szCs w:val="22"/>
          <w:lang w:val="sr-Latn-ME"/>
        </w:rPr>
      </w:pPr>
      <w:r w:rsidRPr="002A6AB6">
        <w:rPr>
          <w:bCs/>
          <w:sz w:val="22"/>
          <w:szCs w:val="22"/>
          <w:lang w:val="sr-Latn-ME"/>
        </w:rPr>
        <w:sym w:font="Symbol" w:char="F0B7"/>
      </w:r>
      <w:r w:rsidRPr="002A6AB6">
        <w:rPr>
          <w:bCs/>
          <w:sz w:val="22"/>
          <w:szCs w:val="22"/>
          <w:lang w:val="sr-Latn-ME"/>
        </w:rPr>
        <w:tab/>
        <w:t xml:space="preserve">Prije upotrebe bočicu treba izvaditi iz frižidera kako bi rastvor dostigao sobnu temperaturu. </w:t>
      </w:r>
    </w:p>
    <w:p w14:paraId="1AFF178A" w14:textId="73AAC0D2" w:rsidR="00040429" w:rsidRPr="002A6AB6" w:rsidRDefault="00040429" w:rsidP="00587700">
      <w:pPr>
        <w:tabs>
          <w:tab w:val="left" w:pos="540"/>
          <w:tab w:val="left" w:pos="569"/>
        </w:tabs>
        <w:jc w:val="both"/>
        <w:rPr>
          <w:bCs/>
          <w:iCs/>
          <w:sz w:val="22"/>
          <w:szCs w:val="22"/>
          <w:lang w:val="sr-Latn-ME"/>
        </w:rPr>
      </w:pPr>
      <w:r w:rsidRPr="002A6AB6">
        <w:rPr>
          <w:bCs/>
          <w:sz w:val="22"/>
          <w:szCs w:val="22"/>
          <w:lang w:val="sr-Latn-ME"/>
        </w:rPr>
        <w:sym w:font="Symbol" w:char="F0B7"/>
      </w:r>
      <w:r w:rsidRPr="002A6AB6">
        <w:rPr>
          <w:bCs/>
          <w:sz w:val="22"/>
          <w:szCs w:val="22"/>
          <w:lang w:val="sr-Latn-ME"/>
        </w:rPr>
        <w:tab/>
        <w:t xml:space="preserve">Pomoću šprica i </w:t>
      </w:r>
      <w:proofErr w:type="spellStart"/>
      <w:r w:rsidR="003B1931" w:rsidRPr="002A6AB6">
        <w:rPr>
          <w:bCs/>
          <w:sz w:val="22"/>
          <w:szCs w:val="22"/>
          <w:lang w:val="sr-Latn-ME"/>
        </w:rPr>
        <w:t>prenosne</w:t>
      </w:r>
      <w:proofErr w:type="spellEnd"/>
      <w:r w:rsidR="003B1931" w:rsidRPr="002A6AB6">
        <w:rPr>
          <w:bCs/>
          <w:sz w:val="22"/>
          <w:szCs w:val="22"/>
          <w:lang w:val="sr-Latn-ME"/>
        </w:rPr>
        <w:t xml:space="preserve"> </w:t>
      </w:r>
      <w:r w:rsidRPr="002A6AB6">
        <w:rPr>
          <w:bCs/>
          <w:sz w:val="22"/>
          <w:szCs w:val="22"/>
          <w:lang w:val="sr-Latn-ME"/>
        </w:rPr>
        <w:t>igle (preporučuje se 21</w:t>
      </w:r>
      <w:r w:rsidR="003B1931" w:rsidRPr="002A6AB6">
        <w:rPr>
          <w:bCs/>
          <w:sz w:val="22"/>
          <w:szCs w:val="22"/>
          <w:lang w:val="sr-Latn-ME"/>
        </w:rPr>
        <w:t xml:space="preserve"> </w:t>
      </w:r>
      <w:r w:rsidRPr="002A6AB6">
        <w:rPr>
          <w:bCs/>
          <w:sz w:val="22"/>
          <w:szCs w:val="22"/>
          <w:lang w:val="sr-Latn-ME"/>
        </w:rPr>
        <w:t xml:space="preserve">G) izvucite kompletan sadržaj </w:t>
      </w:r>
      <w:proofErr w:type="spellStart"/>
      <w:r w:rsidRPr="002A6AB6">
        <w:rPr>
          <w:bCs/>
          <w:sz w:val="22"/>
          <w:szCs w:val="22"/>
          <w:lang w:val="sr-Latn-ME"/>
        </w:rPr>
        <w:t>Ocrevus</w:t>
      </w:r>
      <w:proofErr w:type="spellEnd"/>
      <w:r w:rsidRPr="002A6AB6">
        <w:rPr>
          <w:bCs/>
          <w:sz w:val="22"/>
          <w:szCs w:val="22"/>
          <w:lang w:val="sr-Latn-ME"/>
        </w:rPr>
        <w:t xml:space="preserve"> </w:t>
      </w:r>
      <w:r w:rsidR="003B1931" w:rsidRPr="002A6AB6">
        <w:rPr>
          <w:bCs/>
          <w:sz w:val="22"/>
          <w:szCs w:val="22"/>
          <w:lang w:val="sr-Latn-ME"/>
        </w:rPr>
        <w:t xml:space="preserve">rastvora </w:t>
      </w:r>
      <w:r w:rsidRPr="002A6AB6">
        <w:rPr>
          <w:bCs/>
          <w:sz w:val="22"/>
          <w:szCs w:val="22"/>
          <w:lang w:val="sr-Latn-ME"/>
        </w:rPr>
        <w:t xml:space="preserve">za injekciju iz bočice. </w:t>
      </w:r>
    </w:p>
    <w:p w14:paraId="4736BB8F" w14:textId="42E10391" w:rsidR="00040429" w:rsidRPr="002A6AB6" w:rsidRDefault="00040429" w:rsidP="00587700">
      <w:pPr>
        <w:tabs>
          <w:tab w:val="left" w:pos="540"/>
          <w:tab w:val="left" w:pos="569"/>
        </w:tabs>
        <w:jc w:val="both"/>
        <w:rPr>
          <w:bCs/>
          <w:iCs/>
          <w:sz w:val="22"/>
          <w:szCs w:val="22"/>
          <w:lang w:val="sr-Latn-ME"/>
        </w:rPr>
      </w:pPr>
      <w:r w:rsidRPr="002A6AB6">
        <w:rPr>
          <w:bCs/>
          <w:sz w:val="22"/>
          <w:szCs w:val="22"/>
          <w:lang w:val="sr-Latn-ME"/>
        </w:rPr>
        <w:sym w:font="Symbol" w:char="F0B7"/>
      </w:r>
      <w:r w:rsidRPr="002A6AB6">
        <w:rPr>
          <w:bCs/>
          <w:sz w:val="22"/>
          <w:szCs w:val="22"/>
          <w:lang w:val="sr-Latn-ME"/>
        </w:rPr>
        <w:tab/>
      </w:r>
      <w:r w:rsidR="00151BB4" w:rsidRPr="002A6AB6">
        <w:rPr>
          <w:bCs/>
          <w:sz w:val="22"/>
          <w:szCs w:val="22"/>
          <w:lang w:val="sr-Latn-ME"/>
        </w:rPr>
        <w:t xml:space="preserve">Uklonite </w:t>
      </w:r>
      <w:proofErr w:type="spellStart"/>
      <w:r w:rsidR="00284F15" w:rsidRPr="002A6AB6">
        <w:rPr>
          <w:bCs/>
          <w:sz w:val="22"/>
          <w:szCs w:val="22"/>
          <w:lang w:val="sr-Latn-ME"/>
        </w:rPr>
        <w:t>prenosnu</w:t>
      </w:r>
      <w:proofErr w:type="spellEnd"/>
      <w:r w:rsidRPr="002A6AB6">
        <w:rPr>
          <w:bCs/>
          <w:sz w:val="22"/>
          <w:szCs w:val="22"/>
          <w:lang w:val="sr-Latn-ME"/>
        </w:rPr>
        <w:t xml:space="preserve"> iglu i pričvrstite set za </w:t>
      </w:r>
      <w:proofErr w:type="spellStart"/>
      <w:r w:rsidRPr="002A6AB6">
        <w:rPr>
          <w:bCs/>
          <w:sz w:val="22"/>
          <w:szCs w:val="22"/>
          <w:lang w:val="sr-Latn-ME"/>
        </w:rPr>
        <w:t>subkutanu</w:t>
      </w:r>
      <w:proofErr w:type="spellEnd"/>
      <w:r w:rsidRPr="002A6AB6">
        <w:rPr>
          <w:bCs/>
          <w:sz w:val="22"/>
          <w:szCs w:val="22"/>
          <w:lang w:val="sr-Latn-ME"/>
        </w:rPr>
        <w:t xml:space="preserve"> infuziju (npr. sa krilcima/leptir) koji sadrži iglu </w:t>
      </w:r>
      <w:r w:rsidR="00151BB4" w:rsidRPr="002A6AB6">
        <w:rPr>
          <w:bCs/>
          <w:sz w:val="22"/>
          <w:szCs w:val="22"/>
          <w:lang w:val="sr-Latn-ME"/>
        </w:rPr>
        <w:t>za injekciju veličine 24 – 26 G</w:t>
      </w:r>
      <w:r w:rsidRPr="002A6AB6">
        <w:rPr>
          <w:bCs/>
          <w:sz w:val="22"/>
          <w:szCs w:val="22"/>
          <w:lang w:val="sr-Latn-ME"/>
        </w:rPr>
        <w:t xml:space="preserve">. </w:t>
      </w:r>
      <w:r w:rsidR="00151BB4" w:rsidRPr="002A6AB6">
        <w:rPr>
          <w:bCs/>
          <w:sz w:val="22"/>
          <w:szCs w:val="22"/>
          <w:lang w:val="sr-Latn-ME"/>
        </w:rPr>
        <w:t>Za primjenu u</w:t>
      </w:r>
      <w:r w:rsidRPr="002A6AB6">
        <w:rPr>
          <w:bCs/>
          <w:sz w:val="22"/>
          <w:szCs w:val="22"/>
          <w:lang w:val="sr-Latn-ME"/>
        </w:rPr>
        <w:t>potr</w:t>
      </w:r>
      <w:r w:rsidR="00284F15" w:rsidRPr="002A6AB6">
        <w:rPr>
          <w:bCs/>
          <w:sz w:val="22"/>
          <w:szCs w:val="22"/>
          <w:lang w:val="sr-Latn-ME"/>
        </w:rPr>
        <w:t>ij</w:t>
      </w:r>
      <w:r w:rsidRPr="002A6AB6">
        <w:rPr>
          <w:bCs/>
          <w:sz w:val="22"/>
          <w:szCs w:val="22"/>
          <w:lang w:val="sr-Latn-ME"/>
        </w:rPr>
        <w:t xml:space="preserve">ebite set za </w:t>
      </w:r>
      <w:proofErr w:type="spellStart"/>
      <w:r w:rsidRPr="002A6AB6">
        <w:rPr>
          <w:bCs/>
          <w:sz w:val="22"/>
          <w:szCs w:val="22"/>
          <w:lang w:val="sr-Latn-ME"/>
        </w:rPr>
        <w:t>subkutanu</w:t>
      </w:r>
      <w:proofErr w:type="spellEnd"/>
      <w:r w:rsidRPr="002A6AB6">
        <w:rPr>
          <w:bCs/>
          <w:sz w:val="22"/>
          <w:szCs w:val="22"/>
          <w:lang w:val="sr-Latn-ME"/>
        </w:rPr>
        <w:t xml:space="preserve"> infuziju sa </w:t>
      </w:r>
      <w:proofErr w:type="spellStart"/>
      <w:r w:rsidRPr="002A6AB6">
        <w:rPr>
          <w:bCs/>
          <w:sz w:val="22"/>
          <w:szCs w:val="22"/>
          <w:lang w:val="sr-Latn-ME"/>
        </w:rPr>
        <w:t>rezidualnim</w:t>
      </w:r>
      <w:proofErr w:type="spellEnd"/>
      <w:r w:rsidRPr="002A6AB6">
        <w:rPr>
          <w:bCs/>
          <w:sz w:val="22"/>
          <w:szCs w:val="22"/>
          <w:lang w:val="sr-Latn-ME"/>
        </w:rPr>
        <w:t xml:space="preserve"> zadržanim volumenom koji NE pre</w:t>
      </w:r>
      <w:r w:rsidR="00151BB4" w:rsidRPr="002A6AB6">
        <w:rPr>
          <w:bCs/>
          <w:sz w:val="22"/>
          <w:szCs w:val="22"/>
          <w:lang w:val="sr-Latn-ME"/>
        </w:rPr>
        <w:t>lazi</w:t>
      </w:r>
      <w:r w:rsidRPr="002A6AB6">
        <w:rPr>
          <w:bCs/>
          <w:sz w:val="22"/>
          <w:szCs w:val="22"/>
          <w:lang w:val="sr-Latn-ME"/>
        </w:rPr>
        <w:t xml:space="preserve"> 0,8 m</w:t>
      </w:r>
      <w:r w:rsidR="00284F15" w:rsidRPr="002A6AB6">
        <w:rPr>
          <w:bCs/>
          <w:sz w:val="22"/>
          <w:szCs w:val="22"/>
          <w:lang w:val="sr-Latn-ME"/>
        </w:rPr>
        <w:t>l</w:t>
      </w:r>
      <w:r w:rsidRPr="002A6AB6">
        <w:rPr>
          <w:bCs/>
          <w:sz w:val="22"/>
          <w:szCs w:val="22"/>
          <w:lang w:val="sr-Latn-ME"/>
        </w:rPr>
        <w:t xml:space="preserve">. </w:t>
      </w:r>
    </w:p>
    <w:p w14:paraId="19C64028" w14:textId="746A350B" w:rsidR="00040429" w:rsidRPr="002A6AB6" w:rsidRDefault="00040429" w:rsidP="00587700">
      <w:pPr>
        <w:tabs>
          <w:tab w:val="left" w:pos="540"/>
          <w:tab w:val="left" w:pos="569"/>
        </w:tabs>
        <w:jc w:val="both"/>
        <w:rPr>
          <w:bCs/>
          <w:iCs/>
          <w:sz w:val="22"/>
          <w:szCs w:val="22"/>
          <w:lang w:val="sr-Latn-ME"/>
        </w:rPr>
      </w:pPr>
      <w:r w:rsidRPr="002A6AB6">
        <w:rPr>
          <w:bCs/>
          <w:sz w:val="22"/>
          <w:szCs w:val="22"/>
          <w:lang w:val="sr-Latn-ME"/>
        </w:rPr>
        <w:sym w:font="Symbol" w:char="F0B7"/>
      </w:r>
      <w:r w:rsidRPr="002A6AB6">
        <w:rPr>
          <w:bCs/>
          <w:sz w:val="22"/>
          <w:szCs w:val="22"/>
          <w:lang w:val="sr-Latn-ME"/>
        </w:rPr>
        <w:tab/>
      </w:r>
      <w:proofErr w:type="spellStart"/>
      <w:r w:rsidRPr="002A6AB6">
        <w:rPr>
          <w:bCs/>
          <w:sz w:val="22"/>
          <w:szCs w:val="22"/>
          <w:lang w:val="sr-Latn-ME"/>
        </w:rPr>
        <w:t>Pripremite</w:t>
      </w:r>
      <w:proofErr w:type="spellEnd"/>
      <w:r w:rsidRPr="002A6AB6">
        <w:rPr>
          <w:bCs/>
          <w:sz w:val="22"/>
          <w:szCs w:val="22"/>
          <w:lang w:val="sr-Latn-ME"/>
        </w:rPr>
        <w:t xml:space="preserve"> </w:t>
      </w:r>
      <w:proofErr w:type="spellStart"/>
      <w:r w:rsidRPr="002A6AB6">
        <w:rPr>
          <w:bCs/>
          <w:sz w:val="22"/>
          <w:szCs w:val="22"/>
          <w:lang w:val="sr-Latn-ME"/>
        </w:rPr>
        <w:t>subkutanu</w:t>
      </w:r>
      <w:proofErr w:type="spellEnd"/>
      <w:r w:rsidRPr="002A6AB6">
        <w:rPr>
          <w:bCs/>
          <w:sz w:val="22"/>
          <w:szCs w:val="22"/>
          <w:lang w:val="sr-Latn-ME"/>
        </w:rPr>
        <w:t xml:space="preserve"> </w:t>
      </w:r>
      <w:proofErr w:type="spellStart"/>
      <w:r w:rsidRPr="002A6AB6">
        <w:rPr>
          <w:bCs/>
          <w:sz w:val="22"/>
          <w:szCs w:val="22"/>
          <w:lang w:val="sr-Latn-ME"/>
        </w:rPr>
        <w:t>infuzionu</w:t>
      </w:r>
      <w:proofErr w:type="spellEnd"/>
      <w:r w:rsidRPr="002A6AB6">
        <w:rPr>
          <w:bCs/>
          <w:sz w:val="22"/>
          <w:szCs w:val="22"/>
          <w:lang w:val="sr-Latn-ME"/>
        </w:rPr>
        <w:t xml:space="preserve"> liniju rastvorom za injekciju kako biste uklonili vazduh </w:t>
      </w:r>
      <w:r w:rsidR="00151BB4" w:rsidRPr="002A6AB6">
        <w:rPr>
          <w:bCs/>
          <w:sz w:val="22"/>
          <w:szCs w:val="22"/>
          <w:lang w:val="sr-Latn-ME"/>
        </w:rPr>
        <w:t xml:space="preserve">iz </w:t>
      </w:r>
      <w:proofErr w:type="spellStart"/>
      <w:r w:rsidR="00151BB4" w:rsidRPr="002A6AB6">
        <w:rPr>
          <w:bCs/>
          <w:sz w:val="22"/>
          <w:szCs w:val="22"/>
          <w:lang w:val="sr-Latn-ME"/>
        </w:rPr>
        <w:t>infuzione</w:t>
      </w:r>
      <w:proofErr w:type="spellEnd"/>
      <w:r w:rsidR="00151BB4" w:rsidRPr="002A6AB6">
        <w:rPr>
          <w:bCs/>
          <w:sz w:val="22"/>
          <w:szCs w:val="22"/>
          <w:lang w:val="sr-Latn-ME"/>
        </w:rPr>
        <w:t xml:space="preserve"> </w:t>
      </w:r>
      <w:r w:rsidRPr="002A6AB6">
        <w:rPr>
          <w:bCs/>
          <w:sz w:val="22"/>
          <w:szCs w:val="22"/>
          <w:lang w:val="sr-Latn-ME"/>
        </w:rPr>
        <w:t>linij</w:t>
      </w:r>
      <w:r w:rsidR="00151BB4" w:rsidRPr="002A6AB6">
        <w:rPr>
          <w:bCs/>
          <w:sz w:val="22"/>
          <w:szCs w:val="22"/>
          <w:lang w:val="sr-Latn-ME"/>
        </w:rPr>
        <w:t>e</w:t>
      </w:r>
      <w:r w:rsidRPr="002A6AB6">
        <w:rPr>
          <w:bCs/>
          <w:sz w:val="22"/>
          <w:szCs w:val="22"/>
          <w:lang w:val="sr-Latn-ME"/>
        </w:rPr>
        <w:t xml:space="preserve"> i </w:t>
      </w:r>
      <w:r w:rsidR="00151BB4" w:rsidRPr="002A6AB6">
        <w:rPr>
          <w:bCs/>
          <w:sz w:val="22"/>
          <w:szCs w:val="22"/>
          <w:lang w:val="sr-Latn-ME"/>
        </w:rPr>
        <w:t xml:space="preserve">zaustavite punjenje </w:t>
      </w:r>
      <w:r w:rsidRPr="002A6AB6">
        <w:rPr>
          <w:bCs/>
          <w:sz w:val="22"/>
          <w:szCs w:val="22"/>
          <w:lang w:val="sr-Latn-ME"/>
        </w:rPr>
        <w:t xml:space="preserve">prije nego što tečnost </w:t>
      </w:r>
      <w:r w:rsidR="00151BB4" w:rsidRPr="002A6AB6">
        <w:rPr>
          <w:bCs/>
          <w:sz w:val="22"/>
          <w:szCs w:val="22"/>
          <w:lang w:val="sr-Latn-ME"/>
        </w:rPr>
        <w:t xml:space="preserve">stigne </w:t>
      </w:r>
      <w:r w:rsidRPr="002A6AB6">
        <w:rPr>
          <w:bCs/>
          <w:sz w:val="22"/>
          <w:szCs w:val="22"/>
          <w:lang w:val="sr-Latn-ME"/>
        </w:rPr>
        <w:t xml:space="preserve">do igle. </w:t>
      </w:r>
    </w:p>
    <w:p w14:paraId="659804E3" w14:textId="46EC0831" w:rsidR="00040429" w:rsidRPr="002A6AB6" w:rsidRDefault="00040429" w:rsidP="00587700">
      <w:pPr>
        <w:tabs>
          <w:tab w:val="left" w:pos="540"/>
          <w:tab w:val="left" w:pos="569"/>
        </w:tabs>
        <w:jc w:val="both"/>
        <w:rPr>
          <w:bCs/>
          <w:iCs/>
          <w:sz w:val="22"/>
          <w:szCs w:val="22"/>
          <w:lang w:val="sr-Latn-ME"/>
        </w:rPr>
      </w:pPr>
      <w:r w:rsidRPr="002A6AB6">
        <w:rPr>
          <w:bCs/>
          <w:sz w:val="22"/>
          <w:szCs w:val="22"/>
          <w:lang w:val="sr-Latn-ME"/>
        </w:rPr>
        <w:sym w:font="Symbol" w:char="F0B7"/>
      </w:r>
      <w:r w:rsidRPr="002A6AB6">
        <w:rPr>
          <w:bCs/>
          <w:sz w:val="22"/>
          <w:szCs w:val="22"/>
          <w:lang w:val="sr-Latn-ME"/>
        </w:rPr>
        <w:tab/>
        <w:t>Provjerite da li špric sadrži tačno 23 m</w:t>
      </w:r>
      <w:r w:rsidR="00151BB4" w:rsidRPr="002A6AB6">
        <w:rPr>
          <w:bCs/>
          <w:sz w:val="22"/>
          <w:szCs w:val="22"/>
          <w:lang w:val="sr-Latn-ME"/>
        </w:rPr>
        <w:t>l</w:t>
      </w:r>
      <w:r w:rsidRPr="002A6AB6">
        <w:rPr>
          <w:bCs/>
          <w:sz w:val="22"/>
          <w:szCs w:val="22"/>
          <w:lang w:val="sr-Latn-ME"/>
        </w:rPr>
        <w:t xml:space="preserve"> rastvora nakon pripreme i </w:t>
      </w:r>
      <w:r w:rsidR="00151BB4" w:rsidRPr="002A6AB6">
        <w:rPr>
          <w:bCs/>
          <w:sz w:val="22"/>
          <w:szCs w:val="22"/>
          <w:lang w:val="sr-Latn-ME"/>
        </w:rPr>
        <w:t>izbacivanja viška tečnosti</w:t>
      </w:r>
      <w:r w:rsidRPr="002A6AB6">
        <w:rPr>
          <w:bCs/>
          <w:sz w:val="22"/>
          <w:szCs w:val="22"/>
          <w:lang w:val="sr-Latn-ME"/>
        </w:rPr>
        <w:t xml:space="preserve"> iz šprica.</w:t>
      </w:r>
    </w:p>
    <w:p w14:paraId="140067D0" w14:textId="77777777" w:rsidR="00040429" w:rsidRPr="002A6AB6" w:rsidRDefault="00040429" w:rsidP="00587700">
      <w:pPr>
        <w:tabs>
          <w:tab w:val="left" w:pos="540"/>
          <w:tab w:val="left" w:pos="569"/>
        </w:tabs>
        <w:jc w:val="both"/>
        <w:rPr>
          <w:bCs/>
          <w:iCs/>
          <w:sz w:val="22"/>
          <w:szCs w:val="22"/>
          <w:lang w:val="sr-Latn-ME"/>
        </w:rPr>
      </w:pPr>
      <w:r w:rsidRPr="002A6AB6">
        <w:rPr>
          <w:bCs/>
          <w:sz w:val="22"/>
          <w:szCs w:val="22"/>
          <w:lang w:val="sr-Latn-ME"/>
        </w:rPr>
        <w:sym w:font="Symbol" w:char="F0B7"/>
      </w:r>
      <w:r w:rsidRPr="002A6AB6">
        <w:rPr>
          <w:bCs/>
          <w:sz w:val="22"/>
          <w:szCs w:val="22"/>
          <w:lang w:val="sr-Latn-ME"/>
        </w:rPr>
        <w:tab/>
        <w:t>Prim</w:t>
      </w:r>
      <w:r w:rsidR="00151BB4" w:rsidRPr="002A6AB6">
        <w:rPr>
          <w:bCs/>
          <w:sz w:val="22"/>
          <w:szCs w:val="22"/>
          <w:lang w:val="sr-Latn-ME"/>
        </w:rPr>
        <w:t>i</w:t>
      </w:r>
      <w:r w:rsidRPr="002A6AB6">
        <w:rPr>
          <w:bCs/>
          <w:sz w:val="22"/>
          <w:szCs w:val="22"/>
          <w:lang w:val="sr-Latn-ME"/>
        </w:rPr>
        <w:t>jenite odmah kako biste izb</w:t>
      </w:r>
      <w:r w:rsidR="00151BB4" w:rsidRPr="002A6AB6">
        <w:rPr>
          <w:bCs/>
          <w:sz w:val="22"/>
          <w:szCs w:val="22"/>
          <w:lang w:val="sr-Latn-ME"/>
        </w:rPr>
        <w:t>j</w:t>
      </w:r>
      <w:r w:rsidRPr="002A6AB6">
        <w:rPr>
          <w:bCs/>
          <w:sz w:val="22"/>
          <w:szCs w:val="22"/>
          <w:lang w:val="sr-Latn-ME"/>
        </w:rPr>
        <w:t xml:space="preserve">egli začepljenje igle. Nemojte čuvati pripremljeni špric koji je pričvršćen na već pripremljen set za </w:t>
      </w:r>
      <w:proofErr w:type="spellStart"/>
      <w:r w:rsidRPr="002A6AB6">
        <w:rPr>
          <w:bCs/>
          <w:sz w:val="22"/>
          <w:szCs w:val="22"/>
          <w:lang w:val="sr-Latn-ME"/>
        </w:rPr>
        <w:t>subkutanu</w:t>
      </w:r>
      <w:proofErr w:type="spellEnd"/>
      <w:r w:rsidRPr="002A6AB6">
        <w:rPr>
          <w:bCs/>
          <w:sz w:val="22"/>
          <w:szCs w:val="22"/>
          <w:lang w:val="sr-Latn-ME"/>
        </w:rPr>
        <w:t xml:space="preserve"> infuziju.</w:t>
      </w:r>
    </w:p>
    <w:p w14:paraId="6E9B46E4" w14:textId="77777777" w:rsidR="00040429" w:rsidRPr="002A6AB6" w:rsidRDefault="00040429" w:rsidP="00587700">
      <w:pPr>
        <w:tabs>
          <w:tab w:val="left" w:pos="540"/>
          <w:tab w:val="left" w:pos="569"/>
        </w:tabs>
        <w:jc w:val="both"/>
        <w:rPr>
          <w:bCs/>
          <w:iCs/>
          <w:sz w:val="22"/>
          <w:szCs w:val="22"/>
          <w:lang w:val="sr-Latn-ME"/>
        </w:rPr>
      </w:pPr>
      <w:r w:rsidRPr="002A6AB6">
        <w:rPr>
          <w:bCs/>
          <w:sz w:val="22"/>
          <w:szCs w:val="22"/>
          <w:lang w:val="sr-Latn-ME"/>
        </w:rPr>
        <w:t>Ukoliko se doza ne primijeni odmah, pogledajte</w:t>
      </w:r>
      <w:r w:rsidR="00151BB4" w:rsidRPr="002A6AB6">
        <w:rPr>
          <w:bCs/>
          <w:sz w:val="22"/>
          <w:szCs w:val="22"/>
          <w:lang w:val="sr-Latn-ME"/>
        </w:rPr>
        <w:t xml:space="preserve"> dio</w:t>
      </w:r>
      <w:r w:rsidRPr="002A6AB6">
        <w:rPr>
          <w:bCs/>
          <w:sz w:val="22"/>
          <w:szCs w:val="22"/>
          <w:lang w:val="sr-Latn-ME"/>
        </w:rPr>
        <w:t xml:space="preserve"> „Čuvanje šprica” u nastavku.</w:t>
      </w:r>
    </w:p>
    <w:p w14:paraId="55FB78BC" w14:textId="77777777" w:rsidR="00040429" w:rsidRPr="002A6AB6" w:rsidRDefault="00040429" w:rsidP="00587700">
      <w:pPr>
        <w:tabs>
          <w:tab w:val="left" w:pos="540"/>
          <w:tab w:val="left" w:pos="569"/>
        </w:tabs>
        <w:jc w:val="both"/>
        <w:rPr>
          <w:bCs/>
          <w:iCs/>
          <w:sz w:val="22"/>
          <w:szCs w:val="22"/>
          <w:lang w:val="sr-Latn-ME"/>
        </w:rPr>
      </w:pPr>
    </w:p>
    <w:p w14:paraId="2B53B152" w14:textId="77777777" w:rsidR="00040429" w:rsidRPr="002A6AB6" w:rsidRDefault="00040429" w:rsidP="00587700">
      <w:pPr>
        <w:tabs>
          <w:tab w:val="left" w:pos="540"/>
          <w:tab w:val="left" w:pos="569"/>
        </w:tabs>
        <w:jc w:val="both"/>
        <w:rPr>
          <w:bCs/>
          <w:iCs/>
          <w:sz w:val="22"/>
          <w:szCs w:val="22"/>
          <w:u w:val="single"/>
          <w:lang w:val="sr-Latn-ME"/>
        </w:rPr>
      </w:pPr>
      <w:r w:rsidRPr="002A6AB6">
        <w:rPr>
          <w:bCs/>
          <w:sz w:val="22"/>
          <w:szCs w:val="22"/>
          <w:u w:val="single"/>
          <w:lang w:val="sr-Latn-ME"/>
        </w:rPr>
        <w:t>Čuvanje šprica</w:t>
      </w:r>
    </w:p>
    <w:p w14:paraId="44C65547" w14:textId="77777777" w:rsidR="00040429" w:rsidRPr="002A6AB6" w:rsidRDefault="00040429" w:rsidP="00587700">
      <w:pPr>
        <w:tabs>
          <w:tab w:val="left" w:pos="540"/>
          <w:tab w:val="left" w:pos="569"/>
        </w:tabs>
        <w:jc w:val="both"/>
        <w:rPr>
          <w:bCs/>
          <w:iCs/>
          <w:sz w:val="22"/>
          <w:szCs w:val="22"/>
          <w:u w:val="single"/>
          <w:lang w:val="sr-Latn-ME"/>
        </w:rPr>
      </w:pPr>
    </w:p>
    <w:p w14:paraId="07C2715E" w14:textId="4D65ADE2" w:rsidR="00040429" w:rsidRPr="002A6AB6" w:rsidRDefault="00040429" w:rsidP="00587700">
      <w:pPr>
        <w:tabs>
          <w:tab w:val="left" w:pos="540"/>
          <w:tab w:val="left" w:pos="569"/>
        </w:tabs>
        <w:jc w:val="both"/>
        <w:rPr>
          <w:bCs/>
          <w:iCs/>
          <w:sz w:val="22"/>
          <w:szCs w:val="22"/>
          <w:lang w:val="sr-Latn-ME"/>
        </w:rPr>
      </w:pPr>
      <w:r w:rsidRPr="002A6AB6">
        <w:rPr>
          <w:bCs/>
          <w:sz w:val="22"/>
          <w:szCs w:val="22"/>
          <w:lang w:val="sr-Latn-ME"/>
        </w:rPr>
        <w:sym w:font="Symbol" w:char="F0B7"/>
      </w:r>
      <w:r w:rsidRPr="002A6AB6">
        <w:rPr>
          <w:bCs/>
          <w:sz w:val="22"/>
          <w:szCs w:val="22"/>
          <w:lang w:val="sr-Latn-ME"/>
        </w:rPr>
        <w:tab/>
        <w:t>Ako</w:t>
      </w:r>
      <w:r w:rsidR="00151BB4" w:rsidRPr="002A6AB6">
        <w:rPr>
          <w:bCs/>
          <w:sz w:val="22"/>
          <w:szCs w:val="22"/>
          <w:lang w:val="sr-Latn-ME"/>
        </w:rPr>
        <w:t xml:space="preserve"> se</w:t>
      </w:r>
      <w:r w:rsidRPr="002A6AB6">
        <w:rPr>
          <w:bCs/>
          <w:sz w:val="22"/>
          <w:szCs w:val="22"/>
          <w:lang w:val="sr-Latn-ME"/>
        </w:rPr>
        <w:t xml:space="preserve"> doz</w:t>
      </w:r>
      <w:r w:rsidR="00151BB4" w:rsidRPr="002A6AB6">
        <w:rPr>
          <w:bCs/>
          <w:sz w:val="22"/>
          <w:szCs w:val="22"/>
          <w:lang w:val="sr-Latn-ME"/>
        </w:rPr>
        <w:t>a</w:t>
      </w:r>
      <w:r w:rsidRPr="002A6AB6">
        <w:rPr>
          <w:bCs/>
          <w:sz w:val="22"/>
          <w:szCs w:val="22"/>
          <w:lang w:val="sr-Latn-ME"/>
        </w:rPr>
        <w:t xml:space="preserve"> ne</w:t>
      </w:r>
      <w:r w:rsidR="00151BB4" w:rsidRPr="002A6AB6">
        <w:rPr>
          <w:bCs/>
          <w:sz w:val="22"/>
          <w:szCs w:val="22"/>
          <w:lang w:val="sr-Latn-ME"/>
        </w:rPr>
        <w:t>će</w:t>
      </w:r>
      <w:r w:rsidRPr="002A6AB6">
        <w:rPr>
          <w:bCs/>
          <w:sz w:val="22"/>
          <w:szCs w:val="22"/>
          <w:lang w:val="sr-Latn-ME"/>
        </w:rPr>
        <w:t xml:space="preserve"> primijeniti</w:t>
      </w:r>
      <w:r w:rsidR="00151BB4" w:rsidRPr="002A6AB6">
        <w:rPr>
          <w:bCs/>
          <w:sz w:val="22"/>
          <w:szCs w:val="22"/>
          <w:lang w:val="sr-Latn-ME"/>
        </w:rPr>
        <w:t xml:space="preserve"> odmah</w:t>
      </w:r>
      <w:r w:rsidRPr="002A6AB6">
        <w:rPr>
          <w:bCs/>
          <w:sz w:val="22"/>
          <w:szCs w:val="22"/>
          <w:lang w:val="sr-Latn-ME"/>
        </w:rPr>
        <w:t>, upotr</w:t>
      </w:r>
      <w:r w:rsidR="003B1931" w:rsidRPr="002A6AB6">
        <w:rPr>
          <w:bCs/>
          <w:sz w:val="22"/>
          <w:szCs w:val="22"/>
          <w:lang w:val="sr-Latn-ME"/>
        </w:rPr>
        <w:t>ij</w:t>
      </w:r>
      <w:r w:rsidRPr="002A6AB6">
        <w:rPr>
          <w:bCs/>
          <w:sz w:val="22"/>
          <w:szCs w:val="22"/>
          <w:lang w:val="sr-Latn-ME"/>
        </w:rPr>
        <w:t xml:space="preserve">ebite aseptičnu tehniku da izvučete </w:t>
      </w:r>
      <w:r w:rsidR="003B1931" w:rsidRPr="002A6AB6">
        <w:rPr>
          <w:bCs/>
          <w:sz w:val="22"/>
          <w:szCs w:val="22"/>
          <w:lang w:val="sr-Latn-ME"/>
        </w:rPr>
        <w:t xml:space="preserve">cjelokupan </w:t>
      </w:r>
      <w:r w:rsidRPr="002A6AB6">
        <w:rPr>
          <w:bCs/>
          <w:sz w:val="22"/>
          <w:szCs w:val="22"/>
          <w:lang w:val="sr-Latn-ME"/>
        </w:rPr>
        <w:t xml:space="preserve">sadržaj </w:t>
      </w:r>
      <w:proofErr w:type="spellStart"/>
      <w:r w:rsidRPr="002A6AB6">
        <w:rPr>
          <w:bCs/>
          <w:sz w:val="22"/>
          <w:szCs w:val="22"/>
          <w:lang w:val="sr-Latn-ME"/>
        </w:rPr>
        <w:t>Ocrevus</w:t>
      </w:r>
      <w:proofErr w:type="spellEnd"/>
      <w:r w:rsidRPr="002A6AB6">
        <w:rPr>
          <w:bCs/>
          <w:sz w:val="22"/>
          <w:szCs w:val="22"/>
          <w:lang w:val="sr-Latn-ME"/>
        </w:rPr>
        <w:t xml:space="preserve"> rastvora za injekciju iz bočice u špric </w:t>
      </w:r>
      <w:r w:rsidR="003B1931" w:rsidRPr="002A6AB6">
        <w:rPr>
          <w:bCs/>
          <w:sz w:val="22"/>
          <w:szCs w:val="22"/>
          <w:lang w:val="sr-Latn-ME"/>
        </w:rPr>
        <w:t xml:space="preserve">uzimajući u obzir zapreminu doze (23 ml) i zapreminu potrebnu za punjenje </w:t>
      </w:r>
      <w:proofErr w:type="spellStart"/>
      <w:r w:rsidR="003B1931" w:rsidRPr="002A6AB6">
        <w:rPr>
          <w:bCs/>
          <w:sz w:val="22"/>
          <w:szCs w:val="22"/>
          <w:lang w:val="sr-Latn-ME"/>
        </w:rPr>
        <w:t>infuzionog</w:t>
      </w:r>
      <w:proofErr w:type="spellEnd"/>
      <w:r w:rsidR="003B1931" w:rsidRPr="002A6AB6">
        <w:rPr>
          <w:bCs/>
          <w:sz w:val="22"/>
          <w:szCs w:val="22"/>
          <w:lang w:val="sr-Latn-ME"/>
        </w:rPr>
        <w:t xml:space="preserve"> seta za </w:t>
      </w:r>
      <w:proofErr w:type="spellStart"/>
      <w:r w:rsidR="003B1931" w:rsidRPr="002A6AB6">
        <w:rPr>
          <w:bCs/>
          <w:sz w:val="22"/>
          <w:szCs w:val="22"/>
          <w:lang w:val="sr-Latn-ME"/>
        </w:rPr>
        <w:t>subkutanu</w:t>
      </w:r>
      <w:proofErr w:type="spellEnd"/>
      <w:r w:rsidR="003B1931" w:rsidRPr="002A6AB6">
        <w:rPr>
          <w:bCs/>
          <w:sz w:val="22"/>
          <w:szCs w:val="22"/>
          <w:lang w:val="sr-Latn-ME"/>
        </w:rPr>
        <w:t xml:space="preserve"> infuziju</w:t>
      </w:r>
      <w:r w:rsidRPr="002A6AB6">
        <w:rPr>
          <w:bCs/>
          <w:sz w:val="22"/>
          <w:szCs w:val="22"/>
          <w:lang w:val="sr-Latn-ME"/>
        </w:rPr>
        <w:t xml:space="preserve">. Zamijenite </w:t>
      </w:r>
      <w:proofErr w:type="spellStart"/>
      <w:r w:rsidR="003B1931" w:rsidRPr="002A6AB6">
        <w:rPr>
          <w:bCs/>
          <w:sz w:val="22"/>
          <w:szCs w:val="22"/>
          <w:lang w:val="sr-Latn-ME"/>
        </w:rPr>
        <w:t>prenosnu</w:t>
      </w:r>
      <w:proofErr w:type="spellEnd"/>
      <w:r w:rsidR="003B1931" w:rsidRPr="002A6AB6">
        <w:rPr>
          <w:bCs/>
          <w:sz w:val="22"/>
          <w:szCs w:val="22"/>
          <w:lang w:val="sr-Latn-ME"/>
        </w:rPr>
        <w:t xml:space="preserve"> </w:t>
      </w:r>
      <w:r w:rsidRPr="002A6AB6">
        <w:rPr>
          <w:bCs/>
          <w:sz w:val="22"/>
          <w:szCs w:val="22"/>
          <w:lang w:val="sr-Latn-ME"/>
        </w:rPr>
        <w:t xml:space="preserve">iglu poklopcem za zatvaranje šprica. Ne pričvršćujte set za </w:t>
      </w:r>
      <w:proofErr w:type="spellStart"/>
      <w:r w:rsidRPr="002A6AB6">
        <w:rPr>
          <w:bCs/>
          <w:sz w:val="22"/>
          <w:szCs w:val="22"/>
          <w:lang w:val="sr-Latn-ME"/>
        </w:rPr>
        <w:t>subkutanu</w:t>
      </w:r>
      <w:proofErr w:type="spellEnd"/>
      <w:r w:rsidRPr="002A6AB6">
        <w:rPr>
          <w:bCs/>
          <w:sz w:val="22"/>
          <w:szCs w:val="22"/>
          <w:lang w:val="sr-Latn-ME"/>
        </w:rPr>
        <w:t xml:space="preserve"> infuziju </w:t>
      </w:r>
      <w:r w:rsidR="003B1931" w:rsidRPr="002A6AB6">
        <w:rPr>
          <w:bCs/>
          <w:sz w:val="22"/>
          <w:szCs w:val="22"/>
          <w:lang w:val="sr-Latn-ME"/>
        </w:rPr>
        <w:t>tokom skladištenja</w:t>
      </w:r>
      <w:r w:rsidRPr="002A6AB6">
        <w:rPr>
          <w:bCs/>
          <w:sz w:val="22"/>
          <w:szCs w:val="22"/>
          <w:lang w:val="sr-Latn-ME"/>
        </w:rPr>
        <w:t xml:space="preserve">. </w:t>
      </w:r>
    </w:p>
    <w:p w14:paraId="4983DE31" w14:textId="77777777" w:rsidR="00040429" w:rsidRPr="002A6AB6" w:rsidRDefault="00040429" w:rsidP="00587700">
      <w:pPr>
        <w:tabs>
          <w:tab w:val="left" w:pos="540"/>
          <w:tab w:val="left" w:pos="569"/>
        </w:tabs>
        <w:jc w:val="both"/>
        <w:rPr>
          <w:bCs/>
          <w:sz w:val="22"/>
          <w:szCs w:val="22"/>
          <w:lang w:val="sr-Latn-ME"/>
        </w:rPr>
      </w:pPr>
      <w:r w:rsidRPr="002A6AB6">
        <w:rPr>
          <w:bCs/>
          <w:sz w:val="22"/>
          <w:szCs w:val="22"/>
          <w:lang w:val="sr-Latn-ME"/>
        </w:rPr>
        <w:sym w:font="Symbol" w:char="F0B7"/>
      </w:r>
      <w:r w:rsidRPr="002A6AB6">
        <w:rPr>
          <w:bCs/>
          <w:sz w:val="22"/>
          <w:szCs w:val="22"/>
          <w:lang w:val="sr-Latn-ME"/>
        </w:rPr>
        <w:tab/>
        <w:t xml:space="preserve">Ako je špric čuvan u frižideru, ostavite ga da dostigne sobnu temperaturu prije pripreme. </w:t>
      </w:r>
    </w:p>
    <w:p w14:paraId="62EFDCBC" w14:textId="77777777" w:rsidR="00040429" w:rsidRPr="002A6AB6" w:rsidRDefault="00040429" w:rsidP="00587700">
      <w:pPr>
        <w:tabs>
          <w:tab w:val="left" w:pos="540"/>
          <w:tab w:val="left" w:pos="567"/>
        </w:tabs>
        <w:jc w:val="both"/>
        <w:rPr>
          <w:bCs/>
          <w:sz w:val="22"/>
          <w:szCs w:val="22"/>
          <w:lang w:val="sr-Latn-ME"/>
        </w:rPr>
      </w:pPr>
    </w:p>
    <w:p w14:paraId="26F3F775" w14:textId="77777777" w:rsidR="00040429" w:rsidRPr="002A6AB6" w:rsidRDefault="00040429" w:rsidP="00587700">
      <w:pPr>
        <w:tabs>
          <w:tab w:val="left" w:pos="540"/>
          <w:tab w:val="left" w:pos="567"/>
        </w:tabs>
        <w:jc w:val="both"/>
        <w:rPr>
          <w:bCs/>
          <w:sz w:val="22"/>
          <w:szCs w:val="22"/>
          <w:u w:val="single"/>
          <w:lang w:val="sr-Latn-ME"/>
        </w:rPr>
      </w:pPr>
      <w:r w:rsidRPr="002A6AB6">
        <w:rPr>
          <w:bCs/>
          <w:sz w:val="22"/>
          <w:szCs w:val="22"/>
          <w:u w:val="single"/>
          <w:lang w:val="sr-Latn-ME"/>
        </w:rPr>
        <w:t>Uklanjanje</w:t>
      </w:r>
    </w:p>
    <w:p w14:paraId="78691134" w14:textId="77777777" w:rsidR="00040429" w:rsidRPr="002A6AB6" w:rsidRDefault="00040429" w:rsidP="00587700">
      <w:pPr>
        <w:tabs>
          <w:tab w:val="left" w:pos="540"/>
          <w:tab w:val="left" w:pos="567"/>
        </w:tabs>
        <w:jc w:val="both"/>
        <w:rPr>
          <w:bCs/>
          <w:sz w:val="22"/>
          <w:szCs w:val="22"/>
          <w:lang w:val="sr-Latn-ME"/>
        </w:rPr>
      </w:pPr>
    </w:p>
    <w:p w14:paraId="71C5DF97" w14:textId="77777777" w:rsidR="00040429" w:rsidRPr="002A6AB6" w:rsidRDefault="00040429" w:rsidP="00587700">
      <w:pPr>
        <w:tabs>
          <w:tab w:val="left" w:pos="540"/>
          <w:tab w:val="left" w:pos="567"/>
        </w:tabs>
        <w:jc w:val="both"/>
        <w:rPr>
          <w:bCs/>
          <w:sz w:val="22"/>
          <w:szCs w:val="22"/>
          <w:lang w:val="sr-Latn-ME"/>
        </w:rPr>
      </w:pPr>
      <w:r w:rsidRPr="002A6AB6">
        <w:rPr>
          <w:bCs/>
          <w:sz w:val="22"/>
          <w:szCs w:val="22"/>
          <w:lang w:val="sr-Latn-ME"/>
        </w:rPr>
        <w:t xml:space="preserve">Svu neiskorišćenu količinu lijeka ili otpadnog materijala </w:t>
      </w:r>
      <w:r w:rsidR="003B1931" w:rsidRPr="002A6AB6">
        <w:rPr>
          <w:bCs/>
          <w:sz w:val="22"/>
          <w:szCs w:val="22"/>
          <w:lang w:val="sr-Latn-ME"/>
        </w:rPr>
        <w:t xml:space="preserve">nakon njegove upotrebe </w:t>
      </w:r>
      <w:r w:rsidRPr="002A6AB6">
        <w:rPr>
          <w:bCs/>
          <w:sz w:val="22"/>
          <w:szCs w:val="22"/>
          <w:lang w:val="sr-Latn-ME"/>
        </w:rPr>
        <w:t>treba ukloniti u skladu sa važećim propisima.</w:t>
      </w:r>
    </w:p>
    <w:p w14:paraId="4F1F8CAE" w14:textId="77777777" w:rsidR="0072020E" w:rsidRPr="002A6AB6" w:rsidRDefault="0072020E" w:rsidP="00587700">
      <w:pPr>
        <w:tabs>
          <w:tab w:val="left" w:pos="540"/>
          <w:tab w:val="left" w:pos="569"/>
        </w:tabs>
        <w:jc w:val="both"/>
        <w:rPr>
          <w:bCs/>
          <w:sz w:val="22"/>
          <w:szCs w:val="22"/>
          <w:lang w:val="sr-Latn-ME"/>
        </w:rPr>
      </w:pPr>
    </w:p>
    <w:p w14:paraId="0864CD8D" w14:textId="77777777" w:rsidR="003B1931" w:rsidRPr="002A6AB6" w:rsidRDefault="003B1931" w:rsidP="00587700">
      <w:pPr>
        <w:tabs>
          <w:tab w:val="left" w:pos="540"/>
          <w:tab w:val="left" w:pos="569"/>
        </w:tabs>
        <w:jc w:val="both"/>
        <w:rPr>
          <w:bCs/>
          <w:sz w:val="22"/>
          <w:szCs w:val="22"/>
          <w:lang w:val="sr-Latn-ME"/>
        </w:rPr>
      </w:pPr>
    </w:p>
    <w:p w14:paraId="1E2E41A3" w14:textId="77777777" w:rsidR="00F8570A" w:rsidRPr="002A6AB6" w:rsidRDefault="0072020E" w:rsidP="00587700">
      <w:pPr>
        <w:tabs>
          <w:tab w:val="left" w:pos="540"/>
          <w:tab w:val="left" w:pos="569"/>
        </w:tabs>
        <w:jc w:val="both"/>
        <w:rPr>
          <w:b/>
          <w:bCs/>
          <w:sz w:val="22"/>
          <w:szCs w:val="22"/>
          <w:lang w:val="sr-Latn-ME"/>
        </w:rPr>
      </w:pPr>
      <w:r w:rsidRPr="002A6AB6">
        <w:rPr>
          <w:b/>
          <w:bCs/>
          <w:sz w:val="22"/>
          <w:szCs w:val="22"/>
          <w:lang w:val="sr-Latn-ME"/>
        </w:rPr>
        <w:t xml:space="preserve">7. </w:t>
      </w:r>
      <w:r w:rsidR="00480FB1" w:rsidRPr="002A6AB6">
        <w:rPr>
          <w:b/>
          <w:bCs/>
          <w:sz w:val="22"/>
          <w:szCs w:val="22"/>
          <w:lang w:val="sr-Latn-ME"/>
        </w:rPr>
        <w:tab/>
      </w:r>
      <w:r w:rsidRPr="002A6AB6">
        <w:rPr>
          <w:b/>
          <w:bCs/>
          <w:sz w:val="22"/>
          <w:szCs w:val="22"/>
          <w:lang w:val="sr-Latn-ME"/>
        </w:rPr>
        <w:t>NOSILAC DOZVOLE</w:t>
      </w:r>
      <w:r w:rsidR="00483928" w:rsidRPr="002A6AB6">
        <w:rPr>
          <w:b/>
          <w:bCs/>
          <w:sz w:val="22"/>
          <w:szCs w:val="22"/>
          <w:lang w:val="sr-Latn-ME"/>
        </w:rPr>
        <w:t xml:space="preserve"> </w:t>
      </w:r>
    </w:p>
    <w:p w14:paraId="6F98D285" w14:textId="77777777" w:rsidR="00C61BE0" w:rsidRPr="002A6AB6" w:rsidRDefault="00C61BE0" w:rsidP="00587700">
      <w:pPr>
        <w:tabs>
          <w:tab w:val="left" w:pos="540"/>
          <w:tab w:val="left" w:pos="569"/>
        </w:tabs>
        <w:jc w:val="both"/>
        <w:rPr>
          <w:bCs/>
          <w:sz w:val="22"/>
          <w:szCs w:val="22"/>
          <w:lang w:val="sr-Latn-ME"/>
        </w:rPr>
      </w:pPr>
    </w:p>
    <w:p w14:paraId="54D11D05" w14:textId="50CC955C" w:rsidR="00040429" w:rsidRPr="002A6AB6" w:rsidRDefault="00040429" w:rsidP="00587700">
      <w:pPr>
        <w:tabs>
          <w:tab w:val="left" w:pos="540"/>
          <w:tab w:val="left" w:pos="569"/>
        </w:tabs>
        <w:jc w:val="both"/>
        <w:rPr>
          <w:bCs/>
          <w:sz w:val="22"/>
          <w:szCs w:val="22"/>
          <w:lang w:val="sr-Latn-ME"/>
        </w:rPr>
      </w:pPr>
      <w:r w:rsidRPr="002A6AB6">
        <w:rPr>
          <w:bCs/>
          <w:sz w:val="22"/>
          <w:szCs w:val="22"/>
          <w:lang w:val="sr-Latn-ME"/>
        </w:rPr>
        <w:t>„</w:t>
      </w:r>
      <w:proofErr w:type="spellStart"/>
      <w:r w:rsidRPr="002A6AB6">
        <w:rPr>
          <w:bCs/>
          <w:sz w:val="22"/>
          <w:szCs w:val="22"/>
          <w:lang w:val="sr-Latn-ME"/>
        </w:rPr>
        <w:t>Hoffmann</w:t>
      </w:r>
      <w:proofErr w:type="spellEnd"/>
      <w:r w:rsidRPr="002A6AB6">
        <w:rPr>
          <w:bCs/>
          <w:sz w:val="22"/>
          <w:szCs w:val="22"/>
          <w:lang w:val="sr-Latn-ME"/>
        </w:rPr>
        <w:t xml:space="preserve">-La </w:t>
      </w:r>
      <w:proofErr w:type="spellStart"/>
      <w:r w:rsidRPr="002A6AB6">
        <w:rPr>
          <w:bCs/>
          <w:sz w:val="22"/>
          <w:szCs w:val="22"/>
          <w:lang w:val="sr-Latn-ME"/>
        </w:rPr>
        <w:t>Roche</w:t>
      </w:r>
      <w:proofErr w:type="spellEnd"/>
      <w:r w:rsidRPr="002A6AB6">
        <w:rPr>
          <w:bCs/>
          <w:sz w:val="22"/>
          <w:szCs w:val="22"/>
          <w:lang w:val="sr-Latn-ME"/>
        </w:rPr>
        <w:t xml:space="preserve"> </w:t>
      </w:r>
      <w:r w:rsidR="009C6B53" w:rsidRPr="002A6AB6">
        <w:rPr>
          <w:bCs/>
          <w:sz w:val="22"/>
          <w:szCs w:val="22"/>
          <w:lang w:val="sr-Latn-ME"/>
        </w:rPr>
        <w:t>LTD</w:t>
      </w:r>
      <w:r w:rsidRPr="002A6AB6">
        <w:rPr>
          <w:bCs/>
          <w:sz w:val="22"/>
          <w:szCs w:val="22"/>
          <w:lang w:val="sr-Latn-ME"/>
        </w:rPr>
        <w:t>“ </w:t>
      </w:r>
      <w:r w:rsidR="009C6B53" w:rsidRPr="002A6AB6">
        <w:rPr>
          <w:bCs/>
          <w:sz w:val="22"/>
          <w:szCs w:val="22"/>
          <w:lang w:val="sr-Latn-ME"/>
        </w:rPr>
        <w:t>D.S.D.</w:t>
      </w:r>
      <w:r w:rsidRPr="002A6AB6">
        <w:rPr>
          <w:bCs/>
          <w:sz w:val="22"/>
          <w:szCs w:val="22"/>
          <w:lang w:val="sr-Latn-ME"/>
        </w:rPr>
        <w:t xml:space="preserve"> Podgorica</w:t>
      </w:r>
      <w:r w:rsidR="009C6B53" w:rsidRPr="002A6AB6">
        <w:rPr>
          <w:bCs/>
          <w:sz w:val="22"/>
          <w:szCs w:val="22"/>
          <w:lang w:val="sr-Latn-ME"/>
        </w:rPr>
        <w:t>,</w:t>
      </w:r>
    </w:p>
    <w:p w14:paraId="75532773" w14:textId="77777777" w:rsidR="00040429" w:rsidRPr="002A6AB6" w:rsidRDefault="00040429" w:rsidP="00587700">
      <w:pPr>
        <w:tabs>
          <w:tab w:val="left" w:pos="540"/>
          <w:tab w:val="left" w:pos="569"/>
        </w:tabs>
        <w:jc w:val="both"/>
        <w:rPr>
          <w:bCs/>
          <w:sz w:val="22"/>
          <w:szCs w:val="22"/>
          <w:lang w:val="sr-Latn-ME"/>
        </w:rPr>
      </w:pPr>
      <w:r w:rsidRPr="002A6AB6">
        <w:rPr>
          <w:bCs/>
          <w:sz w:val="22"/>
          <w:szCs w:val="22"/>
          <w:lang w:val="sr-Latn-ME"/>
        </w:rPr>
        <w:t>ul. Cetinjska 11, 81000 Podgorica, Crna Gora</w:t>
      </w:r>
    </w:p>
    <w:p w14:paraId="121D506E" w14:textId="77777777" w:rsidR="009C6B53" w:rsidRPr="002A6AB6" w:rsidRDefault="009C6B53" w:rsidP="00587700">
      <w:pPr>
        <w:tabs>
          <w:tab w:val="left" w:pos="540"/>
          <w:tab w:val="left" w:pos="569"/>
        </w:tabs>
        <w:jc w:val="both"/>
        <w:rPr>
          <w:bCs/>
          <w:sz w:val="22"/>
          <w:szCs w:val="22"/>
          <w:lang w:val="sr-Latn-ME"/>
        </w:rPr>
      </w:pPr>
    </w:p>
    <w:p w14:paraId="09A343F0" w14:textId="77777777" w:rsidR="00C37FD7" w:rsidRPr="002A6AB6" w:rsidRDefault="00C37FD7" w:rsidP="00587700">
      <w:pPr>
        <w:tabs>
          <w:tab w:val="left" w:pos="540"/>
          <w:tab w:val="left" w:pos="569"/>
        </w:tabs>
        <w:jc w:val="both"/>
        <w:rPr>
          <w:bCs/>
          <w:sz w:val="22"/>
          <w:szCs w:val="22"/>
          <w:lang w:val="sr-Latn-ME"/>
        </w:rPr>
      </w:pPr>
    </w:p>
    <w:p w14:paraId="5771F599" w14:textId="77777777" w:rsidR="0072020E" w:rsidRPr="002A6AB6" w:rsidRDefault="0072020E" w:rsidP="00587700">
      <w:pPr>
        <w:tabs>
          <w:tab w:val="left" w:pos="540"/>
          <w:tab w:val="left" w:pos="569"/>
        </w:tabs>
        <w:jc w:val="both"/>
        <w:rPr>
          <w:b/>
          <w:bCs/>
          <w:sz w:val="22"/>
          <w:szCs w:val="22"/>
          <w:lang w:val="sr-Latn-ME"/>
        </w:rPr>
      </w:pPr>
      <w:r w:rsidRPr="002A6AB6">
        <w:rPr>
          <w:b/>
          <w:bCs/>
          <w:sz w:val="22"/>
          <w:szCs w:val="22"/>
          <w:lang w:val="sr-Latn-ME"/>
        </w:rPr>
        <w:t xml:space="preserve">8. </w:t>
      </w:r>
      <w:r w:rsidR="00480FB1" w:rsidRPr="002A6AB6">
        <w:rPr>
          <w:b/>
          <w:bCs/>
          <w:sz w:val="22"/>
          <w:szCs w:val="22"/>
          <w:lang w:val="sr-Latn-ME"/>
        </w:rPr>
        <w:tab/>
      </w:r>
      <w:r w:rsidRPr="002A6AB6">
        <w:rPr>
          <w:b/>
          <w:bCs/>
          <w:sz w:val="22"/>
          <w:szCs w:val="22"/>
          <w:lang w:val="sr-Latn-ME"/>
        </w:rPr>
        <w:t>BROJ DOZVOLE</w:t>
      </w:r>
      <w:r w:rsidR="008A6D43" w:rsidRPr="002A6AB6">
        <w:rPr>
          <w:b/>
          <w:bCs/>
          <w:sz w:val="22"/>
          <w:szCs w:val="22"/>
          <w:lang w:val="sr-Latn-ME"/>
        </w:rPr>
        <w:t xml:space="preserve"> ZA STAVLJANJE LIJEKA U PROMET</w:t>
      </w:r>
    </w:p>
    <w:p w14:paraId="49E7DD40" w14:textId="77777777" w:rsidR="0072020E" w:rsidRPr="002A6AB6" w:rsidRDefault="0072020E" w:rsidP="00587700">
      <w:pPr>
        <w:tabs>
          <w:tab w:val="left" w:pos="540"/>
          <w:tab w:val="left" w:pos="569"/>
        </w:tabs>
        <w:jc w:val="both"/>
        <w:rPr>
          <w:bCs/>
          <w:sz w:val="22"/>
          <w:szCs w:val="22"/>
          <w:lang w:val="sr-Latn-ME"/>
        </w:rPr>
      </w:pPr>
    </w:p>
    <w:p w14:paraId="1F7E4F89" w14:textId="28A7C4F8" w:rsidR="002A6AB6" w:rsidRPr="002A6AB6" w:rsidRDefault="002A6AB6" w:rsidP="002A6AB6">
      <w:pPr>
        <w:jc w:val="both"/>
        <w:rPr>
          <w:sz w:val="22"/>
          <w:szCs w:val="22"/>
          <w:lang w:val="sr-Latn-ME"/>
        </w:rPr>
      </w:pPr>
      <w:r w:rsidRPr="002A6AB6">
        <w:rPr>
          <w:sz w:val="22"/>
          <w:szCs w:val="22"/>
          <w:lang w:val="sr-Latn-ME"/>
        </w:rPr>
        <w:t xml:space="preserve">2030/25/2198 – 974 </w:t>
      </w:r>
    </w:p>
    <w:p w14:paraId="5F1FC4F4" w14:textId="77777777" w:rsidR="009C6B53" w:rsidRPr="002A6AB6" w:rsidRDefault="009C6B53" w:rsidP="00587700">
      <w:pPr>
        <w:tabs>
          <w:tab w:val="left" w:pos="540"/>
          <w:tab w:val="left" w:pos="569"/>
        </w:tabs>
        <w:jc w:val="both"/>
        <w:rPr>
          <w:bCs/>
          <w:sz w:val="22"/>
          <w:szCs w:val="22"/>
          <w:lang w:val="sr-Latn-ME"/>
        </w:rPr>
      </w:pPr>
    </w:p>
    <w:p w14:paraId="60D3A346" w14:textId="77777777" w:rsidR="00F45F77" w:rsidRPr="002A6AB6" w:rsidRDefault="00F45F77" w:rsidP="00587700">
      <w:pPr>
        <w:tabs>
          <w:tab w:val="left" w:pos="540"/>
          <w:tab w:val="left" w:pos="569"/>
        </w:tabs>
        <w:jc w:val="both"/>
        <w:rPr>
          <w:bCs/>
          <w:sz w:val="22"/>
          <w:szCs w:val="22"/>
          <w:lang w:val="sr-Latn-ME"/>
        </w:rPr>
      </w:pPr>
    </w:p>
    <w:p w14:paraId="322B9E14" w14:textId="77777777" w:rsidR="0072020E" w:rsidRPr="002A6AB6" w:rsidRDefault="0072020E" w:rsidP="00587700">
      <w:pPr>
        <w:tabs>
          <w:tab w:val="left" w:pos="540"/>
          <w:tab w:val="left" w:pos="569"/>
        </w:tabs>
        <w:jc w:val="both"/>
        <w:rPr>
          <w:b/>
          <w:bCs/>
          <w:sz w:val="22"/>
          <w:szCs w:val="22"/>
          <w:lang w:val="sr-Latn-ME"/>
        </w:rPr>
      </w:pPr>
      <w:r w:rsidRPr="002A6AB6">
        <w:rPr>
          <w:b/>
          <w:bCs/>
          <w:sz w:val="22"/>
          <w:szCs w:val="22"/>
          <w:lang w:val="sr-Latn-ME"/>
        </w:rPr>
        <w:t xml:space="preserve">9. </w:t>
      </w:r>
      <w:r w:rsidR="00480FB1" w:rsidRPr="002A6AB6">
        <w:rPr>
          <w:b/>
          <w:bCs/>
          <w:sz w:val="22"/>
          <w:szCs w:val="22"/>
          <w:lang w:val="sr-Latn-ME"/>
        </w:rPr>
        <w:tab/>
      </w:r>
      <w:r w:rsidRPr="002A6AB6">
        <w:rPr>
          <w:b/>
          <w:bCs/>
          <w:sz w:val="22"/>
          <w:szCs w:val="22"/>
          <w:lang w:val="sr-Latn-ME"/>
        </w:rPr>
        <w:t xml:space="preserve">DATUM </w:t>
      </w:r>
      <w:r w:rsidR="00C05DF8" w:rsidRPr="002A6AB6">
        <w:rPr>
          <w:b/>
          <w:bCs/>
          <w:sz w:val="22"/>
          <w:szCs w:val="22"/>
          <w:lang w:val="sr-Latn-ME"/>
        </w:rPr>
        <w:t xml:space="preserve">PRVE </w:t>
      </w:r>
      <w:r w:rsidR="008A6D43" w:rsidRPr="002A6AB6">
        <w:rPr>
          <w:b/>
          <w:bCs/>
          <w:sz w:val="22"/>
          <w:szCs w:val="22"/>
          <w:lang w:val="sr-Latn-ME"/>
        </w:rPr>
        <w:t>DOZVOLE</w:t>
      </w:r>
      <w:r w:rsidR="00C05DF8" w:rsidRPr="002A6AB6">
        <w:rPr>
          <w:b/>
          <w:bCs/>
          <w:sz w:val="22"/>
          <w:szCs w:val="22"/>
          <w:lang w:val="sr-Latn-ME"/>
        </w:rPr>
        <w:t>/OBNOVE DOZVOLE</w:t>
      </w:r>
      <w:r w:rsidR="008A6D43" w:rsidRPr="002A6AB6">
        <w:rPr>
          <w:b/>
          <w:bCs/>
          <w:sz w:val="22"/>
          <w:szCs w:val="22"/>
          <w:lang w:val="sr-Latn-ME"/>
        </w:rPr>
        <w:t xml:space="preserve"> ZA STAVLJANJE LIJEKA U PROMET</w:t>
      </w:r>
    </w:p>
    <w:p w14:paraId="4E5C4373" w14:textId="77777777" w:rsidR="0072020E" w:rsidRPr="002A6AB6" w:rsidRDefault="0072020E" w:rsidP="00587700">
      <w:pPr>
        <w:tabs>
          <w:tab w:val="left" w:pos="540"/>
          <w:tab w:val="left" w:pos="569"/>
        </w:tabs>
        <w:jc w:val="both"/>
        <w:rPr>
          <w:bCs/>
          <w:sz w:val="22"/>
          <w:szCs w:val="22"/>
          <w:lang w:val="sr-Latn-ME"/>
        </w:rPr>
      </w:pPr>
    </w:p>
    <w:p w14:paraId="449478FB" w14:textId="2E82E860" w:rsidR="009C6B53" w:rsidRPr="002A6AB6" w:rsidRDefault="002A6AB6" w:rsidP="00587700">
      <w:pPr>
        <w:tabs>
          <w:tab w:val="left" w:pos="540"/>
          <w:tab w:val="left" w:pos="569"/>
        </w:tabs>
        <w:jc w:val="both"/>
        <w:rPr>
          <w:sz w:val="22"/>
          <w:szCs w:val="22"/>
          <w:lang w:val="sr-Latn-ME"/>
        </w:rPr>
      </w:pPr>
      <w:r w:rsidRPr="002A6AB6">
        <w:rPr>
          <w:sz w:val="22"/>
          <w:szCs w:val="22"/>
          <w:lang w:val="sr-Latn-ME"/>
        </w:rPr>
        <w:t>29.05.2025. godine</w:t>
      </w:r>
    </w:p>
    <w:p w14:paraId="6F197C18" w14:textId="77777777" w:rsidR="002A6AB6" w:rsidRPr="002A6AB6" w:rsidRDefault="002A6AB6" w:rsidP="00587700">
      <w:pPr>
        <w:tabs>
          <w:tab w:val="left" w:pos="540"/>
          <w:tab w:val="left" w:pos="569"/>
        </w:tabs>
        <w:jc w:val="both"/>
        <w:rPr>
          <w:bCs/>
          <w:sz w:val="22"/>
          <w:szCs w:val="22"/>
          <w:lang w:val="sr-Latn-ME"/>
        </w:rPr>
      </w:pPr>
      <w:bookmarkStart w:id="10" w:name="_GoBack"/>
      <w:bookmarkEnd w:id="10"/>
    </w:p>
    <w:p w14:paraId="0EF205BC" w14:textId="77777777" w:rsidR="00836B35" w:rsidRPr="002A6AB6" w:rsidRDefault="00836B35" w:rsidP="00587700">
      <w:pPr>
        <w:tabs>
          <w:tab w:val="left" w:pos="540"/>
          <w:tab w:val="left" w:pos="569"/>
        </w:tabs>
        <w:jc w:val="both"/>
        <w:rPr>
          <w:bCs/>
          <w:sz w:val="22"/>
          <w:szCs w:val="22"/>
          <w:lang w:val="sr-Latn-ME"/>
        </w:rPr>
      </w:pPr>
    </w:p>
    <w:p w14:paraId="75D2BAE3" w14:textId="720E2641" w:rsidR="003F6A59" w:rsidRPr="002A6AB6" w:rsidRDefault="0072020E" w:rsidP="00587700">
      <w:pPr>
        <w:tabs>
          <w:tab w:val="left" w:pos="540"/>
          <w:tab w:val="left" w:pos="569"/>
        </w:tabs>
        <w:ind w:left="540" w:hanging="540"/>
        <w:jc w:val="both"/>
        <w:rPr>
          <w:b/>
          <w:bCs/>
          <w:sz w:val="22"/>
          <w:szCs w:val="22"/>
          <w:lang w:val="sr-Latn-ME"/>
        </w:rPr>
      </w:pPr>
      <w:r w:rsidRPr="002A6AB6">
        <w:rPr>
          <w:b/>
          <w:bCs/>
          <w:sz w:val="22"/>
          <w:szCs w:val="22"/>
          <w:lang w:val="sr-Latn-ME"/>
        </w:rPr>
        <w:t xml:space="preserve">10. </w:t>
      </w:r>
      <w:r w:rsidR="00480FB1" w:rsidRPr="002A6AB6">
        <w:rPr>
          <w:b/>
          <w:bCs/>
          <w:sz w:val="22"/>
          <w:szCs w:val="22"/>
          <w:lang w:val="sr-Latn-ME"/>
        </w:rPr>
        <w:tab/>
      </w:r>
      <w:r w:rsidR="002846DB" w:rsidRPr="002A6AB6">
        <w:rPr>
          <w:b/>
          <w:bCs/>
          <w:sz w:val="22"/>
          <w:szCs w:val="22"/>
          <w:lang w:val="sr-Latn-ME"/>
        </w:rPr>
        <w:t>D</w:t>
      </w:r>
      <w:r w:rsidR="00EC2532" w:rsidRPr="002A6AB6">
        <w:rPr>
          <w:b/>
          <w:bCs/>
          <w:sz w:val="22"/>
          <w:szCs w:val="22"/>
          <w:lang w:val="sr-Latn-ME"/>
        </w:rPr>
        <w:t xml:space="preserve">ATUM REVIZIJE TEKSTA </w:t>
      </w:r>
    </w:p>
    <w:p w14:paraId="23DE756A" w14:textId="3497F038" w:rsidR="002A6AB6" w:rsidRPr="002A6AB6" w:rsidRDefault="002A6AB6" w:rsidP="00587700">
      <w:pPr>
        <w:tabs>
          <w:tab w:val="left" w:pos="540"/>
          <w:tab w:val="left" w:pos="569"/>
        </w:tabs>
        <w:ind w:left="540" w:hanging="540"/>
        <w:jc w:val="both"/>
        <w:rPr>
          <w:b/>
          <w:bCs/>
          <w:sz w:val="22"/>
          <w:szCs w:val="22"/>
          <w:lang w:val="sr-Latn-ME"/>
        </w:rPr>
      </w:pPr>
    </w:p>
    <w:p w14:paraId="43E768B7" w14:textId="204E864E" w:rsidR="002A6AB6" w:rsidRPr="002A6AB6" w:rsidRDefault="002A6AB6" w:rsidP="00587700">
      <w:pPr>
        <w:tabs>
          <w:tab w:val="left" w:pos="540"/>
          <w:tab w:val="left" w:pos="569"/>
        </w:tabs>
        <w:ind w:left="540" w:hanging="540"/>
        <w:jc w:val="both"/>
        <w:rPr>
          <w:sz w:val="22"/>
          <w:szCs w:val="22"/>
          <w:lang w:val="sr-Latn-ME"/>
        </w:rPr>
      </w:pPr>
      <w:r w:rsidRPr="002A6AB6">
        <w:rPr>
          <w:bCs/>
          <w:sz w:val="22"/>
          <w:szCs w:val="22"/>
          <w:lang w:val="sr-Latn-ME"/>
        </w:rPr>
        <w:t>Maj, 2025. godine</w:t>
      </w:r>
    </w:p>
    <w:sectPr w:rsidR="002A6AB6" w:rsidRPr="002A6AB6" w:rsidSect="006B5404">
      <w:footerReference w:type="default" r:id="rId14"/>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BDF0C" w14:textId="77777777" w:rsidR="00082C53" w:rsidRDefault="00082C53">
      <w:r>
        <w:separator/>
      </w:r>
    </w:p>
  </w:endnote>
  <w:endnote w:type="continuationSeparator" w:id="0">
    <w:p w14:paraId="6CF7A142" w14:textId="77777777" w:rsidR="00082C53" w:rsidRDefault="00082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Italic">
    <w:altName w:val="MS Mincho"/>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1A0FF" w14:textId="22640C93" w:rsidR="002A6AB6" w:rsidRPr="00B23F69" w:rsidRDefault="002A6AB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2B66C6">
      <w:rPr>
        <w:noProof/>
        <w:sz w:val="22"/>
        <w:szCs w:val="22"/>
      </w:rPr>
      <w:t>23</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2B66C6">
      <w:rPr>
        <w:noProof/>
        <w:sz w:val="22"/>
        <w:szCs w:val="22"/>
      </w:rPr>
      <w:t>24</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6D674" w14:textId="77777777" w:rsidR="00082C53" w:rsidRDefault="00082C53">
      <w:r>
        <w:separator/>
      </w:r>
    </w:p>
  </w:footnote>
  <w:footnote w:type="continuationSeparator" w:id="0">
    <w:p w14:paraId="1DCC9C4D" w14:textId="77777777" w:rsidR="00082C53" w:rsidRDefault="00082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5.75pt;height:13.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688D"/>
    <w:rsid w:val="00033469"/>
    <w:rsid w:val="00036FA0"/>
    <w:rsid w:val="0003793F"/>
    <w:rsid w:val="00040429"/>
    <w:rsid w:val="00045130"/>
    <w:rsid w:val="000513BC"/>
    <w:rsid w:val="00057E35"/>
    <w:rsid w:val="00075E28"/>
    <w:rsid w:val="00076726"/>
    <w:rsid w:val="00080303"/>
    <w:rsid w:val="00082C53"/>
    <w:rsid w:val="00083D02"/>
    <w:rsid w:val="000A3F58"/>
    <w:rsid w:val="000D2343"/>
    <w:rsid w:val="000D3449"/>
    <w:rsid w:val="000D425A"/>
    <w:rsid w:val="000D60CC"/>
    <w:rsid w:val="000E2084"/>
    <w:rsid w:val="000E6F55"/>
    <w:rsid w:val="000F77FA"/>
    <w:rsid w:val="00107BF7"/>
    <w:rsid w:val="00122792"/>
    <w:rsid w:val="00126F53"/>
    <w:rsid w:val="0014766D"/>
    <w:rsid w:val="00151BB4"/>
    <w:rsid w:val="001536CC"/>
    <w:rsid w:val="001A3FBA"/>
    <w:rsid w:val="001A5518"/>
    <w:rsid w:val="001B1C6A"/>
    <w:rsid w:val="001C1263"/>
    <w:rsid w:val="001C1417"/>
    <w:rsid w:val="001E390B"/>
    <w:rsid w:val="001F42FB"/>
    <w:rsid w:val="001F719A"/>
    <w:rsid w:val="002031B3"/>
    <w:rsid w:val="00215931"/>
    <w:rsid w:val="00224C91"/>
    <w:rsid w:val="00227BDB"/>
    <w:rsid w:val="00234CB1"/>
    <w:rsid w:val="002352F8"/>
    <w:rsid w:val="002510A5"/>
    <w:rsid w:val="00254A0A"/>
    <w:rsid w:val="00266046"/>
    <w:rsid w:val="002846DB"/>
    <w:rsid w:val="00284CCD"/>
    <w:rsid w:val="00284F15"/>
    <w:rsid w:val="00294E49"/>
    <w:rsid w:val="002A6AB6"/>
    <w:rsid w:val="002B66C6"/>
    <w:rsid w:val="002C6637"/>
    <w:rsid w:val="002E0135"/>
    <w:rsid w:val="002E37A5"/>
    <w:rsid w:val="00310F03"/>
    <w:rsid w:val="00320270"/>
    <w:rsid w:val="003247D2"/>
    <w:rsid w:val="003445C1"/>
    <w:rsid w:val="00355B61"/>
    <w:rsid w:val="00362686"/>
    <w:rsid w:val="00371510"/>
    <w:rsid w:val="00396DFD"/>
    <w:rsid w:val="003A7059"/>
    <w:rsid w:val="003B1931"/>
    <w:rsid w:val="003B7A36"/>
    <w:rsid w:val="003C17AB"/>
    <w:rsid w:val="003C7823"/>
    <w:rsid w:val="003E1DCC"/>
    <w:rsid w:val="003F11A1"/>
    <w:rsid w:val="003F4FAB"/>
    <w:rsid w:val="003F6A59"/>
    <w:rsid w:val="004065C8"/>
    <w:rsid w:val="004109FA"/>
    <w:rsid w:val="00411B4B"/>
    <w:rsid w:val="00415BEE"/>
    <w:rsid w:val="004254E9"/>
    <w:rsid w:val="00427F85"/>
    <w:rsid w:val="00436D43"/>
    <w:rsid w:val="00436F42"/>
    <w:rsid w:val="004378B4"/>
    <w:rsid w:val="004421B3"/>
    <w:rsid w:val="00451314"/>
    <w:rsid w:val="00452E9D"/>
    <w:rsid w:val="004534C7"/>
    <w:rsid w:val="00466B8B"/>
    <w:rsid w:val="004671AA"/>
    <w:rsid w:val="00471DF8"/>
    <w:rsid w:val="00480FB1"/>
    <w:rsid w:val="00483928"/>
    <w:rsid w:val="004C331F"/>
    <w:rsid w:val="004C45E5"/>
    <w:rsid w:val="004D6103"/>
    <w:rsid w:val="004E3BCE"/>
    <w:rsid w:val="004E70AD"/>
    <w:rsid w:val="004F0E97"/>
    <w:rsid w:val="004F17E2"/>
    <w:rsid w:val="00501DD1"/>
    <w:rsid w:val="00515C21"/>
    <w:rsid w:val="00530BD7"/>
    <w:rsid w:val="00545CD2"/>
    <w:rsid w:val="00547644"/>
    <w:rsid w:val="005476F3"/>
    <w:rsid w:val="00550472"/>
    <w:rsid w:val="00572527"/>
    <w:rsid w:val="00573E40"/>
    <w:rsid w:val="00576348"/>
    <w:rsid w:val="00587700"/>
    <w:rsid w:val="00594105"/>
    <w:rsid w:val="005A0B2E"/>
    <w:rsid w:val="005A23D2"/>
    <w:rsid w:val="005A36CB"/>
    <w:rsid w:val="005B49B8"/>
    <w:rsid w:val="005C0741"/>
    <w:rsid w:val="005C5EF4"/>
    <w:rsid w:val="005E2E0B"/>
    <w:rsid w:val="005E67AD"/>
    <w:rsid w:val="005E7A7D"/>
    <w:rsid w:val="00602457"/>
    <w:rsid w:val="00644FC3"/>
    <w:rsid w:val="00646BD1"/>
    <w:rsid w:val="006561C2"/>
    <w:rsid w:val="00671CB3"/>
    <w:rsid w:val="00674BAF"/>
    <w:rsid w:val="00682200"/>
    <w:rsid w:val="00687DF0"/>
    <w:rsid w:val="00692BF6"/>
    <w:rsid w:val="006A1351"/>
    <w:rsid w:val="006A1497"/>
    <w:rsid w:val="006B0BD1"/>
    <w:rsid w:val="006B5404"/>
    <w:rsid w:val="006B6503"/>
    <w:rsid w:val="006D20A5"/>
    <w:rsid w:val="006D37BF"/>
    <w:rsid w:val="00702E22"/>
    <w:rsid w:val="0072020E"/>
    <w:rsid w:val="00754902"/>
    <w:rsid w:val="00786071"/>
    <w:rsid w:val="007A3ECB"/>
    <w:rsid w:val="007D7BB3"/>
    <w:rsid w:val="007E31E9"/>
    <w:rsid w:val="007F05E3"/>
    <w:rsid w:val="007F661E"/>
    <w:rsid w:val="00824AB9"/>
    <w:rsid w:val="00836B35"/>
    <w:rsid w:val="00843BDE"/>
    <w:rsid w:val="0087588C"/>
    <w:rsid w:val="0089705C"/>
    <w:rsid w:val="008A6D43"/>
    <w:rsid w:val="008B491E"/>
    <w:rsid w:val="008C1A28"/>
    <w:rsid w:val="008C2E98"/>
    <w:rsid w:val="008E49BD"/>
    <w:rsid w:val="008E53E9"/>
    <w:rsid w:val="008E5771"/>
    <w:rsid w:val="008F4ACF"/>
    <w:rsid w:val="00924166"/>
    <w:rsid w:val="00940B9B"/>
    <w:rsid w:val="00950F03"/>
    <w:rsid w:val="00953573"/>
    <w:rsid w:val="0095380D"/>
    <w:rsid w:val="0095676E"/>
    <w:rsid w:val="00956983"/>
    <w:rsid w:val="00963CF0"/>
    <w:rsid w:val="00964BB1"/>
    <w:rsid w:val="009775D9"/>
    <w:rsid w:val="00997175"/>
    <w:rsid w:val="009A1847"/>
    <w:rsid w:val="009B062A"/>
    <w:rsid w:val="009C6B53"/>
    <w:rsid w:val="009E7C6F"/>
    <w:rsid w:val="009F1793"/>
    <w:rsid w:val="009F2D23"/>
    <w:rsid w:val="00A01D69"/>
    <w:rsid w:val="00A02335"/>
    <w:rsid w:val="00A46C9A"/>
    <w:rsid w:val="00A619F3"/>
    <w:rsid w:val="00A62A73"/>
    <w:rsid w:val="00A87FF6"/>
    <w:rsid w:val="00AA0A3B"/>
    <w:rsid w:val="00AA2763"/>
    <w:rsid w:val="00AA33B6"/>
    <w:rsid w:val="00AB50CA"/>
    <w:rsid w:val="00AB6D64"/>
    <w:rsid w:val="00AC53CE"/>
    <w:rsid w:val="00AD2193"/>
    <w:rsid w:val="00AE2DEC"/>
    <w:rsid w:val="00AF19F4"/>
    <w:rsid w:val="00AF2AC7"/>
    <w:rsid w:val="00AF74CE"/>
    <w:rsid w:val="00B14668"/>
    <w:rsid w:val="00B208DB"/>
    <w:rsid w:val="00B23F69"/>
    <w:rsid w:val="00B60619"/>
    <w:rsid w:val="00B66A70"/>
    <w:rsid w:val="00B67366"/>
    <w:rsid w:val="00B80EE1"/>
    <w:rsid w:val="00B84135"/>
    <w:rsid w:val="00C04D34"/>
    <w:rsid w:val="00C05DF8"/>
    <w:rsid w:val="00C06864"/>
    <w:rsid w:val="00C10F54"/>
    <w:rsid w:val="00C23D8D"/>
    <w:rsid w:val="00C37AA3"/>
    <w:rsid w:val="00C37FD7"/>
    <w:rsid w:val="00C43419"/>
    <w:rsid w:val="00C44CF3"/>
    <w:rsid w:val="00C518C1"/>
    <w:rsid w:val="00C61BE0"/>
    <w:rsid w:val="00C6707E"/>
    <w:rsid w:val="00C70B0E"/>
    <w:rsid w:val="00C773CA"/>
    <w:rsid w:val="00C83785"/>
    <w:rsid w:val="00C87FA8"/>
    <w:rsid w:val="00C90852"/>
    <w:rsid w:val="00C94C0D"/>
    <w:rsid w:val="00CA1FEB"/>
    <w:rsid w:val="00CD4F85"/>
    <w:rsid w:val="00CD6F02"/>
    <w:rsid w:val="00CE246D"/>
    <w:rsid w:val="00CF07A0"/>
    <w:rsid w:val="00CF3E03"/>
    <w:rsid w:val="00D0082A"/>
    <w:rsid w:val="00D21455"/>
    <w:rsid w:val="00D47634"/>
    <w:rsid w:val="00D709B3"/>
    <w:rsid w:val="00D74CD2"/>
    <w:rsid w:val="00DA2ED6"/>
    <w:rsid w:val="00DB1D55"/>
    <w:rsid w:val="00DB3E8C"/>
    <w:rsid w:val="00DB76B8"/>
    <w:rsid w:val="00DC2EA1"/>
    <w:rsid w:val="00DD10E7"/>
    <w:rsid w:val="00DD6AAF"/>
    <w:rsid w:val="00DE3F5C"/>
    <w:rsid w:val="00DF1D20"/>
    <w:rsid w:val="00E21324"/>
    <w:rsid w:val="00E246B9"/>
    <w:rsid w:val="00E31FEA"/>
    <w:rsid w:val="00E45169"/>
    <w:rsid w:val="00E47787"/>
    <w:rsid w:val="00E51C30"/>
    <w:rsid w:val="00E64180"/>
    <w:rsid w:val="00E7235D"/>
    <w:rsid w:val="00E74AEE"/>
    <w:rsid w:val="00E868E5"/>
    <w:rsid w:val="00E91805"/>
    <w:rsid w:val="00E9237A"/>
    <w:rsid w:val="00E939FA"/>
    <w:rsid w:val="00EA5765"/>
    <w:rsid w:val="00EB6543"/>
    <w:rsid w:val="00EC2532"/>
    <w:rsid w:val="00ED0D01"/>
    <w:rsid w:val="00ED7812"/>
    <w:rsid w:val="00EF3B86"/>
    <w:rsid w:val="00F317E9"/>
    <w:rsid w:val="00F34554"/>
    <w:rsid w:val="00F35B68"/>
    <w:rsid w:val="00F3786A"/>
    <w:rsid w:val="00F45F77"/>
    <w:rsid w:val="00F5167F"/>
    <w:rsid w:val="00F52258"/>
    <w:rsid w:val="00F8570A"/>
    <w:rsid w:val="00F91C7B"/>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BEC94"/>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Variables">
    <w:name w:val="_Variables"/>
    <w:basedOn w:val="DefaultParagraphFont"/>
    <w:uiPriority w:val="1"/>
    <w:rsid w:val="00466B8B"/>
    <w:rPr>
      <w:color w:val="00B050"/>
    </w:rPr>
  </w:style>
  <w:style w:type="character" w:styleId="PlaceholderText">
    <w:name w:val="Placeholder Text"/>
    <w:basedOn w:val="DefaultParagraphFont"/>
    <w:uiPriority w:val="99"/>
    <w:semiHidden/>
    <w:rsid w:val="00466B8B"/>
    <w:rPr>
      <w:color w:val="808080"/>
    </w:rPr>
  </w:style>
  <w:style w:type="paragraph" w:customStyle="1" w:styleId="QRDEnBodyText">
    <w:name w:val="QRD En Body Text"/>
    <w:basedOn w:val="Normal"/>
    <w:rsid w:val="00466B8B"/>
    <w:pPr>
      <w:tabs>
        <w:tab w:val="left" w:pos="567"/>
      </w:tabs>
      <w:spacing w:before="120" w:after="120" w:line="260" w:lineRule="exact"/>
    </w:pPr>
    <w:rPr>
      <w:sz w:val="22"/>
      <w:szCs w:val="20"/>
      <w:lang w:val="sr-Latn-RS"/>
    </w:rPr>
  </w:style>
  <w:style w:type="paragraph" w:customStyle="1" w:styleId="QRDEnTableText">
    <w:name w:val="QRD En Table Text"/>
    <w:basedOn w:val="QRDEnBodyText"/>
    <w:qFormat/>
    <w:rsid w:val="00466B8B"/>
    <w:pPr>
      <w:spacing w:before="0" w:after="0"/>
    </w:pPr>
  </w:style>
  <w:style w:type="paragraph" w:styleId="Revision">
    <w:name w:val="Revision"/>
    <w:hidden/>
    <w:uiPriority w:val="99"/>
    <w:semiHidden/>
    <w:rsid w:val="0012279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78ECF-911C-4689-83BA-F7D45699F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9917</Words>
  <Characters>56531</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66316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Ninoslava Lalatović</cp:lastModifiedBy>
  <cp:revision>3</cp:revision>
  <cp:lastPrinted>2023-02-09T08:16:00Z</cp:lastPrinted>
  <dcterms:created xsi:type="dcterms:W3CDTF">2025-05-29T08:25:00Z</dcterms:created>
  <dcterms:modified xsi:type="dcterms:W3CDTF">2025-05-29T12:13:00Z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