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FA5C2" w14:textId="77777777" w:rsidR="00C37FD7" w:rsidRPr="00D83C9F" w:rsidRDefault="002510A5" w:rsidP="00CE1E1D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D83C9F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0686E231" w14:textId="77777777" w:rsidR="003C17AB" w:rsidRPr="00D83C9F" w:rsidRDefault="003C17AB" w:rsidP="00CE1E1D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7FA015B0" w14:textId="77777777" w:rsidR="00C37FD7" w:rsidRPr="00D83C9F" w:rsidRDefault="00C37FD7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6D015D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>1.</w:t>
      </w:r>
      <w:r w:rsidR="00F5167F" w:rsidRPr="00D83C9F">
        <w:rPr>
          <w:b/>
          <w:bCs/>
          <w:sz w:val="22"/>
          <w:szCs w:val="22"/>
          <w:lang w:val="sr-Latn-ME"/>
        </w:rPr>
        <w:tab/>
      </w:r>
      <w:r w:rsidR="002846DB" w:rsidRPr="00D83C9F">
        <w:rPr>
          <w:b/>
          <w:bCs/>
          <w:sz w:val="22"/>
          <w:szCs w:val="22"/>
          <w:lang w:val="sr-Latn-ME"/>
        </w:rPr>
        <w:t xml:space="preserve">NAZIV </w:t>
      </w:r>
      <w:r w:rsidRPr="00D83C9F">
        <w:rPr>
          <w:b/>
          <w:bCs/>
          <w:sz w:val="22"/>
          <w:szCs w:val="22"/>
          <w:lang w:val="sr-Latn-ME"/>
        </w:rPr>
        <w:t>LIJEKA</w:t>
      </w:r>
    </w:p>
    <w:p w14:paraId="5FDA3383" w14:textId="77777777" w:rsidR="00EC2532" w:rsidRPr="00D83C9F" w:rsidRDefault="00EC2532" w:rsidP="00CE1E1D">
      <w:pPr>
        <w:rPr>
          <w:sz w:val="22"/>
          <w:szCs w:val="22"/>
          <w:lang w:val="sr-Latn-ME"/>
        </w:rPr>
      </w:pPr>
    </w:p>
    <w:p w14:paraId="50F7038D" w14:textId="77777777" w:rsidR="0002115E" w:rsidRPr="00D83C9F" w:rsidRDefault="0002115E" w:rsidP="00CE1E1D">
      <w:pPr>
        <w:rPr>
          <w:iCs/>
          <w:sz w:val="22"/>
          <w:szCs w:val="22"/>
          <w:lang w:val="sr-Latn-ME"/>
        </w:rPr>
      </w:pPr>
      <w:proofErr w:type="spellStart"/>
      <w:r w:rsidRPr="00D83C9F">
        <w:rPr>
          <w:iCs/>
          <w:sz w:val="22"/>
          <w:szCs w:val="22"/>
          <w:lang w:val="sr-Latn-ME"/>
        </w:rPr>
        <w:t>Avomit</w:t>
      </w:r>
      <w:proofErr w:type="spellEnd"/>
      <w:r w:rsidRPr="00D83C9F">
        <w:rPr>
          <w:iCs/>
          <w:sz w:val="22"/>
          <w:szCs w:val="22"/>
          <w:lang w:val="sr-Latn-ME"/>
        </w:rPr>
        <w:t>, 2,5 mg, film tableta</w:t>
      </w:r>
    </w:p>
    <w:p w14:paraId="2F5025B2" w14:textId="77777777" w:rsidR="0002115E" w:rsidRPr="00D83C9F" w:rsidRDefault="0002115E" w:rsidP="00CE1E1D">
      <w:pPr>
        <w:rPr>
          <w:bCs/>
          <w:sz w:val="22"/>
          <w:szCs w:val="22"/>
          <w:lang w:val="sr-Latn-ME"/>
        </w:rPr>
      </w:pPr>
    </w:p>
    <w:p w14:paraId="30C2DF9A" w14:textId="77777777" w:rsidR="0002115E" w:rsidRPr="00D83C9F" w:rsidRDefault="0002115E" w:rsidP="00CE1E1D">
      <w:pPr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INN: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</w:p>
    <w:p w14:paraId="3F08EACA" w14:textId="77777777" w:rsidR="006D20A5" w:rsidRPr="00D83C9F" w:rsidRDefault="006D20A5" w:rsidP="00CE1E1D">
      <w:pPr>
        <w:rPr>
          <w:bCs/>
          <w:sz w:val="22"/>
          <w:szCs w:val="22"/>
          <w:lang w:val="sr-Latn-ME"/>
        </w:rPr>
      </w:pPr>
    </w:p>
    <w:p w14:paraId="54242B09" w14:textId="77777777" w:rsidR="00530BD7" w:rsidRPr="00D83C9F" w:rsidRDefault="00530BD7" w:rsidP="00CE1E1D">
      <w:pPr>
        <w:rPr>
          <w:bCs/>
          <w:sz w:val="22"/>
          <w:szCs w:val="22"/>
          <w:lang w:val="sr-Latn-ME"/>
        </w:rPr>
      </w:pPr>
    </w:p>
    <w:p w14:paraId="0A93E871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2. </w:t>
      </w:r>
      <w:r w:rsidR="00F5167F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KVALITATIVNI I KVANTITATIVNI SASTAV</w:t>
      </w:r>
    </w:p>
    <w:p w14:paraId="6748E74D" w14:textId="77777777" w:rsidR="005A0B2E" w:rsidRPr="00D83C9F" w:rsidRDefault="005A0B2E" w:rsidP="00CE1E1D">
      <w:pPr>
        <w:rPr>
          <w:sz w:val="22"/>
          <w:szCs w:val="22"/>
          <w:lang w:val="sr-Latn-ME"/>
        </w:rPr>
      </w:pPr>
    </w:p>
    <w:p w14:paraId="72DE7446" w14:textId="45E03E42" w:rsidR="0002115E" w:rsidRPr="00D83C9F" w:rsidRDefault="002F007B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Jedna</w:t>
      </w:r>
      <w:r w:rsidR="0002115E" w:rsidRPr="00D83C9F">
        <w:rPr>
          <w:bCs/>
          <w:sz w:val="22"/>
          <w:szCs w:val="22"/>
          <w:lang w:val="sr-Latn-ME"/>
        </w:rPr>
        <w:t xml:space="preserve"> film tableta sadrži 2,5 mg </w:t>
      </w:r>
      <w:proofErr w:type="spellStart"/>
      <w:r w:rsidR="0002115E" w:rsidRPr="00D83C9F">
        <w:rPr>
          <w:bCs/>
          <w:sz w:val="22"/>
          <w:szCs w:val="22"/>
          <w:lang w:val="sr-Latn-ME"/>
        </w:rPr>
        <w:t>letrozola</w:t>
      </w:r>
      <w:proofErr w:type="spellEnd"/>
      <w:r w:rsidR="0002115E" w:rsidRPr="00D83C9F">
        <w:rPr>
          <w:bCs/>
          <w:sz w:val="22"/>
          <w:szCs w:val="22"/>
          <w:lang w:val="sr-Latn-ME"/>
        </w:rPr>
        <w:t>.</w:t>
      </w:r>
    </w:p>
    <w:p w14:paraId="5B1F9292" w14:textId="77777777" w:rsidR="0002115E" w:rsidRPr="00D83C9F" w:rsidRDefault="0002115E" w:rsidP="00CE1E1D">
      <w:pPr>
        <w:rPr>
          <w:sz w:val="22"/>
          <w:szCs w:val="22"/>
          <w:lang w:val="sr-Latn-ME"/>
        </w:rPr>
      </w:pPr>
    </w:p>
    <w:p w14:paraId="6546CFAA" w14:textId="67E7A5DC" w:rsidR="0002115E" w:rsidRPr="00D83C9F" w:rsidRDefault="0002115E" w:rsidP="00CE1E1D">
      <w:pPr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Pomoćn</w:t>
      </w:r>
      <w:r w:rsidR="00CE1E1D" w:rsidRPr="00D83C9F">
        <w:rPr>
          <w:sz w:val="22"/>
          <w:szCs w:val="22"/>
          <w:u w:val="single"/>
          <w:lang w:val="sr-Latn-ME"/>
        </w:rPr>
        <w:t>e</w:t>
      </w:r>
      <w:r w:rsidRPr="00D83C9F">
        <w:rPr>
          <w:sz w:val="22"/>
          <w:szCs w:val="22"/>
          <w:u w:val="single"/>
          <w:lang w:val="sr-Latn-ME"/>
        </w:rPr>
        <w:t xml:space="preserve"> supstanc</w:t>
      </w:r>
      <w:r w:rsidR="00CE1E1D" w:rsidRPr="00D83C9F">
        <w:rPr>
          <w:sz w:val="22"/>
          <w:szCs w:val="22"/>
          <w:u w:val="single"/>
          <w:lang w:val="sr-Latn-ME"/>
        </w:rPr>
        <w:t>e</w:t>
      </w:r>
      <w:r w:rsidRPr="00D83C9F">
        <w:rPr>
          <w:sz w:val="22"/>
          <w:szCs w:val="22"/>
          <w:u w:val="single"/>
          <w:lang w:val="sr-Latn-ME"/>
        </w:rPr>
        <w:t xml:space="preserve"> sa potvrđenim dejstvom</w:t>
      </w:r>
    </w:p>
    <w:p w14:paraId="6899AAC9" w14:textId="3CD2CAA1" w:rsidR="0002115E" w:rsidRPr="00D83C9F" w:rsidRDefault="0002115E" w:rsidP="002D2DFB">
      <w:pPr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Jedna </w:t>
      </w:r>
      <w:r w:rsidR="00CE1E1D" w:rsidRPr="00D83C9F">
        <w:rPr>
          <w:sz w:val="22"/>
          <w:szCs w:val="22"/>
          <w:lang w:val="sr-Latn-ME"/>
        </w:rPr>
        <w:t xml:space="preserve">film </w:t>
      </w:r>
      <w:r w:rsidRPr="00D83C9F">
        <w:rPr>
          <w:sz w:val="22"/>
          <w:szCs w:val="22"/>
          <w:lang w:val="sr-Latn-ME"/>
        </w:rPr>
        <w:t>tableta sadrži 63,6 mg laktoz</w:t>
      </w:r>
      <w:r w:rsidR="00CE1E1D" w:rsidRPr="00D83C9F">
        <w:rPr>
          <w:sz w:val="22"/>
          <w:szCs w:val="22"/>
          <w:lang w:val="sr-Latn-ME"/>
        </w:rPr>
        <w:t>e</w:t>
      </w:r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monohidrata</w:t>
      </w:r>
      <w:proofErr w:type="spellEnd"/>
      <w:r w:rsidRPr="00D83C9F">
        <w:rPr>
          <w:sz w:val="22"/>
          <w:szCs w:val="22"/>
          <w:lang w:val="sr-Latn-ME"/>
        </w:rPr>
        <w:t xml:space="preserve"> i 0,02 mg boje </w:t>
      </w:r>
      <w:proofErr w:type="spellStart"/>
      <w:r w:rsidRPr="00D83C9F">
        <w:rPr>
          <w:sz w:val="22"/>
          <w:szCs w:val="22"/>
          <w:lang w:val="sr-Latn-ME"/>
        </w:rPr>
        <w:t>tartrazin</w:t>
      </w:r>
      <w:proofErr w:type="spellEnd"/>
      <w:r w:rsidRPr="00D83C9F">
        <w:rPr>
          <w:sz w:val="22"/>
          <w:szCs w:val="22"/>
          <w:lang w:val="sr-Latn-ME"/>
        </w:rPr>
        <w:t xml:space="preserve"> (E102).</w:t>
      </w:r>
    </w:p>
    <w:p w14:paraId="6A39CECA" w14:textId="77777777" w:rsidR="0002115E" w:rsidRPr="00D83C9F" w:rsidRDefault="0002115E" w:rsidP="00CE1E1D">
      <w:pPr>
        <w:rPr>
          <w:sz w:val="22"/>
          <w:szCs w:val="22"/>
          <w:lang w:val="sr-Latn-ME"/>
        </w:rPr>
      </w:pPr>
    </w:p>
    <w:p w14:paraId="46BEF931" w14:textId="77777777" w:rsidR="0002115E" w:rsidRPr="00D83C9F" w:rsidRDefault="0002115E" w:rsidP="00CE1E1D">
      <w:pPr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Za spisak svih </w:t>
      </w:r>
      <w:proofErr w:type="spellStart"/>
      <w:r w:rsidRPr="00D83C9F">
        <w:rPr>
          <w:sz w:val="22"/>
          <w:szCs w:val="22"/>
          <w:lang w:val="sr-Latn-ME"/>
        </w:rPr>
        <w:t>ekscipijenasa</w:t>
      </w:r>
      <w:proofErr w:type="spellEnd"/>
      <w:r w:rsidRPr="00D83C9F">
        <w:rPr>
          <w:sz w:val="22"/>
          <w:szCs w:val="22"/>
          <w:lang w:val="sr-Latn-ME"/>
        </w:rPr>
        <w:t>, pogledati dio 6.1.</w:t>
      </w:r>
    </w:p>
    <w:p w14:paraId="276AB687" w14:textId="03B44030" w:rsidR="00C37FD7" w:rsidRPr="00D83C9F" w:rsidRDefault="00C37FD7" w:rsidP="00CE1E1D">
      <w:pPr>
        <w:rPr>
          <w:sz w:val="22"/>
          <w:szCs w:val="22"/>
          <w:lang w:val="sr-Latn-ME"/>
        </w:rPr>
      </w:pPr>
    </w:p>
    <w:p w14:paraId="350F116F" w14:textId="77777777" w:rsidR="00CE1E1D" w:rsidRPr="00D83C9F" w:rsidRDefault="00CE1E1D" w:rsidP="00CE1E1D">
      <w:pPr>
        <w:rPr>
          <w:sz w:val="22"/>
          <w:szCs w:val="22"/>
          <w:lang w:val="sr-Latn-ME"/>
        </w:rPr>
      </w:pPr>
    </w:p>
    <w:p w14:paraId="43E917D5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3. </w:t>
      </w:r>
      <w:r w:rsidR="00F5167F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FARMACEUTSKI OBLIK</w:t>
      </w:r>
      <w:r w:rsidR="009F2D23" w:rsidRPr="00D83C9F">
        <w:rPr>
          <w:b/>
          <w:bCs/>
          <w:sz w:val="22"/>
          <w:szCs w:val="22"/>
          <w:lang w:val="sr-Latn-ME"/>
        </w:rPr>
        <w:t xml:space="preserve"> </w:t>
      </w:r>
    </w:p>
    <w:p w14:paraId="60442875" w14:textId="77777777" w:rsidR="00411B4B" w:rsidRPr="00D83C9F" w:rsidRDefault="00411B4B" w:rsidP="00CE1E1D">
      <w:pPr>
        <w:rPr>
          <w:bCs/>
          <w:sz w:val="22"/>
          <w:szCs w:val="22"/>
          <w:lang w:val="sr-Latn-ME"/>
        </w:rPr>
      </w:pPr>
    </w:p>
    <w:p w14:paraId="31D107CA" w14:textId="77777777" w:rsidR="0002115E" w:rsidRPr="00D83C9F" w:rsidRDefault="0002115E" w:rsidP="00CE1E1D">
      <w:pPr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Film tableta.</w:t>
      </w:r>
    </w:p>
    <w:p w14:paraId="3B24B0D1" w14:textId="0A77DD81" w:rsidR="0002115E" w:rsidRPr="00D83C9F" w:rsidRDefault="0002115E" w:rsidP="002D2DFB">
      <w:pPr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Tamnožuta, konveksna, okrugla, filmom obložena tableta s </w:t>
      </w:r>
      <w:r w:rsidR="00CE1E1D" w:rsidRPr="00D83C9F">
        <w:rPr>
          <w:bCs/>
          <w:sz w:val="22"/>
          <w:szCs w:val="22"/>
          <w:lang w:val="sr-Latn-ME"/>
        </w:rPr>
        <w:t xml:space="preserve">utisnutim </w:t>
      </w:r>
      <w:r w:rsidRPr="00D83C9F">
        <w:rPr>
          <w:bCs/>
          <w:sz w:val="22"/>
          <w:szCs w:val="22"/>
          <w:lang w:val="sr-Latn-ME"/>
        </w:rPr>
        <w:t>oznakama „93" na jednoj i „B1" na drugoj strani tablete.</w:t>
      </w:r>
    </w:p>
    <w:p w14:paraId="09A01300" w14:textId="11251855" w:rsidR="00EC2532" w:rsidRPr="00D83C9F" w:rsidRDefault="00EC2532" w:rsidP="00CE1E1D">
      <w:pPr>
        <w:rPr>
          <w:bCs/>
          <w:sz w:val="22"/>
          <w:szCs w:val="22"/>
          <w:lang w:val="sr-Latn-ME"/>
        </w:rPr>
      </w:pPr>
    </w:p>
    <w:p w14:paraId="57232641" w14:textId="77777777" w:rsidR="00CE1E1D" w:rsidRPr="00D83C9F" w:rsidRDefault="00CE1E1D" w:rsidP="00CE1E1D">
      <w:pPr>
        <w:rPr>
          <w:bCs/>
          <w:sz w:val="22"/>
          <w:szCs w:val="22"/>
          <w:lang w:val="sr-Latn-ME"/>
        </w:rPr>
      </w:pPr>
      <w:bookmarkStart w:id="0" w:name="_GoBack"/>
      <w:bookmarkEnd w:id="0"/>
    </w:p>
    <w:p w14:paraId="5D05AF01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KLINIČKI PODACI</w:t>
      </w:r>
    </w:p>
    <w:p w14:paraId="3E17A88F" w14:textId="77777777" w:rsidR="00CD6F02" w:rsidRPr="00D83C9F" w:rsidRDefault="00CD6F02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AA3EB5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4.1.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Terapijske indikacije</w:t>
      </w:r>
    </w:p>
    <w:p w14:paraId="1A34678B" w14:textId="77777777" w:rsidR="0002115E" w:rsidRPr="00D83C9F" w:rsidRDefault="0002115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7750567" w14:textId="3572E600" w:rsidR="0002115E" w:rsidRPr="00D83C9F" w:rsidRDefault="0002115E" w:rsidP="00CE1E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Adjuvantna</w:t>
      </w:r>
      <w:proofErr w:type="spellEnd"/>
      <w:r w:rsidRPr="00D83C9F">
        <w:rPr>
          <w:sz w:val="22"/>
          <w:szCs w:val="22"/>
          <w:lang w:val="sr-Latn-ME"/>
        </w:rPr>
        <w:t xml:space="preserve"> terapija ranog </w:t>
      </w:r>
      <w:proofErr w:type="spellStart"/>
      <w:r w:rsidRPr="00D83C9F">
        <w:rPr>
          <w:sz w:val="22"/>
          <w:szCs w:val="22"/>
          <w:lang w:val="sr-Latn-ME"/>
        </w:rPr>
        <w:t>invazivnog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karcinoma</w:t>
      </w:r>
      <w:proofErr w:type="spellEnd"/>
      <w:r w:rsidRPr="00D83C9F">
        <w:rPr>
          <w:sz w:val="22"/>
          <w:szCs w:val="22"/>
          <w:lang w:val="sr-Latn-ME"/>
        </w:rPr>
        <w:t xml:space="preserve"> dojke kod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>, sa pozitivnim hormonskim receptorima</w:t>
      </w:r>
      <w:r w:rsidR="00B2327D" w:rsidRPr="00D83C9F">
        <w:rPr>
          <w:sz w:val="22"/>
          <w:szCs w:val="22"/>
          <w:lang w:val="sr-Latn-ME"/>
        </w:rPr>
        <w:t>.</w:t>
      </w:r>
      <w:r w:rsidRPr="00D83C9F">
        <w:rPr>
          <w:sz w:val="22"/>
          <w:szCs w:val="22"/>
          <w:lang w:val="sr-Latn-ME"/>
        </w:rPr>
        <w:t xml:space="preserve">  </w:t>
      </w:r>
    </w:p>
    <w:p w14:paraId="0F5D2C51" w14:textId="77777777" w:rsidR="0002115E" w:rsidRPr="00D83C9F" w:rsidRDefault="0002115E" w:rsidP="00CE1E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Produžena </w:t>
      </w:r>
      <w:proofErr w:type="spellStart"/>
      <w:r w:rsidRPr="00D83C9F">
        <w:rPr>
          <w:sz w:val="22"/>
          <w:szCs w:val="22"/>
          <w:lang w:val="sr-Latn-ME"/>
        </w:rPr>
        <w:t>adjuvantna</w:t>
      </w:r>
      <w:proofErr w:type="spellEnd"/>
      <w:r w:rsidRPr="00D83C9F">
        <w:rPr>
          <w:sz w:val="22"/>
          <w:szCs w:val="22"/>
          <w:lang w:val="sr-Latn-ME"/>
        </w:rPr>
        <w:t xml:space="preserve"> terapija hormon-zavisnog </w:t>
      </w:r>
      <w:proofErr w:type="spellStart"/>
      <w:r w:rsidRPr="00D83C9F">
        <w:rPr>
          <w:sz w:val="22"/>
          <w:szCs w:val="22"/>
          <w:lang w:val="sr-Latn-ME"/>
        </w:rPr>
        <w:t>invazivnog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karcinoma</w:t>
      </w:r>
      <w:proofErr w:type="spellEnd"/>
      <w:r w:rsidRPr="00D83C9F">
        <w:rPr>
          <w:sz w:val="22"/>
          <w:szCs w:val="22"/>
          <w:lang w:val="sr-Latn-ME"/>
        </w:rPr>
        <w:t xml:space="preserve"> dojke kod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koje su u prethodnih 5 godina dobijale standardnu </w:t>
      </w:r>
      <w:proofErr w:type="spellStart"/>
      <w:r w:rsidRPr="00D83C9F">
        <w:rPr>
          <w:sz w:val="22"/>
          <w:szCs w:val="22"/>
          <w:lang w:val="sr-Latn-ME"/>
        </w:rPr>
        <w:t>adjuvantnu</w:t>
      </w:r>
      <w:proofErr w:type="spellEnd"/>
      <w:r w:rsidRPr="00D83C9F">
        <w:rPr>
          <w:sz w:val="22"/>
          <w:szCs w:val="22"/>
          <w:lang w:val="sr-Latn-ME"/>
        </w:rPr>
        <w:t xml:space="preserve"> terapiju </w:t>
      </w:r>
      <w:proofErr w:type="spellStart"/>
      <w:r w:rsidRPr="00D83C9F">
        <w:rPr>
          <w:sz w:val="22"/>
          <w:szCs w:val="22"/>
          <w:lang w:val="sr-Latn-ME"/>
        </w:rPr>
        <w:t>tamoksifena</w:t>
      </w:r>
      <w:proofErr w:type="spellEnd"/>
      <w:r w:rsidRPr="00D83C9F">
        <w:rPr>
          <w:sz w:val="22"/>
          <w:szCs w:val="22"/>
          <w:lang w:val="sr-Latn-ME"/>
        </w:rPr>
        <w:t xml:space="preserve">. </w:t>
      </w:r>
    </w:p>
    <w:p w14:paraId="0479E87C" w14:textId="77777777" w:rsidR="0002115E" w:rsidRPr="00D83C9F" w:rsidRDefault="0002115E" w:rsidP="00CE1E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Terapija prvog izbora kod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sa hormon-zavisnim </w:t>
      </w:r>
      <w:proofErr w:type="spellStart"/>
      <w:r w:rsidRPr="00D83C9F">
        <w:rPr>
          <w:sz w:val="22"/>
          <w:szCs w:val="22"/>
          <w:lang w:val="sr-Latn-ME"/>
        </w:rPr>
        <w:t>uznapredovalim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dojke. </w:t>
      </w:r>
    </w:p>
    <w:p w14:paraId="53D89458" w14:textId="77777777" w:rsidR="0002115E" w:rsidRPr="00D83C9F" w:rsidRDefault="0002115E" w:rsidP="00CE1E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Uznapredovali </w:t>
      </w:r>
      <w:proofErr w:type="spellStart"/>
      <w:r w:rsidRPr="00D83C9F">
        <w:rPr>
          <w:sz w:val="22"/>
          <w:szCs w:val="22"/>
          <w:lang w:val="sr-Latn-ME"/>
        </w:rPr>
        <w:t>karcinom</w:t>
      </w:r>
      <w:proofErr w:type="spellEnd"/>
      <w:r w:rsidRPr="00D83C9F">
        <w:rPr>
          <w:sz w:val="22"/>
          <w:szCs w:val="22"/>
          <w:lang w:val="sr-Latn-ME"/>
        </w:rPr>
        <w:t xml:space="preserve"> dojke nakon </w:t>
      </w:r>
      <w:proofErr w:type="spellStart"/>
      <w:r w:rsidRPr="00D83C9F">
        <w:rPr>
          <w:sz w:val="22"/>
          <w:szCs w:val="22"/>
          <w:lang w:val="sr-Latn-ME"/>
        </w:rPr>
        <w:t>relapsa</w:t>
      </w:r>
      <w:proofErr w:type="spellEnd"/>
      <w:r w:rsidRPr="00D83C9F">
        <w:rPr>
          <w:sz w:val="22"/>
          <w:szCs w:val="22"/>
          <w:lang w:val="sr-Latn-ME"/>
        </w:rPr>
        <w:t xml:space="preserve"> ili progresije bolesti, kod žena s prirodno ili vještački indukovanim </w:t>
      </w:r>
      <w:proofErr w:type="spellStart"/>
      <w:r w:rsidRPr="00D83C9F">
        <w:rPr>
          <w:sz w:val="22"/>
          <w:szCs w:val="22"/>
          <w:lang w:val="sr-Latn-ME"/>
        </w:rPr>
        <w:t>postmenopauzalnim</w:t>
      </w:r>
      <w:proofErr w:type="spellEnd"/>
      <w:r w:rsidRPr="00D83C9F">
        <w:rPr>
          <w:sz w:val="22"/>
          <w:szCs w:val="22"/>
          <w:lang w:val="sr-Latn-ME"/>
        </w:rPr>
        <w:t xml:space="preserve"> endokrinim statusom, koje su prethodno liječene </w:t>
      </w:r>
      <w:proofErr w:type="spellStart"/>
      <w:r w:rsidRPr="00D83C9F">
        <w:rPr>
          <w:sz w:val="22"/>
          <w:szCs w:val="22"/>
          <w:lang w:val="sr-Latn-ME"/>
        </w:rPr>
        <w:t>antiestrogenom</w:t>
      </w:r>
      <w:proofErr w:type="spellEnd"/>
      <w:r w:rsidRPr="00D83C9F">
        <w:rPr>
          <w:sz w:val="22"/>
          <w:szCs w:val="22"/>
          <w:lang w:val="sr-Latn-ME"/>
        </w:rPr>
        <w:t xml:space="preserve"> terapijom. </w:t>
      </w:r>
    </w:p>
    <w:p w14:paraId="36BFCFC2" w14:textId="1E6A63F4" w:rsidR="0002115E" w:rsidRPr="00D83C9F" w:rsidRDefault="0002115E" w:rsidP="00CE1E1D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Neo-</w:t>
      </w:r>
      <w:proofErr w:type="spellStart"/>
      <w:r w:rsidRPr="00D83C9F">
        <w:rPr>
          <w:sz w:val="22"/>
          <w:szCs w:val="22"/>
          <w:lang w:val="sr-Latn-ME"/>
        </w:rPr>
        <w:t>adjuvantna</w:t>
      </w:r>
      <w:proofErr w:type="spellEnd"/>
      <w:r w:rsidRPr="00D83C9F">
        <w:rPr>
          <w:sz w:val="22"/>
          <w:szCs w:val="22"/>
          <w:lang w:val="sr-Latn-ME"/>
        </w:rPr>
        <w:t xml:space="preserve"> terapija kod </w:t>
      </w:r>
      <w:proofErr w:type="spellStart"/>
      <w:r w:rsidRPr="00D83C9F">
        <w:rPr>
          <w:sz w:val="22"/>
          <w:szCs w:val="22"/>
          <w:lang w:val="sr-Latn-ME"/>
        </w:rPr>
        <w:t>postmenopauzalnih</w:t>
      </w:r>
      <w:proofErr w:type="spellEnd"/>
      <w:r w:rsidRPr="00D83C9F">
        <w:rPr>
          <w:sz w:val="22"/>
          <w:szCs w:val="22"/>
          <w:lang w:val="sr-Latn-ME"/>
        </w:rPr>
        <w:t xml:space="preserve"> žena sa HER-2 negativnim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 sa pozitivnim hormonskim receptorima, kod kojih nije pogodno primijeniti </w:t>
      </w:r>
      <w:proofErr w:type="spellStart"/>
      <w:r w:rsidRPr="00D83C9F">
        <w:rPr>
          <w:sz w:val="22"/>
          <w:szCs w:val="22"/>
          <w:lang w:val="sr-Latn-ME"/>
        </w:rPr>
        <w:t>hemioterapiju</w:t>
      </w:r>
      <w:proofErr w:type="spellEnd"/>
      <w:r w:rsidRPr="00D83C9F">
        <w:rPr>
          <w:sz w:val="22"/>
          <w:szCs w:val="22"/>
          <w:lang w:val="sr-Latn-ME"/>
        </w:rPr>
        <w:t xml:space="preserve"> i kod kojih nije </w:t>
      </w:r>
      <w:proofErr w:type="spellStart"/>
      <w:r w:rsidRPr="00D83C9F">
        <w:rPr>
          <w:sz w:val="22"/>
          <w:szCs w:val="22"/>
          <w:lang w:val="sr-Latn-ME"/>
        </w:rPr>
        <w:t>indikovana</w:t>
      </w:r>
      <w:proofErr w:type="spellEnd"/>
      <w:r w:rsidRPr="00D83C9F">
        <w:rPr>
          <w:sz w:val="22"/>
          <w:szCs w:val="22"/>
          <w:lang w:val="sr-Latn-ME"/>
        </w:rPr>
        <w:t xml:space="preserve"> hitna hiru</w:t>
      </w:r>
      <w:r w:rsidR="00CE1E1D" w:rsidRPr="00D83C9F">
        <w:rPr>
          <w:sz w:val="22"/>
          <w:szCs w:val="22"/>
          <w:lang w:val="sr-Latn-ME"/>
        </w:rPr>
        <w:t>r</w:t>
      </w:r>
      <w:r w:rsidRPr="00D83C9F">
        <w:rPr>
          <w:sz w:val="22"/>
          <w:szCs w:val="22"/>
          <w:lang w:val="sr-Latn-ME"/>
        </w:rPr>
        <w:t>ška intervencija.</w:t>
      </w:r>
    </w:p>
    <w:p w14:paraId="77920C81" w14:textId="77777777" w:rsidR="0002115E" w:rsidRPr="00D83C9F" w:rsidRDefault="0002115E" w:rsidP="00CE1E1D">
      <w:pPr>
        <w:widowControl w:val="0"/>
        <w:shd w:val="clear" w:color="auto" w:fill="FFFFFF"/>
        <w:autoSpaceDE w:val="0"/>
        <w:autoSpaceDN w:val="0"/>
        <w:adjustRightInd w:val="0"/>
        <w:ind w:left="714"/>
        <w:jc w:val="both"/>
        <w:rPr>
          <w:sz w:val="22"/>
          <w:szCs w:val="22"/>
          <w:lang w:val="sr-Latn-ME"/>
        </w:rPr>
      </w:pPr>
    </w:p>
    <w:p w14:paraId="38F6B88F" w14:textId="77777777" w:rsidR="0002115E" w:rsidRPr="00D83C9F" w:rsidRDefault="0002115E" w:rsidP="00CE1E1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Efikasnost nije pokazana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 sa negativnim hormonskim receptorima.</w:t>
      </w:r>
    </w:p>
    <w:p w14:paraId="6C131DFD" w14:textId="77777777" w:rsidR="00411B4B" w:rsidRPr="00D83C9F" w:rsidRDefault="00411B4B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725D29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4.2.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Doziranje i način primjene</w:t>
      </w:r>
    </w:p>
    <w:p w14:paraId="226CB740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BEE56C" w14:textId="77777777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D83C9F">
        <w:rPr>
          <w:bCs/>
          <w:sz w:val="22"/>
          <w:szCs w:val="22"/>
          <w:u w:val="single"/>
          <w:lang w:val="sr-Latn-ME"/>
        </w:rPr>
        <w:t>Doziranje</w:t>
      </w:r>
    </w:p>
    <w:p w14:paraId="19742B8A" w14:textId="77777777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4ED6D040" w14:textId="3B4467BA" w:rsidR="00B2327D" w:rsidRPr="00D83C9F" w:rsidRDefault="0002115E" w:rsidP="00CE1E1D">
      <w:pPr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 xml:space="preserve">Odrasle i starije </w:t>
      </w:r>
      <w:proofErr w:type="spellStart"/>
      <w:r w:rsidRPr="00D83C9F">
        <w:rPr>
          <w:i/>
          <w:sz w:val="22"/>
          <w:szCs w:val="22"/>
          <w:lang w:val="sr-Latn-ME"/>
        </w:rPr>
        <w:t>pacijentkinje</w:t>
      </w:r>
      <w:proofErr w:type="spellEnd"/>
    </w:p>
    <w:p w14:paraId="42C6EE01" w14:textId="5E5BA812" w:rsidR="0002115E" w:rsidRPr="00D83C9F" w:rsidRDefault="0002115E" w:rsidP="00CE1E1D">
      <w:pPr>
        <w:jc w:val="both"/>
        <w:rPr>
          <w:bCs/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Preporučena doza je 2,5 mg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jednom dnevno. </w:t>
      </w:r>
      <w:r w:rsidRPr="00D83C9F">
        <w:rPr>
          <w:bCs/>
          <w:sz w:val="22"/>
          <w:szCs w:val="22"/>
          <w:lang w:val="sr-Latn-ME"/>
        </w:rPr>
        <w:t xml:space="preserve">Kod starijih </w:t>
      </w:r>
      <w:proofErr w:type="spellStart"/>
      <w:r w:rsidRPr="00D83C9F">
        <w:rPr>
          <w:bCs/>
          <w:sz w:val="22"/>
          <w:szCs w:val="22"/>
          <w:lang w:val="sr-Latn-ME"/>
        </w:rPr>
        <w:t>pacijentkinja</w:t>
      </w:r>
      <w:proofErr w:type="spellEnd"/>
      <w:r w:rsidRPr="00D83C9F">
        <w:rPr>
          <w:bCs/>
          <w:sz w:val="22"/>
          <w:szCs w:val="22"/>
          <w:lang w:val="sr-Latn-ME"/>
        </w:rPr>
        <w:t xml:space="preserve"> nije potrebno prilagođavanje doze.</w:t>
      </w:r>
    </w:p>
    <w:p w14:paraId="7D4B9486" w14:textId="77777777" w:rsidR="00A10408" w:rsidRPr="00D83C9F" w:rsidRDefault="00A10408" w:rsidP="00CE1E1D">
      <w:pPr>
        <w:jc w:val="both"/>
        <w:rPr>
          <w:bCs/>
          <w:sz w:val="22"/>
          <w:szCs w:val="22"/>
          <w:lang w:val="sr-Latn-ME"/>
        </w:rPr>
      </w:pPr>
    </w:p>
    <w:p w14:paraId="399227A0" w14:textId="6A232D32" w:rsidR="0002115E" w:rsidRPr="00D83C9F" w:rsidRDefault="0002115E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Kod </w:t>
      </w:r>
      <w:proofErr w:type="spellStart"/>
      <w:r w:rsidRPr="00D83C9F">
        <w:rPr>
          <w:bCs/>
          <w:sz w:val="22"/>
          <w:szCs w:val="22"/>
          <w:lang w:val="sr-Latn-ME"/>
        </w:rPr>
        <w:t>pacijentkinja</w:t>
      </w:r>
      <w:proofErr w:type="spellEnd"/>
      <w:r w:rsidRPr="00D83C9F">
        <w:rPr>
          <w:bCs/>
          <w:sz w:val="22"/>
          <w:szCs w:val="22"/>
          <w:lang w:val="sr-Latn-ME"/>
        </w:rPr>
        <w:t xml:space="preserve"> sa </w:t>
      </w:r>
      <w:proofErr w:type="spellStart"/>
      <w:r w:rsidRPr="00D83C9F">
        <w:rPr>
          <w:bCs/>
          <w:sz w:val="22"/>
          <w:szCs w:val="22"/>
          <w:lang w:val="sr-Latn-ME"/>
        </w:rPr>
        <w:t>uznapredovalim</w:t>
      </w:r>
      <w:proofErr w:type="spellEnd"/>
      <w:r w:rsidRPr="00D83C9F">
        <w:rPr>
          <w:bCs/>
          <w:sz w:val="22"/>
          <w:szCs w:val="22"/>
          <w:lang w:val="sr-Latn-ME"/>
        </w:rPr>
        <w:t xml:space="preserve"> ili </w:t>
      </w:r>
      <w:proofErr w:type="spellStart"/>
      <w:r w:rsidRPr="00D83C9F">
        <w:rPr>
          <w:bCs/>
          <w:sz w:val="22"/>
          <w:szCs w:val="22"/>
          <w:lang w:val="sr-Latn-ME"/>
        </w:rPr>
        <w:t>metastatskim</w:t>
      </w:r>
      <w:proofErr w:type="spellEnd"/>
      <w:r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Cs/>
          <w:sz w:val="22"/>
          <w:szCs w:val="22"/>
          <w:lang w:val="sr-Latn-ME"/>
        </w:rPr>
        <w:t>karcinomom</w:t>
      </w:r>
      <w:proofErr w:type="spellEnd"/>
      <w:r w:rsidRPr="00D83C9F">
        <w:rPr>
          <w:bCs/>
          <w:sz w:val="22"/>
          <w:szCs w:val="22"/>
          <w:lang w:val="sr-Latn-ME"/>
        </w:rPr>
        <w:t xml:space="preserve"> dojke, terapiju </w:t>
      </w:r>
      <w:proofErr w:type="spellStart"/>
      <w:r w:rsidRPr="00D83C9F">
        <w:rPr>
          <w:bCs/>
          <w:sz w:val="22"/>
          <w:szCs w:val="22"/>
          <w:lang w:val="sr-Latn-ME"/>
        </w:rPr>
        <w:t>letrozolom</w:t>
      </w:r>
      <w:proofErr w:type="spellEnd"/>
      <w:r w:rsidRPr="00D83C9F">
        <w:rPr>
          <w:bCs/>
          <w:sz w:val="22"/>
          <w:szCs w:val="22"/>
          <w:lang w:val="sr-Latn-ME"/>
        </w:rPr>
        <w:t xml:space="preserve"> treba nastaviti sve dok progresija tumora ne postane evidentna.</w:t>
      </w:r>
    </w:p>
    <w:p w14:paraId="6289D4BE" w14:textId="77777777" w:rsidR="00A10408" w:rsidRPr="00D83C9F" w:rsidRDefault="00A10408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21818623" w14:textId="75D659B4" w:rsidR="0002115E" w:rsidRPr="00D83C9F" w:rsidRDefault="0002115E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Kada se primjenjuje kao </w:t>
      </w:r>
      <w:proofErr w:type="spellStart"/>
      <w:r w:rsidRPr="00D83C9F">
        <w:rPr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Cs/>
          <w:sz w:val="22"/>
          <w:szCs w:val="22"/>
          <w:lang w:val="sr-Latn-ME"/>
        </w:rPr>
        <w:t xml:space="preserve"> i produžena </w:t>
      </w:r>
      <w:proofErr w:type="spellStart"/>
      <w:r w:rsidRPr="00D83C9F">
        <w:rPr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terapija, liječenje </w:t>
      </w:r>
      <w:proofErr w:type="spellStart"/>
      <w:r w:rsidRPr="00D83C9F">
        <w:rPr>
          <w:bCs/>
          <w:sz w:val="22"/>
          <w:szCs w:val="22"/>
          <w:lang w:val="sr-Latn-ME"/>
        </w:rPr>
        <w:t>letrozolom</w:t>
      </w:r>
      <w:proofErr w:type="spellEnd"/>
      <w:r w:rsidRPr="00D83C9F">
        <w:rPr>
          <w:bCs/>
          <w:sz w:val="22"/>
          <w:szCs w:val="22"/>
          <w:lang w:val="sr-Latn-ME"/>
        </w:rPr>
        <w:t xml:space="preserve"> treba nastaviti tokom 5 godina ili do pojave </w:t>
      </w:r>
      <w:proofErr w:type="spellStart"/>
      <w:r w:rsidRPr="00D83C9F">
        <w:rPr>
          <w:bCs/>
          <w:sz w:val="22"/>
          <w:szCs w:val="22"/>
          <w:lang w:val="sr-Latn-ME"/>
        </w:rPr>
        <w:t>relapsa</w:t>
      </w:r>
      <w:proofErr w:type="spellEnd"/>
      <w:r w:rsidRPr="00D83C9F">
        <w:rPr>
          <w:bCs/>
          <w:sz w:val="22"/>
          <w:szCs w:val="22"/>
          <w:lang w:val="sr-Latn-ME"/>
        </w:rPr>
        <w:t>, koji god od ova dva uslova bude prvi ispunjen.</w:t>
      </w:r>
    </w:p>
    <w:p w14:paraId="3B3C49A6" w14:textId="77777777" w:rsidR="00A10408" w:rsidRPr="00D83C9F" w:rsidRDefault="00A10408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08582D99" w14:textId="55727DB8" w:rsidR="0002115E" w:rsidRPr="00D83C9F" w:rsidRDefault="0002115E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 primjenjuje kao </w:t>
      </w:r>
      <w:proofErr w:type="spellStart"/>
      <w:r w:rsidRPr="00D83C9F">
        <w:rPr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terapija, </w:t>
      </w:r>
      <w:r w:rsidR="00B2327D" w:rsidRPr="00D83C9F">
        <w:rPr>
          <w:bCs/>
          <w:sz w:val="22"/>
          <w:szCs w:val="22"/>
          <w:lang w:val="sr-Latn-ME"/>
        </w:rPr>
        <w:t>može se</w:t>
      </w:r>
      <w:r w:rsidRPr="00D83C9F">
        <w:rPr>
          <w:bCs/>
          <w:sz w:val="22"/>
          <w:szCs w:val="22"/>
          <w:lang w:val="sr-Latn-ME"/>
        </w:rPr>
        <w:t xml:space="preserve"> takođe razmotriti sekvencijaln</w:t>
      </w:r>
      <w:r w:rsidR="00B2327D" w:rsidRPr="00D83C9F">
        <w:rPr>
          <w:bCs/>
          <w:sz w:val="22"/>
          <w:szCs w:val="22"/>
          <w:lang w:val="sr-Latn-ME"/>
        </w:rPr>
        <w:t>a</w:t>
      </w:r>
      <w:r w:rsidRPr="00D83C9F">
        <w:rPr>
          <w:bCs/>
          <w:sz w:val="22"/>
          <w:szCs w:val="22"/>
          <w:lang w:val="sr-Latn-ME"/>
        </w:rPr>
        <w:t xml:space="preserve"> terapij</w:t>
      </w:r>
      <w:r w:rsidR="00B2327D" w:rsidRPr="00D83C9F">
        <w:rPr>
          <w:bCs/>
          <w:sz w:val="22"/>
          <w:szCs w:val="22"/>
          <w:lang w:val="sr-Latn-ME"/>
        </w:rPr>
        <w:t>a</w:t>
      </w:r>
      <w:r w:rsidRPr="00D83C9F">
        <w:rPr>
          <w:bCs/>
          <w:sz w:val="22"/>
          <w:szCs w:val="22"/>
          <w:lang w:val="sr-Latn-ME"/>
        </w:rPr>
        <w:t xml:space="preserve"> (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 2 godine, a nakon toga </w:t>
      </w:r>
      <w:proofErr w:type="spellStart"/>
      <w:r w:rsidRPr="00D83C9F">
        <w:rPr>
          <w:bCs/>
          <w:sz w:val="22"/>
          <w:szCs w:val="22"/>
          <w:lang w:val="sr-Latn-ME"/>
        </w:rPr>
        <w:t>tamoksifen</w:t>
      </w:r>
      <w:proofErr w:type="spellEnd"/>
      <w:r w:rsidRPr="00D83C9F">
        <w:rPr>
          <w:bCs/>
          <w:sz w:val="22"/>
          <w:szCs w:val="22"/>
          <w:lang w:val="sr-Latn-ME"/>
        </w:rPr>
        <w:t xml:space="preserve"> 3 godine) (vidjeti djelove 4.4. i 5.1.).</w:t>
      </w:r>
    </w:p>
    <w:p w14:paraId="244DE246" w14:textId="77777777" w:rsidR="00A10408" w:rsidRPr="00D83C9F" w:rsidRDefault="00A10408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7BCDBDF0" w14:textId="38EF1179" w:rsidR="0002115E" w:rsidRPr="00D83C9F" w:rsidRDefault="0002115E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 primjenjuje kao neo-</w:t>
      </w:r>
      <w:proofErr w:type="spellStart"/>
      <w:r w:rsidRPr="00D83C9F">
        <w:rPr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terapija, liječenje ovim lijekom </w:t>
      </w:r>
      <w:r w:rsidR="00B2327D" w:rsidRPr="00D83C9F">
        <w:rPr>
          <w:bCs/>
          <w:sz w:val="22"/>
          <w:szCs w:val="22"/>
          <w:lang w:val="sr-Latn-ME"/>
        </w:rPr>
        <w:t>se može</w:t>
      </w:r>
      <w:r w:rsidRPr="00D83C9F">
        <w:rPr>
          <w:bCs/>
          <w:sz w:val="22"/>
          <w:szCs w:val="22"/>
          <w:lang w:val="sr-Latn-ME"/>
        </w:rPr>
        <w:t xml:space="preserve"> nastaviti  tokom 4 do 8 mjeseci u cilju postizanja optimalnog smanjenja tumora. Ako odgovor na terapiju nije adekvatan, terapiju </w:t>
      </w:r>
      <w:proofErr w:type="spellStart"/>
      <w:r w:rsidRPr="00D83C9F">
        <w:rPr>
          <w:bCs/>
          <w:sz w:val="22"/>
          <w:szCs w:val="22"/>
          <w:lang w:val="sr-Latn-ME"/>
        </w:rPr>
        <w:t>letrozolom</w:t>
      </w:r>
      <w:proofErr w:type="spellEnd"/>
      <w:r w:rsidRPr="00D83C9F">
        <w:rPr>
          <w:bCs/>
          <w:sz w:val="22"/>
          <w:szCs w:val="22"/>
          <w:lang w:val="sr-Latn-ME"/>
        </w:rPr>
        <w:t xml:space="preserve"> treba prekinuti i razmotriti sa </w:t>
      </w:r>
      <w:proofErr w:type="spellStart"/>
      <w:r w:rsidRPr="00D83C9F">
        <w:rPr>
          <w:bCs/>
          <w:sz w:val="22"/>
          <w:szCs w:val="22"/>
          <w:lang w:val="sr-Latn-ME"/>
        </w:rPr>
        <w:t>pacijentkinjom</w:t>
      </w:r>
      <w:proofErr w:type="spellEnd"/>
      <w:r w:rsidRPr="00D83C9F">
        <w:rPr>
          <w:bCs/>
          <w:sz w:val="22"/>
          <w:szCs w:val="22"/>
          <w:lang w:val="sr-Latn-ME"/>
        </w:rPr>
        <w:t xml:space="preserve"> hiru</w:t>
      </w:r>
      <w:r w:rsidR="00CE1E1D" w:rsidRPr="00D83C9F">
        <w:rPr>
          <w:bCs/>
          <w:sz w:val="22"/>
          <w:szCs w:val="22"/>
          <w:lang w:val="sr-Latn-ME"/>
        </w:rPr>
        <w:t>r</w:t>
      </w:r>
      <w:r w:rsidRPr="00D83C9F">
        <w:rPr>
          <w:bCs/>
          <w:sz w:val="22"/>
          <w:szCs w:val="22"/>
          <w:lang w:val="sr-Latn-ME"/>
        </w:rPr>
        <w:t>šku intervenciju i/ili dalje terapijske mogućnosti.</w:t>
      </w:r>
    </w:p>
    <w:p w14:paraId="7740FCB3" w14:textId="77777777" w:rsidR="00856BB6" w:rsidRPr="00D83C9F" w:rsidRDefault="00856BB6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59D62E5A" w14:textId="06260733" w:rsidR="0002115E" w:rsidRPr="00D83C9F" w:rsidRDefault="0002115E" w:rsidP="00CE1E1D">
      <w:pPr>
        <w:tabs>
          <w:tab w:val="left" w:pos="540"/>
          <w:tab w:val="left" w:pos="569"/>
        </w:tabs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>Pedijatrijska populacija</w:t>
      </w:r>
    </w:p>
    <w:p w14:paraId="08BD105C" w14:textId="337946DA" w:rsidR="0002115E" w:rsidRPr="00D83C9F" w:rsidRDefault="0002115E" w:rsidP="00CE1E1D">
      <w:pPr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nije namijenjen za primjenu kod djece i adolescenata. Nije utvrđena bezbjednost i efikasnost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kod djece i adolescenata</w:t>
      </w:r>
      <w:r w:rsidR="00856BB6" w:rsidRPr="00D83C9F">
        <w:rPr>
          <w:sz w:val="22"/>
          <w:szCs w:val="22"/>
          <w:lang w:val="sr-Latn-ME"/>
        </w:rPr>
        <w:t xml:space="preserve"> uzrasta</w:t>
      </w:r>
      <w:r w:rsidRPr="00D83C9F">
        <w:rPr>
          <w:sz w:val="22"/>
          <w:szCs w:val="22"/>
          <w:lang w:val="sr-Latn-ME"/>
        </w:rPr>
        <w:t xml:space="preserve"> do 17 godina. Dostupni su ograničeni podaci i ne mogu se dati preporuke o doziranju kod ove grupe pacijenata.</w:t>
      </w:r>
    </w:p>
    <w:p w14:paraId="32AFC965" w14:textId="77777777" w:rsidR="00CE1E1D" w:rsidRPr="00D83C9F" w:rsidRDefault="00CE1E1D" w:rsidP="00CE1E1D">
      <w:pPr>
        <w:jc w:val="both"/>
        <w:rPr>
          <w:sz w:val="22"/>
          <w:szCs w:val="22"/>
          <w:lang w:val="sr-Latn-ME"/>
        </w:rPr>
      </w:pPr>
    </w:p>
    <w:p w14:paraId="6D98A134" w14:textId="77777777" w:rsidR="00663D59" w:rsidRPr="00D83C9F" w:rsidRDefault="0002115E" w:rsidP="00CE1E1D">
      <w:pPr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>Oštećenje</w:t>
      </w:r>
      <w:r w:rsidR="00663D59" w:rsidRPr="00D83C9F">
        <w:rPr>
          <w:i/>
          <w:sz w:val="22"/>
          <w:szCs w:val="22"/>
          <w:lang w:val="sr-Latn-ME"/>
        </w:rPr>
        <w:t xml:space="preserve"> funkcije</w:t>
      </w:r>
      <w:r w:rsidRPr="00D83C9F">
        <w:rPr>
          <w:i/>
          <w:sz w:val="22"/>
          <w:szCs w:val="22"/>
          <w:lang w:val="sr-Latn-ME"/>
        </w:rPr>
        <w:t xml:space="preserve"> bubrega</w:t>
      </w:r>
    </w:p>
    <w:p w14:paraId="43C2A1DD" w14:textId="14235B0A" w:rsidR="0002115E" w:rsidRPr="00D83C9F" w:rsidRDefault="0002115E" w:rsidP="00CE1E1D">
      <w:pPr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Nije potrebno prilagođavanje doze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bubrežnom </w:t>
      </w:r>
      <w:proofErr w:type="spellStart"/>
      <w:r w:rsidRPr="00D83C9F">
        <w:rPr>
          <w:sz w:val="22"/>
          <w:szCs w:val="22"/>
          <w:lang w:val="sr-Latn-ME"/>
        </w:rPr>
        <w:t>insuficijencijom</w:t>
      </w:r>
      <w:proofErr w:type="spellEnd"/>
      <w:r w:rsidRPr="00D83C9F">
        <w:rPr>
          <w:sz w:val="22"/>
          <w:szCs w:val="22"/>
          <w:lang w:val="sr-Latn-ME"/>
        </w:rPr>
        <w:t xml:space="preserve"> kod kojih je </w:t>
      </w:r>
      <w:proofErr w:type="spellStart"/>
      <w:r w:rsidRPr="00D83C9F">
        <w:rPr>
          <w:sz w:val="22"/>
          <w:szCs w:val="22"/>
          <w:lang w:val="sr-Latn-ME"/>
        </w:rPr>
        <w:t>klirens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kreatinina</w:t>
      </w:r>
      <w:proofErr w:type="spellEnd"/>
      <w:r w:rsidRPr="00D83C9F">
        <w:rPr>
          <w:sz w:val="22"/>
          <w:szCs w:val="22"/>
          <w:lang w:val="sr-Latn-ME"/>
        </w:rPr>
        <w:t xml:space="preserve">  ≥ 10 ml/min. Nema dovoljno podataka u slučajevima bubrežne </w:t>
      </w:r>
      <w:proofErr w:type="spellStart"/>
      <w:r w:rsidRPr="00D83C9F">
        <w:rPr>
          <w:sz w:val="22"/>
          <w:szCs w:val="22"/>
          <w:lang w:val="sr-Latn-ME"/>
        </w:rPr>
        <w:t>insuficijencije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klirensom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kreatinina</w:t>
      </w:r>
      <w:proofErr w:type="spellEnd"/>
      <w:r w:rsidRPr="00D83C9F">
        <w:rPr>
          <w:sz w:val="22"/>
          <w:szCs w:val="22"/>
          <w:lang w:val="sr-Latn-ME"/>
        </w:rPr>
        <w:t xml:space="preserve"> manjim od 10 ml/min (vidjeti djelove 4.4 i 5.2).</w:t>
      </w:r>
    </w:p>
    <w:p w14:paraId="2B685764" w14:textId="77777777" w:rsidR="00663D59" w:rsidRPr="00D83C9F" w:rsidRDefault="00663D59" w:rsidP="00CE1E1D">
      <w:pPr>
        <w:jc w:val="both"/>
        <w:rPr>
          <w:sz w:val="22"/>
          <w:szCs w:val="22"/>
          <w:lang w:val="sr-Latn-ME"/>
        </w:rPr>
      </w:pPr>
    </w:p>
    <w:p w14:paraId="18995FBC" w14:textId="5E98BBA1" w:rsidR="00663D59" w:rsidRPr="00D83C9F" w:rsidRDefault="0002115E" w:rsidP="00CE1E1D">
      <w:pPr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>Oštećenje</w:t>
      </w:r>
      <w:r w:rsidR="00663D59" w:rsidRPr="00D83C9F">
        <w:rPr>
          <w:i/>
          <w:sz w:val="22"/>
          <w:szCs w:val="22"/>
          <w:lang w:val="sr-Latn-ME"/>
        </w:rPr>
        <w:t xml:space="preserve"> funkcije</w:t>
      </w:r>
      <w:r w:rsidRPr="00D83C9F">
        <w:rPr>
          <w:i/>
          <w:sz w:val="22"/>
          <w:szCs w:val="22"/>
          <w:lang w:val="sr-Latn-ME"/>
        </w:rPr>
        <w:t xml:space="preserve"> jetre</w:t>
      </w:r>
    </w:p>
    <w:p w14:paraId="5261915D" w14:textId="6FA50B63" w:rsidR="0002115E" w:rsidRPr="00D83C9F" w:rsidRDefault="0002115E" w:rsidP="00CE1E1D">
      <w:pPr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Nije potrebno prilagođavanje doze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blagom do umjerenom </w:t>
      </w:r>
      <w:proofErr w:type="spellStart"/>
      <w:r w:rsidRPr="00D83C9F">
        <w:rPr>
          <w:sz w:val="22"/>
          <w:szCs w:val="22"/>
          <w:lang w:val="sr-Latn-ME"/>
        </w:rPr>
        <w:t>insuficijencijom</w:t>
      </w:r>
      <w:proofErr w:type="spellEnd"/>
      <w:r w:rsidRPr="00D83C9F">
        <w:rPr>
          <w:sz w:val="22"/>
          <w:szCs w:val="22"/>
          <w:lang w:val="sr-Latn-ME"/>
        </w:rPr>
        <w:t xml:space="preserve"> jetre (</w:t>
      </w:r>
      <w:proofErr w:type="spellStart"/>
      <w:r w:rsidRPr="00D83C9F">
        <w:rPr>
          <w:i/>
          <w:sz w:val="22"/>
          <w:szCs w:val="22"/>
          <w:lang w:val="sr-Latn-ME"/>
        </w:rPr>
        <w:t>Child-Pugh</w:t>
      </w:r>
      <w:proofErr w:type="spellEnd"/>
      <w:r w:rsidRPr="00D83C9F">
        <w:rPr>
          <w:sz w:val="22"/>
          <w:szCs w:val="22"/>
          <w:lang w:val="sr-Latn-ME"/>
        </w:rPr>
        <w:t xml:space="preserve"> A ili B). Nema dovoljno podataka o </w:t>
      </w:r>
      <w:proofErr w:type="spellStart"/>
      <w:r w:rsidRPr="00D83C9F">
        <w:rPr>
          <w:sz w:val="22"/>
          <w:szCs w:val="22"/>
          <w:lang w:val="sr-Latn-ME"/>
        </w:rPr>
        <w:t>pacijentkinjama</w:t>
      </w:r>
      <w:proofErr w:type="spellEnd"/>
      <w:r w:rsidRPr="00D83C9F">
        <w:rPr>
          <w:sz w:val="22"/>
          <w:szCs w:val="22"/>
          <w:lang w:val="sr-Latn-ME"/>
        </w:rPr>
        <w:t xml:space="preserve"> sa teškom </w:t>
      </w:r>
      <w:proofErr w:type="spellStart"/>
      <w:r w:rsidRPr="00D83C9F">
        <w:rPr>
          <w:sz w:val="22"/>
          <w:szCs w:val="22"/>
          <w:lang w:val="sr-Latn-ME"/>
        </w:rPr>
        <w:t>insuficijencijom</w:t>
      </w:r>
      <w:proofErr w:type="spellEnd"/>
      <w:r w:rsidRPr="00D83C9F">
        <w:rPr>
          <w:sz w:val="22"/>
          <w:szCs w:val="22"/>
          <w:lang w:val="sr-Latn-ME"/>
        </w:rPr>
        <w:t xml:space="preserve"> jetre. </w:t>
      </w:r>
      <w:proofErr w:type="spellStart"/>
      <w:r w:rsidRPr="00D83C9F">
        <w:rPr>
          <w:sz w:val="22"/>
          <w:szCs w:val="22"/>
          <w:lang w:val="sr-Latn-ME"/>
        </w:rPr>
        <w:t>Pacijentkinje</w:t>
      </w:r>
      <w:proofErr w:type="spellEnd"/>
      <w:r w:rsidRPr="00D83C9F">
        <w:rPr>
          <w:sz w:val="22"/>
          <w:szCs w:val="22"/>
          <w:lang w:val="sr-Latn-ME"/>
        </w:rPr>
        <w:t xml:space="preserve"> sa teškom </w:t>
      </w:r>
      <w:proofErr w:type="spellStart"/>
      <w:r w:rsidRPr="00D83C9F">
        <w:rPr>
          <w:sz w:val="22"/>
          <w:szCs w:val="22"/>
          <w:lang w:val="sr-Latn-ME"/>
        </w:rPr>
        <w:t>insuficijencijom</w:t>
      </w:r>
      <w:proofErr w:type="spellEnd"/>
      <w:r w:rsidRPr="00D83C9F">
        <w:rPr>
          <w:sz w:val="22"/>
          <w:szCs w:val="22"/>
          <w:lang w:val="sr-Latn-ME"/>
        </w:rPr>
        <w:t xml:space="preserve"> jetre (</w:t>
      </w:r>
      <w:proofErr w:type="spellStart"/>
      <w:r w:rsidRPr="00D83C9F">
        <w:rPr>
          <w:i/>
          <w:sz w:val="22"/>
          <w:szCs w:val="22"/>
          <w:lang w:val="sr-Latn-ME"/>
        </w:rPr>
        <w:t>Child-Pugh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C) </w:t>
      </w:r>
      <w:r w:rsidR="00663D59" w:rsidRPr="00D83C9F">
        <w:rPr>
          <w:sz w:val="22"/>
          <w:szCs w:val="22"/>
          <w:lang w:val="sr-Latn-ME"/>
        </w:rPr>
        <w:t xml:space="preserve">moraju biti pod strogim </w:t>
      </w:r>
      <w:r w:rsidRPr="00D83C9F">
        <w:rPr>
          <w:sz w:val="22"/>
          <w:szCs w:val="22"/>
          <w:lang w:val="sr-Latn-ME"/>
        </w:rPr>
        <w:t>praćenje</w:t>
      </w:r>
      <w:r w:rsidR="00663D59" w:rsidRPr="00D83C9F">
        <w:rPr>
          <w:sz w:val="22"/>
          <w:szCs w:val="22"/>
          <w:lang w:val="sr-Latn-ME"/>
        </w:rPr>
        <w:t>m</w:t>
      </w:r>
      <w:r w:rsidRPr="00D83C9F">
        <w:rPr>
          <w:sz w:val="22"/>
          <w:szCs w:val="22"/>
          <w:lang w:val="sr-Latn-ME"/>
        </w:rPr>
        <w:t xml:space="preserve"> (vidjeti djelove 4.4. i 5.2.).</w:t>
      </w:r>
    </w:p>
    <w:p w14:paraId="04128012" w14:textId="77777777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54C7D980" w14:textId="77777777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D83C9F">
        <w:rPr>
          <w:bCs/>
          <w:sz w:val="22"/>
          <w:szCs w:val="22"/>
          <w:u w:val="single"/>
          <w:lang w:val="sr-Latn-ME"/>
        </w:rPr>
        <w:t>Način primjene</w:t>
      </w:r>
    </w:p>
    <w:p w14:paraId="3CA60646" w14:textId="77777777" w:rsidR="0002115E" w:rsidRPr="00D83C9F" w:rsidRDefault="0002115E" w:rsidP="00CE1E1D">
      <w:pPr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treba uzimati oralnim putem, uz obrok ili </w:t>
      </w:r>
      <w:proofErr w:type="spellStart"/>
      <w:r w:rsidRPr="00D83C9F">
        <w:rPr>
          <w:sz w:val="22"/>
          <w:szCs w:val="22"/>
          <w:lang w:val="sr-Latn-ME"/>
        </w:rPr>
        <w:t>natašte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484B87D1" w14:textId="77777777" w:rsidR="0002115E" w:rsidRPr="00D83C9F" w:rsidRDefault="0002115E" w:rsidP="00CE1E1D">
      <w:pPr>
        <w:jc w:val="both"/>
        <w:rPr>
          <w:sz w:val="22"/>
          <w:szCs w:val="22"/>
          <w:lang w:val="sr-Latn-ME"/>
        </w:rPr>
      </w:pPr>
    </w:p>
    <w:p w14:paraId="14A63558" w14:textId="3505B2A6" w:rsidR="0002115E" w:rsidRPr="00D83C9F" w:rsidRDefault="0002115E" w:rsidP="00CE1E1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Ukoliko je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propustila da uzme lijek, propuštenu dozu treba nadoknaditi čim se sjeti. </w:t>
      </w:r>
      <w:r w:rsidR="004B09D6" w:rsidRPr="00D83C9F">
        <w:rPr>
          <w:sz w:val="22"/>
          <w:szCs w:val="22"/>
          <w:lang w:val="sr-Latn-ME"/>
        </w:rPr>
        <w:t xml:space="preserve">Međutim, ako je uskoro vrijeme za sljedeću dozu (u roku od 2 ili 3 sata), propuštenu dozu potrebno je preskočiti i </w:t>
      </w:r>
      <w:proofErr w:type="spellStart"/>
      <w:r w:rsidR="004B09D6" w:rsidRPr="00D83C9F">
        <w:rPr>
          <w:sz w:val="22"/>
          <w:szCs w:val="22"/>
          <w:lang w:val="sr-Latn-ME"/>
        </w:rPr>
        <w:t>pacijentkinja</w:t>
      </w:r>
      <w:proofErr w:type="spellEnd"/>
      <w:r w:rsidR="004B09D6" w:rsidRPr="00D83C9F">
        <w:rPr>
          <w:sz w:val="22"/>
          <w:szCs w:val="22"/>
          <w:lang w:val="sr-Latn-ME"/>
        </w:rPr>
        <w:t xml:space="preserve"> se treba vratiti na svoj </w:t>
      </w:r>
      <w:r w:rsidRPr="00D83C9F">
        <w:rPr>
          <w:sz w:val="22"/>
          <w:szCs w:val="22"/>
          <w:lang w:val="sr-Latn-ME"/>
        </w:rPr>
        <w:t xml:space="preserve">uobičajeni </w:t>
      </w:r>
      <w:proofErr w:type="spellStart"/>
      <w:r w:rsidRPr="00D83C9F">
        <w:rPr>
          <w:sz w:val="22"/>
          <w:szCs w:val="22"/>
          <w:lang w:val="sr-Latn-ME"/>
        </w:rPr>
        <w:t>dozni</w:t>
      </w:r>
      <w:proofErr w:type="spellEnd"/>
      <w:r w:rsidRPr="00D83C9F">
        <w:rPr>
          <w:sz w:val="22"/>
          <w:szCs w:val="22"/>
          <w:lang w:val="sr-Latn-ME"/>
        </w:rPr>
        <w:t xml:space="preserve"> režim. Doze se ne smiju duplirati, jer je pri prekoračenju dnevne doze od 2,5 mg zabilježeno neproporcionalno povećanje sistemske izloženosti (vidjeti dio 5.2.).</w:t>
      </w:r>
    </w:p>
    <w:p w14:paraId="47593155" w14:textId="77777777" w:rsidR="00452E9D" w:rsidRPr="00D83C9F" w:rsidRDefault="00452E9D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C664D8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4.3.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proofErr w:type="spellStart"/>
      <w:r w:rsidRPr="00D83C9F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D177994" w14:textId="77777777" w:rsidR="0002115E" w:rsidRPr="00D83C9F" w:rsidRDefault="0002115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915A13D" w14:textId="63C75275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>-</w:t>
      </w:r>
      <w:r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Cs/>
          <w:sz w:val="22"/>
          <w:szCs w:val="22"/>
          <w:lang w:val="sr-Latn-ME"/>
        </w:rPr>
        <w:t xml:space="preserve">Preosjetljivost na aktivnu supstancu ili neku od pomoćnih supstanci navedenih u dijelu 6.1. </w:t>
      </w:r>
    </w:p>
    <w:p w14:paraId="3DD75E87" w14:textId="77777777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-</w:t>
      </w:r>
      <w:r w:rsidRPr="00D83C9F">
        <w:rPr>
          <w:bCs/>
          <w:sz w:val="22"/>
          <w:szCs w:val="22"/>
          <w:lang w:val="sr-Latn-ME"/>
        </w:rPr>
        <w:tab/>
      </w:r>
      <w:proofErr w:type="spellStart"/>
      <w:r w:rsidRPr="00D83C9F">
        <w:rPr>
          <w:bCs/>
          <w:sz w:val="22"/>
          <w:szCs w:val="22"/>
          <w:lang w:val="sr-Latn-ME"/>
        </w:rPr>
        <w:t>Premenopauzalni</w:t>
      </w:r>
      <w:proofErr w:type="spellEnd"/>
      <w:r w:rsidRPr="00D83C9F">
        <w:rPr>
          <w:bCs/>
          <w:sz w:val="22"/>
          <w:szCs w:val="22"/>
          <w:lang w:val="sr-Latn-ME"/>
        </w:rPr>
        <w:t xml:space="preserve"> endokrini status;</w:t>
      </w:r>
    </w:p>
    <w:p w14:paraId="0A5231D2" w14:textId="77777777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-</w:t>
      </w:r>
      <w:r w:rsidRPr="00D83C9F">
        <w:rPr>
          <w:bCs/>
          <w:sz w:val="22"/>
          <w:szCs w:val="22"/>
          <w:lang w:val="sr-Latn-ME"/>
        </w:rPr>
        <w:tab/>
        <w:t>Trudnoća (vidjeti dio 4.6.);</w:t>
      </w:r>
    </w:p>
    <w:p w14:paraId="0E4DF16D" w14:textId="77777777" w:rsidR="0002115E" w:rsidRPr="00D83C9F" w:rsidRDefault="0002115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-</w:t>
      </w:r>
      <w:r w:rsidRPr="00D83C9F">
        <w:rPr>
          <w:bCs/>
          <w:sz w:val="22"/>
          <w:szCs w:val="22"/>
          <w:lang w:val="sr-Latn-ME"/>
        </w:rPr>
        <w:tab/>
        <w:t>Dojenje (vidjeti dio 4.6.).</w:t>
      </w:r>
    </w:p>
    <w:p w14:paraId="5F33958C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FD097A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4.4.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7E61838E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E00D08C" w14:textId="77777777" w:rsidR="0002115E" w:rsidRPr="00D83C9F" w:rsidRDefault="0002115E" w:rsidP="00CE1E1D">
      <w:pPr>
        <w:jc w:val="both"/>
        <w:rPr>
          <w:bCs/>
          <w:sz w:val="22"/>
          <w:szCs w:val="22"/>
          <w:u w:val="single"/>
          <w:lang w:val="sr-Latn-ME"/>
        </w:rPr>
      </w:pPr>
      <w:r w:rsidRPr="00D83C9F">
        <w:rPr>
          <w:bCs/>
          <w:sz w:val="22"/>
          <w:szCs w:val="22"/>
          <w:u w:val="single"/>
          <w:lang w:val="sr-Latn-ME"/>
        </w:rPr>
        <w:t>Status menopauze</w:t>
      </w:r>
    </w:p>
    <w:p w14:paraId="004D95B5" w14:textId="5483F011" w:rsidR="0002115E" w:rsidRPr="00D83C9F" w:rsidRDefault="0002115E" w:rsidP="00CE1E1D">
      <w:pPr>
        <w:shd w:val="clear" w:color="auto" w:fill="FFFFFF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kod kojih nije jasan status menopauze, potrebno je odrediti vrijednosti </w:t>
      </w:r>
      <w:proofErr w:type="spellStart"/>
      <w:r w:rsidRPr="00D83C9F">
        <w:rPr>
          <w:sz w:val="22"/>
          <w:szCs w:val="22"/>
          <w:lang w:val="sr-Latn-ME"/>
        </w:rPr>
        <w:t>luteinizirajućeg</w:t>
      </w:r>
      <w:proofErr w:type="spellEnd"/>
      <w:r w:rsidRPr="00D83C9F">
        <w:rPr>
          <w:sz w:val="22"/>
          <w:szCs w:val="22"/>
          <w:lang w:val="sr-Latn-ME"/>
        </w:rPr>
        <w:t xml:space="preserve"> hormona (LH), </w:t>
      </w:r>
      <w:proofErr w:type="spellStart"/>
      <w:r w:rsidRPr="00D83C9F">
        <w:rPr>
          <w:sz w:val="22"/>
          <w:szCs w:val="22"/>
          <w:lang w:val="sr-Latn-ME"/>
        </w:rPr>
        <w:t>folikostimulirajućeg</w:t>
      </w:r>
      <w:proofErr w:type="spellEnd"/>
      <w:r w:rsidRPr="00D83C9F">
        <w:rPr>
          <w:sz w:val="22"/>
          <w:szCs w:val="22"/>
          <w:lang w:val="sr-Latn-ME"/>
        </w:rPr>
        <w:t xml:space="preserve"> hormona (</w:t>
      </w:r>
      <w:r w:rsidR="00E422E6" w:rsidRPr="00D83C9F">
        <w:rPr>
          <w:sz w:val="22"/>
          <w:szCs w:val="22"/>
          <w:lang w:val="sr-Latn-ME"/>
        </w:rPr>
        <w:t>FSH)</w:t>
      </w:r>
      <w:r w:rsidRPr="00D83C9F">
        <w:rPr>
          <w:sz w:val="22"/>
          <w:szCs w:val="22"/>
          <w:lang w:val="sr-Latn-ME"/>
        </w:rPr>
        <w:t xml:space="preserve"> i/ili estrogena prije započinjanja terapije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.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r w:rsidR="00E422E6" w:rsidRPr="00D83C9F">
        <w:rPr>
          <w:sz w:val="22"/>
          <w:szCs w:val="22"/>
          <w:lang w:val="sr-Latn-ME"/>
        </w:rPr>
        <w:t>smiju primat</w:t>
      </w:r>
      <w:r w:rsidR="00856BB6" w:rsidRPr="00D83C9F">
        <w:rPr>
          <w:sz w:val="22"/>
          <w:szCs w:val="22"/>
          <w:lang w:val="sr-Latn-ME"/>
        </w:rPr>
        <w:t>i</w:t>
      </w:r>
      <w:r w:rsidR="00E422E6" w:rsidRPr="00D83C9F">
        <w:rPr>
          <w:sz w:val="22"/>
          <w:szCs w:val="22"/>
          <w:lang w:val="sr-Latn-ME"/>
        </w:rPr>
        <w:t xml:space="preserve"> samo</w:t>
      </w:r>
      <w:r w:rsidRPr="00D83C9F">
        <w:rPr>
          <w:sz w:val="22"/>
          <w:szCs w:val="22"/>
          <w:lang w:val="sr-Latn-ME"/>
        </w:rPr>
        <w:t xml:space="preserve"> žene sa </w:t>
      </w:r>
      <w:proofErr w:type="spellStart"/>
      <w:r w:rsidRPr="00D83C9F">
        <w:rPr>
          <w:sz w:val="22"/>
          <w:szCs w:val="22"/>
          <w:lang w:val="sr-Latn-ME"/>
        </w:rPr>
        <w:t>postmenopauzalnim</w:t>
      </w:r>
      <w:proofErr w:type="spellEnd"/>
      <w:r w:rsidRPr="00D83C9F">
        <w:rPr>
          <w:sz w:val="22"/>
          <w:szCs w:val="22"/>
          <w:lang w:val="sr-Latn-ME"/>
        </w:rPr>
        <w:t xml:space="preserve"> endokrinim statusom. </w:t>
      </w:r>
    </w:p>
    <w:p w14:paraId="3B74E432" w14:textId="77777777" w:rsidR="0002115E" w:rsidRPr="00D83C9F" w:rsidRDefault="0002115E" w:rsidP="00CE1E1D">
      <w:pPr>
        <w:jc w:val="both"/>
        <w:rPr>
          <w:bCs/>
          <w:sz w:val="22"/>
          <w:szCs w:val="22"/>
          <w:lang w:val="sr-Latn-ME"/>
        </w:rPr>
      </w:pPr>
    </w:p>
    <w:p w14:paraId="0E6328C9" w14:textId="11C9D0C7" w:rsidR="0002115E" w:rsidRPr="00D83C9F" w:rsidRDefault="0002115E" w:rsidP="00CE1E1D">
      <w:pPr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Oštećenje</w:t>
      </w:r>
      <w:r w:rsidR="00176137" w:rsidRPr="00D83C9F">
        <w:rPr>
          <w:sz w:val="22"/>
          <w:szCs w:val="22"/>
          <w:u w:val="single"/>
          <w:lang w:val="sr-Latn-ME"/>
        </w:rPr>
        <w:t xml:space="preserve"> funkcije</w:t>
      </w:r>
      <w:r w:rsidRPr="00D83C9F">
        <w:rPr>
          <w:sz w:val="22"/>
          <w:szCs w:val="22"/>
          <w:u w:val="single"/>
          <w:lang w:val="sr-Latn-ME"/>
        </w:rPr>
        <w:t xml:space="preserve"> bubrega</w:t>
      </w:r>
    </w:p>
    <w:p w14:paraId="0D2067FC" w14:textId="71E8D331" w:rsidR="0002115E" w:rsidRPr="00D83C9F" w:rsidRDefault="002525EA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lastRenderedPageBreak/>
        <w:t>Letrozol</w:t>
      </w:r>
      <w:proofErr w:type="spellEnd"/>
      <w:r w:rsidRPr="00D83C9F">
        <w:rPr>
          <w:sz w:val="22"/>
          <w:szCs w:val="22"/>
          <w:vertAlign w:val="superscript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nije</w:t>
      </w:r>
      <w:r w:rsidR="0002115E" w:rsidRPr="00D83C9F">
        <w:rPr>
          <w:sz w:val="22"/>
          <w:szCs w:val="22"/>
          <w:lang w:val="sr-Latn-ME"/>
        </w:rPr>
        <w:t xml:space="preserve"> ispitivan kod dovoljnog broja </w:t>
      </w:r>
      <w:proofErr w:type="spellStart"/>
      <w:r w:rsidR="0002115E" w:rsidRPr="00D83C9F">
        <w:rPr>
          <w:sz w:val="22"/>
          <w:szCs w:val="22"/>
          <w:lang w:val="sr-Latn-ME"/>
        </w:rPr>
        <w:t>pacijentkinja</w:t>
      </w:r>
      <w:proofErr w:type="spellEnd"/>
      <w:r w:rsidR="0002115E" w:rsidRPr="00D83C9F">
        <w:rPr>
          <w:sz w:val="22"/>
          <w:szCs w:val="22"/>
          <w:lang w:val="sr-Latn-ME"/>
        </w:rPr>
        <w:t xml:space="preserve"> sa </w:t>
      </w:r>
      <w:proofErr w:type="spellStart"/>
      <w:r w:rsidR="0002115E" w:rsidRPr="00D83C9F">
        <w:rPr>
          <w:sz w:val="22"/>
          <w:szCs w:val="22"/>
          <w:lang w:val="sr-Latn-ME"/>
        </w:rPr>
        <w:t>klirensom</w:t>
      </w:r>
      <w:proofErr w:type="spellEnd"/>
      <w:r w:rsidR="0002115E" w:rsidRPr="00D83C9F">
        <w:rPr>
          <w:sz w:val="22"/>
          <w:szCs w:val="22"/>
          <w:lang w:val="sr-Latn-ME"/>
        </w:rPr>
        <w:t xml:space="preserve"> </w:t>
      </w:r>
      <w:proofErr w:type="spellStart"/>
      <w:r w:rsidR="0002115E" w:rsidRPr="00D83C9F">
        <w:rPr>
          <w:sz w:val="22"/>
          <w:szCs w:val="22"/>
          <w:lang w:val="sr-Latn-ME"/>
        </w:rPr>
        <w:t>kreatinina</w:t>
      </w:r>
      <w:proofErr w:type="spellEnd"/>
      <w:r w:rsidR="0002115E" w:rsidRPr="00D83C9F">
        <w:rPr>
          <w:sz w:val="22"/>
          <w:szCs w:val="22"/>
          <w:lang w:val="sr-Latn-ME"/>
        </w:rPr>
        <w:t xml:space="preserve"> manjim od 10 ml/min. Prije primjene </w:t>
      </w:r>
      <w:proofErr w:type="spellStart"/>
      <w:r w:rsidR="0002115E" w:rsidRPr="00D83C9F">
        <w:rPr>
          <w:sz w:val="22"/>
          <w:szCs w:val="22"/>
          <w:lang w:val="sr-Latn-ME"/>
        </w:rPr>
        <w:t>letrozola</w:t>
      </w:r>
      <w:proofErr w:type="spellEnd"/>
      <w:r w:rsidR="0002115E" w:rsidRPr="00D83C9F">
        <w:rPr>
          <w:sz w:val="22"/>
          <w:szCs w:val="22"/>
          <w:lang w:val="sr-Latn-ME"/>
        </w:rPr>
        <w:t xml:space="preserve">, kod ovih </w:t>
      </w:r>
      <w:proofErr w:type="spellStart"/>
      <w:r w:rsidR="0002115E" w:rsidRPr="00D83C9F">
        <w:rPr>
          <w:sz w:val="22"/>
          <w:szCs w:val="22"/>
          <w:lang w:val="sr-Latn-ME"/>
        </w:rPr>
        <w:t>pacijentkinja</w:t>
      </w:r>
      <w:proofErr w:type="spellEnd"/>
      <w:r w:rsidR="0002115E" w:rsidRPr="00D83C9F">
        <w:rPr>
          <w:sz w:val="22"/>
          <w:szCs w:val="22"/>
          <w:lang w:val="sr-Latn-ME"/>
        </w:rPr>
        <w:t xml:space="preserve"> je potrebno pažljivo razmotriti potencijalni rizik u odnosu na korist primjene lijeka. </w:t>
      </w:r>
    </w:p>
    <w:p w14:paraId="2F41F488" w14:textId="77777777" w:rsidR="0002115E" w:rsidRPr="00D83C9F" w:rsidRDefault="0002115E" w:rsidP="00CE1E1D">
      <w:pPr>
        <w:tabs>
          <w:tab w:val="left" w:pos="426"/>
        </w:tabs>
        <w:ind w:left="360"/>
        <w:jc w:val="both"/>
        <w:rPr>
          <w:sz w:val="22"/>
          <w:szCs w:val="22"/>
          <w:lang w:val="sr-Latn-ME"/>
        </w:rPr>
      </w:pPr>
    </w:p>
    <w:p w14:paraId="104ED1E9" w14:textId="77FD3E6C" w:rsidR="0002115E" w:rsidRPr="00D83C9F" w:rsidRDefault="0002115E" w:rsidP="00CE1E1D">
      <w:pPr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Oštećenje</w:t>
      </w:r>
      <w:r w:rsidR="00176137" w:rsidRPr="00D83C9F">
        <w:rPr>
          <w:sz w:val="22"/>
          <w:szCs w:val="22"/>
          <w:u w:val="single"/>
          <w:lang w:val="sr-Latn-ME"/>
        </w:rPr>
        <w:t xml:space="preserve"> funkcije</w:t>
      </w:r>
      <w:r w:rsidRPr="00D83C9F">
        <w:rPr>
          <w:sz w:val="22"/>
          <w:szCs w:val="22"/>
          <w:u w:val="single"/>
          <w:lang w:val="sr-Latn-ME"/>
        </w:rPr>
        <w:t xml:space="preserve"> jetre</w:t>
      </w:r>
    </w:p>
    <w:p w14:paraId="3AD79C94" w14:textId="3E4E332E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teškim </w:t>
      </w:r>
      <w:r w:rsidR="00176137" w:rsidRPr="00D83C9F">
        <w:rPr>
          <w:sz w:val="22"/>
          <w:szCs w:val="22"/>
          <w:lang w:val="sr-Latn-ME"/>
        </w:rPr>
        <w:t>oštećenjem funkcije jetre</w:t>
      </w:r>
      <w:r w:rsidRPr="00D83C9F">
        <w:rPr>
          <w:sz w:val="22"/>
          <w:szCs w:val="22"/>
          <w:lang w:val="sr-Latn-ME"/>
        </w:rPr>
        <w:t xml:space="preserve"> (</w:t>
      </w:r>
      <w:proofErr w:type="spellStart"/>
      <w:r w:rsidRPr="00D83C9F">
        <w:rPr>
          <w:i/>
          <w:sz w:val="22"/>
          <w:szCs w:val="22"/>
          <w:lang w:val="sr-Latn-ME"/>
        </w:rPr>
        <w:t>Child-Pugh</w:t>
      </w:r>
      <w:proofErr w:type="spellEnd"/>
      <w:r w:rsidRPr="00D83C9F">
        <w:rPr>
          <w:sz w:val="22"/>
          <w:szCs w:val="22"/>
          <w:lang w:val="sr-Latn-ME"/>
        </w:rPr>
        <w:t xml:space="preserve"> C), sistemska izloženost i poluvrijeme eliminacije bili su </w:t>
      </w:r>
      <w:r w:rsidR="00176137" w:rsidRPr="00D83C9F">
        <w:rPr>
          <w:sz w:val="22"/>
          <w:szCs w:val="22"/>
          <w:lang w:val="sr-Latn-ME"/>
        </w:rPr>
        <w:t>približno</w:t>
      </w:r>
      <w:r w:rsidRPr="00D83C9F">
        <w:rPr>
          <w:sz w:val="22"/>
          <w:szCs w:val="22"/>
          <w:lang w:val="sr-Latn-ME"/>
        </w:rPr>
        <w:t xml:space="preserve"> dvostruko veći u odnosu na vrijednosti izmjerene kod zdravih dobrovoljaca. Zbog toga je potrebno pažljivo nadzirati ove </w:t>
      </w:r>
      <w:proofErr w:type="spellStart"/>
      <w:r w:rsidRPr="00D83C9F">
        <w:rPr>
          <w:sz w:val="22"/>
          <w:szCs w:val="22"/>
          <w:lang w:val="sr-Latn-ME"/>
        </w:rPr>
        <w:t>pacijentkinje</w:t>
      </w:r>
      <w:proofErr w:type="spellEnd"/>
      <w:r w:rsidRPr="00D83C9F">
        <w:rPr>
          <w:sz w:val="22"/>
          <w:szCs w:val="22"/>
          <w:lang w:val="sr-Latn-ME"/>
        </w:rPr>
        <w:t xml:space="preserve"> (vidjeti dio 5.2). </w:t>
      </w:r>
    </w:p>
    <w:p w14:paraId="7C9EB7CC" w14:textId="77777777" w:rsidR="0002115E" w:rsidRPr="00D83C9F" w:rsidRDefault="0002115E" w:rsidP="00CE1E1D">
      <w:pPr>
        <w:tabs>
          <w:tab w:val="left" w:pos="426"/>
        </w:tabs>
        <w:ind w:left="360"/>
        <w:jc w:val="both"/>
        <w:rPr>
          <w:sz w:val="22"/>
          <w:szCs w:val="22"/>
          <w:u w:val="single"/>
          <w:lang w:val="sr-Latn-ME"/>
        </w:rPr>
      </w:pPr>
    </w:p>
    <w:p w14:paraId="6FFE0BBC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 xml:space="preserve">Efekti na kosti </w:t>
      </w:r>
    </w:p>
    <w:p w14:paraId="00152A9B" w14:textId="649D8FB8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je snažan agens za snižavanje vrijednosti estrogena. Ženama sa </w:t>
      </w:r>
      <w:proofErr w:type="spellStart"/>
      <w:r w:rsidRPr="00D83C9F">
        <w:rPr>
          <w:sz w:val="22"/>
          <w:szCs w:val="22"/>
          <w:lang w:val="sr-Latn-ME"/>
        </w:rPr>
        <w:t>osteoporozom</w:t>
      </w:r>
      <w:proofErr w:type="spellEnd"/>
      <w:r w:rsidRPr="00D83C9F">
        <w:rPr>
          <w:sz w:val="22"/>
          <w:szCs w:val="22"/>
          <w:lang w:val="sr-Latn-ME"/>
        </w:rPr>
        <w:t xml:space="preserve"> i/ili frakturom u anamnezi ili onima koje su pod povećanim rizikom za pojavu </w:t>
      </w:r>
      <w:proofErr w:type="spellStart"/>
      <w:r w:rsidRPr="00D83C9F">
        <w:rPr>
          <w:sz w:val="22"/>
          <w:szCs w:val="22"/>
          <w:lang w:val="sr-Latn-ME"/>
        </w:rPr>
        <w:t>osteoporoze</w:t>
      </w:r>
      <w:proofErr w:type="spellEnd"/>
      <w:r w:rsidRPr="00D83C9F">
        <w:rPr>
          <w:sz w:val="22"/>
          <w:szCs w:val="22"/>
          <w:lang w:val="sr-Latn-ME"/>
        </w:rPr>
        <w:t xml:space="preserve">, potrebno je da se odredi mineralna gustina kostiju prije početka </w:t>
      </w:r>
      <w:proofErr w:type="spellStart"/>
      <w:r w:rsidRPr="00D83C9F">
        <w:rPr>
          <w:sz w:val="22"/>
          <w:szCs w:val="22"/>
          <w:lang w:val="sr-Latn-ME"/>
        </w:rPr>
        <w:t>adjuvantne</w:t>
      </w:r>
      <w:proofErr w:type="spellEnd"/>
      <w:r w:rsidRPr="00D83C9F">
        <w:rPr>
          <w:sz w:val="22"/>
          <w:szCs w:val="22"/>
          <w:lang w:val="sr-Latn-ME"/>
        </w:rPr>
        <w:t xml:space="preserve"> i produžene </w:t>
      </w:r>
      <w:proofErr w:type="spellStart"/>
      <w:r w:rsidRPr="00D83C9F">
        <w:rPr>
          <w:sz w:val="22"/>
          <w:szCs w:val="22"/>
          <w:lang w:val="sr-Latn-ME"/>
        </w:rPr>
        <w:t>adjuvantne</w:t>
      </w:r>
      <w:proofErr w:type="spellEnd"/>
      <w:r w:rsidRPr="00D83C9F">
        <w:rPr>
          <w:sz w:val="22"/>
          <w:szCs w:val="22"/>
          <w:lang w:val="sr-Latn-ME"/>
        </w:rPr>
        <w:t xml:space="preserve"> terapije, kao i da se ona prati tokom i nakon terapije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. Po potrebi treba započeti terapiju ili profilaksu </w:t>
      </w:r>
      <w:proofErr w:type="spellStart"/>
      <w:r w:rsidRPr="00D83C9F">
        <w:rPr>
          <w:sz w:val="22"/>
          <w:szCs w:val="22"/>
          <w:lang w:val="sr-Latn-ME"/>
        </w:rPr>
        <w:t>osteoporoze</w:t>
      </w:r>
      <w:proofErr w:type="spellEnd"/>
      <w:r w:rsidRPr="00D83C9F">
        <w:rPr>
          <w:sz w:val="22"/>
          <w:szCs w:val="22"/>
          <w:lang w:val="sr-Latn-ME"/>
        </w:rPr>
        <w:t xml:space="preserve"> i pažljivo je pratiti. Kada se lijek primjenjuje kao </w:t>
      </w:r>
      <w:proofErr w:type="spellStart"/>
      <w:r w:rsidRPr="00D83C9F">
        <w:rPr>
          <w:sz w:val="22"/>
          <w:szCs w:val="22"/>
          <w:lang w:val="sr-Latn-ME"/>
        </w:rPr>
        <w:t>adjuvantna</w:t>
      </w:r>
      <w:proofErr w:type="spellEnd"/>
      <w:r w:rsidRPr="00D83C9F">
        <w:rPr>
          <w:sz w:val="22"/>
          <w:szCs w:val="22"/>
          <w:lang w:val="sr-Latn-ME"/>
        </w:rPr>
        <w:t xml:space="preserve"> terapija treba takođe razmotriti sekvencijalnu terapij</w:t>
      </w:r>
      <w:r w:rsidR="000561BC" w:rsidRPr="00D83C9F">
        <w:rPr>
          <w:sz w:val="22"/>
          <w:szCs w:val="22"/>
          <w:lang w:val="sr-Latn-ME"/>
        </w:rPr>
        <w:t>u</w:t>
      </w:r>
      <w:r w:rsidRPr="00D83C9F">
        <w:rPr>
          <w:sz w:val="22"/>
          <w:szCs w:val="22"/>
          <w:lang w:val="sr-Latn-ME"/>
        </w:rPr>
        <w:t xml:space="preserve"> (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 2 godine, a nakon toga </w:t>
      </w:r>
      <w:proofErr w:type="spellStart"/>
      <w:r w:rsidRPr="00D83C9F">
        <w:rPr>
          <w:bCs/>
          <w:sz w:val="22"/>
          <w:szCs w:val="22"/>
          <w:lang w:val="sr-Latn-ME"/>
        </w:rPr>
        <w:t>tamoksifen</w:t>
      </w:r>
      <w:proofErr w:type="spellEnd"/>
      <w:r w:rsidRPr="00D83C9F">
        <w:rPr>
          <w:bCs/>
          <w:sz w:val="22"/>
          <w:szCs w:val="22"/>
          <w:lang w:val="sr-Latn-ME"/>
        </w:rPr>
        <w:t xml:space="preserve"> 3 godine) u zavisnosti od </w:t>
      </w:r>
      <w:proofErr w:type="spellStart"/>
      <w:r w:rsidRPr="00D83C9F">
        <w:rPr>
          <w:bCs/>
          <w:sz w:val="22"/>
          <w:szCs w:val="22"/>
          <w:lang w:val="sr-Latn-ME"/>
        </w:rPr>
        <w:t>bezbjednosnog</w:t>
      </w:r>
      <w:proofErr w:type="spellEnd"/>
      <w:r w:rsidRPr="00D83C9F">
        <w:rPr>
          <w:bCs/>
          <w:sz w:val="22"/>
          <w:szCs w:val="22"/>
          <w:lang w:val="sr-Latn-ME"/>
        </w:rPr>
        <w:t xml:space="preserve"> profila </w:t>
      </w:r>
      <w:proofErr w:type="spellStart"/>
      <w:r w:rsidRPr="00D83C9F">
        <w:rPr>
          <w:bCs/>
          <w:sz w:val="22"/>
          <w:szCs w:val="22"/>
          <w:lang w:val="sr-Latn-ME"/>
        </w:rPr>
        <w:t>pacijentkinje</w:t>
      </w:r>
      <w:proofErr w:type="spellEnd"/>
      <w:r w:rsidRPr="00D83C9F">
        <w:rPr>
          <w:bCs/>
          <w:sz w:val="22"/>
          <w:szCs w:val="22"/>
          <w:lang w:val="sr-Latn-ME"/>
        </w:rPr>
        <w:t xml:space="preserve"> (vidjeti djelove</w:t>
      </w:r>
      <w:r w:rsidR="0045351E" w:rsidRPr="00D83C9F">
        <w:rPr>
          <w:bCs/>
          <w:sz w:val="22"/>
          <w:szCs w:val="22"/>
          <w:lang w:val="sr-Latn-ME"/>
        </w:rPr>
        <w:t xml:space="preserve"> 4.2</w:t>
      </w:r>
      <w:r w:rsidRPr="00D83C9F">
        <w:rPr>
          <w:bCs/>
          <w:sz w:val="22"/>
          <w:szCs w:val="22"/>
          <w:lang w:val="sr-Latn-ME"/>
        </w:rPr>
        <w:t>, 4.8. i 5.1.)</w:t>
      </w:r>
      <w:r w:rsidRPr="00D83C9F">
        <w:rPr>
          <w:sz w:val="22"/>
          <w:szCs w:val="22"/>
          <w:lang w:val="sr-Latn-ME"/>
        </w:rPr>
        <w:t xml:space="preserve">.  </w:t>
      </w:r>
    </w:p>
    <w:p w14:paraId="471020CC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</w:p>
    <w:p w14:paraId="50C71D8F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Ostala upozorenja</w:t>
      </w:r>
    </w:p>
    <w:p w14:paraId="01C5CA33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Istovremenu primjenu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tamoksifenom</w:t>
      </w:r>
      <w:proofErr w:type="spellEnd"/>
      <w:r w:rsidRPr="00D83C9F">
        <w:rPr>
          <w:sz w:val="22"/>
          <w:szCs w:val="22"/>
          <w:lang w:val="sr-Latn-ME"/>
        </w:rPr>
        <w:t xml:space="preserve">, ostalim </w:t>
      </w:r>
      <w:proofErr w:type="spellStart"/>
      <w:r w:rsidRPr="00D83C9F">
        <w:rPr>
          <w:sz w:val="22"/>
          <w:szCs w:val="22"/>
          <w:lang w:val="sr-Latn-ME"/>
        </w:rPr>
        <w:t>antiestrogenima</w:t>
      </w:r>
      <w:proofErr w:type="spellEnd"/>
      <w:r w:rsidRPr="00D83C9F">
        <w:rPr>
          <w:sz w:val="22"/>
          <w:szCs w:val="22"/>
          <w:lang w:val="sr-Latn-ME"/>
        </w:rPr>
        <w:t xml:space="preserve"> ili terapijama koje sadrže estrogen treba izbjegavati s obzirom da ove supstance mogu umanjiti farmakološku aktivnost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(vidjeti dio 4.5.)</w:t>
      </w:r>
    </w:p>
    <w:p w14:paraId="1BEAB270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</w:p>
    <w:p w14:paraId="15CC371A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u w:val="single"/>
          <w:lang w:val="sr-Latn-ME"/>
        </w:rPr>
      </w:pPr>
      <w:proofErr w:type="spellStart"/>
      <w:r w:rsidRPr="00D83C9F">
        <w:rPr>
          <w:sz w:val="22"/>
          <w:szCs w:val="22"/>
          <w:u w:val="single"/>
          <w:lang w:val="sr-Latn-ME"/>
        </w:rPr>
        <w:t>Tendinitis</w:t>
      </w:r>
      <w:proofErr w:type="spellEnd"/>
      <w:r w:rsidRPr="00D83C9F">
        <w:rPr>
          <w:sz w:val="22"/>
          <w:szCs w:val="22"/>
          <w:u w:val="single"/>
          <w:lang w:val="sr-Latn-ME"/>
        </w:rPr>
        <w:t xml:space="preserve"> i </w:t>
      </w:r>
      <w:proofErr w:type="spellStart"/>
      <w:r w:rsidRPr="00D83C9F">
        <w:rPr>
          <w:sz w:val="22"/>
          <w:szCs w:val="22"/>
          <w:u w:val="single"/>
          <w:lang w:val="sr-Latn-ME"/>
        </w:rPr>
        <w:t>ruptura</w:t>
      </w:r>
      <w:proofErr w:type="spellEnd"/>
      <w:r w:rsidRPr="00D83C9F">
        <w:rPr>
          <w:sz w:val="22"/>
          <w:szCs w:val="22"/>
          <w:u w:val="single"/>
          <w:lang w:val="sr-Latn-ME"/>
        </w:rPr>
        <w:t xml:space="preserve"> tetive </w:t>
      </w:r>
    </w:p>
    <w:p w14:paraId="566AA4B4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Moguća je pojava </w:t>
      </w:r>
      <w:proofErr w:type="spellStart"/>
      <w:r w:rsidRPr="00D83C9F">
        <w:rPr>
          <w:sz w:val="22"/>
          <w:szCs w:val="22"/>
          <w:lang w:val="sr-Latn-ME"/>
        </w:rPr>
        <w:t>tendinitisa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ruptura</w:t>
      </w:r>
      <w:proofErr w:type="spellEnd"/>
      <w:r w:rsidRPr="00D83C9F">
        <w:rPr>
          <w:sz w:val="22"/>
          <w:szCs w:val="22"/>
          <w:lang w:val="sr-Latn-ME"/>
        </w:rPr>
        <w:t xml:space="preserve"> tetive (rijetko). </w:t>
      </w:r>
      <w:proofErr w:type="spellStart"/>
      <w:r w:rsidRPr="00D83C9F">
        <w:rPr>
          <w:sz w:val="22"/>
          <w:szCs w:val="22"/>
          <w:lang w:val="sr-Latn-ME"/>
        </w:rPr>
        <w:t>Pacijentkinje</w:t>
      </w:r>
      <w:proofErr w:type="spellEnd"/>
      <w:r w:rsidRPr="00D83C9F">
        <w:rPr>
          <w:sz w:val="22"/>
          <w:szCs w:val="22"/>
          <w:lang w:val="sr-Latn-ME"/>
        </w:rPr>
        <w:t xml:space="preserve"> je potrebno pažljivo pratiti i preduzeti odgovarajuće mjere za zbrinjavanje zahvaćene tetive (npr. imobilizacija) (vidjeti dio 4.8).</w:t>
      </w:r>
    </w:p>
    <w:p w14:paraId="543D7970" w14:textId="77777777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</w:p>
    <w:p w14:paraId="281CACA2" w14:textId="0B9F73FE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Ovaj lijek sadrži laktozu. </w:t>
      </w:r>
      <w:proofErr w:type="spellStart"/>
      <w:r w:rsidRPr="00D83C9F">
        <w:rPr>
          <w:sz w:val="22"/>
          <w:szCs w:val="22"/>
          <w:lang w:val="sr-Latn-ME"/>
        </w:rPr>
        <w:t>Pacijentkinje</w:t>
      </w:r>
      <w:proofErr w:type="spellEnd"/>
      <w:r w:rsidRPr="00D83C9F">
        <w:rPr>
          <w:sz w:val="22"/>
          <w:szCs w:val="22"/>
          <w:lang w:val="sr-Latn-ME"/>
        </w:rPr>
        <w:t xml:space="preserve"> sa rijetkim </w:t>
      </w:r>
      <w:proofErr w:type="spellStart"/>
      <w:r w:rsidRPr="00D83C9F">
        <w:rPr>
          <w:sz w:val="22"/>
          <w:szCs w:val="22"/>
          <w:lang w:val="sr-Latn-ME"/>
        </w:rPr>
        <w:t>nasljednim</w:t>
      </w:r>
      <w:proofErr w:type="spellEnd"/>
      <w:r w:rsidRPr="00D83C9F">
        <w:rPr>
          <w:sz w:val="22"/>
          <w:szCs w:val="22"/>
          <w:lang w:val="sr-Latn-ME"/>
        </w:rPr>
        <w:t xml:space="preserve"> oboljenjem intolerancije na </w:t>
      </w:r>
      <w:proofErr w:type="spellStart"/>
      <w:r w:rsidRPr="00D83C9F">
        <w:rPr>
          <w:sz w:val="22"/>
          <w:szCs w:val="22"/>
          <w:lang w:val="sr-Latn-ME"/>
        </w:rPr>
        <w:t>galaktozu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r w:rsidR="0045351E" w:rsidRPr="00D83C9F">
        <w:rPr>
          <w:sz w:val="22"/>
          <w:szCs w:val="22"/>
          <w:lang w:val="sr-Latn-ME"/>
        </w:rPr>
        <w:t>potpunim nedostatkom</w:t>
      </w:r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laktaze</w:t>
      </w:r>
      <w:proofErr w:type="spellEnd"/>
      <w:r w:rsidRPr="00D83C9F">
        <w:rPr>
          <w:sz w:val="22"/>
          <w:szCs w:val="22"/>
          <w:lang w:val="sr-Latn-ME"/>
        </w:rPr>
        <w:t xml:space="preserve"> ili </w:t>
      </w:r>
      <w:proofErr w:type="spellStart"/>
      <w:r w:rsidRPr="00D83C9F">
        <w:rPr>
          <w:sz w:val="22"/>
          <w:szCs w:val="22"/>
          <w:lang w:val="sr-Latn-ME"/>
        </w:rPr>
        <w:t>glukozno-galaktoznom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malapsorpcijom</w:t>
      </w:r>
      <w:proofErr w:type="spellEnd"/>
      <w:r w:rsidRPr="00D83C9F">
        <w:rPr>
          <w:sz w:val="22"/>
          <w:szCs w:val="22"/>
          <w:lang w:val="sr-Latn-ME"/>
        </w:rPr>
        <w:t>, ne smiju koristiti ovaj lijek.</w:t>
      </w:r>
    </w:p>
    <w:p w14:paraId="64127536" w14:textId="77777777" w:rsidR="00CE1E1D" w:rsidRPr="00D83C9F" w:rsidRDefault="00CE1E1D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</w:p>
    <w:p w14:paraId="6F177906" w14:textId="7F318B32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Ovaj lijek sadrži </w:t>
      </w:r>
      <w:r w:rsidR="00CE1E1D" w:rsidRPr="00D83C9F">
        <w:rPr>
          <w:sz w:val="22"/>
          <w:szCs w:val="22"/>
          <w:lang w:val="sr-Latn-ME"/>
        </w:rPr>
        <w:t xml:space="preserve">boju </w:t>
      </w:r>
      <w:proofErr w:type="spellStart"/>
      <w:r w:rsidRPr="00D83C9F">
        <w:rPr>
          <w:sz w:val="22"/>
          <w:szCs w:val="22"/>
          <w:lang w:val="sr-Latn-ME"/>
        </w:rPr>
        <w:t>tartrazin</w:t>
      </w:r>
      <w:proofErr w:type="spellEnd"/>
      <w:r w:rsidRPr="00D83C9F">
        <w:rPr>
          <w:sz w:val="22"/>
          <w:szCs w:val="22"/>
          <w:lang w:val="sr-Latn-ME"/>
        </w:rPr>
        <w:t xml:space="preserve"> (E102) </w:t>
      </w:r>
      <w:r w:rsidR="00CE1E1D" w:rsidRPr="00D83C9F">
        <w:rPr>
          <w:sz w:val="22"/>
          <w:szCs w:val="22"/>
          <w:lang w:val="sr-Latn-ME"/>
        </w:rPr>
        <w:t xml:space="preserve">koja </w:t>
      </w:r>
      <w:r w:rsidRPr="00D83C9F">
        <w:rPr>
          <w:sz w:val="22"/>
          <w:szCs w:val="22"/>
          <w:lang w:val="sr-Latn-ME"/>
        </w:rPr>
        <w:t xml:space="preserve">može uzrokovati alergijske reakcije. </w:t>
      </w:r>
    </w:p>
    <w:p w14:paraId="5A4ED80B" w14:textId="77777777" w:rsidR="00CE1E1D" w:rsidRPr="00D83C9F" w:rsidRDefault="00CE1E1D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</w:p>
    <w:p w14:paraId="728AC187" w14:textId="2AB5F8A6" w:rsidR="0002115E" w:rsidRPr="00D83C9F" w:rsidRDefault="0002115E" w:rsidP="00CE1E1D">
      <w:pPr>
        <w:tabs>
          <w:tab w:val="left" w:pos="426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Ovaj lijek sadrži manje od 1 </w:t>
      </w:r>
      <w:proofErr w:type="spellStart"/>
      <w:r w:rsidRPr="00D83C9F">
        <w:rPr>
          <w:sz w:val="22"/>
          <w:szCs w:val="22"/>
          <w:lang w:val="sr-Latn-ME"/>
        </w:rPr>
        <w:t>mmol</w:t>
      </w:r>
      <w:proofErr w:type="spellEnd"/>
      <w:r w:rsidRPr="00D83C9F">
        <w:rPr>
          <w:sz w:val="22"/>
          <w:szCs w:val="22"/>
          <w:lang w:val="sr-Latn-ME"/>
        </w:rPr>
        <w:t xml:space="preserve"> (23 mg) natrijuma po tableti</w:t>
      </w:r>
      <w:r w:rsidR="00684660" w:rsidRPr="00D83C9F">
        <w:rPr>
          <w:sz w:val="22"/>
          <w:szCs w:val="22"/>
          <w:lang w:val="sr-Latn-ME"/>
        </w:rPr>
        <w:t>,</w:t>
      </w:r>
      <w:r w:rsidRPr="00D83C9F">
        <w:rPr>
          <w:sz w:val="22"/>
          <w:szCs w:val="22"/>
          <w:lang w:val="sr-Latn-ME"/>
        </w:rPr>
        <w:t xml:space="preserve"> tj. </w:t>
      </w:r>
      <w:r w:rsidR="00684660" w:rsidRPr="00D83C9F">
        <w:rPr>
          <w:sz w:val="22"/>
          <w:szCs w:val="22"/>
          <w:lang w:val="sr-Latn-ME"/>
        </w:rPr>
        <w:t>suštinski je „bez</w:t>
      </w:r>
      <w:r w:rsidRPr="00D83C9F">
        <w:rPr>
          <w:sz w:val="22"/>
          <w:szCs w:val="22"/>
          <w:lang w:val="sr-Latn-ME"/>
        </w:rPr>
        <w:t xml:space="preserve"> natrijuma</w:t>
      </w:r>
      <w:r w:rsidR="00684660" w:rsidRPr="00D83C9F">
        <w:rPr>
          <w:sz w:val="22"/>
          <w:szCs w:val="22"/>
          <w:lang w:val="sr-Latn-ME"/>
        </w:rPr>
        <w:t>“</w:t>
      </w:r>
      <w:r w:rsidRPr="00D83C9F">
        <w:rPr>
          <w:sz w:val="22"/>
          <w:szCs w:val="22"/>
          <w:lang w:val="sr-Latn-ME"/>
        </w:rPr>
        <w:t>.</w:t>
      </w:r>
    </w:p>
    <w:p w14:paraId="502F5D0A" w14:textId="77777777" w:rsidR="00057E35" w:rsidRPr="00D83C9F" w:rsidRDefault="00057E35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11325B" w14:textId="77777777" w:rsidR="00411B4B" w:rsidRPr="00D83C9F" w:rsidRDefault="00411B4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>4.5.</w:t>
      </w:r>
      <w:r w:rsidR="0002115E" w:rsidRPr="00D83C9F">
        <w:rPr>
          <w:b/>
          <w:bCs/>
          <w:sz w:val="22"/>
          <w:szCs w:val="22"/>
          <w:lang w:val="sr-Latn-ME"/>
        </w:rPr>
        <w:t xml:space="preserve"> </w:t>
      </w:r>
      <w:r w:rsidRPr="00D83C9F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62C5B236" w14:textId="77777777" w:rsidR="0002115E" w:rsidRPr="00D83C9F" w:rsidRDefault="0002115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52A3B3" w14:textId="77D2C6C5" w:rsidR="0002115E" w:rsidRPr="00D83C9F" w:rsidRDefault="0002115E" w:rsidP="00CE1E1D">
      <w:pPr>
        <w:pStyle w:val="BodyTextIndent3"/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Metabolizam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je djelimično posredovan enzimima CYP2A6 i CYP3A4. </w:t>
      </w:r>
      <w:proofErr w:type="spellStart"/>
      <w:r w:rsidRPr="00D83C9F">
        <w:rPr>
          <w:sz w:val="22"/>
          <w:szCs w:val="22"/>
          <w:lang w:val="sr-Latn-ME"/>
        </w:rPr>
        <w:t>Cimetidin</w:t>
      </w:r>
      <w:proofErr w:type="spellEnd"/>
      <w:r w:rsidRPr="00D83C9F">
        <w:rPr>
          <w:sz w:val="22"/>
          <w:szCs w:val="22"/>
          <w:lang w:val="sr-Latn-ME"/>
        </w:rPr>
        <w:t xml:space="preserve">, slab, </w:t>
      </w:r>
      <w:proofErr w:type="spellStart"/>
      <w:r w:rsidRPr="00D83C9F">
        <w:rPr>
          <w:sz w:val="22"/>
          <w:szCs w:val="22"/>
          <w:lang w:val="sr-Latn-ME"/>
        </w:rPr>
        <w:t>nespecifični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inhibitor</w:t>
      </w:r>
      <w:proofErr w:type="spellEnd"/>
      <w:r w:rsidRPr="00D83C9F">
        <w:rPr>
          <w:sz w:val="22"/>
          <w:szCs w:val="22"/>
          <w:lang w:val="sr-Latn-ME"/>
        </w:rPr>
        <w:t xml:space="preserve"> CYP450 enzima, ne utiče na koncentracije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u plazmi. Efekat snažnih </w:t>
      </w:r>
      <w:proofErr w:type="spellStart"/>
      <w:r w:rsidRPr="00D83C9F">
        <w:rPr>
          <w:sz w:val="22"/>
          <w:szCs w:val="22"/>
          <w:lang w:val="sr-Latn-ME"/>
        </w:rPr>
        <w:t>inhibitora</w:t>
      </w:r>
      <w:proofErr w:type="spellEnd"/>
      <w:r w:rsidRPr="00D83C9F">
        <w:rPr>
          <w:sz w:val="22"/>
          <w:szCs w:val="22"/>
          <w:lang w:val="sr-Latn-ME"/>
        </w:rPr>
        <w:t xml:space="preserve"> CYP450 enzima nije poznat.</w:t>
      </w:r>
    </w:p>
    <w:p w14:paraId="6C20702B" w14:textId="77777777" w:rsidR="00A10408" w:rsidRPr="00D83C9F" w:rsidRDefault="00A10408" w:rsidP="00CE1E1D">
      <w:pPr>
        <w:pStyle w:val="BodyTextIndent3"/>
        <w:spacing w:after="0"/>
        <w:ind w:left="0"/>
        <w:jc w:val="both"/>
        <w:rPr>
          <w:sz w:val="22"/>
          <w:szCs w:val="22"/>
          <w:lang w:val="sr-Latn-ME"/>
        </w:rPr>
      </w:pPr>
    </w:p>
    <w:p w14:paraId="5E5EDAF3" w14:textId="7E11D4C2" w:rsidR="0002115E" w:rsidRPr="00D83C9F" w:rsidRDefault="0002115E" w:rsidP="00CE1E1D">
      <w:pPr>
        <w:pStyle w:val="BodyTextIndent3"/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Do danas nema kliničkog iskustva o upotrebi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 w:rsidDel="003762C5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u kombinaciji sa estrogenima ili drugim </w:t>
      </w:r>
      <w:proofErr w:type="spellStart"/>
      <w:r w:rsidRPr="00D83C9F">
        <w:rPr>
          <w:sz w:val="22"/>
          <w:szCs w:val="22"/>
          <w:lang w:val="sr-Latn-ME"/>
        </w:rPr>
        <w:t>antikancerogenim</w:t>
      </w:r>
      <w:proofErr w:type="spellEnd"/>
      <w:r w:rsidRPr="00D83C9F">
        <w:rPr>
          <w:sz w:val="22"/>
          <w:szCs w:val="22"/>
          <w:lang w:val="sr-Latn-ME"/>
        </w:rPr>
        <w:t xml:space="preserve"> agensima, izuzev </w:t>
      </w:r>
      <w:proofErr w:type="spellStart"/>
      <w:r w:rsidRPr="00D83C9F">
        <w:rPr>
          <w:sz w:val="22"/>
          <w:szCs w:val="22"/>
          <w:lang w:val="sr-Latn-ME"/>
        </w:rPr>
        <w:t>tamoksifena</w:t>
      </w:r>
      <w:proofErr w:type="spellEnd"/>
      <w:r w:rsidRPr="00D83C9F">
        <w:rPr>
          <w:sz w:val="22"/>
          <w:szCs w:val="22"/>
          <w:lang w:val="sr-Latn-ME"/>
        </w:rPr>
        <w:t xml:space="preserve">.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, ostali </w:t>
      </w:r>
      <w:proofErr w:type="spellStart"/>
      <w:r w:rsidRPr="00D83C9F">
        <w:rPr>
          <w:sz w:val="22"/>
          <w:szCs w:val="22"/>
          <w:lang w:val="sr-Latn-ME"/>
        </w:rPr>
        <w:t>antiestrogeni</w:t>
      </w:r>
      <w:proofErr w:type="spellEnd"/>
      <w:r w:rsidRPr="00D83C9F">
        <w:rPr>
          <w:sz w:val="22"/>
          <w:szCs w:val="22"/>
          <w:lang w:val="sr-Latn-ME"/>
        </w:rPr>
        <w:t xml:space="preserve"> ili terapije koje sadrže estrogen mogu umanjiti farmakološku aktivnost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. Pored toga, pokazano je da istovremena primjena </w:t>
      </w:r>
      <w:proofErr w:type="spellStart"/>
      <w:r w:rsidRPr="00D83C9F">
        <w:rPr>
          <w:sz w:val="22"/>
          <w:szCs w:val="22"/>
          <w:lang w:val="sr-Latn-ME"/>
        </w:rPr>
        <w:t>tamoksifena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značajno smanjuje koncentracije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u plazmi. Istovremenu primjenu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tamoksifenom</w:t>
      </w:r>
      <w:proofErr w:type="spellEnd"/>
      <w:r w:rsidRPr="00D83C9F">
        <w:rPr>
          <w:sz w:val="22"/>
          <w:szCs w:val="22"/>
          <w:lang w:val="sr-Latn-ME"/>
        </w:rPr>
        <w:t xml:space="preserve">, ostalim </w:t>
      </w:r>
      <w:proofErr w:type="spellStart"/>
      <w:r w:rsidRPr="00D83C9F">
        <w:rPr>
          <w:sz w:val="22"/>
          <w:szCs w:val="22"/>
          <w:lang w:val="sr-Latn-ME"/>
        </w:rPr>
        <w:t>antiestrogenima</w:t>
      </w:r>
      <w:proofErr w:type="spellEnd"/>
      <w:r w:rsidRPr="00D83C9F">
        <w:rPr>
          <w:sz w:val="22"/>
          <w:szCs w:val="22"/>
          <w:lang w:val="sr-Latn-ME"/>
        </w:rPr>
        <w:t xml:space="preserve"> ili estrogenima treba izbjegavati.</w:t>
      </w:r>
    </w:p>
    <w:p w14:paraId="0D1C1662" w14:textId="77777777" w:rsidR="00A10408" w:rsidRPr="00D83C9F" w:rsidRDefault="00A10408" w:rsidP="00CE1E1D">
      <w:pPr>
        <w:pStyle w:val="BodyTextIndent3"/>
        <w:spacing w:after="0"/>
        <w:ind w:left="0"/>
        <w:jc w:val="both"/>
        <w:rPr>
          <w:sz w:val="22"/>
          <w:szCs w:val="22"/>
          <w:lang w:val="sr-Latn-ME"/>
        </w:rPr>
      </w:pPr>
    </w:p>
    <w:p w14:paraId="78027CB5" w14:textId="2210B8F8" w:rsidR="0002115E" w:rsidRPr="00D83C9F" w:rsidRDefault="0002115E" w:rsidP="00CE1E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</w:t>
      </w:r>
      <w:r w:rsidRPr="00D83C9F">
        <w:rPr>
          <w:i/>
          <w:sz w:val="22"/>
          <w:szCs w:val="22"/>
          <w:lang w:val="sr-Latn-ME"/>
        </w:rPr>
        <w:t xml:space="preserve">in </w:t>
      </w:r>
      <w:proofErr w:type="spellStart"/>
      <w:r w:rsidRPr="00D83C9F">
        <w:rPr>
          <w:i/>
          <w:sz w:val="22"/>
          <w:szCs w:val="22"/>
          <w:lang w:val="sr-Latn-ME"/>
        </w:rPr>
        <w:t>vitro</w:t>
      </w:r>
      <w:proofErr w:type="spellEnd"/>
      <w:r w:rsidRPr="00D83C9F">
        <w:rPr>
          <w:sz w:val="22"/>
          <w:szCs w:val="22"/>
          <w:lang w:val="sr-Latn-ME"/>
        </w:rPr>
        <w:t xml:space="preserve"> uslovima</w:t>
      </w:r>
      <w:r w:rsidR="00A34F7B" w:rsidRPr="00D83C9F">
        <w:rPr>
          <w:sz w:val="22"/>
          <w:szCs w:val="22"/>
          <w:lang w:val="sr-Latn-ME"/>
        </w:rPr>
        <w:t>,</w:t>
      </w:r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inh</w:t>
      </w:r>
      <w:r w:rsidR="0045351E" w:rsidRPr="00D83C9F">
        <w:rPr>
          <w:sz w:val="22"/>
          <w:szCs w:val="22"/>
          <w:lang w:val="sr-Latn-ME"/>
        </w:rPr>
        <w:t xml:space="preserve">ibira </w:t>
      </w:r>
      <w:proofErr w:type="spellStart"/>
      <w:r w:rsidR="0045351E" w:rsidRPr="00D83C9F">
        <w:rPr>
          <w:sz w:val="22"/>
          <w:szCs w:val="22"/>
          <w:lang w:val="sr-Latn-ME"/>
        </w:rPr>
        <w:t>izoenzime</w:t>
      </w:r>
      <w:proofErr w:type="spellEnd"/>
      <w:r w:rsidR="0045351E" w:rsidRPr="00D83C9F">
        <w:rPr>
          <w:sz w:val="22"/>
          <w:szCs w:val="22"/>
          <w:lang w:val="sr-Latn-ME"/>
        </w:rPr>
        <w:t xml:space="preserve"> </w:t>
      </w:r>
      <w:proofErr w:type="spellStart"/>
      <w:r w:rsidR="0045351E" w:rsidRPr="00D83C9F">
        <w:rPr>
          <w:sz w:val="22"/>
          <w:szCs w:val="22"/>
          <w:lang w:val="sr-Latn-ME"/>
        </w:rPr>
        <w:t>citohroma</w:t>
      </w:r>
      <w:proofErr w:type="spellEnd"/>
      <w:r w:rsidR="0045351E" w:rsidRPr="00D83C9F">
        <w:rPr>
          <w:sz w:val="22"/>
          <w:szCs w:val="22"/>
          <w:lang w:val="sr-Latn-ME"/>
        </w:rPr>
        <w:t xml:space="preserve"> P450-</w:t>
      </w:r>
      <w:r w:rsidRPr="00D83C9F">
        <w:rPr>
          <w:sz w:val="22"/>
          <w:szCs w:val="22"/>
          <w:lang w:val="sr-Latn-ME"/>
        </w:rPr>
        <w:t xml:space="preserve">2A6 i umjereno 2C19, ali klinički značaj nije poznat. Zbog toga je neophodan oprez kada se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primjenjuje istovremeno sa ljekovima čija eliminacija u velikoj mjeri zavisi od ovih </w:t>
      </w:r>
      <w:proofErr w:type="spellStart"/>
      <w:r w:rsidRPr="00D83C9F">
        <w:rPr>
          <w:sz w:val="22"/>
          <w:szCs w:val="22"/>
          <w:lang w:val="sr-Latn-ME"/>
        </w:rPr>
        <w:t>izoenzima</w:t>
      </w:r>
      <w:proofErr w:type="spellEnd"/>
      <w:r w:rsidRPr="00D83C9F">
        <w:rPr>
          <w:sz w:val="22"/>
          <w:szCs w:val="22"/>
          <w:lang w:val="sr-Latn-ME"/>
        </w:rPr>
        <w:t xml:space="preserve"> i čija je terapijska širina mala (npr. </w:t>
      </w:r>
      <w:proofErr w:type="spellStart"/>
      <w:r w:rsidRPr="00D83C9F">
        <w:rPr>
          <w:sz w:val="22"/>
          <w:szCs w:val="22"/>
          <w:lang w:val="sr-Latn-ME"/>
        </w:rPr>
        <w:t>fenitoin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proofErr w:type="spellStart"/>
      <w:r w:rsidRPr="00D83C9F">
        <w:rPr>
          <w:sz w:val="22"/>
          <w:szCs w:val="22"/>
          <w:lang w:val="sr-Latn-ME"/>
        </w:rPr>
        <w:t>klopidogrel</w:t>
      </w:r>
      <w:proofErr w:type="spellEnd"/>
      <w:r w:rsidRPr="00D83C9F">
        <w:rPr>
          <w:sz w:val="22"/>
          <w:szCs w:val="22"/>
          <w:lang w:val="sr-Latn-ME"/>
        </w:rPr>
        <w:t>).</w:t>
      </w:r>
    </w:p>
    <w:p w14:paraId="12772331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F8DD6F4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4.6.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="006D20A5" w:rsidRPr="00D83C9F">
        <w:rPr>
          <w:b/>
          <w:sz w:val="22"/>
          <w:szCs w:val="22"/>
          <w:lang w:val="sr-Latn-ME"/>
        </w:rPr>
        <w:t>Plodnost, trudnoća i dojenje</w:t>
      </w:r>
    </w:p>
    <w:p w14:paraId="7F7C4BC4" w14:textId="77777777" w:rsidR="002031B3" w:rsidRPr="00D83C9F" w:rsidRDefault="002031B3" w:rsidP="00CE1E1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E73AB97" w14:textId="77777777" w:rsidR="003116DA" w:rsidRPr="00D83C9F" w:rsidRDefault="003116DA" w:rsidP="00CE1E1D">
      <w:pPr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 xml:space="preserve">Žene sa </w:t>
      </w:r>
      <w:proofErr w:type="spellStart"/>
      <w:r w:rsidRPr="00D83C9F">
        <w:rPr>
          <w:sz w:val="22"/>
          <w:szCs w:val="22"/>
          <w:u w:val="single"/>
          <w:lang w:val="sr-Latn-ME"/>
        </w:rPr>
        <w:t>perimenopauzalnim</w:t>
      </w:r>
      <w:proofErr w:type="spellEnd"/>
      <w:r w:rsidRPr="00D83C9F">
        <w:rPr>
          <w:sz w:val="22"/>
          <w:szCs w:val="22"/>
          <w:u w:val="single"/>
          <w:lang w:val="sr-Latn-ME"/>
        </w:rPr>
        <w:t xml:space="preserve"> statusom ili u generativnoj dobi</w:t>
      </w:r>
    </w:p>
    <w:p w14:paraId="168AB6C5" w14:textId="237FE875" w:rsidR="003116DA" w:rsidRPr="00D83C9F" w:rsidRDefault="003116DA" w:rsidP="00CE1E1D">
      <w:pPr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lastRenderedPageBreak/>
        <w:t>Letrozol</w:t>
      </w:r>
      <w:proofErr w:type="spellEnd"/>
      <w:r w:rsidRPr="00D83C9F" w:rsidDel="00E50556">
        <w:rPr>
          <w:sz w:val="22"/>
          <w:szCs w:val="22"/>
          <w:lang w:val="sr-Latn-ME"/>
        </w:rPr>
        <w:t xml:space="preserve"> </w:t>
      </w:r>
      <w:r w:rsidR="006C0C84" w:rsidRPr="00D83C9F">
        <w:rPr>
          <w:sz w:val="22"/>
          <w:szCs w:val="22"/>
          <w:lang w:val="sr-Latn-ME"/>
        </w:rPr>
        <w:t>se smije</w:t>
      </w:r>
      <w:r w:rsidRPr="00D83C9F">
        <w:rPr>
          <w:sz w:val="22"/>
          <w:szCs w:val="22"/>
          <w:lang w:val="sr-Latn-ME"/>
        </w:rPr>
        <w:t xml:space="preserve"> primjenjivati samo kod žena sa jasno utvrđenim </w:t>
      </w:r>
      <w:proofErr w:type="spellStart"/>
      <w:r w:rsidRPr="00D83C9F">
        <w:rPr>
          <w:sz w:val="22"/>
          <w:szCs w:val="22"/>
          <w:lang w:val="sr-Latn-ME"/>
        </w:rPr>
        <w:t>postmenopauzalnim</w:t>
      </w:r>
      <w:proofErr w:type="spellEnd"/>
      <w:r w:rsidRPr="00D83C9F">
        <w:rPr>
          <w:sz w:val="22"/>
          <w:szCs w:val="22"/>
          <w:lang w:val="sr-Latn-ME"/>
        </w:rPr>
        <w:t xml:space="preserve"> statusom (vidjeti dio 4.4.). S obzirom da postoje izv</w:t>
      </w:r>
      <w:r w:rsidR="006C0C84" w:rsidRPr="00D83C9F">
        <w:rPr>
          <w:sz w:val="22"/>
          <w:szCs w:val="22"/>
          <w:lang w:val="sr-Latn-ME"/>
        </w:rPr>
        <w:t>j</w:t>
      </w:r>
      <w:r w:rsidRPr="00D83C9F">
        <w:rPr>
          <w:sz w:val="22"/>
          <w:szCs w:val="22"/>
          <w:lang w:val="sr-Latn-ME"/>
        </w:rPr>
        <w:t xml:space="preserve">eštaji o ženama kod kojih je, uprkos jasnom </w:t>
      </w:r>
      <w:proofErr w:type="spellStart"/>
      <w:r w:rsidRPr="00D83C9F">
        <w:rPr>
          <w:sz w:val="22"/>
          <w:szCs w:val="22"/>
          <w:lang w:val="sr-Latn-ME"/>
        </w:rPr>
        <w:t>postmenopauzalnom</w:t>
      </w:r>
      <w:proofErr w:type="spellEnd"/>
      <w:r w:rsidRPr="00D83C9F">
        <w:rPr>
          <w:sz w:val="22"/>
          <w:szCs w:val="22"/>
          <w:lang w:val="sr-Latn-ME"/>
        </w:rPr>
        <w:t xml:space="preserve"> statusu na početku terapije, ponovo uspostavljena funkcija jajnika tokom terapije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, potrebno je da ljekar, po potrebi, razmotri sa </w:t>
      </w:r>
      <w:proofErr w:type="spellStart"/>
      <w:r w:rsidRPr="00D83C9F">
        <w:rPr>
          <w:sz w:val="22"/>
          <w:szCs w:val="22"/>
          <w:lang w:val="sr-Latn-ME"/>
        </w:rPr>
        <w:t>pacijentkinjom</w:t>
      </w:r>
      <w:proofErr w:type="spellEnd"/>
      <w:r w:rsidRPr="00D83C9F">
        <w:rPr>
          <w:sz w:val="22"/>
          <w:szCs w:val="22"/>
          <w:lang w:val="sr-Latn-ME"/>
        </w:rPr>
        <w:t xml:space="preserve"> adekvatne mjere kontracepcije.</w:t>
      </w:r>
    </w:p>
    <w:p w14:paraId="7D05949C" w14:textId="77777777" w:rsidR="00684660" w:rsidRPr="00D83C9F" w:rsidRDefault="00684660" w:rsidP="00CE1E1D">
      <w:pPr>
        <w:jc w:val="both"/>
        <w:rPr>
          <w:sz w:val="22"/>
          <w:szCs w:val="22"/>
          <w:lang w:val="sr-Latn-ME"/>
        </w:rPr>
      </w:pPr>
    </w:p>
    <w:p w14:paraId="62926128" w14:textId="77777777" w:rsidR="003116DA" w:rsidRPr="00D83C9F" w:rsidRDefault="003116DA" w:rsidP="00CE1E1D">
      <w:pPr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Trudnoća</w:t>
      </w:r>
    </w:p>
    <w:p w14:paraId="24A62136" w14:textId="7694D290" w:rsidR="003116DA" w:rsidRPr="00D83C9F" w:rsidRDefault="003116DA" w:rsidP="00CE1E1D">
      <w:pPr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Na osnovu iskustva kod </w:t>
      </w:r>
      <w:proofErr w:type="spellStart"/>
      <w:r w:rsidRPr="00D83C9F">
        <w:rPr>
          <w:sz w:val="22"/>
          <w:szCs w:val="22"/>
          <w:lang w:val="sr-Latn-ME"/>
        </w:rPr>
        <w:t>ljudi</w:t>
      </w:r>
      <w:proofErr w:type="spellEnd"/>
      <w:r w:rsidRPr="00D83C9F">
        <w:rPr>
          <w:sz w:val="22"/>
          <w:szCs w:val="22"/>
          <w:lang w:val="sr-Latn-ME"/>
        </w:rPr>
        <w:t xml:space="preserve">, postoje izolovani slučajevi defekta novorođenčeta (labijalna fuzija, dvoznačne genitalije).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može uzrokovati </w:t>
      </w:r>
      <w:proofErr w:type="spellStart"/>
      <w:r w:rsidRPr="00D83C9F">
        <w:rPr>
          <w:sz w:val="22"/>
          <w:szCs w:val="22"/>
          <w:lang w:val="sr-Latn-ME"/>
        </w:rPr>
        <w:t>kongenita</w:t>
      </w:r>
      <w:r w:rsidR="00684660" w:rsidRPr="00D83C9F">
        <w:rPr>
          <w:sz w:val="22"/>
          <w:szCs w:val="22"/>
          <w:lang w:val="sr-Latn-ME"/>
        </w:rPr>
        <w:t>l</w:t>
      </w:r>
      <w:r w:rsidRPr="00D83C9F">
        <w:rPr>
          <w:sz w:val="22"/>
          <w:szCs w:val="22"/>
          <w:lang w:val="sr-Latn-ME"/>
        </w:rPr>
        <w:t>ne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malformacije</w:t>
      </w:r>
      <w:proofErr w:type="spellEnd"/>
      <w:r w:rsidRPr="00D83C9F">
        <w:rPr>
          <w:sz w:val="22"/>
          <w:szCs w:val="22"/>
          <w:lang w:val="sr-Latn-ME"/>
        </w:rPr>
        <w:t xml:space="preserve"> kada se primjenjuje tokom trudnoće. Studije na životinjama pokazale su reproduktivnu toksičnost (vidjeti dio 5.3.). </w:t>
      </w:r>
    </w:p>
    <w:p w14:paraId="1454DAC1" w14:textId="05B081FD" w:rsidR="003116DA" w:rsidRPr="00D83C9F" w:rsidRDefault="003116DA" w:rsidP="00CE1E1D">
      <w:pPr>
        <w:jc w:val="both"/>
        <w:rPr>
          <w:b/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Primjena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je kontraindikovana tokom trudnoće (vidjeti djelove 4.3 i 5.3). </w:t>
      </w:r>
      <w:r w:rsidRPr="00D83C9F">
        <w:rPr>
          <w:b/>
          <w:sz w:val="22"/>
          <w:szCs w:val="22"/>
          <w:lang w:val="sr-Latn-ME"/>
        </w:rPr>
        <w:t xml:space="preserve">   </w:t>
      </w:r>
    </w:p>
    <w:p w14:paraId="5F777B82" w14:textId="77777777" w:rsidR="00684660" w:rsidRPr="00D83C9F" w:rsidRDefault="00684660" w:rsidP="00CE1E1D">
      <w:pPr>
        <w:jc w:val="both"/>
        <w:rPr>
          <w:b/>
          <w:sz w:val="22"/>
          <w:szCs w:val="22"/>
          <w:lang w:val="sr-Latn-ME"/>
        </w:rPr>
      </w:pPr>
    </w:p>
    <w:p w14:paraId="1658D231" w14:textId="77777777" w:rsidR="003116DA" w:rsidRPr="00D83C9F" w:rsidRDefault="003116DA" w:rsidP="00CE1E1D">
      <w:pPr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Dojenje</w:t>
      </w:r>
    </w:p>
    <w:p w14:paraId="68845E7E" w14:textId="465EE1A9" w:rsidR="003116DA" w:rsidRPr="00D83C9F" w:rsidRDefault="003116DA" w:rsidP="00CE1E1D">
      <w:pPr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Nije poznato da li se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 njegovi </w:t>
      </w:r>
      <w:proofErr w:type="spellStart"/>
      <w:r w:rsidRPr="00D83C9F">
        <w:rPr>
          <w:sz w:val="22"/>
          <w:szCs w:val="22"/>
          <w:lang w:val="sr-Latn-ME"/>
        </w:rPr>
        <w:t>metaboliti</w:t>
      </w:r>
      <w:proofErr w:type="spellEnd"/>
      <w:r w:rsidRPr="00D83C9F">
        <w:rPr>
          <w:sz w:val="22"/>
          <w:szCs w:val="22"/>
          <w:lang w:val="sr-Latn-ME"/>
        </w:rPr>
        <w:t xml:space="preserve"> izlučuju u </w:t>
      </w:r>
      <w:r w:rsidR="006C0C84" w:rsidRPr="00D83C9F">
        <w:rPr>
          <w:sz w:val="22"/>
          <w:szCs w:val="22"/>
          <w:lang w:val="sr-Latn-ME"/>
        </w:rPr>
        <w:t>majčino</w:t>
      </w:r>
      <w:r w:rsidRPr="00D83C9F">
        <w:rPr>
          <w:sz w:val="22"/>
          <w:szCs w:val="22"/>
          <w:lang w:val="sr-Latn-ME"/>
        </w:rPr>
        <w:t xml:space="preserve"> mlijeko. Ne može se isključiti rizik po novorođenčad/odojčad.</w:t>
      </w:r>
    </w:p>
    <w:p w14:paraId="5788D04A" w14:textId="77777777" w:rsidR="00A10408" w:rsidRPr="00D83C9F" w:rsidRDefault="00A10408" w:rsidP="00CE1E1D">
      <w:pPr>
        <w:jc w:val="both"/>
        <w:rPr>
          <w:sz w:val="22"/>
          <w:szCs w:val="22"/>
          <w:lang w:val="sr-Latn-ME"/>
        </w:rPr>
      </w:pPr>
    </w:p>
    <w:p w14:paraId="3929E68F" w14:textId="00B5BDCB" w:rsidR="003116DA" w:rsidRPr="00D83C9F" w:rsidRDefault="003116DA" w:rsidP="00CE1E1D">
      <w:pPr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Primjena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je kontraindikovana tokom dojenja (vidjeti dio 4.3).</w:t>
      </w:r>
    </w:p>
    <w:p w14:paraId="573ECD04" w14:textId="77777777" w:rsidR="00684660" w:rsidRPr="00D83C9F" w:rsidRDefault="00684660" w:rsidP="00CE1E1D">
      <w:pPr>
        <w:jc w:val="both"/>
        <w:rPr>
          <w:b/>
          <w:sz w:val="22"/>
          <w:szCs w:val="22"/>
          <w:lang w:val="sr-Latn-ME"/>
        </w:rPr>
      </w:pPr>
    </w:p>
    <w:p w14:paraId="177ECD2D" w14:textId="1E5966A7" w:rsidR="003116DA" w:rsidRPr="00D83C9F" w:rsidRDefault="00E64DE4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Plodnost</w:t>
      </w:r>
    </w:p>
    <w:p w14:paraId="7691E6ED" w14:textId="77777777" w:rsidR="003116DA" w:rsidRPr="00D83C9F" w:rsidRDefault="003116DA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Farmakološko djelovanje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bazira se na smanjenju stvaranja estrogena, inhibicijom </w:t>
      </w:r>
      <w:proofErr w:type="spellStart"/>
      <w:r w:rsidRPr="00D83C9F">
        <w:rPr>
          <w:sz w:val="22"/>
          <w:szCs w:val="22"/>
          <w:lang w:val="sr-Latn-ME"/>
        </w:rPr>
        <w:t>aromataza</w:t>
      </w:r>
      <w:proofErr w:type="spellEnd"/>
      <w:r w:rsidRPr="00D83C9F">
        <w:rPr>
          <w:sz w:val="22"/>
          <w:szCs w:val="22"/>
          <w:lang w:val="sr-Latn-ME"/>
        </w:rPr>
        <w:t xml:space="preserve">. Kod žena u </w:t>
      </w:r>
      <w:proofErr w:type="spellStart"/>
      <w:r w:rsidRPr="00D83C9F">
        <w:rPr>
          <w:sz w:val="22"/>
          <w:szCs w:val="22"/>
          <w:lang w:val="sr-Latn-ME"/>
        </w:rPr>
        <w:t>premenopauzi</w:t>
      </w:r>
      <w:proofErr w:type="spellEnd"/>
      <w:r w:rsidRPr="00D83C9F">
        <w:rPr>
          <w:sz w:val="22"/>
          <w:szCs w:val="22"/>
          <w:lang w:val="sr-Latn-ME"/>
        </w:rPr>
        <w:t xml:space="preserve">, inhibicija sinteze estrogena dovodi do posljedičnog povećanja vrijednosti </w:t>
      </w:r>
      <w:proofErr w:type="spellStart"/>
      <w:r w:rsidRPr="00D83C9F">
        <w:rPr>
          <w:sz w:val="22"/>
          <w:szCs w:val="22"/>
          <w:lang w:val="sr-Latn-ME"/>
        </w:rPr>
        <w:t>gonadotropina</w:t>
      </w:r>
      <w:proofErr w:type="spellEnd"/>
      <w:r w:rsidRPr="00D83C9F">
        <w:rPr>
          <w:sz w:val="22"/>
          <w:szCs w:val="22"/>
          <w:lang w:val="sr-Latn-ME"/>
        </w:rPr>
        <w:t xml:space="preserve"> (LH, FSH) </w:t>
      </w:r>
      <w:proofErr w:type="spellStart"/>
      <w:r w:rsidRPr="00D83C9F">
        <w:rPr>
          <w:sz w:val="22"/>
          <w:szCs w:val="22"/>
          <w:lang w:val="sr-Latn-ME"/>
        </w:rPr>
        <w:t>usljed</w:t>
      </w:r>
      <w:proofErr w:type="spellEnd"/>
      <w:r w:rsidRPr="00D83C9F">
        <w:rPr>
          <w:sz w:val="22"/>
          <w:szCs w:val="22"/>
          <w:lang w:val="sr-Latn-ME"/>
        </w:rPr>
        <w:t xml:space="preserve"> povratne sprege. Povišene vrijednosti FSH zauzvrat dovode do stimulacije rasta </w:t>
      </w:r>
      <w:proofErr w:type="spellStart"/>
      <w:r w:rsidRPr="00D83C9F">
        <w:rPr>
          <w:sz w:val="22"/>
          <w:szCs w:val="22"/>
          <w:lang w:val="sr-Latn-ME"/>
        </w:rPr>
        <w:t>folikula</w:t>
      </w:r>
      <w:proofErr w:type="spellEnd"/>
      <w:r w:rsidRPr="00D83C9F">
        <w:rPr>
          <w:sz w:val="22"/>
          <w:szCs w:val="22"/>
          <w:lang w:val="sr-Latn-ME"/>
        </w:rPr>
        <w:t xml:space="preserve"> i mogu indukovati ovulaciju.</w:t>
      </w:r>
    </w:p>
    <w:p w14:paraId="5654F90C" w14:textId="77777777" w:rsidR="00227BDB" w:rsidRPr="00D83C9F" w:rsidRDefault="00227BDB" w:rsidP="00CE1E1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14E33161" w14:textId="77777777" w:rsidR="0072020E" w:rsidRPr="00D83C9F" w:rsidRDefault="0072020E" w:rsidP="00CE1E1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4.7.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 xml:space="preserve">Uticaj na </w:t>
      </w:r>
      <w:r w:rsidR="002031B3" w:rsidRPr="00D83C9F">
        <w:rPr>
          <w:b/>
          <w:bCs/>
          <w:sz w:val="22"/>
          <w:szCs w:val="22"/>
          <w:lang w:val="sr-Latn-ME"/>
        </w:rPr>
        <w:t xml:space="preserve">sposobnost </w:t>
      </w:r>
      <w:r w:rsidR="00F34554" w:rsidRPr="00D83C9F">
        <w:rPr>
          <w:b/>
          <w:bCs/>
          <w:sz w:val="22"/>
          <w:szCs w:val="22"/>
          <w:lang w:val="sr-Latn-ME"/>
        </w:rPr>
        <w:t>upravljanja vozili</w:t>
      </w:r>
      <w:r w:rsidRPr="00D83C9F">
        <w:rPr>
          <w:b/>
          <w:bCs/>
          <w:sz w:val="22"/>
          <w:szCs w:val="22"/>
          <w:lang w:val="sr-Latn-ME"/>
        </w:rPr>
        <w:t>m</w:t>
      </w:r>
      <w:r w:rsidR="00F34554" w:rsidRPr="00D83C9F">
        <w:rPr>
          <w:b/>
          <w:bCs/>
          <w:sz w:val="22"/>
          <w:szCs w:val="22"/>
          <w:lang w:val="sr-Latn-ME"/>
        </w:rPr>
        <w:t>a</w:t>
      </w:r>
      <w:r w:rsidRPr="00D83C9F">
        <w:rPr>
          <w:b/>
          <w:bCs/>
          <w:sz w:val="22"/>
          <w:szCs w:val="22"/>
          <w:lang w:val="sr-Latn-ME"/>
        </w:rPr>
        <w:t xml:space="preserve"> i </w:t>
      </w:r>
      <w:r w:rsidR="000D3449" w:rsidRPr="00D83C9F">
        <w:rPr>
          <w:b/>
          <w:bCs/>
          <w:sz w:val="22"/>
          <w:szCs w:val="22"/>
          <w:lang w:val="sr-Latn-ME"/>
        </w:rPr>
        <w:t xml:space="preserve">rukovanje </w:t>
      </w:r>
      <w:r w:rsidRPr="00D83C9F">
        <w:rPr>
          <w:b/>
          <w:bCs/>
          <w:sz w:val="22"/>
          <w:szCs w:val="22"/>
          <w:lang w:val="sr-Latn-ME"/>
        </w:rPr>
        <w:t>mašinama</w:t>
      </w:r>
    </w:p>
    <w:p w14:paraId="6AEA1EEB" w14:textId="77777777" w:rsidR="003116DA" w:rsidRPr="00D83C9F" w:rsidRDefault="003116DA" w:rsidP="00CE1E1D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32B0FE8E" w14:textId="357FEA45" w:rsidR="003116DA" w:rsidRPr="00D83C9F" w:rsidRDefault="003116DA" w:rsidP="00CE1E1D">
      <w:pPr>
        <w:pStyle w:val="NoSpacing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ima mali uticaj na sposobnost upravljanja vozilom i rukovanja mašinama. </w:t>
      </w:r>
      <w:r w:rsidR="006A1831" w:rsidRPr="00D83C9F">
        <w:rPr>
          <w:sz w:val="22"/>
          <w:szCs w:val="22"/>
          <w:lang w:val="sr-Latn-ME"/>
        </w:rPr>
        <w:t>O</w:t>
      </w:r>
      <w:r w:rsidRPr="00D83C9F">
        <w:rPr>
          <w:sz w:val="22"/>
          <w:szCs w:val="22"/>
          <w:lang w:val="sr-Latn-ME"/>
        </w:rPr>
        <w:t>bzirom da su prilikom upotrebe ovog lijeka uočeni zamor i ošamućenost, a povremeno je prijavljena i pospanost, savjetuje se oprez prilikom upravljanja vozilima i rukovanja mašinama.</w:t>
      </w:r>
    </w:p>
    <w:p w14:paraId="4B2257B1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F8AED6D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4.8.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Neželjena dejstva</w:t>
      </w:r>
    </w:p>
    <w:p w14:paraId="0FC35D6B" w14:textId="77777777" w:rsidR="004E70AD" w:rsidRPr="00D83C9F" w:rsidRDefault="004E70AD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4E39E39" w14:textId="77777777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 xml:space="preserve">Sažetak </w:t>
      </w:r>
      <w:proofErr w:type="spellStart"/>
      <w:r w:rsidRPr="00D83C9F">
        <w:rPr>
          <w:sz w:val="22"/>
          <w:szCs w:val="22"/>
          <w:u w:val="single"/>
          <w:lang w:val="sr-Latn-ME"/>
        </w:rPr>
        <w:t>bezbjednosnog</w:t>
      </w:r>
      <w:proofErr w:type="spellEnd"/>
      <w:r w:rsidRPr="00D83C9F">
        <w:rPr>
          <w:sz w:val="22"/>
          <w:szCs w:val="22"/>
          <w:u w:val="single"/>
          <w:lang w:val="sr-Latn-ME"/>
        </w:rPr>
        <w:t xml:space="preserve"> profila</w:t>
      </w:r>
    </w:p>
    <w:p w14:paraId="3B39CE11" w14:textId="77777777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Učestalost neželjenih reakcija za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se uglavnom bazira na podacima dobijenim iz kliničkih studija.</w:t>
      </w:r>
    </w:p>
    <w:p w14:paraId="33A34874" w14:textId="03EAAA3F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Neželjene reakcije su se javile kod približno jedne trećine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metastazama koje su liječene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 i kod približno 80 %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koje su dobijale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kao </w:t>
      </w:r>
      <w:proofErr w:type="spellStart"/>
      <w:r w:rsidRPr="00D83C9F">
        <w:rPr>
          <w:sz w:val="22"/>
          <w:szCs w:val="22"/>
          <w:lang w:val="sr-Latn-ME"/>
        </w:rPr>
        <w:t>adjuvantnu</w:t>
      </w:r>
      <w:proofErr w:type="spellEnd"/>
      <w:r w:rsidRPr="00D83C9F">
        <w:rPr>
          <w:sz w:val="22"/>
          <w:szCs w:val="22"/>
          <w:lang w:val="sr-Latn-ME"/>
        </w:rPr>
        <w:t xml:space="preserve"> terapiju, kao i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koje su dobijale produženu </w:t>
      </w:r>
      <w:proofErr w:type="spellStart"/>
      <w:r w:rsidRPr="00D83C9F">
        <w:rPr>
          <w:sz w:val="22"/>
          <w:szCs w:val="22"/>
          <w:lang w:val="sr-Latn-ME"/>
        </w:rPr>
        <w:t>adjuvantnu</w:t>
      </w:r>
      <w:proofErr w:type="spellEnd"/>
      <w:r w:rsidRPr="00D83C9F">
        <w:rPr>
          <w:sz w:val="22"/>
          <w:szCs w:val="22"/>
          <w:lang w:val="sr-Latn-ME"/>
        </w:rPr>
        <w:t xml:space="preserve"> terapiju. Većina neželjenih reakcija javile su se tokom prvih nekoliko nedjelja terapije. </w:t>
      </w:r>
    </w:p>
    <w:p w14:paraId="5C91D92C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A1F61A9" w14:textId="3CBDB7AA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Najčešće </w:t>
      </w:r>
      <w:r w:rsidR="00ED6714" w:rsidRPr="00D83C9F">
        <w:rPr>
          <w:sz w:val="22"/>
          <w:szCs w:val="22"/>
          <w:lang w:val="sr-Latn-ME"/>
        </w:rPr>
        <w:t>zabilježen</w:t>
      </w:r>
      <w:r w:rsidRPr="00D83C9F">
        <w:rPr>
          <w:sz w:val="22"/>
          <w:szCs w:val="22"/>
          <w:lang w:val="sr-Latn-ME"/>
        </w:rPr>
        <w:t>e neželjene reakcije u kliničkim studijama bile su naleti vrućine</w:t>
      </w:r>
      <w:r w:rsidR="00ED6714" w:rsidRPr="00D83C9F">
        <w:rPr>
          <w:sz w:val="22"/>
          <w:szCs w:val="22"/>
          <w:lang w:val="sr-Latn-ME"/>
        </w:rPr>
        <w:t xml:space="preserve"> (</w:t>
      </w:r>
      <w:proofErr w:type="spellStart"/>
      <w:r w:rsidR="00ED6714" w:rsidRPr="00D83C9F">
        <w:rPr>
          <w:sz w:val="22"/>
          <w:szCs w:val="22"/>
          <w:lang w:val="sr-Latn-ME"/>
        </w:rPr>
        <w:t>valunzi</w:t>
      </w:r>
      <w:proofErr w:type="spellEnd"/>
      <w:r w:rsidR="00ED6714" w:rsidRPr="00D83C9F">
        <w:rPr>
          <w:sz w:val="22"/>
          <w:szCs w:val="22"/>
          <w:lang w:val="sr-Latn-ME"/>
        </w:rPr>
        <w:t>)</w:t>
      </w:r>
      <w:r w:rsidRPr="00D83C9F">
        <w:rPr>
          <w:sz w:val="22"/>
          <w:szCs w:val="22"/>
          <w:lang w:val="sr-Latn-ME"/>
        </w:rPr>
        <w:t xml:space="preserve">, </w:t>
      </w:r>
      <w:proofErr w:type="spellStart"/>
      <w:r w:rsidRPr="00D83C9F">
        <w:rPr>
          <w:sz w:val="22"/>
          <w:szCs w:val="22"/>
          <w:lang w:val="sr-Latn-ME"/>
        </w:rPr>
        <w:t>hiperholesterolemija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proofErr w:type="spellStart"/>
      <w:r w:rsidRPr="00D83C9F">
        <w:rPr>
          <w:sz w:val="22"/>
          <w:szCs w:val="22"/>
          <w:lang w:val="sr-Latn-ME"/>
        </w:rPr>
        <w:t>artralgija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r w:rsidR="00ED6714" w:rsidRPr="00D83C9F">
        <w:rPr>
          <w:sz w:val="22"/>
          <w:szCs w:val="22"/>
          <w:lang w:val="sr-Latn-ME"/>
        </w:rPr>
        <w:t>umo</w:t>
      </w:r>
      <w:r w:rsidRPr="00D83C9F">
        <w:rPr>
          <w:sz w:val="22"/>
          <w:szCs w:val="22"/>
          <w:lang w:val="sr-Latn-ME"/>
        </w:rPr>
        <w:t>r, pojačano znojenje i mučnina.</w:t>
      </w:r>
    </w:p>
    <w:p w14:paraId="553BC767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F249DD" w14:textId="1C95BE8C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Značajne</w:t>
      </w:r>
      <w:r w:rsidR="00ED671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dodatne</w:t>
      </w:r>
      <w:r w:rsidR="00ED671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neželjene reakcije koje se</w:t>
      </w:r>
      <w:r w:rsidR="00ED671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mogu javiti prilikom</w:t>
      </w:r>
      <w:r w:rsidR="00ED671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primjene</w:t>
      </w:r>
      <w:r w:rsidR="00ED6714"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="00ED671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su: neželjeni događaji</w:t>
      </w:r>
      <w:r w:rsidR="00ED671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na nivou skeleta, kao što su </w:t>
      </w:r>
      <w:proofErr w:type="spellStart"/>
      <w:r w:rsidRPr="00D83C9F">
        <w:rPr>
          <w:sz w:val="22"/>
          <w:szCs w:val="22"/>
          <w:lang w:val="sr-Latn-ME"/>
        </w:rPr>
        <w:t>osteoporoza</w:t>
      </w:r>
      <w:proofErr w:type="spellEnd"/>
      <w:r w:rsidRPr="00D83C9F">
        <w:rPr>
          <w:sz w:val="22"/>
          <w:szCs w:val="22"/>
          <w:lang w:val="sr-Latn-ME"/>
        </w:rPr>
        <w:t xml:space="preserve"> i/ili prelomi kostiju ili </w:t>
      </w:r>
      <w:proofErr w:type="spellStart"/>
      <w:r w:rsidRPr="00D83C9F">
        <w:rPr>
          <w:sz w:val="22"/>
          <w:szCs w:val="22"/>
          <w:lang w:val="sr-Latn-ME"/>
        </w:rPr>
        <w:t>kardiovaskularni</w:t>
      </w:r>
      <w:proofErr w:type="spellEnd"/>
      <w:r w:rsidRPr="00D83C9F">
        <w:rPr>
          <w:sz w:val="22"/>
          <w:szCs w:val="22"/>
          <w:lang w:val="sr-Latn-ME"/>
        </w:rPr>
        <w:t xml:space="preserve"> događaji (uključujući </w:t>
      </w:r>
      <w:proofErr w:type="spellStart"/>
      <w:r w:rsidRPr="00D83C9F">
        <w:rPr>
          <w:sz w:val="22"/>
          <w:szCs w:val="22"/>
          <w:lang w:val="sr-Latn-ME"/>
        </w:rPr>
        <w:t>cerebrovaskularne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tromboembolijske</w:t>
      </w:r>
      <w:proofErr w:type="spellEnd"/>
      <w:r w:rsidRPr="00D83C9F">
        <w:rPr>
          <w:sz w:val="22"/>
          <w:szCs w:val="22"/>
          <w:lang w:val="sr-Latn-ME"/>
        </w:rPr>
        <w:t xml:space="preserve"> događaje). Kategorija učestalosti za ove neželjene reakcije opisana je  u  Tabeli 1.</w:t>
      </w:r>
    </w:p>
    <w:p w14:paraId="37BBB948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088957" w14:textId="77777777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Tabelarni prikaz neželjenih reakcija</w:t>
      </w:r>
    </w:p>
    <w:p w14:paraId="24899138" w14:textId="77777777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Učestalost neželjenih reakcija na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uglavnom se bazira na podacima dobijenim iz kliničkih studija.</w:t>
      </w:r>
    </w:p>
    <w:p w14:paraId="4C94D72D" w14:textId="1CC0EE4A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Sljedeće neželjene reakcije, prikazane u Tabeli 1, navedene su na osnovu prijava u kliničkim studijama, kao i na osnovu </w:t>
      </w:r>
      <w:proofErr w:type="spellStart"/>
      <w:r w:rsidRPr="00D83C9F">
        <w:rPr>
          <w:sz w:val="22"/>
          <w:szCs w:val="22"/>
          <w:lang w:val="sr-Latn-ME"/>
        </w:rPr>
        <w:t>postmarketinškog</w:t>
      </w:r>
      <w:proofErr w:type="spellEnd"/>
      <w:r w:rsidRPr="00D83C9F">
        <w:rPr>
          <w:sz w:val="22"/>
          <w:szCs w:val="22"/>
          <w:lang w:val="sr-Latn-ME"/>
        </w:rPr>
        <w:t xml:space="preserve"> iskustva sa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30825723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80376F8" w14:textId="5A2FB691" w:rsidR="003116DA" w:rsidRPr="00D83C9F" w:rsidRDefault="003116DA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>Tabela 1</w:t>
      </w:r>
    </w:p>
    <w:p w14:paraId="47F7E561" w14:textId="090BFEE2" w:rsidR="003116DA" w:rsidRPr="00D83C9F" w:rsidRDefault="003116DA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lastRenderedPageBreak/>
        <w:t xml:space="preserve">Neželjene reakcije rangirane su prema učestalosti, prvo najčešće, po sljedećoj skali: veoma često (≥ 10%), često (≥ 1% do </w:t>
      </w:r>
      <w:r w:rsidRPr="00D83C9F">
        <w:rPr>
          <w:sz w:val="22"/>
          <w:szCs w:val="22"/>
          <w:lang w:val="sr-Latn-ME"/>
        </w:rPr>
        <w:sym w:font="Symbol" w:char="F03C"/>
      </w:r>
      <w:r w:rsidRPr="00D83C9F">
        <w:rPr>
          <w:sz w:val="22"/>
          <w:szCs w:val="22"/>
          <w:lang w:val="sr-Latn-ME"/>
        </w:rPr>
        <w:t xml:space="preserve"> 10%), povremeno (≥ 0,1% do </w:t>
      </w:r>
      <w:r w:rsidRPr="00D83C9F">
        <w:rPr>
          <w:sz w:val="22"/>
          <w:szCs w:val="22"/>
          <w:lang w:val="sr-Latn-ME"/>
        </w:rPr>
        <w:sym w:font="Symbol" w:char="F03C"/>
      </w:r>
      <w:r w:rsidRPr="00D83C9F">
        <w:rPr>
          <w:sz w:val="22"/>
          <w:szCs w:val="22"/>
          <w:lang w:val="sr-Latn-ME"/>
        </w:rPr>
        <w:t xml:space="preserve"> 1%), rijetko (≥ 0,01 do </w:t>
      </w:r>
      <w:r w:rsidRPr="00D83C9F">
        <w:rPr>
          <w:sz w:val="22"/>
          <w:szCs w:val="22"/>
          <w:lang w:val="sr-Latn-ME"/>
        </w:rPr>
        <w:sym w:font="Symbol" w:char="F03C"/>
      </w:r>
      <w:r w:rsidRPr="00D83C9F">
        <w:rPr>
          <w:sz w:val="22"/>
          <w:szCs w:val="22"/>
          <w:lang w:val="sr-Latn-ME"/>
        </w:rPr>
        <w:t xml:space="preserve"> 0,1 %), veoma rijetko (</w:t>
      </w:r>
      <w:r w:rsidRPr="00D83C9F">
        <w:rPr>
          <w:sz w:val="22"/>
          <w:szCs w:val="22"/>
          <w:lang w:val="sr-Latn-ME"/>
        </w:rPr>
        <w:sym w:font="Symbol" w:char="F03C"/>
      </w:r>
      <w:r w:rsidRPr="00D83C9F">
        <w:rPr>
          <w:sz w:val="22"/>
          <w:szCs w:val="22"/>
          <w:lang w:val="sr-Latn-ME"/>
        </w:rPr>
        <w:t xml:space="preserve"> 0,01%),  nepoznato (ne može se procijeniti na osnovu raspoloživih podataka).</w:t>
      </w:r>
    </w:p>
    <w:p w14:paraId="2C3DDF26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5457A1" w:rsidRPr="00D83C9F" w14:paraId="663A6B7F" w14:textId="77777777" w:rsidTr="00856BB6">
        <w:tc>
          <w:tcPr>
            <w:tcW w:w="5000" w:type="pct"/>
            <w:gridSpan w:val="2"/>
            <w:shd w:val="clear" w:color="auto" w:fill="auto"/>
          </w:tcPr>
          <w:p w14:paraId="0C27998D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 xml:space="preserve">Infekcije i </w:t>
            </w: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infestacije</w:t>
            </w:r>
            <w:proofErr w:type="spellEnd"/>
          </w:p>
        </w:tc>
      </w:tr>
      <w:tr w:rsidR="005457A1" w:rsidRPr="00D83C9F" w14:paraId="4995A8F6" w14:textId="77777777" w:rsidTr="00856BB6">
        <w:tc>
          <w:tcPr>
            <w:tcW w:w="2500" w:type="pct"/>
            <w:shd w:val="clear" w:color="auto" w:fill="auto"/>
          </w:tcPr>
          <w:p w14:paraId="6A3AC698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6BE19ECA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infekcije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urinarnog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trakta</w:t>
            </w:r>
          </w:p>
        </w:tc>
      </w:tr>
      <w:tr w:rsidR="005457A1" w:rsidRPr="00D83C9F" w14:paraId="7B4F8979" w14:textId="77777777" w:rsidTr="00856BB6">
        <w:tc>
          <w:tcPr>
            <w:tcW w:w="5000" w:type="pct"/>
            <w:gridSpan w:val="2"/>
            <w:shd w:val="clear" w:color="auto" w:fill="auto"/>
          </w:tcPr>
          <w:p w14:paraId="0D7FCFB2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 xml:space="preserve">Maligne, benigne i neodređene </w:t>
            </w: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neoplazme</w:t>
            </w:r>
            <w:proofErr w:type="spellEnd"/>
            <w:r w:rsidRPr="00D83C9F">
              <w:rPr>
                <w:b/>
                <w:sz w:val="22"/>
                <w:szCs w:val="22"/>
                <w:lang w:val="sr-Latn-ME"/>
              </w:rPr>
              <w:t xml:space="preserve"> (uključujući ciste i polipe)</w:t>
            </w:r>
          </w:p>
        </w:tc>
      </w:tr>
      <w:tr w:rsidR="005457A1" w:rsidRPr="00D83C9F" w14:paraId="36E9B105" w14:textId="77777777" w:rsidTr="00856BB6">
        <w:tc>
          <w:tcPr>
            <w:tcW w:w="2500" w:type="pct"/>
            <w:shd w:val="clear" w:color="auto" w:fill="auto"/>
          </w:tcPr>
          <w:p w14:paraId="3559CE6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51514C51" w14:textId="0184ED29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bol </w:t>
            </w:r>
            <w:r w:rsidR="00986785" w:rsidRPr="00D83C9F">
              <w:rPr>
                <w:sz w:val="22"/>
                <w:szCs w:val="22"/>
                <w:lang w:val="sr-Latn-ME"/>
              </w:rPr>
              <w:t xml:space="preserve">u području </w:t>
            </w:r>
            <w:r w:rsidRPr="00D83C9F">
              <w:rPr>
                <w:sz w:val="22"/>
                <w:szCs w:val="22"/>
                <w:lang w:val="sr-Latn-ME"/>
              </w:rPr>
              <w:t>tumor</w:t>
            </w:r>
            <w:r w:rsidR="00986785" w:rsidRPr="00D83C9F">
              <w:rPr>
                <w:sz w:val="22"/>
                <w:szCs w:val="22"/>
                <w:lang w:val="sr-Latn-ME"/>
              </w:rPr>
              <w:t>a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5457A1" w:rsidRPr="00D83C9F" w14:paraId="2452369B" w14:textId="77777777" w:rsidTr="00856BB6">
        <w:tc>
          <w:tcPr>
            <w:tcW w:w="5000" w:type="pct"/>
            <w:gridSpan w:val="2"/>
            <w:shd w:val="clear" w:color="auto" w:fill="auto"/>
          </w:tcPr>
          <w:p w14:paraId="3E38CE61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Poremećaji krvi i limfnog sistema</w:t>
            </w:r>
          </w:p>
        </w:tc>
      </w:tr>
      <w:tr w:rsidR="005457A1" w:rsidRPr="00D83C9F" w14:paraId="5705A24D" w14:textId="77777777" w:rsidTr="00856BB6">
        <w:tc>
          <w:tcPr>
            <w:tcW w:w="2500" w:type="pct"/>
            <w:shd w:val="clear" w:color="auto" w:fill="auto"/>
          </w:tcPr>
          <w:p w14:paraId="0105AA36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515F7B2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leukopenija</w:t>
            </w:r>
            <w:proofErr w:type="spellEnd"/>
          </w:p>
        </w:tc>
      </w:tr>
      <w:tr w:rsidR="005457A1" w:rsidRPr="00D83C9F" w14:paraId="6B86A8D2" w14:textId="77777777" w:rsidTr="00856BB6">
        <w:tc>
          <w:tcPr>
            <w:tcW w:w="5000" w:type="pct"/>
            <w:gridSpan w:val="2"/>
            <w:shd w:val="clear" w:color="auto" w:fill="auto"/>
          </w:tcPr>
          <w:p w14:paraId="0E303C51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Imunološki poremećaji</w:t>
            </w:r>
          </w:p>
        </w:tc>
      </w:tr>
      <w:tr w:rsidR="005457A1" w:rsidRPr="00D83C9F" w14:paraId="3C078200" w14:textId="77777777" w:rsidTr="00856BB6">
        <w:tc>
          <w:tcPr>
            <w:tcW w:w="2500" w:type="pct"/>
            <w:shd w:val="clear" w:color="auto" w:fill="auto"/>
          </w:tcPr>
          <w:p w14:paraId="28075F60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2500" w:type="pct"/>
            <w:shd w:val="clear" w:color="auto" w:fill="auto"/>
          </w:tcPr>
          <w:p w14:paraId="3DE2ACA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anafilaktička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reakcija</w:t>
            </w:r>
          </w:p>
        </w:tc>
      </w:tr>
      <w:tr w:rsidR="005457A1" w:rsidRPr="00D83C9F" w14:paraId="037F5EAD" w14:textId="77777777" w:rsidTr="00856BB6">
        <w:tc>
          <w:tcPr>
            <w:tcW w:w="5000" w:type="pct"/>
            <w:gridSpan w:val="2"/>
            <w:shd w:val="clear" w:color="auto" w:fill="auto"/>
          </w:tcPr>
          <w:p w14:paraId="07131E55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Poremećaji metabolizma i ishrane</w:t>
            </w:r>
          </w:p>
        </w:tc>
      </w:tr>
      <w:tr w:rsidR="005457A1" w:rsidRPr="00D83C9F" w14:paraId="4238C9E2" w14:textId="77777777" w:rsidTr="00856BB6">
        <w:tc>
          <w:tcPr>
            <w:tcW w:w="2500" w:type="pct"/>
            <w:shd w:val="clear" w:color="auto" w:fill="auto"/>
          </w:tcPr>
          <w:p w14:paraId="485FC460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2500" w:type="pct"/>
            <w:shd w:val="clear" w:color="auto" w:fill="auto"/>
          </w:tcPr>
          <w:p w14:paraId="1CFD7330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hiperholesterolemija</w:t>
            </w:r>
            <w:proofErr w:type="spellEnd"/>
          </w:p>
        </w:tc>
      </w:tr>
      <w:tr w:rsidR="005457A1" w:rsidRPr="00D83C9F" w14:paraId="38B2B847" w14:textId="77777777" w:rsidTr="00856BB6">
        <w:tc>
          <w:tcPr>
            <w:tcW w:w="2500" w:type="pct"/>
            <w:shd w:val="clear" w:color="auto" w:fill="auto"/>
          </w:tcPr>
          <w:p w14:paraId="17A5CDF4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4EDABDDD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smanjenje apetita, povećanje apetita</w:t>
            </w:r>
          </w:p>
        </w:tc>
      </w:tr>
      <w:tr w:rsidR="005457A1" w:rsidRPr="00D83C9F" w14:paraId="2CE77F37" w14:textId="77777777" w:rsidTr="00856BB6">
        <w:tc>
          <w:tcPr>
            <w:tcW w:w="5000" w:type="pct"/>
            <w:gridSpan w:val="2"/>
            <w:shd w:val="clear" w:color="auto" w:fill="auto"/>
          </w:tcPr>
          <w:p w14:paraId="3B545256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Psihijatrijski poremećaji</w:t>
            </w:r>
          </w:p>
        </w:tc>
      </w:tr>
      <w:tr w:rsidR="005457A1" w:rsidRPr="00D83C9F" w14:paraId="103D61B9" w14:textId="77777777" w:rsidTr="00856BB6">
        <w:tc>
          <w:tcPr>
            <w:tcW w:w="2500" w:type="pct"/>
            <w:shd w:val="clear" w:color="auto" w:fill="auto"/>
          </w:tcPr>
          <w:p w14:paraId="48082FE1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7D21AED7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depresija</w:t>
            </w:r>
          </w:p>
        </w:tc>
      </w:tr>
      <w:tr w:rsidR="005457A1" w:rsidRPr="00D83C9F" w14:paraId="1CFC2068" w14:textId="77777777" w:rsidTr="00856BB6">
        <w:tc>
          <w:tcPr>
            <w:tcW w:w="2500" w:type="pct"/>
            <w:shd w:val="clear" w:color="auto" w:fill="auto"/>
          </w:tcPr>
          <w:p w14:paraId="1DDAB42D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6A3EDE23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anksioznost (uključujući nervozu),</w:t>
            </w:r>
          </w:p>
          <w:p w14:paraId="08DCE2F9" w14:textId="0C378494" w:rsidR="005457A1" w:rsidRPr="00D83C9F" w:rsidRDefault="00986785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razdražljivost</w:t>
            </w:r>
          </w:p>
        </w:tc>
      </w:tr>
      <w:tr w:rsidR="005457A1" w:rsidRPr="00D83C9F" w14:paraId="714626EA" w14:textId="77777777" w:rsidTr="00856BB6">
        <w:tc>
          <w:tcPr>
            <w:tcW w:w="5000" w:type="pct"/>
            <w:gridSpan w:val="2"/>
            <w:shd w:val="clear" w:color="auto" w:fill="auto"/>
          </w:tcPr>
          <w:p w14:paraId="0F74073B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Poremećaji nervnog sistema</w:t>
            </w:r>
          </w:p>
        </w:tc>
      </w:tr>
      <w:tr w:rsidR="005457A1" w:rsidRPr="00D83C9F" w14:paraId="3562AF0D" w14:textId="77777777" w:rsidTr="00856BB6">
        <w:tc>
          <w:tcPr>
            <w:tcW w:w="2500" w:type="pct"/>
            <w:shd w:val="clear" w:color="auto" w:fill="auto"/>
          </w:tcPr>
          <w:p w14:paraId="2B4FDFF6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324FAB12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glavobolja, vrtoglavica</w:t>
            </w:r>
          </w:p>
        </w:tc>
      </w:tr>
      <w:tr w:rsidR="005457A1" w:rsidRPr="00D83C9F" w14:paraId="658CB66E" w14:textId="77777777" w:rsidTr="00856BB6">
        <w:tc>
          <w:tcPr>
            <w:tcW w:w="2500" w:type="pct"/>
            <w:shd w:val="clear" w:color="auto" w:fill="auto"/>
          </w:tcPr>
          <w:p w14:paraId="25E25393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76ACFDAC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pospanost, nesanica, poremećaji pamćenja,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dizestezija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  (uključujući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paresteziju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hipoesteziju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), poremećaj čula ukusa,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cerebrovaskularni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događaj, sindrom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karpalnog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tunela</w:t>
            </w:r>
          </w:p>
        </w:tc>
      </w:tr>
      <w:tr w:rsidR="005457A1" w:rsidRPr="00D83C9F" w14:paraId="6058C62D" w14:textId="77777777" w:rsidTr="00856BB6">
        <w:tc>
          <w:tcPr>
            <w:tcW w:w="2500" w:type="pct"/>
            <w:shd w:val="clear" w:color="auto" w:fill="auto"/>
          </w:tcPr>
          <w:p w14:paraId="623F790B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Poremećaji oka</w:t>
            </w:r>
          </w:p>
        </w:tc>
        <w:tc>
          <w:tcPr>
            <w:tcW w:w="2500" w:type="pct"/>
            <w:shd w:val="clear" w:color="auto" w:fill="auto"/>
          </w:tcPr>
          <w:p w14:paraId="38138818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</w:p>
        </w:tc>
      </w:tr>
      <w:tr w:rsidR="005457A1" w:rsidRPr="00D83C9F" w14:paraId="7971013D" w14:textId="77777777" w:rsidTr="00856BB6">
        <w:tc>
          <w:tcPr>
            <w:tcW w:w="2500" w:type="pct"/>
            <w:shd w:val="clear" w:color="auto" w:fill="auto"/>
          </w:tcPr>
          <w:p w14:paraId="48B794CC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45D437E4" w14:textId="23AEB522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katarakta, iritacija oka, zam</w:t>
            </w:r>
            <w:r w:rsidR="002165B7" w:rsidRPr="00D83C9F">
              <w:rPr>
                <w:sz w:val="22"/>
                <w:szCs w:val="22"/>
                <w:lang w:val="sr-Latn-ME"/>
              </w:rPr>
              <w:t>agljen</w:t>
            </w:r>
            <w:r w:rsidRPr="00D83C9F">
              <w:rPr>
                <w:sz w:val="22"/>
                <w:szCs w:val="22"/>
                <w:lang w:val="sr-Latn-ME"/>
              </w:rPr>
              <w:t xml:space="preserve"> vid</w:t>
            </w:r>
          </w:p>
        </w:tc>
      </w:tr>
      <w:tr w:rsidR="005457A1" w:rsidRPr="00D83C9F" w14:paraId="3FAA38EA" w14:textId="77777777" w:rsidTr="00856BB6">
        <w:tc>
          <w:tcPr>
            <w:tcW w:w="5000" w:type="pct"/>
            <w:gridSpan w:val="2"/>
            <w:shd w:val="clear" w:color="auto" w:fill="auto"/>
          </w:tcPr>
          <w:p w14:paraId="7F497213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Kardiološki poremećaji</w:t>
            </w:r>
          </w:p>
        </w:tc>
      </w:tr>
      <w:tr w:rsidR="005457A1" w:rsidRPr="00D83C9F" w14:paraId="59EA7171" w14:textId="77777777" w:rsidTr="00856BB6">
        <w:tc>
          <w:tcPr>
            <w:tcW w:w="2500" w:type="pct"/>
            <w:shd w:val="clear" w:color="auto" w:fill="auto"/>
          </w:tcPr>
          <w:p w14:paraId="00564626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08CDCAD1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palpitacije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sz w:val="22"/>
                <w:szCs w:val="22"/>
                <w:lang w:val="sr-Latn-ME"/>
              </w:rPr>
              <w:t xml:space="preserve">, </w:t>
            </w:r>
          </w:p>
        </w:tc>
      </w:tr>
      <w:tr w:rsidR="005457A1" w:rsidRPr="00D83C9F" w14:paraId="27663D9B" w14:textId="77777777" w:rsidTr="00856BB6">
        <w:tc>
          <w:tcPr>
            <w:tcW w:w="2500" w:type="pct"/>
            <w:shd w:val="clear" w:color="auto" w:fill="auto"/>
          </w:tcPr>
          <w:p w14:paraId="120EE924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6112C040" w14:textId="4103FA45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tahikardija, neželjeni  događaji  vezani za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ishemiju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srca (uključujući pojavu ili pogoršanje postojeće angine, angina koja zahtijeva hiruršku intervenciju, infarkt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miokarda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ishemija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miokarda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5457A1" w:rsidRPr="00D83C9F" w14:paraId="3A6726AD" w14:textId="77777777" w:rsidTr="00856BB6">
        <w:tc>
          <w:tcPr>
            <w:tcW w:w="5000" w:type="pct"/>
            <w:gridSpan w:val="2"/>
            <w:shd w:val="clear" w:color="auto" w:fill="auto"/>
          </w:tcPr>
          <w:p w14:paraId="18561B6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Vaskularni poremećaji</w:t>
            </w:r>
          </w:p>
        </w:tc>
      </w:tr>
      <w:tr w:rsidR="005457A1" w:rsidRPr="00D83C9F" w14:paraId="525BF0AC" w14:textId="77777777" w:rsidTr="00856BB6">
        <w:tc>
          <w:tcPr>
            <w:tcW w:w="2500" w:type="pct"/>
            <w:shd w:val="clear" w:color="auto" w:fill="auto"/>
          </w:tcPr>
          <w:p w14:paraId="22437AEA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2500" w:type="pct"/>
            <w:shd w:val="clear" w:color="auto" w:fill="auto"/>
          </w:tcPr>
          <w:p w14:paraId="11CF221A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naleti vrućine (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valunzi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)</w:t>
            </w:r>
          </w:p>
        </w:tc>
      </w:tr>
      <w:tr w:rsidR="005457A1" w:rsidRPr="00D83C9F" w14:paraId="2D53F421" w14:textId="77777777" w:rsidTr="00856BB6">
        <w:tc>
          <w:tcPr>
            <w:tcW w:w="2500" w:type="pct"/>
            <w:shd w:val="clear" w:color="auto" w:fill="auto"/>
          </w:tcPr>
          <w:p w14:paraId="2C2CDD4A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50321B73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hipertenzija</w:t>
            </w:r>
          </w:p>
        </w:tc>
      </w:tr>
      <w:tr w:rsidR="005457A1" w:rsidRPr="00D83C9F" w14:paraId="445AFCA9" w14:textId="77777777" w:rsidTr="00856BB6">
        <w:tc>
          <w:tcPr>
            <w:tcW w:w="2500" w:type="pct"/>
            <w:shd w:val="clear" w:color="auto" w:fill="auto"/>
          </w:tcPr>
          <w:p w14:paraId="08C9584E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2F4D524C" w14:textId="0EE5496D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tromboflebitis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(uključujući</w:t>
            </w:r>
            <w:r w:rsidR="00074CF6" w:rsidRPr="00D83C9F">
              <w:rPr>
                <w:sz w:val="22"/>
                <w:szCs w:val="22"/>
                <w:lang w:val="sr-Latn-ME"/>
              </w:rPr>
              <w:t xml:space="preserve"> površinski i duboki</w:t>
            </w:r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tromboflebitis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)  </w:t>
            </w:r>
          </w:p>
        </w:tc>
      </w:tr>
      <w:tr w:rsidR="005457A1" w:rsidRPr="00D83C9F" w14:paraId="440E6365" w14:textId="77777777" w:rsidTr="00856BB6">
        <w:tc>
          <w:tcPr>
            <w:tcW w:w="2500" w:type="pct"/>
            <w:shd w:val="clear" w:color="auto" w:fill="auto"/>
          </w:tcPr>
          <w:p w14:paraId="719BAB12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2500" w:type="pct"/>
            <w:shd w:val="clear" w:color="auto" w:fill="auto"/>
          </w:tcPr>
          <w:p w14:paraId="76A21BB8" w14:textId="50A4F5CB" w:rsidR="005457A1" w:rsidRPr="00D83C9F" w:rsidRDefault="005457A1" w:rsidP="002D2DF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plućna embolija, arterijska tromboza, </w:t>
            </w:r>
            <w:r w:rsidR="00692F7F"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cerebrovaskularni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infarkt</w:t>
            </w:r>
          </w:p>
        </w:tc>
      </w:tr>
      <w:tr w:rsidR="005457A1" w:rsidRPr="00D83C9F" w14:paraId="076CB634" w14:textId="77777777" w:rsidTr="00856BB6">
        <w:tc>
          <w:tcPr>
            <w:tcW w:w="5000" w:type="pct"/>
            <w:gridSpan w:val="2"/>
            <w:shd w:val="clear" w:color="auto" w:fill="auto"/>
          </w:tcPr>
          <w:p w14:paraId="7707F5C6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 xml:space="preserve">Respiratorni, torakalni i </w:t>
            </w: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medijastinalni</w:t>
            </w:r>
            <w:proofErr w:type="spellEnd"/>
            <w:r w:rsidRPr="00D83C9F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</w:tr>
      <w:tr w:rsidR="005457A1" w:rsidRPr="00D83C9F" w14:paraId="3CA715F3" w14:textId="77777777" w:rsidTr="00856BB6">
        <w:tc>
          <w:tcPr>
            <w:tcW w:w="2500" w:type="pct"/>
            <w:shd w:val="clear" w:color="auto" w:fill="auto"/>
          </w:tcPr>
          <w:p w14:paraId="7096935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Povremeno:</w:t>
            </w:r>
          </w:p>
        </w:tc>
        <w:tc>
          <w:tcPr>
            <w:tcW w:w="2500" w:type="pct"/>
            <w:shd w:val="clear" w:color="auto" w:fill="auto"/>
          </w:tcPr>
          <w:p w14:paraId="5BA0A357" w14:textId="73125ED8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dispne</w:t>
            </w:r>
            <w:r w:rsidR="00684660" w:rsidRPr="00D83C9F">
              <w:rPr>
                <w:sz w:val="22"/>
                <w:szCs w:val="22"/>
                <w:lang w:val="sr-Latn-ME"/>
              </w:rPr>
              <w:t>j</w:t>
            </w:r>
            <w:r w:rsidRPr="00D83C9F">
              <w:rPr>
                <w:sz w:val="22"/>
                <w:szCs w:val="22"/>
                <w:lang w:val="sr-Latn-ME"/>
              </w:rPr>
              <w:t>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, kašalj</w:t>
            </w:r>
          </w:p>
        </w:tc>
      </w:tr>
      <w:tr w:rsidR="005457A1" w:rsidRPr="00D83C9F" w14:paraId="701BA8F0" w14:textId="77777777" w:rsidTr="00856BB6">
        <w:tc>
          <w:tcPr>
            <w:tcW w:w="5000" w:type="pct"/>
            <w:gridSpan w:val="2"/>
            <w:shd w:val="clear" w:color="auto" w:fill="auto"/>
          </w:tcPr>
          <w:p w14:paraId="7101E0D8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Gastrointestinalni poremećaji</w:t>
            </w:r>
          </w:p>
        </w:tc>
      </w:tr>
      <w:tr w:rsidR="005457A1" w:rsidRPr="00D83C9F" w14:paraId="0B93CE14" w14:textId="77777777" w:rsidTr="00856BB6">
        <w:tc>
          <w:tcPr>
            <w:tcW w:w="2500" w:type="pct"/>
            <w:shd w:val="clear" w:color="auto" w:fill="auto"/>
          </w:tcPr>
          <w:p w14:paraId="702D03BC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09F52994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mučnina, dispepsija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sz w:val="22"/>
                <w:szCs w:val="22"/>
                <w:lang w:val="sr-Latn-ME"/>
              </w:rPr>
              <w:t xml:space="preserve">, konstipacija, </w:t>
            </w:r>
          </w:p>
          <w:p w14:paraId="1D48C3F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abdominalni bol, dijareja, povraćanje</w:t>
            </w:r>
          </w:p>
        </w:tc>
      </w:tr>
      <w:tr w:rsidR="005457A1" w:rsidRPr="00D83C9F" w14:paraId="4067DC3F" w14:textId="77777777" w:rsidTr="00856BB6">
        <w:tc>
          <w:tcPr>
            <w:tcW w:w="2500" w:type="pct"/>
            <w:shd w:val="clear" w:color="auto" w:fill="auto"/>
          </w:tcPr>
          <w:p w14:paraId="405590D5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2DA224BB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suva usta, stomatitis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</w:p>
        </w:tc>
      </w:tr>
      <w:tr w:rsidR="005457A1" w:rsidRPr="00D83C9F" w14:paraId="22C83FAB" w14:textId="77777777" w:rsidTr="00856BB6">
        <w:tc>
          <w:tcPr>
            <w:tcW w:w="5000" w:type="pct"/>
            <w:gridSpan w:val="2"/>
            <w:shd w:val="clear" w:color="auto" w:fill="auto"/>
          </w:tcPr>
          <w:p w14:paraId="6B792D35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Hepatobilijarni</w:t>
            </w:r>
            <w:proofErr w:type="spellEnd"/>
            <w:r w:rsidRPr="00D83C9F">
              <w:rPr>
                <w:b/>
                <w:sz w:val="22"/>
                <w:szCs w:val="22"/>
                <w:lang w:val="sr-Latn-ME"/>
              </w:rPr>
              <w:t xml:space="preserve"> poremećaji</w:t>
            </w:r>
          </w:p>
        </w:tc>
      </w:tr>
      <w:tr w:rsidR="005457A1" w:rsidRPr="00D83C9F" w14:paraId="6C0A64BA" w14:textId="77777777" w:rsidTr="00856BB6">
        <w:tc>
          <w:tcPr>
            <w:tcW w:w="2500" w:type="pct"/>
            <w:shd w:val="clear" w:color="auto" w:fill="auto"/>
          </w:tcPr>
          <w:p w14:paraId="773F4ED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52C1B35A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porast enzima jetre,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hiperbilirubinemija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, žutica</w:t>
            </w:r>
          </w:p>
        </w:tc>
      </w:tr>
      <w:tr w:rsidR="005457A1" w:rsidRPr="00D83C9F" w14:paraId="4C02EA7C" w14:textId="77777777" w:rsidTr="00856BB6">
        <w:tc>
          <w:tcPr>
            <w:tcW w:w="2500" w:type="pct"/>
            <w:shd w:val="clear" w:color="auto" w:fill="auto"/>
          </w:tcPr>
          <w:p w14:paraId="65C71606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2500" w:type="pct"/>
            <w:shd w:val="clear" w:color="auto" w:fill="auto"/>
          </w:tcPr>
          <w:p w14:paraId="21A4D819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hepatitis</w:t>
            </w:r>
          </w:p>
        </w:tc>
      </w:tr>
      <w:tr w:rsidR="005457A1" w:rsidRPr="00D83C9F" w14:paraId="08B4E044" w14:textId="77777777" w:rsidTr="00856BB6">
        <w:tc>
          <w:tcPr>
            <w:tcW w:w="5000" w:type="pct"/>
            <w:gridSpan w:val="2"/>
            <w:shd w:val="clear" w:color="auto" w:fill="auto"/>
          </w:tcPr>
          <w:p w14:paraId="26EA61C1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Poremećaji na nivou kože i potkožnog tkiva</w:t>
            </w:r>
          </w:p>
        </w:tc>
      </w:tr>
      <w:tr w:rsidR="005457A1" w:rsidRPr="00D83C9F" w14:paraId="541BDC7C" w14:textId="77777777" w:rsidTr="00856BB6">
        <w:tc>
          <w:tcPr>
            <w:tcW w:w="2500" w:type="pct"/>
            <w:shd w:val="clear" w:color="auto" w:fill="auto"/>
          </w:tcPr>
          <w:p w14:paraId="1E0C3831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2500" w:type="pct"/>
            <w:shd w:val="clear" w:color="auto" w:fill="auto"/>
          </w:tcPr>
          <w:p w14:paraId="55D47F13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pojačano znojenje</w:t>
            </w:r>
          </w:p>
        </w:tc>
      </w:tr>
      <w:tr w:rsidR="005457A1" w:rsidRPr="00D83C9F" w14:paraId="76230A8F" w14:textId="77777777" w:rsidTr="00856BB6">
        <w:tc>
          <w:tcPr>
            <w:tcW w:w="2500" w:type="pct"/>
            <w:shd w:val="clear" w:color="auto" w:fill="auto"/>
          </w:tcPr>
          <w:p w14:paraId="4BE6600E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lastRenderedPageBreak/>
              <w:t>Često</w:t>
            </w:r>
          </w:p>
        </w:tc>
        <w:tc>
          <w:tcPr>
            <w:tcW w:w="2500" w:type="pct"/>
            <w:shd w:val="clear" w:color="auto" w:fill="auto"/>
          </w:tcPr>
          <w:p w14:paraId="5FFFDF36" w14:textId="63764695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alopecija, osip (uk</w:t>
            </w:r>
            <w:r w:rsidR="00692F7F" w:rsidRPr="00D83C9F">
              <w:rPr>
                <w:sz w:val="22"/>
                <w:szCs w:val="22"/>
                <w:lang w:val="sr-Latn-ME"/>
              </w:rPr>
              <w:t xml:space="preserve">ljučujući </w:t>
            </w:r>
            <w:proofErr w:type="spellStart"/>
            <w:r w:rsidR="00692F7F" w:rsidRPr="00D83C9F">
              <w:rPr>
                <w:sz w:val="22"/>
                <w:szCs w:val="22"/>
                <w:lang w:val="sr-Latn-ME"/>
              </w:rPr>
              <w:t>eritematozni</w:t>
            </w:r>
            <w:proofErr w:type="spellEnd"/>
            <w:r w:rsidR="00692F7F" w:rsidRPr="00D83C9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="00692F7F" w:rsidRPr="00D83C9F">
              <w:rPr>
                <w:sz w:val="22"/>
                <w:szCs w:val="22"/>
                <w:lang w:val="sr-Latn-ME"/>
              </w:rPr>
              <w:t>makulo-</w:t>
            </w:r>
            <w:r w:rsidRPr="00D83C9F">
              <w:rPr>
                <w:sz w:val="22"/>
                <w:szCs w:val="22"/>
                <w:lang w:val="sr-Latn-ME"/>
              </w:rPr>
              <w:t>papilarni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psorijaziformni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vezikularni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osip), suva koža</w:t>
            </w:r>
          </w:p>
        </w:tc>
      </w:tr>
      <w:tr w:rsidR="005457A1" w:rsidRPr="00D83C9F" w14:paraId="3939B593" w14:textId="77777777" w:rsidTr="00856BB6">
        <w:tc>
          <w:tcPr>
            <w:tcW w:w="2500" w:type="pct"/>
            <w:shd w:val="clear" w:color="auto" w:fill="auto"/>
          </w:tcPr>
          <w:p w14:paraId="3958F806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252FE38F" w14:textId="7A7CEEAB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svrab, u</w:t>
            </w:r>
            <w:r w:rsidR="00684660" w:rsidRPr="00D83C9F">
              <w:rPr>
                <w:sz w:val="22"/>
                <w:szCs w:val="22"/>
                <w:lang w:val="sr-Latn-ME"/>
              </w:rPr>
              <w:t>r</w:t>
            </w:r>
            <w:r w:rsidRPr="00D83C9F">
              <w:rPr>
                <w:sz w:val="22"/>
                <w:szCs w:val="22"/>
                <w:lang w:val="sr-Latn-ME"/>
              </w:rPr>
              <w:t>tikarija</w:t>
            </w:r>
          </w:p>
        </w:tc>
      </w:tr>
      <w:tr w:rsidR="005457A1" w:rsidRPr="00D83C9F" w14:paraId="133A9CF8" w14:textId="77777777" w:rsidTr="00856BB6">
        <w:tc>
          <w:tcPr>
            <w:tcW w:w="2500" w:type="pct"/>
            <w:shd w:val="clear" w:color="auto" w:fill="auto"/>
          </w:tcPr>
          <w:p w14:paraId="75F78CF5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2500" w:type="pct"/>
            <w:shd w:val="clear" w:color="auto" w:fill="auto"/>
          </w:tcPr>
          <w:p w14:paraId="34E79AED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angioedem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, toksična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epidermalna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nekroliza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, </w:t>
            </w:r>
          </w:p>
          <w:p w14:paraId="342F3CC2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multiformni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eritem</w:t>
            </w:r>
            <w:proofErr w:type="spellEnd"/>
          </w:p>
        </w:tc>
      </w:tr>
      <w:tr w:rsidR="005457A1" w:rsidRPr="00D83C9F" w14:paraId="280D1762" w14:textId="77777777" w:rsidTr="00856BB6">
        <w:tc>
          <w:tcPr>
            <w:tcW w:w="5000" w:type="pct"/>
            <w:gridSpan w:val="2"/>
            <w:shd w:val="clear" w:color="auto" w:fill="auto"/>
          </w:tcPr>
          <w:p w14:paraId="4AA49C4D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Poremećaji mišićno-skeletnog i vezivnog tkiva</w:t>
            </w:r>
          </w:p>
        </w:tc>
      </w:tr>
      <w:tr w:rsidR="005457A1" w:rsidRPr="00D83C9F" w14:paraId="6854AF24" w14:textId="77777777" w:rsidTr="00856BB6">
        <w:tc>
          <w:tcPr>
            <w:tcW w:w="2500" w:type="pct"/>
            <w:shd w:val="clear" w:color="auto" w:fill="auto"/>
          </w:tcPr>
          <w:p w14:paraId="1946C32D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2500" w:type="pct"/>
            <w:shd w:val="clear" w:color="auto" w:fill="auto"/>
          </w:tcPr>
          <w:p w14:paraId="4ABA4E25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artralgija</w:t>
            </w:r>
            <w:proofErr w:type="spellEnd"/>
          </w:p>
        </w:tc>
      </w:tr>
      <w:tr w:rsidR="005457A1" w:rsidRPr="00D83C9F" w14:paraId="38326329" w14:textId="77777777" w:rsidTr="00856BB6">
        <w:tc>
          <w:tcPr>
            <w:tcW w:w="2500" w:type="pct"/>
            <w:shd w:val="clear" w:color="auto" w:fill="auto"/>
          </w:tcPr>
          <w:p w14:paraId="13CFDFC8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28C8BE1F" w14:textId="10135C12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mi</w:t>
            </w:r>
            <w:r w:rsidR="00684660" w:rsidRPr="00D83C9F">
              <w:rPr>
                <w:sz w:val="22"/>
                <w:szCs w:val="22"/>
                <w:lang w:val="sr-Latn-ME"/>
              </w:rPr>
              <w:t>j</w:t>
            </w:r>
            <w:r w:rsidRPr="00D83C9F">
              <w:rPr>
                <w:sz w:val="22"/>
                <w:szCs w:val="22"/>
                <w:lang w:val="sr-Latn-ME"/>
              </w:rPr>
              <w:t>algija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, bol u kostima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sz w:val="22"/>
                <w:szCs w:val="22"/>
                <w:lang w:val="sr-Latn-ME"/>
              </w:rPr>
              <w:t xml:space="preserve">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osteoporoza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, frakture  kostiju, artritis</w:t>
            </w:r>
          </w:p>
        </w:tc>
      </w:tr>
      <w:tr w:rsidR="005457A1" w:rsidRPr="00D83C9F" w14:paraId="7D8A3941" w14:textId="77777777" w:rsidTr="00856BB6">
        <w:tc>
          <w:tcPr>
            <w:tcW w:w="2500" w:type="pct"/>
            <w:shd w:val="clear" w:color="auto" w:fill="auto"/>
          </w:tcPr>
          <w:p w14:paraId="0012E2B5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6F8FDFD1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tendinitis</w:t>
            </w:r>
            <w:proofErr w:type="spellEnd"/>
          </w:p>
        </w:tc>
      </w:tr>
      <w:tr w:rsidR="005457A1" w:rsidRPr="00D83C9F" w14:paraId="1C09B3AE" w14:textId="77777777" w:rsidTr="00856BB6">
        <w:tc>
          <w:tcPr>
            <w:tcW w:w="2500" w:type="pct"/>
            <w:shd w:val="clear" w:color="auto" w:fill="auto"/>
          </w:tcPr>
          <w:p w14:paraId="3AC3627B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Rijetko</w:t>
            </w:r>
          </w:p>
        </w:tc>
        <w:tc>
          <w:tcPr>
            <w:tcW w:w="2500" w:type="pct"/>
            <w:shd w:val="clear" w:color="auto" w:fill="auto"/>
          </w:tcPr>
          <w:p w14:paraId="74A5E9DD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ruptura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tetive</w:t>
            </w:r>
          </w:p>
        </w:tc>
      </w:tr>
      <w:tr w:rsidR="005457A1" w:rsidRPr="00D83C9F" w14:paraId="47389A42" w14:textId="77777777" w:rsidTr="00856BB6">
        <w:tc>
          <w:tcPr>
            <w:tcW w:w="2500" w:type="pct"/>
            <w:shd w:val="clear" w:color="auto" w:fill="auto"/>
          </w:tcPr>
          <w:p w14:paraId="3B3EDF5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Nepoznato</w:t>
            </w:r>
          </w:p>
        </w:tc>
        <w:tc>
          <w:tcPr>
            <w:tcW w:w="2500" w:type="pct"/>
            <w:shd w:val="clear" w:color="auto" w:fill="auto"/>
          </w:tcPr>
          <w:p w14:paraId="760C0C16" w14:textId="4B7EBA2A" w:rsidR="005457A1" w:rsidRPr="00D83C9F" w:rsidRDefault="00077D3A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ukočen</w:t>
            </w:r>
            <w:r w:rsidR="005457A1" w:rsidRPr="00D83C9F">
              <w:rPr>
                <w:sz w:val="22"/>
                <w:szCs w:val="22"/>
                <w:lang w:val="sr-Latn-ME"/>
              </w:rPr>
              <w:t xml:space="preserve"> prst</w:t>
            </w:r>
          </w:p>
        </w:tc>
      </w:tr>
      <w:tr w:rsidR="005457A1" w:rsidRPr="00D83C9F" w14:paraId="6DA57656" w14:textId="77777777" w:rsidTr="00856BB6">
        <w:tc>
          <w:tcPr>
            <w:tcW w:w="5000" w:type="pct"/>
            <w:gridSpan w:val="2"/>
            <w:shd w:val="clear" w:color="auto" w:fill="auto"/>
          </w:tcPr>
          <w:p w14:paraId="6182AFF7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 xml:space="preserve">Poremećaji na nivou bubrega i </w:t>
            </w: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urinarnog</w:t>
            </w:r>
            <w:proofErr w:type="spellEnd"/>
            <w:r w:rsidRPr="00D83C9F">
              <w:rPr>
                <w:b/>
                <w:sz w:val="22"/>
                <w:szCs w:val="22"/>
                <w:lang w:val="sr-Latn-ME"/>
              </w:rPr>
              <w:t xml:space="preserve"> sistema</w:t>
            </w:r>
          </w:p>
        </w:tc>
      </w:tr>
      <w:tr w:rsidR="005457A1" w:rsidRPr="00D83C9F" w14:paraId="58A77E02" w14:textId="77777777" w:rsidTr="00856BB6">
        <w:tc>
          <w:tcPr>
            <w:tcW w:w="2500" w:type="pct"/>
            <w:shd w:val="clear" w:color="auto" w:fill="auto"/>
          </w:tcPr>
          <w:p w14:paraId="7FB9B8C0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12F1932A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porast učestalosti mokrenja</w:t>
            </w:r>
          </w:p>
        </w:tc>
      </w:tr>
      <w:tr w:rsidR="005457A1" w:rsidRPr="00D83C9F" w14:paraId="2BC13E0F" w14:textId="77777777" w:rsidTr="00856BB6">
        <w:tc>
          <w:tcPr>
            <w:tcW w:w="5000" w:type="pct"/>
            <w:gridSpan w:val="2"/>
            <w:shd w:val="clear" w:color="auto" w:fill="auto"/>
          </w:tcPr>
          <w:p w14:paraId="2C9A0512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Poremećaji reproduktivnog sistema i  na nivou dojki</w:t>
            </w:r>
          </w:p>
        </w:tc>
      </w:tr>
      <w:tr w:rsidR="005457A1" w:rsidRPr="00D83C9F" w14:paraId="623FE1BD" w14:textId="77777777" w:rsidTr="00856BB6">
        <w:tc>
          <w:tcPr>
            <w:tcW w:w="2500" w:type="pct"/>
            <w:shd w:val="clear" w:color="auto" w:fill="auto"/>
          </w:tcPr>
          <w:p w14:paraId="2F7699F8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73FD94BC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vaginalno krvarenje</w:t>
            </w:r>
          </w:p>
        </w:tc>
      </w:tr>
      <w:tr w:rsidR="005457A1" w:rsidRPr="00D83C9F" w14:paraId="41A409F0" w14:textId="77777777" w:rsidTr="00856BB6">
        <w:tc>
          <w:tcPr>
            <w:tcW w:w="2500" w:type="pct"/>
            <w:shd w:val="clear" w:color="auto" w:fill="auto"/>
          </w:tcPr>
          <w:p w14:paraId="47C3E9CC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41ED24A8" w14:textId="04BE408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vaginalni sekret, suvoća vagine</w:t>
            </w:r>
            <w:r w:rsidR="00CE3D86" w:rsidRPr="00D83C9F">
              <w:rPr>
                <w:sz w:val="22"/>
                <w:szCs w:val="22"/>
                <w:lang w:val="sr-Latn-ME"/>
              </w:rPr>
              <w:t xml:space="preserve"> i vulve</w:t>
            </w:r>
            <w:r w:rsidRPr="00D83C9F">
              <w:rPr>
                <w:sz w:val="22"/>
                <w:szCs w:val="22"/>
                <w:lang w:val="sr-Latn-ME"/>
              </w:rPr>
              <w:t>, bol</w:t>
            </w:r>
            <w:r w:rsidR="00CE3D86" w:rsidRPr="00D83C9F">
              <w:rPr>
                <w:sz w:val="22"/>
                <w:szCs w:val="22"/>
                <w:lang w:val="sr-Latn-ME"/>
              </w:rPr>
              <w:t>ovi</w:t>
            </w:r>
            <w:r w:rsidRPr="00D83C9F">
              <w:rPr>
                <w:sz w:val="22"/>
                <w:szCs w:val="22"/>
                <w:lang w:val="sr-Latn-ME"/>
              </w:rPr>
              <w:t xml:space="preserve"> u </w:t>
            </w:r>
            <w:r w:rsidR="00CE3D86" w:rsidRPr="00D83C9F">
              <w:rPr>
                <w:sz w:val="22"/>
                <w:szCs w:val="22"/>
                <w:lang w:val="sr-Latn-ME"/>
              </w:rPr>
              <w:t>dojci</w:t>
            </w:r>
          </w:p>
        </w:tc>
      </w:tr>
      <w:tr w:rsidR="005457A1" w:rsidRPr="00D83C9F" w14:paraId="14BBCDAD" w14:textId="77777777" w:rsidTr="00856BB6">
        <w:tc>
          <w:tcPr>
            <w:tcW w:w="5000" w:type="pct"/>
            <w:gridSpan w:val="2"/>
            <w:shd w:val="clear" w:color="auto" w:fill="auto"/>
          </w:tcPr>
          <w:p w14:paraId="4D1E0BE9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Opšti poremećaji i reakcije na mjestu primjene</w:t>
            </w:r>
          </w:p>
        </w:tc>
      </w:tr>
      <w:tr w:rsidR="005457A1" w:rsidRPr="00D83C9F" w14:paraId="1E4F889A" w14:textId="77777777" w:rsidTr="00856BB6">
        <w:tc>
          <w:tcPr>
            <w:tcW w:w="2500" w:type="pct"/>
            <w:shd w:val="clear" w:color="auto" w:fill="auto"/>
          </w:tcPr>
          <w:p w14:paraId="03CE2C22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Veoma često</w:t>
            </w:r>
          </w:p>
        </w:tc>
        <w:tc>
          <w:tcPr>
            <w:tcW w:w="2500" w:type="pct"/>
            <w:shd w:val="clear" w:color="auto" w:fill="auto"/>
          </w:tcPr>
          <w:p w14:paraId="177FD65E" w14:textId="779E0427" w:rsidR="005457A1" w:rsidRPr="00D83C9F" w:rsidRDefault="00CE3D86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umor</w:t>
            </w:r>
            <w:r w:rsidR="005457A1" w:rsidRPr="00D83C9F">
              <w:rPr>
                <w:sz w:val="22"/>
                <w:szCs w:val="22"/>
                <w:lang w:val="sr-Latn-ME"/>
              </w:rPr>
              <w:t xml:space="preserve"> (uključujući asteniju, malaksalost)</w:t>
            </w:r>
          </w:p>
        </w:tc>
      </w:tr>
      <w:tr w:rsidR="005457A1" w:rsidRPr="00D83C9F" w14:paraId="036FF484" w14:textId="77777777" w:rsidTr="00856BB6">
        <w:tc>
          <w:tcPr>
            <w:tcW w:w="2500" w:type="pct"/>
            <w:shd w:val="clear" w:color="auto" w:fill="auto"/>
          </w:tcPr>
          <w:p w14:paraId="6C38351D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435A8A14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periferni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, bol u grudima</w:t>
            </w:r>
          </w:p>
        </w:tc>
      </w:tr>
      <w:tr w:rsidR="005457A1" w:rsidRPr="00D83C9F" w14:paraId="7C8FA95B" w14:textId="77777777" w:rsidTr="00856BB6">
        <w:tc>
          <w:tcPr>
            <w:tcW w:w="2500" w:type="pct"/>
            <w:shd w:val="clear" w:color="auto" w:fill="auto"/>
          </w:tcPr>
          <w:p w14:paraId="790417DC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2D143DB2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generalizovani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edem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, suvoća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mukoze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, žeđ,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pireksija</w:t>
            </w:r>
            <w:proofErr w:type="spellEnd"/>
          </w:p>
        </w:tc>
      </w:tr>
      <w:tr w:rsidR="005457A1" w:rsidRPr="00D83C9F" w14:paraId="5AE8AB20" w14:textId="77777777" w:rsidTr="00856BB6">
        <w:tc>
          <w:tcPr>
            <w:tcW w:w="5000" w:type="pct"/>
            <w:gridSpan w:val="2"/>
            <w:shd w:val="clear" w:color="auto" w:fill="auto"/>
          </w:tcPr>
          <w:p w14:paraId="2E610424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Ispitivanja</w:t>
            </w:r>
          </w:p>
        </w:tc>
      </w:tr>
      <w:tr w:rsidR="005457A1" w:rsidRPr="00D83C9F" w14:paraId="0D30BD1B" w14:textId="77777777" w:rsidTr="00856BB6">
        <w:tc>
          <w:tcPr>
            <w:tcW w:w="2500" w:type="pct"/>
            <w:shd w:val="clear" w:color="auto" w:fill="auto"/>
          </w:tcPr>
          <w:p w14:paraId="2AF9C07F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Često</w:t>
            </w:r>
          </w:p>
        </w:tc>
        <w:tc>
          <w:tcPr>
            <w:tcW w:w="2500" w:type="pct"/>
            <w:shd w:val="clear" w:color="auto" w:fill="auto"/>
          </w:tcPr>
          <w:p w14:paraId="4A5A81C2" w14:textId="77777777" w:rsidR="005457A1" w:rsidRPr="00D83C9F" w:rsidRDefault="005457A1" w:rsidP="00CE1E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povećanje tjelesne mase</w:t>
            </w:r>
          </w:p>
        </w:tc>
      </w:tr>
      <w:tr w:rsidR="005457A1" w:rsidRPr="00D83C9F" w14:paraId="55946121" w14:textId="77777777" w:rsidTr="00856BB6">
        <w:tc>
          <w:tcPr>
            <w:tcW w:w="2500" w:type="pct"/>
            <w:shd w:val="clear" w:color="auto" w:fill="auto"/>
          </w:tcPr>
          <w:p w14:paraId="21D36F2E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Povremeno</w:t>
            </w:r>
          </w:p>
        </w:tc>
        <w:tc>
          <w:tcPr>
            <w:tcW w:w="2500" w:type="pct"/>
            <w:shd w:val="clear" w:color="auto" w:fill="auto"/>
          </w:tcPr>
          <w:p w14:paraId="475CFE4B" w14:textId="77777777" w:rsidR="005457A1" w:rsidRPr="00D83C9F" w:rsidRDefault="005457A1" w:rsidP="00CE1E1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gubitak tjelesne mase</w:t>
            </w:r>
          </w:p>
        </w:tc>
      </w:tr>
    </w:tbl>
    <w:p w14:paraId="344F373E" w14:textId="1B67ED6B" w:rsidR="005457A1" w:rsidRPr="00D83C9F" w:rsidRDefault="005457A1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vertAlign w:val="superscript"/>
          <w:lang w:val="sr-Latn-ME"/>
        </w:rPr>
        <w:t xml:space="preserve">1 </w:t>
      </w:r>
      <w:r w:rsidRPr="00D83C9F">
        <w:rPr>
          <w:sz w:val="22"/>
          <w:szCs w:val="22"/>
          <w:lang w:val="sr-Latn-ME"/>
        </w:rPr>
        <w:t xml:space="preserve">Neželjene reakcije </w:t>
      </w:r>
      <w:r w:rsidR="00CE3D86" w:rsidRPr="00D83C9F">
        <w:rPr>
          <w:sz w:val="22"/>
          <w:szCs w:val="22"/>
          <w:lang w:val="sr-Latn-ME"/>
        </w:rPr>
        <w:t>zabilježene</w:t>
      </w:r>
      <w:r w:rsidRPr="00D83C9F">
        <w:rPr>
          <w:sz w:val="22"/>
          <w:szCs w:val="22"/>
          <w:lang w:val="sr-Latn-ME"/>
        </w:rPr>
        <w:t xml:space="preserve"> samo</w:t>
      </w:r>
      <w:r w:rsidR="00CE3D86" w:rsidRPr="00D83C9F">
        <w:rPr>
          <w:sz w:val="22"/>
          <w:szCs w:val="22"/>
          <w:lang w:val="sr-Latn-ME"/>
        </w:rPr>
        <w:t xml:space="preserve"> u </w:t>
      </w:r>
      <w:proofErr w:type="spellStart"/>
      <w:r w:rsidR="00CE3D86" w:rsidRPr="00D83C9F">
        <w:rPr>
          <w:sz w:val="22"/>
          <w:szCs w:val="22"/>
          <w:lang w:val="sr-Latn-ME"/>
        </w:rPr>
        <w:t>metastatskom</w:t>
      </w:r>
      <w:proofErr w:type="spellEnd"/>
      <w:r w:rsidR="00CE3D86" w:rsidRPr="00D83C9F">
        <w:rPr>
          <w:sz w:val="22"/>
          <w:szCs w:val="22"/>
          <w:lang w:val="sr-Latn-ME"/>
        </w:rPr>
        <w:t xml:space="preserve"> obliku bolesti</w:t>
      </w:r>
    </w:p>
    <w:p w14:paraId="7D0BE18F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E0727FA" w14:textId="4DDA71DC" w:rsidR="005457A1" w:rsidRPr="00D83C9F" w:rsidRDefault="005457A1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Neke neželjene reakcije su prijavljene sa značajno različitom učestalošću kod primjene </w:t>
      </w:r>
      <w:proofErr w:type="spellStart"/>
      <w:r w:rsidRPr="00D83C9F">
        <w:rPr>
          <w:bCs/>
          <w:sz w:val="22"/>
          <w:szCs w:val="22"/>
          <w:lang w:val="sr-Latn-ME"/>
        </w:rPr>
        <w:t>letrozola</w:t>
      </w:r>
      <w:proofErr w:type="spellEnd"/>
      <w:r w:rsidRPr="00D83C9F">
        <w:rPr>
          <w:bCs/>
          <w:sz w:val="22"/>
          <w:szCs w:val="22"/>
          <w:lang w:val="sr-Latn-ME"/>
        </w:rPr>
        <w:t xml:space="preserve"> kao </w:t>
      </w:r>
      <w:proofErr w:type="spellStart"/>
      <w:r w:rsidRPr="00D83C9F">
        <w:rPr>
          <w:bCs/>
          <w:sz w:val="22"/>
          <w:szCs w:val="22"/>
          <w:lang w:val="sr-Latn-ME"/>
        </w:rPr>
        <w:t>adjuvantne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terapije. U tabelama</w:t>
      </w:r>
      <w:r w:rsidR="00FB0C94" w:rsidRPr="00D83C9F">
        <w:rPr>
          <w:bCs/>
          <w:sz w:val="22"/>
          <w:szCs w:val="22"/>
          <w:lang w:val="sr-Latn-ME"/>
        </w:rPr>
        <w:t xml:space="preserve"> u nastavku</w:t>
      </w:r>
      <w:r w:rsidRPr="00D83C9F">
        <w:rPr>
          <w:bCs/>
          <w:sz w:val="22"/>
          <w:szCs w:val="22"/>
          <w:lang w:val="sr-Latn-ME"/>
        </w:rPr>
        <w:t xml:space="preserve"> prikazane su informacije o značajnim razlikama u primjeni </w:t>
      </w:r>
      <w:proofErr w:type="spellStart"/>
      <w:r w:rsidRPr="00D83C9F">
        <w:rPr>
          <w:bCs/>
          <w:sz w:val="22"/>
          <w:szCs w:val="22"/>
          <w:lang w:val="sr-Latn-ME"/>
        </w:rPr>
        <w:t>letrozola</w:t>
      </w:r>
      <w:proofErr w:type="spellEnd"/>
      <w:r w:rsidRPr="00D83C9F">
        <w:rPr>
          <w:bCs/>
          <w:sz w:val="22"/>
          <w:szCs w:val="22"/>
          <w:lang w:val="sr-Latn-ME"/>
        </w:rPr>
        <w:t xml:space="preserve"> u odnosu na </w:t>
      </w:r>
      <w:proofErr w:type="spellStart"/>
      <w:r w:rsidRPr="00D83C9F">
        <w:rPr>
          <w:bCs/>
          <w:sz w:val="22"/>
          <w:szCs w:val="22"/>
          <w:lang w:val="sr-Latn-ME"/>
        </w:rPr>
        <w:t>monoterapiju</w:t>
      </w:r>
      <w:proofErr w:type="spellEnd"/>
      <w:r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Cs/>
          <w:sz w:val="22"/>
          <w:szCs w:val="22"/>
          <w:lang w:val="sr-Latn-ME"/>
        </w:rPr>
        <w:t>tamoksifenom</w:t>
      </w:r>
      <w:proofErr w:type="spellEnd"/>
      <w:r w:rsidRPr="00D83C9F">
        <w:rPr>
          <w:bCs/>
          <w:sz w:val="22"/>
          <w:szCs w:val="22"/>
          <w:lang w:val="sr-Latn-ME"/>
        </w:rPr>
        <w:t xml:space="preserve"> i </w:t>
      </w:r>
      <w:proofErr w:type="spellStart"/>
      <w:r w:rsidRPr="00D83C9F">
        <w:rPr>
          <w:bCs/>
          <w:sz w:val="22"/>
          <w:szCs w:val="22"/>
          <w:lang w:val="sr-Latn-ME"/>
        </w:rPr>
        <w:t>letrozol-tamoksifen</w:t>
      </w:r>
      <w:proofErr w:type="spellEnd"/>
      <w:r w:rsidRPr="00D83C9F">
        <w:rPr>
          <w:bCs/>
          <w:sz w:val="22"/>
          <w:szCs w:val="22"/>
          <w:lang w:val="sr-Latn-ME"/>
        </w:rPr>
        <w:t xml:space="preserve"> sekvencijalnu terapiju.</w:t>
      </w:r>
    </w:p>
    <w:p w14:paraId="504EE68E" w14:textId="77777777" w:rsidR="00684660" w:rsidRPr="00D83C9F" w:rsidRDefault="00684660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p w14:paraId="53959595" w14:textId="71863F42" w:rsidR="005457A1" w:rsidRPr="00D83C9F" w:rsidRDefault="005457A1" w:rsidP="00CE1E1D">
      <w:pPr>
        <w:tabs>
          <w:tab w:val="left" w:pos="284"/>
          <w:tab w:val="center" w:pos="4320"/>
          <w:tab w:val="right" w:pos="8640"/>
        </w:tabs>
        <w:jc w:val="both"/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>Tabela 2</w:t>
      </w:r>
      <w:r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/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/>
          <w:bCs/>
          <w:sz w:val="22"/>
          <w:szCs w:val="22"/>
          <w:lang w:val="sr-Latn-ME"/>
        </w:rPr>
        <w:t>monoterapija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/>
          <w:bCs/>
          <w:sz w:val="22"/>
          <w:szCs w:val="22"/>
          <w:lang w:val="sr-Latn-ME"/>
        </w:rPr>
        <w:t>letrozolom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u odnosu na </w:t>
      </w:r>
      <w:proofErr w:type="spellStart"/>
      <w:r w:rsidRPr="00D83C9F">
        <w:rPr>
          <w:b/>
          <w:bCs/>
          <w:sz w:val="22"/>
          <w:szCs w:val="22"/>
          <w:lang w:val="sr-Latn-ME"/>
        </w:rPr>
        <w:t>monoterapiju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/>
          <w:bCs/>
          <w:sz w:val="22"/>
          <w:szCs w:val="22"/>
          <w:lang w:val="sr-Latn-ME"/>
        </w:rPr>
        <w:t>tamoksifenom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- neželjeni događaji sa značajnim razlikama</w:t>
      </w:r>
    </w:p>
    <w:p w14:paraId="4635BB7D" w14:textId="77777777" w:rsidR="00684660" w:rsidRPr="00D83C9F" w:rsidRDefault="00684660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5"/>
        <w:gridCol w:w="1433"/>
        <w:gridCol w:w="1561"/>
        <w:gridCol w:w="1509"/>
        <w:gridCol w:w="1561"/>
      </w:tblGrid>
      <w:tr w:rsidR="005457A1" w:rsidRPr="00D83C9F" w14:paraId="1922587F" w14:textId="77777777" w:rsidTr="00856BB6">
        <w:trPr>
          <w:trHeight w:val="408"/>
        </w:trPr>
        <w:tc>
          <w:tcPr>
            <w:tcW w:w="1666" w:type="pct"/>
          </w:tcPr>
          <w:p w14:paraId="2C986752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6" w:type="pct"/>
            <w:gridSpan w:val="2"/>
          </w:tcPr>
          <w:p w14:paraId="6DC087BB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Letrozol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>, stepen učestalosti</w:t>
            </w:r>
          </w:p>
        </w:tc>
        <w:tc>
          <w:tcPr>
            <w:tcW w:w="1667" w:type="pct"/>
            <w:gridSpan w:val="2"/>
          </w:tcPr>
          <w:p w14:paraId="0E241410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Tamoksifen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>, stepen učestalosti</w:t>
            </w:r>
          </w:p>
        </w:tc>
      </w:tr>
      <w:tr w:rsidR="005457A1" w:rsidRPr="00D83C9F" w14:paraId="0EF56680" w14:textId="77777777" w:rsidTr="00856BB6">
        <w:trPr>
          <w:trHeight w:val="408"/>
        </w:trPr>
        <w:tc>
          <w:tcPr>
            <w:tcW w:w="1666" w:type="pct"/>
          </w:tcPr>
          <w:p w14:paraId="55A9B9D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6" w:type="pct"/>
            <w:gridSpan w:val="2"/>
          </w:tcPr>
          <w:p w14:paraId="6B4AF4F8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N=2448</w:t>
            </w:r>
          </w:p>
        </w:tc>
        <w:tc>
          <w:tcPr>
            <w:tcW w:w="1667" w:type="pct"/>
            <w:gridSpan w:val="2"/>
          </w:tcPr>
          <w:p w14:paraId="35A4D112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N=2447</w:t>
            </w:r>
          </w:p>
        </w:tc>
      </w:tr>
      <w:tr w:rsidR="005457A1" w:rsidRPr="00D83C9F" w14:paraId="4AAEDBFF" w14:textId="77777777" w:rsidTr="00856BB6">
        <w:trPr>
          <w:trHeight w:val="408"/>
        </w:trPr>
        <w:tc>
          <w:tcPr>
            <w:tcW w:w="1666" w:type="pct"/>
          </w:tcPr>
          <w:p w14:paraId="7769F07F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822" w:type="pct"/>
          </w:tcPr>
          <w:p w14:paraId="363C3A96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Tokom liječenja (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Medijana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5 godina)</w:t>
            </w:r>
          </w:p>
        </w:tc>
        <w:tc>
          <w:tcPr>
            <w:tcW w:w="844" w:type="pct"/>
          </w:tcPr>
          <w:p w14:paraId="3FA06F79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Bilo koje vrijeme nakon 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randomizacije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(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Medijana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8 godina)</w:t>
            </w:r>
          </w:p>
        </w:tc>
        <w:tc>
          <w:tcPr>
            <w:tcW w:w="864" w:type="pct"/>
          </w:tcPr>
          <w:p w14:paraId="08E14CC7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Tokom liječenja (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Medijana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5 godina)</w:t>
            </w:r>
          </w:p>
        </w:tc>
        <w:tc>
          <w:tcPr>
            <w:tcW w:w="803" w:type="pct"/>
          </w:tcPr>
          <w:p w14:paraId="464B1D46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Bilo koje vrijeme nakon 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randomizacije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(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Medijana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8 godina)</w:t>
            </w:r>
          </w:p>
        </w:tc>
      </w:tr>
      <w:tr w:rsidR="005457A1" w:rsidRPr="00D83C9F" w14:paraId="2559362F" w14:textId="77777777" w:rsidTr="00856BB6">
        <w:trPr>
          <w:trHeight w:val="408"/>
        </w:trPr>
        <w:tc>
          <w:tcPr>
            <w:tcW w:w="1666" w:type="pct"/>
          </w:tcPr>
          <w:p w14:paraId="313AB01C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Fraktura kosti</w:t>
            </w:r>
          </w:p>
        </w:tc>
        <w:tc>
          <w:tcPr>
            <w:tcW w:w="822" w:type="pct"/>
          </w:tcPr>
          <w:p w14:paraId="33830048" w14:textId="15157E09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10,</w:t>
            </w:r>
            <w:r w:rsidR="00FB0C94" w:rsidRPr="00D83C9F">
              <w:rPr>
                <w:bCs/>
                <w:sz w:val="22"/>
                <w:szCs w:val="22"/>
                <w:lang w:val="sr-Latn-ME"/>
              </w:rPr>
              <w:t>1</w:t>
            </w:r>
            <w:r w:rsidRPr="00D83C9F">
              <w:rPr>
                <w:bCs/>
                <w:sz w:val="22"/>
                <w:szCs w:val="22"/>
                <w:lang w:val="sr-Latn-ME"/>
              </w:rPr>
              <w:t>%</w:t>
            </w:r>
          </w:p>
        </w:tc>
        <w:tc>
          <w:tcPr>
            <w:tcW w:w="844" w:type="pct"/>
          </w:tcPr>
          <w:p w14:paraId="43AEA964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14,7%</w:t>
            </w:r>
          </w:p>
        </w:tc>
        <w:tc>
          <w:tcPr>
            <w:tcW w:w="864" w:type="pct"/>
          </w:tcPr>
          <w:p w14:paraId="1EA53600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7,1%</w:t>
            </w:r>
          </w:p>
        </w:tc>
        <w:tc>
          <w:tcPr>
            <w:tcW w:w="803" w:type="pct"/>
          </w:tcPr>
          <w:p w14:paraId="43155B37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11,4%</w:t>
            </w:r>
          </w:p>
        </w:tc>
      </w:tr>
      <w:tr w:rsidR="005457A1" w:rsidRPr="00D83C9F" w14:paraId="53CA526B" w14:textId="77777777" w:rsidTr="00856BB6">
        <w:trPr>
          <w:trHeight w:val="408"/>
        </w:trPr>
        <w:tc>
          <w:tcPr>
            <w:tcW w:w="1666" w:type="pct"/>
          </w:tcPr>
          <w:p w14:paraId="6A805D72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Osteoporoza</w:t>
            </w:r>
            <w:proofErr w:type="spellEnd"/>
          </w:p>
        </w:tc>
        <w:tc>
          <w:tcPr>
            <w:tcW w:w="822" w:type="pct"/>
          </w:tcPr>
          <w:p w14:paraId="598DDD57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5,1%</w:t>
            </w:r>
          </w:p>
        </w:tc>
        <w:tc>
          <w:tcPr>
            <w:tcW w:w="844" w:type="pct"/>
          </w:tcPr>
          <w:p w14:paraId="3271474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5,1 %</w:t>
            </w:r>
          </w:p>
        </w:tc>
        <w:tc>
          <w:tcPr>
            <w:tcW w:w="864" w:type="pct"/>
          </w:tcPr>
          <w:p w14:paraId="3EC7F4CA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2,7%</w:t>
            </w:r>
          </w:p>
        </w:tc>
        <w:tc>
          <w:tcPr>
            <w:tcW w:w="803" w:type="pct"/>
          </w:tcPr>
          <w:p w14:paraId="1806B13E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2,7 %</w:t>
            </w:r>
          </w:p>
        </w:tc>
      </w:tr>
      <w:tr w:rsidR="005457A1" w:rsidRPr="00D83C9F" w14:paraId="478AAA89" w14:textId="77777777" w:rsidTr="00856BB6">
        <w:trPr>
          <w:trHeight w:val="423"/>
        </w:trPr>
        <w:tc>
          <w:tcPr>
            <w:tcW w:w="1666" w:type="pct"/>
          </w:tcPr>
          <w:p w14:paraId="13C8A3DF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Tromboembolijski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događaji</w:t>
            </w:r>
          </w:p>
        </w:tc>
        <w:tc>
          <w:tcPr>
            <w:tcW w:w="822" w:type="pct"/>
          </w:tcPr>
          <w:p w14:paraId="1343630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2,1%</w:t>
            </w:r>
          </w:p>
        </w:tc>
        <w:tc>
          <w:tcPr>
            <w:tcW w:w="844" w:type="pct"/>
          </w:tcPr>
          <w:p w14:paraId="1B3BB6A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3,2%</w:t>
            </w:r>
          </w:p>
        </w:tc>
        <w:tc>
          <w:tcPr>
            <w:tcW w:w="864" w:type="pct"/>
          </w:tcPr>
          <w:p w14:paraId="5CDBD33A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3,6%</w:t>
            </w:r>
          </w:p>
        </w:tc>
        <w:tc>
          <w:tcPr>
            <w:tcW w:w="803" w:type="pct"/>
          </w:tcPr>
          <w:p w14:paraId="784343B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4,6%</w:t>
            </w:r>
          </w:p>
        </w:tc>
      </w:tr>
      <w:tr w:rsidR="005457A1" w:rsidRPr="00D83C9F" w14:paraId="01ECF04C" w14:textId="77777777" w:rsidTr="00856BB6">
        <w:trPr>
          <w:trHeight w:val="408"/>
        </w:trPr>
        <w:tc>
          <w:tcPr>
            <w:tcW w:w="1666" w:type="pct"/>
          </w:tcPr>
          <w:p w14:paraId="2DBD33CB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 xml:space="preserve">Infarkt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miokarda</w:t>
            </w:r>
            <w:proofErr w:type="spellEnd"/>
          </w:p>
        </w:tc>
        <w:tc>
          <w:tcPr>
            <w:tcW w:w="822" w:type="pct"/>
          </w:tcPr>
          <w:p w14:paraId="4E78CD69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1,0%</w:t>
            </w:r>
          </w:p>
        </w:tc>
        <w:tc>
          <w:tcPr>
            <w:tcW w:w="844" w:type="pct"/>
          </w:tcPr>
          <w:p w14:paraId="0B6D06BF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1,7%</w:t>
            </w:r>
          </w:p>
        </w:tc>
        <w:tc>
          <w:tcPr>
            <w:tcW w:w="864" w:type="pct"/>
          </w:tcPr>
          <w:p w14:paraId="70A87971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0,5%</w:t>
            </w:r>
          </w:p>
        </w:tc>
        <w:tc>
          <w:tcPr>
            <w:tcW w:w="803" w:type="pct"/>
          </w:tcPr>
          <w:p w14:paraId="0A47DCC4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1,1%</w:t>
            </w:r>
          </w:p>
        </w:tc>
      </w:tr>
      <w:tr w:rsidR="005457A1" w:rsidRPr="00D83C9F" w14:paraId="083F57D6" w14:textId="77777777" w:rsidTr="00856BB6">
        <w:trPr>
          <w:trHeight w:val="665"/>
        </w:trPr>
        <w:tc>
          <w:tcPr>
            <w:tcW w:w="1666" w:type="pct"/>
          </w:tcPr>
          <w:p w14:paraId="79CB43B6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lastRenderedPageBreak/>
              <w:t>Hiperplazija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endometrijuma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/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karcinom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endometrijuma</w:t>
            </w:r>
            <w:proofErr w:type="spellEnd"/>
          </w:p>
        </w:tc>
        <w:tc>
          <w:tcPr>
            <w:tcW w:w="822" w:type="pct"/>
          </w:tcPr>
          <w:p w14:paraId="05F18E7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0,2%</w:t>
            </w:r>
          </w:p>
        </w:tc>
        <w:tc>
          <w:tcPr>
            <w:tcW w:w="844" w:type="pct"/>
          </w:tcPr>
          <w:p w14:paraId="1EF41513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0,4%</w:t>
            </w:r>
          </w:p>
        </w:tc>
        <w:tc>
          <w:tcPr>
            <w:tcW w:w="864" w:type="pct"/>
          </w:tcPr>
          <w:p w14:paraId="14D92E3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2,3%</w:t>
            </w:r>
          </w:p>
        </w:tc>
        <w:tc>
          <w:tcPr>
            <w:tcW w:w="803" w:type="pct"/>
          </w:tcPr>
          <w:p w14:paraId="6ACE527C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2,9 %</w:t>
            </w:r>
          </w:p>
        </w:tc>
      </w:tr>
      <w:tr w:rsidR="005457A1" w:rsidRPr="00D83C9F" w14:paraId="3D1113C7" w14:textId="77777777" w:rsidTr="00856BB6">
        <w:trPr>
          <w:trHeight w:val="1269"/>
        </w:trPr>
        <w:tc>
          <w:tcPr>
            <w:tcW w:w="5000" w:type="pct"/>
            <w:gridSpan w:val="5"/>
          </w:tcPr>
          <w:p w14:paraId="011958BB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u w:val="single"/>
                <w:lang w:val="sr-Latn-ME"/>
              </w:rPr>
              <w:t>Napomena</w:t>
            </w:r>
            <w:r w:rsidRPr="00D83C9F">
              <w:rPr>
                <w:bCs/>
                <w:sz w:val="22"/>
                <w:szCs w:val="22"/>
                <w:lang w:val="sr-Latn-ME"/>
              </w:rPr>
              <w:t xml:space="preserve">: „Tokom liječenja“ uključuje period 30 dana nakon prestanka terapije. „Bilo koje vrijeme“ uključuje </w:t>
            </w:r>
            <w:proofErr w:type="spellStart"/>
            <w:r w:rsidRPr="00D83C9F">
              <w:rPr>
                <w:bCs/>
                <w:i/>
                <w:sz w:val="22"/>
                <w:szCs w:val="22"/>
                <w:lang w:val="sr-Latn-ME"/>
              </w:rPr>
              <w:t>follow-up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period nakon završetka ili prekida primjene lijeka za vrijeme studije.</w:t>
            </w:r>
          </w:p>
          <w:p w14:paraId="446DA2F3" w14:textId="5710C2CE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Razlike su bazirane na odnosu rizika i 95%</w:t>
            </w:r>
            <w:r w:rsidR="00DA382C" w:rsidRPr="00D83C9F">
              <w:rPr>
                <w:bCs/>
                <w:sz w:val="22"/>
                <w:szCs w:val="22"/>
                <w:lang w:val="sr-Latn-ME"/>
              </w:rPr>
              <w:t>-</w:t>
            </w:r>
            <w:proofErr w:type="spellStart"/>
            <w:r w:rsidR="00DA382C" w:rsidRPr="00D83C9F">
              <w:rPr>
                <w:bCs/>
                <w:sz w:val="22"/>
                <w:szCs w:val="22"/>
                <w:lang w:val="sr-Latn-ME"/>
              </w:rPr>
              <w:t>tnim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interval</w:t>
            </w:r>
            <w:r w:rsidR="00DA382C" w:rsidRPr="00D83C9F">
              <w:rPr>
                <w:bCs/>
                <w:sz w:val="22"/>
                <w:szCs w:val="22"/>
                <w:lang w:val="sr-Latn-ME"/>
              </w:rPr>
              <w:t>ima</w:t>
            </w:r>
            <w:r w:rsidRPr="00D83C9F">
              <w:rPr>
                <w:bCs/>
                <w:sz w:val="22"/>
                <w:szCs w:val="22"/>
                <w:lang w:val="sr-Latn-ME"/>
              </w:rPr>
              <w:t xml:space="preserve"> po</w:t>
            </w:r>
            <w:r w:rsidR="00DA382C" w:rsidRPr="00D83C9F">
              <w:rPr>
                <w:bCs/>
                <w:sz w:val="22"/>
                <w:szCs w:val="22"/>
                <w:lang w:val="sr-Latn-ME"/>
              </w:rPr>
              <w:t>uzdanosti</w:t>
            </w:r>
            <w:r w:rsidRPr="00D83C9F">
              <w:rPr>
                <w:bCs/>
                <w:sz w:val="22"/>
                <w:szCs w:val="22"/>
                <w:lang w:val="sr-Latn-ME"/>
              </w:rPr>
              <w:t>.</w:t>
            </w:r>
          </w:p>
        </w:tc>
      </w:tr>
    </w:tbl>
    <w:p w14:paraId="533093E1" w14:textId="77777777" w:rsidR="003116DA" w:rsidRPr="00D83C9F" w:rsidRDefault="003116DA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9A60FBC" w14:textId="26769611" w:rsidR="005457A1" w:rsidRPr="00D83C9F" w:rsidRDefault="005457A1" w:rsidP="00CE1E1D">
      <w:pPr>
        <w:tabs>
          <w:tab w:val="left" w:pos="284"/>
          <w:tab w:val="center" w:pos="4320"/>
          <w:tab w:val="right" w:pos="8640"/>
        </w:tabs>
        <w:jc w:val="both"/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u w:val="single"/>
          <w:lang w:val="sr-Latn-ME"/>
        </w:rPr>
        <w:t xml:space="preserve">Tabela 3 Sekvencijalno liječenje u odnosu na </w:t>
      </w:r>
      <w:proofErr w:type="spellStart"/>
      <w:r w:rsidRPr="00D83C9F">
        <w:rPr>
          <w:b/>
          <w:bCs/>
          <w:sz w:val="22"/>
          <w:szCs w:val="22"/>
          <w:u w:val="single"/>
          <w:lang w:val="sr-Latn-ME"/>
        </w:rPr>
        <w:t>monoterapiju</w:t>
      </w:r>
      <w:proofErr w:type="spellEnd"/>
      <w:r w:rsidRPr="00D83C9F">
        <w:rPr>
          <w:b/>
          <w:bCs/>
          <w:sz w:val="22"/>
          <w:szCs w:val="22"/>
          <w:u w:val="single"/>
          <w:lang w:val="sr-Latn-ME"/>
        </w:rPr>
        <w:t xml:space="preserve"> </w:t>
      </w:r>
      <w:proofErr w:type="spellStart"/>
      <w:r w:rsidRPr="00D83C9F">
        <w:rPr>
          <w:b/>
          <w:bCs/>
          <w:sz w:val="22"/>
          <w:szCs w:val="22"/>
          <w:u w:val="single"/>
          <w:lang w:val="sr-Latn-ME"/>
        </w:rPr>
        <w:t>letrozolom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- neželjeni događaji sa </w:t>
      </w:r>
      <w:r w:rsidRPr="00D83C9F">
        <w:rPr>
          <w:b/>
          <w:bCs/>
          <w:sz w:val="22"/>
          <w:szCs w:val="22"/>
          <w:u w:val="single"/>
          <w:lang w:val="sr-Latn-ME"/>
        </w:rPr>
        <w:t>značajnim razlikama</w:t>
      </w:r>
      <w:r w:rsidRPr="00D83C9F">
        <w:rPr>
          <w:b/>
          <w:bCs/>
          <w:sz w:val="22"/>
          <w:szCs w:val="22"/>
          <w:lang w:val="sr-Latn-ME"/>
        </w:rPr>
        <w:t xml:space="preserve"> </w:t>
      </w:r>
    </w:p>
    <w:p w14:paraId="2E67DD7F" w14:textId="77777777" w:rsidR="00684660" w:rsidRPr="00D83C9F" w:rsidRDefault="00684660" w:rsidP="00CE1E1D">
      <w:pPr>
        <w:tabs>
          <w:tab w:val="left" w:pos="284"/>
          <w:tab w:val="center" w:pos="4320"/>
          <w:tab w:val="right" w:pos="8640"/>
        </w:tabs>
        <w:jc w:val="both"/>
        <w:rPr>
          <w:b/>
          <w:bCs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1"/>
        <w:gridCol w:w="2255"/>
        <w:gridCol w:w="2255"/>
        <w:gridCol w:w="2258"/>
      </w:tblGrid>
      <w:tr w:rsidR="005457A1" w:rsidRPr="00D83C9F" w14:paraId="1A96881D" w14:textId="77777777" w:rsidTr="00856BB6">
        <w:trPr>
          <w:trHeight w:val="419"/>
        </w:trPr>
        <w:tc>
          <w:tcPr>
            <w:tcW w:w="1248" w:type="pct"/>
          </w:tcPr>
          <w:p w14:paraId="42B64F7A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6713CD4A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Monoterapija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letrozolom</w:t>
            </w:r>
            <w:proofErr w:type="spellEnd"/>
          </w:p>
        </w:tc>
        <w:tc>
          <w:tcPr>
            <w:tcW w:w="1250" w:type="pct"/>
          </w:tcPr>
          <w:p w14:paraId="7DB78524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Letrozol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-&gt;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tamoksifen</w:t>
            </w:r>
            <w:proofErr w:type="spellEnd"/>
          </w:p>
        </w:tc>
        <w:tc>
          <w:tcPr>
            <w:tcW w:w="1251" w:type="pct"/>
          </w:tcPr>
          <w:p w14:paraId="047BC08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Tamoksifen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-&gt;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letrozol</w:t>
            </w:r>
            <w:proofErr w:type="spellEnd"/>
          </w:p>
        </w:tc>
      </w:tr>
      <w:tr w:rsidR="005457A1" w:rsidRPr="00D83C9F" w14:paraId="11852A71" w14:textId="77777777" w:rsidTr="00856BB6">
        <w:trPr>
          <w:trHeight w:val="419"/>
        </w:trPr>
        <w:tc>
          <w:tcPr>
            <w:tcW w:w="1248" w:type="pct"/>
          </w:tcPr>
          <w:p w14:paraId="1BF07E6E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742EF6C8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N=1535</w:t>
            </w:r>
          </w:p>
        </w:tc>
        <w:tc>
          <w:tcPr>
            <w:tcW w:w="1250" w:type="pct"/>
          </w:tcPr>
          <w:p w14:paraId="48BE5908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N=1527</w:t>
            </w:r>
          </w:p>
        </w:tc>
        <w:tc>
          <w:tcPr>
            <w:tcW w:w="1251" w:type="pct"/>
          </w:tcPr>
          <w:p w14:paraId="496A63D8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N=1541</w:t>
            </w:r>
          </w:p>
        </w:tc>
      </w:tr>
      <w:tr w:rsidR="005457A1" w:rsidRPr="00D83C9F" w14:paraId="3921C839" w14:textId="77777777" w:rsidTr="00856BB6">
        <w:trPr>
          <w:trHeight w:val="419"/>
        </w:trPr>
        <w:tc>
          <w:tcPr>
            <w:tcW w:w="1248" w:type="pct"/>
          </w:tcPr>
          <w:p w14:paraId="3CB9E3C7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42642202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5 godina</w:t>
            </w:r>
          </w:p>
        </w:tc>
        <w:tc>
          <w:tcPr>
            <w:tcW w:w="1250" w:type="pct"/>
          </w:tcPr>
          <w:p w14:paraId="167982F7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2 godine -&gt; 3 godine</w:t>
            </w:r>
          </w:p>
        </w:tc>
        <w:tc>
          <w:tcPr>
            <w:tcW w:w="1251" w:type="pct"/>
          </w:tcPr>
          <w:p w14:paraId="4EA2083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2 godine -&gt; 3 godine</w:t>
            </w:r>
          </w:p>
        </w:tc>
      </w:tr>
      <w:tr w:rsidR="005457A1" w:rsidRPr="00D83C9F" w14:paraId="140A15D8" w14:textId="77777777" w:rsidTr="00856BB6">
        <w:trPr>
          <w:trHeight w:val="404"/>
        </w:trPr>
        <w:tc>
          <w:tcPr>
            <w:tcW w:w="1248" w:type="pct"/>
          </w:tcPr>
          <w:p w14:paraId="600B0CEB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Fraktura kosti</w:t>
            </w:r>
          </w:p>
        </w:tc>
        <w:tc>
          <w:tcPr>
            <w:tcW w:w="1250" w:type="pct"/>
          </w:tcPr>
          <w:p w14:paraId="22FB87E3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10,0 %</w:t>
            </w:r>
          </w:p>
        </w:tc>
        <w:tc>
          <w:tcPr>
            <w:tcW w:w="1250" w:type="pct"/>
          </w:tcPr>
          <w:p w14:paraId="2698D440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7,7 %*</w:t>
            </w:r>
          </w:p>
        </w:tc>
        <w:tc>
          <w:tcPr>
            <w:tcW w:w="1251" w:type="pct"/>
          </w:tcPr>
          <w:p w14:paraId="50136B59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9,7%</w:t>
            </w:r>
          </w:p>
        </w:tc>
      </w:tr>
      <w:tr w:rsidR="005457A1" w:rsidRPr="00D83C9F" w14:paraId="7545AA6A" w14:textId="77777777" w:rsidTr="00856BB6">
        <w:trPr>
          <w:trHeight w:val="659"/>
        </w:trPr>
        <w:tc>
          <w:tcPr>
            <w:tcW w:w="1248" w:type="pct"/>
          </w:tcPr>
          <w:p w14:paraId="61F4B12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Proliferativna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oboljenja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endometrijuma</w:t>
            </w:r>
            <w:proofErr w:type="spellEnd"/>
          </w:p>
        </w:tc>
        <w:tc>
          <w:tcPr>
            <w:tcW w:w="1250" w:type="pct"/>
          </w:tcPr>
          <w:p w14:paraId="033CC2B2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0,7%</w:t>
            </w:r>
          </w:p>
        </w:tc>
        <w:tc>
          <w:tcPr>
            <w:tcW w:w="1250" w:type="pct"/>
          </w:tcPr>
          <w:p w14:paraId="4D05C981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3,4, %**</w:t>
            </w:r>
          </w:p>
        </w:tc>
        <w:tc>
          <w:tcPr>
            <w:tcW w:w="1251" w:type="pct"/>
          </w:tcPr>
          <w:p w14:paraId="72104576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1,7%**</w:t>
            </w:r>
          </w:p>
        </w:tc>
      </w:tr>
      <w:tr w:rsidR="005457A1" w:rsidRPr="00D83C9F" w14:paraId="1B5474A7" w14:textId="77777777" w:rsidTr="00856BB6">
        <w:trPr>
          <w:trHeight w:val="404"/>
        </w:trPr>
        <w:tc>
          <w:tcPr>
            <w:tcW w:w="1248" w:type="pct"/>
          </w:tcPr>
          <w:p w14:paraId="0CA789B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Hiperholesterolemija</w:t>
            </w:r>
            <w:proofErr w:type="spellEnd"/>
          </w:p>
        </w:tc>
        <w:tc>
          <w:tcPr>
            <w:tcW w:w="1250" w:type="pct"/>
          </w:tcPr>
          <w:p w14:paraId="125BDA6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52,5%</w:t>
            </w:r>
          </w:p>
        </w:tc>
        <w:tc>
          <w:tcPr>
            <w:tcW w:w="1250" w:type="pct"/>
          </w:tcPr>
          <w:p w14:paraId="68D73501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44,2%*</w:t>
            </w:r>
          </w:p>
        </w:tc>
        <w:tc>
          <w:tcPr>
            <w:tcW w:w="1251" w:type="pct"/>
          </w:tcPr>
          <w:p w14:paraId="2319440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40,8%*</w:t>
            </w:r>
          </w:p>
        </w:tc>
      </w:tr>
      <w:tr w:rsidR="005457A1" w:rsidRPr="00D83C9F" w14:paraId="33600C11" w14:textId="77777777" w:rsidTr="00856BB6">
        <w:trPr>
          <w:trHeight w:val="419"/>
        </w:trPr>
        <w:tc>
          <w:tcPr>
            <w:tcW w:w="1248" w:type="pct"/>
          </w:tcPr>
          <w:p w14:paraId="120BDA8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Naleti vrućine</w:t>
            </w:r>
          </w:p>
        </w:tc>
        <w:tc>
          <w:tcPr>
            <w:tcW w:w="1250" w:type="pct"/>
          </w:tcPr>
          <w:p w14:paraId="6BCC0952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37,6 %</w:t>
            </w:r>
          </w:p>
        </w:tc>
        <w:tc>
          <w:tcPr>
            <w:tcW w:w="1250" w:type="pct"/>
          </w:tcPr>
          <w:p w14:paraId="0D8E6E2D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41,7%**</w:t>
            </w:r>
          </w:p>
        </w:tc>
        <w:tc>
          <w:tcPr>
            <w:tcW w:w="1251" w:type="pct"/>
          </w:tcPr>
          <w:p w14:paraId="2C2570AB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43,9%**</w:t>
            </w:r>
          </w:p>
        </w:tc>
      </w:tr>
      <w:tr w:rsidR="005457A1" w:rsidRPr="00D83C9F" w14:paraId="30052E14" w14:textId="77777777" w:rsidTr="00856BB6">
        <w:trPr>
          <w:trHeight w:val="404"/>
        </w:trPr>
        <w:tc>
          <w:tcPr>
            <w:tcW w:w="1248" w:type="pct"/>
          </w:tcPr>
          <w:p w14:paraId="06BBA7A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Vaginalno krvarenje</w:t>
            </w:r>
          </w:p>
        </w:tc>
        <w:tc>
          <w:tcPr>
            <w:tcW w:w="1250" w:type="pct"/>
          </w:tcPr>
          <w:p w14:paraId="681B12A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6,3%</w:t>
            </w:r>
          </w:p>
        </w:tc>
        <w:tc>
          <w:tcPr>
            <w:tcW w:w="1250" w:type="pct"/>
          </w:tcPr>
          <w:p w14:paraId="71A73C80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9,6 %**</w:t>
            </w:r>
          </w:p>
        </w:tc>
        <w:tc>
          <w:tcPr>
            <w:tcW w:w="1251" w:type="pct"/>
          </w:tcPr>
          <w:p w14:paraId="37C8DE4E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12,7%**</w:t>
            </w:r>
          </w:p>
        </w:tc>
      </w:tr>
      <w:tr w:rsidR="005457A1" w:rsidRPr="00D83C9F" w14:paraId="057B301C" w14:textId="77777777" w:rsidTr="00856BB6">
        <w:trPr>
          <w:trHeight w:val="1078"/>
        </w:trPr>
        <w:tc>
          <w:tcPr>
            <w:tcW w:w="5000" w:type="pct"/>
            <w:gridSpan w:val="4"/>
          </w:tcPr>
          <w:p w14:paraId="51C583A4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 xml:space="preserve">* Značajno manje u odnosu na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monoterapiju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letrozolom</w:t>
            </w:r>
            <w:proofErr w:type="spellEnd"/>
          </w:p>
          <w:p w14:paraId="21580445" w14:textId="7777777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 xml:space="preserve">** Značajno više u odnosu na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monoterapiju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letrozolom</w:t>
            </w:r>
            <w:proofErr w:type="spellEnd"/>
          </w:p>
          <w:p w14:paraId="48A88ECD" w14:textId="1FE19E17" w:rsidR="005457A1" w:rsidRPr="00D83C9F" w:rsidRDefault="005457A1" w:rsidP="00CE1E1D">
            <w:pPr>
              <w:tabs>
                <w:tab w:val="left" w:pos="284"/>
                <w:tab w:val="center" w:pos="4320"/>
                <w:tab w:val="right" w:pos="8640"/>
              </w:tabs>
              <w:jc w:val="both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Napomena: Period izvještavanja se odnosi na period tokom terapije ili tokom 30 dana nakon prekida terapije</w:t>
            </w:r>
            <w:r w:rsidR="005A2CD2" w:rsidRPr="00D83C9F">
              <w:rPr>
                <w:bCs/>
                <w:sz w:val="22"/>
                <w:szCs w:val="22"/>
                <w:lang w:val="sr-Latn-ME"/>
              </w:rPr>
              <w:t>.</w:t>
            </w:r>
            <w:r w:rsidRPr="00D83C9F">
              <w:rPr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</w:tbl>
    <w:p w14:paraId="61F14948" w14:textId="77777777" w:rsidR="005457A1" w:rsidRPr="00D83C9F" w:rsidRDefault="005457A1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A041A3F" w14:textId="253E103A" w:rsidR="005457A1" w:rsidRPr="00D83C9F" w:rsidRDefault="005457A1" w:rsidP="00CE1E1D">
      <w:pPr>
        <w:pStyle w:val="Header"/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  <w:r w:rsidRPr="00D83C9F">
        <w:rPr>
          <w:bCs/>
          <w:sz w:val="22"/>
          <w:szCs w:val="22"/>
          <w:u w:val="single"/>
          <w:lang w:val="sr-Latn-ME"/>
        </w:rPr>
        <w:t>Opis odabranih neželjenih reakcija</w:t>
      </w:r>
    </w:p>
    <w:p w14:paraId="5901463A" w14:textId="77777777" w:rsidR="00684660" w:rsidRPr="00D83C9F" w:rsidRDefault="00684660" w:rsidP="00CE1E1D">
      <w:pPr>
        <w:pStyle w:val="Header"/>
        <w:tabs>
          <w:tab w:val="left" w:pos="284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0A6FE664" w14:textId="77777777" w:rsidR="005457A1" w:rsidRPr="00D83C9F" w:rsidRDefault="005457A1" w:rsidP="00CE1E1D">
      <w:pPr>
        <w:pStyle w:val="Header"/>
        <w:tabs>
          <w:tab w:val="left" w:pos="284"/>
        </w:tabs>
        <w:jc w:val="both"/>
        <w:rPr>
          <w:bCs/>
          <w:i/>
          <w:sz w:val="22"/>
          <w:szCs w:val="22"/>
          <w:lang w:val="sr-Latn-ME"/>
        </w:rPr>
      </w:pPr>
      <w:r w:rsidRPr="00D83C9F">
        <w:rPr>
          <w:bCs/>
          <w:i/>
          <w:sz w:val="22"/>
          <w:szCs w:val="22"/>
          <w:lang w:val="sr-Latn-ME"/>
        </w:rPr>
        <w:t>Kardiološke neželjene reakcije</w:t>
      </w:r>
    </w:p>
    <w:p w14:paraId="01E640F4" w14:textId="57B8B6A5" w:rsidR="005457A1" w:rsidRPr="00D83C9F" w:rsidRDefault="005457A1" w:rsidP="00CE1E1D">
      <w:pPr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 primjenjuje kao </w:t>
      </w:r>
      <w:proofErr w:type="spellStart"/>
      <w:r w:rsidRPr="00D83C9F">
        <w:rPr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terapija, pored podataka navedenih u Tabeli 2, prijavljeni su sljedeći </w:t>
      </w:r>
      <w:r w:rsidR="001D1CD6" w:rsidRPr="00D83C9F">
        <w:rPr>
          <w:bCs/>
          <w:sz w:val="22"/>
          <w:szCs w:val="22"/>
          <w:lang w:val="sr-Latn-ME"/>
        </w:rPr>
        <w:t xml:space="preserve">neželjeni događaji za </w:t>
      </w:r>
      <w:proofErr w:type="spellStart"/>
      <w:r w:rsidR="001D1CD6" w:rsidRPr="00D83C9F">
        <w:rPr>
          <w:bCs/>
          <w:sz w:val="22"/>
          <w:szCs w:val="22"/>
          <w:lang w:val="sr-Latn-ME"/>
        </w:rPr>
        <w:t>letrozol</w:t>
      </w:r>
      <w:proofErr w:type="spellEnd"/>
      <w:r w:rsidR="001D1CD6" w:rsidRPr="00D83C9F">
        <w:rPr>
          <w:bCs/>
          <w:sz w:val="22"/>
          <w:szCs w:val="22"/>
          <w:lang w:val="sr-Latn-ME"/>
        </w:rPr>
        <w:t xml:space="preserve"> </w:t>
      </w:r>
      <w:r w:rsidRPr="00D83C9F">
        <w:rPr>
          <w:bCs/>
          <w:sz w:val="22"/>
          <w:szCs w:val="22"/>
          <w:lang w:val="sr-Latn-ME"/>
        </w:rPr>
        <w:t xml:space="preserve">odnosno </w:t>
      </w:r>
      <w:proofErr w:type="spellStart"/>
      <w:r w:rsidRPr="00D83C9F">
        <w:rPr>
          <w:bCs/>
          <w:sz w:val="22"/>
          <w:szCs w:val="22"/>
          <w:lang w:val="sr-Latn-ME"/>
        </w:rPr>
        <w:t>tamoksifen</w:t>
      </w:r>
      <w:proofErr w:type="spellEnd"/>
      <w:r w:rsidRPr="00D83C9F">
        <w:rPr>
          <w:bCs/>
          <w:sz w:val="22"/>
          <w:szCs w:val="22"/>
          <w:lang w:val="sr-Latn-ME"/>
        </w:rPr>
        <w:t xml:space="preserve"> (pri srednjem </w:t>
      </w:r>
      <w:proofErr w:type="spellStart"/>
      <w:r w:rsidRPr="00D83C9F">
        <w:rPr>
          <w:bCs/>
          <w:sz w:val="22"/>
          <w:szCs w:val="22"/>
          <w:lang w:val="sr-Latn-ME"/>
        </w:rPr>
        <w:t>vremenu</w:t>
      </w:r>
      <w:proofErr w:type="spellEnd"/>
      <w:r w:rsidRPr="00D83C9F">
        <w:rPr>
          <w:bCs/>
          <w:sz w:val="22"/>
          <w:szCs w:val="22"/>
          <w:lang w:val="sr-Latn-ME"/>
        </w:rPr>
        <w:t xml:space="preserve"> trajanja terapije od 60 mjeseci plus 30 dana): angina koja zahtijeva hiruršku intervenciju (1,0% </w:t>
      </w:r>
      <w:r w:rsidR="00000F32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1,0%); srčana </w:t>
      </w:r>
      <w:proofErr w:type="spellStart"/>
      <w:r w:rsidRPr="00D83C9F">
        <w:rPr>
          <w:bCs/>
          <w:sz w:val="22"/>
          <w:szCs w:val="22"/>
          <w:lang w:val="sr-Latn-ME"/>
        </w:rPr>
        <w:t>insuficijencija</w:t>
      </w:r>
      <w:proofErr w:type="spellEnd"/>
      <w:r w:rsidR="00000F32" w:rsidRPr="00D83C9F">
        <w:rPr>
          <w:bCs/>
          <w:sz w:val="22"/>
          <w:szCs w:val="22"/>
          <w:lang w:val="sr-Latn-ME"/>
        </w:rPr>
        <w:t xml:space="preserve"> </w:t>
      </w:r>
      <w:r w:rsidRPr="00D83C9F">
        <w:rPr>
          <w:bCs/>
          <w:sz w:val="22"/>
          <w:szCs w:val="22"/>
          <w:lang w:val="sr-Latn-ME"/>
        </w:rPr>
        <w:t xml:space="preserve">(1,1% </w:t>
      </w:r>
      <w:r w:rsidR="00000F32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0,6 %); hipertenzija (5,6% </w:t>
      </w:r>
      <w:r w:rsidR="00000F32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5,7%); </w:t>
      </w:r>
      <w:proofErr w:type="spellStart"/>
      <w:r w:rsidRPr="00D83C9F">
        <w:rPr>
          <w:bCs/>
          <w:sz w:val="22"/>
          <w:szCs w:val="22"/>
          <w:lang w:val="sr-Latn-ME"/>
        </w:rPr>
        <w:t>cerebrovaskularni</w:t>
      </w:r>
      <w:proofErr w:type="spellEnd"/>
      <w:r w:rsidRPr="00D83C9F">
        <w:rPr>
          <w:bCs/>
          <w:sz w:val="22"/>
          <w:szCs w:val="22"/>
          <w:lang w:val="sr-Latn-ME"/>
        </w:rPr>
        <w:t xml:space="preserve"> događaj/prolazni </w:t>
      </w:r>
      <w:proofErr w:type="spellStart"/>
      <w:r w:rsidRPr="00D83C9F">
        <w:rPr>
          <w:bCs/>
          <w:sz w:val="22"/>
          <w:szCs w:val="22"/>
          <w:lang w:val="sr-Latn-ME"/>
        </w:rPr>
        <w:t>ishemijski</w:t>
      </w:r>
      <w:proofErr w:type="spellEnd"/>
      <w:r w:rsidRPr="00D83C9F">
        <w:rPr>
          <w:bCs/>
          <w:sz w:val="22"/>
          <w:szCs w:val="22"/>
          <w:lang w:val="sr-Latn-ME"/>
        </w:rPr>
        <w:t xml:space="preserve"> </w:t>
      </w:r>
      <w:r w:rsidR="00000F32" w:rsidRPr="00D83C9F">
        <w:rPr>
          <w:bCs/>
          <w:sz w:val="22"/>
          <w:szCs w:val="22"/>
          <w:lang w:val="sr-Latn-ME"/>
        </w:rPr>
        <w:t>napad</w:t>
      </w:r>
      <w:r w:rsidRPr="00D83C9F">
        <w:rPr>
          <w:bCs/>
          <w:sz w:val="22"/>
          <w:szCs w:val="22"/>
          <w:lang w:val="sr-Latn-ME"/>
        </w:rPr>
        <w:t xml:space="preserve"> (2,1% </w:t>
      </w:r>
      <w:r w:rsidR="00000F32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1, 9%).</w:t>
      </w:r>
    </w:p>
    <w:p w14:paraId="79569413" w14:textId="77777777" w:rsidR="005457A1" w:rsidRPr="00D83C9F" w:rsidRDefault="005457A1" w:rsidP="00CE1E1D">
      <w:pPr>
        <w:jc w:val="both"/>
        <w:rPr>
          <w:bCs/>
          <w:sz w:val="22"/>
          <w:szCs w:val="22"/>
          <w:lang w:val="sr-Latn-ME"/>
        </w:rPr>
      </w:pPr>
    </w:p>
    <w:p w14:paraId="097B8908" w14:textId="6443CC87" w:rsidR="005457A1" w:rsidRPr="00D83C9F" w:rsidRDefault="005457A1" w:rsidP="00CE1E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Kada se 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 primjenjuje kao produžena </w:t>
      </w:r>
      <w:proofErr w:type="spellStart"/>
      <w:r w:rsidRPr="00D83C9F">
        <w:rPr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terapija (srednje vrijem</w:t>
      </w:r>
      <w:r w:rsidR="001D1CD6" w:rsidRPr="00D83C9F">
        <w:rPr>
          <w:bCs/>
          <w:sz w:val="22"/>
          <w:szCs w:val="22"/>
          <w:lang w:val="sr-Latn-ME"/>
        </w:rPr>
        <w:t>e trajanja terapije 5 godina) i</w:t>
      </w:r>
      <w:r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Cs/>
          <w:sz w:val="22"/>
          <w:szCs w:val="22"/>
          <w:lang w:val="sr-Latn-ME"/>
        </w:rPr>
        <w:t>placebo</w:t>
      </w:r>
      <w:proofErr w:type="spellEnd"/>
      <w:r w:rsidRPr="00D83C9F">
        <w:rPr>
          <w:bCs/>
          <w:sz w:val="22"/>
          <w:szCs w:val="22"/>
          <w:lang w:val="sr-Latn-ME"/>
        </w:rPr>
        <w:t xml:space="preserve"> (srednje vrijeme trajanja terapije 3 godine) prijavljeni su: angina koja zahtijeva hiruršku intervenciju (0,8% </w:t>
      </w:r>
      <w:r w:rsidR="00FA276E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0,6 %); nova  ili pogoršanje postojeće angine (1,4 % </w:t>
      </w:r>
      <w:r w:rsidR="00FA276E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1,0 %); infarkt </w:t>
      </w:r>
      <w:proofErr w:type="spellStart"/>
      <w:r w:rsidRPr="00D83C9F">
        <w:rPr>
          <w:bCs/>
          <w:sz w:val="22"/>
          <w:szCs w:val="22"/>
          <w:lang w:val="sr-Latn-ME"/>
        </w:rPr>
        <w:t>miokarda</w:t>
      </w:r>
      <w:proofErr w:type="spellEnd"/>
      <w:r w:rsidRPr="00D83C9F">
        <w:rPr>
          <w:bCs/>
          <w:sz w:val="22"/>
          <w:szCs w:val="22"/>
          <w:lang w:val="sr-Latn-ME"/>
        </w:rPr>
        <w:t xml:space="preserve"> (1,0% </w:t>
      </w:r>
      <w:r w:rsidR="00FA276E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0, 7%); </w:t>
      </w:r>
      <w:proofErr w:type="spellStart"/>
      <w:r w:rsidRPr="00D83C9F">
        <w:rPr>
          <w:bCs/>
          <w:sz w:val="22"/>
          <w:szCs w:val="22"/>
          <w:lang w:val="sr-Latn-ME"/>
        </w:rPr>
        <w:t>tromboembolijski</w:t>
      </w:r>
      <w:proofErr w:type="spellEnd"/>
      <w:r w:rsidRPr="00D83C9F">
        <w:rPr>
          <w:bCs/>
          <w:sz w:val="22"/>
          <w:szCs w:val="22"/>
          <w:lang w:val="sr-Latn-ME"/>
        </w:rPr>
        <w:t xml:space="preserve"> događaj* (0,9% </w:t>
      </w:r>
      <w:r w:rsidR="00FA276E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0,3%); moždani udar/prolazni </w:t>
      </w:r>
      <w:proofErr w:type="spellStart"/>
      <w:r w:rsidRPr="00D83C9F">
        <w:rPr>
          <w:bCs/>
          <w:sz w:val="22"/>
          <w:szCs w:val="22"/>
          <w:lang w:val="sr-Latn-ME"/>
        </w:rPr>
        <w:t>ishemijski</w:t>
      </w:r>
      <w:proofErr w:type="spellEnd"/>
      <w:r w:rsidRPr="00D83C9F">
        <w:rPr>
          <w:bCs/>
          <w:sz w:val="22"/>
          <w:szCs w:val="22"/>
          <w:lang w:val="sr-Latn-ME"/>
        </w:rPr>
        <w:t xml:space="preserve"> napad*(1,5% </w:t>
      </w:r>
      <w:r w:rsidR="00FA276E" w:rsidRPr="00D83C9F">
        <w:rPr>
          <w:sz w:val="22"/>
          <w:szCs w:val="22"/>
          <w:lang w:val="sr-Latn-ME"/>
        </w:rPr>
        <w:t>u odnosu na</w:t>
      </w:r>
      <w:r w:rsidRPr="00D83C9F">
        <w:rPr>
          <w:bCs/>
          <w:sz w:val="22"/>
          <w:szCs w:val="22"/>
          <w:lang w:val="sr-Latn-ME"/>
        </w:rPr>
        <w:t xml:space="preserve"> 0,8%).</w:t>
      </w:r>
    </w:p>
    <w:p w14:paraId="6344A024" w14:textId="77777777" w:rsidR="005457A1" w:rsidRPr="00D83C9F" w:rsidRDefault="005457A1" w:rsidP="00CE1E1D">
      <w:pPr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 </w:t>
      </w:r>
    </w:p>
    <w:p w14:paraId="5AC073AC" w14:textId="180A4929" w:rsidR="005457A1" w:rsidRPr="00D83C9F" w:rsidRDefault="005457A1" w:rsidP="00CE1E1D">
      <w:pPr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Događaji obilježeni * bili su statistički značajno različiti u dvije terapijske grupe.</w:t>
      </w:r>
    </w:p>
    <w:p w14:paraId="24226B39" w14:textId="77777777" w:rsidR="005457A1" w:rsidRPr="00D83C9F" w:rsidRDefault="005457A1" w:rsidP="00CE1E1D">
      <w:pPr>
        <w:jc w:val="both"/>
        <w:rPr>
          <w:bCs/>
          <w:sz w:val="22"/>
          <w:szCs w:val="22"/>
          <w:lang w:val="sr-Latn-ME"/>
        </w:rPr>
      </w:pPr>
    </w:p>
    <w:p w14:paraId="57782619" w14:textId="77777777" w:rsidR="005457A1" w:rsidRPr="00D83C9F" w:rsidRDefault="005457A1" w:rsidP="00CE1E1D">
      <w:pPr>
        <w:jc w:val="both"/>
        <w:rPr>
          <w:bCs/>
          <w:i/>
          <w:sz w:val="22"/>
          <w:szCs w:val="22"/>
          <w:lang w:val="sr-Latn-ME"/>
        </w:rPr>
      </w:pPr>
      <w:r w:rsidRPr="00D83C9F">
        <w:rPr>
          <w:bCs/>
          <w:i/>
          <w:sz w:val="22"/>
          <w:szCs w:val="22"/>
          <w:lang w:val="sr-Latn-ME"/>
        </w:rPr>
        <w:t>Neželjene reakcije na nivou skeleta</w:t>
      </w:r>
    </w:p>
    <w:p w14:paraId="375A765B" w14:textId="1F91472C" w:rsidR="005457A1" w:rsidRPr="00D83C9F" w:rsidRDefault="005457A1" w:rsidP="00CE1E1D">
      <w:pPr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Za </w:t>
      </w:r>
      <w:proofErr w:type="spellStart"/>
      <w:r w:rsidRPr="00D83C9F">
        <w:rPr>
          <w:bCs/>
          <w:sz w:val="22"/>
          <w:szCs w:val="22"/>
          <w:lang w:val="sr-Latn-ME"/>
        </w:rPr>
        <w:t>bezbjednosne</w:t>
      </w:r>
      <w:proofErr w:type="spellEnd"/>
      <w:r w:rsidRPr="00D83C9F">
        <w:rPr>
          <w:bCs/>
          <w:sz w:val="22"/>
          <w:szCs w:val="22"/>
          <w:lang w:val="sr-Latn-ME"/>
        </w:rPr>
        <w:t xml:space="preserve"> podatke vezane za skeletni sistem,</w:t>
      </w:r>
      <w:r w:rsidR="004D41DF" w:rsidRPr="00D83C9F">
        <w:rPr>
          <w:bCs/>
          <w:sz w:val="22"/>
          <w:szCs w:val="22"/>
          <w:lang w:val="sr-Latn-ME"/>
        </w:rPr>
        <w:t xml:space="preserve"> </w:t>
      </w:r>
      <w:r w:rsidRPr="00D83C9F">
        <w:rPr>
          <w:bCs/>
          <w:sz w:val="22"/>
          <w:szCs w:val="22"/>
          <w:lang w:val="sr-Latn-ME"/>
        </w:rPr>
        <w:t>kod primjene</w:t>
      </w:r>
      <w:r w:rsidR="004D41DF"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Cs/>
          <w:sz w:val="22"/>
          <w:szCs w:val="22"/>
          <w:lang w:val="sr-Latn-ME"/>
        </w:rPr>
        <w:t>letrozola</w:t>
      </w:r>
      <w:proofErr w:type="spellEnd"/>
      <w:r w:rsidRPr="00D83C9F">
        <w:rPr>
          <w:bCs/>
          <w:sz w:val="22"/>
          <w:szCs w:val="22"/>
          <w:lang w:val="sr-Latn-ME"/>
        </w:rPr>
        <w:t xml:space="preserve"> kao </w:t>
      </w:r>
      <w:proofErr w:type="spellStart"/>
      <w:r w:rsidRPr="00D83C9F">
        <w:rPr>
          <w:bCs/>
          <w:sz w:val="22"/>
          <w:szCs w:val="22"/>
          <w:lang w:val="sr-Latn-ME"/>
        </w:rPr>
        <w:t>adjuvantne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terapije, molimo pogledajte Tabelu 2.</w:t>
      </w:r>
    </w:p>
    <w:p w14:paraId="247B62C4" w14:textId="77777777" w:rsidR="005457A1" w:rsidRPr="00D83C9F" w:rsidRDefault="005457A1" w:rsidP="00CE1E1D">
      <w:pPr>
        <w:jc w:val="both"/>
        <w:rPr>
          <w:bCs/>
          <w:sz w:val="22"/>
          <w:szCs w:val="22"/>
          <w:lang w:val="sr-Latn-ME"/>
        </w:rPr>
      </w:pPr>
    </w:p>
    <w:p w14:paraId="2C88CDA6" w14:textId="12C29D7B" w:rsidR="005457A1" w:rsidRPr="00D83C9F" w:rsidRDefault="005457A1" w:rsidP="00CE1E1D">
      <w:pPr>
        <w:jc w:val="both"/>
        <w:rPr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lastRenderedPageBreak/>
        <w:t xml:space="preserve">Kada se 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 primjenjuje kao produžena </w:t>
      </w:r>
      <w:proofErr w:type="spellStart"/>
      <w:r w:rsidRPr="00D83C9F">
        <w:rPr>
          <w:bCs/>
          <w:sz w:val="22"/>
          <w:szCs w:val="22"/>
          <w:lang w:val="sr-Latn-ME"/>
        </w:rPr>
        <w:t>adjuvantna</w:t>
      </w:r>
      <w:proofErr w:type="spellEnd"/>
      <w:r w:rsidRPr="00D83C9F">
        <w:rPr>
          <w:bCs/>
          <w:sz w:val="22"/>
          <w:szCs w:val="22"/>
          <w:lang w:val="sr-Latn-ME"/>
        </w:rPr>
        <w:t xml:space="preserve"> terapija, značajno više </w:t>
      </w:r>
      <w:proofErr w:type="spellStart"/>
      <w:r w:rsidRPr="00D83C9F">
        <w:rPr>
          <w:bCs/>
          <w:sz w:val="22"/>
          <w:szCs w:val="22"/>
          <w:lang w:val="sr-Latn-ME"/>
        </w:rPr>
        <w:t>pacijentkinja</w:t>
      </w:r>
      <w:proofErr w:type="spellEnd"/>
      <w:r w:rsidRPr="00D83C9F">
        <w:rPr>
          <w:bCs/>
          <w:sz w:val="22"/>
          <w:szCs w:val="22"/>
          <w:lang w:val="sr-Latn-ME"/>
        </w:rPr>
        <w:t xml:space="preserve"> liječenih </w:t>
      </w:r>
      <w:proofErr w:type="spellStart"/>
      <w:r w:rsidRPr="00D83C9F">
        <w:rPr>
          <w:bCs/>
          <w:sz w:val="22"/>
          <w:szCs w:val="22"/>
          <w:lang w:val="sr-Latn-ME"/>
        </w:rPr>
        <w:t>letrozolom</w:t>
      </w:r>
      <w:proofErr w:type="spellEnd"/>
      <w:r w:rsidRPr="00D83C9F">
        <w:rPr>
          <w:bCs/>
          <w:sz w:val="22"/>
          <w:szCs w:val="22"/>
          <w:lang w:val="sr-Latn-ME"/>
        </w:rPr>
        <w:t xml:space="preserve"> imali su frakturu kostiju ili </w:t>
      </w:r>
      <w:proofErr w:type="spellStart"/>
      <w:r w:rsidRPr="00D83C9F">
        <w:rPr>
          <w:bCs/>
          <w:sz w:val="22"/>
          <w:szCs w:val="22"/>
          <w:lang w:val="sr-Latn-ME"/>
        </w:rPr>
        <w:t>osteoporozu</w:t>
      </w:r>
      <w:proofErr w:type="spellEnd"/>
      <w:r w:rsidRPr="00D83C9F">
        <w:rPr>
          <w:bCs/>
          <w:sz w:val="22"/>
          <w:szCs w:val="22"/>
          <w:lang w:val="sr-Latn-ME"/>
        </w:rPr>
        <w:t xml:space="preserve"> (frakture kostiju, 10,4 %  i </w:t>
      </w:r>
      <w:proofErr w:type="spellStart"/>
      <w:r w:rsidRPr="00D83C9F">
        <w:rPr>
          <w:bCs/>
          <w:sz w:val="22"/>
          <w:szCs w:val="22"/>
          <w:lang w:val="sr-Latn-ME"/>
        </w:rPr>
        <w:t>osteoporoza</w:t>
      </w:r>
      <w:proofErr w:type="spellEnd"/>
      <w:r w:rsidRPr="00D83C9F">
        <w:rPr>
          <w:bCs/>
          <w:sz w:val="22"/>
          <w:szCs w:val="22"/>
          <w:lang w:val="sr-Latn-ME"/>
        </w:rPr>
        <w:t xml:space="preserve"> 12,2 %) u odnosu na </w:t>
      </w:r>
      <w:proofErr w:type="spellStart"/>
      <w:r w:rsidRPr="00D83C9F">
        <w:rPr>
          <w:bCs/>
          <w:sz w:val="22"/>
          <w:szCs w:val="22"/>
          <w:lang w:val="sr-Latn-ME"/>
        </w:rPr>
        <w:t>pacijentkinje</w:t>
      </w:r>
      <w:proofErr w:type="spellEnd"/>
      <w:r w:rsidRPr="00D83C9F">
        <w:rPr>
          <w:bCs/>
          <w:sz w:val="22"/>
          <w:szCs w:val="22"/>
          <w:lang w:val="sr-Latn-ME"/>
        </w:rPr>
        <w:t xml:space="preserve"> u grupi koj</w:t>
      </w:r>
      <w:r w:rsidR="00306DA5" w:rsidRPr="00D83C9F">
        <w:rPr>
          <w:bCs/>
          <w:sz w:val="22"/>
          <w:szCs w:val="22"/>
          <w:lang w:val="sr-Latn-ME"/>
        </w:rPr>
        <w:t>e</w:t>
      </w:r>
      <w:r w:rsidRPr="00D83C9F">
        <w:rPr>
          <w:bCs/>
          <w:sz w:val="22"/>
          <w:szCs w:val="22"/>
          <w:lang w:val="sr-Latn-ME"/>
        </w:rPr>
        <w:t xml:space="preserve"> </w:t>
      </w:r>
      <w:r w:rsidR="00306DA5" w:rsidRPr="00D83C9F">
        <w:rPr>
          <w:bCs/>
          <w:sz w:val="22"/>
          <w:szCs w:val="22"/>
          <w:lang w:val="sr-Latn-ME"/>
        </w:rPr>
        <w:t>su</w:t>
      </w:r>
      <w:r w:rsidRPr="00D83C9F">
        <w:rPr>
          <w:bCs/>
          <w:sz w:val="22"/>
          <w:szCs w:val="22"/>
          <w:lang w:val="sr-Latn-ME"/>
        </w:rPr>
        <w:t xml:space="preserve"> dobijal</w:t>
      </w:r>
      <w:r w:rsidR="00306DA5" w:rsidRPr="00D83C9F">
        <w:rPr>
          <w:bCs/>
          <w:sz w:val="22"/>
          <w:szCs w:val="22"/>
          <w:lang w:val="sr-Latn-ME"/>
        </w:rPr>
        <w:t>e</w:t>
      </w:r>
      <w:r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Cs/>
          <w:sz w:val="22"/>
          <w:szCs w:val="22"/>
          <w:lang w:val="sr-Latn-ME"/>
        </w:rPr>
        <w:t>placebo</w:t>
      </w:r>
      <w:proofErr w:type="spellEnd"/>
      <w:r w:rsidRPr="00D83C9F">
        <w:rPr>
          <w:bCs/>
          <w:sz w:val="22"/>
          <w:szCs w:val="22"/>
          <w:lang w:val="sr-Latn-ME"/>
        </w:rPr>
        <w:t xml:space="preserve">  (5,8% </w:t>
      </w:r>
      <w:r w:rsidR="00306DA5" w:rsidRPr="00D83C9F">
        <w:rPr>
          <w:bCs/>
          <w:sz w:val="22"/>
          <w:szCs w:val="22"/>
          <w:lang w:val="sr-Latn-ME"/>
        </w:rPr>
        <w:t xml:space="preserve">u odnosu na </w:t>
      </w:r>
      <w:r w:rsidRPr="00D83C9F">
        <w:rPr>
          <w:bCs/>
          <w:sz w:val="22"/>
          <w:szCs w:val="22"/>
          <w:lang w:val="sr-Latn-ME"/>
        </w:rPr>
        <w:t xml:space="preserve">6,4%). Srednje vrijeme trajanja terapije bilo je 5 godina za </w:t>
      </w:r>
      <w:proofErr w:type="spellStart"/>
      <w:r w:rsidRPr="00D83C9F">
        <w:rPr>
          <w:bCs/>
          <w:sz w:val="22"/>
          <w:szCs w:val="22"/>
          <w:lang w:val="sr-Latn-ME"/>
        </w:rPr>
        <w:t>letrozol</w:t>
      </w:r>
      <w:proofErr w:type="spellEnd"/>
      <w:r w:rsidRPr="00D83C9F">
        <w:rPr>
          <w:bCs/>
          <w:sz w:val="22"/>
          <w:szCs w:val="22"/>
          <w:lang w:val="sr-Latn-ME"/>
        </w:rPr>
        <w:t xml:space="preserve">, u poređenju sa 3 godine za </w:t>
      </w:r>
      <w:proofErr w:type="spellStart"/>
      <w:r w:rsidRPr="00D83C9F">
        <w:rPr>
          <w:bCs/>
          <w:sz w:val="22"/>
          <w:szCs w:val="22"/>
          <w:lang w:val="sr-Latn-ME"/>
        </w:rPr>
        <w:t>placebo</w:t>
      </w:r>
      <w:proofErr w:type="spellEnd"/>
      <w:r w:rsidRPr="00D83C9F">
        <w:rPr>
          <w:bCs/>
          <w:sz w:val="22"/>
          <w:szCs w:val="22"/>
          <w:lang w:val="sr-Latn-ME"/>
        </w:rPr>
        <w:t xml:space="preserve">.   </w:t>
      </w:r>
    </w:p>
    <w:p w14:paraId="174627FB" w14:textId="77777777" w:rsidR="003116DA" w:rsidRPr="00D83C9F" w:rsidRDefault="003116DA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9789761" w14:textId="77777777" w:rsidR="005A23D2" w:rsidRPr="00D83C9F" w:rsidRDefault="005A23D2" w:rsidP="00CE1E1D">
      <w:pPr>
        <w:rPr>
          <w:rFonts w:eastAsia="Calibri"/>
          <w:sz w:val="22"/>
          <w:szCs w:val="22"/>
          <w:u w:val="single"/>
          <w:lang w:val="sr-Latn-ME"/>
        </w:rPr>
      </w:pPr>
      <w:r w:rsidRPr="00D83C9F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0C11FDA3" w14:textId="10002A7C" w:rsidR="007E137D" w:rsidRPr="00D83C9F" w:rsidRDefault="007E137D" w:rsidP="00CE1E1D">
      <w:pPr>
        <w:jc w:val="both"/>
        <w:rPr>
          <w:rFonts w:eastAsia="Calibri"/>
          <w:sz w:val="22"/>
          <w:szCs w:val="22"/>
          <w:lang w:val="sr-Latn-ME"/>
        </w:rPr>
      </w:pPr>
      <w:r w:rsidRPr="00D83C9F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716A97C8" w14:textId="77777777" w:rsidR="00684660" w:rsidRPr="00D83C9F" w:rsidRDefault="00684660" w:rsidP="00CE1E1D">
      <w:pPr>
        <w:jc w:val="both"/>
        <w:rPr>
          <w:rFonts w:eastAsia="Calibri"/>
          <w:sz w:val="22"/>
          <w:szCs w:val="22"/>
          <w:lang w:val="sr-Latn-ME"/>
        </w:rPr>
      </w:pPr>
    </w:p>
    <w:p w14:paraId="293BFD08" w14:textId="77777777" w:rsidR="007E137D" w:rsidRPr="00D83C9F" w:rsidRDefault="007E137D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3C9F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D66D2D3" w14:textId="77777777" w:rsidR="007E137D" w:rsidRPr="00D83C9F" w:rsidRDefault="007E137D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3C9F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D83C9F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6CB2EE52" w14:textId="77777777" w:rsidR="007E137D" w:rsidRPr="00D83C9F" w:rsidRDefault="007E137D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3C9F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276DC1CB" w14:textId="77777777" w:rsidR="007E137D" w:rsidRPr="00D83C9F" w:rsidRDefault="007E137D" w:rsidP="00CE1E1D">
      <w:pPr>
        <w:pStyle w:val="NoSpacing"/>
        <w:rPr>
          <w:rFonts w:eastAsia="Calibri"/>
          <w:sz w:val="22"/>
          <w:szCs w:val="22"/>
          <w:lang w:val="sr-Latn-ME"/>
        </w:rPr>
      </w:pPr>
    </w:p>
    <w:p w14:paraId="38B041EB" w14:textId="77777777" w:rsidR="007E137D" w:rsidRPr="00D83C9F" w:rsidRDefault="007E137D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3C9F">
        <w:rPr>
          <w:rFonts w:eastAsia="Calibri"/>
          <w:sz w:val="22"/>
          <w:szCs w:val="22"/>
          <w:lang w:val="sr-Latn-ME"/>
        </w:rPr>
        <w:t>tel: +382 (0) 20 310 280</w:t>
      </w:r>
    </w:p>
    <w:p w14:paraId="5CDD9E8C" w14:textId="77777777" w:rsidR="007E137D" w:rsidRPr="00D83C9F" w:rsidRDefault="007E137D" w:rsidP="00CE1E1D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D83C9F">
        <w:rPr>
          <w:rFonts w:eastAsia="Calibri"/>
          <w:sz w:val="22"/>
          <w:szCs w:val="22"/>
          <w:lang w:val="sr-Latn-ME"/>
        </w:rPr>
        <w:t>fax</w:t>
      </w:r>
      <w:proofErr w:type="spellEnd"/>
      <w:r w:rsidRPr="00D83C9F">
        <w:rPr>
          <w:rFonts w:eastAsia="Calibri"/>
          <w:sz w:val="22"/>
          <w:szCs w:val="22"/>
          <w:lang w:val="sr-Latn-ME"/>
        </w:rPr>
        <w:t>: +382 (0) 20 310 581</w:t>
      </w:r>
      <w:r w:rsidRPr="00D83C9F">
        <w:rPr>
          <w:rFonts w:eastAsia="Calibri"/>
          <w:sz w:val="22"/>
          <w:szCs w:val="22"/>
          <w:lang w:val="sr-Latn-ME"/>
        </w:rPr>
        <w:tab/>
      </w:r>
    </w:p>
    <w:p w14:paraId="3D185A52" w14:textId="77777777" w:rsidR="007E137D" w:rsidRPr="00D83C9F" w:rsidRDefault="00E54FC3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7E137D" w:rsidRPr="00D83C9F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6A4DC01F" w14:textId="77777777" w:rsidR="007E137D" w:rsidRPr="00D83C9F" w:rsidRDefault="00E54FC3" w:rsidP="00CE1E1D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7E137D" w:rsidRPr="00D83C9F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43D05847" w14:textId="77777777" w:rsidR="007E137D" w:rsidRPr="00D83C9F" w:rsidRDefault="007E137D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3C9F">
        <w:rPr>
          <w:rFonts w:eastAsia="Calibri"/>
          <w:sz w:val="22"/>
          <w:szCs w:val="22"/>
          <w:lang w:val="sr-Latn-ME"/>
        </w:rPr>
        <w:t>putem IS zdravstvene zaštite</w:t>
      </w:r>
    </w:p>
    <w:p w14:paraId="2AD76EAA" w14:textId="77777777" w:rsidR="007E137D" w:rsidRPr="00D83C9F" w:rsidRDefault="007E137D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83C9F">
        <w:rPr>
          <w:rFonts w:eastAsia="Calibri"/>
          <w:sz w:val="22"/>
          <w:szCs w:val="22"/>
          <w:lang w:val="sr-Latn-ME"/>
        </w:rPr>
        <w:t xml:space="preserve">QR kod za </w:t>
      </w:r>
      <w:proofErr w:type="spellStart"/>
      <w:r w:rsidRPr="00D83C9F">
        <w:rPr>
          <w:rFonts w:eastAsia="Calibri"/>
          <w:sz w:val="22"/>
          <w:szCs w:val="22"/>
          <w:lang w:val="sr-Latn-ME"/>
        </w:rPr>
        <w:t>online</w:t>
      </w:r>
      <w:proofErr w:type="spellEnd"/>
      <w:r w:rsidRPr="00D83C9F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25BD458D" w14:textId="77777777" w:rsidR="007E137D" w:rsidRPr="00D83C9F" w:rsidRDefault="007E137D" w:rsidP="00CE1E1D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3F052CB4" w14:textId="4AE18540" w:rsidR="005A23D2" w:rsidRPr="00D83C9F" w:rsidRDefault="001D1CD6" w:rsidP="00CE1E1D">
      <w:pPr>
        <w:pStyle w:val="NoSpacing"/>
        <w:rPr>
          <w:rFonts w:eastAsia="Calibri"/>
          <w:sz w:val="22"/>
          <w:szCs w:val="22"/>
          <w:lang w:val="sr-Latn-ME"/>
        </w:rPr>
      </w:pPr>
      <w:r w:rsidRPr="00D83C9F">
        <w:rPr>
          <w:b/>
          <w:bCs/>
          <w:noProof/>
          <w:sz w:val="22"/>
          <w:szCs w:val="22"/>
          <w:lang w:val="sr-Latn-ME"/>
        </w:rPr>
        <w:drawing>
          <wp:inline distT="0" distB="0" distL="0" distR="0" wp14:anchorId="48C1C65C" wp14:editId="6586B3C3">
            <wp:extent cx="980796" cy="972000"/>
            <wp:effectExtent l="0" t="0" r="0" b="0"/>
            <wp:docPr id="1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90B83A" w14:textId="77777777" w:rsidR="00836B35" w:rsidRPr="00D83C9F" w:rsidRDefault="00836B35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EF863CE" w14:textId="77777777" w:rsidR="00CD6F02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4.9.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proofErr w:type="spellStart"/>
      <w:r w:rsidRPr="00D83C9F">
        <w:rPr>
          <w:b/>
          <w:bCs/>
          <w:sz w:val="22"/>
          <w:szCs w:val="22"/>
          <w:lang w:val="sr-Latn-ME"/>
        </w:rPr>
        <w:t>Predoziranje</w:t>
      </w:r>
      <w:proofErr w:type="spellEnd"/>
      <w:r w:rsidR="002846DB" w:rsidRPr="00D83C9F">
        <w:rPr>
          <w:b/>
          <w:bCs/>
          <w:sz w:val="22"/>
          <w:szCs w:val="22"/>
          <w:lang w:val="sr-Latn-ME"/>
        </w:rPr>
        <w:t xml:space="preserve"> </w:t>
      </w:r>
    </w:p>
    <w:p w14:paraId="1A19D4C4" w14:textId="77777777" w:rsidR="005457A1" w:rsidRPr="00D83C9F" w:rsidRDefault="005457A1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C0431A7" w14:textId="40A1F9D3" w:rsidR="005457A1" w:rsidRPr="00D83C9F" w:rsidRDefault="005457A1" w:rsidP="00CE1E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Prijavljeni su izolovani slučajevi </w:t>
      </w:r>
      <w:proofErr w:type="spellStart"/>
      <w:r w:rsidRPr="00D83C9F">
        <w:rPr>
          <w:bCs/>
          <w:sz w:val="22"/>
          <w:szCs w:val="22"/>
          <w:lang w:val="sr-Latn-ME"/>
        </w:rPr>
        <w:t>predoziranja</w:t>
      </w:r>
      <w:proofErr w:type="spellEnd"/>
      <w:r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Cs/>
          <w:sz w:val="22"/>
          <w:szCs w:val="22"/>
          <w:lang w:val="sr-Latn-ME"/>
        </w:rPr>
        <w:t>letrozolom</w:t>
      </w:r>
      <w:proofErr w:type="spellEnd"/>
      <w:r w:rsidRPr="00D83C9F">
        <w:rPr>
          <w:bCs/>
          <w:sz w:val="22"/>
          <w:szCs w:val="22"/>
          <w:lang w:val="sr-Latn-ME"/>
        </w:rPr>
        <w:t>.</w:t>
      </w:r>
    </w:p>
    <w:p w14:paraId="20F9F416" w14:textId="77777777" w:rsidR="005170EB" w:rsidRPr="00D83C9F" w:rsidRDefault="005170EB" w:rsidP="00CE1E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F1B453" w14:textId="40A2BF63" w:rsidR="00CD6F02" w:rsidRPr="00D83C9F" w:rsidRDefault="005457A1" w:rsidP="00CE1E1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Nije poznat specifič</w:t>
      </w:r>
      <w:r w:rsidR="005170EB" w:rsidRPr="00D83C9F">
        <w:rPr>
          <w:bCs/>
          <w:sz w:val="22"/>
          <w:szCs w:val="22"/>
          <w:lang w:val="sr-Latn-ME"/>
        </w:rPr>
        <w:t>an način liječenja</w:t>
      </w:r>
      <w:r w:rsidRPr="00D83C9F">
        <w:rPr>
          <w:bCs/>
          <w:sz w:val="22"/>
          <w:szCs w:val="22"/>
          <w:lang w:val="sr-Latn-ME"/>
        </w:rPr>
        <w:t xml:space="preserve"> kod </w:t>
      </w:r>
      <w:proofErr w:type="spellStart"/>
      <w:r w:rsidRPr="00D83C9F">
        <w:rPr>
          <w:bCs/>
          <w:sz w:val="22"/>
          <w:szCs w:val="22"/>
          <w:lang w:val="sr-Latn-ME"/>
        </w:rPr>
        <w:t>predoziranja</w:t>
      </w:r>
      <w:proofErr w:type="spellEnd"/>
      <w:r w:rsidRPr="00D83C9F">
        <w:rPr>
          <w:bCs/>
          <w:sz w:val="22"/>
          <w:szCs w:val="22"/>
          <w:lang w:val="sr-Latn-ME"/>
        </w:rPr>
        <w:t xml:space="preserve"> ovim lijekom; </w:t>
      </w:r>
      <w:r w:rsidR="005170EB" w:rsidRPr="00D83C9F">
        <w:rPr>
          <w:bCs/>
          <w:sz w:val="22"/>
          <w:szCs w:val="22"/>
          <w:lang w:val="sr-Latn-ME"/>
        </w:rPr>
        <w:t>liječenje</w:t>
      </w:r>
      <w:r w:rsidRPr="00D83C9F">
        <w:rPr>
          <w:bCs/>
          <w:sz w:val="22"/>
          <w:szCs w:val="22"/>
          <w:lang w:val="sr-Latn-ME"/>
        </w:rPr>
        <w:t xml:space="preserve"> </w:t>
      </w:r>
      <w:r w:rsidR="005170EB" w:rsidRPr="00D83C9F">
        <w:rPr>
          <w:bCs/>
          <w:sz w:val="22"/>
          <w:szCs w:val="22"/>
          <w:lang w:val="sr-Latn-ME"/>
        </w:rPr>
        <w:t>mora biti</w:t>
      </w:r>
      <w:r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Pr="00D83C9F">
        <w:rPr>
          <w:bCs/>
          <w:sz w:val="22"/>
          <w:szCs w:val="22"/>
          <w:lang w:val="sr-Latn-ME"/>
        </w:rPr>
        <w:t>simptomatsk</w:t>
      </w:r>
      <w:r w:rsidR="005170EB" w:rsidRPr="00D83C9F">
        <w:rPr>
          <w:bCs/>
          <w:sz w:val="22"/>
          <w:szCs w:val="22"/>
          <w:lang w:val="sr-Latn-ME"/>
        </w:rPr>
        <w:t>o</w:t>
      </w:r>
      <w:proofErr w:type="spellEnd"/>
      <w:r w:rsidRPr="00D83C9F">
        <w:rPr>
          <w:bCs/>
          <w:sz w:val="22"/>
          <w:szCs w:val="22"/>
          <w:lang w:val="sr-Latn-ME"/>
        </w:rPr>
        <w:t xml:space="preserve"> i </w:t>
      </w:r>
      <w:proofErr w:type="spellStart"/>
      <w:r w:rsidR="005170EB" w:rsidRPr="00D83C9F">
        <w:rPr>
          <w:bCs/>
          <w:sz w:val="22"/>
          <w:szCs w:val="22"/>
          <w:lang w:val="sr-Latn-ME"/>
        </w:rPr>
        <w:t>suportivno</w:t>
      </w:r>
      <w:proofErr w:type="spellEnd"/>
      <w:r w:rsidRPr="00D83C9F">
        <w:rPr>
          <w:bCs/>
          <w:sz w:val="22"/>
          <w:szCs w:val="22"/>
          <w:lang w:val="sr-Latn-ME"/>
        </w:rPr>
        <w:t>.</w:t>
      </w:r>
    </w:p>
    <w:p w14:paraId="0E9FBA48" w14:textId="1957BA93" w:rsidR="00227BDB" w:rsidRPr="00D83C9F" w:rsidRDefault="00227BD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9D5E2F" w14:textId="77777777" w:rsidR="00684660" w:rsidRPr="00D83C9F" w:rsidRDefault="00684660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0BA25D0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5.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FARMAKOLOŠK</w:t>
      </w:r>
      <w:r w:rsidR="000D425A" w:rsidRPr="00D83C9F">
        <w:rPr>
          <w:b/>
          <w:bCs/>
          <w:sz w:val="22"/>
          <w:szCs w:val="22"/>
          <w:lang w:val="sr-Latn-ME"/>
        </w:rPr>
        <w:t>I</w:t>
      </w:r>
      <w:r w:rsidRPr="00D83C9F">
        <w:rPr>
          <w:b/>
          <w:bCs/>
          <w:sz w:val="22"/>
          <w:szCs w:val="22"/>
          <w:lang w:val="sr-Latn-ME"/>
        </w:rPr>
        <w:t xml:space="preserve"> PODACI</w:t>
      </w:r>
    </w:p>
    <w:p w14:paraId="2049653F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BDDCB5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5.1.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proofErr w:type="spellStart"/>
      <w:r w:rsidRPr="00D83C9F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podaci</w:t>
      </w:r>
      <w:r w:rsidR="003A7059" w:rsidRPr="00D83C9F">
        <w:rPr>
          <w:b/>
          <w:bCs/>
          <w:sz w:val="22"/>
          <w:szCs w:val="22"/>
          <w:lang w:val="sr-Latn-ME"/>
        </w:rPr>
        <w:t xml:space="preserve"> </w:t>
      </w:r>
    </w:p>
    <w:p w14:paraId="20C8D5C9" w14:textId="77777777" w:rsidR="00F45F77" w:rsidRPr="00D83C9F" w:rsidRDefault="00F45F77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BE452D" w14:textId="2FA7CCE5" w:rsidR="005457A1" w:rsidRPr="00D83C9F" w:rsidRDefault="005457A1" w:rsidP="002D2D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D83C9F">
        <w:rPr>
          <w:bCs/>
          <w:sz w:val="22"/>
          <w:szCs w:val="22"/>
          <w:lang w:val="sr-Latn-ME"/>
        </w:rPr>
        <w:t>Farmakoterapijska</w:t>
      </w:r>
      <w:proofErr w:type="spellEnd"/>
      <w:r w:rsidRPr="00D83C9F">
        <w:rPr>
          <w:bCs/>
          <w:sz w:val="22"/>
          <w:szCs w:val="22"/>
          <w:lang w:val="sr-Latn-ME"/>
        </w:rPr>
        <w:t xml:space="preserve"> grupa: Endokrina terapija. Hormonski antagonist i povezani agensi</w:t>
      </w:r>
      <w:r w:rsidR="001D1CD6" w:rsidRPr="00D83C9F">
        <w:rPr>
          <w:bCs/>
          <w:sz w:val="22"/>
          <w:szCs w:val="22"/>
          <w:lang w:val="sr-Latn-ME"/>
        </w:rPr>
        <w:t xml:space="preserve">: </w:t>
      </w:r>
      <w:proofErr w:type="spellStart"/>
      <w:r w:rsidR="001D1CD6" w:rsidRPr="00D83C9F">
        <w:rPr>
          <w:bCs/>
          <w:sz w:val="22"/>
          <w:szCs w:val="22"/>
          <w:lang w:val="sr-Latn-ME"/>
        </w:rPr>
        <w:t>inhibitori</w:t>
      </w:r>
      <w:proofErr w:type="spellEnd"/>
      <w:r w:rsidR="001D1CD6" w:rsidRPr="00D83C9F">
        <w:rPr>
          <w:bCs/>
          <w:sz w:val="22"/>
          <w:szCs w:val="22"/>
          <w:lang w:val="sr-Latn-ME"/>
        </w:rPr>
        <w:t xml:space="preserve"> </w:t>
      </w:r>
      <w:proofErr w:type="spellStart"/>
      <w:r w:rsidR="001D1CD6" w:rsidRPr="00D83C9F">
        <w:rPr>
          <w:bCs/>
          <w:sz w:val="22"/>
          <w:szCs w:val="22"/>
          <w:lang w:val="sr-Latn-ME"/>
        </w:rPr>
        <w:t>aromataze</w:t>
      </w:r>
      <w:proofErr w:type="spellEnd"/>
    </w:p>
    <w:p w14:paraId="4570C24A" w14:textId="77777777" w:rsidR="005457A1" w:rsidRPr="00D83C9F" w:rsidRDefault="005457A1" w:rsidP="002D2D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DA5CCA" w14:textId="77777777" w:rsidR="005457A1" w:rsidRPr="00D83C9F" w:rsidRDefault="005457A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ATC kod:</w:t>
      </w:r>
      <w:r w:rsidRPr="00D83C9F">
        <w:rPr>
          <w:sz w:val="22"/>
          <w:szCs w:val="22"/>
          <w:lang w:val="sr-Latn-ME"/>
        </w:rPr>
        <w:t xml:space="preserve"> </w:t>
      </w:r>
      <w:r w:rsidRPr="00D83C9F">
        <w:rPr>
          <w:bCs/>
          <w:sz w:val="22"/>
          <w:szCs w:val="22"/>
          <w:lang w:val="sr-Latn-ME"/>
        </w:rPr>
        <w:t>L02BG04</w:t>
      </w:r>
    </w:p>
    <w:p w14:paraId="012664F0" w14:textId="77777777" w:rsidR="002E37A5" w:rsidRPr="00D83C9F" w:rsidRDefault="002E37A5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8FAFD77" w14:textId="77777777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u w:val="single"/>
          <w:lang w:val="sr-Latn-ME"/>
        </w:rPr>
      </w:pPr>
      <w:proofErr w:type="spellStart"/>
      <w:r w:rsidRPr="00D83C9F">
        <w:rPr>
          <w:sz w:val="22"/>
          <w:szCs w:val="22"/>
          <w:u w:val="single"/>
          <w:lang w:val="sr-Latn-ME"/>
        </w:rPr>
        <w:t>Farmakodinamski</w:t>
      </w:r>
      <w:proofErr w:type="spellEnd"/>
      <w:r w:rsidRPr="00D83C9F">
        <w:rPr>
          <w:sz w:val="22"/>
          <w:szCs w:val="22"/>
          <w:u w:val="single"/>
          <w:lang w:val="sr-Latn-ME"/>
        </w:rPr>
        <w:t xml:space="preserve"> efekti</w:t>
      </w:r>
    </w:p>
    <w:p w14:paraId="0FDA9381" w14:textId="7B21B8C2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Eliminacija estrogen-posredovanih </w:t>
      </w:r>
      <w:proofErr w:type="spellStart"/>
      <w:r w:rsidRPr="00D83C9F">
        <w:rPr>
          <w:sz w:val="22"/>
          <w:szCs w:val="22"/>
          <w:lang w:val="sr-Latn-ME"/>
        </w:rPr>
        <w:t>stimulatornih</w:t>
      </w:r>
      <w:proofErr w:type="spellEnd"/>
      <w:r w:rsidRPr="00D83C9F">
        <w:rPr>
          <w:sz w:val="22"/>
          <w:szCs w:val="22"/>
          <w:lang w:val="sr-Latn-ME"/>
        </w:rPr>
        <w:t xml:space="preserve"> efekata je preduslov za tumorski odgovor u slučajevima gdje rast tumorskog tkiva zavisi od prisustva estrogena i primjene </w:t>
      </w:r>
      <w:proofErr w:type="spellStart"/>
      <w:r w:rsidRPr="00D83C9F">
        <w:rPr>
          <w:sz w:val="22"/>
          <w:szCs w:val="22"/>
          <w:lang w:val="sr-Latn-ME"/>
        </w:rPr>
        <w:t>endokrinološke</w:t>
      </w:r>
      <w:proofErr w:type="spellEnd"/>
      <w:r w:rsidRPr="00D83C9F">
        <w:rPr>
          <w:sz w:val="22"/>
          <w:szCs w:val="22"/>
          <w:lang w:val="sr-Latn-ME"/>
        </w:rPr>
        <w:t xml:space="preserve"> terapije. Kod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, estrogen se uglavnom dobija aktivnošću enzima </w:t>
      </w:r>
      <w:proofErr w:type="spellStart"/>
      <w:r w:rsidRPr="00D83C9F">
        <w:rPr>
          <w:sz w:val="22"/>
          <w:szCs w:val="22"/>
          <w:lang w:val="sr-Latn-ME"/>
        </w:rPr>
        <w:t>aromataze</w:t>
      </w:r>
      <w:proofErr w:type="spellEnd"/>
      <w:r w:rsidRPr="00D83C9F">
        <w:rPr>
          <w:sz w:val="22"/>
          <w:szCs w:val="22"/>
          <w:lang w:val="sr-Latn-ME"/>
        </w:rPr>
        <w:t xml:space="preserve">, koji </w:t>
      </w:r>
      <w:r w:rsidR="00A229F3" w:rsidRPr="00D83C9F">
        <w:rPr>
          <w:sz w:val="22"/>
          <w:szCs w:val="22"/>
          <w:lang w:val="sr-Latn-ME"/>
        </w:rPr>
        <w:t>pretvara</w:t>
      </w:r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adrenalne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androgene</w:t>
      </w:r>
      <w:proofErr w:type="spellEnd"/>
      <w:r w:rsidRPr="00D83C9F">
        <w:rPr>
          <w:sz w:val="22"/>
          <w:szCs w:val="22"/>
          <w:lang w:val="sr-Latn-ME"/>
        </w:rPr>
        <w:t xml:space="preserve">, primarno </w:t>
      </w:r>
      <w:proofErr w:type="spellStart"/>
      <w:r w:rsidRPr="00D83C9F">
        <w:rPr>
          <w:sz w:val="22"/>
          <w:szCs w:val="22"/>
          <w:lang w:val="sr-Latn-ME"/>
        </w:rPr>
        <w:t>androstendion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testosteron</w:t>
      </w:r>
      <w:proofErr w:type="spellEnd"/>
      <w:r w:rsidRPr="00D83C9F">
        <w:rPr>
          <w:sz w:val="22"/>
          <w:szCs w:val="22"/>
          <w:lang w:val="sr-Latn-ME"/>
        </w:rPr>
        <w:t xml:space="preserve">, u </w:t>
      </w:r>
      <w:proofErr w:type="spellStart"/>
      <w:r w:rsidRPr="00D83C9F">
        <w:rPr>
          <w:sz w:val="22"/>
          <w:szCs w:val="22"/>
          <w:lang w:val="sr-Latn-ME"/>
        </w:rPr>
        <w:t>estron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estradiol</w:t>
      </w:r>
      <w:proofErr w:type="spellEnd"/>
      <w:r w:rsidRPr="00D83C9F">
        <w:rPr>
          <w:sz w:val="22"/>
          <w:szCs w:val="22"/>
          <w:lang w:val="sr-Latn-ME"/>
        </w:rPr>
        <w:t xml:space="preserve">. Zbog toga se </w:t>
      </w:r>
      <w:proofErr w:type="spellStart"/>
      <w:r w:rsidRPr="00D83C9F">
        <w:rPr>
          <w:sz w:val="22"/>
          <w:szCs w:val="22"/>
          <w:lang w:val="sr-Latn-ME"/>
        </w:rPr>
        <w:t>supresija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biosinteze</w:t>
      </w:r>
      <w:proofErr w:type="spellEnd"/>
      <w:r w:rsidRPr="00D83C9F">
        <w:rPr>
          <w:sz w:val="22"/>
          <w:szCs w:val="22"/>
          <w:lang w:val="sr-Latn-ME"/>
        </w:rPr>
        <w:t xml:space="preserve"> estrogena u perifernim tkivima i </w:t>
      </w:r>
      <w:r w:rsidR="00D019D7" w:rsidRPr="00D83C9F">
        <w:rPr>
          <w:sz w:val="22"/>
          <w:szCs w:val="22"/>
          <w:lang w:val="sr-Latn-ME"/>
        </w:rPr>
        <w:t xml:space="preserve">u </w:t>
      </w:r>
      <w:r w:rsidRPr="00D83C9F">
        <w:rPr>
          <w:sz w:val="22"/>
          <w:szCs w:val="22"/>
          <w:lang w:val="sr-Latn-ME"/>
        </w:rPr>
        <w:t xml:space="preserve">samom tkivu tumora može postići specifičnom inhibicijom enzima </w:t>
      </w:r>
      <w:proofErr w:type="spellStart"/>
      <w:r w:rsidRPr="00D83C9F">
        <w:rPr>
          <w:sz w:val="22"/>
          <w:szCs w:val="22"/>
          <w:lang w:val="sr-Latn-ME"/>
        </w:rPr>
        <w:t>aromataze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6E763D9A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4F596F90" w14:textId="3FE38060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lastRenderedPageBreak/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je </w:t>
      </w:r>
      <w:proofErr w:type="spellStart"/>
      <w:r w:rsidRPr="00D83C9F">
        <w:rPr>
          <w:sz w:val="22"/>
          <w:szCs w:val="22"/>
          <w:lang w:val="sr-Latn-ME"/>
        </w:rPr>
        <w:t>nesteroidni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inhibitor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aromataze</w:t>
      </w:r>
      <w:proofErr w:type="spellEnd"/>
      <w:r w:rsidRPr="00D83C9F">
        <w:rPr>
          <w:sz w:val="22"/>
          <w:szCs w:val="22"/>
          <w:lang w:val="sr-Latn-ME"/>
        </w:rPr>
        <w:t xml:space="preserve">.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inhibira enzim </w:t>
      </w:r>
      <w:proofErr w:type="spellStart"/>
      <w:r w:rsidRPr="00D83C9F">
        <w:rPr>
          <w:sz w:val="22"/>
          <w:szCs w:val="22"/>
          <w:lang w:val="sr-Latn-ME"/>
        </w:rPr>
        <w:t>aromatazu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kompetitivnim</w:t>
      </w:r>
      <w:proofErr w:type="spellEnd"/>
      <w:r w:rsidRPr="00D83C9F">
        <w:rPr>
          <w:sz w:val="22"/>
          <w:szCs w:val="22"/>
          <w:lang w:val="sr-Latn-ME"/>
        </w:rPr>
        <w:t xml:space="preserve"> vezivanjem za </w:t>
      </w:r>
      <w:proofErr w:type="spellStart"/>
      <w:r w:rsidRPr="00D83C9F">
        <w:rPr>
          <w:sz w:val="22"/>
          <w:szCs w:val="22"/>
          <w:lang w:val="sr-Latn-ME"/>
        </w:rPr>
        <w:t>hem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subjedinicu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citohrom</w:t>
      </w:r>
      <w:proofErr w:type="spellEnd"/>
      <w:r w:rsidRPr="00D83C9F">
        <w:rPr>
          <w:sz w:val="22"/>
          <w:szCs w:val="22"/>
          <w:lang w:val="sr-Latn-ME"/>
        </w:rPr>
        <w:t xml:space="preserve"> P450 </w:t>
      </w:r>
      <w:proofErr w:type="spellStart"/>
      <w:r w:rsidRPr="00D83C9F">
        <w:rPr>
          <w:sz w:val="22"/>
          <w:szCs w:val="22"/>
          <w:lang w:val="sr-Latn-ME"/>
        </w:rPr>
        <w:t>aromataze</w:t>
      </w:r>
      <w:proofErr w:type="spellEnd"/>
      <w:r w:rsidRPr="00D83C9F">
        <w:rPr>
          <w:sz w:val="22"/>
          <w:szCs w:val="22"/>
          <w:lang w:val="sr-Latn-ME"/>
        </w:rPr>
        <w:t xml:space="preserve">, što dovodi do smanjenja </w:t>
      </w:r>
      <w:proofErr w:type="spellStart"/>
      <w:r w:rsidRPr="00D83C9F">
        <w:rPr>
          <w:sz w:val="22"/>
          <w:szCs w:val="22"/>
          <w:lang w:val="sr-Latn-ME"/>
        </w:rPr>
        <w:t>biosinteze</w:t>
      </w:r>
      <w:proofErr w:type="spellEnd"/>
      <w:r w:rsidRPr="00D83C9F">
        <w:rPr>
          <w:sz w:val="22"/>
          <w:szCs w:val="22"/>
          <w:lang w:val="sr-Latn-ME"/>
        </w:rPr>
        <w:t xml:space="preserve"> estrogena u svim tkivima gdje je prisutan.</w:t>
      </w:r>
    </w:p>
    <w:p w14:paraId="15C0B899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3519CDE4" w14:textId="6C20D2B2" w:rsidR="005457A1" w:rsidRPr="00D83C9F" w:rsidRDefault="005457A1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Kod zdravih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, pojedinačne doze od 0,1 mg, 0,5 mg i 2,5 mg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suprimiraju</w:t>
      </w:r>
      <w:proofErr w:type="spellEnd"/>
      <w:r w:rsidRPr="00D83C9F">
        <w:rPr>
          <w:sz w:val="22"/>
          <w:szCs w:val="22"/>
          <w:lang w:val="sr-Latn-ME"/>
        </w:rPr>
        <w:t xml:space="preserve"> serumski </w:t>
      </w:r>
      <w:proofErr w:type="spellStart"/>
      <w:r w:rsidRPr="00D83C9F">
        <w:rPr>
          <w:sz w:val="22"/>
          <w:szCs w:val="22"/>
          <w:lang w:val="sr-Latn-ME"/>
        </w:rPr>
        <w:t>estron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estradiol</w:t>
      </w:r>
      <w:proofErr w:type="spellEnd"/>
      <w:r w:rsidR="008C1F69" w:rsidRPr="00D83C9F">
        <w:rPr>
          <w:sz w:val="22"/>
          <w:szCs w:val="22"/>
          <w:lang w:val="sr-Latn-ME"/>
        </w:rPr>
        <w:t xml:space="preserve"> u serumu</w:t>
      </w:r>
      <w:r w:rsidRPr="00D83C9F">
        <w:rPr>
          <w:sz w:val="22"/>
          <w:szCs w:val="22"/>
          <w:lang w:val="sr-Latn-ME"/>
        </w:rPr>
        <w:t xml:space="preserve"> za 75%, 78% i 78 % u odnosu na bazične vrijednosti. Maksimalna </w:t>
      </w:r>
      <w:proofErr w:type="spellStart"/>
      <w:r w:rsidRPr="00D83C9F">
        <w:rPr>
          <w:sz w:val="22"/>
          <w:szCs w:val="22"/>
          <w:lang w:val="sr-Latn-ME"/>
        </w:rPr>
        <w:t>supresija</w:t>
      </w:r>
      <w:proofErr w:type="spellEnd"/>
      <w:r w:rsidRPr="00D83C9F">
        <w:rPr>
          <w:sz w:val="22"/>
          <w:szCs w:val="22"/>
          <w:lang w:val="sr-Latn-ME"/>
        </w:rPr>
        <w:t xml:space="preserve"> se postiže za 48-78 sati.</w:t>
      </w:r>
    </w:p>
    <w:p w14:paraId="423FFA17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FC70DB" w14:textId="57B9DBEB" w:rsidR="005457A1" w:rsidRPr="00D83C9F" w:rsidRDefault="005457A1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uznapredovalim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dojke, dnevne doze od 0,1 mg do 5 mg </w:t>
      </w:r>
      <w:proofErr w:type="spellStart"/>
      <w:r w:rsidRPr="00D83C9F">
        <w:rPr>
          <w:sz w:val="22"/>
          <w:szCs w:val="22"/>
          <w:lang w:val="sr-Latn-ME"/>
        </w:rPr>
        <w:t>suprimiraju</w:t>
      </w:r>
      <w:proofErr w:type="spellEnd"/>
      <w:r w:rsidRPr="00D83C9F">
        <w:rPr>
          <w:sz w:val="22"/>
          <w:szCs w:val="22"/>
          <w:lang w:val="sr-Latn-ME"/>
        </w:rPr>
        <w:t xml:space="preserve"> plazma koncentracije </w:t>
      </w:r>
      <w:proofErr w:type="spellStart"/>
      <w:r w:rsidRPr="00D83C9F">
        <w:rPr>
          <w:sz w:val="22"/>
          <w:szCs w:val="22"/>
          <w:lang w:val="sr-Latn-ME"/>
        </w:rPr>
        <w:t>estradiola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proofErr w:type="spellStart"/>
      <w:r w:rsidRPr="00D83C9F">
        <w:rPr>
          <w:sz w:val="22"/>
          <w:szCs w:val="22"/>
          <w:lang w:val="sr-Latn-ME"/>
        </w:rPr>
        <w:t>estrona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estron</w:t>
      </w:r>
      <w:proofErr w:type="spellEnd"/>
      <w:r w:rsidRPr="00D83C9F">
        <w:rPr>
          <w:sz w:val="22"/>
          <w:szCs w:val="22"/>
          <w:lang w:val="sr-Latn-ME"/>
        </w:rPr>
        <w:t xml:space="preserve">-sulfata za 75-95% u odnosu na </w:t>
      </w:r>
      <w:r w:rsidR="001D1CD6" w:rsidRPr="00D83C9F">
        <w:rPr>
          <w:sz w:val="22"/>
          <w:szCs w:val="22"/>
          <w:lang w:val="sr-Latn-ME"/>
        </w:rPr>
        <w:t>početne</w:t>
      </w:r>
      <w:r w:rsidRPr="00D83C9F">
        <w:rPr>
          <w:sz w:val="22"/>
          <w:szCs w:val="22"/>
          <w:lang w:val="sr-Latn-ME"/>
        </w:rPr>
        <w:t xml:space="preserve"> vrijednosti kod svih liječenih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. Pri dozama od 0,5 mg i većim, mnoge vrijednosti </w:t>
      </w:r>
      <w:proofErr w:type="spellStart"/>
      <w:r w:rsidRPr="00D83C9F">
        <w:rPr>
          <w:sz w:val="22"/>
          <w:szCs w:val="22"/>
          <w:lang w:val="sr-Latn-ME"/>
        </w:rPr>
        <w:t>estrona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estron</w:t>
      </w:r>
      <w:proofErr w:type="spellEnd"/>
      <w:r w:rsidRPr="00D83C9F">
        <w:rPr>
          <w:sz w:val="22"/>
          <w:szCs w:val="22"/>
          <w:lang w:val="sr-Latn-ME"/>
        </w:rPr>
        <w:t xml:space="preserve"> sulfata su</w:t>
      </w:r>
      <w:r w:rsidR="00952A98" w:rsidRPr="00D83C9F">
        <w:rPr>
          <w:sz w:val="22"/>
          <w:szCs w:val="22"/>
          <w:lang w:val="sr-Latn-ME"/>
        </w:rPr>
        <w:t xml:space="preserve"> bile</w:t>
      </w:r>
      <w:r w:rsidRPr="00D83C9F">
        <w:rPr>
          <w:sz w:val="22"/>
          <w:szCs w:val="22"/>
          <w:lang w:val="sr-Latn-ME"/>
        </w:rPr>
        <w:t xml:space="preserve"> ispod graničnih vrijednosti koje se mogu detektovati u testovima, što ukazuje da se sa ovim dozama postiže veća </w:t>
      </w:r>
      <w:proofErr w:type="spellStart"/>
      <w:r w:rsidRPr="00D83C9F">
        <w:rPr>
          <w:sz w:val="22"/>
          <w:szCs w:val="22"/>
          <w:lang w:val="sr-Latn-ME"/>
        </w:rPr>
        <w:t>supresija</w:t>
      </w:r>
      <w:proofErr w:type="spellEnd"/>
      <w:r w:rsidRPr="00D83C9F">
        <w:rPr>
          <w:sz w:val="22"/>
          <w:szCs w:val="22"/>
          <w:lang w:val="sr-Latn-ME"/>
        </w:rPr>
        <w:t xml:space="preserve"> estrogena. </w:t>
      </w:r>
      <w:proofErr w:type="spellStart"/>
      <w:r w:rsidRPr="00D83C9F">
        <w:rPr>
          <w:sz w:val="22"/>
          <w:szCs w:val="22"/>
          <w:lang w:val="sr-Latn-ME"/>
        </w:rPr>
        <w:t>Supresija</w:t>
      </w:r>
      <w:proofErr w:type="spellEnd"/>
      <w:r w:rsidRPr="00D83C9F">
        <w:rPr>
          <w:sz w:val="22"/>
          <w:szCs w:val="22"/>
          <w:lang w:val="sr-Latn-ME"/>
        </w:rPr>
        <w:t xml:space="preserve"> estrogena se održava</w:t>
      </w:r>
      <w:r w:rsidR="00952A98" w:rsidRPr="00D83C9F">
        <w:rPr>
          <w:sz w:val="22"/>
          <w:szCs w:val="22"/>
          <w:lang w:val="sr-Latn-ME"/>
        </w:rPr>
        <w:t>la</w:t>
      </w:r>
      <w:r w:rsidRPr="00D83C9F">
        <w:rPr>
          <w:sz w:val="22"/>
          <w:szCs w:val="22"/>
          <w:lang w:val="sr-Latn-ME"/>
        </w:rPr>
        <w:t xml:space="preserve"> tokom terapije kod svih ovih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7DCC4AF2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8250E9" w14:textId="5722F27B" w:rsidR="005457A1" w:rsidRPr="00D83C9F" w:rsidRDefault="005457A1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je visoko specifičan u inhibiciji aktivnosti </w:t>
      </w:r>
      <w:proofErr w:type="spellStart"/>
      <w:r w:rsidRPr="00D83C9F">
        <w:rPr>
          <w:sz w:val="22"/>
          <w:szCs w:val="22"/>
          <w:lang w:val="sr-Latn-ME"/>
        </w:rPr>
        <w:t>aromataze</w:t>
      </w:r>
      <w:proofErr w:type="spellEnd"/>
      <w:r w:rsidRPr="00D83C9F">
        <w:rPr>
          <w:sz w:val="22"/>
          <w:szCs w:val="22"/>
          <w:lang w:val="sr-Latn-ME"/>
        </w:rPr>
        <w:t xml:space="preserve">. Nije zabilježeno oštećenje </w:t>
      </w:r>
      <w:proofErr w:type="spellStart"/>
      <w:r w:rsidRPr="00D83C9F">
        <w:rPr>
          <w:sz w:val="22"/>
          <w:szCs w:val="22"/>
          <w:lang w:val="sr-Latn-ME"/>
        </w:rPr>
        <w:t>adrenalne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steroidogeneze</w:t>
      </w:r>
      <w:proofErr w:type="spellEnd"/>
      <w:r w:rsidRPr="00D83C9F">
        <w:rPr>
          <w:sz w:val="22"/>
          <w:szCs w:val="22"/>
          <w:lang w:val="sr-Latn-ME"/>
        </w:rPr>
        <w:t>. Ni</w:t>
      </w:r>
      <w:r w:rsidR="00503475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otkrivene klinički značajne promjene u koncentracijama </w:t>
      </w:r>
      <w:proofErr w:type="spellStart"/>
      <w:r w:rsidRPr="00D83C9F">
        <w:rPr>
          <w:sz w:val="22"/>
          <w:szCs w:val="22"/>
          <w:lang w:val="sr-Latn-ME"/>
        </w:rPr>
        <w:t>kortizola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proofErr w:type="spellStart"/>
      <w:r w:rsidRPr="00D83C9F">
        <w:rPr>
          <w:sz w:val="22"/>
          <w:szCs w:val="22"/>
          <w:lang w:val="sr-Latn-ME"/>
        </w:rPr>
        <w:t>aldosterona</w:t>
      </w:r>
      <w:proofErr w:type="spellEnd"/>
      <w:r w:rsidRPr="00D83C9F">
        <w:rPr>
          <w:sz w:val="22"/>
          <w:szCs w:val="22"/>
          <w:lang w:val="sr-Latn-ME"/>
        </w:rPr>
        <w:t xml:space="preserve">, 11-deoksikortizola, 17-hidroksiprogesterona i ACTH ili aktivnosti </w:t>
      </w:r>
      <w:proofErr w:type="spellStart"/>
      <w:r w:rsidRPr="00D83C9F">
        <w:rPr>
          <w:sz w:val="22"/>
          <w:szCs w:val="22"/>
          <w:lang w:val="sr-Latn-ME"/>
        </w:rPr>
        <w:t>renina</w:t>
      </w:r>
      <w:proofErr w:type="spellEnd"/>
      <w:r w:rsidRPr="00D83C9F">
        <w:rPr>
          <w:sz w:val="22"/>
          <w:szCs w:val="22"/>
          <w:lang w:val="sr-Latn-ME"/>
        </w:rPr>
        <w:t xml:space="preserve"> u plazmi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koje su liječene dnevnim dozama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od 0,1 mg do 0,5 mg. Testovi stimulacije ACTH koji su sprovedeni nakon 6 i 12 nedjelja terapije, sa dnevnim dozama od 0,1 mg, 0,25 mg, 0,5 mg, 1 mg, 2,5 mg i 5 mg ni</w:t>
      </w:r>
      <w:r w:rsidR="00503475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ukazali na smanjeno stvaranje </w:t>
      </w:r>
      <w:proofErr w:type="spellStart"/>
      <w:r w:rsidRPr="00D83C9F">
        <w:rPr>
          <w:sz w:val="22"/>
          <w:szCs w:val="22"/>
          <w:lang w:val="sr-Latn-ME"/>
        </w:rPr>
        <w:t>aldosterona</w:t>
      </w:r>
      <w:proofErr w:type="spellEnd"/>
      <w:r w:rsidRPr="00D83C9F">
        <w:rPr>
          <w:sz w:val="22"/>
          <w:szCs w:val="22"/>
          <w:lang w:val="sr-Latn-ME"/>
        </w:rPr>
        <w:t xml:space="preserve"> ili </w:t>
      </w:r>
      <w:proofErr w:type="spellStart"/>
      <w:r w:rsidRPr="00D83C9F">
        <w:rPr>
          <w:sz w:val="22"/>
          <w:szCs w:val="22"/>
          <w:lang w:val="sr-Latn-ME"/>
        </w:rPr>
        <w:t>kortizola</w:t>
      </w:r>
      <w:proofErr w:type="spellEnd"/>
      <w:r w:rsidRPr="00D83C9F">
        <w:rPr>
          <w:sz w:val="22"/>
          <w:szCs w:val="22"/>
          <w:lang w:val="sr-Latn-ME"/>
        </w:rPr>
        <w:t xml:space="preserve">. Zbog toga nije potrebna suplementacija </w:t>
      </w:r>
      <w:proofErr w:type="spellStart"/>
      <w:r w:rsidRPr="00D83C9F">
        <w:rPr>
          <w:sz w:val="22"/>
          <w:szCs w:val="22"/>
          <w:lang w:val="sr-Latn-ME"/>
        </w:rPr>
        <w:t>glukokortikoidima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mineralokortikoidima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3666BBD5" w14:textId="77777777" w:rsidR="005457A1" w:rsidRPr="00D83C9F" w:rsidRDefault="005457A1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1E40B545" w14:textId="71ABCC51" w:rsidR="005457A1" w:rsidRPr="00D83C9F" w:rsidRDefault="005457A1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Ni</w:t>
      </w:r>
      <w:r w:rsidR="00BB5299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zabilježene promjene u koncentracijama </w:t>
      </w:r>
      <w:proofErr w:type="spellStart"/>
      <w:r w:rsidRPr="00D83C9F">
        <w:rPr>
          <w:sz w:val="22"/>
          <w:szCs w:val="22"/>
          <w:lang w:val="sr-Latn-ME"/>
        </w:rPr>
        <w:t>androgena</w:t>
      </w:r>
      <w:proofErr w:type="spellEnd"/>
      <w:r w:rsidRPr="00D83C9F">
        <w:rPr>
          <w:sz w:val="22"/>
          <w:szCs w:val="22"/>
          <w:lang w:val="sr-Latn-ME"/>
        </w:rPr>
        <w:t xml:space="preserve"> u plazmi (</w:t>
      </w:r>
      <w:proofErr w:type="spellStart"/>
      <w:r w:rsidRPr="00D83C9F">
        <w:rPr>
          <w:sz w:val="22"/>
          <w:szCs w:val="22"/>
          <w:lang w:val="sr-Latn-ME"/>
        </w:rPr>
        <w:t>androstendiona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testosterona</w:t>
      </w:r>
      <w:proofErr w:type="spellEnd"/>
      <w:r w:rsidRPr="00D83C9F">
        <w:rPr>
          <w:sz w:val="22"/>
          <w:szCs w:val="22"/>
          <w:lang w:val="sr-Latn-ME"/>
        </w:rPr>
        <w:t xml:space="preserve">) kod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nakon primjene 0,1 mg, 0,5 mg i 2,5 mg, pojedinačne doze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, niti u koncentracijama </w:t>
      </w:r>
      <w:proofErr w:type="spellStart"/>
      <w:r w:rsidRPr="00D83C9F">
        <w:rPr>
          <w:sz w:val="22"/>
          <w:szCs w:val="22"/>
          <w:lang w:val="sr-Latn-ME"/>
        </w:rPr>
        <w:t>androstendiona</w:t>
      </w:r>
      <w:proofErr w:type="spellEnd"/>
      <w:r w:rsidRPr="00D83C9F">
        <w:rPr>
          <w:sz w:val="22"/>
          <w:szCs w:val="22"/>
          <w:lang w:val="sr-Latn-ME"/>
        </w:rPr>
        <w:t xml:space="preserve"> u plazmi,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liječenih dnevnim dozama od 0,1 mg do 5 mg, što ukazuje da blokada </w:t>
      </w:r>
      <w:proofErr w:type="spellStart"/>
      <w:r w:rsidRPr="00D83C9F">
        <w:rPr>
          <w:sz w:val="22"/>
          <w:szCs w:val="22"/>
          <w:lang w:val="sr-Latn-ME"/>
        </w:rPr>
        <w:t>biosinteze</w:t>
      </w:r>
      <w:proofErr w:type="spellEnd"/>
      <w:r w:rsidRPr="00D83C9F">
        <w:rPr>
          <w:sz w:val="22"/>
          <w:szCs w:val="22"/>
          <w:lang w:val="sr-Latn-ME"/>
        </w:rPr>
        <w:t xml:space="preserve"> estrogena ne dovodi do akumulacije </w:t>
      </w:r>
      <w:proofErr w:type="spellStart"/>
      <w:r w:rsidRPr="00D83C9F">
        <w:rPr>
          <w:sz w:val="22"/>
          <w:szCs w:val="22"/>
          <w:lang w:val="sr-Latn-ME"/>
        </w:rPr>
        <w:t>androgenih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prekursora</w:t>
      </w:r>
      <w:proofErr w:type="spellEnd"/>
      <w:r w:rsidRPr="00D83C9F">
        <w:rPr>
          <w:sz w:val="22"/>
          <w:szCs w:val="22"/>
          <w:lang w:val="sr-Latn-ME"/>
        </w:rPr>
        <w:t xml:space="preserve">.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ne utiče na vrijednost LH i FSH, niti na funkciju </w:t>
      </w:r>
      <w:r w:rsidR="00BB5299" w:rsidRPr="00D83C9F">
        <w:rPr>
          <w:sz w:val="22"/>
          <w:szCs w:val="22"/>
          <w:lang w:val="sr-Latn-ME"/>
        </w:rPr>
        <w:t>štitaste</w:t>
      </w:r>
      <w:r w:rsidRPr="00D83C9F">
        <w:rPr>
          <w:sz w:val="22"/>
          <w:szCs w:val="22"/>
          <w:lang w:val="sr-Latn-ME"/>
        </w:rPr>
        <w:t xml:space="preserve"> žl</w:t>
      </w:r>
      <w:r w:rsidR="00BB5299" w:rsidRPr="00D83C9F">
        <w:rPr>
          <w:sz w:val="22"/>
          <w:szCs w:val="22"/>
          <w:lang w:val="sr-Latn-ME"/>
        </w:rPr>
        <w:t>ij</w:t>
      </w:r>
      <w:r w:rsidRPr="00D83C9F">
        <w:rPr>
          <w:sz w:val="22"/>
          <w:szCs w:val="22"/>
          <w:lang w:val="sr-Latn-ME"/>
        </w:rPr>
        <w:t>ezde, na osnovu procjene vrijednosti</w:t>
      </w:r>
      <w:r w:rsidR="00BB5299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TSH, T4 i T3.</w:t>
      </w:r>
    </w:p>
    <w:p w14:paraId="66CA3669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376D835" w14:textId="69064430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bCs/>
          <w:i/>
          <w:iCs/>
          <w:sz w:val="22"/>
          <w:szCs w:val="22"/>
          <w:u w:val="single"/>
          <w:lang w:val="sr-Latn-ME"/>
        </w:rPr>
      </w:pPr>
      <w:proofErr w:type="spellStart"/>
      <w:r w:rsidRPr="00D83C9F">
        <w:rPr>
          <w:bCs/>
          <w:i/>
          <w:iCs/>
          <w:sz w:val="22"/>
          <w:szCs w:val="22"/>
          <w:u w:val="single"/>
          <w:lang w:val="sr-Latn-ME"/>
        </w:rPr>
        <w:t>Adjuvantna</w:t>
      </w:r>
      <w:proofErr w:type="spellEnd"/>
      <w:r w:rsidRPr="00D83C9F">
        <w:rPr>
          <w:bCs/>
          <w:i/>
          <w:iCs/>
          <w:sz w:val="22"/>
          <w:szCs w:val="22"/>
          <w:u w:val="single"/>
          <w:lang w:val="sr-Latn-ME"/>
        </w:rPr>
        <w:t xml:space="preserve"> terapija</w:t>
      </w:r>
    </w:p>
    <w:p w14:paraId="3072E125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bCs/>
          <w:i/>
          <w:iCs/>
          <w:sz w:val="22"/>
          <w:szCs w:val="22"/>
          <w:u w:val="single"/>
          <w:lang w:val="sr-Latn-ME"/>
        </w:rPr>
      </w:pPr>
    </w:p>
    <w:p w14:paraId="71512F4F" w14:textId="77777777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D83C9F">
        <w:rPr>
          <w:bCs/>
          <w:i/>
          <w:iCs/>
          <w:sz w:val="22"/>
          <w:szCs w:val="22"/>
          <w:u w:val="single"/>
          <w:lang w:val="sr-Latn-ME"/>
        </w:rPr>
        <w:t xml:space="preserve">Studija BIG 1-98 </w:t>
      </w:r>
    </w:p>
    <w:p w14:paraId="5290E388" w14:textId="1AB888C6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BIG-98 je bila </w:t>
      </w:r>
      <w:proofErr w:type="spellStart"/>
      <w:r w:rsidRPr="00D83C9F">
        <w:rPr>
          <w:sz w:val="22"/>
          <w:szCs w:val="22"/>
          <w:lang w:val="sr-Latn-ME"/>
        </w:rPr>
        <w:t>multicentrična</w:t>
      </w:r>
      <w:proofErr w:type="spellEnd"/>
      <w:r w:rsidRPr="00D83C9F">
        <w:rPr>
          <w:sz w:val="22"/>
          <w:szCs w:val="22"/>
          <w:lang w:val="sr-Latn-ME"/>
        </w:rPr>
        <w:t xml:space="preserve">, dvostruko-slijepa studija u kojoj je </w:t>
      </w:r>
      <w:proofErr w:type="spellStart"/>
      <w:r w:rsidRPr="00D83C9F">
        <w:rPr>
          <w:sz w:val="22"/>
          <w:szCs w:val="22"/>
          <w:lang w:val="sr-Latn-ME"/>
        </w:rPr>
        <w:t>preko</w:t>
      </w:r>
      <w:proofErr w:type="spellEnd"/>
      <w:r w:rsidRPr="00D83C9F">
        <w:rPr>
          <w:sz w:val="22"/>
          <w:szCs w:val="22"/>
          <w:lang w:val="sr-Latn-ME"/>
        </w:rPr>
        <w:t xml:space="preserve"> 8,000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sa ranim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 i pozitivnim hormonskim receptorima </w:t>
      </w:r>
      <w:proofErr w:type="spellStart"/>
      <w:r w:rsidRPr="00D83C9F">
        <w:rPr>
          <w:sz w:val="22"/>
          <w:szCs w:val="22"/>
          <w:lang w:val="sr-Latn-ME"/>
        </w:rPr>
        <w:t>randomiz</w:t>
      </w:r>
      <w:r w:rsidR="00684660" w:rsidRPr="00D83C9F">
        <w:rPr>
          <w:sz w:val="22"/>
          <w:szCs w:val="22"/>
          <w:lang w:val="sr-Latn-ME"/>
        </w:rPr>
        <w:t>ov</w:t>
      </w:r>
      <w:r w:rsidRPr="00D83C9F">
        <w:rPr>
          <w:sz w:val="22"/>
          <w:szCs w:val="22"/>
          <w:lang w:val="sr-Latn-ME"/>
        </w:rPr>
        <w:t>ano</w:t>
      </w:r>
      <w:proofErr w:type="spellEnd"/>
      <w:r w:rsidRPr="00D83C9F">
        <w:rPr>
          <w:sz w:val="22"/>
          <w:szCs w:val="22"/>
          <w:lang w:val="sr-Latn-ME"/>
        </w:rPr>
        <w:t xml:space="preserve"> u </w:t>
      </w:r>
      <w:r w:rsidR="001D1CD6" w:rsidRPr="00D83C9F">
        <w:rPr>
          <w:sz w:val="22"/>
          <w:szCs w:val="22"/>
          <w:lang w:val="sr-Latn-ME"/>
        </w:rPr>
        <w:t xml:space="preserve">jednu od sljedećih terapijskih </w:t>
      </w:r>
      <w:r w:rsidRPr="00D83C9F">
        <w:rPr>
          <w:sz w:val="22"/>
          <w:szCs w:val="22"/>
          <w:lang w:val="sr-Latn-ME"/>
        </w:rPr>
        <w:t>grupa:</w:t>
      </w:r>
    </w:p>
    <w:p w14:paraId="1B75BFBC" w14:textId="77777777" w:rsidR="005457A1" w:rsidRPr="00D83C9F" w:rsidRDefault="005457A1" w:rsidP="00CE1E1D">
      <w:pPr>
        <w:pStyle w:val="BodyTextIndent3"/>
        <w:numPr>
          <w:ilvl w:val="0"/>
          <w:numId w:val="13"/>
        </w:numPr>
        <w:tabs>
          <w:tab w:val="left" w:pos="284"/>
        </w:tabs>
        <w:spacing w:after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tokom 5 godina;</w:t>
      </w:r>
    </w:p>
    <w:p w14:paraId="0F495548" w14:textId="3463DCD6" w:rsidR="005457A1" w:rsidRPr="00D83C9F" w:rsidRDefault="005457A1" w:rsidP="00CE1E1D">
      <w:pPr>
        <w:pStyle w:val="BodyTextIndent3"/>
        <w:numPr>
          <w:ilvl w:val="0"/>
          <w:numId w:val="13"/>
        </w:numPr>
        <w:tabs>
          <w:tab w:val="left" w:pos="284"/>
        </w:tabs>
        <w:spacing w:after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tokom 5 godina;</w:t>
      </w:r>
    </w:p>
    <w:p w14:paraId="0B5977A9" w14:textId="23A63243" w:rsidR="005457A1" w:rsidRPr="00D83C9F" w:rsidRDefault="005457A1" w:rsidP="00CE1E1D">
      <w:pPr>
        <w:pStyle w:val="BodyTextIndent3"/>
        <w:numPr>
          <w:ilvl w:val="0"/>
          <w:numId w:val="13"/>
        </w:numPr>
        <w:tabs>
          <w:tab w:val="left" w:pos="284"/>
        </w:tabs>
        <w:spacing w:after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tokom 2 godine, nakon toga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tokom</w:t>
      </w:r>
      <w:r w:rsidRPr="00D83C9F">
        <w:rPr>
          <w:sz w:val="22"/>
          <w:szCs w:val="22"/>
          <w:vertAlign w:val="superscript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3 godine;</w:t>
      </w:r>
    </w:p>
    <w:p w14:paraId="02505355" w14:textId="39E2FAB3" w:rsidR="005457A1" w:rsidRPr="00D83C9F" w:rsidRDefault="005457A1" w:rsidP="00CE1E1D">
      <w:pPr>
        <w:pStyle w:val="BodyTextIndent3"/>
        <w:numPr>
          <w:ilvl w:val="0"/>
          <w:numId w:val="13"/>
        </w:numPr>
        <w:tabs>
          <w:tab w:val="left" w:pos="284"/>
        </w:tabs>
        <w:spacing w:after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tokom 2 godine, nakon toga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tokom 3 godine</w:t>
      </w:r>
    </w:p>
    <w:p w14:paraId="5E999B8D" w14:textId="77777777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644"/>
        <w:jc w:val="both"/>
        <w:rPr>
          <w:sz w:val="22"/>
          <w:szCs w:val="22"/>
          <w:lang w:val="sr-Latn-ME"/>
        </w:rPr>
      </w:pPr>
    </w:p>
    <w:p w14:paraId="45F1487E" w14:textId="6561196B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Primarni </w:t>
      </w:r>
      <w:r w:rsidR="001D1CD6" w:rsidRPr="00D83C9F">
        <w:rPr>
          <w:sz w:val="22"/>
          <w:szCs w:val="22"/>
          <w:lang w:val="sr-Latn-ME"/>
        </w:rPr>
        <w:t>parametar praćenja</w:t>
      </w:r>
      <w:r w:rsidRPr="00D83C9F">
        <w:rPr>
          <w:sz w:val="22"/>
          <w:szCs w:val="22"/>
          <w:lang w:val="sr-Latn-ME"/>
        </w:rPr>
        <w:t xml:space="preserve"> studije bio je preživljavanje bez bolesti (</w:t>
      </w:r>
      <w:proofErr w:type="spellStart"/>
      <w:r w:rsidRPr="00D83C9F">
        <w:rPr>
          <w:i/>
          <w:sz w:val="22"/>
          <w:szCs w:val="22"/>
          <w:lang w:val="sr-Latn-ME"/>
        </w:rPr>
        <w:t>disease-free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survival</w:t>
      </w:r>
      <w:proofErr w:type="spellEnd"/>
      <w:r w:rsidRPr="00D83C9F">
        <w:rPr>
          <w:i/>
          <w:sz w:val="22"/>
          <w:szCs w:val="22"/>
          <w:lang w:val="sr-Latn-ME"/>
        </w:rPr>
        <w:t>, DFS</w:t>
      </w:r>
      <w:r w:rsidRPr="00D83C9F">
        <w:rPr>
          <w:sz w:val="22"/>
          <w:szCs w:val="22"/>
          <w:lang w:val="sr-Latn-ME"/>
        </w:rPr>
        <w:t xml:space="preserve">), sekundarni </w:t>
      </w:r>
      <w:r w:rsidR="001D1CD6" w:rsidRPr="00D83C9F">
        <w:rPr>
          <w:sz w:val="22"/>
          <w:szCs w:val="22"/>
          <w:lang w:val="sr-Latn-ME"/>
        </w:rPr>
        <w:t>parametar praćenja</w:t>
      </w:r>
      <w:r w:rsidRPr="00D83C9F">
        <w:rPr>
          <w:sz w:val="22"/>
          <w:szCs w:val="22"/>
          <w:lang w:val="sr-Latn-ME"/>
        </w:rPr>
        <w:t xml:space="preserve"> efikasnosti bio je vrijeme do pojave udaljenih metastaza (</w:t>
      </w:r>
      <w:r w:rsidRPr="00D83C9F">
        <w:rPr>
          <w:i/>
          <w:sz w:val="22"/>
          <w:szCs w:val="22"/>
          <w:lang w:val="sr-Latn-ME"/>
        </w:rPr>
        <w:t xml:space="preserve">time to </w:t>
      </w:r>
      <w:proofErr w:type="spellStart"/>
      <w:r w:rsidRPr="00D83C9F">
        <w:rPr>
          <w:i/>
          <w:sz w:val="22"/>
          <w:szCs w:val="22"/>
          <w:lang w:val="sr-Latn-ME"/>
        </w:rPr>
        <w:t>distant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metastasis</w:t>
      </w:r>
      <w:proofErr w:type="spellEnd"/>
      <w:r w:rsidRPr="00D83C9F">
        <w:rPr>
          <w:i/>
          <w:sz w:val="22"/>
          <w:szCs w:val="22"/>
          <w:lang w:val="sr-Latn-ME"/>
        </w:rPr>
        <w:t>, TDM</w:t>
      </w:r>
      <w:r w:rsidRPr="00D83C9F">
        <w:rPr>
          <w:sz w:val="22"/>
          <w:szCs w:val="22"/>
          <w:lang w:val="sr-Latn-ME"/>
        </w:rPr>
        <w:t>), preživljavanje bez povratka udaljene bolesti (</w:t>
      </w:r>
      <w:proofErr w:type="spellStart"/>
      <w:r w:rsidRPr="00D83C9F">
        <w:rPr>
          <w:i/>
          <w:sz w:val="22"/>
          <w:szCs w:val="22"/>
          <w:lang w:val="sr-Latn-ME"/>
        </w:rPr>
        <w:t>distant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disease-free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survival</w:t>
      </w:r>
      <w:proofErr w:type="spellEnd"/>
      <w:r w:rsidRPr="00D83C9F">
        <w:rPr>
          <w:i/>
          <w:sz w:val="22"/>
          <w:szCs w:val="22"/>
          <w:lang w:val="sr-Latn-ME"/>
        </w:rPr>
        <w:t>, DDFS</w:t>
      </w:r>
      <w:r w:rsidRPr="00D83C9F">
        <w:rPr>
          <w:sz w:val="22"/>
          <w:szCs w:val="22"/>
          <w:lang w:val="sr-Latn-ME"/>
        </w:rPr>
        <w:t>), ukupno preživljavanje (</w:t>
      </w:r>
      <w:proofErr w:type="spellStart"/>
      <w:r w:rsidRPr="00D83C9F">
        <w:rPr>
          <w:i/>
          <w:sz w:val="22"/>
          <w:szCs w:val="22"/>
          <w:lang w:val="sr-Latn-ME"/>
        </w:rPr>
        <w:t>overall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survival</w:t>
      </w:r>
      <w:proofErr w:type="spellEnd"/>
      <w:r w:rsidRPr="00D83C9F">
        <w:rPr>
          <w:i/>
          <w:sz w:val="22"/>
          <w:szCs w:val="22"/>
          <w:lang w:val="sr-Latn-ME"/>
        </w:rPr>
        <w:t>, OS</w:t>
      </w:r>
      <w:r w:rsidRPr="00D83C9F">
        <w:rPr>
          <w:sz w:val="22"/>
          <w:szCs w:val="22"/>
          <w:lang w:val="sr-Latn-ME"/>
        </w:rPr>
        <w:t>), preživljavanje bez sistemske bolesti (</w:t>
      </w:r>
      <w:proofErr w:type="spellStart"/>
      <w:r w:rsidRPr="00D83C9F">
        <w:rPr>
          <w:i/>
          <w:sz w:val="22"/>
          <w:szCs w:val="22"/>
          <w:lang w:val="sr-Latn-ME"/>
        </w:rPr>
        <w:t>systemic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disease-free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survival</w:t>
      </w:r>
      <w:proofErr w:type="spellEnd"/>
      <w:r w:rsidRPr="00D83C9F">
        <w:rPr>
          <w:i/>
          <w:sz w:val="22"/>
          <w:szCs w:val="22"/>
          <w:lang w:val="sr-Latn-ME"/>
        </w:rPr>
        <w:t>, SDFS</w:t>
      </w:r>
      <w:r w:rsidRPr="00D83C9F">
        <w:rPr>
          <w:sz w:val="22"/>
          <w:szCs w:val="22"/>
          <w:lang w:val="sr-Latn-ME"/>
        </w:rPr>
        <w:t xml:space="preserve">), </w:t>
      </w:r>
      <w:proofErr w:type="spellStart"/>
      <w:r w:rsidRPr="00D83C9F">
        <w:rPr>
          <w:sz w:val="22"/>
          <w:szCs w:val="22"/>
          <w:lang w:val="sr-Latn-ME"/>
        </w:rPr>
        <w:t>invazivni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kontralateralni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</w:t>
      </w:r>
      <w:proofErr w:type="spellEnd"/>
      <w:r w:rsidRPr="00D83C9F">
        <w:rPr>
          <w:sz w:val="22"/>
          <w:szCs w:val="22"/>
          <w:lang w:val="sr-Latn-ME"/>
        </w:rPr>
        <w:t xml:space="preserve"> dojke i vrijeme do ponovne pojave </w:t>
      </w:r>
      <w:proofErr w:type="spellStart"/>
      <w:r w:rsidRPr="00D83C9F">
        <w:rPr>
          <w:sz w:val="22"/>
          <w:szCs w:val="22"/>
          <w:lang w:val="sr-Latn-ME"/>
        </w:rPr>
        <w:t>karcinoma</w:t>
      </w:r>
      <w:proofErr w:type="spellEnd"/>
      <w:r w:rsidRPr="00D83C9F">
        <w:rPr>
          <w:sz w:val="22"/>
          <w:szCs w:val="22"/>
          <w:lang w:val="sr-Latn-ME"/>
        </w:rPr>
        <w:t xml:space="preserve"> dojke.</w:t>
      </w:r>
    </w:p>
    <w:p w14:paraId="294FB9C4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5476D334" w14:textId="77777777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bCs/>
          <w:i/>
          <w:iCs/>
          <w:sz w:val="22"/>
          <w:szCs w:val="22"/>
          <w:lang w:val="sr-Latn-ME"/>
        </w:rPr>
      </w:pPr>
      <w:r w:rsidRPr="00D83C9F">
        <w:rPr>
          <w:bCs/>
          <w:i/>
          <w:iCs/>
          <w:sz w:val="22"/>
          <w:szCs w:val="22"/>
          <w:lang w:val="sr-Latn-ME"/>
        </w:rPr>
        <w:t xml:space="preserve">Rezultati efikasnosti pri srednjem </w:t>
      </w:r>
      <w:proofErr w:type="spellStart"/>
      <w:r w:rsidRPr="00D83C9F">
        <w:rPr>
          <w:bCs/>
          <w:i/>
          <w:iCs/>
          <w:sz w:val="22"/>
          <w:szCs w:val="22"/>
          <w:lang w:val="sr-Latn-ME"/>
        </w:rPr>
        <w:t>vremenu</w:t>
      </w:r>
      <w:proofErr w:type="spellEnd"/>
      <w:r w:rsidRPr="00D83C9F">
        <w:rPr>
          <w:bCs/>
          <w:i/>
          <w:iCs/>
          <w:sz w:val="22"/>
          <w:szCs w:val="22"/>
          <w:lang w:val="sr-Latn-ME"/>
        </w:rPr>
        <w:t xml:space="preserve"> praćenja od 26 do 60 mjeseci </w:t>
      </w:r>
    </w:p>
    <w:p w14:paraId="6D914C07" w14:textId="20A9AFF0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Tabeli 4 su prikazani rezultati </w:t>
      </w:r>
      <w:r w:rsidR="00DC03EC" w:rsidRPr="00D83C9F">
        <w:rPr>
          <w:sz w:val="22"/>
          <w:szCs w:val="22"/>
          <w:lang w:val="sr-Latn-ME"/>
        </w:rPr>
        <w:t>primarne temeljne analize</w:t>
      </w:r>
      <w:r w:rsidRPr="00D83C9F">
        <w:rPr>
          <w:sz w:val="22"/>
          <w:szCs w:val="22"/>
          <w:lang w:val="sr-Latn-ME"/>
        </w:rPr>
        <w:t xml:space="preserve"> (</w:t>
      </w:r>
      <w:proofErr w:type="spellStart"/>
      <w:r w:rsidRPr="00D83C9F">
        <w:rPr>
          <w:i/>
          <w:sz w:val="22"/>
          <w:szCs w:val="22"/>
          <w:lang w:val="sr-Latn-ME"/>
        </w:rPr>
        <w:t>Primary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Core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Analysis</w:t>
      </w:r>
      <w:proofErr w:type="spellEnd"/>
      <w:r w:rsidRPr="00D83C9F">
        <w:rPr>
          <w:sz w:val="22"/>
          <w:szCs w:val="22"/>
          <w:lang w:val="sr-Latn-ME"/>
        </w:rPr>
        <w:t>) na osnovu podataka</w:t>
      </w:r>
      <w:r w:rsidR="00DC03EC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iz grupe koje su dobijale </w:t>
      </w:r>
      <w:proofErr w:type="spellStart"/>
      <w:r w:rsidRPr="00D83C9F">
        <w:rPr>
          <w:sz w:val="22"/>
          <w:szCs w:val="22"/>
          <w:lang w:val="sr-Latn-ME"/>
        </w:rPr>
        <w:t>monoterapiju</w:t>
      </w:r>
      <w:proofErr w:type="spellEnd"/>
      <w:r w:rsidRPr="00D83C9F">
        <w:rPr>
          <w:sz w:val="22"/>
          <w:szCs w:val="22"/>
          <w:lang w:val="sr-Latn-ME"/>
        </w:rPr>
        <w:t xml:space="preserve"> (A i B) i iz dvije grupe </w:t>
      </w:r>
      <w:r w:rsidR="00DC03EC" w:rsidRPr="00D83C9F">
        <w:rPr>
          <w:sz w:val="22"/>
          <w:szCs w:val="22"/>
          <w:lang w:val="sr-Latn-ME"/>
        </w:rPr>
        <w:t>u kojima je došlo do promjene</w:t>
      </w:r>
      <w:r w:rsidRPr="00D83C9F">
        <w:rPr>
          <w:sz w:val="22"/>
          <w:szCs w:val="22"/>
          <w:lang w:val="sr-Latn-ME"/>
        </w:rPr>
        <w:t xml:space="preserve"> terapij</w:t>
      </w:r>
      <w:r w:rsidR="00DC03EC" w:rsidRPr="00D83C9F">
        <w:rPr>
          <w:sz w:val="22"/>
          <w:szCs w:val="22"/>
          <w:lang w:val="sr-Latn-ME"/>
        </w:rPr>
        <w:t>e</w:t>
      </w:r>
      <w:r w:rsidRPr="00D83C9F">
        <w:rPr>
          <w:sz w:val="22"/>
          <w:szCs w:val="22"/>
          <w:lang w:val="sr-Latn-ME"/>
        </w:rPr>
        <w:t xml:space="preserve"> (C i D), pri srednjem </w:t>
      </w:r>
      <w:proofErr w:type="spellStart"/>
      <w:r w:rsidRPr="00D83C9F">
        <w:rPr>
          <w:sz w:val="22"/>
          <w:szCs w:val="22"/>
          <w:lang w:val="sr-Latn-ME"/>
        </w:rPr>
        <w:t>vremenu</w:t>
      </w:r>
      <w:proofErr w:type="spellEnd"/>
      <w:r w:rsidRPr="00D83C9F">
        <w:rPr>
          <w:sz w:val="22"/>
          <w:szCs w:val="22"/>
          <w:lang w:val="sr-Latn-ME"/>
        </w:rPr>
        <w:t xml:space="preserve"> trajanja terapije od 24 mjeseca i srednjim </w:t>
      </w:r>
      <w:proofErr w:type="spellStart"/>
      <w:r w:rsidRPr="00D83C9F">
        <w:rPr>
          <w:sz w:val="22"/>
          <w:szCs w:val="22"/>
          <w:lang w:val="sr-Latn-ME"/>
        </w:rPr>
        <w:t>vremenom</w:t>
      </w:r>
      <w:proofErr w:type="spellEnd"/>
      <w:r w:rsidRPr="00D83C9F">
        <w:rPr>
          <w:sz w:val="22"/>
          <w:szCs w:val="22"/>
          <w:lang w:val="sr-Latn-ME"/>
        </w:rPr>
        <w:t xml:space="preserve"> praćenja od 26 mjeseci i pri srednjem </w:t>
      </w:r>
      <w:proofErr w:type="spellStart"/>
      <w:r w:rsidRPr="00D83C9F">
        <w:rPr>
          <w:sz w:val="22"/>
          <w:szCs w:val="22"/>
          <w:lang w:val="sr-Latn-ME"/>
        </w:rPr>
        <w:t>vremenu</w:t>
      </w:r>
      <w:proofErr w:type="spellEnd"/>
      <w:r w:rsidRPr="00D83C9F">
        <w:rPr>
          <w:sz w:val="22"/>
          <w:szCs w:val="22"/>
          <w:lang w:val="sr-Latn-ME"/>
        </w:rPr>
        <w:t xml:space="preserve"> trajanja terapije od 32 mjeseca i srednjim </w:t>
      </w:r>
      <w:proofErr w:type="spellStart"/>
      <w:r w:rsidRPr="00D83C9F">
        <w:rPr>
          <w:sz w:val="22"/>
          <w:szCs w:val="22"/>
          <w:lang w:val="sr-Latn-ME"/>
        </w:rPr>
        <w:t>vremenom</w:t>
      </w:r>
      <w:proofErr w:type="spellEnd"/>
      <w:r w:rsidRPr="00D83C9F">
        <w:rPr>
          <w:sz w:val="22"/>
          <w:szCs w:val="22"/>
          <w:lang w:val="sr-Latn-ME"/>
        </w:rPr>
        <w:t xml:space="preserve"> praćenja od 60 mjeseci</w:t>
      </w:r>
      <w:r w:rsidR="00DC03EC" w:rsidRPr="00D83C9F">
        <w:rPr>
          <w:sz w:val="22"/>
          <w:szCs w:val="22"/>
          <w:lang w:val="sr-Latn-ME"/>
        </w:rPr>
        <w:t>.</w:t>
      </w:r>
    </w:p>
    <w:p w14:paraId="28CF495B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7A1E9616" w14:textId="7148CD2C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lastRenderedPageBreak/>
        <w:t xml:space="preserve">Petogodišnje DFS vrijednosti bile su 84 % za </w:t>
      </w:r>
      <w:proofErr w:type="spellStart"/>
      <w:r w:rsidR="00FB0071"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 81,4 % za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10F402F4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0270B96A" w14:textId="7E7137D4" w:rsidR="005457A1" w:rsidRPr="00D83C9F" w:rsidRDefault="005457A1" w:rsidP="00CE1E1D">
      <w:pPr>
        <w:pStyle w:val="BodyTextIndent3"/>
        <w:tabs>
          <w:tab w:val="left" w:pos="284"/>
        </w:tabs>
        <w:spacing w:after="0"/>
        <w:ind w:left="0"/>
        <w:jc w:val="both"/>
        <w:rPr>
          <w:b/>
          <w:sz w:val="22"/>
          <w:szCs w:val="22"/>
          <w:lang w:val="sr-Latn-ME"/>
        </w:rPr>
      </w:pPr>
      <w:r w:rsidRPr="00D83C9F">
        <w:rPr>
          <w:b/>
          <w:sz w:val="22"/>
          <w:szCs w:val="22"/>
          <w:lang w:val="sr-Latn-ME"/>
        </w:rPr>
        <w:t>Tabela 4.</w:t>
      </w:r>
      <w:r w:rsidRPr="00D83C9F">
        <w:rPr>
          <w:sz w:val="22"/>
          <w:szCs w:val="22"/>
          <w:lang w:val="sr-Latn-ME"/>
        </w:rPr>
        <w:t xml:space="preserve"> </w:t>
      </w:r>
      <w:r w:rsidRPr="00D83C9F">
        <w:rPr>
          <w:b/>
          <w:sz w:val="22"/>
          <w:szCs w:val="22"/>
          <w:lang w:val="sr-Latn-ME"/>
        </w:rPr>
        <w:t>Primarna temeljna analiza</w:t>
      </w:r>
      <w:r w:rsidRPr="00D83C9F">
        <w:rPr>
          <w:sz w:val="22"/>
          <w:szCs w:val="22"/>
          <w:lang w:val="sr-Latn-ME"/>
        </w:rPr>
        <w:t xml:space="preserve"> </w:t>
      </w:r>
      <w:r w:rsidRPr="00D83C9F">
        <w:rPr>
          <w:b/>
          <w:sz w:val="22"/>
          <w:szCs w:val="22"/>
          <w:lang w:val="sr-Latn-ME"/>
        </w:rPr>
        <w:t>(PCA):</w:t>
      </w:r>
      <w:r w:rsidRPr="00D83C9F">
        <w:rPr>
          <w:sz w:val="22"/>
          <w:szCs w:val="22"/>
          <w:lang w:val="sr-Latn-ME"/>
        </w:rPr>
        <w:t xml:space="preserve"> </w:t>
      </w:r>
      <w:r w:rsidRPr="00D83C9F">
        <w:rPr>
          <w:b/>
          <w:sz w:val="22"/>
          <w:szCs w:val="22"/>
          <w:lang w:val="sr-Latn-ME"/>
        </w:rPr>
        <w:t xml:space="preserve">Preživljavanje bez bolesti i ukupno preživljavanje, pri srednjem </w:t>
      </w:r>
      <w:proofErr w:type="spellStart"/>
      <w:r w:rsidRPr="00D83C9F">
        <w:rPr>
          <w:b/>
          <w:sz w:val="22"/>
          <w:szCs w:val="22"/>
          <w:lang w:val="sr-Latn-ME"/>
        </w:rPr>
        <w:t>vremenu</w:t>
      </w:r>
      <w:proofErr w:type="spellEnd"/>
      <w:r w:rsidRPr="00D83C9F">
        <w:rPr>
          <w:b/>
          <w:sz w:val="22"/>
          <w:szCs w:val="22"/>
          <w:lang w:val="sr-Latn-ME"/>
        </w:rPr>
        <w:t xml:space="preserve"> praćenja od 2</w:t>
      </w:r>
      <w:r w:rsidR="000F3F11" w:rsidRPr="00D83C9F">
        <w:rPr>
          <w:b/>
          <w:sz w:val="22"/>
          <w:szCs w:val="22"/>
          <w:lang w:val="sr-Latn-ME"/>
        </w:rPr>
        <w:t>6</w:t>
      </w:r>
      <w:r w:rsidRPr="00D83C9F">
        <w:rPr>
          <w:b/>
          <w:sz w:val="22"/>
          <w:szCs w:val="22"/>
          <w:lang w:val="sr-Latn-ME"/>
        </w:rPr>
        <w:t xml:space="preserve"> mjesec</w:t>
      </w:r>
      <w:r w:rsidR="000F3F11" w:rsidRPr="00D83C9F">
        <w:rPr>
          <w:b/>
          <w:sz w:val="22"/>
          <w:szCs w:val="22"/>
          <w:lang w:val="sr-Latn-ME"/>
        </w:rPr>
        <w:t>i</w:t>
      </w:r>
      <w:r w:rsidRPr="00D83C9F">
        <w:rPr>
          <w:b/>
          <w:sz w:val="22"/>
          <w:szCs w:val="22"/>
          <w:lang w:val="sr-Latn-ME"/>
        </w:rPr>
        <w:t xml:space="preserve"> i pri srednjem </w:t>
      </w:r>
      <w:proofErr w:type="spellStart"/>
      <w:r w:rsidRPr="00D83C9F">
        <w:rPr>
          <w:b/>
          <w:sz w:val="22"/>
          <w:szCs w:val="22"/>
          <w:lang w:val="sr-Latn-ME"/>
        </w:rPr>
        <w:t>vremenu</w:t>
      </w:r>
      <w:proofErr w:type="spellEnd"/>
      <w:r w:rsidRPr="00D83C9F">
        <w:rPr>
          <w:b/>
          <w:sz w:val="22"/>
          <w:szCs w:val="22"/>
          <w:lang w:val="sr-Latn-ME"/>
        </w:rPr>
        <w:t xml:space="preserve"> praćenja od 60 mjeseci (ITT populacija) </w:t>
      </w:r>
    </w:p>
    <w:p w14:paraId="5877CCBB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b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5"/>
        <w:gridCol w:w="1146"/>
        <w:gridCol w:w="1329"/>
        <w:gridCol w:w="1267"/>
        <w:gridCol w:w="1225"/>
        <w:gridCol w:w="1329"/>
        <w:gridCol w:w="1248"/>
      </w:tblGrid>
      <w:tr w:rsidR="004378E8" w:rsidRPr="00D83C9F" w14:paraId="0B0E920E" w14:textId="77777777" w:rsidTr="00856BB6">
        <w:trPr>
          <w:trHeight w:val="251"/>
        </w:trPr>
        <w:tc>
          <w:tcPr>
            <w:tcW w:w="813" w:type="pct"/>
          </w:tcPr>
          <w:p w14:paraId="3985CEE1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4187" w:type="pct"/>
            <w:gridSpan w:val="6"/>
          </w:tcPr>
          <w:p w14:paraId="5D5E707F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Primarna temeljna analiza (PCA)</w:t>
            </w:r>
          </w:p>
        </w:tc>
      </w:tr>
      <w:tr w:rsidR="004378E8" w:rsidRPr="00D83C9F" w14:paraId="36D5E93F" w14:textId="77777777" w:rsidTr="00856BB6">
        <w:trPr>
          <w:trHeight w:val="236"/>
        </w:trPr>
        <w:tc>
          <w:tcPr>
            <w:tcW w:w="813" w:type="pct"/>
          </w:tcPr>
          <w:p w14:paraId="4905D55D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2077" w:type="pct"/>
            <w:gridSpan w:val="3"/>
          </w:tcPr>
          <w:p w14:paraId="7FD7260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Srednje vrijeme praćenja 26 mjeseci</w:t>
            </w:r>
          </w:p>
        </w:tc>
        <w:tc>
          <w:tcPr>
            <w:tcW w:w="2110" w:type="pct"/>
            <w:gridSpan w:val="3"/>
          </w:tcPr>
          <w:p w14:paraId="7BDBB5AF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Srednje vrijeme praćenja 60 mjeseci</w:t>
            </w:r>
          </w:p>
        </w:tc>
      </w:tr>
      <w:tr w:rsidR="004378E8" w:rsidRPr="00D83C9F" w14:paraId="565C15C3" w14:textId="77777777" w:rsidTr="00856BB6">
        <w:trPr>
          <w:trHeight w:val="739"/>
        </w:trPr>
        <w:tc>
          <w:tcPr>
            <w:tcW w:w="813" w:type="pct"/>
          </w:tcPr>
          <w:p w14:paraId="4761D44D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652" w:type="pct"/>
          </w:tcPr>
          <w:p w14:paraId="0F1A7394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</w:p>
          <w:p w14:paraId="04D0B3EF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N=4003</w:t>
            </w:r>
          </w:p>
        </w:tc>
        <w:tc>
          <w:tcPr>
            <w:tcW w:w="706" w:type="pct"/>
          </w:tcPr>
          <w:p w14:paraId="5593900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Tamoksifen</w:t>
            </w:r>
            <w:proofErr w:type="spellEnd"/>
          </w:p>
          <w:p w14:paraId="1908F280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N=4007</w:t>
            </w:r>
          </w:p>
        </w:tc>
        <w:tc>
          <w:tcPr>
            <w:tcW w:w="718" w:type="pct"/>
          </w:tcPr>
          <w:p w14:paraId="074BD472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HR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1</w:t>
            </w:r>
          </w:p>
          <w:p w14:paraId="0321D8E2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(95 % CI)</w:t>
            </w:r>
          </w:p>
          <w:p w14:paraId="448A03CF" w14:textId="0D07D2A3" w:rsidR="004378E8" w:rsidRPr="00D83C9F" w:rsidRDefault="000F3F11" w:rsidP="00CE1E1D">
            <w:pPr>
              <w:tabs>
                <w:tab w:val="left" w:pos="284"/>
              </w:tabs>
              <w:jc w:val="center"/>
              <w:rPr>
                <w:b/>
                <w:i/>
                <w:iCs/>
                <w:sz w:val="22"/>
                <w:szCs w:val="22"/>
                <w:lang w:val="sr-Latn-ME"/>
              </w:rPr>
            </w:pPr>
            <w:r w:rsidRPr="00D83C9F">
              <w:rPr>
                <w:b/>
                <w:i/>
                <w:i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695" w:type="pct"/>
          </w:tcPr>
          <w:p w14:paraId="7DC0EE6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</w:p>
          <w:p w14:paraId="6D86937F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N=4003</w:t>
            </w:r>
          </w:p>
        </w:tc>
        <w:tc>
          <w:tcPr>
            <w:tcW w:w="707" w:type="pct"/>
          </w:tcPr>
          <w:p w14:paraId="5ED56440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Tamoksifen</w:t>
            </w:r>
            <w:proofErr w:type="spellEnd"/>
          </w:p>
          <w:p w14:paraId="3B73C17E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N=4007</w:t>
            </w:r>
          </w:p>
        </w:tc>
        <w:tc>
          <w:tcPr>
            <w:tcW w:w="708" w:type="pct"/>
          </w:tcPr>
          <w:p w14:paraId="62D2DB3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HR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1</w:t>
            </w:r>
          </w:p>
          <w:p w14:paraId="4E316C2E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(95 % CI)</w:t>
            </w:r>
          </w:p>
          <w:p w14:paraId="59100351" w14:textId="2CCDB4BA" w:rsidR="004378E8" w:rsidRPr="00D83C9F" w:rsidRDefault="000F3F11" w:rsidP="00CE1E1D">
            <w:pPr>
              <w:tabs>
                <w:tab w:val="left" w:pos="284"/>
              </w:tabs>
              <w:jc w:val="center"/>
              <w:rPr>
                <w:b/>
                <w:i/>
                <w:iCs/>
                <w:sz w:val="22"/>
                <w:szCs w:val="22"/>
                <w:lang w:val="sr-Latn-ME"/>
              </w:rPr>
            </w:pPr>
            <w:r w:rsidRPr="00D83C9F">
              <w:rPr>
                <w:b/>
                <w:i/>
                <w:iCs/>
                <w:sz w:val="22"/>
                <w:szCs w:val="22"/>
                <w:lang w:val="sr-Latn-ME"/>
              </w:rPr>
              <w:t>P</w:t>
            </w:r>
          </w:p>
        </w:tc>
      </w:tr>
      <w:tr w:rsidR="004378E8" w:rsidRPr="00D83C9F" w14:paraId="23F34860" w14:textId="77777777" w:rsidTr="00856BB6">
        <w:trPr>
          <w:trHeight w:val="1492"/>
        </w:trPr>
        <w:tc>
          <w:tcPr>
            <w:tcW w:w="813" w:type="pct"/>
            <w:tcBorders>
              <w:bottom w:val="single" w:sz="4" w:space="0" w:color="auto"/>
            </w:tcBorders>
          </w:tcPr>
          <w:p w14:paraId="25BBC3CA" w14:textId="1519FAAB" w:rsidR="004378E8" w:rsidRPr="00D83C9F" w:rsidRDefault="004378E8" w:rsidP="00CE1E1D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Preživljavanje bez bolesti (primarno) - događaji (definicija iz p</w:t>
            </w:r>
            <w:r w:rsidR="00FC3E25" w:rsidRPr="00D83C9F">
              <w:rPr>
                <w:sz w:val="22"/>
                <w:szCs w:val="22"/>
                <w:lang w:val="sr-Latn-ME"/>
              </w:rPr>
              <w:t>lana ispitivanja</w:t>
            </w:r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D83C9F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652" w:type="pct"/>
          </w:tcPr>
          <w:p w14:paraId="2F52F014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351</w:t>
            </w:r>
          </w:p>
        </w:tc>
        <w:tc>
          <w:tcPr>
            <w:tcW w:w="706" w:type="pct"/>
          </w:tcPr>
          <w:p w14:paraId="1BD104F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428</w:t>
            </w:r>
          </w:p>
        </w:tc>
        <w:tc>
          <w:tcPr>
            <w:tcW w:w="718" w:type="pct"/>
          </w:tcPr>
          <w:p w14:paraId="3CB90998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0,81</w:t>
            </w:r>
          </w:p>
          <w:p w14:paraId="21B1E217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403B45FA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(0,70,</w:t>
            </w:r>
          </w:p>
          <w:p w14:paraId="3CF85572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0,93)</w:t>
            </w:r>
          </w:p>
          <w:p w14:paraId="1DF2D726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08349364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(0,003)</w:t>
            </w:r>
          </w:p>
        </w:tc>
        <w:tc>
          <w:tcPr>
            <w:tcW w:w="695" w:type="pct"/>
          </w:tcPr>
          <w:p w14:paraId="64071AD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585</w:t>
            </w:r>
          </w:p>
        </w:tc>
        <w:tc>
          <w:tcPr>
            <w:tcW w:w="707" w:type="pct"/>
          </w:tcPr>
          <w:p w14:paraId="7F9DE78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664</w:t>
            </w:r>
          </w:p>
        </w:tc>
        <w:tc>
          <w:tcPr>
            <w:tcW w:w="708" w:type="pct"/>
          </w:tcPr>
          <w:p w14:paraId="67C7E0B6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0,86</w:t>
            </w:r>
          </w:p>
          <w:p w14:paraId="7A0488A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1AFB1CA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2E87E0B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(0,77, 0,96)</w:t>
            </w:r>
          </w:p>
          <w:p w14:paraId="2DC43AA6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5C0AC34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(0,008)</w:t>
            </w:r>
          </w:p>
        </w:tc>
      </w:tr>
      <w:tr w:rsidR="004378E8" w:rsidRPr="00D83C9F" w14:paraId="15588774" w14:textId="77777777" w:rsidTr="00856BB6">
        <w:trPr>
          <w:trHeight w:val="1492"/>
        </w:trPr>
        <w:tc>
          <w:tcPr>
            <w:tcW w:w="813" w:type="pct"/>
          </w:tcPr>
          <w:p w14:paraId="472C57D4" w14:textId="5D66AAA8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Ukupno preživlj</w:t>
            </w:r>
            <w:r w:rsidR="00684660" w:rsidRPr="00D83C9F">
              <w:rPr>
                <w:sz w:val="22"/>
                <w:szCs w:val="22"/>
                <w:lang w:val="sr-Latn-ME"/>
              </w:rPr>
              <w:t>a</w:t>
            </w:r>
            <w:r w:rsidRPr="00D83C9F">
              <w:rPr>
                <w:sz w:val="22"/>
                <w:szCs w:val="22"/>
                <w:lang w:val="sr-Latn-ME"/>
              </w:rPr>
              <w:t>vanje (sekundarno)</w:t>
            </w:r>
          </w:p>
          <w:p w14:paraId="0B322866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  <w:p w14:paraId="1E44965E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Broj smrtnih slučajeva</w:t>
            </w:r>
          </w:p>
        </w:tc>
        <w:tc>
          <w:tcPr>
            <w:tcW w:w="652" w:type="pct"/>
          </w:tcPr>
          <w:p w14:paraId="4849484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166</w:t>
            </w:r>
          </w:p>
        </w:tc>
        <w:tc>
          <w:tcPr>
            <w:tcW w:w="706" w:type="pct"/>
          </w:tcPr>
          <w:p w14:paraId="3E6775A2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192</w:t>
            </w:r>
          </w:p>
        </w:tc>
        <w:tc>
          <w:tcPr>
            <w:tcW w:w="718" w:type="pct"/>
          </w:tcPr>
          <w:p w14:paraId="2218A284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0, 86</w:t>
            </w:r>
          </w:p>
          <w:p w14:paraId="261F738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1FA0BAA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74251E4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4F07C843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(0, 70, 1,06)</w:t>
            </w:r>
          </w:p>
        </w:tc>
        <w:tc>
          <w:tcPr>
            <w:tcW w:w="695" w:type="pct"/>
          </w:tcPr>
          <w:p w14:paraId="789A81F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330</w:t>
            </w:r>
          </w:p>
        </w:tc>
        <w:tc>
          <w:tcPr>
            <w:tcW w:w="707" w:type="pct"/>
          </w:tcPr>
          <w:p w14:paraId="5A79A3F8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374</w:t>
            </w:r>
          </w:p>
        </w:tc>
        <w:tc>
          <w:tcPr>
            <w:tcW w:w="708" w:type="pct"/>
          </w:tcPr>
          <w:p w14:paraId="07945204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0, 87</w:t>
            </w:r>
          </w:p>
          <w:p w14:paraId="601B0CA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08C1ABDB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08EA98B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  <w:p w14:paraId="2AF1B27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(0, 75, 1,01)</w:t>
            </w:r>
          </w:p>
        </w:tc>
      </w:tr>
      <w:tr w:rsidR="004378E8" w:rsidRPr="00D83C9F" w14:paraId="7B74142F" w14:textId="77777777" w:rsidTr="00856BB6">
        <w:trPr>
          <w:trHeight w:val="1507"/>
        </w:trPr>
        <w:tc>
          <w:tcPr>
            <w:tcW w:w="5000" w:type="pct"/>
            <w:gridSpan w:val="7"/>
          </w:tcPr>
          <w:p w14:paraId="0051292A" w14:textId="5918FDC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HR = </w:t>
            </w:r>
            <w:r w:rsidR="001D1CD6" w:rsidRPr="00D83C9F">
              <w:rPr>
                <w:sz w:val="22"/>
                <w:szCs w:val="22"/>
                <w:lang w:val="sr-Latn-ME"/>
              </w:rPr>
              <w:t>odnos</w:t>
            </w:r>
            <w:r w:rsidRPr="00D83C9F">
              <w:rPr>
                <w:sz w:val="22"/>
                <w:szCs w:val="22"/>
                <w:lang w:val="sr-Latn-ME"/>
              </w:rPr>
              <w:t xml:space="preserve"> rizika; CI = interval pouzdanosti</w:t>
            </w:r>
          </w:p>
          <w:p w14:paraId="44A4D054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sz w:val="22"/>
                <w:szCs w:val="22"/>
                <w:lang w:val="sr-Latn-ME"/>
              </w:rPr>
              <w:t xml:space="preserve"> Log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rank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test, stratifikovano prema opciji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randomizacije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i primjeni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hemioterapije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(da/ne)</w:t>
            </w:r>
          </w:p>
          <w:p w14:paraId="01D8F678" w14:textId="2A217250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D83C9F">
              <w:rPr>
                <w:sz w:val="22"/>
                <w:szCs w:val="22"/>
                <w:lang w:val="sr-Latn-ME"/>
              </w:rPr>
              <w:t xml:space="preserve"> DFS događaji; ponovna</w:t>
            </w:r>
            <w:r w:rsidR="00FC3E25" w:rsidRPr="00D83C9F">
              <w:rPr>
                <w:sz w:val="22"/>
                <w:szCs w:val="22"/>
                <w:lang w:val="sr-Latn-ME"/>
              </w:rPr>
              <w:t xml:space="preserve"> lokalna</w:t>
            </w:r>
            <w:r w:rsidRPr="00D83C9F">
              <w:rPr>
                <w:sz w:val="22"/>
                <w:szCs w:val="22"/>
                <w:lang w:val="sr-Latn-ME"/>
              </w:rPr>
              <w:t xml:space="preserve"> pojava bolesti, udaljene metastaze,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invazivni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kontralateralni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karcinom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dojke,</w:t>
            </w:r>
            <w:r w:rsidR="00FC3E25" w:rsidRPr="00D83C9F">
              <w:rPr>
                <w:sz w:val="22"/>
                <w:szCs w:val="22"/>
                <w:lang w:val="sr-Latn-ME"/>
              </w:rPr>
              <w:t xml:space="preserve"> </w:t>
            </w:r>
            <w:r w:rsidRPr="00D83C9F">
              <w:rPr>
                <w:sz w:val="22"/>
                <w:szCs w:val="22"/>
                <w:lang w:val="sr-Latn-ME"/>
              </w:rPr>
              <w:t xml:space="preserve">drugi primarni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malignitet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(ne dojke), smrt </w:t>
            </w:r>
            <w:r w:rsidR="00FC3E25" w:rsidRPr="00D83C9F">
              <w:rPr>
                <w:sz w:val="22"/>
                <w:szCs w:val="22"/>
                <w:lang w:val="sr-Latn-ME"/>
              </w:rPr>
              <w:t xml:space="preserve">od </w:t>
            </w:r>
            <w:r w:rsidRPr="00D83C9F">
              <w:rPr>
                <w:sz w:val="22"/>
                <w:szCs w:val="22"/>
                <w:lang w:val="sr-Latn-ME"/>
              </w:rPr>
              <w:t>bilo ko</w:t>
            </w:r>
            <w:r w:rsidR="00FC3E25" w:rsidRPr="00D83C9F">
              <w:rPr>
                <w:sz w:val="22"/>
                <w:szCs w:val="22"/>
                <w:lang w:val="sr-Latn-ME"/>
              </w:rPr>
              <w:t>je</w:t>
            </w:r>
            <w:r w:rsidRPr="00D83C9F">
              <w:rPr>
                <w:sz w:val="22"/>
                <w:szCs w:val="22"/>
                <w:lang w:val="sr-Latn-ME"/>
              </w:rPr>
              <w:t xml:space="preserve">g uzroka bez prethodnog događaja vezanog za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karcinom</w:t>
            </w:r>
            <w:proofErr w:type="spellEnd"/>
          </w:p>
        </w:tc>
      </w:tr>
    </w:tbl>
    <w:p w14:paraId="2F3750EE" w14:textId="77777777" w:rsidR="005457A1" w:rsidRPr="00D83C9F" w:rsidRDefault="005457A1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8287C9F" w14:textId="3290D8EF" w:rsidR="004378E8" w:rsidRPr="00D83C9F" w:rsidRDefault="004378E8" w:rsidP="00CE1E1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 xml:space="preserve">Rezultati srednjeg </w:t>
      </w:r>
      <w:proofErr w:type="spellStart"/>
      <w:r w:rsidRPr="00D83C9F">
        <w:rPr>
          <w:i/>
          <w:sz w:val="22"/>
          <w:szCs w:val="22"/>
          <w:lang w:val="sr-Latn-ME"/>
        </w:rPr>
        <w:t>vremena</w:t>
      </w:r>
      <w:proofErr w:type="spellEnd"/>
      <w:r w:rsidRPr="00D83C9F">
        <w:rPr>
          <w:i/>
          <w:sz w:val="22"/>
          <w:szCs w:val="22"/>
          <w:lang w:val="sr-Latn-ME"/>
        </w:rPr>
        <w:t xml:space="preserve"> praćenja od 96 mjeseci (samo grupe koje su dobijale </w:t>
      </w:r>
      <w:proofErr w:type="spellStart"/>
      <w:r w:rsidRPr="00D83C9F">
        <w:rPr>
          <w:i/>
          <w:sz w:val="22"/>
          <w:szCs w:val="22"/>
          <w:lang w:val="sr-Latn-ME"/>
        </w:rPr>
        <w:t>monoterapiju</w:t>
      </w:r>
      <w:proofErr w:type="spellEnd"/>
      <w:r w:rsidRPr="00D83C9F">
        <w:rPr>
          <w:i/>
          <w:sz w:val="22"/>
          <w:szCs w:val="22"/>
          <w:lang w:val="sr-Latn-ME"/>
        </w:rPr>
        <w:t>)</w:t>
      </w:r>
    </w:p>
    <w:p w14:paraId="4441C883" w14:textId="0478D1CF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Analiza grupa koje su dobijale </w:t>
      </w:r>
      <w:proofErr w:type="spellStart"/>
      <w:r w:rsidRPr="00D83C9F">
        <w:rPr>
          <w:sz w:val="22"/>
          <w:szCs w:val="22"/>
          <w:lang w:val="sr-Latn-ME"/>
        </w:rPr>
        <w:t>monoterapiju</w:t>
      </w:r>
      <w:proofErr w:type="spellEnd"/>
      <w:r w:rsidRPr="00D83C9F">
        <w:rPr>
          <w:sz w:val="22"/>
          <w:szCs w:val="22"/>
          <w:lang w:val="sr-Latn-ME"/>
        </w:rPr>
        <w:t xml:space="preserve">  (</w:t>
      </w:r>
      <w:proofErr w:type="spellStart"/>
      <w:r w:rsidRPr="00D83C9F">
        <w:rPr>
          <w:i/>
          <w:sz w:val="22"/>
          <w:szCs w:val="22"/>
          <w:lang w:val="sr-Latn-ME"/>
        </w:rPr>
        <w:t>The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Monotherapy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Arms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Analysis</w:t>
      </w:r>
      <w:proofErr w:type="spellEnd"/>
      <w:r w:rsidRPr="00D83C9F">
        <w:rPr>
          <w:i/>
          <w:sz w:val="22"/>
          <w:szCs w:val="22"/>
          <w:lang w:val="sr-Latn-ME"/>
        </w:rPr>
        <w:t>, MAA</w:t>
      </w:r>
      <w:r w:rsidRPr="00D83C9F">
        <w:rPr>
          <w:sz w:val="22"/>
          <w:szCs w:val="22"/>
          <w:lang w:val="sr-Latn-ME"/>
        </w:rPr>
        <w:t xml:space="preserve">) u smislu dugotrajne efikasnosti </w:t>
      </w:r>
      <w:proofErr w:type="spellStart"/>
      <w:r w:rsidRPr="00D83C9F">
        <w:rPr>
          <w:sz w:val="22"/>
          <w:szCs w:val="22"/>
          <w:lang w:val="sr-Latn-ME"/>
        </w:rPr>
        <w:t>monoterapije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 u poređenju sa </w:t>
      </w:r>
      <w:proofErr w:type="spellStart"/>
      <w:r w:rsidRPr="00D83C9F">
        <w:rPr>
          <w:sz w:val="22"/>
          <w:szCs w:val="22"/>
          <w:lang w:val="sr-Latn-ME"/>
        </w:rPr>
        <w:t>monoterapijom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tamoksifenom</w:t>
      </w:r>
      <w:proofErr w:type="spellEnd"/>
      <w:r w:rsidRPr="00D83C9F">
        <w:rPr>
          <w:sz w:val="22"/>
          <w:szCs w:val="22"/>
          <w:lang w:val="sr-Latn-ME"/>
        </w:rPr>
        <w:t xml:space="preserve"> (srednje vrijeme trajanja </w:t>
      </w:r>
      <w:proofErr w:type="spellStart"/>
      <w:r w:rsidRPr="00D83C9F">
        <w:rPr>
          <w:sz w:val="22"/>
          <w:szCs w:val="22"/>
          <w:lang w:val="sr-Latn-ME"/>
        </w:rPr>
        <w:t>adjuvantne</w:t>
      </w:r>
      <w:proofErr w:type="spellEnd"/>
      <w:r w:rsidRPr="00D83C9F">
        <w:rPr>
          <w:sz w:val="22"/>
          <w:szCs w:val="22"/>
          <w:lang w:val="sr-Latn-ME"/>
        </w:rPr>
        <w:t xml:space="preserve"> terapije: 5 godina) je predstavljena u Tabeli 5.</w:t>
      </w:r>
    </w:p>
    <w:p w14:paraId="2A15A288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AB62108" w14:textId="57209E00" w:rsidR="004378E8" w:rsidRPr="00D83C9F" w:rsidRDefault="004378E8" w:rsidP="00CE1E1D">
      <w:pPr>
        <w:shd w:val="clear" w:color="auto" w:fill="FFFFFF"/>
        <w:ind w:left="10"/>
        <w:jc w:val="both"/>
        <w:rPr>
          <w:b/>
          <w:sz w:val="22"/>
          <w:szCs w:val="22"/>
          <w:lang w:val="sr-Latn-ME"/>
        </w:rPr>
      </w:pPr>
      <w:r w:rsidRPr="00D83C9F">
        <w:rPr>
          <w:b/>
          <w:sz w:val="22"/>
          <w:szCs w:val="22"/>
          <w:lang w:val="sr-Latn-ME"/>
        </w:rPr>
        <w:t xml:space="preserve">Tabela 5. Analiza grupa koje su dobijale </w:t>
      </w:r>
      <w:proofErr w:type="spellStart"/>
      <w:r w:rsidRPr="00D83C9F">
        <w:rPr>
          <w:b/>
          <w:sz w:val="22"/>
          <w:szCs w:val="22"/>
          <w:lang w:val="sr-Latn-ME"/>
        </w:rPr>
        <w:t>monoterapiju</w:t>
      </w:r>
      <w:proofErr w:type="spellEnd"/>
      <w:r w:rsidRPr="00D83C9F">
        <w:rPr>
          <w:b/>
          <w:sz w:val="22"/>
          <w:szCs w:val="22"/>
          <w:lang w:val="sr-Latn-ME"/>
        </w:rPr>
        <w:t xml:space="preserve">: Preživljavanje bez bolesti (DFS) i ukupno preživljavanje (OS), pri srednjem </w:t>
      </w:r>
      <w:proofErr w:type="spellStart"/>
      <w:r w:rsidRPr="00D83C9F">
        <w:rPr>
          <w:b/>
          <w:sz w:val="22"/>
          <w:szCs w:val="22"/>
          <w:lang w:val="sr-Latn-ME"/>
        </w:rPr>
        <w:t>vremenu</w:t>
      </w:r>
      <w:proofErr w:type="spellEnd"/>
      <w:r w:rsidRPr="00D83C9F">
        <w:rPr>
          <w:b/>
          <w:sz w:val="22"/>
          <w:szCs w:val="22"/>
          <w:lang w:val="sr-Latn-ME"/>
        </w:rPr>
        <w:t xml:space="preserve"> praćenja od 96 mjesec</w:t>
      </w:r>
      <w:r w:rsidR="00156DB4" w:rsidRPr="00D83C9F">
        <w:rPr>
          <w:b/>
          <w:sz w:val="22"/>
          <w:szCs w:val="22"/>
          <w:lang w:val="sr-Latn-ME"/>
        </w:rPr>
        <w:t>i</w:t>
      </w:r>
      <w:r w:rsidRPr="00D83C9F">
        <w:rPr>
          <w:b/>
          <w:sz w:val="22"/>
          <w:szCs w:val="22"/>
          <w:lang w:val="sr-Latn-ME"/>
        </w:rPr>
        <w:t xml:space="preserve"> (ITT populacija)</w:t>
      </w:r>
    </w:p>
    <w:p w14:paraId="195A4948" w14:textId="77777777" w:rsidR="00684660" w:rsidRPr="00D83C9F" w:rsidRDefault="00684660" w:rsidP="00CE1E1D">
      <w:pPr>
        <w:shd w:val="clear" w:color="auto" w:fill="FFFFFF"/>
        <w:ind w:left="10"/>
        <w:jc w:val="both"/>
        <w:rPr>
          <w:b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1804"/>
        <w:gridCol w:w="1804"/>
        <w:gridCol w:w="1804"/>
        <w:gridCol w:w="1804"/>
      </w:tblGrid>
      <w:tr w:rsidR="004378E8" w:rsidRPr="00D83C9F" w14:paraId="48D7792C" w14:textId="77777777" w:rsidTr="00856BB6">
        <w:trPr>
          <w:trHeight w:val="174"/>
        </w:trPr>
        <w:tc>
          <w:tcPr>
            <w:tcW w:w="1000" w:type="pct"/>
          </w:tcPr>
          <w:p w14:paraId="281E08C6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1000" w:type="pct"/>
          </w:tcPr>
          <w:p w14:paraId="234357BE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</w:p>
          <w:p w14:paraId="6989D642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N=2463</w:t>
            </w:r>
          </w:p>
        </w:tc>
        <w:tc>
          <w:tcPr>
            <w:tcW w:w="1000" w:type="pct"/>
          </w:tcPr>
          <w:p w14:paraId="67ED91B1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Tamoksifen</w:t>
            </w:r>
            <w:proofErr w:type="spellEnd"/>
          </w:p>
          <w:p w14:paraId="1FFB2CD6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N=2459</w:t>
            </w:r>
          </w:p>
        </w:tc>
        <w:tc>
          <w:tcPr>
            <w:tcW w:w="1000" w:type="pct"/>
          </w:tcPr>
          <w:p w14:paraId="01F3D90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 xml:space="preserve">Stepen rizika 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1</w:t>
            </w:r>
          </w:p>
          <w:p w14:paraId="02DA69E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(95%CI)</w:t>
            </w:r>
          </w:p>
        </w:tc>
        <w:tc>
          <w:tcPr>
            <w:tcW w:w="1000" w:type="pct"/>
          </w:tcPr>
          <w:p w14:paraId="101D2314" w14:textId="1CDBE879" w:rsidR="004378E8" w:rsidRPr="00D83C9F" w:rsidRDefault="00156DB4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i/>
                <w:iCs/>
                <w:sz w:val="22"/>
                <w:szCs w:val="22"/>
                <w:lang w:val="sr-Latn-ME"/>
              </w:rPr>
              <w:t>P</w:t>
            </w:r>
            <w:r w:rsidR="004378E8" w:rsidRPr="00D83C9F">
              <w:rPr>
                <w:b/>
                <w:sz w:val="22"/>
                <w:szCs w:val="22"/>
                <w:lang w:val="sr-Latn-ME"/>
              </w:rPr>
              <w:t xml:space="preserve"> vrijednost</w:t>
            </w:r>
          </w:p>
        </w:tc>
      </w:tr>
      <w:tr w:rsidR="004378E8" w:rsidRPr="00D83C9F" w14:paraId="1C5C3DF3" w14:textId="77777777" w:rsidTr="00856BB6">
        <w:trPr>
          <w:trHeight w:val="503"/>
        </w:trPr>
        <w:tc>
          <w:tcPr>
            <w:tcW w:w="1000" w:type="pct"/>
          </w:tcPr>
          <w:p w14:paraId="0D506712" w14:textId="77777777" w:rsidR="004378E8" w:rsidRPr="00D83C9F" w:rsidRDefault="004378E8" w:rsidP="00CE1E1D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DFS događaji (primarno) 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1000" w:type="pct"/>
          </w:tcPr>
          <w:p w14:paraId="608ED5E2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626</w:t>
            </w:r>
          </w:p>
        </w:tc>
        <w:tc>
          <w:tcPr>
            <w:tcW w:w="1000" w:type="pct"/>
          </w:tcPr>
          <w:p w14:paraId="62B02FB8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698</w:t>
            </w:r>
          </w:p>
        </w:tc>
        <w:tc>
          <w:tcPr>
            <w:tcW w:w="1000" w:type="pct"/>
          </w:tcPr>
          <w:p w14:paraId="1C237FE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0,87 (0,78, 0,97)</w:t>
            </w:r>
          </w:p>
        </w:tc>
        <w:tc>
          <w:tcPr>
            <w:tcW w:w="1000" w:type="pct"/>
          </w:tcPr>
          <w:p w14:paraId="18EECDD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0,01</w:t>
            </w:r>
          </w:p>
        </w:tc>
      </w:tr>
      <w:tr w:rsidR="004378E8" w:rsidRPr="00D83C9F" w14:paraId="72076AF3" w14:textId="77777777" w:rsidTr="00856BB6">
        <w:trPr>
          <w:trHeight w:val="488"/>
        </w:trPr>
        <w:tc>
          <w:tcPr>
            <w:tcW w:w="1000" w:type="pct"/>
          </w:tcPr>
          <w:p w14:paraId="19C162A1" w14:textId="77777777" w:rsidR="004378E8" w:rsidRPr="00D83C9F" w:rsidRDefault="004378E8" w:rsidP="00CE1E1D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 TDM  (sekundarno)</w:t>
            </w:r>
          </w:p>
        </w:tc>
        <w:tc>
          <w:tcPr>
            <w:tcW w:w="1000" w:type="pct"/>
          </w:tcPr>
          <w:p w14:paraId="2AF17BA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301</w:t>
            </w:r>
          </w:p>
        </w:tc>
        <w:tc>
          <w:tcPr>
            <w:tcW w:w="1000" w:type="pct"/>
          </w:tcPr>
          <w:p w14:paraId="0D2276B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342</w:t>
            </w:r>
          </w:p>
        </w:tc>
        <w:tc>
          <w:tcPr>
            <w:tcW w:w="1000" w:type="pct"/>
          </w:tcPr>
          <w:p w14:paraId="7E31F0C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0,86 (0,74, 1,01)</w:t>
            </w:r>
          </w:p>
        </w:tc>
        <w:tc>
          <w:tcPr>
            <w:tcW w:w="1000" w:type="pct"/>
          </w:tcPr>
          <w:p w14:paraId="5CEFAE87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0,06</w:t>
            </w:r>
          </w:p>
        </w:tc>
      </w:tr>
      <w:tr w:rsidR="004378E8" w:rsidRPr="00D83C9F" w14:paraId="0EBDE92A" w14:textId="77777777" w:rsidTr="00856BB6">
        <w:trPr>
          <w:trHeight w:val="488"/>
        </w:trPr>
        <w:tc>
          <w:tcPr>
            <w:tcW w:w="1000" w:type="pct"/>
          </w:tcPr>
          <w:p w14:paraId="219EDA6D" w14:textId="49219426" w:rsidR="004378E8" w:rsidRPr="00D83C9F" w:rsidRDefault="004378E8" w:rsidP="00CE1E1D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OS (sekundarno)- </w:t>
            </w:r>
            <w:r w:rsidR="00873F4B" w:rsidRPr="00D83C9F">
              <w:rPr>
                <w:sz w:val="22"/>
                <w:szCs w:val="22"/>
                <w:lang w:val="sr-Latn-ME"/>
              </w:rPr>
              <w:t xml:space="preserve">broj </w:t>
            </w:r>
            <w:r w:rsidRPr="00D83C9F">
              <w:rPr>
                <w:sz w:val="22"/>
                <w:szCs w:val="22"/>
                <w:lang w:val="sr-Latn-ME"/>
              </w:rPr>
              <w:t>smrtni</w:t>
            </w:r>
            <w:r w:rsidR="00873F4B" w:rsidRPr="00D83C9F">
              <w:rPr>
                <w:sz w:val="22"/>
                <w:szCs w:val="22"/>
                <w:lang w:val="sr-Latn-ME"/>
              </w:rPr>
              <w:t>h</w:t>
            </w:r>
            <w:r w:rsidRPr="00D83C9F">
              <w:rPr>
                <w:sz w:val="22"/>
                <w:szCs w:val="22"/>
                <w:lang w:val="sr-Latn-ME"/>
              </w:rPr>
              <w:t xml:space="preserve"> slučajev</w:t>
            </w:r>
            <w:r w:rsidR="00873F4B" w:rsidRPr="00D83C9F">
              <w:rPr>
                <w:sz w:val="22"/>
                <w:szCs w:val="22"/>
                <w:lang w:val="sr-Latn-ME"/>
              </w:rPr>
              <w:t>a</w:t>
            </w:r>
          </w:p>
        </w:tc>
        <w:tc>
          <w:tcPr>
            <w:tcW w:w="1000" w:type="pct"/>
          </w:tcPr>
          <w:p w14:paraId="662E3BA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393</w:t>
            </w:r>
          </w:p>
        </w:tc>
        <w:tc>
          <w:tcPr>
            <w:tcW w:w="1000" w:type="pct"/>
          </w:tcPr>
          <w:p w14:paraId="16B4188B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436</w:t>
            </w:r>
          </w:p>
        </w:tc>
        <w:tc>
          <w:tcPr>
            <w:tcW w:w="1000" w:type="pct"/>
          </w:tcPr>
          <w:p w14:paraId="161E44EC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0,89 (0,77, 1,02)</w:t>
            </w:r>
          </w:p>
        </w:tc>
        <w:tc>
          <w:tcPr>
            <w:tcW w:w="1000" w:type="pct"/>
          </w:tcPr>
          <w:p w14:paraId="2246BC98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0,08</w:t>
            </w:r>
          </w:p>
        </w:tc>
      </w:tr>
      <w:tr w:rsidR="004378E8" w:rsidRPr="00D83C9F" w14:paraId="0992368E" w14:textId="77777777" w:rsidTr="00856BB6">
        <w:trPr>
          <w:trHeight w:val="503"/>
        </w:trPr>
        <w:tc>
          <w:tcPr>
            <w:tcW w:w="1000" w:type="pct"/>
          </w:tcPr>
          <w:p w14:paraId="26A6B0D9" w14:textId="00BC6AA1" w:rsidR="004378E8" w:rsidRPr="00D83C9F" w:rsidRDefault="004378E8" w:rsidP="00CE1E1D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Cenzurisana analiza DFS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1000" w:type="pct"/>
          </w:tcPr>
          <w:p w14:paraId="63DB3E56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626</w:t>
            </w:r>
          </w:p>
        </w:tc>
        <w:tc>
          <w:tcPr>
            <w:tcW w:w="1000" w:type="pct"/>
          </w:tcPr>
          <w:p w14:paraId="6CF34A5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649</w:t>
            </w:r>
          </w:p>
        </w:tc>
        <w:tc>
          <w:tcPr>
            <w:tcW w:w="1000" w:type="pct"/>
          </w:tcPr>
          <w:p w14:paraId="4C7821C1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0,83 (0,74, 0,92)</w:t>
            </w:r>
          </w:p>
        </w:tc>
        <w:tc>
          <w:tcPr>
            <w:tcW w:w="1000" w:type="pct"/>
          </w:tcPr>
          <w:p w14:paraId="37B3D8D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10B9B50C" w14:textId="77777777" w:rsidTr="00856BB6">
        <w:trPr>
          <w:trHeight w:val="503"/>
        </w:trPr>
        <w:tc>
          <w:tcPr>
            <w:tcW w:w="1000" w:type="pct"/>
          </w:tcPr>
          <w:p w14:paraId="49438A86" w14:textId="77777777" w:rsidR="004378E8" w:rsidRPr="00D83C9F" w:rsidRDefault="004378E8" w:rsidP="00CE1E1D">
            <w:pPr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Cenzurisana analiza OS 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3</w:t>
            </w:r>
          </w:p>
        </w:tc>
        <w:tc>
          <w:tcPr>
            <w:tcW w:w="1000" w:type="pct"/>
          </w:tcPr>
          <w:p w14:paraId="3F262593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393</w:t>
            </w:r>
          </w:p>
        </w:tc>
        <w:tc>
          <w:tcPr>
            <w:tcW w:w="1000" w:type="pct"/>
          </w:tcPr>
          <w:p w14:paraId="357C4BA6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419</w:t>
            </w:r>
          </w:p>
        </w:tc>
        <w:tc>
          <w:tcPr>
            <w:tcW w:w="1000" w:type="pct"/>
          </w:tcPr>
          <w:p w14:paraId="7C6EF193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0,81 (0,70, 0,93)</w:t>
            </w:r>
          </w:p>
        </w:tc>
        <w:tc>
          <w:tcPr>
            <w:tcW w:w="1000" w:type="pct"/>
          </w:tcPr>
          <w:p w14:paraId="47367F2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60C174A0" w14:textId="77777777" w:rsidTr="00856BB6">
        <w:trPr>
          <w:trHeight w:val="503"/>
        </w:trPr>
        <w:tc>
          <w:tcPr>
            <w:tcW w:w="5000" w:type="pct"/>
            <w:gridSpan w:val="5"/>
          </w:tcPr>
          <w:p w14:paraId="3F633CB7" w14:textId="77777777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sz w:val="22"/>
                <w:szCs w:val="22"/>
                <w:lang w:val="sr-Latn-ME"/>
              </w:rPr>
              <w:t xml:space="preserve"> Log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rank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test, stratifikovano prema opciji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randomizacije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i primjeni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hemioterapije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(da/ ne)</w:t>
            </w:r>
          </w:p>
          <w:p w14:paraId="5D1D0A87" w14:textId="67DAB8EB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lastRenderedPageBreak/>
              <w:t>2</w:t>
            </w:r>
            <w:r w:rsidRPr="00D83C9F">
              <w:rPr>
                <w:sz w:val="22"/>
                <w:szCs w:val="22"/>
                <w:lang w:val="sr-Latn-ME"/>
              </w:rPr>
              <w:t xml:space="preserve"> DFS događaji; </w:t>
            </w:r>
            <w:r w:rsidR="00873F4B" w:rsidRPr="00D83C9F">
              <w:rPr>
                <w:sz w:val="22"/>
                <w:szCs w:val="22"/>
                <w:lang w:val="sr-Latn-ME"/>
              </w:rPr>
              <w:t xml:space="preserve">ponovna lokalna pojava bolesti, udaljene metastaze, </w:t>
            </w:r>
            <w:proofErr w:type="spellStart"/>
            <w:r w:rsidR="00873F4B" w:rsidRPr="00D83C9F">
              <w:rPr>
                <w:sz w:val="22"/>
                <w:szCs w:val="22"/>
                <w:lang w:val="sr-Latn-ME"/>
              </w:rPr>
              <w:t>invazivni</w:t>
            </w:r>
            <w:proofErr w:type="spellEnd"/>
            <w:r w:rsidR="00873F4B"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873F4B" w:rsidRPr="00D83C9F">
              <w:rPr>
                <w:sz w:val="22"/>
                <w:szCs w:val="22"/>
                <w:lang w:val="sr-Latn-ME"/>
              </w:rPr>
              <w:t>kontralateralni</w:t>
            </w:r>
            <w:proofErr w:type="spellEnd"/>
            <w:r w:rsidR="00873F4B"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="00873F4B" w:rsidRPr="00D83C9F">
              <w:rPr>
                <w:sz w:val="22"/>
                <w:szCs w:val="22"/>
                <w:lang w:val="sr-Latn-ME"/>
              </w:rPr>
              <w:t>karcinom</w:t>
            </w:r>
            <w:proofErr w:type="spellEnd"/>
            <w:r w:rsidR="00873F4B" w:rsidRPr="00D83C9F">
              <w:rPr>
                <w:sz w:val="22"/>
                <w:szCs w:val="22"/>
                <w:lang w:val="sr-Latn-ME"/>
              </w:rPr>
              <w:t xml:space="preserve"> dojke, drugi primarni </w:t>
            </w:r>
            <w:proofErr w:type="spellStart"/>
            <w:r w:rsidR="00873F4B" w:rsidRPr="00D83C9F">
              <w:rPr>
                <w:sz w:val="22"/>
                <w:szCs w:val="22"/>
                <w:lang w:val="sr-Latn-ME"/>
              </w:rPr>
              <w:t>malignitet</w:t>
            </w:r>
            <w:proofErr w:type="spellEnd"/>
            <w:r w:rsidR="00873F4B" w:rsidRPr="00D83C9F">
              <w:rPr>
                <w:sz w:val="22"/>
                <w:szCs w:val="22"/>
                <w:lang w:val="sr-Latn-ME"/>
              </w:rPr>
              <w:t xml:space="preserve"> (ne dojke), smrt od bilo kojeg uzroka bez prethodnog događaja vezanog za </w:t>
            </w:r>
            <w:proofErr w:type="spellStart"/>
            <w:r w:rsidR="00873F4B" w:rsidRPr="00D83C9F">
              <w:rPr>
                <w:sz w:val="22"/>
                <w:szCs w:val="22"/>
                <w:lang w:val="sr-Latn-ME"/>
              </w:rPr>
              <w:t>karcinom</w:t>
            </w:r>
            <w:proofErr w:type="spellEnd"/>
          </w:p>
          <w:p w14:paraId="3E29B2E9" w14:textId="4CF4F965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Pr="00D83C9F">
              <w:rPr>
                <w:sz w:val="22"/>
                <w:szCs w:val="22"/>
                <w:lang w:val="sr-Latn-ME"/>
              </w:rPr>
              <w:t xml:space="preserve"> Zapažanja u grupi koja je dobijala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tamoksifen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cenzurisana su onog dana kada je došlo do selektivnog prelaska na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letrozol</w:t>
            </w:r>
            <w:proofErr w:type="spellEnd"/>
          </w:p>
        </w:tc>
      </w:tr>
    </w:tbl>
    <w:p w14:paraId="78A4121C" w14:textId="77777777" w:rsidR="004378E8" w:rsidRPr="00D83C9F" w:rsidRDefault="004378E8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957C344" w14:textId="77777777" w:rsidR="004378E8" w:rsidRPr="00D83C9F" w:rsidRDefault="004378E8" w:rsidP="00CE1E1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>Analiza sekvencijalnih terapija (</w:t>
      </w:r>
      <w:proofErr w:type="spellStart"/>
      <w:r w:rsidRPr="00D83C9F">
        <w:rPr>
          <w:i/>
          <w:sz w:val="22"/>
          <w:szCs w:val="22"/>
          <w:lang w:val="sr-Latn-ME"/>
        </w:rPr>
        <w:t>Sequential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Treatments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Analysis</w:t>
      </w:r>
      <w:proofErr w:type="spellEnd"/>
      <w:r w:rsidRPr="00D83C9F">
        <w:rPr>
          <w:i/>
          <w:sz w:val="22"/>
          <w:szCs w:val="22"/>
          <w:lang w:val="sr-Latn-ME"/>
        </w:rPr>
        <w:t>, STA)</w:t>
      </w:r>
    </w:p>
    <w:p w14:paraId="46EAF4B9" w14:textId="4CCB487F" w:rsidR="004378E8" w:rsidRPr="00D83C9F" w:rsidRDefault="00F44965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Analiza sekvencijalnih terapija (</w:t>
      </w:r>
      <w:r w:rsidR="004378E8" w:rsidRPr="00D83C9F">
        <w:rPr>
          <w:sz w:val="22"/>
          <w:szCs w:val="22"/>
          <w:lang w:val="sr-Latn-ME"/>
        </w:rPr>
        <w:t>STA</w:t>
      </w:r>
      <w:r w:rsidRPr="00D83C9F">
        <w:rPr>
          <w:sz w:val="22"/>
          <w:szCs w:val="22"/>
          <w:lang w:val="sr-Latn-ME"/>
        </w:rPr>
        <w:t>)</w:t>
      </w:r>
      <w:r w:rsidR="004378E8" w:rsidRPr="00D83C9F">
        <w:rPr>
          <w:sz w:val="22"/>
          <w:szCs w:val="22"/>
          <w:lang w:val="sr-Latn-ME"/>
        </w:rPr>
        <w:t xml:space="preserve"> se odnosi na drugo primarno pitanje iz studije BIG 1-98, naime da li je primjena </w:t>
      </w:r>
      <w:proofErr w:type="spellStart"/>
      <w:r w:rsidR="004378E8" w:rsidRPr="00D83C9F">
        <w:rPr>
          <w:sz w:val="22"/>
          <w:szCs w:val="22"/>
          <w:lang w:val="sr-Latn-ME"/>
        </w:rPr>
        <w:t>tamoksifena</w:t>
      </w:r>
      <w:proofErr w:type="spellEnd"/>
      <w:r w:rsidR="004378E8" w:rsidRPr="00D83C9F">
        <w:rPr>
          <w:sz w:val="22"/>
          <w:szCs w:val="22"/>
          <w:lang w:val="sr-Latn-ME"/>
        </w:rPr>
        <w:t xml:space="preserve"> i </w:t>
      </w:r>
      <w:proofErr w:type="spellStart"/>
      <w:r w:rsidR="004378E8" w:rsidRPr="00D83C9F">
        <w:rPr>
          <w:sz w:val="22"/>
          <w:szCs w:val="22"/>
          <w:lang w:val="sr-Latn-ME"/>
        </w:rPr>
        <w:t>letrozola</w:t>
      </w:r>
      <w:proofErr w:type="spellEnd"/>
      <w:r w:rsidR="004378E8" w:rsidRPr="00D83C9F">
        <w:rPr>
          <w:sz w:val="22"/>
          <w:szCs w:val="22"/>
          <w:lang w:val="sr-Latn-ME"/>
        </w:rPr>
        <w:t xml:space="preserve"> u kombinaciji </w:t>
      </w:r>
      <w:r w:rsidRPr="00D83C9F">
        <w:rPr>
          <w:sz w:val="22"/>
          <w:szCs w:val="22"/>
          <w:lang w:val="sr-Latn-ME"/>
        </w:rPr>
        <w:t>bolja</w:t>
      </w:r>
      <w:r w:rsidR="004378E8" w:rsidRPr="00D83C9F">
        <w:rPr>
          <w:sz w:val="22"/>
          <w:szCs w:val="22"/>
          <w:lang w:val="sr-Latn-ME"/>
        </w:rPr>
        <w:t xml:space="preserve"> u odnosu na </w:t>
      </w:r>
      <w:proofErr w:type="spellStart"/>
      <w:r w:rsidR="004378E8" w:rsidRPr="00D83C9F">
        <w:rPr>
          <w:sz w:val="22"/>
          <w:szCs w:val="22"/>
          <w:lang w:val="sr-Latn-ME"/>
        </w:rPr>
        <w:t>monoterapiju</w:t>
      </w:r>
      <w:proofErr w:type="spellEnd"/>
      <w:r w:rsidR="004378E8" w:rsidRPr="00D83C9F">
        <w:rPr>
          <w:sz w:val="22"/>
          <w:szCs w:val="22"/>
          <w:lang w:val="sr-Latn-ME"/>
        </w:rPr>
        <w:t xml:space="preserve">. Nije bilo </w:t>
      </w:r>
      <w:r w:rsidRPr="00D83C9F">
        <w:rPr>
          <w:sz w:val="22"/>
          <w:szCs w:val="22"/>
          <w:lang w:val="sr-Latn-ME"/>
        </w:rPr>
        <w:t xml:space="preserve">nikakvih </w:t>
      </w:r>
      <w:r w:rsidR="004378E8" w:rsidRPr="00D83C9F">
        <w:rPr>
          <w:sz w:val="22"/>
          <w:szCs w:val="22"/>
          <w:lang w:val="sr-Latn-ME"/>
        </w:rPr>
        <w:t>značajnih razlika u DFS</w:t>
      </w:r>
      <w:r w:rsidRPr="00D83C9F">
        <w:rPr>
          <w:sz w:val="22"/>
          <w:szCs w:val="22"/>
          <w:lang w:val="sr-Latn-ME"/>
        </w:rPr>
        <w:t>-u</w:t>
      </w:r>
      <w:r w:rsidR="004378E8" w:rsidRPr="00D83C9F">
        <w:rPr>
          <w:sz w:val="22"/>
          <w:szCs w:val="22"/>
          <w:lang w:val="sr-Latn-ME"/>
        </w:rPr>
        <w:t>, OS</w:t>
      </w:r>
      <w:r w:rsidRPr="00D83C9F">
        <w:rPr>
          <w:sz w:val="22"/>
          <w:szCs w:val="22"/>
          <w:lang w:val="sr-Latn-ME"/>
        </w:rPr>
        <w:t>-u</w:t>
      </w:r>
      <w:r w:rsidR="004378E8" w:rsidRPr="00D83C9F">
        <w:rPr>
          <w:sz w:val="22"/>
          <w:szCs w:val="22"/>
          <w:lang w:val="sr-Latn-ME"/>
        </w:rPr>
        <w:t>, SDFS</w:t>
      </w:r>
      <w:r w:rsidRPr="00D83C9F">
        <w:rPr>
          <w:sz w:val="22"/>
          <w:szCs w:val="22"/>
          <w:lang w:val="sr-Latn-ME"/>
        </w:rPr>
        <w:t>-u</w:t>
      </w:r>
      <w:r w:rsidR="004378E8" w:rsidRPr="00D83C9F">
        <w:rPr>
          <w:sz w:val="22"/>
          <w:szCs w:val="22"/>
          <w:lang w:val="sr-Latn-ME"/>
        </w:rPr>
        <w:t xml:space="preserve"> ili DDFS</w:t>
      </w:r>
      <w:r w:rsidRPr="00D83C9F">
        <w:rPr>
          <w:sz w:val="22"/>
          <w:szCs w:val="22"/>
          <w:lang w:val="sr-Latn-ME"/>
        </w:rPr>
        <w:t>-u</w:t>
      </w:r>
      <w:r w:rsidR="004378E8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nakon promjene terapije</w:t>
      </w:r>
      <w:r w:rsidR="004378E8" w:rsidRPr="00D83C9F">
        <w:rPr>
          <w:sz w:val="22"/>
          <w:szCs w:val="22"/>
          <w:lang w:val="sr-Latn-ME"/>
        </w:rPr>
        <w:t xml:space="preserve">, u odnosu na primjenu </w:t>
      </w:r>
      <w:proofErr w:type="spellStart"/>
      <w:r w:rsidR="004378E8" w:rsidRPr="00D83C9F">
        <w:rPr>
          <w:sz w:val="22"/>
          <w:szCs w:val="22"/>
          <w:lang w:val="sr-Latn-ME"/>
        </w:rPr>
        <w:t>monoterapije</w:t>
      </w:r>
      <w:proofErr w:type="spellEnd"/>
      <w:r w:rsidR="004378E8" w:rsidRPr="00D83C9F">
        <w:rPr>
          <w:sz w:val="22"/>
          <w:szCs w:val="22"/>
          <w:lang w:val="sr-Latn-ME"/>
        </w:rPr>
        <w:t xml:space="preserve"> (Tabela 6).</w:t>
      </w:r>
    </w:p>
    <w:p w14:paraId="2DA90D80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EBB4210" w14:textId="1E01E2BF" w:rsidR="004378E8" w:rsidRPr="00D83C9F" w:rsidRDefault="004378E8" w:rsidP="00CE1E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83C9F">
        <w:rPr>
          <w:b/>
          <w:sz w:val="22"/>
          <w:szCs w:val="22"/>
          <w:lang w:val="sr-Latn-ME"/>
        </w:rPr>
        <w:t xml:space="preserve">Tabela 6. </w:t>
      </w:r>
      <w:r w:rsidR="000667A6" w:rsidRPr="00D83C9F">
        <w:rPr>
          <w:b/>
          <w:sz w:val="22"/>
          <w:szCs w:val="22"/>
          <w:lang w:val="sr-Latn-ME"/>
        </w:rPr>
        <w:t xml:space="preserve">Analiza </w:t>
      </w:r>
      <w:r w:rsidRPr="00D83C9F">
        <w:rPr>
          <w:b/>
          <w:sz w:val="22"/>
          <w:szCs w:val="22"/>
          <w:lang w:val="sr-Latn-ME"/>
        </w:rPr>
        <w:t>preživljavanj</w:t>
      </w:r>
      <w:r w:rsidR="000667A6" w:rsidRPr="00D83C9F">
        <w:rPr>
          <w:b/>
          <w:sz w:val="22"/>
          <w:szCs w:val="22"/>
          <w:lang w:val="sr-Latn-ME"/>
        </w:rPr>
        <w:t>a</w:t>
      </w:r>
      <w:r w:rsidRPr="00D83C9F">
        <w:rPr>
          <w:b/>
          <w:sz w:val="22"/>
          <w:szCs w:val="22"/>
          <w:lang w:val="sr-Latn-ME"/>
        </w:rPr>
        <w:t xml:space="preserve"> bez bolesti</w:t>
      </w:r>
      <w:r w:rsidR="000667A6" w:rsidRPr="00D83C9F">
        <w:rPr>
          <w:b/>
          <w:sz w:val="22"/>
          <w:szCs w:val="22"/>
          <w:lang w:val="sr-Latn-ME"/>
        </w:rPr>
        <w:t xml:space="preserve"> kod sekvencijalnog liječenja </w:t>
      </w:r>
      <w:r w:rsidRPr="00D83C9F">
        <w:rPr>
          <w:b/>
          <w:sz w:val="22"/>
          <w:szCs w:val="22"/>
          <w:lang w:val="sr-Latn-ME"/>
        </w:rPr>
        <w:t xml:space="preserve">sa </w:t>
      </w:r>
      <w:proofErr w:type="spellStart"/>
      <w:r w:rsidRPr="00D83C9F">
        <w:rPr>
          <w:b/>
          <w:sz w:val="22"/>
          <w:szCs w:val="22"/>
          <w:lang w:val="sr-Latn-ME"/>
        </w:rPr>
        <w:t>letrozolom</w:t>
      </w:r>
      <w:proofErr w:type="spellEnd"/>
      <w:r w:rsidRPr="00D83C9F">
        <w:rPr>
          <w:b/>
          <w:sz w:val="22"/>
          <w:szCs w:val="22"/>
          <w:lang w:val="sr-Latn-ME"/>
        </w:rPr>
        <w:t xml:space="preserve"> kao inicijalnim endokrinim </w:t>
      </w:r>
      <w:r w:rsidR="000667A6" w:rsidRPr="00D83C9F">
        <w:rPr>
          <w:b/>
          <w:sz w:val="22"/>
          <w:szCs w:val="22"/>
          <w:lang w:val="sr-Latn-ME"/>
        </w:rPr>
        <w:t>lijekom</w:t>
      </w:r>
      <w:r w:rsidRPr="00D83C9F">
        <w:rPr>
          <w:b/>
          <w:sz w:val="22"/>
          <w:szCs w:val="22"/>
          <w:lang w:val="sr-Latn-ME"/>
        </w:rPr>
        <w:t xml:space="preserve"> (STA </w:t>
      </w:r>
      <w:r w:rsidR="000667A6" w:rsidRPr="00D83C9F">
        <w:rPr>
          <w:b/>
          <w:sz w:val="22"/>
          <w:szCs w:val="22"/>
          <w:lang w:val="sr-Latn-ME"/>
        </w:rPr>
        <w:t xml:space="preserve">analiza u </w:t>
      </w:r>
      <w:r w:rsidRPr="00D83C9F">
        <w:rPr>
          <w:b/>
          <w:sz w:val="22"/>
          <w:szCs w:val="22"/>
          <w:lang w:val="sr-Latn-ME"/>
        </w:rPr>
        <w:t>populacij</w:t>
      </w:r>
      <w:r w:rsidR="000667A6" w:rsidRPr="00D83C9F">
        <w:rPr>
          <w:b/>
          <w:sz w:val="22"/>
          <w:szCs w:val="22"/>
          <w:lang w:val="sr-Latn-ME"/>
        </w:rPr>
        <w:t>i</w:t>
      </w:r>
      <w:r w:rsidRPr="00D83C9F">
        <w:rPr>
          <w:b/>
          <w:sz w:val="22"/>
          <w:szCs w:val="22"/>
          <w:lang w:val="sr-Latn-ME"/>
        </w:rPr>
        <w:t xml:space="preserve"> koja je </w:t>
      </w:r>
      <w:proofErr w:type="spellStart"/>
      <w:r w:rsidR="000667A6" w:rsidRPr="00D83C9F">
        <w:rPr>
          <w:b/>
          <w:sz w:val="22"/>
          <w:szCs w:val="22"/>
          <w:lang w:val="sr-Latn-ME"/>
        </w:rPr>
        <w:t>prešla</w:t>
      </w:r>
      <w:proofErr w:type="spellEnd"/>
      <w:r w:rsidR="000667A6" w:rsidRPr="00D83C9F">
        <w:rPr>
          <w:b/>
          <w:sz w:val="22"/>
          <w:szCs w:val="22"/>
          <w:lang w:val="sr-Latn-ME"/>
        </w:rPr>
        <w:t xml:space="preserve"> na drugu</w:t>
      </w:r>
      <w:r w:rsidRPr="00D83C9F">
        <w:rPr>
          <w:b/>
          <w:sz w:val="22"/>
          <w:szCs w:val="22"/>
          <w:lang w:val="sr-Latn-ME"/>
        </w:rPr>
        <w:t xml:space="preserve"> terapiju)</w:t>
      </w:r>
    </w:p>
    <w:p w14:paraId="49648DD5" w14:textId="77777777" w:rsidR="00684660" w:rsidRPr="00D83C9F" w:rsidRDefault="00684660" w:rsidP="00CE1E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1"/>
        <w:gridCol w:w="1230"/>
        <w:gridCol w:w="1356"/>
        <w:gridCol w:w="1230"/>
        <w:gridCol w:w="1427"/>
        <w:gridCol w:w="1415"/>
      </w:tblGrid>
      <w:tr w:rsidR="004378E8" w:rsidRPr="00D83C9F" w14:paraId="54950FC0" w14:textId="77777777" w:rsidTr="00856BB6">
        <w:trPr>
          <w:trHeight w:val="532"/>
        </w:trPr>
        <w:tc>
          <w:tcPr>
            <w:tcW w:w="1327" w:type="pct"/>
          </w:tcPr>
          <w:p w14:paraId="30E22606" w14:textId="77777777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</w:p>
        </w:tc>
        <w:tc>
          <w:tcPr>
            <w:tcW w:w="700" w:type="pct"/>
          </w:tcPr>
          <w:p w14:paraId="6ED96F38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</w:t>
            </w:r>
          </w:p>
        </w:tc>
        <w:tc>
          <w:tcPr>
            <w:tcW w:w="770" w:type="pct"/>
          </w:tcPr>
          <w:p w14:paraId="268CBCA5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Broj događaja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700" w:type="pct"/>
          </w:tcPr>
          <w:p w14:paraId="002DBED1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Stepen rizika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2</w:t>
            </w:r>
          </w:p>
        </w:tc>
        <w:tc>
          <w:tcPr>
            <w:tcW w:w="700" w:type="pct"/>
          </w:tcPr>
          <w:p w14:paraId="75FE063A" w14:textId="5C6B676E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(97, 5%</w:t>
            </w:r>
            <w:r w:rsidR="005F6244" w:rsidRPr="00D83C9F">
              <w:rPr>
                <w:b/>
                <w:sz w:val="22"/>
                <w:szCs w:val="22"/>
                <w:lang w:val="sr-Latn-ME"/>
              </w:rPr>
              <w:t xml:space="preserve"> interval pouzdanosti</w:t>
            </w:r>
            <w:r w:rsidRPr="00D83C9F">
              <w:rPr>
                <w:b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802" w:type="pct"/>
          </w:tcPr>
          <w:p w14:paraId="2D41E904" w14:textId="7A9ADA74" w:rsidR="004378E8" w:rsidRPr="00D83C9F" w:rsidRDefault="005F6244" w:rsidP="00CE1E1D">
            <w:pPr>
              <w:tabs>
                <w:tab w:val="left" w:pos="284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i/>
                <w:iCs/>
                <w:sz w:val="22"/>
                <w:szCs w:val="22"/>
                <w:lang w:val="sr-Latn-ME"/>
              </w:rPr>
              <w:t>P</w:t>
            </w:r>
            <w:r w:rsidRPr="00D83C9F">
              <w:rPr>
                <w:b/>
                <w:sz w:val="22"/>
                <w:szCs w:val="22"/>
                <w:lang w:val="sr-Latn-ME"/>
              </w:rPr>
              <w:t xml:space="preserve"> </w:t>
            </w:r>
            <w:r w:rsidR="004378E8" w:rsidRPr="00D83C9F">
              <w:rPr>
                <w:b/>
                <w:sz w:val="22"/>
                <w:szCs w:val="22"/>
                <w:lang w:val="sr-Latn-ME"/>
              </w:rPr>
              <w:t>vrijednost</w:t>
            </w:r>
            <w:r w:rsidRPr="00D83C9F">
              <w:rPr>
                <w:b/>
                <w:sz w:val="22"/>
                <w:szCs w:val="22"/>
                <w:lang w:val="sr-Latn-ME"/>
              </w:rPr>
              <w:t xml:space="preserve"> po </w:t>
            </w: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Coxovom</w:t>
            </w:r>
            <w:proofErr w:type="spellEnd"/>
            <w:r w:rsidRPr="00D83C9F">
              <w:rPr>
                <w:b/>
                <w:sz w:val="22"/>
                <w:szCs w:val="22"/>
                <w:lang w:val="sr-Latn-ME"/>
              </w:rPr>
              <w:t xml:space="preserve"> modelu</w:t>
            </w:r>
          </w:p>
        </w:tc>
      </w:tr>
      <w:tr w:rsidR="004378E8" w:rsidRPr="00D83C9F" w14:paraId="0ED30691" w14:textId="77777777" w:rsidTr="00856BB6">
        <w:trPr>
          <w:trHeight w:val="250"/>
        </w:trPr>
        <w:tc>
          <w:tcPr>
            <w:tcW w:w="1327" w:type="pct"/>
          </w:tcPr>
          <w:p w14:paraId="758A15A8" w14:textId="77777777" w:rsidR="004378E8" w:rsidRPr="00D83C9F" w:rsidRDefault="004378E8" w:rsidP="00CE1E1D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  <w:r w:rsidRPr="00D83C9F">
              <w:rPr>
                <w:b/>
                <w:sz w:val="22"/>
                <w:szCs w:val="22"/>
                <w:lang w:val="sr-Latn-ME"/>
              </w:rPr>
              <w:t xml:space="preserve"> →</w:t>
            </w: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tamoksifen</w:t>
            </w:r>
            <w:proofErr w:type="spellEnd"/>
          </w:p>
        </w:tc>
        <w:tc>
          <w:tcPr>
            <w:tcW w:w="700" w:type="pct"/>
          </w:tcPr>
          <w:p w14:paraId="4D6DD73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1460</w:t>
            </w:r>
          </w:p>
        </w:tc>
        <w:tc>
          <w:tcPr>
            <w:tcW w:w="770" w:type="pct"/>
          </w:tcPr>
          <w:p w14:paraId="09E69607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254</w:t>
            </w:r>
          </w:p>
        </w:tc>
        <w:tc>
          <w:tcPr>
            <w:tcW w:w="700" w:type="pct"/>
          </w:tcPr>
          <w:p w14:paraId="6E1648BB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1,03</w:t>
            </w:r>
          </w:p>
        </w:tc>
        <w:tc>
          <w:tcPr>
            <w:tcW w:w="700" w:type="pct"/>
          </w:tcPr>
          <w:p w14:paraId="67F124FE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(0,84, 1,26)</w:t>
            </w:r>
          </w:p>
        </w:tc>
        <w:tc>
          <w:tcPr>
            <w:tcW w:w="802" w:type="pct"/>
          </w:tcPr>
          <w:p w14:paraId="2925163E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0, 72</w:t>
            </w:r>
          </w:p>
        </w:tc>
      </w:tr>
      <w:tr w:rsidR="004378E8" w:rsidRPr="00D83C9F" w14:paraId="7637D1A7" w14:textId="77777777" w:rsidTr="00856BB6">
        <w:trPr>
          <w:trHeight w:val="282"/>
        </w:trPr>
        <w:tc>
          <w:tcPr>
            <w:tcW w:w="1327" w:type="pct"/>
          </w:tcPr>
          <w:p w14:paraId="50AFAB70" w14:textId="77777777" w:rsidR="004378E8" w:rsidRPr="00D83C9F" w:rsidRDefault="004378E8" w:rsidP="00CE1E1D">
            <w:pPr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</w:p>
        </w:tc>
        <w:tc>
          <w:tcPr>
            <w:tcW w:w="700" w:type="pct"/>
          </w:tcPr>
          <w:p w14:paraId="7E50BB74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1464</w:t>
            </w:r>
          </w:p>
        </w:tc>
        <w:tc>
          <w:tcPr>
            <w:tcW w:w="770" w:type="pct"/>
          </w:tcPr>
          <w:p w14:paraId="7A345430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249</w:t>
            </w:r>
          </w:p>
        </w:tc>
        <w:tc>
          <w:tcPr>
            <w:tcW w:w="700" w:type="pct"/>
          </w:tcPr>
          <w:p w14:paraId="448EA9CD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700" w:type="pct"/>
          </w:tcPr>
          <w:p w14:paraId="3014FAC2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802" w:type="pct"/>
          </w:tcPr>
          <w:p w14:paraId="2FE4C3C9" w14:textId="77777777" w:rsidR="004378E8" w:rsidRPr="00D83C9F" w:rsidRDefault="004378E8" w:rsidP="00CE1E1D">
            <w:pPr>
              <w:tabs>
                <w:tab w:val="left" w:pos="284"/>
              </w:tabs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31296F82" w14:textId="77777777" w:rsidTr="00856BB6">
        <w:trPr>
          <w:trHeight w:val="282"/>
        </w:trPr>
        <w:tc>
          <w:tcPr>
            <w:tcW w:w="5000" w:type="pct"/>
            <w:gridSpan w:val="6"/>
          </w:tcPr>
          <w:p w14:paraId="5672F97D" w14:textId="7474F393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sz w:val="22"/>
                <w:szCs w:val="22"/>
                <w:lang w:val="sr-Latn-ME"/>
              </w:rPr>
              <w:t xml:space="preserve"> Defini</w:t>
            </w:r>
            <w:r w:rsidR="006A1D7C" w:rsidRPr="00D83C9F">
              <w:rPr>
                <w:sz w:val="22"/>
                <w:szCs w:val="22"/>
                <w:lang w:val="sr-Latn-ME"/>
              </w:rPr>
              <w:t>cija iz plana ispitivanja</w:t>
            </w:r>
            <w:r w:rsidRPr="00D83C9F">
              <w:rPr>
                <w:sz w:val="22"/>
                <w:szCs w:val="22"/>
                <w:lang w:val="sr-Latn-ME"/>
              </w:rPr>
              <w:t>, uključujući drug</w:t>
            </w:r>
            <w:r w:rsidR="006A1D7C" w:rsidRPr="00D83C9F">
              <w:rPr>
                <w:sz w:val="22"/>
                <w:szCs w:val="22"/>
                <w:lang w:val="sr-Latn-ME"/>
              </w:rPr>
              <w:t>e</w:t>
            </w:r>
            <w:r w:rsidRPr="00D83C9F">
              <w:rPr>
                <w:sz w:val="22"/>
                <w:szCs w:val="22"/>
                <w:lang w:val="sr-Latn-ME"/>
              </w:rPr>
              <w:t xml:space="preserve"> primarn</w:t>
            </w:r>
            <w:r w:rsidR="006A1D7C" w:rsidRPr="00D83C9F">
              <w:rPr>
                <w:sz w:val="22"/>
                <w:szCs w:val="22"/>
                <w:lang w:val="sr-Latn-ME"/>
              </w:rPr>
              <w:t>e</w:t>
            </w:r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malignite</w:t>
            </w:r>
            <w:r w:rsidR="00684660" w:rsidRPr="00D83C9F">
              <w:rPr>
                <w:sz w:val="22"/>
                <w:szCs w:val="22"/>
                <w:lang w:val="sr-Latn-ME"/>
              </w:rPr>
              <w:t>t</w:t>
            </w:r>
            <w:r w:rsidR="006A1D7C" w:rsidRPr="00D83C9F">
              <w:rPr>
                <w:sz w:val="22"/>
                <w:szCs w:val="22"/>
                <w:lang w:val="sr-Latn-ME"/>
              </w:rPr>
              <w:t>e</w:t>
            </w:r>
            <w:proofErr w:type="spellEnd"/>
            <w:r w:rsidR="006A1D7C" w:rsidRPr="00D83C9F">
              <w:rPr>
                <w:sz w:val="22"/>
                <w:szCs w:val="22"/>
                <w:lang w:val="sr-Latn-ME"/>
              </w:rPr>
              <w:t xml:space="preserve"> koje nijesu povezane sa</w:t>
            </w:r>
            <w:r w:rsidRPr="00D83C9F">
              <w:rPr>
                <w:sz w:val="22"/>
                <w:szCs w:val="22"/>
                <w:lang w:val="sr-Latn-ME"/>
              </w:rPr>
              <w:t xml:space="preserve"> dojk</w:t>
            </w:r>
            <w:r w:rsidR="006A1D7C" w:rsidRPr="00D83C9F">
              <w:rPr>
                <w:sz w:val="22"/>
                <w:szCs w:val="22"/>
                <w:lang w:val="sr-Latn-ME"/>
              </w:rPr>
              <w:t>om</w:t>
            </w:r>
            <w:r w:rsidRPr="00D83C9F">
              <w:rPr>
                <w:sz w:val="22"/>
                <w:szCs w:val="22"/>
                <w:lang w:val="sr-Latn-ME"/>
              </w:rPr>
              <w:t>, nakon prelaska/nakon</w:t>
            </w:r>
            <w:r w:rsidR="006A1D7C" w:rsidRPr="00D83C9F">
              <w:rPr>
                <w:sz w:val="22"/>
                <w:szCs w:val="22"/>
                <w:lang w:val="sr-Latn-ME"/>
              </w:rPr>
              <w:t xml:space="preserve"> isteka</w:t>
            </w:r>
            <w:r w:rsidRPr="00D83C9F">
              <w:rPr>
                <w:sz w:val="22"/>
                <w:szCs w:val="22"/>
                <w:lang w:val="sr-Latn-ME"/>
              </w:rPr>
              <w:t xml:space="preserve"> dvije godine</w:t>
            </w:r>
          </w:p>
          <w:p w14:paraId="13DA1A23" w14:textId="21494EB9" w:rsidR="004378E8" w:rsidRPr="00D83C9F" w:rsidRDefault="004378E8" w:rsidP="00CE1E1D">
            <w:pPr>
              <w:tabs>
                <w:tab w:val="left" w:pos="284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 xml:space="preserve">2 </w:t>
            </w:r>
            <w:r w:rsidRPr="00D83C9F">
              <w:rPr>
                <w:sz w:val="22"/>
                <w:szCs w:val="22"/>
                <w:lang w:val="sr-Latn-ME"/>
              </w:rPr>
              <w:t xml:space="preserve"> Prilagođeno</w:t>
            </w:r>
            <w:r w:rsidR="006A1D7C" w:rsidRPr="00D83C9F">
              <w:rPr>
                <w:sz w:val="22"/>
                <w:szCs w:val="22"/>
                <w:lang w:val="sr-Latn-ME"/>
              </w:rPr>
              <w:t xml:space="preserve"> prema</w:t>
            </w:r>
            <w:r w:rsidRPr="00D83C9F">
              <w:rPr>
                <w:sz w:val="22"/>
                <w:szCs w:val="22"/>
                <w:lang w:val="sr-Latn-ME"/>
              </w:rPr>
              <w:t xml:space="preserve"> primjeni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hemioterapije</w:t>
            </w:r>
            <w:proofErr w:type="spellEnd"/>
          </w:p>
        </w:tc>
      </w:tr>
    </w:tbl>
    <w:p w14:paraId="20AADF39" w14:textId="77777777" w:rsidR="001D1CD6" w:rsidRPr="00D83C9F" w:rsidRDefault="001D1CD6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F63D9D6" w14:textId="2ECCA851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Nije bilo značajne razlike u DFS</w:t>
      </w:r>
      <w:r w:rsidR="001E0EDC" w:rsidRPr="00D83C9F">
        <w:rPr>
          <w:sz w:val="22"/>
          <w:szCs w:val="22"/>
          <w:lang w:val="sr-Latn-ME"/>
        </w:rPr>
        <w:t>-u</w:t>
      </w:r>
      <w:r w:rsidRPr="00D83C9F">
        <w:rPr>
          <w:sz w:val="22"/>
          <w:szCs w:val="22"/>
          <w:lang w:val="sr-Latn-ME"/>
        </w:rPr>
        <w:t>, OS</w:t>
      </w:r>
      <w:r w:rsidR="001E0EDC" w:rsidRPr="00D83C9F">
        <w:rPr>
          <w:sz w:val="22"/>
          <w:szCs w:val="22"/>
          <w:lang w:val="sr-Latn-ME"/>
        </w:rPr>
        <w:t>-u</w:t>
      </w:r>
      <w:r w:rsidRPr="00D83C9F">
        <w:rPr>
          <w:sz w:val="22"/>
          <w:szCs w:val="22"/>
          <w:lang w:val="sr-Latn-ME"/>
        </w:rPr>
        <w:t>, SDFS</w:t>
      </w:r>
      <w:r w:rsidR="001E0EDC" w:rsidRPr="00D83C9F">
        <w:rPr>
          <w:sz w:val="22"/>
          <w:szCs w:val="22"/>
          <w:lang w:val="sr-Latn-ME"/>
        </w:rPr>
        <w:t>-u</w:t>
      </w:r>
      <w:r w:rsidRPr="00D83C9F">
        <w:rPr>
          <w:sz w:val="22"/>
          <w:szCs w:val="22"/>
          <w:lang w:val="sr-Latn-ME"/>
        </w:rPr>
        <w:t xml:space="preserve"> ili DDFS</w:t>
      </w:r>
      <w:r w:rsidR="001E0EDC" w:rsidRPr="00D83C9F">
        <w:rPr>
          <w:sz w:val="22"/>
          <w:szCs w:val="22"/>
          <w:lang w:val="sr-Latn-ME"/>
        </w:rPr>
        <w:t>-u</w:t>
      </w:r>
      <w:r w:rsidRPr="00D83C9F">
        <w:rPr>
          <w:sz w:val="22"/>
          <w:szCs w:val="22"/>
          <w:lang w:val="sr-Latn-ME"/>
        </w:rPr>
        <w:t xml:space="preserve"> u bilo kojoj STA</w:t>
      </w:r>
      <w:r w:rsidR="001E0EDC" w:rsidRPr="00D83C9F">
        <w:rPr>
          <w:sz w:val="22"/>
          <w:szCs w:val="22"/>
          <w:lang w:val="sr-Latn-ME"/>
        </w:rPr>
        <w:t>-u</w:t>
      </w:r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="00684660" w:rsidRPr="00D83C9F">
        <w:rPr>
          <w:sz w:val="22"/>
          <w:szCs w:val="22"/>
          <w:lang w:val="sr-Latn-ME"/>
        </w:rPr>
        <w:t>randomizovanih</w:t>
      </w:r>
      <w:proofErr w:type="spellEnd"/>
      <w:r w:rsidR="00684660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uporednih komparacija (Tabela 7).</w:t>
      </w:r>
    </w:p>
    <w:p w14:paraId="0BF1698F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4A8C72C" w14:textId="7C61E9EA" w:rsidR="004378E8" w:rsidRPr="00D83C9F" w:rsidRDefault="004378E8" w:rsidP="00CE1E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D83C9F">
        <w:rPr>
          <w:b/>
          <w:sz w:val="22"/>
          <w:szCs w:val="22"/>
          <w:lang w:val="sr-Latn-ME"/>
        </w:rPr>
        <w:t>Tabela 7</w:t>
      </w:r>
      <w:r w:rsidR="001E0EDC" w:rsidRPr="00D83C9F">
        <w:rPr>
          <w:b/>
          <w:sz w:val="22"/>
          <w:szCs w:val="22"/>
          <w:lang w:val="sr-Latn-ME"/>
        </w:rPr>
        <w:t>.</w:t>
      </w:r>
      <w:r w:rsidR="001D1CD6" w:rsidRPr="00D83C9F">
        <w:rPr>
          <w:b/>
          <w:sz w:val="22"/>
          <w:szCs w:val="22"/>
          <w:lang w:val="sr-Latn-ME"/>
        </w:rPr>
        <w:t xml:space="preserve"> STA </w:t>
      </w:r>
      <w:proofErr w:type="spellStart"/>
      <w:r w:rsidR="001D1CD6" w:rsidRPr="00D83C9F">
        <w:rPr>
          <w:b/>
          <w:sz w:val="22"/>
          <w:szCs w:val="22"/>
          <w:lang w:val="sr-Latn-ME"/>
        </w:rPr>
        <w:t>randomizovanog</w:t>
      </w:r>
      <w:proofErr w:type="spellEnd"/>
      <w:r w:rsidRPr="00D83C9F">
        <w:rPr>
          <w:b/>
          <w:sz w:val="22"/>
          <w:szCs w:val="22"/>
          <w:lang w:val="sr-Latn-ME"/>
        </w:rPr>
        <w:t xml:space="preserve"> (STA- R) preživljavanja bez bolesti</w:t>
      </w:r>
      <w:r w:rsidR="001E0EDC" w:rsidRPr="00D83C9F">
        <w:rPr>
          <w:b/>
          <w:sz w:val="22"/>
          <w:szCs w:val="22"/>
          <w:lang w:val="sr-Latn-ME"/>
        </w:rPr>
        <w:t xml:space="preserve"> kod sekvencijalnog liječenja</w:t>
      </w:r>
      <w:r w:rsidRPr="00D83C9F">
        <w:rPr>
          <w:b/>
          <w:sz w:val="22"/>
          <w:szCs w:val="22"/>
          <w:lang w:val="sr-Latn-ME"/>
        </w:rPr>
        <w:t xml:space="preserve"> (ITT STA- R populacija)</w:t>
      </w:r>
    </w:p>
    <w:p w14:paraId="46779C41" w14:textId="77777777" w:rsidR="00684660" w:rsidRPr="00D83C9F" w:rsidRDefault="00684660" w:rsidP="00CE1E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9"/>
      </w:tblGrid>
      <w:tr w:rsidR="004378E8" w:rsidRPr="00D83C9F" w14:paraId="3C8C5799" w14:textId="77777777" w:rsidTr="00856BB6">
        <w:trPr>
          <w:trHeight w:val="256"/>
        </w:trPr>
        <w:tc>
          <w:tcPr>
            <w:tcW w:w="1666" w:type="pct"/>
          </w:tcPr>
          <w:p w14:paraId="09EDDA6C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6" w:type="pct"/>
          </w:tcPr>
          <w:p w14:paraId="04E12965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Letrozol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→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Tamoksifen</w:t>
            </w:r>
            <w:proofErr w:type="spellEnd"/>
          </w:p>
        </w:tc>
        <w:tc>
          <w:tcPr>
            <w:tcW w:w="1667" w:type="pct"/>
          </w:tcPr>
          <w:p w14:paraId="4CFDB818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Letrozol</w:t>
            </w:r>
            <w:proofErr w:type="spellEnd"/>
          </w:p>
        </w:tc>
      </w:tr>
      <w:tr w:rsidR="004378E8" w:rsidRPr="00D83C9F" w14:paraId="0391F886" w14:textId="77777777" w:rsidTr="00856BB6">
        <w:trPr>
          <w:trHeight w:val="241"/>
        </w:trPr>
        <w:tc>
          <w:tcPr>
            <w:tcW w:w="1666" w:type="pct"/>
          </w:tcPr>
          <w:p w14:paraId="6F094B1E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Broj pacijenata</w:t>
            </w:r>
          </w:p>
        </w:tc>
        <w:tc>
          <w:tcPr>
            <w:tcW w:w="1666" w:type="pct"/>
          </w:tcPr>
          <w:p w14:paraId="5293A320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1540</w:t>
            </w:r>
          </w:p>
        </w:tc>
        <w:tc>
          <w:tcPr>
            <w:tcW w:w="1667" w:type="pct"/>
          </w:tcPr>
          <w:p w14:paraId="04E5EBC1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1546</w:t>
            </w:r>
          </w:p>
        </w:tc>
      </w:tr>
      <w:tr w:rsidR="004378E8" w:rsidRPr="00D83C9F" w14:paraId="756FC429" w14:textId="77777777" w:rsidTr="00856BB6">
        <w:trPr>
          <w:trHeight w:val="511"/>
        </w:trPr>
        <w:tc>
          <w:tcPr>
            <w:tcW w:w="1666" w:type="pct"/>
          </w:tcPr>
          <w:p w14:paraId="11F7E301" w14:textId="0D190A60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Broj pacijenata sa DFS događajima (definisano prema p</w:t>
            </w:r>
            <w:r w:rsidR="003F4485" w:rsidRPr="00D83C9F">
              <w:rPr>
                <w:bCs/>
                <w:sz w:val="22"/>
                <w:szCs w:val="22"/>
                <w:lang w:val="sr-Latn-ME"/>
              </w:rPr>
              <w:t>lanu ispitivanja</w:t>
            </w:r>
            <w:r w:rsidRPr="00D83C9F">
              <w:rPr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66" w:type="pct"/>
          </w:tcPr>
          <w:p w14:paraId="6DCC6B49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330</w:t>
            </w:r>
          </w:p>
        </w:tc>
        <w:tc>
          <w:tcPr>
            <w:tcW w:w="1667" w:type="pct"/>
          </w:tcPr>
          <w:p w14:paraId="563CCC20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319</w:t>
            </w:r>
          </w:p>
        </w:tc>
      </w:tr>
      <w:tr w:rsidR="004378E8" w:rsidRPr="00D83C9F" w14:paraId="705701F6" w14:textId="77777777" w:rsidTr="00856BB6">
        <w:trPr>
          <w:trHeight w:val="241"/>
        </w:trPr>
        <w:tc>
          <w:tcPr>
            <w:tcW w:w="1666" w:type="pct"/>
          </w:tcPr>
          <w:p w14:paraId="5BC53F3F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 xml:space="preserve">Stepen rizika </w:t>
            </w:r>
            <w:r w:rsidRPr="00D83C9F">
              <w:rPr>
                <w:bCs/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bCs/>
                <w:sz w:val="22"/>
                <w:szCs w:val="22"/>
                <w:lang w:val="sr-Latn-ME"/>
              </w:rPr>
              <w:t xml:space="preserve"> ( 99% CI)</w:t>
            </w:r>
          </w:p>
        </w:tc>
        <w:tc>
          <w:tcPr>
            <w:tcW w:w="3334" w:type="pct"/>
            <w:gridSpan w:val="2"/>
          </w:tcPr>
          <w:p w14:paraId="39183286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1,04 (0,85, 1,27)</w:t>
            </w:r>
          </w:p>
        </w:tc>
      </w:tr>
      <w:tr w:rsidR="004378E8" w:rsidRPr="00D83C9F" w14:paraId="5096061A" w14:textId="77777777" w:rsidTr="00856BB6">
        <w:trPr>
          <w:trHeight w:val="256"/>
        </w:trPr>
        <w:tc>
          <w:tcPr>
            <w:tcW w:w="1666" w:type="pct"/>
          </w:tcPr>
          <w:p w14:paraId="54F33EEA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</w:tc>
        <w:tc>
          <w:tcPr>
            <w:tcW w:w="1666" w:type="pct"/>
          </w:tcPr>
          <w:p w14:paraId="12C17D4A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Letrozol</w:t>
            </w:r>
            <w:proofErr w:type="spellEnd"/>
            <w:r w:rsidRPr="00D83C9F">
              <w:rPr>
                <w:b/>
                <w:bCs/>
                <w:sz w:val="22"/>
                <w:szCs w:val="22"/>
                <w:lang w:val="sr-Latn-ME"/>
              </w:rPr>
              <w:t xml:space="preserve"> →</w:t>
            </w:r>
            <w:proofErr w:type="spellStart"/>
            <w:r w:rsidRPr="00D83C9F">
              <w:rPr>
                <w:b/>
                <w:bCs/>
                <w:sz w:val="22"/>
                <w:szCs w:val="22"/>
                <w:lang w:val="sr-Latn-ME"/>
              </w:rPr>
              <w:t>Tamoksifen</w:t>
            </w:r>
            <w:proofErr w:type="spellEnd"/>
          </w:p>
        </w:tc>
        <w:tc>
          <w:tcPr>
            <w:tcW w:w="1667" w:type="pct"/>
          </w:tcPr>
          <w:p w14:paraId="23F0310A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/>
                <w:bCs/>
                <w:sz w:val="22"/>
                <w:szCs w:val="22"/>
                <w:lang w:val="sr-Latn-ME"/>
              </w:rPr>
            </w:pPr>
            <w:r w:rsidRPr="00D83C9F">
              <w:rPr>
                <w:b/>
                <w:bCs/>
                <w:sz w:val="22"/>
                <w:szCs w:val="22"/>
                <w:lang w:val="sr-Latn-ME"/>
              </w:rPr>
              <w:t>Tamoksifen</w:t>
            </w:r>
            <w:r w:rsidRPr="00D83C9F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2</w:t>
            </w:r>
          </w:p>
        </w:tc>
      </w:tr>
      <w:tr w:rsidR="004378E8" w:rsidRPr="00D83C9F" w14:paraId="0898F715" w14:textId="77777777" w:rsidTr="00856BB6">
        <w:trPr>
          <w:trHeight w:val="256"/>
        </w:trPr>
        <w:tc>
          <w:tcPr>
            <w:tcW w:w="1666" w:type="pct"/>
          </w:tcPr>
          <w:p w14:paraId="2674F980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Broj pacijenata</w:t>
            </w:r>
          </w:p>
        </w:tc>
        <w:tc>
          <w:tcPr>
            <w:tcW w:w="1666" w:type="pct"/>
          </w:tcPr>
          <w:p w14:paraId="7094661C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1540</w:t>
            </w:r>
          </w:p>
        </w:tc>
        <w:tc>
          <w:tcPr>
            <w:tcW w:w="1667" w:type="pct"/>
          </w:tcPr>
          <w:p w14:paraId="081E2C5F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1548</w:t>
            </w:r>
          </w:p>
        </w:tc>
      </w:tr>
      <w:tr w:rsidR="004378E8" w:rsidRPr="00D83C9F" w14:paraId="373F25BB" w14:textId="77777777" w:rsidTr="00856BB6">
        <w:trPr>
          <w:trHeight w:val="496"/>
        </w:trPr>
        <w:tc>
          <w:tcPr>
            <w:tcW w:w="1666" w:type="pct"/>
          </w:tcPr>
          <w:p w14:paraId="6F4B8770" w14:textId="621A1263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Broj pacijenata sa DFS događajima (definisano prema p</w:t>
            </w:r>
            <w:r w:rsidR="003F4485" w:rsidRPr="00D83C9F">
              <w:rPr>
                <w:bCs/>
                <w:sz w:val="22"/>
                <w:szCs w:val="22"/>
                <w:lang w:val="sr-Latn-ME"/>
              </w:rPr>
              <w:t>lanu ispitivanja</w:t>
            </w:r>
            <w:r w:rsidRPr="00D83C9F">
              <w:rPr>
                <w:bCs/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666" w:type="pct"/>
          </w:tcPr>
          <w:p w14:paraId="3F97D756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330</w:t>
            </w:r>
          </w:p>
        </w:tc>
        <w:tc>
          <w:tcPr>
            <w:tcW w:w="1667" w:type="pct"/>
          </w:tcPr>
          <w:p w14:paraId="3F2CDDA0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353</w:t>
            </w:r>
          </w:p>
        </w:tc>
      </w:tr>
      <w:tr w:rsidR="004378E8" w:rsidRPr="00D83C9F" w14:paraId="2E7F6C26" w14:textId="77777777" w:rsidTr="00856BB6">
        <w:trPr>
          <w:trHeight w:val="271"/>
        </w:trPr>
        <w:tc>
          <w:tcPr>
            <w:tcW w:w="1666" w:type="pct"/>
          </w:tcPr>
          <w:p w14:paraId="0C975246" w14:textId="5357A294" w:rsidR="004378E8" w:rsidRPr="00D83C9F" w:rsidRDefault="001D1CD6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Odnos</w:t>
            </w:r>
            <w:r w:rsidR="004378E8" w:rsidRPr="00D83C9F">
              <w:rPr>
                <w:bCs/>
                <w:sz w:val="22"/>
                <w:szCs w:val="22"/>
                <w:lang w:val="sr-Latn-ME"/>
              </w:rPr>
              <w:t xml:space="preserve"> rizika </w:t>
            </w:r>
            <w:r w:rsidR="004378E8" w:rsidRPr="00D83C9F">
              <w:rPr>
                <w:bCs/>
                <w:sz w:val="22"/>
                <w:szCs w:val="22"/>
                <w:vertAlign w:val="superscript"/>
                <w:lang w:val="sr-Latn-ME"/>
              </w:rPr>
              <w:t>1</w:t>
            </w:r>
            <w:r w:rsidR="004378E8" w:rsidRPr="00D83C9F">
              <w:rPr>
                <w:bCs/>
                <w:sz w:val="22"/>
                <w:szCs w:val="22"/>
                <w:lang w:val="sr-Latn-ME"/>
              </w:rPr>
              <w:t xml:space="preserve"> (99% CI)</w:t>
            </w:r>
          </w:p>
        </w:tc>
        <w:tc>
          <w:tcPr>
            <w:tcW w:w="3334" w:type="pct"/>
            <w:gridSpan w:val="2"/>
          </w:tcPr>
          <w:p w14:paraId="243C0B04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jc w:val="center"/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lang w:val="sr-Latn-ME"/>
              </w:rPr>
              <w:t>0, 92 (0,75, 1,12)</w:t>
            </w:r>
          </w:p>
        </w:tc>
      </w:tr>
      <w:tr w:rsidR="004378E8" w:rsidRPr="00D83C9F" w14:paraId="79545E6F" w14:textId="77777777" w:rsidTr="00856BB6">
        <w:trPr>
          <w:trHeight w:val="271"/>
        </w:trPr>
        <w:tc>
          <w:tcPr>
            <w:tcW w:w="5000" w:type="pct"/>
            <w:gridSpan w:val="3"/>
          </w:tcPr>
          <w:p w14:paraId="6964C385" w14:textId="678D90B4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vertAlign w:val="superscript"/>
                <w:lang w:val="sr-Latn-ME"/>
              </w:rPr>
              <w:t>1</w:t>
            </w:r>
            <w:r w:rsidRPr="00D83C9F">
              <w:rPr>
                <w:bCs/>
                <w:sz w:val="22"/>
                <w:szCs w:val="22"/>
                <w:lang w:val="sr-Latn-ME"/>
              </w:rPr>
              <w:t xml:space="preserve"> Prilagođeno</w:t>
            </w:r>
            <w:r w:rsidR="009771A2" w:rsidRPr="00D83C9F">
              <w:rPr>
                <w:bCs/>
                <w:sz w:val="22"/>
                <w:szCs w:val="22"/>
                <w:lang w:val="sr-Latn-ME"/>
              </w:rPr>
              <w:t xml:space="preserve"> prema</w:t>
            </w:r>
            <w:r w:rsidRPr="00D83C9F">
              <w:rPr>
                <w:bCs/>
                <w:sz w:val="22"/>
                <w:szCs w:val="22"/>
                <w:lang w:val="sr-Latn-ME"/>
              </w:rPr>
              <w:t xml:space="preserve"> primjeni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hemioterapije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(da/ne)</w:t>
            </w:r>
          </w:p>
          <w:p w14:paraId="59ADBDBA" w14:textId="77777777" w:rsidR="004378E8" w:rsidRPr="00D83C9F" w:rsidRDefault="004378E8" w:rsidP="00CE1E1D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D83C9F">
              <w:rPr>
                <w:bCs/>
                <w:sz w:val="22"/>
                <w:szCs w:val="22"/>
                <w:vertAlign w:val="superscript"/>
                <w:lang w:val="sr-Latn-ME"/>
              </w:rPr>
              <w:t>2</w:t>
            </w:r>
            <w:r w:rsidRPr="00D83C9F">
              <w:rPr>
                <w:bCs/>
                <w:sz w:val="22"/>
                <w:szCs w:val="22"/>
                <w:lang w:val="sr-Latn-ME"/>
              </w:rPr>
              <w:t xml:space="preserve"> 626 (40 %)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pacijentkinja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koje su selektivno prelazile na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letrozol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poslije terapije </w:t>
            </w:r>
            <w:proofErr w:type="spellStart"/>
            <w:r w:rsidRPr="00D83C9F">
              <w:rPr>
                <w:bCs/>
                <w:sz w:val="22"/>
                <w:szCs w:val="22"/>
                <w:lang w:val="sr-Latn-ME"/>
              </w:rPr>
              <w:t>tamoksifenom</w:t>
            </w:r>
            <w:proofErr w:type="spellEnd"/>
            <w:r w:rsidRPr="00D83C9F">
              <w:rPr>
                <w:bCs/>
                <w:sz w:val="22"/>
                <w:szCs w:val="22"/>
                <w:lang w:val="sr-Latn-ME"/>
              </w:rPr>
              <w:t xml:space="preserve"> poslije otkrivanja podataka u 2005. godini.</w:t>
            </w:r>
          </w:p>
        </w:tc>
      </w:tr>
    </w:tbl>
    <w:p w14:paraId="34B7CEAC" w14:textId="77777777" w:rsidR="004378E8" w:rsidRPr="00D83C9F" w:rsidRDefault="004378E8" w:rsidP="00CE1E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0A806A30" w14:textId="77777777" w:rsidR="004378E8" w:rsidRPr="00D83C9F" w:rsidRDefault="004378E8" w:rsidP="00CE1E1D">
      <w:pPr>
        <w:tabs>
          <w:tab w:val="left" w:pos="284"/>
        </w:tabs>
        <w:jc w:val="both"/>
        <w:rPr>
          <w:bCs/>
          <w:i/>
          <w:iCs/>
          <w:sz w:val="22"/>
          <w:szCs w:val="22"/>
          <w:u w:val="single"/>
          <w:lang w:val="sr-Latn-ME"/>
        </w:rPr>
      </w:pPr>
      <w:r w:rsidRPr="00D83C9F">
        <w:rPr>
          <w:bCs/>
          <w:i/>
          <w:iCs/>
          <w:sz w:val="22"/>
          <w:szCs w:val="22"/>
          <w:u w:val="single"/>
          <w:lang w:val="sr-Latn-ME"/>
        </w:rPr>
        <w:t>Studija D2407</w:t>
      </w:r>
    </w:p>
    <w:p w14:paraId="7B7674C6" w14:textId="21AFB050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Studija D2407 je otvorena, </w:t>
      </w:r>
      <w:proofErr w:type="spellStart"/>
      <w:r w:rsidR="00684660" w:rsidRPr="00D83C9F">
        <w:rPr>
          <w:sz w:val="22"/>
          <w:szCs w:val="22"/>
          <w:lang w:val="sr-Latn-ME"/>
        </w:rPr>
        <w:t>randomizovana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proofErr w:type="spellStart"/>
      <w:r w:rsidRPr="00D83C9F">
        <w:rPr>
          <w:sz w:val="22"/>
          <w:szCs w:val="22"/>
          <w:lang w:val="sr-Latn-ME"/>
        </w:rPr>
        <w:t>multicentrična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bezbjednosna</w:t>
      </w:r>
      <w:proofErr w:type="spellEnd"/>
      <w:r w:rsidRPr="00D83C9F">
        <w:rPr>
          <w:sz w:val="22"/>
          <w:szCs w:val="22"/>
          <w:lang w:val="sr-Latn-ME"/>
        </w:rPr>
        <w:t xml:space="preserve"> studija, sprovedena nakon dobijanja dozvole za lijek, dizajnirana tako da poredi efekte </w:t>
      </w:r>
      <w:proofErr w:type="spellStart"/>
      <w:r w:rsidRPr="00D83C9F">
        <w:rPr>
          <w:sz w:val="22"/>
          <w:szCs w:val="22"/>
          <w:lang w:val="sr-Latn-ME"/>
        </w:rPr>
        <w:t>adjuva</w:t>
      </w:r>
      <w:r w:rsidR="00684660" w:rsidRPr="00D83C9F">
        <w:rPr>
          <w:sz w:val="22"/>
          <w:szCs w:val="22"/>
          <w:lang w:val="sr-Latn-ME"/>
        </w:rPr>
        <w:t>n</w:t>
      </w:r>
      <w:r w:rsidRPr="00D83C9F">
        <w:rPr>
          <w:sz w:val="22"/>
          <w:szCs w:val="22"/>
          <w:lang w:val="sr-Latn-ME"/>
        </w:rPr>
        <w:t>tne</w:t>
      </w:r>
      <w:proofErr w:type="spellEnd"/>
      <w:r w:rsidRPr="00D83C9F">
        <w:rPr>
          <w:sz w:val="22"/>
          <w:szCs w:val="22"/>
          <w:lang w:val="sr-Latn-ME"/>
        </w:rPr>
        <w:t xml:space="preserve"> terapije sa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tamoksifenom</w:t>
      </w:r>
      <w:proofErr w:type="spellEnd"/>
      <w:r w:rsidRPr="00D83C9F">
        <w:rPr>
          <w:sz w:val="22"/>
          <w:szCs w:val="22"/>
          <w:vertAlign w:val="superscript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>na gustinu koštane mase (</w:t>
      </w:r>
      <w:r w:rsidR="001D1CD6" w:rsidRPr="00D83C9F">
        <w:rPr>
          <w:sz w:val="22"/>
          <w:szCs w:val="22"/>
          <w:lang w:val="sr-Latn-ME"/>
        </w:rPr>
        <w:t xml:space="preserve">engl. </w:t>
      </w:r>
      <w:r w:rsidR="001D1CD6" w:rsidRPr="00D83C9F">
        <w:rPr>
          <w:i/>
          <w:sz w:val="22"/>
          <w:szCs w:val="22"/>
          <w:lang w:val="sr-Latn-ME"/>
        </w:rPr>
        <w:t xml:space="preserve">bone mineral </w:t>
      </w:r>
      <w:proofErr w:type="spellStart"/>
      <w:r w:rsidR="001D1CD6" w:rsidRPr="00D83C9F">
        <w:rPr>
          <w:i/>
          <w:sz w:val="22"/>
          <w:szCs w:val="22"/>
          <w:lang w:val="sr-Latn-ME"/>
        </w:rPr>
        <w:t>density</w:t>
      </w:r>
      <w:proofErr w:type="spellEnd"/>
      <w:r w:rsidR="001D1CD6" w:rsidRPr="00D83C9F">
        <w:rPr>
          <w:sz w:val="22"/>
          <w:szCs w:val="22"/>
          <w:lang w:val="sr-Latn-ME"/>
        </w:rPr>
        <w:t xml:space="preserve">, </w:t>
      </w:r>
      <w:r w:rsidRPr="00D83C9F">
        <w:rPr>
          <w:sz w:val="22"/>
          <w:szCs w:val="22"/>
          <w:lang w:val="sr-Latn-ME"/>
        </w:rPr>
        <w:t xml:space="preserve">BMD) i profile lipida u </w:t>
      </w:r>
      <w:r w:rsidR="001D1CD6" w:rsidRPr="00D83C9F">
        <w:rPr>
          <w:sz w:val="22"/>
          <w:szCs w:val="22"/>
          <w:lang w:val="sr-Latn-ME"/>
        </w:rPr>
        <w:t xml:space="preserve">serumu. Ukupno 262 </w:t>
      </w:r>
      <w:proofErr w:type="spellStart"/>
      <w:r w:rsidR="001D1CD6" w:rsidRPr="00D83C9F">
        <w:rPr>
          <w:sz w:val="22"/>
          <w:szCs w:val="22"/>
          <w:lang w:val="sr-Latn-ME"/>
        </w:rPr>
        <w:t>pacijentkinje</w:t>
      </w:r>
      <w:proofErr w:type="spellEnd"/>
      <w:r w:rsidR="001D1CD6" w:rsidRPr="00D83C9F">
        <w:rPr>
          <w:sz w:val="22"/>
          <w:szCs w:val="22"/>
          <w:lang w:val="sr-Latn-ME"/>
        </w:rPr>
        <w:t xml:space="preserve"> su određene</w:t>
      </w:r>
      <w:r w:rsidRPr="00D83C9F">
        <w:rPr>
          <w:sz w:val="22"/>
          <w:szCs w:val="22"/>
          <w:lang w:val="sr-Latn-ME"/>
        </w:rPr>
        <w:t xml:space="preserve"> da dobija</w:t>
      </w:r>
      <w:r w:rsidR="001D1CD6" w:rsidRPr="00D83C9F">
        <w:rPr>
          <w:sz w:val="22"/>
          <w:szCs w:val="22"/>
          <w:lang w:val="sr-Latn-ME"/>
        </w:rPr>
        <w:t>ju</w:t>
      </w:r>
      <w:r w:rsidRPr="00D83C9F">
        <w:rPr>
          <w:sz w:val="22"/>
          <w:szCs w:val="22"/>
          <w:lang w:val="sr-Latn-ME"/>
        </w:rPr>
        <w:t xml:space="preserve"> ili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tokom 5 godina ili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vertAlign w:val="superscript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tokom 2 godine, a nakon toga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tokom 3 godine.</w:t>
      </w:r>
    </w:p>
    <w:p w14:paraId="3464DD94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73630C4" w14:textId="6C0BAAE0" w:rsidR="0035556C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lastRenderedPageBreak/>
        <w:t xml:space="preserve">Nakon 24 mjeseca postojala je značajna statistička razlika u primarnom </w:t>
      </w:r>
      <w:r w:rsidR="001D1CD6" w:rsidRPr="00D83C9F">
        <w:rPr>
          <w:sz w:val="22"/>
          <w:szCs w:val="22"/>
          <w:lang w:val="sr-Latn-ME"/>
        </w:rPr>
        <w:t>parametru praćenja</w:t>
      </w:r>
      <w:r w:rsidRPr="00D83C9F">
        <w:rPr>
          <w:sz w:val="22"/>
          <w:szCs w:val="22"/>
          <w:lang w:val="sr-Latn-ME"/>
        </w:rPr>
        <w:t xml:space="preserve">; BMD lumbalne kičme (L2-L4) pokazao je srednje smanjenje od 4,1% za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u odnosu na srednje povećanje od 0,3 % za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29340109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B3EA273" w14:textId="26381A71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Nijedna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normalnom BMD na početku terapije, nije razvila </w:t>
      </w:r>
      <w:proofErr w:type="spellStart"/>
      <w:r w:rsidRPr="00D83C9F">
        <w:rPr>
          <w:sz w:val="22"/>
          <w:szCs w:val="22"/>
          <w:lang w:val="sr-Latn-ME"/>
        </w:rPr>
        <w:t>osteoporozu</w:t>
      </w:r>
      <w:proofErr w:type="spellEnd"/>
      <w:r w:rsidRPr="00D83C9F">
        <w:rPr>
          <w:sz w:val="22"/>
          <w:szCs w:val="22"/>
          <w:lang w:val="sr-Latn-ME"/>
        </w:rPr>
        <w:t xml:space="preserve"> tokom 2 godine terapije i samo </w:t>
      </w:r>
      <w:r w:rsidR="0035556C" w:rsidRPr="00D83C9F">
        <w:rPr>
          <w:sz w:val="22"/>
          <w:szCs w:val="22"/>
          <w:lang w:val="sr-Latn-ME"/>
        </w:rPr>
        <w:t>se kod</w:t>
      </w:r>
      <w:r w:rsidRPr="00D83C9F">
        <w:rPr>
          <w:sz w:val="22"/>
          <w:szCs w:val="22"/>
          <w:lang w:val="sr-Latn-ME"/>
        </w:rPr>
        <w:t xml:space="preserve"> jedn</w:t>
      </w:r>
      <w:r w:rsidR="0035556C" w:rsidRPr="00D83C9F">
        <w:rPr>
          <w:sz w:val="22"/>
          <w:szCs w:val="22"/>
          <w:lang w:val="sr-Latn-ME"/>
        </w:rPr>
        <w:t>e</w:t>
      </w:r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pacijentkinj</w:t>
      </w:r>
      <w:r w:rsidR="0035556C" w:rsidRPr="00D83C9F">
        <w:rPr>
          <w:sz w:val="22"/>
          <w:szCs w:val="22"/>
          <w:lang w:val="sr-Latn-ME"/>
        </w:rPr>
        <w:t>e</w:t>
      </w:r>
      <w:proofErr w:type="spellEnd"/>
      <w:r w:rsidRPr="00D83C9F">
        <w:rPr>
          <w:sz w:val="22"/>
          <w:szCs w:val="22"/>
          <w:lang w:val="sr-Latn-ME"/>
        </w:rPr>
        <w:t xml:space="preserve">, koja je na početku liječenja imala </w:t>
      </w:r>
      <w:proofErr w:type="spellStart"/>
      <w:r w:rsidRPr="00D83C9F">
        <w:rPr>
          <w:sz w:val="22"/>
          <w:szCs w:val="22"/>
          <w:lang w:val="sr-Latn-ME"/>
        </w:rPr>
        <w:t>osteopeniju</w:t>
      </w:r>
      <w:proofErr w:type="spellEnd"/>
      <w:r w:rsidRPr="00D83C9F">
        <w:rPr>
          <w:sz w:val="22"/>
          <w:szCs w:val="22"/>
          <w:lang w:val="sr-Latn-ME"/>
        </w:rPr>
        <w:t xml:space="preserve"> (T skor -1, 9), razvila </w:t>
      </w:r>
      <w:proofErr w:type="spellStart"/>
      <w:r w:rsidRPr="00D83C9F">
        <w:rPr>
          <w:sz w:val="22"/>
          <w:szCs w:val="22"/>
          <w:lang w:val="sr-Latn-ME"/>
        </w:rPr>
        <w:t>osteoporoz</w:t>
      </w:r>
      <w:r w:rsidR="0035556C" w:rsidRPr="00D83C9F">
        <w:rPr>
          <w:sz w:val="22"/>
          <w:szCs w:val="22"/>
          <w:lang w:val="sr-Latn-ME"/>
        </w:rPr>
        <w:t>a</w:t>
      </w:r>
      <w:proofErr w:type="spellEnd"/>
      <w:r w:rsidRPr="00D83C9F">
        <w:rPr>
          <w:sz w:val="22"/>
          <w:szCs w:val="22"/>
          <w:lang w:val="sr-Latn-ME"/>
        </w:rPr>
        <w:t xml:space="preserve"> tokom perioda liječenja (procjena prema centralnom </w:t>
      </w:r>
      <w:proofErr w:type="spellStart"/>
      <w:r w:rsidRPr="00D83C9F">
        <w:rPr>
          <w:sz w:val="22"/>
          <w:szCs w:val="22"/>
          <w:lang w:val="sr-Latn-ME"/>
        </w:rPr>
        <w:t>pregledu</w:t>
      </w:r>
      <w:proofErr w:type="spellEnd"/>
      <w:r w:rsidRPr="00D83C9F">
        <w:rPr>
          <w:sz w:val="22"/>
          <w:szCs w:val="22"/>
          <w:lang w:val="sr-Latn-ME"/>
        </w:rPr>
        <w:t>).</w:t>
      </w:r>
    </w:p>
    <w:p w14:paraId="515B32F2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EAE38D" w14:textId="1CE1EFD9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Rezultati BMD cijelog kuka bili su slični onima za lumbalnu kičmu ali manje </w:t>
      </w:r>
      <w:r w:rsidR="00EA425D" w:rsidRPr="00D83C9F">
        <w:rPr>
          <w:sz w:val="22"/>
          <w:szCs w:val="22"/>
          <w:lang w:val="sr-Latn-ME"/>
        </w:rPr>
        <w:t>izraženi</w:t>
      </w:r>
      <w:r w:rsidRPr="00D83C9F">
        <w:rPr>
          <w:sz w:val="22"/>
          <w:szCs w:val="22"/>
          <w:lang w:val="sr-Latn-ME"/>
        </w:rPr>
        <w:t>.</w:t>
      </w:r>
    </w:p>
    <w:p w14:paraId="22BB25AF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A2886E5" w14:textId="1A785348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Nije bilo statistički značajne razlike između terapije u smislu učestalosti fraktura -15% za grupu koja je dobijala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 17 % za grupu koja je dobijala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151FA0BD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FCBBD9B" w14:textId="16A74DF6" w:rsidR="004378E8" w:rsidRPr="00D83C9F" w:rsidRDefault="007B0926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Medijana</w:t>
      </w:r>
      <w:proofErr w:type="spellEnd"/>
      <w:r w:rsidR="004378E8" w:rsidRPr="00D83C9F">
        <w:rPr>
          <w:sz w:val="22"/>
          <w:szCs w:val="22"/>
          <w:lang w:val="sr-Latn-ME"/>
        </w:rPr>
        <w:t xml:space="preserve"> ukupnog </w:t>
      </w:r>
      <w:proofErr w:type="spellStart"/>
      <w:r w:rsidR="004378E8" w:rsidRPr="00D83C9F">
        <w:rPr>
          <w:sz w:val="22"/>
          <w:szCs w:val="22"/>
          <w:lang w:val="sr-Latn-ME"/>
        </w:rPr>
        <w:t>holesterola</w:t>
      </w:r>
      <w:proofErr w:type="spellEnd"/>
      <w:r w:rsidR="004378E8" w:rsidRPr="00D83C9F">
        <w:rPr>
          <w:sz w:val="22"/>
          <w:szCs w:val="22"/>
          <w:lang w:val="sr-Latn-ME"/>
        </w:rPr>
        <w:t xml:space="preserve"> u grupi koja je dobijala </w:t>
      </w:r>
      <w:proofErr w:type="spellStart"/>
      <w:r w:rsidR="004378E8" w:rsidRPr="00D83C9F">
        <w:rPr>
          <w:sz w:val="22"/>
          <w:szCs w:val="22"/>
          <w:lang w:val="sr-Latn-ME"/>
        </w:rPr>
        <w:t>tamoksifen</w:t>
      </w:r>
      <w:proofErr w:type="spellEnd"/>
      <w:r w:rsidR="004378E8" w:rsidRPr="00D83C9F">
        <w:rPr>
          <w:sz w:val="22"/>
          <w:szCs w:val="22"/>
          <w:lang w:val="sr-Latn-ME"/>
        </w:rPr>
        <w:t xml:space="preserve"> se smanjila za 16 % poslije 6 mjeseci</w:t>
      </w:r>
      <w:r w:rsidR="007A2D7F" w:rsidRPr="00D83C9F">
        <w:rPr>
          <w:sz w:val="22"/>
          <w:szCs w:val="22"/>
          <w:lang w:val="sr-Latn-ME"/>
        </w:rPr>
        <w:t xml:space="preserve"> u odnosu na početnu vrijednost</w:t>
      </w:r>
      <w:r w:rsidR="004378E8" w:rsidRPr="00D83C9F">
        <w:rPr>
          <w:sz w:val="22"/>
          <w:szCs w:val="22"/>
          <w:lang w:val="sr-Latn-ME"/>
        </w:rPr>
        <w:t xml:space="preserve">, i ovo smanjenje se održavalo i prilikom kasnijih posjeta ljekaru do 24 mjeseca. U grupi koja je dobijala </w:t>
      </w:r>
      <w:proofErr w:type="spellStart"/>
      <w:r w:rsidR="004378E8" w:rsidRPr="00D83C9F">
        <w:rPr>
          <w:sz w:val="22"/>
          <w:szCs w:val="22"/>
          <w:lang w:val="sr-Latn-ME"/>
        </w:rPr>
        <w:t>letrozol</w:t>
      </w:r>
      <w:proofErr w:type="spellEnd"/>
      <w:r w:rsidR="004378E8" w:rsidRPr="00D83C9F">
        <w:rPr>
          <w:sz w:val="22"/>
          <w:szCs w:val="22"/>
          <w:lang w:val="sr-Latn-ME"/>
        </w:rPr>
        <w:t xml:space="preserve">, vrijednosti ukupnog </w:t>
      </w:r>
      <w:proofErr w:type="spellStart"/>
      <w:r w:rsidR="004378E8" w:rsidRPr="00D83C9F">
        <w:rPr>
          <w:sz w:val="22"/>
          <w:szCs w:val="22"/>
          <w:lang w:val="sr-Latn-ME"/>
        </w:rPr>
        <w:t>holesterola</w:t>
      </w:r>
      <w:proofErr w:type="spellEnd"/>
      <w:r w:rsidR="004378E8" w:rsidRPr="00D83C9F">
        <w:rPr>
          <w:sz w:val="22"/>
          <w:szCs w:val="22"/>
          <w:lang w:val="sr-Latn-ME"/>
        </w:rPr>
        <w:t xml:space="preserve"> bile su relativno stabilne tokom </w:t>
      </w:r>
      <w:proofErr w:type="spellStart"/>
      <w:r w:rsidR="004378E8" w:rsidRPr="00D83C9F">
        <w:rPr>
          <w:sz w:val="22"/>
          <w:szCs w:val="22"/>
          <w:lang w:val="sr-Latn-ME"/>
        </w:rPr>
        <w:t>vremena</w:t>
      </w:r>
      <w:proofErr w:type="spellEnd"/>
      <w:r w:rsidR="004378E8" w:rsidRPr="00D83C9F">
        <w:rPr>
          <w:sz w:val="22"/>
          <w:szCs w:val="22"/>
          <w:lang w:val="sr-Latn-ME"/>
        </w:rPr>
        <w:t xml:space="preserve">, što daje statistički značajnu razliku u korist </w:t>
      </w:r>
      <w:proofErr w:type="spellStart"/>
      <w:r w:rsidR="004378E8" w:rsidRPr="00D83C9F">
        <w:rPr>
          <w:sz w:val="22"/>
          <w:szCs w:val="22"/>
          <w:lang w:val="sr-Latn-ME"/>
        </w:rPr>
        <w:t>tamoksifena</w:t>
      </w:r>
      <w:proofErr w:type="spellEnd"/>
      <w:r w:rsidR="004378E8" w:rsidRPr="00D83C9F">
        <w:rPr>
          <w:sz w:val="22"/>
          <w:szCs w:val="22"/>
          <w:lang w:val="sr-Latn-ME"/>
        </w:rPr>
        <w:t xml:space="preserve"> u bilo kom periodu praćenja.</w:t>
      </w:r>
    </w:p>
    <w:p w14:paraId="2896676B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635C8E9" w14:textId="77777777" w:rsidR="004378E8" w:rsidRPr="00D83C9F" w:rsidRDefault="004378E8" w:rsidP="00CE1E1D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 xml:space="preserve">Produžena </w:t>
      </w:r>
      <w:proofErr w:type="spellStart"/>
      <w:r w:rsidRPr="00D83C9F">
        <w:rPr>
          <w:i/>
          <w:sz w:val="22"/>
          <w:szCs w:val="22"/>
          <w:lang w:val="sr-Latn-ME"/>
        </w:rPr>
        <w:t>adjuvantna</w:t>
      </w:r>
      <w:proofErr w:type="spellEnd"/>
      <w:r w:rsidRPr="00D83C9F">
        <w:rPr>
          <w:i/>
          <w:sz w:val="22"/>
          <w:szCs w:val="22"/>
          <w:lang w:val="sr-Latn-ME"/>
        </w:rPr>
        <w:t xml:space="preserve"> terapija (MA-17)</w:t>
      </w:r>
    </w:p>
    <w:p w14:paraId="6869782C" w14:textId="5E987797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</w:t>
      </w:r>
      <w:proofErr w:type="spellStart"/>
      <w:r w:rsidRPr="00D83C9F">
        <w:rPr>
          <w:sz w:val="22"/>
          <w:szCs w:val="22"/>
          <w:lang w:val="sr-Latn-ME"/>
        </w:rPr>
        <w:t>multicentričnoj</w:t>
      </w:r>
      <w:proofErr w:type="spellEnd"/>
      <w:r w:rsidRPr="00D83C9F">
        <w:rPr>
          <w:sz w:val="22"/>
          <w:szCs w:val="22"/>
          <w:lang w:val="sr-Latn-ME"/>
        </w:rPr>
        <w:t xml:space="preserve">, dvostruko slijepoj, </w:t>
      </w:r>
      <w:proofErr w:type="spellStart"/>
      <w:r w:rsidRPr="00D83C9F">
        <w:rPr>
          <w:sz w:val="22"/>
          <w:szCs w:val="22"/>
          <w:lang w:val="sr-Latn-ME"/>
        </w:rPr>
        <w:t>randomizovanoj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proofErr w:type="spellStart"/>
      <w:r w:rsidRPr="00D83C9F">
        <w:rPr>
          <w:sz w:val="22"/>
          <w:szCs w:val="22"/>
          <w:lang w:val="sr-Latn-ME"/>
        </w:rPr>
        <w:t>placebo</w:t>
      </w:r>
      <w:proofErr w:type="spellEnd"/>
      <w:r w:rsidRPr="00D83C9F">
        <w:rPr>
          <w:sz w:val="22"/>
          <w:szCs w:val="22"/>
          <w:lang w:val="sr-Latn-ME"/>
        </w:rPr>
        <w:t xml:space="preserve"> kontrolisanoj studiji (MA-17), više od 5,100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koje su receptor-pozitivne ili imaju primarni </w:t>
      </w:r>
      <w:proofErr w:type="spellStart"/>
      <w:r w:rsidRPr="00D83C9F">
        <w:rPr>
          <w:sz w:val="22"/>
          <w:szCs w:val="22"/>
          <w:lang w:val="sr-Latn-ME"/>
        </w:rPr>
        <w:t>karcinom</w:t>
      </w:r>
      <w:proofErr w:type="spellEnd"/>
      <w:r w:rsidRPr="00D83C9F">
        <w:rPr>
          <w:sz w:val="22"/>
          <w:szCs w:val="22"/>
          <w:lang w:val="sr-Latn-ME"/>
        </w:rPr>
        <w:t xml:space="preserve"> dojke sa nepoznatim afinitetom za receptore, a koje su dobile kompletnu </w:t>
      </w:r>
      <w:proofErr w:type="spellStart"/>
      <w:r w:rsidRPr="00D83C9F">
        <w:rPr>
          <w:sz w:val="22"/>
          <w:szCs w:val="22"/>
          <w:lang w:val="sr-Latn-ME"/>
        </w:rPr>
        <w:t>adjuvantnu</w:t>
      </w:r>
      <w:proofErr w:type="spellEnd"/>
      <w:r w:rsidRPr="00D83C9F">
        <w:rPr>
          <w:sz w:val="22"/>
          <w:szCs w:val="22"/>
          <w:lang w:val="sr-Latn-ME"/>
        </w:rPr>
        <w:t xml:space="preserve"> terapiju </w:t>
      </w:r>
      <w:proofErr w:type="spellStart"/>
      <w:r w:rsidRPr="00D83C9F">
        <w:rPr>
          <w:sz w:val="22"/>
          <w:szCs w:val="22"/>
          <w:lang w:val="sr-Latn-ME"/>
        </w:rPr>
        <w:t>tamoksifenom</w:t>
      </w:r>
      <w:proofErr w:type="spellEnd"/>
      <w:r w:rsidRPr="00D83C9F">
        <w:rPr>
          <w:sz w:val="22"/>
          <w:szCs w:val="22"/>
          <w:lang w:val="sr-Latn-ME"/>
        </w:rPr>
        <w:t xml:space="preserve"> (4, 5 do 6 godina), bile su </w:t>
      </w:r>
      <w:proofErr w:type="spellStart"/>
      <w:r w:rsidRPr="00D83C9F">
        <w:rPr>
          <w:sz w:val="22"/>
          <w:szCs w:val="22"/>
          <w:lang w:val="sr-Latn-ME"/>
        </w:rPr>
        <w:t>randomizovane</w:t>
      </w:r>
      <w:proofErr w:type="spellEnd"/>
      <w:r w:rsidRPr="00D83C9F">
        <w:rPr>
          <w:sz w:val="22"/>
          <w:szCs w:val="22"/>
          <w:lang w:val="sr-Latn-ME"/>
        </w:rPr>
        <w:t xml:space="preserve"> ili u grupu koja je dobijala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ili u grupu koja je primala </w:t>
      </w:r>
      <w:proofErr w:type="spellStart"/>
      <w:r w:rsidRPr="00D83C9F">
        <w:rPr>
          <w:sz w:val="22"/>
          <w:szCs w:val="22"/>
          <w:lang w:val="sr-Latn-ME"/>
        </w:rPr>
        <w:t>placebo</w:t>
      </w:r>
      <w:proofErr w:type="spellEnd"/>
      <w:r w:rsidRPr="00D83C9F">
        <w:rPr>
          <w:sz w:val="22"/>
          <w:szCs w:val="22"/>
          <w:lang w:val="sr-Latn-ME"/>
        </w:rPr>
        <w:t>, tokom 5 godina.</w:t>
      </w:r>
    </w:p>
    <w:p w14:paraId="1A30BD31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1340E8C" w14:textId="2B669023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Primarni </w:t>
      </w:r>
      <w:r w:rsidR="007B0926" w:rsidRPr="00D83C9F">
        <w:rPr>
          <w:sz w:val="22"/>
          <w:szCs w:val="22"/>
          <w:lang w:val="sr-Latn-ME"/>
        </w:rPr>
        <w:t>parametar praćenja</w:t>
      </w:r>
      <w:r w:rsidRPr="00D83C9F">
        <w:rPr>
          <w:sz w:val="22"/>
          <w:szCs w:val="22"/>
          <w:lang w:val="sr-Latn-ME"/>
        </w:rPr>
        <w:t xml:space="preserve"> bio je preživljavanje bez bolesti, definisano kao interval između </w:t>
      </w:r>
      <w:proofErr w:type="spellStart"/>
      <w:r w:rsidRPr="00D83C9F">
        <w:rPr>
          <w:sz w:val="22"/>
          <w:szCs w:val="22"/>
          <w:lang w:val="sr-Latn-ME"/>
        </w:rPr>
        <w:t>randomizacije</w:t>
      </w:r>
      <w:proofErr w:type="spellEnd"/>
      <w:r w:rsidRPr="00D83C9F">
        <w:rPr>
          <w:sz w:val="22"/>
          <w:szCs w:val="22"/>
          <w:lang w:val="sr-Latn-ME"/>
        </w:rPr>
        <w:t xml:space="preserve"> i najranije ponovne pojave </w:t>
      </w:r>
      <w:proofErr w:type="spellStart"/>
      <w:r w:rsidRPr="00D83C9F">
        <w:rPr>
          <w:sz w:val="22"/>
          <w:szCs w:val="22"/>
          <w:lang w:val="sr-Latn-ME"/>
        </w:rPr>
        <w:t>lokoregionalne</w:t>
      </w:r>
      <w:proofErr w:type="spellEnd"/>
      <w:r w:rsidRPr="00D83C9F">
        <w:rPr>
          <w:sz w:val="22"/>
          <w:szCs w:val="22"/>
          <w:lang w:val="sr-Latn-ME"/>
        </w:rPr>
        <w:t xml:space="preserve"> bolesti, udaljene metastaze ili </w:t>
      </w:r>
      <w:proofErr w:type="spellStart"/>
      <w:r w:rsidRPr="00D83C9F">
        <w:rPr>
          <w:sz w:val="22"/>
          <w:szCs w:val="22"/>
          <w:lang w:val="sr-Latn-ME"/>
        </w:rPr>
        <w:t>kontralateralnog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karcinoma</w:t>
      </w:r>
      <w:proofErr w:type="spellEnd"/>
      <w:r w:rsidRPr="00D83C9F">
        <w:rPr>
          <w:sz w:val="22"/>
          <w:szCs w:val="22"/>
          <w:lang w:val="sr-Latn-ME"/>
        </w:rPr>
        <w:t xml:space="preserve"> dojke.</w:t>
      </w:r>
    </w:p>
    <w:p w14:paraId="5F5FAC2A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51ECD2D" w14:textId="5C5DFE48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Prva planira</w:t>
      </w:r>
      <w:r w:rsidR="007B0926" w:rsidRPr="00D83C9F">
        <w:rPr>
          <w:sz w:val="22"/>
          <w:szCs w:val="22"/>
          <w:lang w:val="sr-Latn-ME"/>
        </w:rPr>
        <w:t xml:space="preserve">na analiza tokom studije, pri </w:t>
      </w:r>
      <w:proofErr w:type="spellStart"/>
      <w:r w:rsidR="007B0926" w:rsidRPr="00D83C9F">
        <w:rPr>
          <w:sz w:val="22"/>
          <w:szCs w:val="22"/>
          <w:lang w:val="sr-Latn-ME"/>
        </w:rPr>
        <w:t>medijani</w:t>
      </w:r>
      <w:proofErr w:type="spellEnd"/>
      <w:r w:rsidR="007B0926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praćenja približno 28 mjeseci (25%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praćeno je najmanje 38 mjeseci), pokazala je da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značajno smanjuje rizik od ponovne pojave </w:t>
      </w:r>
      <w:proofErr w:type="spellStart"/>
      <w:r w:rsidRPr="00D83C9F">
        <w:rPr>
          <w:sz w:val="22"/>
          <w:szCs w:val="22"/>
          <w:lang w:val="sr-Latn-ME"/>
        </w:rPr>
        <w:t>karcinoma</w:t>
      </w:r>
      <w:proofErr w:type="spellEnd"/>
      <w:r w:rsidRPr="00D83C9F">
        <w:rPr>
          <w:sz w:val="22"/>
          <w:szCs w:val="22"/>
          <w:lang w:val="sr-Latn-ME"/>
        </w:rPr>
        <w:t xml:space="preserve"> dojke za 42 % u poređenju sa </w:t>
      </w:r>
      <w:proofErr w:type="spellStart"/>
      <w:r w:rsidRPr="00D83C9F">
        <w:rPr>
          <w:sz w:val="22"/>
          <w:szCs w:val="22"/>
          <w:lang w:val="sr-Latn-ME"/>
        </w:rPr>
        <w:t>placebom</w:t>
      </w:r>
      <w:proofErr w:type="spellEnd"/>
      <w:r w:rsidRPr="00D83C9F">
        <w:rPr>
          <w:sz w:val="22"/>
          <w:szCs w:val="22"/>
          <w:lang w:val="sr-Latn-ME"/>
        </w:rPr>
        <w:t xml:space="preserve"> (HR 0,58; 95% CI 0,45, 0,76; </w:t>
      </w:r>
      <w:r w:rsidR="007A2D7F" w:rsidRPr="00D83C9F">
        <w:rPr>
          <w:i/>
          <w:iCs/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 xml:space="preserve">=0,00003). Korist od primjene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uočena je bez obzira na</w:t>
      </w:r>
      <w:r w:rsidR="007A2D7F" w:rsidRPr="00D83C9F">
        <w:rPr>
          <w:sz w:val="22"/>
          <w:szCs w:val="22"/>
          <w:lang w:val="sr-Latn-ME"/>
        </w:rPr>
        <w:t xml:space="preserve"> status limfnih čvorova.</w:t>
      </w:r>
      <w:r w:rsidRPr="00D83C9F">
        <w:rPr>
          <w:sz w:val="22"/>
          <w:szCs w:val="22"/>
          <w:lang w:val="sr-Latn-ME"/>
        </w:rPr>
        <w:t xml:space="preserve"> Nije bilo </w:t>
      </w:r>
      <w:r w:rsidR="007A2D7F" w:rsidRPr="00D83C9F">
        <w:rPr>
          <w:sz w:val="22"/>
          <w:szCs w:val="22"/>
          <w:lang w:val="sr-Latn-ME"/>
        </w:rPr>
        <w:t>značajne</w:t>
      </w:r>
      <w:r w:rsidRPr="00D83C9F">
        <w:rPr>
          <w:sz w:val="22"/>
          <w:szCs w:val="22"/>
          <w:lang w:val="sr-Latn-ME"/>
        </w:rPr>
        <w:t xml:space="preserve"> razlike u ukupnom preživljavanju:  (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51 smrtna slučaja; </w:t>
      </w:r>
      <w:proofErr w:type="spellStart"/>
      <w:r w:rsidRPr="00D83C9F">
        <w:rPr>
          <w:sz w:val="22"/>
          <w:szCs w:val="22"/>
          <w:lang w:val="sr-Latn-ME"/>
        </w:rPr>
        <w:t>placebo</w:t>
      </w:r>
      <w:proofErr w:type="spellEnd"/>
      <w:r w:rsidRPr="00D83C9F">
        <w:rPr>
          <w:sz w:val="22"/>
          <w:szCs w:val="22"/>
          <w:lang w:val="sr-Latn-ME"/>
        </w:rPr>
        <w:t xml:space="preserve"> 62; HR 0,82; 95% CI 0,56, 1,19).</w:t>
      </w:r>
    </w:p>
    <w:p w14:paraId="40AE7B06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9B219A6" w14:textId="22E2261E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Posljedično, nakon ove analize, studija više nije bila slijepa i nastavljena je kao otvorena studija, a </w:t>
      </w:r>
      <w:proofErr w:type="spellStart"/>
      <w:r w:rsidR="007B0926" w:rsidRPr="00D83C9F">
        <w:rPr>
          <w:sz w:val="22"/>
          <w:szCs w:val="22"/>
          <w:lang w:val="sr-Latn-ME"/>
        </w:rPr>
        <w:t>pacijentkinjama</w:t>
      </w:r>
      <w:proofErr w:type="spellEnd"/>
      <w:r w:rsidRPr="00D83C9F">
        <w:rPr>
          <w:sz w:val="22"/>
          <w:szCs w:val="22"/>
          <w:lang w:val="sr-Latn-ME"/>
        </w:rPr>
        <w:t xml:space="preserve"> iz grupe koja je dobijala </w:t>
      </w:r>
      <w:proofErr w:type="spellStart"/>
      <w:r w:rsidRPr="00D83C9F">
        <w:rPr>
          <w:sz w:val="22"/>
          <w:szCs w:val="22"/>
          <w:lang w:val="sr-Latn-ME"/>
        </w:rPr>
        <w:t>placebo</w:t>
      </w:r>
      <w:proofErr w:type="spellEnd"/>
      <w:r w:rsidRPr="00D83C9F">
        <w:rPr>
          <w:sz w:val="22"/>
          <w:szCs w:val="22"/>
          <w:lang w:val="sr-Latn-ME"/>
        </w:rPr>
        <w:t xml:space="preserve"> bilo je dozvoljeno da pređu na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do 5 godina. Više od 60 % podobnih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(one koje prilikom otvaranja studije ni</w:t>
      </w:r>
      <w:r w:rsidR="000D4F0D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imale oboljenje) </w:t>
      </w:r>
      <w:r w:rsidR="000D4F0D" w:rsidRPr="00D83C9F">
        <w:rPr>
          <w:sz w:val="22"/>
          <w:szCs w:val="22"/>
          <w:lang w:val="sr-Latn-ME"/>
        </w:rPr>
        <w:t xml:space="preserve">odlučile su </w:t>
      </w:r>
      <w:r w:rsidR="002A400B" w:rsidRPr="00D83C9F">
        <w:rPr>
          <w:sz w:val="22"/>
          <w:szCs w:val="22"/>
          <w:lang w:val="sr-Latn-ME"/>
        </w:rPr>
        <w:t>za prebacivanje</w:t>
      </w:r>
      <w:r w:rsidRPr="00D83C9F">
        <w:rPr>
          <w:sz w:val="22"/>
          <w:szCs w:val="22"/>
          <w:lang w:val="sr-Latn-ME"/>
        </w:rPr>
        <w:t xml:space="preserve"> na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. Konačna analiza uključila je 1551 </w:t>
      </w:r>
      <w:proofErr w:type="spellStart"/>
      <w:r w:rsidR="002A400B" w:rsidRPr="00D83C9F">
        <w:rPr>
          <w:sz w:val="22"/>
          <w:szCs w:val="22"/>
          <w:lang w:val="sr-Latn-ME"/>
        </w:rPr>
        <w:t>pacijentkinju</w:t>
      </w:r>
      <w:proofErr w:type="spellEnd"/>
      <w:r w:rsidRPr="00D83C9F">
        <w:rPr>
          <w:sz w:val="22"/>
          <w:szCs w:val="22"/>
          <w:lang w:val="sr-Latn-ME"/>
        </w:rPr>
        <w:t>, koj</w:t>
      </w:r>
      <w:r w:rsidR="002A400B" w:rsidRPr="00D83C9F">
        <w:rPr>
          <w:sz w:val="22"/>
          <w:szCs w:val="22"/>
          <w:lang w:val="sr-Latn-ME"/>
        </w:rPr>
        <w:t>a</w:t>
      </w:r>
      <w:r w:rsidRPr="00D83C9F">
        <w:rPr>
          <w:sz w:val="22"/>
          <w:szCs w:val="22"/>
          <w:lang w:val="sr-Latn-ME"/>
        </w:rPr>
        <w:t xml:space="preserve"> </w:t>
      </w:r>
      <w:r w:rsidR="002A400B" w:rsidRPr="00D83C9F">
        <w:rPr>
          <w:sz w:val="22"/>
          <w:szCs w:val="22"/>
          <w:lang w:val="sr-Latn-ME"/>
        </w:rPr>
        <w:t>se</w:t>
      </w:r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placeba</w:t>
      </w:r>
      <w:proofErr w:type="spellEnd"/>
      <w:r w:rsidRPr="00D83C9F">
        <w:rPr>
          <w:sz w:val="22"/>
          <w:szCs w:val="22"/>
          <w:lang w:val="sr-Latn-ME"/>
        </w:rPr>
        <w:t xml:space="preserve"> pre</w:t>
      </w:r>
      <w:r w:rsidR="002A400B" w:rsidRPr="00D83C9F">
        <w:rPr>
          <w:sz w:val="22"/>
          <w:szCs w:val="22"/>
          <w:lang w:val="sr-Latn-ME"/>
        </w:rPr>
        <w:t>bacila</w:t>
      </w:r>
      <w:r w:rsidRPr="00D83C9F">
        <w:rPr>
          <w:sz w:val="22"/>
          <w:szCs w:val="22"/>
          <w:lang w:val="sr-Latn-ME"/>
        </w:rPr>
        <w:t xml:space="preserve"> na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pri </w:t>
      </w:r>
      <w:proofErr w:type="spellStart"/>
      <w:r w:rsidR="007B0926" w:rsidRPr="00D83C9F">
        <w:rPr>
          <w:sz w:val="22"/>
          <w:szCs w:val="22"/>
          <w:lang w:val="sr-Latn-ME"/>
        </w:rPr>
        <w:t>medijani</w:t>
      </w:r>
      <w:proofErr w:type="spellEnd"/>
      <w:r w:rsidRPr="00D83C9F">
        <w:rPr>
          <w:sz w:val="22"/>
          <w:szCs w:val="22"/>
          <w:lang w:val="sr-Latn-ME"/>
        </w:rPr>
        <w:t xml:space="preserve"> terapije od 31 mjesec (opseg od 12 do 106 mjeseci), nakon završetka </w:t>
      </w:r>
      <w:proofErr w:type="spellStart"/>
      <w:r w:rsidRPr="00D83C9F">
        <w:rPr>
          <w:sz w:val="22"/>
          <w:szCs w:val="22"/>
          <w:lang w:val="sr-Latn-ME"/>
        </w:rPr>
        <w:t>adjuvantne</w:t>
      </w:r>
      <w:proofErr w:type="spellEnd"/>
      <w:r w:rsidRPr="00D83C9F">
        <w:rPr>
          <w:sz w:val="22"/>
          <w:szCs w:val="22"/>
          <w:lang w:val="sr-Latn-ME"/>
        </w:rPr>
        <w:t xml:space="preserve"> terapije </w:t>
      </w:r>
      <w:proofErr w:type="spellStart"/>
      <w:r w:rsidRPr="00D83C9F">
        <w:rPr>
          <w:sz w:val="22"/>
          <w:szCs w:val="22"/>
          <w:lang w:val="sr-Latn-ME"/>
        </w:rPr>
        <w:t>tamoksifenom</w:t>
      </w:r>
      <w:proofErr w:type="spellEnd"/>
      <w:r w:rsidRPr="00D83C9F">
        <w:rPr>
          <w:sz w:val="22"/>
          <w:szCs w:val="22"/>
          <w:lang w:val="sr-Latn-ME"/>
        </w:rPr>
        <w:t xml:space="preserve">. </w:t>
      </w:r>
      <w:proofErr w:type="spellStart"/>
      <w:r w:rsidR="007B0926" w:rsidRPr="00D83C9F">
        <w:rPr>
          <w:sz w:val="22"/>
          <w:szCs w:val="22"/>
          <w:lang w:val="sr-Latn-ME"/>
        </w:rPr>
        <w:t>Medijana</w:t>
      </w:r>
      <w:proofErr w:type="spellEnd"/>
      <w:r w:rsidRPr="00D83C9F">
        <w:rPr>
          <w:sz w:val="22"/>
          <w:szCs w:val="22"/>
          <w:lang w:val="sr-Latn-ME"/>
        </w:rPr>
        <w:t xml:space="preserve"> trajanja terapije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>, nakon prelaska, bilo je 40 mjeseci.</w:t>
      </w:r>
    </w:p>
    <w:p w14:paraId="49C1D74E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8F017F" w14:textId="611BE33A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Finalna analiza sprovedena pri srednjem </w:t>
      </w:r>
      <w:proofErr w:type="spellStart"/>
      <w:r w:rsidRPr="00D83C9F">
        <w:rPr>
          <w:sz w:val="22"/>
          <w:szCs w:val="22"/>
          <w:lang w:val="sr-Latn-ME"/>
        </w:rPr>
        <w:t>vremenu</w:t>
      </w:r>
      <w:proofErr w:type="spellEnd"/>
      <w:r w:rsidRPr="00D83C9F">
        <w:rPr>
          <w:sz w:val="22"/>
          <w:szCs w:val="22"/>
          <w:lang w:val="sr-Latn-ME"/>
        </w:rPr>
        <w:t xml:space="preserve"> praćenja od 62 mjeseca potvrdila je značajno smanjenje rizika od ponovne pojave </w:t>
      </w:r>
      <w:proofErr w:type="spellStart"/>
      <w:r w:rsidRPr="00D83C9F">
        <w:rPr>
          <w:sz w:val="22"/>
          <w:szCs w:val="22"/>
          <w:lang w:val="sr-Latn-ME"/>
        </w:rPr>
        <w:t>karcinoma</w:t>
      </w:r>
      <w:proofErr w:type="spellEnd"/>
      <w:r w:rsidRPr="00D83C9F">
        <w:rPr>
          <w:sz w:val="22"/>
          <w:szCs w:val="22"/>
          <w:lang w:val="sr-Latn-ME"/>
        </w:rPr>
        <w:t xml:space="preserve"> dojke pri primjeni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05E91E50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BCBE34" w14:textId="77777777" w:rsidR="00684660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b/>
          <w:sz w:val="22"/>
          <w:szCs w:val="22"/>
          <w:lang w:val="sr-Latn-ME"/>
        </w:rPr>
        <w:t>Tabela 8.</w:t>
      </w:r>
      <w:r w:rsidRPr="00D83C9F">
        <w:rPr>
          <w:sz w:val="22"/>
          <w:szCs w:val="22"/>
          <w:lang w:val="sr-Latn-ME"/>
        </w:rPr>
        <w:t xml:space="preserve"> </w:t>
      </w:r>
      <w:r w:rsidRPr="00D83C9F">
        <w:rPr>
          <w:b/>
          <w:sz w:val="22"/>
          <w:szCs w:val="22"/>
          <w:lang w:val="sr-Latn-ME"/>
        </w:rPr>
        <w:t>Preživljavanje bez bolesti (DFS) i ukupno preživljavanje (OS) (modifikovana ITT populacija</w:t>
      </w:r>
      <w:r w:rsidRPr="00D83C9F">
        <w:rPr>
          <w:sz w:val="22"/>
          <w:szCs w:val="22"/>
          <w:lang w:val="sr-Latn-ME"/>
        </w:rPr>
        <w:t xml:space="preserve">)       </w:t>
      </w:r>
    </w:p>
    <w:p w14:paraId="49393948" w14:textId="12DB7FA6" w:rsidR="004378E8" w:rsidRPr="00D83C9F" w:rsidRDefault="004378E8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041"/>
        <w:gridCol w:w="1041"/>
        <w:gridCol w:w="1448"/>
        <w:gridCol w:w="1151"/>
        <w:gridCol w:w="1151"/>
        <w:gridCol w:w="1448"/>
      </w:tblGrid>
      <w:tr w:rsidR="004378E8" w:rsidRPr="00D83C9F" w14:paraId="3B4E42EC" w14:textId="77777777" w:rsidTr="00856BB6">
        <w:trPr>
          <w:trHeight w:val="898"/>
        </w:trPr>
        <w:tc>
          <w:tcPr>
            <w:tcW w:w="989" w:type="pct"/>
          </w:tcPr>
          <w:p w14:paraId="33575852" w14:textId="77777777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                                 </w:t>
            </w:r>
          </w:p>
        </w:tc>
        <w:tc>
          <w:tcPr>
            <w:tcW w:w="1945" w:type="pct"/>
            <w:gridSpan w:val="3"/>
          </w:tcPr>
          <w:p w14:paraId="38E42179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  <w:p w14:paraId="22E4F713" w14:textId="58DD0B50" w:rsidR="004378E8" w:rsidRPr="00D83C9F" w:rsidRDefault="007826B0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Medijana</w:t>
            </w:r>
            <w:proofErr w:type="spellEnd"/>
            <w:r w:rsidR="004378E8" w:rsidRPr="00D83C9F">
              <w:rPr>
                <w:b/>
                <w:sz w:val="22"/>
                <w:szCs w:val="22"/>
                <w:lang w:val="sr-Latn-ME"/>
              </w:rPr>
              <w:t xml:space="preserve"> praćenja 28 mjeseci</w:t>
            </w:r>
            <w:r w:rsidR="006C7A10" w:rsidRPr="00D83C9F">
              <w:rPr>
                <w:b/>
                <w:bCs/>
                <w:sz w:val="22"/>
                <w:szCs w:val="22"/>
                <w:vertAlign w:val="superscript"/>
                <w:lang w:val="sr-Latn-ME"/>
              </w:rPr>
              <w:t>1</w:t>
            </w:r>
          </w:p>
        </w:tc>
        <w:tc>
          <w:tcPr>
            <w:tcW w:w="2066" w:type="pct"/>
            <w:gridSpan w:val="3"/>
          </w:tcPr>
          <w:p w14:paraId="44E75EC1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  <w:p w14:paraId="7B2AFD8F" w14:textId="3307E1AB" w:rsidR="004378E8" w:rsidRPr="00D83C9F" w:rsidRDefault="007826B0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Medijana</w:t>
            </w:r>
            <w:proofErr w:type="spellEnd"/>
            <w:r w:rsidRPr="00D83C9F">
              <w:rPr>
                <w:b/>
                <w:sz w:val="22"/>
                <w:szCs w:val="22"/>
                <w:lang w:val="sr-Latn-ME"/>
              </w:rPr>
              <w:t xml:space="preserve"> </w:t>
            </w:r>
            <w:r w:rsidR="004378E8" w:rsidRPr="00D83C9F">
              <w:rPr>
                <w:b/>
                <w:sz w:val="22"/>
                <w:szCs w:val="22"/>
                <w:lang w:val="sr-Latn-ME"/>
              </w:rPr>
              <w:t>praćenja 62 mjeseca</w:t>
            </w:r>
          </w:p>
        </w:tc>
      </w:tr>
      <w:tr w:rsidR="004378E8" w:rsidRPr="00D83C9F" w14:paraId="09E743E8" w14:textId="77777777" w:rsidTr="00856BB6">
        <w:trPr>
          <w:trHeight w:val="586"/>
        </w:trPr>
        <w:tc>
          <w:tcPr>
            <w:tcW w:w="989" w:type="pct"/>
          </w:tcPr>
          <w:p w14:paraId="446A27D5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</w:p>
        </w:tc>
        <w:tc>
          <w:tcPr>
            <w:tcW w:w="574" w:type="pct"/>
          </w:tcPr>
          <w:p w14:paraId="3786F6E3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</w:p>
          <w:p w14:paraId="4FBA3A81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N=2582</w:t>
            </w:r>
          </w:p>
        </w:tc>
        <w:tc>
          <w:tcPr>
            <w:tcW w:w="574" w:type="pct"/>
          </w:tcPr>
          <w:p w14:paraId="3663511D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Placebo</w:t>
            </w:r>
            <w:proofErr w:type="spellEnd"/>
          </w:p>
          <w:p w14:paraId="1B2B8EBE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N=2586</w:t>
            </w:r>
          </w:p>
        </w:tc>
        <w:tc>
          <w:tcPr>
            <w:tcW w:w="798" w:type="pct"/>
          </w:tcPr>
          <w:p w14:paraId="710FD441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vertAlign w:val="superscript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HR(95%CI)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074EBB87" w14:textId="240D5970" w:rsidR="004378E8" w:rsidRPr="00D83C9F" w:rsidRDefault="006C7A10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i/>
                <w:sz w:val="22"/>
                <w:szCs w:val="22"/>
                <w:lang w:val="sr-Latn-ME"/>
              </w:rPr>
              <w:t>P</w:t>
            </w:r>
            <w:r w:rsidR="004378E8" w:rsidRPr="00D83C9F">
              <w:rPr>
                <w:b/>
                <w:i/>
                <w:sz w:val="22"/>
                <w:szCs w:val="22"/>
                <w:lang w:val="sr-Latn-ME"/>
              </w:rPr>
              <w:t xml:space="preserve"> </w:t>
            </w:r>
            <w:r w:rsidR="004378E8" w:rsidRPr="00D83C9F">
              <w:rPr>
                <w:b/>
                <w:sz w:val="22"/>
                <w:szCs w:val="22"/>
                <w:lang w:val="sr-Latn-ME"/>
              </w:rPr>
              <w:t>vrijednost</w:t>
            </w:r>
          </w:p>
        </w:tc>
        <w:tc>
          <w:tcPr>
            <w:tcW w:w="634" w:type="pct"/>
          </w:tcPr>
          <w:p w14:paraId="727CCB88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</w:p>
          <w:p w14:paraId="38992807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N=2582</w:t>
            </w:r>
          </w:p>
        </w:tc>
        <w:tc>
          <w:tcPr>
            <w:tcW w:w="634" w:type="pct"/>
          </w:tcPr>
          <w:p w14:paraId="66A165B0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Placebo</w:t>
            </w:r>
            <w:proofErr w:type="spellEnd"/>
          </w:p>
          <w:p w14:paraId="58C70646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N=2586</w:t>
            </w:r>
          </w:p>
        </w:tc>
        <w:tc>
          <w:tcPr>
            <w:tcW w:w="798" w:type="pct"/>
          </w:tcPr>
          <w:p w14:paraId="66489680" w14:textId="77777777" w:rsidR="004378E8" w:rsidRPr="00D83C9F" w:rsidRDefault="004378E8" w:rsidP="00CE1E1D">
            <w:pPr>
              <w:jc w:val="center"/>
              <w:rPr>
                <w:b/>
                <w:sz w:val="22"/>
                <w:szCs w:val="22"/>
                <w:vertAlign w:val="superscript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HR(95%CI)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2</w:t>
            </w:r>
          </w:p>
          <w:p w14:paraId="09C29BFF" w14:textId="6AE18A8F" w:rsidR="004378E8" w:rsidRPr="00D83C9F" w:rsidRDefault="006C7A10" w:rsidP="00CE1E1D">
            <w:pPr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i/>
                <w:iCs/>
                <w:sz w:val="22"/>
                <w:szCs w:val="22"/>
                <w:lang w:val="sr-Latn-ME"/>
              </w:rPr>
              <w:t>P</w:t>
            </w:r>
            <w:r w:rsidR="004378E8" w:rsidRPr="00D83C9F">
              <w:rPr>
                <w:b/>
                <w:sz w:val="22"/>
                <w:szCs w:val="22"/>
                <w:lang w:val="sr-Latn-ME"/>
              </w:rPr>
              <w:t xml:space="preserve"> vrijednost</w:t>
            </w:r>
          </w:p>
        </w:tc>
      </w:tr>
      <w:tr w:rsidR="004378E8" w:rsidRPr="00D83C9F" w14:paraId="76241E5D" w14:textId="77777777" w:rsidTr="00856BB6">
        <w:trPr>
          <w:trHeight w:val="692"/>
        </w:trPr>
        <w:tc>
          <w:tcPr>
            <w:tcW w:w="5000" w:type="pct"/>
            <w:gridSpan w:val="7"/>
          </w:tcPr>
          <w:p w14:paraId="0824CC96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b/>
                <w:sz w:val="22"/>
                <w:szCs w:val="22"/>
                <w:vertAlign w:val="superscript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lastRenderedPageBreak/>
              <w:t xml:space="preserve">Preživljavanje bez povratka bolesti 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>3</w:t>
            </w:r>
          </w:p>
          <w:p w14:paraId="06C95DE7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</w:p>
        </w:tc>
      </w:tr>
      <w:tr w:rsidR="004378E8" w:rsidRPr="00D83C9F" w14:paraId="5249D400" w14:textId="77777777" w:rsidTr="00856BB6">
        <w:trPr>
          <w:trHeight w:val="640"/>
        </w:trPr>
        <w:tc>
          <w:tcPr>
            <w:tcW w:w="989" w:type="pct"/>
          </w:tcPr>
          <w:p w14:paraId="62ADBF82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Događaji</w:t>
            </w:r>
          </w:p>
        </w:tc>
        <w:tc>
          <w:tcPr>
            <w:tcW w:w="574" w:type="pct"/>
          </w:tcPr>
          <w:p w14:paraId="3E98C375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92</w:t>
            </w:r>
          </w:p>
          <w:p w14:paraId="058F2232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(3,6%)</w:t>
            </w:r>
          </w:p>
        </w:tc>
        <w:tc>
          <w:tcPr>
            <w:tcW w:w="574" w:type="pct"/>
          </w:tcPr>
          <w:p w14:paraId="5F1F7E9A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155 (6,0%)</w:t>
            </w:r>
          </w:p>
        </w:tc>
        <w:tc>
          <w:tcPr>
            <w:tcW w:w="798" w:type="pct"/>
          </w:tcPr>
          <w:p w14:paraId="5648BAC0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0,58</w:t>
            </w:r>
          </w:p>
          <w:p w14:paraId="3F314BAA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(0,45, 0,76)</w:t>
            </w:r>
          </w:p>
          <w:p w14:paraId="61309285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0,00003</w:t>
            </w:r>
          </w:p>
        </w:tc>
        <w:tc>
          <w:tcPr>
            <w:tcW w:w="634" w:type="pct"/>
          </w:tcPr>
          <w:p w14:paraId="1F71E963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209</w:t>
            </w:r>
          </w:p>
          <w:p w14:paraId="7013321C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(8,1%)</w:t>
            </w:r>
          </w:p>
        </w:tc>
        <w:tc>
          <w:tcPr>
            <w:tcW w:w="634" w:type="pct"/>
          </w:tcPr>
          <w:p w14:paraId="2B765063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286</w:t>
            </w:r>
          </w:p>
          <w:p w14:paraId="74F6B550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(11,1%)</w:t>
            </w:r>
          </w:p>
        </w:tc>
        <w:tc>
          <w:tcPr>
            <w:tcW w:w="798" w:type="pct"/>
          </w:tcPr>
          <w:p w14:paraId="3796A59D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0,75</w:t>
            </w:r>
          </w:p>
          <w:p w14:paraId="295C5313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(0,63, 0,89)</w:t>
            </w:r>
          </w:p>
          <w:p w14:paraId="55EBCDFA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32766FEC" w14:textId="77777777" w:rsidTr="00856BB6">
        <w:trPr>
          <w:trHeight w:val="464"/>
        </w:trPr>
        <w:tc>
          <w:tcPr>
            <w:tcW w:w="989" w:type="pct"/>
          </w:tcPr>
          <w:p w14:paraId="7556D837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Stopa četvorogodišnjeg DFS</w:t>
            </w:r>
          </w:p>
        </w:tc>
        <w:tc>
          <w:tcPr>
            <w:tcW w:w="574" w:type="pct"/>
          </w:tcPr>
          <w:p w14:paraId="1FB1BC7B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94,4%</w:t>
            </w:r>
          </w:p>
        </w:tc>
        <w:tc>
          <w:tcPr>
            <w:tcW w:w="574" w:type="pct"/>
          </w:tcPr>
          <w:p w14:paraId="00986FF6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89,8%</w:t>
            </w:r>
          </w:p>
        </w:tc>
        <w:tc>
          <w:tcPr>
            <w:tcW w:w="798" w:type="pct"/>
          </w:tcPr>
          <w:p w14:paraId="730BE976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4" w:type="pct"/>
          </w:tcPr>
          <w:p w14:paraId="2B083D72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94,4%</w:t>
            </w:r>
          </w:p>
        </w:tc>
        <w:tc>
          <w:tcPr>
            <w:tcW w:w="634" w:type="pct"/>
          </w:tcPr>
          <w:p w14:paraId="7629FAE1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91,4%</w:t>
            </w:r>
          </w:p>
        </w:tc>
        <w:tc>
          <w:tcPr>
            <w:tcW w:w="798" w:type="pct"/>
          </w:tcPr>
          <w:p w14:paraId="438A79FB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7F574DE5" w14:textId="77777777" w:rsidTr="002D2DFB">
        <w:trPr>
          <w:trHeight w:val="298"/>
        </w:trPr>
        <w:tc>
          <w:tcPr>
            <w:tcW w:w="5000" w:type="pct"/>
            <w:gridSpan w:val="7"/>
          </w:tcPr>
          <w:p w14:paraId="04B06D21" w14:textId="77777777" w:rsidR="004378E8" w:rsidRPr="00D83C9F" w:rsidRDefault="004378E8" w:rsidP="00CE1E1D">
            <w:pPr>
              <w:rPr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 xml:space="preserve">Preživljavanje bez bolesti </w:t>
            </w:r>
            <w:r w:rsidRPr="00D83C9F">
              <w:rPr>
                <w:b/>
                <w:sz w:val="22"/>
                <w:szCs w:val="22"/>
                <w:vertAlign w:val="superscript"/>
                <w:lang w:val="sr-Latn-ME"/>
              </w:rPr>
              <w:t xml:space="preserve">3 </w:t>
            </w:r>
            <w:r w:rsidRPr="00D83C9F">
              <w:rPr>
                <w:b/>
                <w:sz w:val="22"/>
                <w:szCs w:val="22"/>
                <w:lang w:val="sr-Latn-ME"/>
              </w:rPr>
              <w:t xml:space="preserve">uključujući smrtni ishod iz bilo kog razloga </w:t>
            </w:r>
          </w:p>
        </w:tc>
      </w:tr>
      <w:tr w:rsidR="004378E8" w:rsidRPr="00D83C9F" w14:paraId="1CDED2BF" w14:textId="77777777" w:rsidTr="00856BB6">
        <w:trPr>
          <w:trHeight w:val="898"/>
        </w:trPr>
        <w:tc>
          <w:tcPr>
            <w:tcW w:w="989" w:type="pct"/>
          </w:tcPr>
          <w:p w14:paraId="53545243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pacing w:val="-4"/>
                <w:sz w:val="22"/>
                <w:szCs w:val="22"/>
                <w:lang w:val="sr-Latn-ME"/>
              </w:rPr>
              <w:t>Događaji</w:t>
            </w:r>
          </w:p>
        </w:tc>
        <w:tc>
          <w:tcPr>
            <w:tcW w:w="574" w:type="pct"/>
          </w:tcPr>
          <w:p w14:paraId="64E4A8C8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122 (4,7%)</w:t>
            </w:r>
          </w:p>
        </w:tc>
        <w:tc>
          <w:tcPr>
            <w:tcW w:w="574" w:type="pct"/>
          </w:tcPr>
          <w:p w14:paraId="332BF5B2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193 (7,5%)</w:t>
            </w:r>
          </w:p>
        </w:tc>
        <w:tc>
          <w:tcPr>
            <w:tcW w:w="798" w:type="pct"/>
          </w:tcPr>
          <w:p w14:paraId="387D7CDD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0,62</w:t>
            </w:r>
          </w:p>
          <w:p w14:paraId="412C03E6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(0,49, 0,78)</w:t>
            </w:r>
          </w:p>
          <w:p w14:paraId="509E71AF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4" w:type="pct"/>
          </w:tcPr>
          <w:p w14:paraId="697C2C53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344</w:t>
            </w:r>
          </w:p>
          <w:p w14:paraId="5BBD5F9E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(13,3%)</w:t>
            </w:r>
          </w:p>
        </w:tc>
        <w:tc>
          <w:tcPr>
            <w:tcW w:w="634" w:type="pct"/>
          </w:tcPr>
          <w:p w14:paraId="0B0A06B8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402</w:t>
            </w:r>
          </w:p>
          <w:p w14:paraId="1AB07DEA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(15,5%)</w:t>
            </w:r>
          </w:p>
        </w:tc>
        <w:tc>
          <w:tcPr>
            <w:tcW w:w="798" w:type="pct"/>
          </w:tcPr>
          <w:p w14:paraId="7FDB2EE7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0,89</w:t>
            </w:r>
          </w:p>
          <w:p w14:paraId="16A35D44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(0,77, 1,03)</w:t>
            </w:r>
          </w:p>
          <w:p w14:paraId="143DAB3C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22D74726" w14:textId="77777777" w:rsidTr="00856BB6">
        <w:trPr>
          <w:trHeight w:val="371"/>
        </w:trPr>
        <w:tc>
          <w:tcPr>
            <w:tcW w:w="989" w:type="pct"/>
          </w:tcPr>
          <w:p w14:paraId="2B47BAD6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Stopa petogodišnjeg DFS </w:t>
            </w:r>
          </w:p>
        </w:tc>
        <w:tc>
          <w:tcPr>
            <w:tcW w:w="574" w:type="pct"/>
          </w:tcPr>
          <w:p w14:paraId="79D76839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90,5%</w:t>
            </w:r>
          </w:p>
        </w:tc>
        <w:tc>
          <w:tcPr>
            <w:tcW w:w="574" w:type="pct"/>
          </w:tcPr>
          <w:p w14:paraId="57C653A8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80,8%</w:t>
            </w:r>
          </w:p>
        </w:tc>
        <w:tc>
          <w:tcPr>
            <w:tcW w:w="798" w:type="pct"/>
          </w:tcPr>
          <w:p w14:paraId="6E844518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4" w:type="pct"/>
          </w:tcPr>
          <w:p w14:paraId="635BAD97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88,8%</w:t>
            </w:r>
          </w:p>
        </w:tc>
        <w:tc>
          <w:tcPr>
            <w:tcW w:w="634" w:type="pct"/>
          </w:tcPr>
          <w:p w14:paraId="4F1F6E12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86,7%</w:t>
            </w:r>
          </w:p>
        </w:tc>
        <w:tc>
          <w:tcPr>
            <w:tcW w:w="798" w:type="pct"/>
          </w:tcPr>
          <w:p w14:paraId="03CE77D1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2C355792" w14:textId="77777777" w:rsidTr="00856BB6">
        <w:trPr>
          <w:trHeight w:val="858"/>
        </w:trPr>
        <w:tc>
          <w:tcPr>
            <w:tcW w:w="989" w:type="pct"/>
          </w:tcPr>
          <w:p w14:paraId="37D13574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pacing w:val="-4"/>
                <w:sz w:val="22"/>
                <w:szCs w:val="22"/>
                <w:lang w:val="sr-Latn-ME"/>
              </w:rPr>
            </w:pPr>
            <w:r w:rsidRPr="00D83C9F">
              <w:rPr>
                <w:spacing w:val="-4"/>
                <w:sz w:val="22"/>
                <w:szCs w:val="22"/>
                <w:lang w:val="sr-Latn-ME"/>
              </w:rPr>
              <w:t>Udaljene metastaze</w:t>
            </w:r>
          </w:p>
          <w:p w14:paraId="6FFC62E7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574" w:type="pct"/>
          </w:tcPr>
          <w:p w14:paraId="406B27DC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574" w:type="pct"/>
          </w:tcPr>
          <w:p w14:paraId="69E50B25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798" w:type="pct"/>
          </w:tcPr>
          <w:p w14:paraId="12E97DAF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4" w:type="pct"/>
          </w:tcPr>
          <w:p w14:paraId="228763FD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4" w:type="pct"/>
          </w:tcPr>
          <w:p w14:paraId="3F13AA57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798" w:type="pct"/>
          </w:tcPr>
          <w:p w14:paraId="707AA5BE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2D4A1AB7" w14:textId="77777777" w:rsidTr="00856BB6">
        <w:trPr>
          <w:trHeight w:val="858"/>
        </w:trPr>
        <w:tc>
          <w:tcPr>
            <w:tcW w:w="989" w:type="pct"/>
          </w:tcPr>
          <w:p w14:paraId="156D4519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pacing w:val="-4"/>
                <w:sz w:val="22"/>
                <w:szCs w:val="22"/>
                <w:lang w:val="sr-Latn-ME"/>
              </w:rPr>
            </w:pPr>
            <w:r w:rsidRPr="00D83C9F">
              <w:rPr>
                <w:spacing w:val="-4"/>
                <w:sz w:val="22"/>
                <w:szCs w:val="22"/>
                <w:lang w:val="sr-Latn-ME"/>
              </w:rPr>
              <w:t>Događaji</w:t>
            </w:r>
          </w:p>
        </w:tc>
        <w:tc>
          <w:tcPr>
            <w:tcW w:w="574" w:type="pct"/>
          </w:tcPr>
          <w:p w14:paraId="1C008762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57(2,2%)</w:t>
            </w:r>
          </w:p>
        </w:tc>
        <w:tc>
          <w:tcPr>
            <w:tcW w:w="574" w:type="pct"/>
          </w:tcPr>
          <w:p w14:paraId="5B567006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93(3,6%)</w:t>
            </w:r>
          </w:p>
        </w:tc>
        <w:tc>
          <w:tcPr>
            <w:tcW w:w="798" w:type="pct"/>
          </w:tcPr>
          <w:p w14:paraId="1E148394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0,61</w:t>
            </w:r>
          </w:p>
          <w:p w14:paraId="14087FBD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(0,44, 0,84)</w:t>
            </w:r>
          </w:p>
          <w:p w14:paraId="25192744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4" w:type="pct"/>
          </w:tcPr>
          <w:p w14:paraId="5104189E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142</w:t>
            </w:r>
          </w:p>
          <w:p w14:paraId="25315917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(5,5%)</w:t>
            </w:r>
          </w:p>
        </w:tc>
        <w:tc>
          <w:tcPr>
            <w:tcW w:w="634" w:type="pct"/>
          </w:tcPr>
          <w:p w14:paraId="71338C36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169</w:t>
            </w:r>
          </w:p>
          <w:p w14:paraId="6196F10C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(6,5%)</w:t>
            </w:r>
          </w:p>
        </w:tc>
        <w:tc>
          <w:tcPr>
            <w:tcW w:w="798" w:type="pct"/>
          </w:tcPr>
          <w:p w14:paraId="76AA35E5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0,88</w:t>
            </w:r>
          </w:p>
          <w:p w14:paraId="7AE2788A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(0,70, 1,10)</w:t>
            </w:r>
          </w:p>
          <w:p w14:paraId="5D374B21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19714226" w14:textId="77777777" w:rsidTr="00856BB6">
        <w:trPr>
          <w:trHeight w:val="364"/>
        </w:trPr>
        <w:tc>
          <w:tcPr>
            <w:tcW w:w="5000" w:type="pct"/>
            <w:gridSpan w:val="7"/>
          </w:tcPr>
          <w:p w14:paraId="0EEF9D46" w14:textId="77777777" w:rsidR="004378E8" w:rsidRPr="00D83C9F" w:rsidRDefault="004378E8" w:rsidP="00CE1E1D">
            <w:pPr>
              <w:rPr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 xml:space="preserve">Ukupno preživljavanje </w:t>
            </w:r>
          </w:p>
        </w:tc>
      </w:tr>
      <w:tr w:rsidR="004378E8" w:rsidRPr="00D83C9F" w14:paraId="4650A0B8" w14:textId="77777777" w:rsidTr="00856BB6">
        <w:trPr>
          <w:trHeight w:val="879"/>
        </w:trPr>
        <w:tc>
          <w:tcPr>
            <w:tcW w:w="989" w:type="pct"/>
          </w:tcPr>
          <w:p w14:paraId="29037CBB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pacing w:val="-4"/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Smrtni ishodi</w:t>
            </w:r>
          </w:p>
        </w:tc>
        <w:tc>
          <w:tcPr>
            <w:tcW w:w="574" w:type="pct"/>
          </w:tcPr>
          <w:p w14:paraId="05D4CC02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51(2,0%)</w:t>
            </w:r>
          </w:p>
        </w:tc>
        <w:tc>
          <w:tcPr>
            <w:tcW w:w="574" w:type="pct"/>
          </w:tcPr>
          <w:p w14:paraId="4FA3136F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62(2,4%)</w:t>
            </w:r>
          </w:p>
        </w:tc>
        <w:tc>
          <w:tcPr>
            <w:tcW w:w="798" w:type="pct"/>
          </w:tcPr>
          <w:p w14:paraId="3E2D77B2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0,82</w:t>
            </w:r>
          </w:p>
          <w:p w14:paraId="7155B07E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(0,56, 1,19)</w:t>
            </w:r>
          </w:p>
          <w:p w14:paraId="7F60C0E3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  <w:tc>
          <w:tcPr>
            <w:tcW w:w="634" w:type="pct"/>
          </w:tcPr>
          <w:p w14:paraId="3DD4D30E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236(9,1%)</w:t>
            </w:r>
          </w:p>
        </w:tc>
        <w:tc>
          <w:tcPr>
            <w:tcW w:w="634" w:type="pct"/>
          </w:tcPr>
          <w:p w14:paraId="28B18D0A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232(9,0%)</w:t>
            </w:r>
          </w:p>
        </w:tc>
        <w:tc>
          <w:tcPr>
            <w:tcW w:w="798" w:type="pct"/>
          </w:tcPr>
          <w:p w14:paraId="3E7C8104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1,13</w:t>
            </w:r>
          </w:p>
          <w:p w14:paraId="496E3BC3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(0,95, 1,36)</w:t>
            </w:r>
          </w:p>
          <w:p w14:paraId="24F7825B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</w:p>
        </w:tc>
      </w:tr>
      <w:tr w:rsidR="004378E8" w:rsidRPr="00D83C9F" w14:paraId="061AAED7" w14:textId="77777777" w:rsidTr="00856BB6">
        <w:trPr>
          <w:trHeight w:val="604"/>
        </w:trPr>
        <w:tc>
          <w:tcPr>
            <w:tcW w:w="989" w:type="pct"/>
          </w:tcPr>
          <w:p w14:paraId="1E328D82" w14:textId="77777777" w:rsidR="004378E8" w:rsidRPr="00D83C9F" w:rsidRDefault="004378E8" w:rsidP="00CE1E1D">
            <w:pPr>
              <w:keepLines/>
              <w:tabs>
                <w:tab w:val="left" w:pos="284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Smrtni ishodi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4</w:t>
            </w:r>
          </w:p>
        </w:tc>
        <w:tc>
          <w:tcPr>
            <w:tcW w:w="574" w:type="pct"/>
          </w:tcPr>
          <w:p w14:paraId="146B85D4" w14:textId="77777777" w:rsidR="004378E8" w:rsidRPr="00D83C9F" w:rsidRDefault="004378E8" w:rsidP="00CE1E1D">
            <w:pPr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  -</w:t>
            </w:r>
          </w:p>
        </w:tc>
        <w:tc>
          <w:tcPr>
            <w:tcW w:w="574" w:type="pct"/>
          </w:tcPr>
          <w:p w14:paraId="7BF9C212" w14:textId="77777777" w:rsidR="004378E8" w:rsidRPr="00D83C9F" w:rsidRDefault="004378E8" w:rsidP="00CE1E1D">
            <w:pPr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  -</w:t>
            </w:r>
          </w:p>
        </w:tc>
        <w:tc>
          <w:tcPr>
            <w:tcW w:w="798" w:type="pct"/>
          </w:tcPr>
          <w:p w14:paraId="37972540" w14:textId="77777777" w:rsidR="004378E8" w:rsidRPr="00D83C9F" w:rsidRDefault="004378E8" w:rsidP="00CE1E1D">
            <w:pPr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  -</w:t>
            </w:r>
          </w:p>
        </w:tc>
        <w:tc>
          <w:tcPr>
            <w:tcW w:w="634" w:type="pct"/>
          </w:tcPr>
          <w:p w14:paraId="3C7CD3B4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vertAlign w:val="superscript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236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5</w:t>
            </w:r>
          </w:p>
          <w:p w14:paraId="1BD276DC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 xml:space="preserve"> </w:t>
            </w:r>
            <w:r w:rsidRPr="00D83C9F">
              <w:rPr>
                <w:sz w:val="22"/>
                <w:szCs w:val="22"/>
                <w:lang w:val="sr-Latn-ME"/>
              </w:rPr>
              <w:t>(9,1%)</w:t>
            </w:r>
          </w:p>
        </w:tc>
        <w:tc>
          <w:tcPr>
            <w:tcW w:w="634" w:type="pct"/>
          </w:tcPr>
          <w:p w14:paraId="7426A0EC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vertAlign w:val="superscript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170</w:t>
            </w:r>
            <w:r w:rsidRPr="00D83C9F">
              <w:rPr>
                <w:sz w:val="22"/>
                <w:szCs w:val="22"/>
                <w:vertAlign w:val="superscript"/>
                <w:lang w:val="sr-Latn-ME"/>
              </w:rPr>
              <w:t>6</w:t>
            </w:r>
          </w:p>
          <w:p w14:paraId="08F8771F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(6,6%)</w:t>
            </w:r>
          </w:p>
        </w:tc>
        <w:tc>
          <w:tcPr>
            <w:tcW w:w="798" w:type="pct"/>
          </w:tcPr>
          <w:p w14:paraId="3EFE9DA1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0,78</w:t>
            </w:r>
          </w:p>
          <w:p w14:paraId="48F1FA43" w14:textId="77777777" w:rsidR="004378E8" w:rsidRPr="00D83C9F" w:rsidRDefault="004378E8" w:rsidP="00CE1E1D">
            <w:pPr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(0,64, 0,96)</w:t>
            </w:r>
          </w:p>
        </w:tc>
      </w:tr>
      <w:tr w:rsidR="004378E8" w:rsidRPr="00D83C9F" w14:paraId="4CCD918E" w14:textId="77777777" w:rsidTr="00856BB6">
        <w:trPr>
          <w:trHeight w:val="604"/>
        </w:trPr>
        <w:tc>
          <w:tcPr>
            <w:tcW w:w="5000" w:type="pct"/>
            <w:gridSpan w:val="7"/>
          </w:tcPr>
          <w:p w14:paraId="48B2210E" w14:textId="50691C49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HR=</w:t>
            </w:r>
            <w:r w:rsidR="001D1CD6" w:rsidRPr="00D83C9F">
              <w:rPr>
                <w:sz w:val="22"/>
                <w:szCs w:val="22"/>
                <w:lang w:val="sr-Latn-ME"/>
              </w:rPr>
              <w:t>odnos</w:t>
            </w:r>
            <w:r w:rsidRPr="00D83C9F">
              <w:rPr>
                <w:sz w:val="22"/>
                <w:szCs w:val="22"/>
                <w:lang w:val="sr-Latn-ME"/>
              </w:rPr>
              <w:t xml:space="preserve"> rizika; CI= interval pouzdanosti </w:t>
            </w:r>
          </w:p>
          <w:p w14:paraId="74AB03B4" w14:textId="1BA310F3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 xml:space="preserve">1  </w:t>
            </w:r>
            <w:r w:rsidRPr="00D83C9F">
              <w:rPr>
                <w:sz w:val="22"/>
                <w:szCs w:val="22"/>
                <w:lang w:val="sr-Latn-ME"/>
              </w:rPr>
              <w:t xml:space="preserve">Kada su otkriveni podaci studije 2003. godine, 1551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pacijentkinja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u </w:t>
            </w:r>
            <w:proofErr w:type="spellStart"/>
            <w:r w:rsidR="00684660" w:rsidRPr="00D83C9F">
              <w:rPr>
                <w:sz w:val="22"/>
                <w:szCs w:val="22"/>
                <w:lang w:val="sr-Latn-ME"/>
              </w:rPr>
              <w:t>randomizovanoj</w:t>
            </w:r>
            <w:proofErr w:type="spellEnd"/>
            <w:r w:rsidR="00684660" w:rsidRPr="00D83C9F">
              <w:rPr>
                <w:sz w:val="22"/>
                <w:szCs w:val="22"/>
                <w:lang w:val="sr-Latn-ME"/>
              </w:rPr>
              <w:t xml:space="preserve"> </w:t>
            </w:r>
            <w:r w:rsidRPr="00D83C9F">
              <w:rPr>
                <w:sz w:val="22"/>
                <w:szCs w:val="22"/>
                <w:lang w:val="sr-Latn-ME"/>
              </w:rPr>
              <w:t xml:space="preserve">grupi koja je dobijala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placebo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(60% od onih koje su bile podobne za prebacivanje, tj. koje ni</w:t>
            </w:r>
            <w:r w:rsidR="006C7A10" w:rsidRPr="00D83C9F">
              <w:rPr>
                <w:sz w:val="22"/>
                <w:szCs w:val="22"/>
                <w:lang w:val="sr-Latn-ME"/>
              </w:rPr>
              <w:t>je</w:t>
            </w:r>
            <w:r w:rsidRPr="00D83C9F">
              <w:rPr>
                <w:sz w:val="22"/>
                <w:szCs w:val="22"/>
                <w:lang w:val="sr-Latn-ME"/>
              </w:rPr>
              <w:t xml:space="preserve">su imale oboljenje) je prebačeno na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letrozol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u </w:t>
            </w:r>
            <w:proofErr w:type="spellStart"/>
            <w:r w:rsidR="007826B0" w:rsidRPr="00D83C9F">
              <w:rPr>
                <w:sz w:val="22"/>
                <w:szCs w:val="22"/>
                <w:lang w:val="sr-Latn-ME"/>
              </w:rPr>
              <w:t>medijani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31 mjesec nakon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randomizacije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. Analiza koja je ovdje predstavljena ne uzima u obzir selektivne prelaske. </w:t>
            </w:r>
          </w:p>
          <w:p w14:paraId="5FBA06A0" w14:textId="4E89F71D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2</w:t>
            </w:r>
            <w:r w:rsidRPr="00D83C9F">
              <w:rPr>
                <w:sz w:val="22"/>
                <w:szCs w:val="22"/>
                <w:lang w:val="sr-Latn-ME"/>
              </w:rPr>
              <w:t xml:space="preserve">  Stratifikovano statusom receptora, </w:t>
            </w:r>
            <w:r w:rsidR="006C7A10" w:rsidRPr="00D83C9F">
              <w:rPr>
                <w:sz w:val="22"/>
                <w:szCs w:val="22"/>
                <w:lang w:val="sr-Latn-ME"/>
              </w:rPr>
              <w:t xml:space="preserve">statusom limfnih čvorova </w:t>
            </w:r>
            <w:r w:rsidRPr="00D83C9F">
              <w:rPr>
                <w:sz w:val="22"/>
                <w:szCs w:val="22"/>
                <w:lang w:val="sr-Latn-ME"/>
              </w:rPr>
              <w:t xml:space="preserve">i prethodnom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adjuvantnom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hemioterapijom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.</w:t>
            </w:r>
          </w:p>
          <w:p w14:paraId="7E9D1A3D" w14:textId="59CDF64B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3</w:t>
            </w:r>
            <w:r w:rsidRPr="00D83C9F">
              <w:rPr>
                <w:sz w:val="22"/>
                <w:szCs w:val="22"/>
                <w:lang w:val="sr-Latn-ME"/>
              </w:rPr>
              <w:t xml:space="preserve">  </w:t>
            </w:r>
            <w:r w:rsidR="006C7A10" w:rsidRPr="00D83C9F">
              <w:rPr>
                <w:sz w:val="22"/>
                <w:szCs w:val="22"/>
                <w:lang w:val="sr-Latn-ME"/>
              </w:rPr>
              <w:t>Definicija događaja preživlj</w:t>
            </w:r>
            <w:r w:rsidR="00684660" w:rsidRPr="00D83C9F">
              <w:rPr>
                <w:sz w:val="22"/>
                <w:szCs w:val="22"/>
                <w:lang w:val="sr-Latn-ME"/>
              </w:rPr>
              <w:t>ava</w:t>
            </w:r>
            <w:r w:rsidR="006C7A10" w:rsidRPr="00D83C9F">
              <w:rPr>
                <w:sz w:val="22"/>
                <w:szCs w:val="22"/>
                <w:lang w:val="sr-Latn-ME"/>
              </w:rPr>
              <w:t>nja bez bolesti iz plana ispitivanja</w:t>
            </w:r>
            <w:r w:rsidRPr="00D83C9F">
              <w:rPr>
                <w:sz w:val="22"/>
                <w:szCs w:val="22"/>
                <w:lang w:val="sr-Latn-ME"/>
              </w:rPr>
              <w:t xml:space="preserve">: ponovna pojava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lokoregionalne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bolesti, udaljen</w:t>
            </w:r>
            <w:r w:rsidR="006C7A10" w:rsidRPr="00D83C9F">
              <w:rPr>
                <w:sz w:val="22"/>
                <w:szCs w:val="22"/>
                <w:lang w:val="sr-Latn-ME"/>
              </w:rPr>
              <w:t>a</w:t>
            </w:r>
            <w:r w:rsidRPr="00D83C9F">
              <w:rPr>
                <w:sz w:val="22"/>
                <w:szCs w:val="22"/>
                <w:lang w:val="sr-Latn-ME"/>
              </w:rPr>
              <w:t xml:space="preserve"> metastaz</w:t>
            </w:r>
            <w:r w:rsidR="006C7A10" w:rsidRPr="00D83C9F">
              <w:rPr>
                <w:sz w:val="22"/>
                <w:szCs w:val="22"/>
                <w:lang w:val="sr-Latn-ME"/>
              </w:rPr>
              <w:t>a</w:t>
            </w:r>
            <w:r w:rsidRPr="00D83C9F">
              <w:rPr>
                <w:sz w:val="22"/>
                <w:szCs w:val="22"/>
                <w:lang w:val="sr-Latn-ME"/>
              </w:rPr>
              <w:t xml:space="preserve"> ili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kontralateralni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karcinom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dojke.</w:t>
            </w:r>
          </w:p>
          <w:p w14:paraId="6C048880" w14:textId="42931B20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4</w:t>
            </w:r>
            <w:r w:rsidRPr="00D83C9F">
              <w:rPr>
                <w:sz w:val="22"/>
                <w:szCs w:val="22"/>
                <w:lang w:val="sr-Latn-ME"/>
              </w:rPr>
              <w:t xml:space="preserve"> 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Eksploratorna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analiza, cenzurisani period praćenja od dana prebacivanja (ako </w:t>
            </w:r>
            <w:r w:rsidR="006C7A10" w:rsidRPr="00D83C9F">
              <w:rPr>
                <w:sz w:val="22"/>
                <w:szCs w:val="22"/>
                <w:lang w:val="sr-Latn-ME"/>
              </w:rPr>
              <w:t>je do njega došlo</w:t>
            </w:r>
            <w:r w:rsidRPr="00D83C9F">
              <w:rPr>
                <w:sz w:val="22"/>
                <w:szCs w:val="22"/>
                <w:lang w:val="sr-Latn-ME"/>
              </w:rPr>
              <w:t xml:space="preserve">) u grupi koja je dobijala </w:t>
            </w:r>
            <w:proofErr w:type="spellStart"/>
            <w:r w:rsidRPr="00D83C9F">
              <w:rPr>
                <w:sz w:val="22"/>
                <w:szCs w:val="22"/>
                <w:lang w:val="sr-Latn-ME"/>
              </w:rPr>
              <w:t>placebo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.</w:t>
            </w:r>
          </w:p>
          <w:p w14:paraId="04F57789" w14:textId="4D6E880B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5</w:t>
            </w:r>
            <w:r w:rsidRPr="00D83C9F">
              <w:rPr>
                <w:sz w:val="22"/>
                <w:szCs w:val="22"/>
                <w:lang w:val="sr-Latn-ME"/>
              </w:rPr>
              <w:t xml:space="preserve">  </w:t>
            </w:r>
            <w:proofErr w:type="spellStart"/>
            <w:r w:rsidR="007826B0" w:rsidRPr="00D83C9F">
              <w:rPr>
                <w:sz w:val="22"/>
                <w:szCs w:val="22"/>
                <w:lang w:val="sr-Latn-ME"/>
              </w:rPr>
              <w:t>Medijana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praćenja 62 mjeseca. </w:t>
            </w:r>
          </w:p>
          <w:p w14:paraId="57F77EF0" w14:textId="2465DDF2" w:rsidR="004378E8" w:rsidRPr="00D83C9F" w:rsidRDefault="004378E8" w:rsidP="00CE1E1D">
            <w:pPr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vertAlign w:val="superscript"/>
                <w:lang w:val="sr-Latn-ME"/>
              </w:rPr>
              <w:t>6</w:t>
            </w:r>
            <w:r w:rsidRPr="00D83C9F">
              <w:rPr>
                <w:sz w:val="22"/>
                <w:szCs w:val="22"/>
                <w:lang w:val="sr-Latn-ME"/>
              </w:rPr>
              <w:t xml:space="preserve">  </w:t>
            </w:r>
            <w:proofErr w:type="spellStart"/>
            <w:r w:rsidR="007826B0" w:rsidRPr="00D83C9F">
              <w:rPr>
                <w:sz w:val="22"/>
                <w:szCs w:val="22"/>
                <w:lang w:val="sr-Latn-ME"/>
              </w:rPr>
              <w:t>Medijana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 xml:space="preserve"> praćenja do prebacivanja (</w:t>
            </w:r>
            <w:r w:rsidR="006C7A10" w:rsidRPr="00D83C9F">
              <w:rPr>
                <w:sz w:val="22"/>
                <w:szCs w:val="22"/>
                <w:lang w:val="sr-Latn-ME"/>
              </w:rPr>
              <w:t>ako je do njega došlo</w:t>
            </w:r>
            <w:r w:rsidRPr="00D83C9F">
              <w:rPr>
                <w:sz w:val="22"/>
                <w:szCs w:val="22"/>
                <w:lang w:val="sr-Latn-ME"/>
              </w:rPr>
              <w:t>) 37 mjeseci.</w:t>
            </w:r>
          </w:p>
        </w:tc>
      </w:tr>
    </w:tbl>
    <w:p w14:paraId="0555E2A9" w14:textId="77777777" w:rsidR="004378E8" w:rsidRPr="00D83C9F" w:rsidRDefault="004378E8" w:rsidP="00CE1E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4AE51A5A" w14:textId="67630994" w:rsidR="00932FDD" w:rsidRPr="00D83C9F" w:rsidRDefault="00932FDD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MA-17 </w:t>
      </w:r>
      <w:proofErr w:type="spellStart"/>
      <w:r w:rsidRPr="00D83C9F">
        <w:rPr>
          <w:sz w:val="22"/>
          <w:szCs w:val="22"/>
          <w:lang w:val="sr-Latn-ME"/>
        </w:rPr>
        <w:t>podstudiji</w:t>
      </w:r>
      <w:proofErr w:type="spellEnd"/>
      <w:r w:rsidRPr="00D83C9F">
        <w:rPr>
          <w:sz w:val="22"/>
          <w:szCs w:val="22"/>
          <w:lang w:val="sr-Latn-ME"/>
        </w:rPr>
        <w:t xml:space="preserve"> kostiju, u kojoj su istovremeno davani kalcijum i vitamin D, javilo se veće smanjenje BMD u poređenju sa vrijednostima prije terapije, kada je primjenjivan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u odnosu na </w:t>
      </w:r>
      <w:proofErr w:type="spellStart"/>
      <w:r w:rsidRPr="00D83C9F">
        <w:rPr>
          <w:sz w:val="22"/>
          <w:szCs w:val="22"/>
          <w:lang w:val="sr-Latn-ME"/>
        </w:rPr>
        <w:t>placeb</w:t>
      </w:r>
      <w:r w:rsidR="006C7A10" w:rsidRPr="00D83C9F">
        <w:rPr>
          <w:sz w:val="22"/>
          <w:szCs w:val="22"/>
          <w:lang w:val="sr-Latn-ME"/>
        </w:rPr>
        <w:t>o</w:t>
      </w:r>
      <w:proofErr w:type="spellEnd"/>
      <w:r w:rsidRPr="00D83C9F">
        <w:rPr>
          <w:sz w:val="22"/>
          <w:szCs w:val="22"/>
          <w:lang w:val="sr-Latn-ME"/>
        </w:rPr>
        <w:t>. Jedina statistički značajna razlika javila</w:t>
      </w:r>
      <w:r w:rsidR="006C7A10" w:rsidRPr="00D83C9F">
        <w:rPr>
          <w:sz w:val="22"/>
          <w:szCs w:val="22"/>
          <w:lang w:val="sr-Latn-ME"/>
        </w:rPr>
        <w:t xml:space="preserve"> se nakon 2 godine </w:t>
      </w:r>
      <w:r w:rsidRPr="00D83C9F">
        <w:rPr>
          <w:sz w:val="22"/>
          <w:szCs w:val="22"/>
          <w:lang w:val="sr-Latn-ME"/>
        </w:rPr>
        <w:t>i odnosila se na</w:t>
      </w:r>
      <w:r w:rsidR="006C7A10" w:rsidRPr="00D83C9F">
        <w:rPr>
          <w:sz w:val="22"/>
          <w:szCs w:val="22"/>
          <w:lang w:val="sr-Latn-ME"/>
        </w:rPr>
        <w:t xml:space="preserve"> ukupni</w:t>
      </w:r>
      <w:r w:rsidRPr="00D83C9F">
        <w:rPr>
          <w:sz w:val="22"/>
          <w:szCs w:val="22"/>
          <w:lang w:val="sr-Latn-ME"/>
        </w:rPr>
        <w:t xml:space="preserve"> BMD kuka (srednje smanjenje za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3,8% u odnosu na srednje smanjenje za </w:t>
      </w:r>
      <w:proofErr w:type="spellStart"/>
      <w:r w:rsidRPr="00D83C9F">
        <w:rPr>
          <w:sz w:val="22"/>
          <w:szCs w:val="22"/>
          <w:lang w:val="sr-Latn-ME"/>
        </w:rPr>
        <w:t>placebo</w:t>
      </w:r>
      <w:proofErr w:type="spellEnd"/>
      <w:r w:rsidRPr="00D83C9F">
        <w:rPr>
          <w:sz w:val="22"/>
          <w:szCs w:val="22"/>
          <w:lang w:val="sr-Latn-ME"/>
        </w:rPr>
        <w:t xml:space="preserve"> 2,0 %). </w:t>
      </w:r>
    </w:p>
    <w:p w14:paraId="5D736C13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230C7EF" w14:textId="3BCE0C79" w:rsidR="00932FDD" w:rsidRPr="00D83C9F" w:rsidRDefault="00932FDD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MA-17 </w:t>
      </w:r>
      <w:proofErr w:type="spellStart"/>
      <w:r w:rsidRPr="00D83C9F">
        <w:rPr>
          <w:sz w:val="22"/>
          <w:szCs w:val="22"/>
          <w:lang w:val="sr-Latn-ME"/>
        </w:rPr>
        <w:t>podstudiji</w:t>
      </w:r>
      <w:proofErr w:type="spellEnd"/>
      <w:r w:rsidRPr="00D83C9F">
        <w:rPr>
          <w:sz w:val="22"/>
          <w:szCs w:val="22"/>
          <w:lang w:val="sr-Latn-ME"/>
        </w:rPr>
        <w:t xml:space="preserve"> lipida nije bilo značajnih razlika između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placeba</w:t>
      </w:r>
      <w:proofErr w:type="spellEnd"/>
      <w:r w:rsidRPr="00D83C9F">
        <w:rPr>
          <w:sz w:val="22"/>
          <w:szCs w:val="22"/>
          <w:lang w:val="sr-Latn-ME"/>
        </w:rPr>
        <w:t xml:space="preserve"> u vrijednostima ukupnog </w:t>
      </w:r>
      <w:proofErr w:type="spellStart"/>
      <w:r w:rsidRPr="00D83C9F">
        <w:rPr>
          <w:sz w:val="22"/>
          <w:szCs w:val="22"/>
          <w:lang w:val="sr-Latn-ME"/>
        </w:rPr>
        <w:t>holesterola</w:t>
      </w:r>
      <w:proofErr w:type="spellEnd"/>
      <w:r w:rsidRPr="00D83C9F">
        <w:rPr>
          <w:sz w:val="22"/>
          <w:szCs w:val="22"/>
          <w:lang w:val="sr-Latn-ME"/>
        </w:rPr>
        <w:t xml:space="preserve"> ili bilo koje frakcije lipida.</w:t>
      </w:r>
    </w:p>
    <w:p w14:paraId="6AC15BB1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73027A" w14:textId="73005F7B" w:rsidR="00932FDD" w:rsidRPr="00D83C9F" w:rsidRDefault="00932FDD" w:rsidP="00CE1E1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ažuriranoj </w:t>
      </w:r>
      <w:proofErr w:type="spellStart"/>
      <w:r w:rsidRPr="00D83C9F">
        <w:rPr>
          <w:sz w:val="22"/>
          <w:szCs w:val="22"/>
          <w:lang w:val="sr-Latn-ME"/>
        </w:rPr>
        <w:t>podstudiji</w:t>
      </w:r>
      <w:proofErr w:type="spellEnd"/>
      <w:r w:rsidRPr="00D83C9F">
        <w:rPr>
          <w:sz w:val="22"/>
          <w:szCs w:val="22"/>
          <w:lang w:val="sr-Latn-ME"/>
        </w:rPr>
        <w:t xml:space="preserve"> kvaliteta života nije bilo značajnih razlika između terapija, u smislu zbirnog skora fizičke komponente ili zbirnog skora mentalne komponente, ili u smislu skora bilo kog segmenta </w:t>
      </w:r>
      <w:r w:rsidRPr="00D83C9F">
        <w:rPr>
          <w:sz w:val="22"/>
          <w:szCs w:val="22"/>
          <w:lang w:val="sr-Latn-ME"/>
        </w:rPr>
        <w:lastRenderedPageBreak/>
        <w:t xml:space="preserve">SF-36 skale. Prema MENQOL skali, značajno više žena u grupi koja je dobijala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nego u grupi koja je dobijala </w:t>
      </w:r>
      <w:proofErr w:type="spellStart"/>
      <w:r w:rsidRPr="00D83C9F">
        <w:rPr>
          <w:sz w:val="22"/>
          <w:szCs w:val="22"/>
          <w:lang w:val="sr-Latn-ME"/>
        </w:rPr>
        <w:t>placebo</w:t>
      </w:r>
      <w:proofErr w:type="spellEnd"/>
      <w:r w:rsidRPr="00D83C9F">
        <w:rPr>
          <w:sz w:val="22"/>
          <w:szCs w:val="22"/>
          <w:lang w:val="sr-Latn-ME"/>
        </w:rPr>
        <w:t xml:space="preserve">, je bilo više uznemireno (generalno u prvoj godini liječenja) simptomima koji su posljedica </w:t>
      </w:r>
      <w:proofErr w:type="spellStart"/>
      <w:r w:rsidRPr="00D83C9F">
        <w:rPr>
          <w:sz w:val="22"/>
          <w:szCs w:val="22"/>
          <w:lang w:val="sr-Latn-ME"/>
        </w:rPr>
        <w:t>deprivacije</w:t>
      </w:r>
      <w:proofErr w:type="spellEnd"/>
      <w:r w:rsidRPr="00D83C9F">
        <w:rPr>
          <w:sz w:val="22"/>
          <w:szCs w:val="22"/>
          <w:lang w:val="sr-Latn-ME"/>
        </w:rPr>
        <w:t xml:space="preserve"> estrogena; naleti vrućine</w:t>
      </w:r>
      <w:r w:rsidR="00084AFC" w:rsidRPr="00D83C9F">
        <w:rPr>
          <w:sz w:val="22"/>
          <w:szCs w:val="22"/>
          <w:lang w:val="sr-Latn-ME"/>
        </w:rPr>
        <w:t xml:space="preserve"> (</w:t>
      </w:r>
      <w:proofErr w:type="spellStart"/>
      <w:r w:rsidR="00084AFC" w:rsidRPr="00D83C9F">
        <w:rPr>
          <w:sz w:val="22"/>
          <w:szCs w:val="22"/>
          <w:lang w:val="sr-Latn-ME"/>
        </w:rPr>
        <w:t>valunzi</w:t>
      </w:r>
      <w:proofErr w:type="spellEnd"/>
      <w:r w:rsidR="00084AFC" w:rsidRPr="00D83C9F">
        <w:rPr>
          <w:sz w:val="22"/>
          <w:szCs w:val="22"/>
          <w:lang w:val="sr-Latn-ME"/>
        </w:rPr>
        <w:t>)</w:t>
      </w:r>
      <w:r w:rsidRPr="00D83C9F">
        <w:rPr>
          <w:sz w:val="22"/>
          <w:szCs w:val="22"/>
          <w:lang w:val="sr-Latn-ME"/>
        </w:rPr>
        <w:t xml:space="preserve"> i suvoća vagine. Simptomi koji su uznemir</w:t>
      </w:r>
      <w:r w:rsidR="007826B0" w:rsidRPr="00D83C9F">
        <w:rPr>
          <w:sz w:val="22"/>
          <w:szCs w:val="22"/>
          <w:lang w:val="sr-Latn-ME"/>
        </w:rPr>
        <w:t xml:space="preserve">avali većinu </w:t>
      </w:r>
      <w:proofErr w:type="spellStart"/>
      <w:r w:rsidR="007826B0" w:rsidRPr="00D83C9F">
        <w:rPr>
          <w:sz w:val="22"/>
          <w:szCs w:val="22"/>
          <w:lang w:val="sr-Latn-ME"/>
        </w:rPr>
        <w:t>pacijentkinja</w:t>
      </w:r>
      <w:proofErr w:type="spellEnd"/>
      <w:r w:rsidR="007826B0" w:rsidRPr="00D83C9F">
        <w:rPr>
          <w:sz w:val="22"/>
          <w:szCs w:val="22"/>
          <w:lang w:val="sr-Latn-ME"/>
        </w:rPr>
        <w:t xml:space="preserve"> u ob</w:t>
      </w:r>
      <w:r w:rsidRPr="00D83C9F">
        <w:rPr>
          <w:sz w:val="22"/>
          <w:szCs w:val="22"/>
          <w:lang w:val="sr-Latn-ME"/>
        </w:rPr>
        <w:t>je terapijske grupe bili su bol u mišićima, sa</w:t>
      </w:r>
      <w:r w:rsidR="00084AFC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statistički značajnom razlikom u korist </w:t>
      </w:r>
      <w:proofErr w:type="spellStart"/>
      <w:r w:rsidRPr="00D83C9F">
        <w:rPr>
          <w:sz w:val="22"/>
          <w:szCs w:val="22"/>
          <w:lang w:val="sr-Latn-ME"/>
        </w:rPr>
        <w:t>placeba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3B32D651" w14:textId="77777777" w:rsidR="00932FDD" w:rsidRPr="00D83C9F" w:rsidRDefault="00932FDD" w:rsidP="00CE1E1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2854ACA8" w14:textId="77777777" w:rsidR="00932FDD" w:rsidRPr="00D83C9F" w:rsidRDefault="00932FDD" w:rsidP="00CE1E1D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proofErr w:type="spellStart"/>
      <w:r w:rsidRPr="00D83C9F">
        <w:rPr>
          <w:i/>
          <w:sz w:val="22"/>
          <w:szCs w:val="22"/>
          <w:u w:val="single"/>
          <w:lang w:val="sr-Latn-ME"/>
        </w:rPr>
        <w:t>Neoadjuvantna</w:t>
      </w:r>
      <w:proofErr w:type="spellEnd"/>
      <w:r w:rsidRPr="00D83C9F">
        <w:rPr>
          <w:i/>
          <w:sz w:val="22"/>
          <w:szCs w:val="22"/>
          <w:u w:val="single"/>
          <w:lang w:val="sr-Latn-ME"/>
        </w:rPr>
        <w:t xml:space="preserve"> terapija</w:t>
      </w:r>
    </w:p>
    <w:p w14:paraId="53706A98" w14:textId="1044BF20" w:rsidR="00932FDD" w:rsidRPr="00D83C9F" w:rsidRDefault="00932FDD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Dvostruko slijepa studija (P024) sprovedena je kod 337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</w:t>
      </w:r>
      <w:r w:rsidR="006177CF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koje su </w:t>
      </w:r>
      <w:proofErr w:type="spellStart"/>
      <w:r w:rsidR="00684660" w:rsidRPr="00D83C9F">
        <w:rPr>
          <w:sz w:val="22"/>
          <w:szCs w:val="22"/>
          <w:lang w:val="sr-Latn-ME"/>
        </w:rPr>
        <w:t>randomizovano</w:t>
      </w:r>
      <w:proofErr w:type="spellEnd"/>
      <w:r w:rsidR="00684660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raspoređene da dobijaju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2,5</w:t>
      </w:r>
      <w:r w:rsidR="006177CF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mg tokom 4 mjeseca ili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tokom 4 mjeseca. Prije započinjanja terapije sve </w:t>
      </w:r>
      <w:proofErr w:type="spellStart"/>
      <w:r w:rsidRPr="00D83C9F">
        <w:rPr>
          <w:sz w:val="22"/>
          <w:szCs w:val="22"/>
          <w:lang w:val="sr-Latn-ME"/>
        </w:rPr>
        <w:t>pacijentkinje</w:t>
      </w:r>
      <w:proofErr w:type="spellEnd"/>
      <w:r w:rsidRPr="00D83C9F">
        <w:rPr>
          <w:sz w:val="22"/>
          <w:szCs w:val="22"/>
          <w:lang w:val="sr-Latn-ME"/>
        </w:rPr>
        <w:t xml:space="preserve"> su imale stadijum tumora T2-T4c, N0-2, M0, </w:t>
      </w:r>
      <w:r w:rsidR="00D45E04" w:rsidRPr="00D83C9F">
        <w:rPr>
          <w:sz w:val="22"/>
          <w:szCs w:val="22"/>
          <w:lang w:val="sr-Latn-ME"/>
        </w:rPr>
        <w:t xml:space="preserve">pozitivne na </w:t>
      </w:r>
      <w:r w:rsidRPr="00D83C9F">
        <w:rPr>
          <w:sz w:val="22"/>
          <w:szCs w:val="22"/>
          <w:lang w:val="sr-Latn-ME"/>
        </w:rPr>
        <w:t xml:space="preserve">ER i/ili </w:t>
      </w:r>
      <w:proofErr w:type="spellStart"/>
      <w:r w:rsidRPr="00D83C9F">
        <w:rPr>
          <w:sz w:val="22"/>
          <w:szCs w:val="22"/>
          <w:lang w:val="sr-Latn-ME"/>
        </w:rPr>
        <w:t>PgR</w:t>
      </w:r>
      <w:proofErr w:type="spellEnd"/>
      <w:r w:rsidRPr="00D83C9F">
        <w:rPr>
          <w:sz w:val="22"/>
          <w:szCs w:val="22"/>
          <w:lang w:val="sr-Latn-ME"/>
        </w:rPr>
        <w:t xml:space="preserve"> i nijedna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nije bila kvalifikovana za poštednu operaciju dojke. Na osnovu kliničke procjene bilo je 55% objektivnih odgovora u grupi koja je dobijala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u poređenju sa 36% u grupi koja je dobijala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(</w:t>
      </w:r>
      <w:r w:rsidR="00D45E04" w:rsidRPr="00D83C9F">
        <w:rPr>
          <w:sz w:val="22"/>
          <w:szCs w:val="22"/>
          <w:lang w:val="sr-Latn-ME"/>
        </w:rPr>
        <w:t>P</w:t>
      </w:r>
      <w:r w:rsidR="006177CF" w:rsidRPr="00D83C9F">
        <w:rPr>
          <w:sz w:val="22"/>
          <w:szCs w:val="22"/>
          <w:lang w:val="sr-Latn-ME"/>
        </w:rPr>
        <w:t>&lt;0,</w:t>
      </w:r>
      <w:r w:rsidRPr="00D83C9F">
        <w:rPr>
          <w:sz w:val="22"/>
          <w:szCs w:val="22"/>
          <w:lang w:val="sr-Latn-ME"/>
        </w:rPr>
        <w:t xml:space="preserve">001). </w:t>
      </w:r>
      <w:r w:rsidR="00D45E04" w:rsidRPr="00D83C9F">
        <w:rPr>
          <w:sz w:val="22"/>
          <w:szCs w:val="22"/>
          <w:lang w:val="sr-Latn-ME"/>
        </w:rPr>
        <w:t>Taj rezultat</w:t>
      </w:r>
      <w:r w:rsidRPr="00D83C9F">
        <w:rPr>
          <w:sz w:val="22"/>
          <w:szCs w:val="22"/>
          <w:lang w:val="sr-Latn-ME"/>
        </w:rPr>
        <w:t xml:space="preserve"> je dosljedno</w:t>
      </w:r>
      <w:r w:rsidR="00D45E04" w:rsidRPr="00D83C9F">
        <w:rPr>
          <w:sz w:val="22"/>
          <w:szCs w:val="22"/>
          <w:lang w:val="sr-Latn-ME"/>
        </w:rPr>
        <w:t xml:space="preserve"> bio</w:t>
      </w:r>
      <w:r w:rsidRPr="00D83C9F">
        <w:rPr>
          <w:sz w:val="22"/>
          <w:szCs w:val="22"/>
          <w:lang w:val="sr-Latn-ME"/>
        </w:rPr>
        <w:t xml:space="preserve"> potvrđen ultrazvukom (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35% prema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25% , </w:t>
      </w:r>
      <w:r w:rsidR="00D45E04" w:rsidRPr="00D83C9F">
        <w:rPr>
          <w:sz w:val="22"/>
          <w:szCs w:val="22"/>
          <w:lang w:val="sr-Latn-ME"/>
        </w:rPr>
        <w:t>P</w:t>
      </w:r>
      <w:r w:rsidR="006177CF" w:rsidRPr="00D83C9F">
        <w:rPr>
          <w:sz w:val="22"/>
          <w:szCs w:val="22"/>
          <w:lang w:val="sr-Latn-ME"/>
        </w:rPr>
        <w:t>= 0,</w:t>
      </w:r>
      <w:r w:rsidRPr="00D83C9F">
        <w:rPr>
          <w:sz w:val="22"/>
          <w:szCs w:val="22"/>
          <w:lang w:val="sr-Latn-ME"/>
        </w:rPr>
        <w:t xml:space="preserve">04) i </w:t>
      </w:r>
      <w:proofErr w:type="spellStart"/>
      <w:r w:rsidRPr="00D83C9F">
        <w:rPr>
          <w:sz w:val="22"/>
          <w:szCs w:val="22"/>
          <w:lang w:val="sr-Latn-ME"/>
        </w:rPr>
        <w:t>mamografijom</w:t>
      </w:r>
      <w:proofErr w:type="spellEnd"/>
      <w:r w:rsidRPr="00D83C9F">
        <w:rPr>
          <w:sz w:val="22"/>
          <w:szCs w:val="22"/>
          <w:lang w:val="sr-Latn-ME"/>
        </w:rPr>
        <w:t xml:space="preserve"> (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34% prema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16% , </w:t>
      </w:r>
      <w:r w:rsidR="00D45E04" w:rsidRPr="00D83C9F">
        <w:rPr>
          <w:sz w:val="22"/>
          <w:szCs w:val="22"/>
          <w:lang w:val="sr-Latn-ME"/>
        </w:rPr>
        <w:t>P</w:t>
      </w:r>
      <w:r w:rsidR="006177CF" w:rsidRPr="00D83C9F">
        <w:rPr>
          <w:sz w:val="22"/>
          <w:szCs w:val="22"/>
          <w:lang w:val="sr-Latn-ME"/>
        </w:rPr>
        <w:t>&lt; 0,</w:t>
      </w:r>
      <w:r w:rsidRPr="00D83C9F">
        <w:rPr>
          <w:sz w:val="22"/>
          <w:szCs w:val="22"/>
          <w:lang w:val="sr-Latn-ME"/>
        </w:rPr>
        <w:t xml:space="preserve">001 ). Ukupno 45%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u grupi koja je dobijala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prema 35 %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u grupi koja je dobijala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(</w:t>
      </w:r>
      <w:r w:rsidR="00D45E04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 xml:space="preserve">=0,02) podvrgnuto je poštednoj terapiji dojke. Tokom </w:t>
      </w:r>
      <w:proofErr w:type="spellStart"/>
      <w:r w:rsidRPr="00D83C9F">
        <w:rPr>
          <w:sz w:val="22"/>
          <w:szCs w:val="22"/>
          <w:lang w:val="sr-Latn-ME"/>
        </w:rPr>
        <w:t>četvoromjesečnog</w:t>
      </w:r>
      <w:proofErr w:type="spellEnd"/>
      <w:r w:rsidRPr="00D83C9F">
        <w:rPr>
          <w:sz w:val="22"/>
          <w:szCs w:val="22"/>
          <w:lang w:val="sr-Latn-ME"/>
        </w:rPr>
        <w:t xml:space="preserve"> perioda </w:t>
      </w:r>
      <w:proofErr w:type="spellStart"/>
      <w:r w:rsidRPr="00D83C9F">
        <w:rPr>
          <w:sz w:val="22"/>
          <w:szCs w:val="22"/>
          <w:lang w:val="sr-Latn-ME"/>
        </w:rPr>
        <w:t>preoperativne</w:t>
      </w:r>
      <w:proofErr w:type="spellEnd"/>
      <w:r w:rsidRPr="00D83C9F">
        <w:rPr>
          <w:sz w:val="22"/>
          <w:szCs w:val="22"/>
          <w:lang w:val="sr-Latn-ME"/>
        </w:rPr>
        <w:t xml:space="preserve"> pripreme, kod 12%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liječenih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 i 17 %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liječenih </w:t>
      </w:r>
      <w:proofErr w:type="spellStart"/>
      <w:r w:rsidRPr="00D83C9F">
        <w:rPr>
          <w:sz w:val="22"/>
          <w:szCs w:val="22"/>
          <w:lang w:val="sr-Latn-ME"/>
        </w:rPr>
        <w:t>tamoksifenom</w:t>
      </w:r>
      <w:proofErr w:type="spellEnd"/>
      <w:r w:rsidRPr="00D83C9F">
        <w:rPr>
          <w:sz w:val="22"/>
          <w:szCs w:val="22"/>
          <w:lang w:val="sr-Latn-ME"/>
        </w:rPr>
        <w:t xml:space="preserve">, tokom kliničke procjene </w:t>
      </w:r>
      <w:r w:rsidR="00D45E04" w:rsidRPr="00D83C9F">
        <w:rPr>
          <w:sz w:val="22"/>
          <w:szCs w:val="22"/>
          <w:lang w:val="sr-Latn-ME"/>
        </w:rPr>
        <w:t>imalo je</w:t>
      </w:r>
      <w:r w:rsidRPr="00D83C9F">
        <w:rPr>
          <w:sz w:val="22"/>
          <w:szCs w:val="22"/>
          <w:lang w:val="sr-Latn-ME"/>
        </w:rPr>
        <w:t xml:space="preserve"> progresij</w:t>
      </w:r>
      <w:r w:rsidR="00D45E04" w:rsidRPr="00D83C9F">
        <w:rPr>
          <w:sz w:val="22"/>
          <w:szCs w:val="22"/>
          <w:lang w:val="sr-Latn-ME"/>
        </w:rPr>
        <w:t>u</w:t>
      </w:r>
      <w:r w:rsidRPr="00D83C9F">
        <w:rPr>
          <w:sz w:val="22"/>
          <w:szCs w:val="22"/>
          <w:lang w:val="sr-Latn-ME"/>
        </w:rPr>
        <w:t xml:space="preserve"> bolesti.   </w:t>
      </w:r>
    </w:p>
    <w:p w14:paraId="423221BB" w14:textId="77777777" w:rsidR="00915087" w:rsidRPr="00D83C9F" w:rsidRDefault="00915087" w:rsidP="00CE1E1D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</w:p>
    <w:p w14:paraId="1AB62096" w14:textId="1844E5D7" w:rsidR="00932FDD" w:rsidRPr="00D83C9F" w:rsidRDefault="00932FDD" w:rsidP="00CE1E1D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D83C9F">
        <w:rPr>
          <w:i/>
          <w:sz w:val="22"/>
          <w:szCs w:val="22"/>
          <w:u w:val="single"/>
          <w:lang w:val="sr-Latn-ME"/>
        </w:rPr>
        <w:t>Prva linija terapije</w:t>
      </w:r>
    </w:p>
    <w:p w14:paraId="580CEC63" w14:textId="12C6DFA9" w:rsidR="00932FDD" w:rsidRPr="00D83C9F" w:rsidRDefault="00932FDD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Sprovedena je jedna kontrolisana, dvostruko slijepa studija radi poređenja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2,5</w:t>
      </w:r>
      <w:r w:rsidR="006177CF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mg u odnosu na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20</w:t>
      </w:r>
      <w:r w:rsidR="006177CF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mg kao prva linija terapije kod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uznapredovalim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dojke. Kod 907 žena,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je bio superiorniji u odnosu na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u smislu </w:t>
      </w:r>
      <w:proofErr w:type="spellStart"/>
      <w:r w:rsidRPr="00D83C9F">
        <w:rPr>
          <w:sz w:val="22"/>
          <w:szCs w:val="22"/>
          <w:lang w:val="sr-Latn-ME"/>
        </w:rPr>
        <w:t>vremena</w:t>
      </w:r>
      <w:proofErr w:type="spellEnd"/>
      <w:r w:rsidRPr="00D83C9F">
        <w:rPr>
          <w:sz w:val="22"/>
          <w:szCs w:val="22"/>
          <w:lang w:val="sr-Latn-ME"/>
        </w:rPr>
        <w:t xml:space="preserve"> do progresije bolesti (primarni ishod) i u smislu ukupnog objektivnog odgovora (</w:t>
      </w:r>
      <w:proofErr w:type="spellStart"/>
      <w:r w:rsidRPr="00D83C9F">
        <w:rPr>
          <w:i/>
          <w:sz w:val="22"/>
          <w:szCs w:val="22"/>
          <w:lang w:val="sr-Latn-ME"/>
        </w:rPr>
        <w:t>objective</w:t>
      </w:r>
      <w:proofErr w:type="spellEnd"/>
      <w:r w:rsidRPr="00D83C9F">
        <w:rPr>
          <w:i/>
          <w:sz w:val="22"/>
          <w:szCs w:val="22"/>
          <w:lang w:val="sr-Latn-ME"/>
        </w:rPr>
        <w:t xml:space="preserve"> </w:t>
      </w:r>
      <w:proofErr w:type="spellStart"/>
      <w:r w:rsidRPr="00D83C9F">
        <w:rPr>
          <w:i/>
          <w:sz w:val="22"/>
          <w:szCs w:val="22"/>
          <w:lang w:val="sr-Latn-ME"/>
        </w:rPr>
        <w:t>response</w:t>
      </w:r>
      <w:proofErr w:type="spellEnd"/>
      <w:r w:rsidRPr="00D83C9F">
        <w:rPr>
          <w:i/>
          <w:sz w:val="22"/>
          <w:szCs w:val="22"/>
          <w:lang w:val="sr-Latn-ME"/>
        </w:rPr>
        <w:t xml:space="preserve"> rate, ORR</w:t>
      </w:r>
      <w:r w:rsidRPr="00D83C9F">
        <w:rPr>
          <w:sz w:val="22"/>
          <w:szCs w:val="22"/>
          <w:lang w:val="sr-Latn-ME"/>
        </w:rPr>
        <w:t xml:space="preserve">), </w:t>
      </w:r>
      <w:proofErr w:type="spellStart"/>
      <w:r w:rsidRPr="00D83C9F">
        <w:rPr>
          <w:sz w:val="22"/>
          <w:szCs w:val="22"/>
          <w:lang w:val="sr-Latn-ME"/>
        </w:rPr>
        <w:t>vremenu</w:t>
      </w:r>
      <w:proofErr w:type="spellEnd"/>
      <w:r w:rsidRPr="00D83C9F">
        <w:rPr>
          <w:sz w:val="22"/>
          <w:szCs w:val="22"/>
          <w:lang w:val="sr-Latn-ME"/>
        </w:rPr>
        <w:t xml:space="preserve"> do prestanka djelovanja lijeka i kliničke koristi.</w:t>
      </w:r>
    </w:p>
    <w:p w14:paraId="02D58043" w14:textId="1666DFDB" w:rsidR="00932FDD" w:rsidRPr="00D83C9F" w:rsidRDefault="00932FDD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Rezultati su prikazani u tabeli 9.</w:t>
      </w:r>
    </w:p>
    <w:p w14:paraId="03A6900E" w14:textId="77777777" w:rsidR="00684660" w:rsidRPr="00D83C9F" w:rsidRDefault="00684660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53A64C33" w14:textId="29DE0454" w:rsidR="00932FDD" w:rsidRPr="00D83C9F" w:rsidRDefault="00932FDD" w:rsidP="00CE1E1D">
      <w:pPr>
        <w:tabs>
          <w:tab w:val="left" w:pos="0"/>
        </w:tabs>
        <w:jc w:val="both"/>
        <w:rPr>
          <w:b/>
          <w:sz w:val="22"/>
          <w:szCs w:val="22"/>
          <w:lang w:val="sr-Latn-ME"/>
        </w:rPr>
      </w:pPr>
      <w:r w:rsidRPr="00D83C9F">
        <w:rPr>
          <w:b/>
          <w:sz w:val="22"/>
          <w:szCs w:val="22"/>
          <w:lang w:val="sr-Latn-ME"/>
        </w:rPr>
        <w:t>Tabela 9</w:t>
      </w:r>
      <w:r w:rsidR="00865454" w:rsidRPr="00D83C9F">
        <w:rPr>
          <w:b/>
          <w:sz w:val="22"/>
          <w:szCs w:val="22"/>
          <w:lang w:val="sr-Latn-ME"/>
        </w:rPr>
        <w:t>.</w:t>
      </w:r>
      <w:r w:rsidRPr="00D83C9F">
        <w:rPr>
          <w:b/>
          <w:sz w:val="22"/>
          <w:szCs w:val="22"/>
          <w:lang w:val="sr-Latn-ME"/>
        </w:rPr>
        <w:t xml:space="preserve"> Rezultati kod srednjeg </w:t>
      </w:r>
      <w:proofErr w:type="spellStart"/>
      <w:r w:rsidRPr="00D83C9F">
        <w:rPr>
          <w:b/>
          <w:sz w:val="22"/>
          <w:szCs w:val="22"/>
          <w:lang w:val="sr-Latn-ME"/>
        </w:rPr>
        <w:t>vremena</w:t>
      </w:r>
      <w:proofErr w:type="spellEnd"/>
      <w:r w:rsidRPr="00D83C9F">
        <w:rPr>
          <w:b/>
          <w:sz w:val="22"/>
          <w:szCs w:val="22"/>
          <w:lang w:val="sr-Latn-ME"/>
        </w:rPr>
        <w:t xml:space="preserve"> praćenja od 32 mjeseca</w:t>
      </w:r>
    </w:p>
    <w:p w14:paraId="4558CE67" w14:textId="77777777" w:rsidR="00684660" w:rsidRPr="00D83C9F" w:rsidRDefault="00684660" w:rsidP="00CE1E1D">
      <w:pPr>
        <w:tabs>
          <w:tab w:val="left" w:pos="0"/>
        </w:tabs>
        <w:jc w:val="both"/>
        <w:rPr>
          <w:b/>
          <w:sz w:val="22"/>
          <w:szCs w:val="22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5"/>
        <w:gridCol w:w="2255"/>
        <w:gridCol w:w="2255"/>
      </w:tblGrid>
      <w:tr w:rsidR="00932FDD" w:rsidRPr="00D83C9F" w14:paraId="038AAC11" w14:textId="77777777" w:rsidTr="00856BB6">
        <w:trPr>
          <w:trHeight w:val="496"/>
        </w:trPr>
        <w:tc>
          <w:tcPr>
            <w:tcW w:w="1250" w:type="pct"/>
          </w:tcPr>
          <w:p w14:paraId="2DC633C5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Varijabla</w:t>
            </w:r>
          </w:p>
        </w:tc>
        <w:tc>
          <w:tcPr>
            <w:tcW w:w="1250" w:type="pct"/>
          </w:tcPr>
          <w:p w14:paraId="27BCE4FC" w14:textId="77777777" w:rsidR="00932FDD" w:rsidRPr="00D83C9F" w:rsidRDefault="00932FDD" w:rsidP="00CE1E1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Statistika</w:t>
            </w:r>
          </w:p>
        </w:tc>
        <w:tc>
          <w:tcPr>
            <w:tcW w:w="1250" w:type="pct"/>
          </w:tcPr>
          <w:p w14:paraId="14A957EA" w14:textId="77777777" w:rsidR="00932FDD" w:rsidRPr="00D83C9F" w:rsidRDefault="00932FDD" w:rsidP="00CE1E1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Letrozol</w:t>
            </w:r>
            <w:proofErr w:type="spellEnd"/>
          </w:p>
          <w:p w14:paraId="3F9E609C" w14:textId="77777777" w:rsidR="00932FDD" w:rsidRPr="00D83C9F" w:rsidRDefault="00932FDD" w:rsidP="00CE1E1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N=453</w:t>
            </w:r>
          </w:p>
        </w:tc>
        <w:tc>
          <w:tcPr>
            <w:tcW w:w="1250" w:type="pct"/>
          </w:tcPr>
          <w:p w14:paraId="39ED07C8" w14:textId="77777777" w:rsidR="00932FDD" w:rsidRPr="00D83C9F" w:rsidRDefault="00932FDD" w:rsidP="00CE1E1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b/>
                <w:sz w:val="22"/>
                <w:szCs w:val="22"/>
                <w:lang w:val="sr-Latn-ME"/>
              </w:rPr>
              <w:t>Tamoksifen</w:t>
            </w:r>
            <w:proofErr w:type="spellEnd"/>
          </w:p>
          <w:p w14:paraId="55504598" w14:textId="77777777" w:rsidR="00932FDD" w:rsidRPr="00D83C9F" w:rsidRDefault="00932FDD" w:rsidP="00CE1E1D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N=454</w:t>
            </w:r>
          </w:p>
        </w:tc>
      </w:tr>
      <w:tr w:rsidR="00932FDD" w:rsidRPr="00D83C9F" w14:paraId="23095245" w14:textId="77777777" w:rsidTr="00856BB6">
        <w:trPr>
          <w:trHeight w:val="255"/>
        </w:trPr>
        <w:tc>
          <w:tcPr>
            <w:tcW w:w="1250" w:type="pct"/>
            <w:vMerge w:val="restart"/>
          </w:tcPr>
          <w:p w14:paraId="79F7C577" w14:textId="77777777" w:rsidR="00932FDD" w:rsidRPr="00D83C9F" w:rsidRDefault="00932FDD" w:rsidP="00CE1E1D">
            <w:pPr>
              <w:tabs>
                <w:tab w:val="left" w:pos="0"/>
              </w:tabs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Vrijeme do pojave progresije bolesti</w:t>
            </w:r>
          </w:p>
        </w:tc>
        <w:tc>
          <w:tcPr>
            <w:tcW w:w="1250" w:type="pct"/>
          </w:tcPr>
          <w:p w14:paraId="315F5666" w14:textId="727F1C86" w:rsidR="00932FDD" w:rsidRPr="00D83C9F" w:rsidRDefault="006177CF" w:rsidP="00CE1E1D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sr-Latn-ME"/>
              </w:rPr>
            </w:pPr>
            <w:proofErr w:type="spellStart"/>
            <w:r w:rsidRPr="00D83C9F">
              <w:rPr>
                <w:sz w:val="22"/>
                <w:szCs w:val="22"/>
                <w:lang w:val="sr-Latn-ME"/>
              </w:rPr>
              <w:t>Medijana</w:t>
            </w:r>
            <w:proofErr w:type="spellEnd"/>
          </w:p>
        </w:tc>
        <w:tc>
          <w:tcPr>
            <w:tcW w:w="1250" w:type="pct"/>
          </w:tcPr>
          <w:p w14:paraId="31825DBF" w14:textId="77777777" w:rsidR="00932FDD" w:rsidRPr="00D83C9F" w:rsidRDefault="00932FDD" w:rsidP="00CE1E1D">
            <w:pPr>
              <w:tabs>
                <w:tab w:val="left" w:pos="0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9,4 mjeseca</w:t>
            </w:r>
          </w:p>
        </w:tc>
        <w:tc>
          <w:tcPr>
            <w:tcW w:w="1250" w:type="pct"/>
          </w:tcPr>
          <w:p w14:paraId="7153484B" w14:textId="77777777" w:rsidR="00932FDD" w:rsidRPr="00D83C9F" w:rsidRDefault="00932FDD" w:rsidP="00CE1E1D">
            <w:pPr>
              <w:tabs>
                <w:tab w:val="left" w:pos="0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6,0 mjeseci</w:t>
            </w:r>
          </w:p>
        </w:tc>
      </w:tr>
      <w:tr w:rsidR="00932FDD" w:rsidRPr="00D83C9F" w14:paraId="7B1A23A9" w14:textId="77777777" w:rsidTr="00856BB6">
        <w:trPr>
          <w:trHeight w:val="144"/>
        </w:trPr>
        <w:tc>
          <w:tcPr>
            <w:tcW w:w="1250" w:type="pct"/>
            <w:vMerge/>
          </w:tcPr>
          <w:p w14:paraId="37A5DFA2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71811706" w14:textId="1176417C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 xml:space="preserve">(95% CI za </w:t>
            </w:r>
            <w:proofErr w:type="spellStart"/>
            <w:r w:rsidR="006177CF" w:rsidRPr="00D83C9F">
              <w:rPr>
                <w:sz w:val="22"/>
                <w:szCs w:val="22"/>
                <w:lang w:val="sr-Latn-ME"/>
              </w:rPr>
              <w:t>medijanu</w:t>
            </w:r>
            <w:proofErr w:type="spellEnd"/>
            <w:r w:rsidRPr="00D83C9F">
              <w:rPr>
                <w:sz w:val="22"/>
                <w:szCs w:val="22"/>
                <w:lang w:val="sr-Latn-ME"/>
              </w:rPr>
              <w:t>)</w:t>
            </w:r>
          </w:p>
        </w:tc>
        <w:tc>
          <w:tcPr>
            <w:tcW w:w="1250" w:type="pct"/>
          </w:tcPr>
          <w:p w14:paraId="005D44D5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(8,9; 11,6 mjeseci)</w:t>
            </w:r>
          </w:p>
        </w:tc>
        <w:tc>
          <w:tcPr>
            <w:tcW w:w="1250" w:type="pct"/>
          </w:tcPr>
          <w:p w14:paraId="15265867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(5,4; 6,3 mjeseca)</w:t>
            </w:r>
          </w:p>
        </w:tc>
      </w:tr>
      <w:tr w:rsidR="00932FDD" w:rsidRPr="00D83C9F" w14:paraId="6413822E" w14:textId="77777777" w:rsidTr="00856BB6">
        <w:trPr>
          <w:trHeight w:val="144"/>
        </w:trPr>
        <w:tc>
          <w:tcPr>
            <w:tcW w:w="1250" w:type="pct"/>
            <w:vMerge/>
          </w:tcPr>
          <w:p w14:paraId="34D6F41A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355F501B" w14:textId="00BAEED1" w:rsidR="00932FDD" w:rsidRPr="00D83C9F" w:rsidRDefault="006177CF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Odnos</w:t>
            </w:r>
            <w:r w:rsidR="00932FDD" w:rsidRPr="00D83C9F">
              <w:rPr>
                <w:sz w:val="22"/>
                <w:szCs w:val="22"/>
                <w:lang w:val="sr-Latn-ME"/>
              </w:rPr>
              <w:t xml:space="preserve"> rizika (HR)</w:t>
            </w:r>
          </w:p>
        </w:tc>
        <w:tc>
          <w:tcPr>
            <w:tcW w:w="2500" w:type="pct"/>
            <w:gridSpan w:val="2"/>
          </w:tcPr>
          <w:p w14:paraId="2490DA4D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0,72</w:t>
            </w:r>
          </w:p>
        </w:tc>
      </w:tr>
      <w:tr w:rsidR="00932FDD" w:rsidRPr="00D83C9F" w14:paraId="0EFBE2D6" w14:textId="77777777" w:rsidTr="00856BB6">
        <w:trPr>
          <w:trHeight w:val="144"/>
        </w:trPr>
        <w:tc>
          <w:tcPr>
            <w:tcW w:w="1250" w:type="pct"/>
            <w:vMerge/>
          </w:tcPr>
          <w:p w14:paraId="5B76001E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58EF5DD5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(95% CI za HR)</w:t>
            </w:r>
          </w:p>
        </w:tc>
        <w:tc>
          <w:tcPr>
            <w:tcW w:w="2500" w:type="pct"/>
            <w:gridSpan w:val="2"/>
          </w:tcPr>
          <w:p w14:paraId="71EF9389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(0,62; 0,83)</w:t>
            </w:r>
          </w:p>
        </w:tc>
      </w:tr>
      <w:tr w:rsidR="00932FDD" w:rsidRPr="00D83C9F" w14:paraId="3E4C9D7C" w14:textId="77777777" w:rsidTr="00856BB6">
        <w:trPr>
          <w:trHeight w:val="144"/>
        </w:trPr>
        <w:tc>
          <w:tcPr>
            <w:tcW w:w="1250" w:type="pct"/>
            <w:vMerge/>
          </w:tcPr>
          <w:p w14:paraId="7039ED27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794BE0F5" w14:textId="02B53E88" w:rsidR="00932FDD" w:rsidRPr="00D83C9F" w:rsidRDefault="00F44E52" w:rsidP="00CE1E1D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D83C9F">
              <w:rPr>
                <w:i/>
                <w:i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00" w:type="pct"/>
            <w:gridSpan w:val="2"/>
          </w:tcPr>
          <w:p w14:paraId="6F021781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&lt;0, 0001</w:t>
            </w:r>
          </w:p>
        </w:tc>
      </w:tr>
      <w:tr w:rsidR="00932FDD" w:rsidRPr="00D83C9F" w14:paraId="3BC57751" w14:textId="77777777" w:rsidTr="00856BB6">
        <w:trPr>
          <w:trHeight w:val="240"/>
        </w:trPr>
        <w:tc>
          <w:tcPr>
            <w:tcW w:w="1250" w:type="pct"/>
            <w:vMerge w:val="restart"/>
          </w:tcPr>
          <w:p w14:paraId="1C426DFF" w14:textId="7E2C8F7D" w:rsidR="00932FDD" w:rsidRPr="00D83C9F" w:rsidRDefault="00932FDD" w:rsidP="00CE1E1D">
            <w:pPr>
              <w:tabs>
                <w:tab w:val="left" w:pos="0"/>
              </w:tabs>
              <w:rPr>
                <w:b/>
                <w:sz w:val="22"/>
                <w:szCs w:val="22"/>
                <w:lang w:val="sr-Latn-ME"/>
              </w:rPr>
            </w:pPr>
            <w:r w:rsidRPr="00D83C9F">
              <w:rPr>
                <w:b/>
                <w:sz w:val="22"/>
                <w:szCs w:val="22"/>
                <w:lang w:val="sr-Latn-ME"/>
              </w:rPr>
              <w:t>Stepen objektivnog odgovora (ORR)</w:t>
            </w:r>
          </w:p>
        </w:tc>
        <w:tc>
          <w:tcPr>
            <w:tcW w:w="1250" w:type="pct"/>
          </w:tcPr>
          <w:p w14:paraId="3B82A235" w14:textId="77777777" w:rsidR="00932FDD" w:rsidRPr="00D83C9F" w:rsidRDefault="00932FDD" w:rsidP="00CE1E1D">
            <w:pPr>
              <w:tabs>
                <w:tab w:val="left" w:pos="0"/>
              </w:tabs>
              <w:jc w:val="center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CR+PR</w:t>
            </w:r>
          </w:p>
        </w:tc>
        <w:tc>
          <w:tcPr>
            <w:tcW w:w="1250" w:type="pct"/>
          </w:tcPr>
          <w:p w14:paraId="1D95AB8A" w14:textId="77777777" w:rsidR="00932FDD" w:rsidRPr="00D83C9F" w:rsidRDefault="00932FDD" w:rsidP="00CE1E1D">
            <w:pPr>
              <w:tabs>
                <w:tab w:val="left" w:pos="0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145 (32%)</w:t>
            </w:r>
          </w:p>
        </w:tc>
        <w:tc>
          <w:tcPr>
            <w:tcW w:w="1250" w:type="pct"/>
          </w:tcPr>
          <w:p w14:paraId="11E29046" w14:textId="77777777" w:rsidR="00932FDD" w:rsidRPr="00D83C9F" w:rsidRDefault="00932FDD" w:rsidP="00CE1E1D">
            <w:pPr>
              <w:tabs>
                <w:tab w:val="left" w:pos="0"/>
              </w:tabs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95 (21%)</w:t>
            </w:r>
          </w:p>
        </w:tc>
      </w:tr>
      <w:tr w:rsidR="00932FDD" w:rsidRPr="00D83C9F" w14:paraId="106D37C4" w14:textId="77777777" w:rsidTr="00856BB6">
        <w:trPr>
          <w:trHeight w:val="144"/>
        </w:trPr>
        <w:tc>
          <w:tcPr>
            <w:tcW w:w="1250" w:type="pct"/>
            <w:vMerge/>
          </w:tcPr>
          <w:p w14:paraId="217F2682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25F51907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(95% CI za stepen)</w:t>
            </w:r>
          </w:p>
        </w:tc>
        <w:tc>
          <w:tcPr>
            <w:tcW w:w="1250" w:type="pct"/>
          </w:tcPr>
          <w:p w14:paraId="46CDE62D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(28,36 %)</w:t>
            </w:r>
          </w:p>
        </w:tc>
        <w:tc>
          <w:tcPr>
            <w:tcW w:w="1250" w:type="pct"/>
          </w:tcPr>
          <w:p w14:paraId="640434DF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(17, 25 %)</w:t>
            </w:r>
          </w:p>
        </w:tc>
      </w:tr>
      <w:tr w:rsidR="00932FDD" w:rsidRPr="00D83C9F" w14:paraId="1429C91C" w14:textId="77777777" w:rsidTr="00856BB6">
        <w:trPr>
          <w:trHeight w:val="144"/>
        </w:trPr>
        <w:tc>
          <w:tcPr>
            <w:tcW w:w="1250" w:type="pct"/>
            <w:vMerge/>
          </w:tcPr>
          <w:p w14:paraId="49010B22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4814E248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Odnos mogućnosti</w:t>
            </w:r>
          </w:p>
        </w:tc>
        <w:tc>
          <w:tcPr>
            <w:tcW w:w="2500" w:type="pct"/>
            <w:gridSpan w:val="2"/>
          </w:tcPr>
          <w:p w14:paraId="6439B035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1,78</w:t>
            </w:r>
          </w:p>
        </w:tc>
      </w:tr>
      <w:tr w:rsidR="00932FDD" w:rsidRPr="00D83C9F" w14:paraId="672A074B" w14:textId="77777777" w:rsidTr="00856BB6">
        <w:trPr>
          <w:trHeight w:val="144"/>
        </w:trPr>
        <w:tc>
          <w:tcPr>
            <w:tcW w:w="1250" w:type="pct"/>
            <w:vMerge/>
          </w:tcPr>
          <w:p w14:paraId="2214E135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16108446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(95% CI za odnos mogućnosti)</w:t>
            </w:r>
          </w:p>
        </w:tc>
        <w:tc>
          <w:tcPr>
            <w:tcW w:w="2500" w:type="pct"/>
            <w:gridSpan w:val="2"/>
          </w:tcPr>
          <w:p w14:paraId="12AF38FD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(1,32; 2,40)</w:t>
            </w:r>
          </w:p>
        </w:tc>
      </w:tr>
      <w:tr w:rsidR="00932FDD" w:rsidRPr="00D83C9F" w14:paraId="11598AB7" w14:textId="77777777" w:rsidTr="00856BB6">
        <w:trPr>
          <w:trHeight w:val="144"/>
        </w:trPr>
        <w:tc>
          <w:tcPr>
            <w:tcW w:w="1250" w:type="pct"/>
            <w:vMerge/>
          </w:tcPr>
          <w:p w14:paraId="5266A9BA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b/>
                <w:sz w:val="22"/>
                <w:szCs w:val="22"/>
                <w:lang w:val="sr-Latn-ME"/>
              </w:rPr>
            </w:pPr>
          </w:p>
        </w:tc>
        <w:tc>
          <w:tcPr>
            <w:tcW w:w="1250" w:type="pct"/>
          </w:tcPr>
          <w:p w14:paraId="478A2A79" w14:textId="54023A04" w:rsidR="00932FDD" w:rsidRPr="00D83C9F" w:rsidRDefault="00F44E52" w:rsidP="00CE1E1D">
            <w:pPr>
              <w:tabs>
                <w:tab w:val="left" w:pos="0"/>
              </w:tabs>
              <w:jc w:val="both"/>
              <w:rPr>
                <w:i/>
                <w:iCs/>
                <w:sz w:val="22"/>
                <w:szCs w:val="22"/>
                <w:lang w:val="sr-Latn-ME"/>
              </w:rPr>
            </w:pPr>
            <w:r w:rsidRPr="00D83C9F">
              <w:rPr>
                <w:i/>
                <w:iCs/>
                <w:sz w:val="22"/>
                <w:szCs w:val="22"/>
                <w:lang w:val="sr-Latn-ME"/>
              </w:rPr>
              <w:t>P</w:t>
            </w:r>
          </w:p>
        </w:tc>
        <w:tc>
          <w:tcPr>
            <w:tcW w:w="2500" w:type="pct"/>
            <w:gridSpan w:val="2"/>
          </w:tcPr>
          <w:p w14:paraId="1A8C3EFF" w14:textId="77777777" w:rsidR="00932FDD" w:rsidRPr="00D83C9F" w:rsidRDefault="00932FDD" w:rsidP="00CE1E1D">
            <w:pPr>
              <w:tabs>
                <w:tab w:val="left" w:pos="0"/>
              </w:tabs>
              <w:jc w:val="both"/>
              <w:rPr>
                <w:sz w:val="22"/>
                <w:szCs w:val="22"/>
                <w:lang w:val="sr-Latn-ME"/>
              </w:rPr>
            </w:pPr>
            <w:r w:rsidRPr="00D83C9F">
              <w:rPr>
                <w:sz w:val="22"/>
                <w:szCs w:val="22"/>
                <w:lang w:val="sr-Latn-ME"/>
              </w:rPr>
              <w:t>0,0002</w:t>
            </w:r>
          </w:p>
        </w:tc>
      </w:tr>
    </w:tbl>
    <w:p w14:paraId="332B4C4C" w14:textId="77777777" w:rsidR="00932FDD" w:rsidRPr="00D83C9F" w:rsidRDefault="00932FDD" w:rsidP="00CE1E1D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1F1AD3D5" w14:textId="6B8D4BDC" w:rsidR="008E34CB" w:rsidRPr="00D83C9F" w:rsidRDefault="008E34CB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Vrijeme do progresije bolesti bilo je značajno duže, a stepen odgovora značajno viši za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, bez obzira na to da li je primjenjivana </w:t>
      </w:r>
      <w:proofErr w:type="spellStart"/>
      <w:r w:rsidRPr="00D83C9F">
        <w:rPr>
          <w:sz w:val="22"/>
          <w:szCs w:val="22"/>
          <w:lang w:val="sr-Latn-ME"/>
        </w:rPr>
        <w:t>adjuvantna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antiestrogena</w:t>
      </w:r>
      <w:proofErr w:type="spellEnd"/>
      <w:r w:rsidRPr="00D83C9F">
        <w:rPr>
          <w:sz w:val="22"/>
          <w:szCs w:val="22"/>
          <w:lang w:val="sr-Latn-ME"/>
        </w:rPr>
        <w:t xml:space="preserve"> terapija ili ne. Vrijeme do progresije bolesti bilo je značajno duže za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bez obzira na dominantno mjesto oboljenja. </w:t>
      </w:r>
      <w:proofErr w:type="spellStart"/>
      <w:r w:rsidR="006177CF" w:rsidRPr="00D83C9F">
        <w:rPr>
          <w:sz w:val="22"/>
          <w:szCs w:val="22"/>
          <w:lang w:val="sr-Latn-ME"/>
        </w:rPr>
        <w:t>Medijana</w:t>
      </w:r>
      <w:proofErr w:type="spellEnd"/>
      <w:r w:rsidR="006177CF" w:rsidRPr="00D83C9F">
        <w:rPr>
          <w:sz w:val="22"/>
          <w:szCs w:val="22"/>
          <w:lang w:val="sr-Latn-ME"/>
        </w:rPr>
        <w:t xml:space="preserve"> </w:t>
      </w:r>
      <w:proofErr w:type="spellStart"/>
      <w:r w:rsidR="006177CF" w:rsidRPr="00D83C9F">
        <w:rPr>
          <w:sz w:val="22"/>
          <w:szCs w:val="22"/>
          <w:lang w:val="sr-Latn-ME"/>
        </w:rPr>
        <w:t>vr</w:t>
      </w:r>
      <w:r w:rsidRPr="00D83C9F">
        <w:rPr>
          <w:sz w:val="22"/>
          <w:szCs w:val="22"/>
          <w:lang w:val="sr-Latn-ME"/>
        </w:rPr>
        <w:t>eme</w:t>
      </w:r>
      <w:r w:rsidR="006177CF" w:rsidRPr="00D83C9F">
        <w:rPr>
          <w:sz w:val="22"/>
          <w:szCs w:val="22"/>
          <w:lang w:val="sr-Latn-ME"/>
        </w:rPr>
        <w:t>na</w:t>
      </w:r>
      <w:proofErr w:type="spellEnd"/>
      <w:r w:rsidR="006177CF" w:rsidRPr="00D83C9F">
        <w:rPr>
          <w:sz w:val="22"/>
          <w:szCs w:val="22"/>
          <w:lang w:val="sr-Latn-ME"/>
        </w:rPr>
        <w:t xml:space="preserve"> do progresije bolesti bila</w:t>
      </w:r>
      <w:r w:rsidRPr="00D83C9F">
        <w:rPr>
          <w:sz w:val="22"/>
          <w:szCs w:val="22"/>
          <w:lang w:val="sr-Latn-ME"/>
        </w:rPr>
        <w:t xml:space="preserve"> je 12,1 mjesec za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 6,4 mjeseca za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, samo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oboljenjem mekog tkiva, i </w:t>
      </w:r>
      <w:proofErr w:type="spellStart"/>
      <w:r w:rsidR="006177CF" w:rsidRPr="00D83C9F">
        <w:rPr>
          <w:sz w:val="22"/>
          <w:szCs w:val="22"/>
          <w:lang w:val="sr-Latn-ME"/>
        </w:rPr>
        <w:t>medijana</w:t>
      </w:r>
      <w:proofErr w:type="spellEnd"/>
      <w:r w:rsidR="006177CF" w:rsidRPr="00D83C9F">
        <w:rPr>
          <w:sz w:val="22"/>
          <w:szCs w:val="22"/>
          <w:lang w:val="sr-Latn-ME"/>
        </w:rPr>
        <w:t xml:space="preserve"> </w:t>
      </w:r>
      <w:proofErr w:type="spellStart"/>
      <w:r w:rsidR="006177CF" w:rsidRPr="00D83C9F">
        <w:rPr>
          <w:sz w:val="22"/>
          <w:szCs w:val="22"/>
          <w:lang w:val="sr-Latn-ME"/>
        </w:rPr>
        <w:t>vremena</w:t>
      </w:r>
      <w:proofErr w:type="spellEnd"/>
      <w:r w:rsidRPr="00D83C9F">
        <w:rPr>
          <w:sz w:val="22"/>
          <w:szCs w:val="22"/>
          <w:lang w:val="sr-Latn-ME"/>
        </w:rPr>
        <w:t xml:space="preserve"> od 8,3 mjeseca za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i 4,6 mjeseci za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,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visceralnim metastazama.</w:t>
      </w:r>
    </w:p>
    <w:p w14:paraId="27A5D596" w14:textId="77777777" w:rsidR="00684660" w:rsidRPr="00D83C9F" w:rsidRDefault="00684660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633D4C26" w14:textId="02C5C0CB" w:rsidR="008E34CB" w:rsidRPr="00D83C9F" w:rsidRDefault="008E34CB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Dizajn studije dozvoljavao je </w:t>
      </w:r>
      <w:proofErr w:type="spellStart"/>
      <w:r w:rsidRPr="00D83C9F">
        <w:rPr>
          <w:sz w:val="22"/>
          <w:szCs w:val="22"/>
          <w:lang w:val="sr-Latn-ME"/>
        </w:rPr>
        <w:t>pacijentkinjama</w:t>
      </w:r>
      <w:proofErr w:type="spellEnd"/>
      <w:r w:rsidRPr="00D83C9F">
        <w:rPr>
          <w:sz w:val="22"/>
          <w:szCs w:val="22"/>
          <w:lang w:val="sr-Latn-ME"/>
        </w:rPr>
        <w:t xml:space="preserve"> da </w:t>
      </w:r>
      <w:proofErr w:type="spellStart"/>
      <w:r w:rsidRPr="00D83C9F">
        <w:rPr>
          <w:sz w:val="22"/>
          <w:szCs w:val="22"/>
          <w:lang w:val="sr-Latn-ME"/>
        </w:rPr>
        <w:t>usljed</w:t>
      </w:r>
      <w:proofErr w:type="spellEnd"/>
      <w:r w:rsidRPr="00D83C9F">
        <w:rPr>
          <w:sz w:val="22"/>
          <w:szCs w:val="22"/>
          <w:lang w:val="sr-Latn-ME"/>
        </w:rPr>
        <w:t xml:space="preserve"> progresije bolesti unakrsno pre</w:t>
      </w:r>
      <w:r w:rsidR="00491B56" w:rsidRPr="00D83C9F">
        <w:rPr>
          <w:sz w:val="22"/>
          <w:szCs w:val="22"/>
          <w:lang w:val="sr-Latn-ME"/>
        </w:rPr>
        <w:t>đu</w:t>
      </w:r>
      <w:r w:rsidRPr="00D83C9F">
        <w:rPr>
          <w:sz w:val="22"/>
          <w:szCs w:val="22"/>
          <w:lang w:val="sr-Latn-ME"/>
        </w:rPr>
        <w:t xml:space="preserve"> u drugu terapijsku grupu ili da izađu iz studije. Oko 50%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prešlo</w:t>
      </w:r>
      <w:proofErr w:type="spellEnd"/>
      <w:r w:rsidRPr="00D83C9F">
        <w:rPr>
          <w:sz w:val="22"/>
          <w:szCs w:val="22"/>
          <w:lang w:val="sr-Latn-ME"/>
        </w:rPr>
        <w:t xml:space="preserve"> je u suprotnu terapijsku grupu, a unakrsno prelaženje je virtuelno bilo završeno za 36 mjeseci. </w:t>
      </w:r>
      <w:proofErr w:type="spellStart"/>
      <w:r w:rsidR="006177CF" w:rsidRPr="00D83C9F">
        <w:rPr>
          <w:sz w:val="22"/>
          <w:szCs w:val="22"/>
          <w:lang w:val="sr-Latn-ME"/>
        </w:rPr>
        <w:t>Medijana</w:t>
      </w:r>
      <w:proofErr w:type="spellEnd"/>
      <w:r w:rsidR="006177CF" w:rsidRPr="00D83C9F">
        <w:rPr>
          <w:sz w:val="22"/>
          <w:szCs w:val="22"/>
          <w:lang w:val="sr-Latn-ME"/>
        </w:rPr>
        <w:t xml:space="preserve"> </w:t>
      </w:r>
      <w:proofErr w:type="spellStart"/>
      <w:r w:rsidR="006177CF" w:rsidRPr="00D83C9F">
        <w:rPr>
          <w:sz w:val="22"/>
          <w:szCs w:val="22"/>
          <w:lang w:val="sr-Latn-ME"/>
        </w:rPr>
        <w:t>vr</w:t>
      </w:r>
      <w:r w:rsidRPr="00D83C9F">
        <w:rPr>
          <w:sz w:val="22"/>
          <w:szCs w:val="22"/>
          <w:lang w:val="sr-Latn-ME"/>
        </w:rPr>
        <w:t>eme</w:t>
      </w:r>
      <w:r w:rsidR="006177CF" w:rsidRPr="00D83C9F">
        <w:rPr>
          <w:sz w:val="22"/>
          <w:szCs w:val="22"/>
          <w:lang w:val="sr-Latn-ME"/>
        </w:rPr>
        <w:t>na</w:t>
      </w:r>
      <w:proofErr w:type="spellEnd"/>
      <w:r w:rsidR="006177CF" w:rsidRPr="00D83C9F">
        <w:rPr>
          <w:sz w:val="22"/>
          <w:szCs w:val="22"/>
          <w:lang w:val="sr-Latn-ME"/>
        </w:rPr>
        <w:t xml:space="preserve"> do prelaska bila</w:t>
      </w:r>
      <w:r w:rsidRPr="00D83C9F">
        <w:rPr>
          <w:sz w:val="22"/>
          <w:szCs w:val="22"/>
          <w:lang w:val="sr-Latn-ME"/>
        </w:rPr>
        <w:t xml:space="preserve"> je 17 mjeseci (iz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grupe u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grupu) i 13 mjeseci (iz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grupe u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grupu).</w:t>
      </w:r>
    </w:p>
    <w:p w14:paraId="419F295E" w14:textId="77A11A95" w:rsidR="008E34CB" w:rsidRPr="00D83C9F" w:rsidRDefault="008E34CB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lastRenderedPageBreak/>
        <w:t xml:space="preserve">Liječenje </w:t>
      </w:r>
      <w:proofErr w:type="spellStart"/>
      <w:r w:rsidRPr="00D83C9F">
        <w:rPr>
          <w:sz w:val="22"/>
          <w:szCs w:val="22"/>
          <w:lang w:val="sr-Latn-ME"/>
        </w:rPr>
        <w:t>letrozolom</w:t>
      </w:r>
      <w:proofErr w:type="spellEnd"/>
      <w:r w:rsidRPr="00D83C9F">
        <w:rPr>
          <w:sz w:val="22"/>
          <w:szCs w:val="22"/>
          <w:lang w:val="sr-Latn-ME"/>
        </w:rPr>
        <w:t xml:space="preserve"> kao prvom linijom terapije </w:t>
      </w:r>
      <w:proofErr w:type="spellStart"/>
      <w:r w:rsidRPr="00D83C9F">
        <w:rPr>
          <w:sz w:val="22"/>
          <w:szCs w:val="22"/>
          <w:lang w:val="sr-Latn-ME"/>
        </w:rPr>
        <w:t>uznapredovalog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karcinoma</w:t>
      </w:r>
      <w:proofErr w:type="spellEnd"/>
      <w:r w:rsidRPr="00D83C9F">
        <w:rPr>
          <w:sz w:val="22"/>
          <w:szCs w:val="22"/>
          <w:lang w:val="sr-Latn-ME"/>
        </w:rPr>
        <w:t xml:space="preserve"> dojke, dovelo je do srednjeg ukupnog preživljavanja od 34 mjeseca u poređenju sa 30 mjeseci za </w:t>
      </w:r>
      <w:proofErr w:type="spellStart"/>
      <w:r w:rsidRPr="00D83C9F">
        <w:rPr>
          <w:sz w:val="22"/>
          <w:szCs w:val="22"/>
          <w:lang w:val="sr-Latn-ME"/>
        </w:rPr>
        <w:t>tamoksifen</w:t>
      </w:r>
      <w:proofErr w:type="spellEnd"/>
      <w:r w:rsidRPr="00D83C9F">
        <w:rPr>
          <w:sz w:val="22"/>
          <w:szCs w:val="22"/>
          <w:lang w:val="sr-Latn-ME"/>
        </w:rPr>
        <w:t xml:space="preserve"> (log </w:t>
      </w:r>
      <w:proofErr w:type="spellStart"/>
      <w:r w:rsidRPr="00D83C9F">
        <w:rPr>
          <w:sz w:val="22"/>
          <w:szCs w:val="22"/>
          <w:lang w:val="sr-Latn-ME"/>
        </w:rPr>
        <w:t>rank</w:t>
      </w:r>
      <w:proofErr w:type="spellEnd"/>
      <w:r w:rsidRPr="00D83C9F">
        <w:rPr>
          <w:sz w:val="22"/>
          <w:szCs w:val="22"/>
          <w:lang w:val="sr-Latn-ME"/>
        </w:rPr>
        <w:t xml:space="preserve"> test </w:t>
      </w:r>
      <w:r w:rsidR="00491B56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 xml:space="preserve">=0,53, nije značajno). Odsustvo </w:t>
      </w:r>
      <w:proofErr w:type="spellStart"/>
      <w:r w:rsidRPr="00D83C9F">
        <w:rPr>
          <w:sz w:val="22"/>
          <w:szCs w:val="22"/>
          <w:lang w:val="sr-Latn-ME"/>
        </w:rPr>
        <w:t>prednosti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koje se odnosi na ukupno preživljavanja može se objasniti dizajnom studije koji je omogućavao unakrsno prelaženje.</w:t>
      </w:r>
    </w:p>
    <w:p w14:paraId="7A85C188" w14:textId="77777777" w:rsidR="00684660" w:rsidRPr="00D83C9F" w:rsidRDefault="00684660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202D3A4" w14:textId="77777777" w:rsidR="008E34CB" w:rsidRPr="00D83C9F" w:rsidRDefault="008E34CB" w:rsidP="00CE1E1D">
      <w:pPr>
        <w:tabs>
          <w:tab w:val="left" w:pos="0"/>
        </w:tabs>
        <w:jc w:val="both"/>
        <w:rPr>
          <w:i/>
          <w:sz w:val="22"/>
          <w:szCs w:val="22"/>
          <w:u w:val="single"/>
          <w:lang w:val="sr-Latn-ME"/>
        </w:rPr>
      </w:pPr>
      <w:r w:rsidRPr="00D83C9F">
        <w:rPr>
          <w:i/>
          <w:sz w:val="22"/>
          <w:szCs w:val="22"/>
          <w:u w:val="single"/>
          <w:lang w:val="sr-Latn-ME"/>
        </w:rPr>
        <w:t>Druga linija terapije</w:t>
      </w:r>
    </w:p>
    <w:p w14:paraId="117E01EA" w14:textId="7781CC69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Sprovedene su dvije dobro kontrolisane kliničke studije radi poređenja dvije doze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(0,5mg</w:t>
      </w:r>
      <w:r w:rsidR="00894044" w:rsidRPr="00D83C9F">
        <w:rPr>
          <w:sz w:val="22"/>
          <w:szCs w:val="22"/>
          <w:lang w:val="sr-Latn-ME"/>
        </w:rPr>
        <w:t xml:space="preserve"> i 2,5mg) u odnosu na </w:t>
      </w:r>
      <w:proofErr w:type="spellStart"/>
      <w:r w:rsidR="00894044" w:rsidRPr="00D83C9F">
        <w:rPr>
          <w:sz w:val="22"/>
          <w:szCs w:val="22"/>
          <w:lang w:val="sr-Latn-ME"/>
        </w:rPr>
        <w:t>megestrol</w:t>
      </w:r>
      <w:proofErr w:type="spellEnd"/>
      <w:r w:rsidR="0089404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acetat i u odnosu na </w:t>
      </w:r>
      <w:proofErr w:type="spellStart"/>
      <w:r w:rsidRPr="00D83C9F">
        <w:rPr>
          <w:sz w:val="22"/>
          <w:szCs w:val="22"/>
          <w:lang w:val="sr-Latn-ME"/>
        </w:rPr>
        <w:t>aminoglutetimid</w:t>
      </w:r>
      <w:proofErr w:type="spellEnd"/>
      <w:r w:rsidRPr="00D83C9F">
        <w:rPr>
          <w:sz w:val="22"/>
          <w:szCs w:val="22"/>
          <w:lang w:val="sr-Latn-ME"/>
        </w:rPr>
        <w:t xml:space="preserve">, kod žena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 sa </w:t>
      </w:r>
      <w:proofErr w:type="spellStart"/>
      <w:r w:rsidRPr="00D83C9F">
        <w:rPr>
          <w:sz w:val="22"/>
          <w:szCs w:val="22"/>
          <w:lang w:val="sr-Latn-ME"/>
        </w:rPr>
        <w:t>uznapredovalim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karcinomom</w:t>
      </w:r>
      <w:proofErr w:type="spellEnd"/>
      <w:r w:rsidRPr="00D83C9F">
        <w:rPr>
          <w:sz w:val="22"/>
          <w:szCs w:val="22"/>
          <w:lang w:val="sr-Latn-ME"/>
        </w:rPr>
        <w:t xml:space="preserve"> dojke koje su ranije liječene </w:t>
      </w:r>
      <w:proofErr w:type="spellStart"/>
      <w:r w:rsidRPr="00D83C9F">
        <w:rPr>
          <w:sz w:val="22"/>
          <w:szCs w:val="22"/>
          <w:lang w:val="sr-Latn-ME"/>
        </w:rPr>
        <w:t>antiestrogenima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168F1CD9" w14:textId="77777777" w:rsidR="00684660" w:rsidRPr="00D83C9F" w:rsidRDefault="00684660" w:rsidP="00CE1E1D">
      <w:pPr>
        <w:tabs>
          <w:tab w:val="left" w:pos="284"/>
        </w:tabs>
        <w:jc w:val="both"/>
        <w:rPr>
          <w:color w:val="FF0000"/>
          <w:sz w:val="22"/>
          <w:szCs w:val="22"/>
          <w:lang w:val="sr-Latn-ME"/>
        </w:rPr>
      </w:pPr>
    </w:p>
    <w:p w14:paraId="2A1C1E7D" w14:textId="3726D2F7" w:rsidR="008E34CB" w:rsidRPr="00D83C9F" w:rsidRDefault="008E34CB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Vrijeme do progresije bolesti nije bilo značajno različito između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2,5mg i </w:t>
      </w:r>
      <w:proofErr w:type="spellStart"/>
      <w:r w:rsidRPr="00D83C9F">
        <w:rPr>
          <w:sz w:val="22"/>
          <w:szCs w:val="22"/>
          <w:lang w:val="sr-Latn-ME"/>
        </w:rPr>
        <w:t>megestrol</w:t>
      </w:r>
      <w:proofErr w:type="spellEnd"/>
      <w:r w:rsidRPr="00D83C9F">
        <w:rPr>
          <w:sz w:val="22"/>
          <w:szCs w:val="22"/>
          <w:lang w:val="sr-Latn-ME"/>
        </w:rPr>
        <w:t xml:space="preserve"> acetata (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>=0,07)</w:t>
      </w:r>
      <w:r w:rsidR="00510382" w:rsidRPr="00D83C9F">
        <w:rPr>
          <w:sz w:val="22"/>
          <w:szCs w:val="22"/>
          <w:lang w:val="sr-Latn-ME"/>
        </w:rPr>
        <w:t>.</w:t>
      </w:r>
      <w:r w:rsidRPr="00D83C9F">
        <w:rPr>
          <w:sz w:val="22"/>
          <w:szCs w:val="22"/>
          <w:lang w:val="sr-Latn-ME"/>
        </w:rPr>
        <w:t xml:space="preserve"> Statistički značajne razlike uočene su u korist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2,5mg u poređenju sa </w:t>
      </w:r>
      <w:proofErr w:type="spellStart"/>
      <w:r w:rsidRPr="00D83C9F">
        <w:rPr>
          <w:sz w:val="22"/>
          <w:szCs w:val="22"/>
          <w:lang w:val="sr-Latn-ME"/>
        </w:rPr>
        <w:t>megestrol</w:t>
      </w:r>
      <w:proofErr w:type="spellEnd"/>
      <w:r w:rsidRPr="00D83C9F">
        <w:rPr>
          <w:sz w:val="22"/>
          <w:szCs w:val="22"/>
          <w:lang w:val="sr-Latn-ME"/>
        </w:rPr>
        <w:t xml:space="preserve"> acetatom, u smislu stepena ukupnog objektivnog odgovora tumora (24% prema 16%, 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 xml:space="preserve">=0,04%), i u </w:t>
      </w:r>
      <w:proofErr w:type="spellStart"/>
      <w:r w:rsidRPr="00D83C9F">
        <w:rPr>
          <w:sz w:val="22"/>
          <w:szCs w:val="22"/>
          <w:lang w:val="sr-Latn-ME"/>
        </w:rPr>
        <w:t>vremenu</w:t>
      </w:r>
      <w:proofErr w:type="spellEnd"/>
      <w:r w:rsidRPr="00D83C9F">
        <w:rPr>
          <w:sz w:val="22"/>
          <w:szCs w:val="22"/>
          <w:lang w:val="sr-Latn-ME"/>
        </w:rPr>
        <w:t xml:space="preserve"> do prestanka djelovanja lijeka (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>=0,04). Ukupno preživljavanje nije bilo značajano različito između ove dvije grupe (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 xml:space="preserve">=0,2).     </w:t>
      </w:r>
    </w:p>
    <w:p w14:paraId="6778313C" w14:textId="77777777" w:rsidR="00684660" w:rsidRPr="00D83C9F" w:rsidRDefault="00684660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13CA68E5" w14:textId="4349658C" w:rsidR="008E34CB" w:rsidRPr="00D83C9F" w:rsidRDefault="008E34CB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drugoj studiji, stepen odgovora nije bio statistički značajan između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2,5mg i </w:t>
      </w:r>
      <w:proofErr w:type="spellStart"/>
      <w:r w:rsidRPr="00D83C9F">
        <w:rPr>
          <w:sz w:val="22"/>
          <w:szCs w:val="22"/>
          <w:lang w:val="sr-Latn-ME"/>
        </w:rPr>
        <w:t>aminoglutetimida</w:t>
      </w:r>
      <w:proofErr w:type="spellEnd"/>
      <w:r w:rsidRPr="00D83C9F">
        <w:rPr>
          <w:sz w:val="22"/>
          <w:szCs w:val="22"/>
          <w:lang w:val="sr-Latn-ME"/>
        </w:rPr>
        <w:t xml:space="preserve"> (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 xml:space="preserve">=0,06).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2,5mg je bio statistički superiorniji u odnosu na </w:t>
      </w:r>
      <w:proofErr w:type="spellStart"/>
      <w:r w:rsidRPr="00D83C9F">
        <w:rPr>
          <w:sz w:val="22"/>
          <w:szCs w:val="22"/>
          <w:lang w:val="sr-Latn-ME"/>
        </w:rPr>
        <w:t>aminoglutetimid</w:t>
      </w:r>
      <w:proofErr w:type="spellEnd"/>
      <w:r w:rsidRPr="00D83C9F">
        <w:rPr>
          <w:sz w:val="22"/>
          <w:szCs w:val="22"/>
          <w:lang w:val="sr-Latn-ME"/>
        </w:rPr>
        <w:t xml:space="preserve"> u smislu </w:t>
      </w:r>
      <w:proofErr w:type="spellStart"/>
      <w:r w:rsidRPr="00D83C9F">
        <w:rPr>
          <w:sz w:val="22"/>
          <w:szCs w:val="22"/>
          <w:lang w:val="sr-Latn-ME"/>
        </w:rPr>
        <w:t>vremena</w:t>
      </w:r>
      <w:proofErr w:type="spellEnd"/>
      <w:r w:rsidRPr="00D83C9F">
        <w:rPr>
          <w:sz w:val="22"/>
          <w:szCs w:val="22"/>
          <w:lang w:val="sr-Latn-ME"/>
        </w:rPr>
        <w:t xml:space="preserve"> do progresije bolesti (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 xml:space="preserve">=0,008), </w:t>
      </w:r>
      <w:proofErr w:type="spellStart"/>
      <w:r w:rsidRPr="00D83C9F">
        <w:rPr>
          <w:sz w:val="22"/>
          <w:szCs w:val="22"/>
          <w:lang w:val="sr-Latn-ME"/>
        </w:rPr>
        <w:t>vremena</w:t>
      </w:r>
      <w:proofErr w:type="spellEnd"/>
      <w:r w:rsidRPr="00D83C9F">
        <w:rPr>
          <w:sz w:val="22"/>
          <w:szCs w:val="22"/>
          <w:lang w:val="sr-Latn-ME"/>
        </w:rPr>
        <w:t xml:space="preserve"> do prestanka djelovanja lijeka (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>=0,003) i ukupnog preživljavanja (</w:t>
      </w:r>
      <w:r w:rsidR="00510382" w:rsidRPr="00D83C9F">
        <w:rPr>
          <w:sz w:val="22"/>
          <w:szCs w:val="22"/>
          <w:lang w:val="sr-Latn-ME"/>
        </w:rPr>
        <w:t>P</w:t>
      </w:r>
      <w:r w:rsidRPr="00D83C9F">
        <w:rPr>
          <w:sz w:val="22"/>
          <w:szCs w:val="22"/>
          <w:lang w:val="sr-Latn-ME"/>
        </w:rPr>
        <w:t>=0,002).</w:t>
      </w:r>
    </w:p>
    <w:p w14:paraId="71C973B7" w14:textId="77777777" w:rsidR="00684660" w:rsidRPr="00D83C9F" w:rsidRDefault="00684660" w:rsidP="00CE1E1D">
      <w:pPr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5726D79B" w14:textId="77777777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bCs/>
          <w:i/>
          <w:sz w:val="22"/>
          <w:szCs w:val="22"/>
          <w:u w:val="single"/>
          <w:lang w:val="sr-Latn-ME"/>
        </w:rPr>
      </w:pPr>
      <w:proofErr w:type="spellStart"/>
      <w:r w:rsidRPr="00D83C9F">
        <w:rPr>
          <w:bCs/>
          <w:i/>
          <w:sz w:val="22"/>
          <w:szCs w:val="22"/>
          <w:u w:val="single"/>
          <w:lang w:val="sr-Latn-ME"/>
        </w:rPr>
        <w:t>Karcinom</w:t>
      </w:r>
      <w:proofErr w:type="spellEnd"/>
      <w:r w:rsidRPr="00D83C9F">
        <w:rPr>
          <w:bCs/>
          <w:i/>
          <w:sz w:val="22"/>
          <w:szCs w:val="22"/>
          <w:u w:val="single"/>
          <w:lang w:val="sr-Latn-ME"/>
        </w:rPr>
        <w:t xml:space="preserve"> dojke kod muškaraca </w:t>
      </w:r>
    </w:p>
    <w:p w14:paraId="082A3AEA" w14:textId="77777777" w:rsidR="008E34CB" w:rsidRPr="00D83C9F" w:rsidRDefault="008E34CB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Primjena </w:t>
      </w:r>
      <w:proofErr w:type="spellStart"/>
      <w:r w:rsidRPr="00D83C9F">
        <w:rPr>
          <w:bCs/>
          <w:sz w:val="22"/>
          <w:szCs w:val="22"/>
          <w:lang w:val="sr-Latn-ME"/>
        </w:rPr>
        <w:t>letrozola</w:t>
      </w:r>
      <w:proofErr w:type="spellEnd"/>
      <w:r w:rsidRPr="00D83C9F">
        <w:rPr>
          <w:bCs/>
          <w:sz w:val="22"/>
          <w:szCs w:val="22"/>
          <w:lang w:val="sr-Latn-ME"/>
        </w:rPr>
        <w:t xml:space="preserve"> kod muškaraca sa </w:t>
      </w:r>
      <w:proofErr w:type="spellStart"/>
      <w:r w:rsidRPr="00D83C9F">
        <w:rPr>
          <w:bCs/>
          <w:sz w:val="22"/>
          <w:szCs w:val="22"/>
          <w:lang w:val="sr-Latn-ME"/>
        </w:rPr>
        <w:t>karcinomom</w:t>
      </w:r>
      <w:proofErr w:type="spellEnd"/>
      <w:r w:rsidRPr="00D83C9F">
        <w:rPr>
          <w:bCs/>
          <w:sz w:val="22"/>
          <w:szCs w:val="22"/>
          <w:lang w:val="sr-Latn-ME"/>
        </w:rPr>
        <w:t xml:space="preserve"> dojke nije ispitivana.</w:t>
      </w:r>
    </w:p>
    <w:p w14:paraId="5722E22C" w14:textId="77777777" w:rsidR="004378E8" w:rsidRPr="00D83C9F" w:rsidRDefault="004378E8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04B908B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5.2.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proofErr w:type="spellStart"/>
      <w:r w:rsidRPr="00D83C9F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podaci</w:t>
      </w:r>
      <w:r w:rsidR="003A7059" w:rsidRPr="00D83C9F">
        <w:rPr>
          <w:b/>
          <w:bCs/>
          <w:sz w:val="22"/>
          <w:szCs w:val="22"/>
          <w:lang w:val="sr-Latn-ME"/>
        </w:rPr>
        <w:t xml:space="preserve"> </w:t>
      </w:r>
    </w:p>
    <w:p w14:paraId="1DF5072E" w14:textId="77777777" w:rsidR="008E34CB" w:rsidRPr="00D83C9F" w:rsidRDefault="008E34C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C212BBA" w14:textId="77777777" w:rsidR="008E34CB" w:rsidRPr="00D83C9F" w:rsidRDefault="008E34CB" w:rsidP="00CE1E1D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Resorpcija</w:t>
      </w:r>
    </w:p>
    <w:p w14:paraId="7F976B5D" w14:textId="0A840D83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se brzo i kompletno resorbuje iz gastrointestinalnog trakta (srednja apsolutna </w:t>
      </w:r>
      <w:proofErr w:type="spellStart"/>
      <w:r w:rsidRPr="00D83C9F">
        <w:rPr>
          <w:sz w:val="22"/>
          <w:szCs w:val="22"/>
          <w:lang w:val="sr-Latn-ME"/>
        </w:rPr>
        <w:t>bioraspoloživost</w:t>
      </w:r>
      <w:proofErr w:type="spellEnd"/>
      <w:r w:rsidRPr="00D83C9F">
        <w:rPr>
          <w:sz w:val="22"/>
          <w:szCs w:val="22"/>
          <w:lang w:val="sr-Latn-ME"/>
        </w:rPr>
        <w:t>: 99,9%). Hrana blago smanjuje stepen resorpcije (</w:t>
      </w:r>
      <w:proofErr w:type="spellStart"/>
      <w:r w:rsidR="00894044" w:rsidRPr="00D83C9F">
        <w:rPr>
          <w:sz w:val="22"/>
          <w:szCs w:val="22"/>
          <w:lang w:val="sr-Latn-ME"/>
        </w:rPr>
        <w:t>medijana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="00510382" w:rsidRPr="00D83C9F">
        <w:rPr>
          <w:sz w:val="22"/>
          <w:szCs w:val="22"/>
          <w:lang w:val="sr-Latn-ME"/>
        </w:rPr>
        <w:t>T</w:t>
      </w:r>
      <w:r w:rsidRPr="00D83C9F">
        <w:rPr>
          <w:sz w:val="22"/>
          <w:szCs w:val="22"/>
          <w:vertAlign w:val="subscript"/>
          <w:lang w:val="sr-Latn-ME"/>
        </w:rPr>
        <w:t>max</w:t>
      </w:r>
      <w:proofErr w:type="spellEnd"/>
      <w:r w:rsidRPr="00D83C9F">
        <w:rPr>
          <w:sz w:val="22"/>
          <w:szCs w:val="22"/>
          <w:lang w:val="sr-Latn-ME"/>
        </w:rPr>
        <w:t xml:space="preserve">: 1 sat na prazan želudac prema 2 sata nakon obroka; i </w:t>
      </w:r>
      <w:proofErr w:type="spellStart"/>
      <w:r w:rsidR="00894044" w:rsidRPr="00D83C9F">
        <w:rPr>
          <w:sz w:val="22"/>
          <w:szCs w:val="22"/>
          <w:lang w:val="sr-Latn-ME"/>
        </w:rPr>
        <w:t>medijana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C</w:t>
      </w:r>
      <w:r w:rsidRPr="00D83C9F">
        <w:rPr>
          <w:sz w:val="22"/>
          <w:szCs w:val="22"/>
          <w:vertAlign w:val="subscript"/>
          <w:lang w:val="sr-Latn-ME"/>
        </w:rPr>
        <w:t>max</w:t>
      </w:r>
      <w:proofErr w:type="spellEnd"/>
      <w:r w:rsidRPr="00D83C9F">
        <w:rPr>
          <w:sz w:val="22"/>
          <w:szCs w:val="22"/>
          <w:lang w:val="sr-Latn-ME"/>
        </w:rPr>
        <w:t xml:space="preserve"> : 129 </w:t>
      </w:r>
      <w:r w:rsidRPr="00D83C9F">
        <w:rPr>
          <w:sz w:val="22"/>
          <w:szCs w:val="22"/>
          <w:lang w:val="sr-Latn-ME"/>
        </w:rPr>
        <w:sym w:font="Symbol" w:char="F0B1"/>
      </w:r>
      <w:r w:rsidRPr="00D83C9F">
        <w:rPr>
          <w:sz w:val="22"/>
          <w:szCs w:val="22"/>
          <w:lang w:val="sr-Latn-ME"/>
        </w:rPr>
        <w:t xml:space="preserve"> 20,3 </w:t>
      </w:r>
      <w:proofErr w:type="spellStart"/>
      <w:r w:rsidRPr="00D83C9F">
        <w:rPr>
          <w:sz w:val="22"/>
          <w:szCs w:val="22"/>
          <w:lang w:val="sr-Latn-ME"/>
        </w:rPr>
        <w:t>nmol</w:t>
      </w:r>
      <w:proofErr w:type="spellEnd"/>
      <w:r w:rsidRPr="00D83C9F">
        <w:rPr>
          <w:sz w:val="22"/>
          <w:szCs w:val="22"/>
          <w:lang w:val="sr-Latn-ME"/>
        </w:rPr>
        <w:t xml:space="preserve">/l na prazan želudac prema 98,7 </w:t>
      </w:r>
      <w:r w:rsidRPr="00D83C9F">
        <w:rPr>
          <w:sz w:val="22"/>
          <w:szCs w:val="22"/>
          <w:lang w:val="sr-Latn-ME"/>
        </w:rPr>
        <w:sym w:font="Symbol" w:char="F0B1"/>
      </w:r>
      <w:r w:rsidRPr="00D83C9F">
        <w:rPr>
          <w:sz w:val="22"/>
          <w:szCs w:val="22"/>
          <w:lang w:val="sr-Latn-ME"/>
        </w:rPr>
        <w:t xml:space="preserve"> 18,6 </w:t>
      </w:r>
      <w:proofErr w:type="spellStart"/>
      <w:r w:rsidRPr="00D83C9F">
        <w:rPr>
          <w:sz w:val="22"/>
          <w:szCs w:val="22"/>
          <w:lang w:val="sr-Latn-ME"/>
        </w:rPr>
        <w:t>nmol</w:t>
      </w:r>
      <w:proofErr w:type="spellEnd"/>
      <w:r w:rsidRPr="00D83C9F">
        <w:rPr>
          <w:sz w:val="22"/>
          <w:szCs w:val="22"/>
          <w:lang w:val="sr-Latn-ME"/>
        </w:rPr>
        <w:t>/l nakon obroka), ali obim resorpcije (PIK) nije izmijenjen. Smatra se da manji efekti na stepen resorpcije ni</w:t>
      </w:r>
      <w:r w:rsidR="00894044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od kliničkog značaja i zbog toga se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može uzimati nezavisno od obroka.</w:t>
      </w:r>
    </w:p>
    <w:p w14:paraId="26622712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79C738BA" w14:textId="77777777" w:rsidR="009F06C2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bCs/>
          <w:sz w:val="22"/>
          <w:szCs w:val="22"/>
          <w:u w:val="single"/>
          <w:lang w:val="sr-Latn-ME"/>
        </w:rPr>
      </w:pPr>
      <w:r w:rsidRPr="00D83C9F">
        <w:rPr>
          <w:bCs/>
          <w:sz w:val="22"/>
          <w:szCs w:val="22"/>
          <w:u w:val="single"/>
          <w:lang w:val="sr-Latn-ME"/>
        </w:rPr>
        <w:t>Distribucija</w:t>
      </w:r>
    </w:p>
    <w:p w14:paraId="2501A74D" w14:textId="07070454" w:rsidR="009F06C2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Procenat vezivanja za proteine plazme je oko 60%, uglavnom za albumin (55%). Koncentracija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u </w:t>
      </w:r>
      <w:proofErr w:type="spellStart"/>
      <w:r w:rsidRPr="00D83C9F">
        <w:rPr>
          <w:sz w:val="22"/>
          <w:szCs w:val="22"/>
          <w:lang w:val="sr-Latn-ME"/>
        </w:rPr>
        <w:t>eritrocitima</w:t>
      </w:r>
      <w:proofErr w:type="spellEnd"/>
      <w:r w:rsidRPr="00D83C9F">
        <w:rPr>
          <w:sz w:val="22"/>
          <w:szCs w:val="22"/>
          <w:lang w:val="sr-Latn-ME"/>
        </w:rPr>
        <w:t xml:space="preserve"> je oko 80% u odnosu na koncentraciju u plazmi. Nakon primjene 2,5mg </w:t>
      </w:r>
      <w:r w:rsidRPr="00D83C9F">
        <w:rPr>
          <w:sz w:val="22"/>
          <w:szCs w:val="22"/>
          <w:vertAlign w:val="superscript"/>
          <w:lang w:val="sr-Latn-ME"/>
        </w:rPr>
        <w:t>14</w:t>
      </w:r>
      <w:r w:rsidRPr="00D83C9F">
        <w:rPr>
          <w:sz w:val="22"/>
          <w:szCs w:val="22"/>
          <w:lang w:val="sr-Latn-ME"/>
        </w:rPr>
        <w:t xml:space="preserve">C-obilježenog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, približno 82% radioaktivnosti u plazmi poticalo je od </w:t>
      </w:r>
      <w:proofErr w:type="spellStart"/>
      <w:r w:rsidRPr="00D83C9F">
        <w:rPr>
          <w:sz w:val="22"/>
          <w:szCs w:val="22"/>
          <w:lang w:val="sr-Latn-ME"/>
        </w:rPr>
        <w:t>neizmijenjenog</w:t>
      </w:r>
      <w:proofErr w:type="spellEnd"/>
      <w:r w:rsidRPr="00D83C9F">
        <w:rPr>
          <w:sz w:val="22"/>
          <w:szCs w:val="22"/>
          <w:lang w:val="sr-Latn-ME"/>
        </w:rPr>
        <w:t xml:space="preserve"> jedinjenja, zbog čega je sistemska izloženost </w:t>
      </w:r>
      <w:proofErr w:type="spellStart"/>
      <w:r w:rsidRPr="00D83C9F">
        <w:rPr>
          <w:sz w:val="22"/>
          <w:szCs w:val="22"/>
          <w:lang w:val="sr-Latn-ME"/>
        </w:rPr>
        <w:t>metabolit</w:t>
      </w:r>
      <w:r w:rsidR="005F4053" w:rsidRPr="00D83C9F">
        <w:rPr>
          <w:sz w:val="22"/>
          <w:szCs w:val="22"/>
          <w:lang w:val="sr-Latn-ME"/>
        </w:rPr>
        <w:t>ima</w:t>
      </w:r>
      <w:proofErr w:type="spellEnd"/>
      <w:r w:rsidR="005F4053" w:rsidRPr="00D83C9F">
        <w:rPr>
          <w:sz w:val="22"/>
          <w:szCs w:val="22"/>
          <w:lang w:val="sr-Latn-ME"/>
        </w:rPr>
        <w:t xml:space="preserve"> neznatna</w:t>
      </w:r>
      <w:r w:rsidRPr="00D83C9F">
        <w:rPr>
          <w:sz w:val="22"/>
          <w:szCs w:val="22"/>
          <w:lang w:val="sr-Latn-ME"/>
        </w:rPr>
        <w:t xml:space="preserve">.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se brzo i u velikoj mjeri distribuira u tkiva. Njegov volumen distribucije u ravnotežnom stanju je oko 1,87 </w:t>
      </w:r>
      <w:r w:rsidRPr="00D83C9F">
        <w:rPr>
          <w:sz w:val="22"/>
          <w:szCs w:val="22"/>
          <w:lang w:val="sr-Latn-ME"/>
        </w:rPr>
        <w:sym w:font="Symbol" w:char="F0B1"/>
      </w:r>
      <w:r w:rsidR="00894044" w:rsidRPr="00D83C9F">
        <w:rPr>
          <w:sz w:val="22"/>
          <w:szCs w:val="22"/>
          <w:lang w:val="sr-Latn-ME"/>
        </w:rPr>
        <w:t xml:space="preserve"> 0,47 l</w:t>
      </w:r>
      <w:r w:rsidRPr="00D83C9F">
        <w:rPr>
          <w:sz w:val="22"/>
          <w:szCs w:val="22"/>
          <w:lang w:val="sr-Latn-ME"/>
        </w:rPr>
        <w:t xml:space="preserve">/kg.     </w:t>
      </w:r>
    </w:p>
    <w:p w14:paraId="163C5FB6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4453DD8A" w14:textId="77777777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D83C9F">
        <w:rPr>
          <w:bCs/>
          <w:sz w:val="22"/>
          <w:szCs w:val="22"/>
          <w:u w:val="single"/>
          <w:lang w:val="sr-Latn-ME"/>
        </w:rPr>
        <w:t>Biotransformacija</w:t>
      </w:r>
      <w:proofErr w:type="spellEnd"/>
    </w:p>
    <w:p w14:paraId="6066C3A2" w14:textId="63AE5F6F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Metabolički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klirens</w:t>
      </w:r>
      <w:proofErr w:type="spellEnd"/>
      <w:r w:rsidRPr="00D83C9F">
        <w:rPr>
          <w:sz w:val="22"/>
          <w:szCs w:val="22"/>
          <w:lang w:val="sr-Latn-ME"/>
        </w:rPr>
        <w:t xml:space="preserve"> do farmakološki </w:t>
      </w:r>
      <w:proofErr w:type="spellStart"/>
      <w:r w:rsidRPr="00D83C9F">
        <w:rPr>
          <w:sz w:val="22"/>
          <w:szCs w:val="22"/>
          <w:lang w:val="sr-Latn-ME"/>
        </w:rPr>
        <w:t>inaktivnog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karbinol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metabolita</w:t>
      </w:r>
      <w:proofErr w:type="spellEnd"/>
      <w:r w:rsidRPr="00D83C9F">
        <w:rPr>
          <w:sz w:val="22"/>
          <w:szCs w:val="22"/>
          <w:lang w:val="sr-Latn-ME"/>
        </w:rPr>
        <w:t xml:space="preserve"> je glavni put eliminacije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(</w:t>
      </w:r>
      <w:proofErr w:type="spellStart"/>
      <w:r w:rsidRPr="00D83C9F">
        <w:rPr>
          <w:sz w:val="22"/>
          <w:szCs w:val="22"/>
          <w:lang w:val="sr-Latn-ME"/>
        </w:rPr>
        <w:t>CL</w:t>
      </w:r>
      <w:r w:rsidRPr="00D83C9F">
        <w:rPr>
          <w:sz w:val="22"/>
          <w:szCs w:val="22"/>
          <w:vertAlign w:val="subscript"/>
          <w:lang w:val="sr-Latn-ME"/>
        </w:rPr>
        <w:t>m</w:t>
      </w:r>
      <w:proofErr w:type="spellEnd"/>
      <w:r w:rsidRPr="00D83C9F">
        <w:rPr>
          <w:sz w:val="22"/>
          <w:szCs w:val="22"/>
          <w:lang w:val="sr-Latn-ME"/>
        </w:rPr>
        <w:t xml:space="preserve">=2,1 </w:t>
      </w:r>
      <w:r w:rsidR="00894044" w:rsidRPr="00D83C9F">
        <w:rPr>
          <w:sz w:val="22"/>
          <w:szCs w:val="22"/>
          <w:lang w:val="sr-Latn-ME"/>
        </w:rPr>
        <w:t>l</w:t>
      </w:r>
      <w:r w:rsidRPr="00D83C9F">
        <w:rPr>
          <w:sz w:val="22"/>
          <w:szCs w:val="22"/>
          <w:lang w:val="sr-Latn-ME"/>
        </w:rPr>
        <w:t xml:space="preserve">/h) ali je relativno spor u poređenju sa protokom krvi kroz jetru (oko 90 </w:t>
      </w:r>
      <w:r w:rsidR="00894044" w:rsidRPr="00D83C9F">
        <w:rPr>
          <w:sz w:val="22"/>
          <w:szCs w:val="22"/>
          <w:lang w:val="sr-Latn-ME"/>
        </w:rPr>
        <w:t>l</w:t>
      </w:r>
      <w:r w:rsidRPr="00D83C9F">
        <w:rPr>
          <w:sz w:val="22"/>
          <w:szCs w:val="22"/>
          <w:lang w:val="sr-Latn-ME"/>
        </w:rPr>
        <w:t xml:space="preserve">/h). Pokazano je da su </w:t>
      </w:r>
      <w:proofErr w:type="spellStart"/>
      <w:r w:rsidRPr="00D83C9F">
        <w:rPr>
          <w:sz w:val="22"/>
          <w:szCs w:val="22"/>
          <w:lang w:val="sr-Latn-ME"/>
        </w:rPr>
        <w:t>izoenzimi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citohroma</w:t>
      </w:r>
      <w:proofErr w:type="spellEnd"/>
      <w:r w:rsidRPr="00D83C9F">
        <w:rPr>
          <w:sz w:val="22"/>
          <w:szCs w:val="22"/>
          <w:lang w:val="sr-Latn-ME"/>
        </w:rPr>
        <w:t xml:space="preserve"> P450 3A4 i 2A6 sposobni da konvertuju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do njegovog </w:t>
      </w:r>
      <w:proofErr w:type="spellStart"/>
      <w:r w:rsidRPr="00D83C9F">
        <w:rPr>
          <w:sz w:val="22"/>
          <w:szCs w:val="22"/>
          <w:lang w:val="sr-Latn-ME"/>
        </w:rPr>
        <w:t>metabolita</w:t>
      </w:r>
      <w:proofErr w:type="spellEnd"/>
      <w:r w:rsidRPr="00D83C9F">
        <w:rPr>
          <w:sz w:val="22"/>
          <w:szCs w:val="22"/>
          <w:lang w:val="sr-Latn-ME"/>
        </w:rPr>
        <w:t xml:space="preserve">. Formiranje manjih neidentifikovanih </w:t>
      </w:r>
      <w:proofErr w:type="spellStart"/>
      <w:r w:rsidRPr="00D83C9F">
        <w:rPr>
          <w:sz w:val="22"/>
          <w:szCs w:val="22"/>
          <w:lang w:val="sr-Latn-ME"/>
        </w:rPr>
        <w:t>metabolita</w:t>
      </w:r>
      <w:proofErr w:type="spellEnd"/>
      <w:r w:rsidRPr="00D83C9F">
        <w:rPr>
          <w:sz w:val="22"/>
          <w:szCs w:val="22"/>
          <w:lang w:val="sr-Latn-ME"/>
        </w:rPr>
        <w:t xml:space="preserve"> i direktna </w:t>
      </w:r>
      <w:proofErr w:type="spellStart"/>
      <w:r w:rsidRPr="00D83C9F">
        <w:rPr>
          <w:sz w:val="22"/>
          <w:szCs w:val="22"/>
          <w:lang w:val="sr-Latn-ME"/>
        </w:rPr>
        <w:t>renalna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fekalna</w:t>
      </w:r>
      <w:proofErr w:type="spellEnd"/>
      <w:r w:rsidRPr="00D83C9F">
        <w:rPr>
          <w:sz w:val="22"/>
          <w:szCs w:val="22"/>
          <w:lang w:val="sr-Latn-ME"/>
        </w:rPr>
        <w:t xml:space="preserve"> ekskrecija igra samo malu ulogu u ukupnoj eliminaciji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. Tokom 2 nedjelje nakon primjene 2,5mg </w:t>
      </w:r>
      <w:r w:rsidRPr="00D83C9F">
        <w:rPr>
          <w:sz w:val="22"/>
          <w:szCs w:val="22"/>
          <w:vertAlign w:val="superscript"/>
          <w:lang w:val="sr-Latn-ME"/>
        </w:rPr>
        <w:t>14</w:t>
      </w:r>
      <w:r w:rsidRPr="00D83C9F">
        <w:rPr>
          <w:sz w:val="22"/>
          <w:szCs w:val="22"/>
          <w:lang w:val="sr-Latn-ME"/>
        </w:rPr>
        <w:t xml:space="preserve">C-obilježenog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kod zdravih dobrovoljaca u </w:t>
      </w:r>
      <w:proofErr w:type="spellStart"/>
      <w:r w:rsidRPr="00D83C9F">
        <w:rPr>
          <w:sz w:val="22"/>
          <w:szCs w:val="22"/>
          <w:lang w:val="sr-Latn-ME"/>
        </w:rPr>
        <w:t>postmenopauzi</w:t>
      </w:r>
      <w:proofErr w:type="spellEnd"/>
      <w:r w:rsidRPr="00D83C9F">
        <w:rPr>
          <w:sz w:val="22"/>
          <w:szCs w:val="22"/>
          <w:lang w:val="sr-Latn-ME"/>
        </w:rPr>
        <w:t xml:space="preserve">, 88,2 </w:t>
      </w:r>
      <w:r w:rsidRPr="00D83C9F">
        <w:rPr>
          <w:sz w:val="22"/>
          <w:szCs w:val="22"/>
          <w:lang w:val="sr-Latn-ME"/>
        </w:rPr>
        <w:sym w:font="Symbol" w:char="F0B1"/>
      </w:r>
      <w:r w:rsidRPr="00D83C9F">
        <w:rPr>
          <w:sz w:val="22"/>
          <w:szCs w:val="22"/>
          <w:lang w:val="sr-Latn-ME"/>
        </w:rPr>
        <w:t xml:space="preserve">7,6% radioaktivnosti se pojavilo u urinu i 3,8 </w:t>
      </w:r>
      <w:r w:rsidRPr="00D83C9F">
        <w:rPr>
          <w:sz w:val="22"/>
          <w:szCs w:val="22"/>
          <w:lang w:val="sr-Latn-ME"/>
        </w:rPr>
        <w:sym w:font="Symbol" w:char="F0B1"/>
      </w:r>
      <w:r w:rsidRPr="00D83C9F">
        <w:rPr>
          <w:sz w:val="22"/>
          <w:szCs w:val="22"/>
          <w:lang w:val="sr-Latn-ME"/>
        </w:rPr>
        <w:t xml:space="preserve">0,9% u </w:t>
      </w:r>
      <w:proofErr w:type="spellStart"/>
      <w:r w:rsidRPr="00D83C9F">
        <w:rPr>
          <w:sz w:val="22"/>
          <w:szCs w:val="22"/>
          <w:lang w:val="sr-Latn-ME"/>
        </w:rPr>
        <w:t>fecesu</w:t>
      </w:r>
      <w:proofErr w:type="spellEnd"/>
      <w:r w:rsidRPr="00D83C9F">
        <w:rPr>
          <w:sz w:val="22"/>
          <w:szCs w:val="22"/>
          <w:lang w:val="sr-Latn-ME"/>
        </w:rPr>
        <w:t>. Najmanje 75% radioaktivnosti koja se pojavila u urinu do 216 sati (84,7</w:t>
      </w:r>
      <w:r w:rsidRPr="00D83C9F">
        <w:rPr>
          <w:sz w:val="22"/>
          <w:szCs w:val="22"/>
          <w:lang w:val="sr-Latn-ME"/>
        </w:rPr>
        <w:sym w:font="Symbol" w:char="F0B1"/>
      </w:r>
      <w:r w:rsidRPr="00D83C9F">
        <w:rPr>
          <w:sz w:val="22"/>
          <w:szCs w:val="22"/>
          <w:lang w:val="sr-Latn-ME"/>
        </w:rPr>
        <w:t>7,8%</w:t>
      </w:r>
      <w:r w:rsidR="00A34C84" w:rsidRPr="00D83C9F">
        <w:rPr>
          <w:sz w:val="22"/>
          <w:szCs w:val="22"/>
          <w:lang w:val="sr-Latn-ME"/>
        </w:rPr>
        <w:t xml:space="preserve"> doze</w:t>
      </w:r>
      <w:r w:rsidRPr="00D83C9F">
        <w:rPr>
          <w:sz w:val="22"/>
          <w:szCs w:val="22"/>
          <w:lang w:val="sr-Latn-ME"/>
        </w:rPr>
        <w:t xml:space="preserve">) je pripisana </w:t>
      </w:r>
      <w:proofErr w:type="spellStart"/>
      <w:r w:rsidRPr="00D83C9F">
        <w:rPr>
          <w:sz w:val="22"/>
          <w:szCs w:val="22"/>
          <w:lang w:val="sr-Latn-ME"/>
        </w:rPr>
        <w:t>glukuronidu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karbinol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metabolita</w:t>
      </w:r>
      <w:proofErr w:type="spellEnd"/>
      <w:r w:rsidRPr="00D83C9F">
        <w:rPr>
          <w:sz w:val="22"/>
          <w:szCs w:val="22"/>
          <w:lang w:val="sr-Latn-ME"/>
        </w:rPr>
        <w:t xml:space="preserve">, oko 9% dvoma neidentifikovanim </w:t>
      </w:r>
      <w:proofErr w:type="spellStart"/>
      <w:r w:rsidRPr="00D83C9F">
        <w:rPr>
          <w:sz w:val="22"/>
          <w:szCs w:val="22"/>
          <w:lang w:val="sr-Latn-ME"/>
        </w:rPr>
        <w:t>metabolitima</w:t>
      </w:r>
      <w:proofErr w:type="spellEnd"/>
      <w:r w:rsidRPr="00D83C9F">
        <w:rPr>
          <w:sz w:val="22"/>
          <w:szCs w:val="22"/>
          <w:lang w:val="sr-Latn-ME"/>
        </w:rPr>
        <w:t xml:space="preserve"> i 6% </w:t>
      </w:r>
      <w:proofErr w:type="spellStart"/>
      <w:r w:rsidRPr="00D83C9F">
        <w:rPr>
          <w:sz w:val="22"/>
          <w:szCs w:val="22"/>
          <w:lang w:val="sr-Latn-ME"/>
        </w:rPr>
        <w:t>neizmijenjenom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letrozolu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69B5CA13" w14:textId="77777777" w:rsidR="00A34C84" w:rsidRPr="00D83C9F" w:rsidRDefault="00A34C84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616C0926" w14:textId="77777777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bCs/>
          <w:sz w:val="22"/>
          <w:szCs w:val="22"/>
          <w:u w:val="single"/>
          <w:lang w:val="sr-Latn-ME"/>
        </w:rPr>
      </w:pPr>
      <w:r w:rsidRPr="00D83C9F">
        <w:rPr>
          <w:bCs/>
          <w:sz w:val="22"/>
          <w:szCs w:val="22"/>
          <w:u w:val="single"/>
          <w:lang w:val="sr-Latn-ME"/>
        </w:rPr>
        <w:t>Eliminacija</w:t>
      </w:r>
    </w:p>
    <w:p w14:paraId="08A7D4D8" w14:textId="29D87CE8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Prividno poluvrijeme eliminacije u plazmi je 2 do 4 dana. </w:t>
      </w:r>
      <w:r w:rsidR="003874BD" w:rsidRPr="00D83C9F">
        <w:rPr>
          <w:sz w:val="22"/>
          <w:szCs w:val="22"/>
          <w:lang w:val="sr-Latn-ME"/>
        </w:rPr>
        <w:t>Uz svakodnevnu</w:t>
      </w:r>
      <w:r w:rsidRPr="00D83C9F">
        <w:rPr>
          <w:sz w:val="22"/>
          <w:szCs w:val="22"/>
          <w:lang w:val="sr-Latn-ME"/>
        </w:rPr>
        <w:t xml:space="preserve"> primjen</w:t>
      </w:r>
      <w:r w:rsidR="003874BD" w:rsidRPr="00D83C9F">
        <w:rPr>
          <w:sz w:val="22"/>
          <w:szCs w:val="22"/>
          <w:lang w:val="sr-Latn-ME"/>
        </w:rPr>
        <w:t>u</w:t>
      </w:r>
      <w:r w:rsidRPr="00D83C9F">
        <w:rPr>
          <w:sz w:val="22"/>
          <w:szCs w:val="22"/>
          <w:lang w:val="sr-Latn-ME"/>
        </w:rPr>
        <w:t xml:space="preserve"> 2,5</w:t>
      </w:r>
      <w:r w:rsidR="0089404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mg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r w:rsidR="003874BD" w:rsidRPr="00D83C9F">
        <w:rPr>
          <w:sz w:val="22"/>
          <w:szCs w:val="22"/>
          <w:lang w:val="sr-Latn-ME"/>
        </w:rPr>
        <w:t xml:space="preserve">postižu se uravnotežene koncentracije </w:t>
      </w:r>
      <w:r w:rsidRPr="00D83C9F">
        <w:rPr>
          <w:sz w:val="22"/>
          <w:szCs w:val="22"/>
          <w:lang w:val="sr-Latn-ME"/>
        </w:rPr>
        <w:t xml:space="preserve">u periodu od 2-6 nedjelja. Koncentracije u plazmi u stanju </w:t>
      </w:r>
      <w:r w:rsidRPr="00D83C9F">
        <w:rPr>
          <w:sz w:val="22"/>
          <w:szCs w:val="22"/>
          <w:lang w:val="sr-Latn-ME"/>
        </w:rPr>
        <w:lastRenderedPageBreak/>
        <w:t>ravnoteže su oko 7 puta veće od koncentracija izmjerenih nakon primjene jedne doze od 2,5</w:t>
      </w:r>
      <w:r w:rsidR="0089404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mg, dok su 1,5 do 2 puta veće od vrijednosti u ravnotežnom stanju predviđenih na osnovu mjerenja koncentracija nakon primjene jedne doze, ukazujući na blagu </w:t>
      </w:r>
      <w:proofErr w:type="spellStart"/>
      <w:r w:rsidRPr="00D83C9F">
        <w:rPr>
          <w:sz w:val="22"/>
          <w:szCs w:val="22"/>
          <w:lang w:val="sr-Latn-ME"/>
        </w:rPr>
        <w:t>nelinearnost</w:t>
      </w:r>
      <w:proofErr w:type="spellEnd"/>
      <w:r w:rsidRPr="00D83C9F">
        <w:rPr>
          <w:sz w:val="22"/>
          <w:szCs w:val="22"/>
          <w:lang w:val="sr-Latn-ME"/>
        </w:rPr>
        <w:t xml:space="preserve"> u </w:t>
      </w:r>
      <w:proofErr w:type="spellStart"/>
      <w:r w:rsidRPr="00D83C9F">
        <w:rPr>
          <w:sz w:val="22"/>
          <w:szCs w:val="22"/>
          <w:lang w:val="sr-Latn-ME"/>
        </w:rPr>
        <w:t>farmakokinetici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u</w:t>
      </w:r>
      <w:r w:rsidR="003874BD" w:rsidRPr="00D83C9F">
        <w:rPr>
          <w:sz w:val="22"/>
          <w:szCs w:val="22"/>
          <w:lang w:val="sr-Latn-ME"/>
        </w:rPr>
        <w:t>z</w:t>
      </w:r>
      <w:r w:rsidRPr="00D83C9F">
        <w:rPr>
          <w:sz w:val="22"/>
          <w:szCs w:val="22"/>
          <w:lang w:val="sr-Latn-ME"/>
        </w:rPr>
        <w:t xml:space="preserve"> dnevn</w:t>
      </w:r>
      <w:r w:rsidR="003874BD" w:rsidRPr="00D83C9F">
        <w:rPr>
          <w:sz w:val="22"/>
          <w:szCs w:val="22"/>
          <w:lang w:val="sr-Latn-ME"/>
        </w:rPr>
        <w:t>u</w:t>
      </w:r>
      <w:r w:rsidRPr="00D83C9F">
        <w:rPr>
          <w:sz w:val="22"/>
          <w:szCs w:val="22"/>
          <w:lang w:val="sr-Latn-ME"/>
        </w:rPr>
        <w:t xml:space="preserve"> primjen</w:t>
      </w:r>
      <w:r w:rsidR="003874BD" w:rsidRPr="00D83C9F">
        <w:rPr>
          <w:sz w:val="22"/>
          <w:szCs w:val="22"/>
          <w:lang w:val="sr-Latn-ME"/>
        </w:rPr>
        <w:t>u</w:t>
      </w:r>
      <w:r w:rsidRPr="00D83C9F">
        <w:rPr>
          <w:sz w:val="22"/>
          <w:szCs w:val="22"/>
          <w:lang w:val="sr-Latn-ME"/>
        </w:rPr>
        <w:t xml:space="preserve"> od 2,5</w:t>
      </w:r>
      <w:r w:rsidR="00894044" w:rsidRPr="00D83C9F">
        <w:rPr>
          <w:sz w:val="22"/>
          <w:szCs w:val="22"/>
          <w:lang w:val="sr-Latn-ME"/>
        </w:rPr>
        <w:t xml:space="preserve"> </w:t>
      </w:r>
      <w:r w:rsidRPr="00D83C9F">
        <w:rPr>
          <w:sz w:val="22"/>
          <w:szCs w:val="22"/>
          <w:lang w:val="sr-Latn-ME"/>
        </w:rPr>
        <w:t xml:space="preserve">mg. </w:t>
      </w:r>
      <w:r w:rsidR="003874BD" w:rsidRPr="00D83C9F">
        <w:rPr>
          <w:sz w:val="22"/>
          <w:szCs w:val="22"/>
          <w:lang w:val="sr-Latn-ME"/>
        </w:rPr>
        <w:t>O</w:t>
      </w:r>
      <w:r w:rsidRPr="00D83C9F">
        <w:rPr>
          <w:sz w:val="22"/>
          <w:szCs w:val="22"/>
          <w:lang w:val="sr-Latn-ME"/>
        </w:rPr>
        <w:t xml:space="preserve">bzirom da se </w:t>
      </w:r>
      <w:r w:rsidR="003874BD" w:rsidRPr="00D83C9F">
        <w:rPr>
          <w:sz w:val="22"/>
          <w:szCs w:val="22"/>
          <w:lang w:val="sr-Latn-ME"/>
        </w:rPr>
        <w:t>u</w:t>
      </w:r>
      <w:r w:rsidRPr="00D83C9F">
        <w:rPr>
          <w:sz w:val="22"/>
          <w:szCs w:val="22"/>
          <w:lang w:val="sr-Latn-ME"/>
        </w:rPr>
        <w:t>ravnotež</w:t>
      </w:r>
      <w:r w:rsidR="003874BD" w:rsidRPr="00D83C9F">
        <w:rPr>
          <w:sz w:val="22"/>
          <w:szCs w:val="22"/>
          <w:lang w:val="sr-Latn-ME"/>
        </w:rPr>
        <w:t>e</w:t>
      </w:r>
      <w:r w:rsidRPr="00D83C9F">
        <w:rPr>
          <w:sz w:val="22"/>
          <w:szCs w:val="22"/>
          <w:lang w:val="sr-Latn-ME"/>
        </w:rPr>
        <w:t xml:space="preserve">ne koncentracije </w:t>
      </w:r>
      <w:r w:rsidR="003874BD" w:rsidRPr="00D83C9F">
        <w:rPr>
          <w:sz w:val="22"/>
          <w:szCs w:val="22"/>
          <w:lang w:val="sr-Latn-ME"/>
        </w:rPr>
        <w:t>ne mijenjaju</w:t>
      </w:r>
      <w:r w:rsidRPr="00D83C9F">
        <w:rPr>
          <w:sz w:val="22"/>
          <w:szCs w:val="22"/>
          <w:lang w:val="sr-Latn-ME"/>
        </w:rPr>
        <w:t xml:space="preserve"> tokom </w:t>
      </w:r>
      <w:proofErr w:type="spellStart"/>
      <w:r w:rsidRPr="00D83C9F">
        <w:rPr>
          <w:sz w:val="22"/>
          <w:szCs w:val="22"/>
          <w:lang w:val="sr-Latn-ME"/>
        </w:rPr>
        <w:t>vremena</w:t>
      </w:r>
      <w:proofErr w:type="spellEnd"/>
      <w:r w:rsidRPr="00D83C9F">
        <w:rPr>
          <w:sz w:val="22"/>
          <w:szCs w:val="22"/>
          <w:lang w:val="sr-Latn-ME"/>
        </w:rPr>
        <w:t xml:space="preserve">, može se zaključiti da ne dolazi do kontinuirane akumulacija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0675A06E" w14:textId="77777777" w:rsidR="003874BD" w:rsidRPr="00D83C9F" w:rsidRDefault="003874BD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299D145F" w14:textId="77777777" w:rsidR="008E34CB" w:rsidRPr="00D83C9F" w:rsidRDefault="008E34CB" w:rsidP="00CE1E1D">
      <w:pPr>
        <w:jc w:val="both"/>
        <w:rPr>
          <w:bCs/>
          <w:sz w:val="22"/>
          <w:szCs w:val="22"/>
          <w:u w:val="single"/>
          <w:lang w:val="sr-Latn-ME" w:eastAsia="sr-Latn-ME"/>
        </w:rPr>
      </w:pPr>
      <w:proofErr w:type="spellStart"/>
      <w:r w:rsidRPr="00D83C9F">
        <w:rPr>
          <w:bCs/>
          <w:sz w:val="22"/>
          <w:szCs w:val="22"/>
          <w:u w:val="single"/>
          <w:lang w:val="sr-Latn-ME" w:eastAsia="sr-Latn-ME"/>
        </w:rPr>
        <w:t>Linearnost</w:t>
      </w:r>
      <w:proofErr w:type="spellEnd"/>
      <w:r w:rsidRPr="00D83C9F">
        <w:rPr>
          <w:bCs/>
          <w:sz w:val="22"/>
          <w:szCs w:val="22"/>
          <w:u w:val="single"/>
          <w:lang w:val="sr-Latn-ME" w:eastAsia="sr-Latn-ME"/>
        </w:rPr>
        <w:t>/</w:t>
      </w:r>
      <w:proofErr w:type="spellStart"/>
      <w:r w:rsidRPr="00D83C9F">
        <w:rPr>
          <w:bCs/>
          <w:sz w:val="22"/>
          <w:szCs w:val="22"/>
          <w:u w:val="single"/>
          <w:lang w:val="sr-Latn-ME" w:eastAsia="sr-Latn-ME"/>
        </w:rPr>
        <w:t>nelinearnost</w:t>
      </w:r>
      <w:proofErr w:type="spellEnd"/>
      <w:r w:rsidRPr="00D83C9F">
        <w:rPr>
          <w:bCs/>
          <w:sz w:val="22"/>
          <w:szCs w:val="22"/>
          <w:u w:val="single"/>
          <w:lang w:val="sr-Latn-ME" w:eastAsia="sr-Latn-ME"/>
        </w:rPr>
        <w:t xml:space="preserve"> </w:t>
      </w:r>
    </w:p>
    <w:p w14:paraId="67B5A92C" w14:textId="0DBDCC84" w:rsidR="00242EAD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 w:eastAsia="sr-Latn-ME"/>
        </w:rPr>
      </w:pPr>
      <w:proofErr w:type="spellStart"/>
      <w:r w:rsidRPr="00D83C9F">
        <w:rPr>
          <w:sz w:val="22"/>
          <w:szCs w:val="22"/>
          <w:lang w:val="sr-Latn-ME" w:eastAsia="sr-Latn-ME"/>
        </w:rPr>
        <w:t>Farmakokinetika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</w:t>
      </w:r>
      <w:proofErr w:type="spellStart"/>
      <w:r w:rsidRPr="00D83C9F">
        <w:rPr>
          <w:sz w:val="22"/>
          <w:szCs w:val="22"/>
          <w:lang w:val="sr-Latn-ME" w:eastAsia="sr-Latn-ME"/>
        </w:rPr>
        <w:t>letrozola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bila je proporcionalna dozi nakon jednokratnih oralnih doza do 10 mg (raspon doza: 0,01 do 30 mg) te nakon dnevnih doza do 1,0 mg (raspon doza: 0,1 do 5 mg). Nakon jednokratne oralne doze od 30 mg došlo je do blagog povećanja PIK vrijednosti prekomjerno proporcionalnog dozi. Prekomjerna proporcionalnost u odnosu na dozu vjerovatno je rezultat zasićenja procesa </w:t>
      </w:r>
      <w:proofErr w:type="spellStart"/>
      <w:r w:rsidRPr="00D83C9F">
        <w:rPr>
          <w:sz w:val="22"/>
          <w:szCs w:val="22"/>
          <w:lang w:val="sr-Latn-ME" w:eastAsia="sr-Latn-ME"/>
        </w:rPr>
        <w:t>metaboličke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eliminacije. Nivoi u stanju dinamičke ravnoteže bili su postignuti nakon 1 do 2 mjeseca u svim ispitivanim režimima doziranja (0,1-5,0 mg dnevno).</w:t>
      </w:r>
    </w:p>
    <w:p w14:paraId="455BAAFC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 w:eastAsia="sr-Latn-ME"/>
        </w:rPr>
      </w:pPr>
    </w:p>
    <w:p w14:paraId="0925C22E" w14:textId="18985C8C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u w:val="single"/>
          <w:lang w:val="sr-Latn-ME"/>
        </w:rPr>
      </w:pPr>
      <w:r w:rsidRPr="00D83C9F">
        <w:rPr>
          <w:sz w:val="22"/>
          <w:szCs w:val="22"/>
          <w:u w:val="single"/>
          <w:lang w:val="sr-Latn-ME"/>
        </w:rPr>
        <w:t>Posebne populacije</w:t>
      </w:r>
    </w:p>
    <w:p w14:paraId="28231B50" w14:textId="77777777" w:rsidR="00684660" w:rsidRPr="00D83C9F" w:rsidRDefault="00684660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u w:val="single"/>
          <w:lang w:val="sr-Latn-ME"/>
        </w:rPr>
      </w:pPr>
    </w:p>
    <w:p w14:paraId="08972513" w14:textId="77777777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>Stariji pacijenti</w:t>
      </w:r>
    </w:p>
    <w:p w14:paraId="2BFF8103" w14:textId="39865447" w:rsidR="008E34CB" w:rsidRPr="00D83C9F" w:rsidRDefault="008E34CB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Životna dob nema uticaja na </w:t>
      </w:r>
      <w:proofErr w:type="spellStart"/>
      <w:r w:rsidRPr="00D83C9F">
        <w:rPr>
          <w:sz w:val="22"/>
          <w:szCs w:val="22"/>
          <w:lang w:val="sr-Latn-ME"/>
        </w:rPr>
        <w:t>farmakokinetiku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>.</w:t>
      </w:r>
    </w:p>
    <w:p w14:paraId="715C000E" w14:textId="77777777" w:rsidR="00355C3A" w:rsidRPr="00D83C9F" w:rsidRDefault="00355C3A" w:rsidP="00CE1E1D">
      <w:pPr>
        <w:pStyle w:val="BodyTextIndent3"/>
        <w:tabs>
          <w:tab w:val="left" w:pos="284"/>
        </w:tabs>
        <w:spacing w:after="0"/>
        <w:ind w:left="0"/>
        <w:jc w:val="both"/>
        <w:rPr>
          <w:sz w:val="22"/>
          <w:szCs w:val="22"/>
          <w:lang w:val="sr-Latn-ME"/>
        </w:rPr>
      </w:pPr>
    </w:p>
    <w:p w14:paraId="040509A4" w14:textId="5B95F7DF" w:rsidR="008E34CB" w:rsidRPr="00D83C9F" w:rsidRDefault="008E34CB" w:rsidP="00CE1E1D">
      <w:pPr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>Oštećenje</w:t>
      </w:r>
      <w:r w:rsidR="00355C3A" w:rsidRPr="00D83C9F">
        <w:rPr>
          <w:i/>
          <w:sz w:val="22"/>
          <w:szCs w:val="22"/>
          <w:lang w:val="sr-Latn-ME"/>
        </w:rPr>
        <w:t xml:space="preserve"> funkcije</w:t>
      </w:r>
      <w:r w:rsidRPr="00D83C9F">
        <w:rPr>
          <w:i/>
          <w:sz w:val="22"/>
          <w:szCs w:val="22"/>
          <w:lang w:val="sr-Latn-ME"/>
        </w:rPr>
        <w:t xml:space="preserve"> bubrega</w:t>
      </w:r>
    </w:p>
    <w:p w14:paraId="504F78DF" w14:textId="07CD34EB" w:rsidR="008E34CB" w:rsidRPr="00D83C9F" w:rsidRDefault="008E34CB" w:rsidP="00CE1E1D">
      <w:pPr>
        <w:jc w:val="both"/>
        <w:rPr>
          <w:sz w:val="22"/>
          <w:szCs w:val="22"/>
          <w:lang w:val="sr-Latn-ME" w:eastAsia="sr-Latn-ME"/>
        </w:rPr>
      </w:pPr>
      <w:r w:rsidRPr="00D83C9F">
        <w:rPr>
          <w:sz w:val="22"/>
          <w:szCs w:val="22"/>
          <w:lang w:val="sr-Latn-ME"/>
        </w:rPr>
        <w:t xml:space="preserve">U studiji koja je uključivala 19 dobrovoljaca sa različitim stepenom funkcije bubrega (24-časovni </w:t>
      </w:r>
      <w:proofErr w:type="spellStart"/>
      <w:r w:rsidRPr="00D83C9F">
        <w:rPr>
          <w:sz w:val="22"/>
          <w:szCs w:val="22"/>
          <w:lang w:val="sr-Latn-ME"/>
        </w:rPr>
        <w:t>klirens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kreatinina</w:t>
      </w:r>
      <w:proofErr w:type="spellEnd"/>
      <w:r w:rsidRPr="00D83C9F">
        <w:rPr>
          <w:sz w:val="22"/>
          <w:szCs w:val="22"/>
          <w:lang w:val="sr-Latn-ME"/>
        </w:rPr>
        <w:t xml:space="preserve"> 9-116 ml/min), nakon primjene pojedinačne doze od 2,5mg, ni</w:t>
      </w:r>
      <w:r w:rsidR="00894044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utvrđeni efekti na </w:t>
      </w:r>
      <w:proofErr w:type="spellStart"/>
      <w:r w:rsidRPr="00D83C9F">
        <w:rPr>
          <w:sz w:val="22"/>
          <w:szCs w:val="22"/>
          <w:lang w:val="sr-Latn-ME"/>
        </w:rPr>
        <w:t>farmakokinetiku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. </w:t>
      </w:r>
      <w:r w:rsidRPr="00D83C9F">
        <w:rPr>
          <w:sz w:val="22"/>
          <w:szCs w:val="22"/>
          <w:lang w:val="sr-Latn-ME" w:eastAsia="sr-Latn-ME"/>
        </w:rPr>
        <w:t xml:space="preserve">Uz gore navedeno ispitivanje kojim se </w:t>
      </w:r>
      <w:r w:rsidR="00894044" w:rsidRPr="00D83C9F">
        <w:rPr>
          <w:sz w:val="22"/>
          <w:szCs w:val="22"/>
          <w:lang w:val="sr-Latn-ME" w:eastAsia="sr-Latn-ME"/>
        </w:rPr>
        <w:t>pr</w:t>
      </w:r>
      <w:r w:rsidRPr="00D83C9F">
        <w:rPr>
          <w:sz w:val="22"/>
          <w:szCs w:val="22"/>
          <w:lang w:val="sr-Latn-ME" w:eastAsia="sr-Latn-ME"/>
        </w:rPr>
        <w:t xml:space="preserve">ocjenjivao uticaj oštećenja funkcije bubrega na </w:t>
      </w:r>
      <w:proofErr w:type="spellStart"/>
      <w:r w:rsidRPr="00D83C9F">
        <w:rPr>
          <w:sz w:val="22"/>
          <w:szCs w:val="22"/>
          <w:lang w:val="sr-Latn-ME" w:eastAsia="sr-Latn-ME"/>
        </w:rPr>
        <w:t>letrozol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, analiza </w:t>
      </w:r>
      <w:proofErr w:type="spellStart"/>
      <w:r w:rsidRPr="00D83C9F">
        <w:rPr>
          <w:sz w:val="22"/>
          <w:szCs w:val="22"/>
          <w:lang w:val="sr-Latn-ME" w:eastAsia="sr-Latn-ME"/>
        </w:rPr>
        <w:t>kovarijabla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sprovedena je na podacima iz dva ključna ispitivanja (ispitivanje AR/BC2 i ispitivanje AR/BC3). Izračunati </w:t>
      </w:r>
      <w:proofErr w:type="spellStart"/>
      <w:r w:rsidRPr="00D83C9F">
        <w:rPr>
          <w:sz w:val="22"/>
          <w:szCs w:val="22"/>
          <w:lang w:val="sr-Latn-ME" w:eastAsia="sr-Latn-ME"/>
        </w:rPr>
        <w:t>klirens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</w:t>
      </w:r>
      <w:proofErr w:type="spellStart"/>
      <w:r w:rsidRPr="00D83C9F">
        <w:rPr>
          <w:sz w:val="22"/>
          <w:szCs w:val="22"/>
          <w:lang w:val="sr-Latn-ME" w:eastAsia="sr-Latn-ME"/>
        </w:rPr>
        <w:t>kreatinina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(</w:t>
      </w:r>
      <w:proofErr w:type="spellStart"/>
      <w:r w:rsidRPr="00D83C9F">
        <w:rPr>
          <w:sz w:val="22"/>
          <w:szCs w:val="22"/>
          <w:lang w:val="sr-Latn-ME" w:eastAsia="sr-Latn-ME"/>
        </w:rPr>
        <w:t>CLcr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) [raspon u ispitivanju AR/BC2: 19 do 187 ml/min; raspon u ispitivanju AR/BC3: 10 do 180 ml/min] nije pokazao statistički značajnu povezanost između najnižih nivoa </w:t>
      </w:r>
      <w:proofErr w:type="spellStart"/>
      <w:r w:rsidRPr="00D83C9F">
        <w:rPr>
          <w:sz w:val="22"/>
          <w:szCs w:val="22"/>
          <w:lang w:val="sr-Latn-ME" w:eastAsia="sr-Latn-ME"/>
        </w:rPr>
        <w:t>letrozola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u plazmi u stanju dinamičke ravnoteže (</w:t>
      </w:r>
      <w:proofErr w:type="spellStart"/>
      <w:r w:rsidRPr="00D83C9F">
        <w:rPr>
          <w:sz w:val="22"/>
          <w:szCs w:val="22"/>
          <w:lang w:val="sr-Latn-ME" w:eastAsia="sr-Latn-ME"/>
        </w:rPr>
        <w:t>C</w:t>
      </w:r>
      <w:r w:rsidRPr="00D83C9F">
        <w:rPr>
          <w:sz w:val="22"/>
          <w:szCs w:val="22"/>
          <w:vertAlign w:val="subscript"/>
          <w:lang w:val="sr-Latn-ME"/>
        </w:rPr>
        <w:t>min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). Nadalje, podaci iz ispitivanja AR/BC2 i AR/BC3 za drugu liniju liječenja </w:t>
      </w:r>
      <w:proofErr w:type="spellStart"/>
      <w:r w:rsidRPr="00D83C9F">
        <w:rPr>
          <w:sz w:val="22"/>
          <w:szCs w:val="22"/>
          <w:lang w:val="sr-Latn-ME" w:eastAsia="sr-Latn-ME"/>
        </w:rPr>
        <w:t>metastatskog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raka dojke ni</w:t>
      </w:r>
      <w:r w:rsidR="00894044" w:rsidRPr="00D83C9F">
        <w:rPr>
          <w:sz w:val="22"/>
          <w:szCs w:val="22"/>
          <w:lang w:val="sr-Latn-ME" w:eastAsia="sr-Latn-ME"/>
        </w:rPr>
        <w:t>je</w:t>
      </w:r>
      <w:r w:rsidRPr="00D83C9F">
        <w:rPr>
          <w:sz w:val="22"/>
          <w:szCs w:val="22"/>
          <w:lang w:val="sr-Latn-ME" w:eastAsia="sr-Latn-ME"/>
        </w:rPr>
        <w:t xml:space="preserve">su dali dokaze štetnog dejstva </w:t>
      </w:r>
      <w:proofErr w:type="spellStart"/>
      <w:r w:rsidRPr="00D83C9F">
        <w:rPr>
          <w:sz w:val="22"/>
          <w:szCs w:val="22"/>
          <w:lang w:val="sr-Latn-ME" w:eastAsia="sr-Latn-ME"/>
        </w:rPr>
        <w:t>letrozola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na </w:t>
      </w:r>
      <w:proofErr w:type="spellStart"/>
      <w:r w:rsidRPr="00D83C9F">
        <w:rPr>
          <w:sz w:val="22"/>
          <w:szCs w:val="22"/>
          <w:lang w:val="sr-Latn-ME" w:eastAsia="sr-Latn-ME"/>
        </w:rPr>
        <w:t>CLcr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ili oštećenja funkcije bubrega. </w:t>
      </w:r>
    </w:p>
    <w:p w14:paraId="076155FD" w14:textId="77777777" w:rsidR="00894044" w:rsidRPr="00D83C9F" w:rsidRDefault="00894044" w:rsidP="00CE1E1D">
      <w:pPr>
        <w:jc w:val="both"/>
        <w:rPr>
          <w:sz w:val="22"/>
          <w:szCs w:val="22"/>
          <w:lang w:val="sr-Latn-ME" w:eastAsia="sr-Latn-ME"/>
        </w:rPr>
      </w:pPr>
    </w:p>
    <w:p w14:paraId="13DCE7DE" w14:textId="77777777" w:rsidR="008E34CB" w:rsidRPr="00D83C9F" w:rsidRDefault="008E34CB" w:rsidP="00CE1E1D">
      <w:pPr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 w:eastAsia="sr-Latn-ME"/>
        </w:rPr>
        <w:t xml:space="preserve">Stoga nije potrebno prilagođavanje doze za </w:t>
      </w:r>
      <w:proofErr w:type="spellStart"/>
      <w:r w:rsidRPr="00D83C9F">
        <w:rPr>
          <w:sz w:val="22"/>
          <w:szCs w:val="22"/>
          <w:lang w:val="sr-Latn-ME" w:eastAsia="sr-Latn-ME"/>
        </w:rPr>
        <w:t>pacijentkinje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s oštećenjem funkcije bubrega (</w:t>
      </w:r>
      <w:proofErr w:type="spellStart"/>
      <w:r w:rsidRPr="00D83C9F">
        <w:rPr>
          <w:sz w:val="22"/>
          <w:szCs w:val="22"/>
          <w:lang w:val="sr-Latn-ME" w:eastAsia="sr-Latn-ME"/>
        </w:rPr>
        <w:t>CLcr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≥10 ml/min). Vrlo je malo informacija dostupno za </w:t>
      </w:r>
      <w:proofErr w:type="spellStart"/>
      <w:r w:rsidRPr="00D83C9F">
        <w:rPr>
          <w:sz w:val="22"/>
          <w:szCs w:val="22"/>
          <w:lang w:val="sr-Latn-ME" w:eastAsia="sr-Latn-ME"/>
        </w:rPr>
        <w:t>pacijentkinje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s teškim oštećenjem funkcije bubrega (</w:t>
      </w:r>
      <w:proofErr w:type="spellStart"/>
      <w:r w:rsidRPr="00D83C9F">
        <w:rPr>
          <w:sz w:val="22"/>
          <w:szCs w:val="22"/>
          <w:lang w:val="sr-Latn-ME" w:eastAsia="sr-Latn-ME"/>
        </w:rPr>
        <w:t>CLcr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&lt;10 ml/min). </w:t>
      </w:r>
    </w:p>
    <w:p w14:paraId="1CB7F5DC" w14:textId="77777777" w:rsidR="008E34CB" w:rsidRPr="00D83C9F" w:rsidRDefault="008E34CB" w:rsidP="00CE1E1D">
      <w:pPr>
        <w:autoSpaceDE w:val="0"/>
        <w:autoSpaceDN w:val="0"/>
        <w:adjustRightInd w:val="0"/>
        <w:jc w:val="both"/>
        <w:rPr>
          <w:sz w:val="22"/>
          <w:szCs w:val="22"/>
          <w:lang w:val="sr-Latn-ME"/>
        </w:rPr>
      </w:pPr>
    </w:p>
    <w:p w14:paraId="585FB3F7" w14:textId="77777777" w:rsidR="008E34CB" w:rsidRPr="00D83C9F" w:rsidRDefault="008E34CB" w:rsidP="00CE1E1D">
      <w:pPr>
        <w:autoSpaceDE w:val="0"/>
        <w:autoSpaceDN w:val="0"/>
        <w:adjustRightInd w:val="0"/>
        <w:jc w:val="both"/>
        <w:rPr>
          <w:i/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>Oštećenje jetre</w:t>
      </w:r>
    </w:p>
    <w:p w14:paraId="6A87E9AA" w14:textId="6673D3CA" w:rsidR="008E34CB" w:rsidRPr="00D83C9F" w:rsidRDefault="008E34CB" w:rsidP="00CE1E1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U sličnoj studiji koja je uključivala ispitanike sa različitim stepenom funkcije jetre, srednje vrijednosti PIK kod dobrovoljaca sa umjerenim oštećenjem jetre (</w:t>
      </w:r>
      <w:proofErr w:type="spellStart"/>
      <w:r w:rsidRPr="00D83C9F">
        <w:rPr>
          <w:i/>
          <w:sz w:val="22"/>
          <w:szCs w:val="22"/>
          <w:lang w:val="sr-Latn-ME"/>
        </w:rPr>
        <w:t>Child-Pugh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r w:rsidRPr="00D83C9F">
        <w:rPr>
          <w:i/>
          <w:iCs/>
          <w:sz w:val="22"/>
          <w:szCs w:val="22"/>
          <w:lang w:val="sr-Latn-ME"/>
        </w:rPr>
        <w:t>B</w:t>
      </w:r>
      <w:r w:rsidRPr="00D83C9F">
        <w:rPr>
          <w:sz w:val="22"/>
          <w:szCs w:val="22"/>
          <w:lang w:val="sr-Latn-ME"/>
        </w:rPr>
        <w:t xml:space="preserve">) bile su 37% više u odnosu na ispitanike sa normalnom funkcijom jetre, ali su i dalje bile u opsegu </w:t>
      </w:r>
      <w:proofErr w:type="spellStart"/>
      <w:r w:rsidRPr="00D83C9F">
        <w:rPr>
          <w:sz w:val="22"/>
          <w:szCs w:val="22"/>
          <w:lang w:val="sr-Latn-ME"/>
        </w:rPr>
        <w:t>zabilježenih</w:t>
      </w:r>
      <w:proofErr w:type="spellEnd"/>
      <w:r w:rsidRPr="00D83C9F">
        <w:rPr>
          <w:sz w:val="22"/>
          <w:szCs w:val="22"/>
          <w:lang w:val="sr-Latn-ME"/>
        </w:rPr>
        <w:t xml:space="preserve"> kod ispitanika bez oštećenja funkcije jetre. U studiji u kojoj su upoređivane </w:t>
      </w:r>
      <w:proofErr w:type="spellStart"/>
      <w:r w:rsidRPr="00D83C9F">
        <w:rPr>
          <w:sz w:val="22"/>
          <w:szCs w:val="22"/>
          <w:lang w:val="sr-Latn-ME"/>
        </w:rPr>
        <w:t>farmakokinetike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nakon primjene jedne oralne doze kod osam muških ispitanika sa cirozom jetre i teškim oštećenjem jetre (</w:t>
      </w:r>
      <w:proofErr w:type="spellStart"/>
      <w:r w:rsidRPr="00D83C9F">
        <w:rPr>
          <w:i/>
          <w:sz w:val="22"/>
          <w:szCs w:val="22"/>
          <w:lang w:val="sr-Latn-ME"/>
        </w:rPr>
        <w:t>Child-Pugh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r w:rsidRPr="00D83C9F">
        <w:rPr>
          <w:i/>
          <w:iCs/>
          <w:sz w:val="22"/>
          <w:szCs w:val="22"/>
          <w:lang w:val="sr-Latn-ME"/>
        </w:rPr>
        <w:t>C</w:t>
      </w:r>
      <w:r w:rsidRPr="00D83C9F">
        <w:rPr>
          <w:sz w:val="22"/>
          <w:szCs w:val="22"/>
          <w:lang w:val="sr-Latn-ME"/>
        </w:rPr>
        <w:t xml:space="preserve">), u odnosu na zdrave dobrovoljce (N=8), PIK i poluvrijeme eliminacije su bili viši za 95% odnosno 187%. Zbog toga,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treba primjenjivati sa oprezom kod </w:t>
      </w:r>
      <w:proofErr w:type="spellStart"/>
      <w:r w:rsidRPr="00D83C9F">
        <w:rPr>
          <w:sz w:val="22"/>
          <w:szCs w:val="22"/>
          <w:lang w:val="sr-Latn-ME"/>
        </w:rPr>
        <w:t>pacijentkinja</w:t>
      </w:r>
      <w:proofErr w:type="spellEnd"/>
      <w:r w:rsidRPr="00D83C9F">
        <w:rPr>
          <w:sz w:val="22"/>
          <w:szCs w:val="22"/>
          <w:lang w:val="sr-Latn-ME"/>
        </w:rPr>
        <w:t xml:space="preserve"> sa teškim oštećenjem jetre uzimajući u obzir odnos rizika i koristi kod svake </w:t>
      </w:r>
      <w:proofErr w:type="spellStart"/>
      <w:r w:rsidRPr="00D83C9F">
        <w:rPr>
          <w:sz w:val="22"/>
          <w:szCs w:val="22"/>
          <w:lang w:val="sr-Latn-ME"/>
        </w:rPr>
        <w:t>pacijentkinje</w:t>
      </w:r>
      <w:proofErr w:type="spellEnd"/>
      <w:r w:rsidRPr="00D83C9F">
        <w:rPr>
          <w:sz w:val="22"/>
          <w:szCs w:val="22"/>
          <w:lang w:val="sr-Latn-ME"/>
        </w:rPr>
        <w:t xml:space="preserve"> ponaosob.</w:t>
      </w:r>
    </w:p>
    <w:p w14:paraId="7B1BFDEA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BE8EE12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5.3.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proofErr w:type="spellStart"/>
      <w:r w:rsidRPr="00D83C9F">
        <w:rPr>
          <w:b/>
          <w:bCs/>
          <w:sz w:val="22"/>
          <w:szCs w:val="22"/>
          <w:lang w:val="sr-Latn-ME"/>
        </w:rPr>
        <w:t>Pretklinički</w:t>
      </w:r>
      <w:proofErr w:type="spellEnd"/>
      <w:r w:rsidRPr="00D83C9F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32021051" w14:textId="77777777" w:rsidR="008E34CB" w:rsidRPr="00D83C9F" w:rsidRDefault="008E34C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438BCEF" w14:textId="77777777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U različitim </w:t>
      </w:r>
      <w:proofErr w:type="spellStart"/>
      <w:r w:rsidRPr="00D83C9F">
        <w:rPr>
          <w:sz w:val="22"/>
          <w:szCs w:val="22"/>
          <w:lang w:val="sr-Latn-ME"/>
        </w:rPr>
        <w:t>pretkliničkim</w:t>
      </w:r>
      <w:proofErr w:type="spellEnd"/>
      <w:r w:rsidRPr="00D83C9F">
        <w:rPr>
          <w:sz w:val="22"/>
          <w:szCs w:val="22"/>
          <w:lang w:val="sr-Latn-ME"/>
        </w:rPr>
        <w:t xml:space="preserve"> studijama bezbjednosti sprovedenim kod standardnih životinjskih vrsta, nije bilo dokaza o sistemskoj toksičnosti ili toksičnosti ciljnih organa. </w:t>
      </w:r>
    </w:p>
    <w:p w14:paraId="5FB4D791" w14:textId="167E1AF5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je pokazao mali stepen akutne toksičnosti kod glodara koji su bili izloženi dozi do 2000 mg/kg. Kod pasa, </w:t>
      </w: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je uzrokovao pojavu znakova umjerene toksičnosti pri dozi od 100 mg/kg.</w:t>
      </w:r>
    </w:p>
    <w:p w14:paraId="7EDCD6C8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7BEBF1A" w14:textId="0490E3F9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U studijama toksičnosti nakon primjene ponavljanih doza kod pacova i pasa do 12 mjeseci, glavni nalazi se mogu pripisati farmakološkoj aktivnosti supstance. Doza koja nije uzrokovala neželjena d</w:t>
      </w:r>
      <w:r w:rsidR="00CC4812" w:rsidRPr="00D83C9F">
        <w:rPr>
          <w:sz w:val="22"/>
          <w:szCs w:val="22"/>
          <w:lang w:val="sr-Latn-ME"/>
        </w:rPr>
        <w:t>ejstva bila je 0,3mg/kg, kod ob</w:t>
      </w:r>
      <w:r w:rsidRPr="00D83C9F">
        <w:rPr>
          <w:sz w:val="22"/>
          <w:szCs w:val="22"/>
          <w:lang w:val="sr-Latn-ME"/>
        </w:rPr>
        <w:t>je vrste.</w:t>
      </w:r>
    </w:p>
    <w:p w14:paraId="50577A35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B611BA" w14:textId="70A844F3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lastRenderedPageBreak/>
        <w:t xml:space="preserve">Oralna primjena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kod ženki pacova imala je za posljedicu smanjenje u odnosima parenja i trudnoće i povećanje </w:t>
      </w:r>
      <w:proofErr w:type="spellStart"/>
      <w:r w:rsidRPr="00D83C9F">
        <w:rPr>
          <w:sz w:val="22"/>
          <w:szCs w:val="22"/>
          <w:lang w:val="sr-Latn-ME"/>
        </w:rPr>
        <w:t>predimplantacijskog</w:t>
      </w:r>
      <w:proofErr w:type="spellEnd"/>
      <w:r w:rsidRPr="00D83C9F">
        <w:rPr>
          <w:sz w:val="22"/>
          <w:szCs w:val="22"/>
          <w:lang w:val="sr-Latn-ME"/>
        </w:rPr>
        <w:t xml:space="preserve"> gubitka.</w:t>
      </w:r>
    </w:p>
    <w:p w14:paraId="026A1CD6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2D2D8C7" w14:textId="0A86D8BA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i/>
          <w:sz w:val="22"/>
          <w:szCs w:val="22"/>
          <w:lang w:val="sr-Latn-ME"/>
        </w:rPr>
        <w:t xml:space="preserve">In </w:t>
      </w:r>
      <w:proofErr w:type="spellStart"/>
      <w:r w:rsidRPr="00D83C9F">
        <w:rPr>
          <w:i/>
          <w:sz w:val="22"/>
          <w:szCs w:val="22"/>
          <w:lang w:val="sr-Latn-ME"/>
        </w:rPr>
        <w:t>vivo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r w:rsidRPr="00D83C9F">
        <w:rPr>
          <w:i/>
          <w:sz w:val="22"/>
          <w:szCs w:val="22"/>
          <w:lang w:val="sr-Latn-ME"/>
        </w:rPr>
        <w:t xml:space="preserve">in </w:t>
      </w:r>
      <w:proofErr w:type="spellStart"/>
      <w:r w:rsidRPr="00D83C9F">
        <w:rPr>
          <w:i/>
          <w:sz w:val="22"/>
          <w:szCs w:val="22"/>
          <w:lang w:val="sr-Latn-ME"/>
        </w:rPr>
        <w:t>vitro</w:t>
      </w:r>
      <w:proofErr w:type="spellEnd"/>
      <w:r w:rsidRPr="00D83C9F">
        <w:rPr>
          <w:sz w:val="22"/>
          <w:szCs w:val="22"/>
          <w:lang w:val="sr-Latn-ME"/>
        </w:rPr>
        <w:t xml:space="preserve"> ispitivanja </w:t>
      </w:r>
      <w:proofErr w:type="spellStart"/>
      <w:r w:rsidRPr="00D83C9F">
        <w:rPr>
          <w:sz w:val="22"/>
          <w:szCs w:val="22"/>
          <w:lang w:val="sr-Latn-ME"/>
        </w:rPr>
        <w:t>mutagenog</w:t>
      </w:r>
      <w:proofErr w:type="spellEnd"/>
      <w:r w:rsidRPr="00D83C9F">
        <w:rPr>
          <w:sz w:val="22"/>
          <w:szCs w:val="22"/>
          <w:lang w:val="sr-Latn-ME"/>
        </w:rPr>
        <w:t xml:space="preserve"> potencijala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 ni</w:t>
      </w:r>
      <w:r w:rsidR="00AD49D6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pokazala </w:t>
      </w:r>
      <w:proofErr w:type="spellStart"/>
      <w:r w:rsidRPr="00D83C9F">
        <w:rPr>
          <w:sz w:val="22"/>
          <w:szCs w:val="22"/>
          <w:lang w:val="sr-Latn-ME"/>
        </w:rPr>
        <w:t>genotoksični</w:t>
      </w:r>
      <w:proofErr w:type="spellEnd"/>
      <w:r w:rsidRPr="00D83C9F">
        <w:rPr>
          <w:sz w:val="22"/>
          <w:szCs w:val="22"/>
          <w:lang w:val="sr-Latn-ME"/>
        </w:rPr>
        <w:t xml:space="preserve"> potencijal.</w:t>
      </w:r>
    </w:p>
    <w:p w14:paraId="6DD2F35A" w14:textId="45867709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U studiji kancerogenosti kod pacova, koja je trajala 104 nedjelje, ni</w:t>
      </w:r>
      <w:r w:rsidR="00CC4812" w:rsidRPr="00D83C9F">
        <w:rPr>
          <w:sz w:val="22"/>
          <w:szCs w:val="22"/>
          <w:lang w:val="sr-Latn-ME"/>
        </w:rPr>
        <w:t>je</w:t>
      </w:r>
      <w:r w:rsidRPr="00D83C9F">
        <w:rPr>
          <w:sz w:val="22"/>
          <w:szCs w:val="22"/>
          <w:lang w:val="sr-Latn-ME"/>
        </w:rPr>
        <w:t xml:space="preserve">su uočeni tumori povezani sa terapijom kod mužjaka pacova. Kod ženki pacova, uočeno je smanjenje </w:t>
      </w:r>
      <w:proofErr w:type="spellStart"/>
      <w:r w:rsidRPr="00D83C9F">
        <w:rPr>
          <w:sz w:val="22"/>
          <w:szCs w:val="22"/>
          <w:lang w:val="sr-Latn-ME"/>
        </w:rPr>
        <w:t>incidence</w:t>
      </w:r>
      <w:proofErr w:type="spellEnd"/>
      <w:r w:rsidRPr="00D83C9F">
        <w:rPr>
          <w:sz w:val="22"/>
          <w:szCs w:val="22"/>
          <w:lang w:val="sr-Latn-ME"/>
        </w:rPr>
        <w:t xml:space="preserve"> benignih i malignih tumora dojke pri primjeni svih doza </w:t>
      </w:r>
      <w:proofErr w:type="spellStart"/>
      <w:r w:rsidRPr="00D83C9F">
        <w:rPr>
          <w:sz w:val="22"/>
          <w:szCs w:val="22"/>
          <w:lang w:val="sr-Latn-ME"/>
        </w:rPr>
        <w:t>letrozola</w:t>
      </w:r>
      <w:proofErr w:type="spellEnd"/>
      <w:r w:rsidRPr="00D83C9F">
        <w:rPr>
          <w:sz w:val="22"/>
          <w:szCs w:val="22"/>
          <w:lang w:val="sr-Latn-ME"/>
        </w:rPr>
        <w:t xml:space="preserve">. </w:t>
      </w:r>
    </w:p>
    <w:p w14:paraId="1563D360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0CEB237" w14:textId="557B3340" w:rsidR="008E34CB" w:rsidRPr="00D83C9F" w:rsidRDefault="008E34CB" w:rsidP="00CE1E1D">
      <w:pPr>
        <w:jc w:val="both"/>
        <w:rPr>
          <w:sz w:val="22"/>
          <w:szCs w:val="22"/>
          <w:lang w:val="sr-Latn-ME" w:eastAsia="sr-Latn-ME"/>
        </w:rPr>
      </w:pPr>
      <w:r w:rsidRPr="00D83C9F">
        <w:rPr>
          <w:sz w:val="22"/>
          <w:szCs w:val="22"/>
          <w:lang w:val="sr-Latn-ME" w:eastAsia="sr-Latn-ME"/>
        </w:rPr>
        <w:t xml:space="preserve">U ispitivanju </w:t>
      </w:r>
      <w:proofErr w:type="spellStart"/>
      <w:r w:rsidRPr="00D83C9F">
        <w:rPr>
          <w:sz w:val="22"/>
          <w:szCs w:val="22"/>
          <w:lang w:val="sr-Latn-ME" w:eastAsia="sr-Latn-ME"/>
        </w:rPr>
        <w:t>karcinogenosti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kod mužjaka miševa koje je trajalo 104 nedjelje, ni</w:t>
      </w:r>
      <w:r w:rsidR="00E4700E" w:rsidRPr="00D83C9F">
        <w:rPr>
          <w:sz w:val="22"/>
          <w:szCs w:val="22"/>
          <w:lang w:val="sr-Latn-ME" w:eastAsia="sr-Latn-ME"/>
        </w:rPr>
        <w:t>je</w:t>
      </w:r>
      <w:r w:rsidRPr="00D83C9F">
        <w:rPr>
          <w:sz w:val="22"/>
          <w:szCs w:val="22"/>
          <w:lang w:val="sr-Latn-ME" w:eastAsia="sr-Latn-ME"/>
        </w:rPr>
        <w:t xml:space="preserve">su primijećeni tumori povezani s primjenom </w:t>
      </w:r>
      <w:proofErr w:type="spellStart"/>
      <w:r w:rsidRPr="00D83C9F">
        <w:rPr>
          <w:sz w:val="22"/>
          <w:szCs w:val="22"/>
          <w:lang w:val="sr-Latn-ME" w:eastAsia="sr-Latn-ME"/>
        </w:rPr>
        <w:t>letrozola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. Kod ženki miševa je uočeno opšte povećanje </w:t>
      </w:r>
      <w:proofErr w:type="spellStart"/>
      <w:r w:rsidRPr="00D83C9F">
        <w:rPr>
          <w:sz w:val="22"/>
          <w:szCs w:val="22"/>
          <w:lang w:val="sr-Latn-ME" w:eastAsia="sr-Latn-ME"/>
        </w:rPr>
        <w:t>incidencije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benignih </w:t>
      </w:r>
      <w:proofErr w:type="spellStart"/>
      <w:r w:rsidRPr="00D83C9F">
        <w:rPr>
          <w:sz w:val="22"/>
          <w:szCs w:val="22"/>
          <w:lang w:val="sr-Latn-ME" w:eastAsia="sr-Latn-ME"/>
        </w:rPr>
        <w:t>granuloznih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teka-ćelijskih tumora jajnika </w:t>
      </w:r>
      <w:proofErr w:type="spellStart"/>
      <w:r w:rsidRPr="00D83C9F">
        <w:rPr>
          <w:sz w:val="22"/>
          <w:szCs w:val="22"/>
          <w:lang w:val="sr-Latn-ME" w:eastAsia="sr-Latn-ME"/>
        </w:rPr>
        <w:t>dozno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zavisnih uz sve ispitivane doze </w:t>
      </w:r>
      <w:proofErr w:type="spellStart"/>
      <w:r w:rsidRPr="00D83C9F">
        <w:rPr>
          <w:sz w:val="22"/>
          <w:szCs w:val="22"/>
          <w:lang w:val="sr-Latn-ME" w:eastAsia="sr-Latn-ME"/>
        </w:rPr>
        <w:t>letrozola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. Smatralo se da su ti tumori povezani s farmakološkom inhibicijom sinteze estrogena te bi mogli biti uzrokovani povišenim LH koji je rezultat smanjenja </w:t>
      </w:r>
      <w:proofErr w:type="spellStart"/>
      <w:r w:rsidRPr="00D83C9F">
        <w:rPr>
          <w:sz w:val="22"/>
          <w:szCs w:val="22"/>
          <w:lang w:val="sr-Latn-ME" w:eastAsia="sr-Latn-ME"/>
        </w:rPr>
        <w:t>cirkulišućeg</w:t>
      </w:r>
      <w:proofErr w:type="spellEnd"/>
      <w:r w:rsidRPr="00D83C9F">
        <w:rPr>
          <w:sz w:val="22"/>
          <w:szCs w:val="22"/>
          <w:lang w:val="sr-Latn-ME" w:eastAsia="sr-Latn-ME"/>
        </w:rPr>
        <w:t xml:space="preserve"> estrogena. </w:t>
      </w:r>
    </w:p>
    <w:p w14:paraId="2497D5C1" w14:textId="77777777" w:rsidR="008E34CB" w:rsidRPr="00D83C9F" w:rsidRDefault="008E34CB" w:rsidP="00CE1E1D">
      <w:pPr>
        <w:jc w:val="both"/>
        <w:rPr>
          <w:sz w:val="22"/>
          <w:szCs w:val="22"/>
          <w:lang w:val="sr-Latn-ME"/>
        </w:rPr>
      </w:pPr>
    </w:p>
    <w:p w14:paraId="6FF0048F" w14:textId="6FF2B592" w:rsidR="008E34CB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Letrozol</w:t>
      </w:r>
      <w:proofErr w:type="spellEnd"/>
      <w:r w:rsidRPr="00D83C9F">
        <w:rPr>
          <w:sz w:val="22"/>
          <w:szCs w:val="22"/>
          <w:lang w:val="sr-Latn-ME"/>
        </w:rPr>
        <w:t xml:space="preserve"> je bio </w:t>
      </w:r>
      <w:proofErr w:type="spellStart"/>
      <w:r w:rsidRPr="00D83C9F">
        <w:rPr>
          <w:sz w:val="22"/>
          <w:szCs w:val="22"/>
          <w:lang w:val="sr-Latn-ME"/>
        </w:rPr>
        <w:t>embriotoksičan</w:t>
      </w:r>
      <w:proofErr w:type="spellEnd"/>
      <w:r w:rsidRPr="00D83C9F">
        <w:rPr>
          <w:sz w:val="22"/>
          <w:szCs w:val="22"/>
          <w:lang w:val="sr-Latn-ME"/>
        </w:rPr>
        <w:t xml:space="preserve"> i </w:t>
      </w:r>
      <w:proofErr w:type="spellStart"/>
      <w:r w:rsidRPr="00D83C9F">
        <w:rPr>
          <w:sz w:val="22"/>
          <w:szCs w:val="22"/>
          <w:lang w:val="sr-Latn-ME"/>
        </w:rPr>
        <w:t>fetotoksičan</w:t>
      </w:r>
      <w:proofErr w:type="spellEnd"/>
      <w:r w:rsidRPr="00D83C9F">
        <w:rPr>
          <w:sz w:val="22"/>
          <w:szCs w:val="22"/>
          <w:lang w:val="sr-Latn-ME"/>
        </w:rPr>
        <w:t xml:space="preserve"> kod skotnih pacova i kunića nakon oralne primjene u klinički relevantnim dozama. Kod pacova koji su imali žive fetuse, postojala je povećana </w:t>
      </w:r>
      <w:proofErr w:type="spellStart"/>
      <w:r w:rsidRPr="00D83C9F">
        <w:rPr>
          <w:sz w:val="22"/>
          <w:szCs w:val="22"/>
          <w:lang w:val="sr-Latn-ME"/>
        </w:rPr>
        <w:t>incidenca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fetalnih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malformacija</w:t>
      </w:r>
      <w:proofErr w:type="spellEnd"/>
      <w:r w:rsidRPr="00D83C9F">
        <w:rPr>
          <w:sz w:val="22"/>
          <w:szCs w:val="22"/>
          <w:lang w:val="sr-Latn-ME"/>
        </w:rPr>
        <w:t xml:space="preserve">  uključujući </w:t>
      </w:r>
      <w:proofErr w:type="spellStart"/>
      <w:r w:rsidRPr="00D83C9F">
        <w:rPr>
          <w:sz w:val="22"/>
          <w:szCs w:val="22"/>
          <w:lang w:val="sr-Latn-ME"/>
        </w:rPr>
        <w:t>kupolastu</w:t>
      </w:r>
      <w:proofErr w:type="spellEnd"/>
      <w:r w:rsidRPr="00D83C9F">
        <w:rPr>
          <w:sz w:val="22"/>
          <w:szCs w:val="22"/>
          <w:lang w:val="sr-Latn-ME"/>
        </w:rPr>
        <w:t xml:space="preserve"> glavu i cervikalnu/centralnu </w:t>
      </w:r>
      <w:proofErr w:type="spellStart"/>
      <w:r w:rsidRPr="00D83C9F">
        <w:rPr>
          <w:sz w:val="22"/>
          <w:szCs w:val="22"/>
          <w:lang w:val="sr-Latn-ME"/>
        </w:rPr>
        <w:t>vertebralnu</w:t>
      </w:r>
      <w:proofErr w:type="spellEnd"/>
      <w:r w:rsidRPr="00D83C9F">
        <w:rPr>
          <w:sz w:val="22"/>
          <w:szCs w:val="22"/>
          <w:lang w:val="sr-Latn-ME"/>
        </w:rPr>
        <w:t xml:space="preserve"> fuziju. Kod kunića nije uočena povećana </w:t>
      </w:r>
      <w:proofErr w:type="spellStart"/>
      <w:r w:rsidRPr="00D83C9F">
        <w:rPr>
          <w:sz w:val="22"/>
          <w:szCs w:val="22"/>
          <w:lang w:val="sr-Latn-ME"/>
        </w:rPr>
        <w:t>incidenca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fetalnih</w:t>
      </w:r>
      <w:proofErr w:type="spellEnd"/>
      <w:r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malformacija</w:t>
      </w:r>
      <w:proofErr w:type="spellEnd"/>
      <w:r w:rsidRPr="00D83C9F">
        <w:rPr>
          <w:sz w:val="22"/>
          <w:szCs w:val="22"/>
          <w:lang w:val="sr-Latn-ME"/>
        </w:rPr>
        <w:t xml:space="preserve">. Nije poznato da li je ovo bila indirektna posljedica farmakoloških karakteristika (inhibicija </w:t>
      </w:r>
      <w:proofErr w:type="spellStart"/>
      <w:r w:rsidRPr="00D83C9F">
        <w:rPr>
          <w:sz w:val="22"/>
          <w:szCs w:val="22"/>
          <w:lang w:val="sr-Latn-ME"/>
        </w:rPr>
        <w:t>biosinteze</w:t>
      </w:r>
      <w:proofErr w:type="spellEnd"/>
      <w:r w:rsidRPr="00D83C9F">
        <w:rPr>
          <w:sz w:val="22"/>
          <w:szCs w:val="22"/>
          <w:lang w:val="sr-Latn-ME"/>
        </w:rPr>
        <w:t xml:space="preserve"> estrogena) ili direktnih efekata lijeka (vidjeti djelove 4.3 i 4.6).  </w:t>
      </w:r>
    </w:p>
    <w:p w14:paraId="4D2CA35D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597B12B" w14:textId="45726813" w:rsidR="00396DFD" w:rsidRPr="00D83C9F" w:rsidRDefault="008E34CB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Pretklinička</w:t>
      </w:r>
      <w:proofErr w:type="spellEnd"/>
      <w:r w:rsidRPr="00D83C9F">
        <w:rPr>
          <w:sz w:val="22"/>
          <w:szCs w:val="22"/>
          <w:lang w:val="sr-Latn-ME"/>
        </w:rPr>
        <w:t xml:space="preserve"> posmatranja bila su ograničena na ona koja su povezana sa prepoznatim farmakološkim dejstvima, što je jedino </w:t>
      </w:r>
      <w:proofErr w:type="spellStart"/>
      <w:r w:rsidRPr="00D83C9F">
        <w:rPr>
          <w:sz w:val="22"/>
          <w:szCs w:val="22"/>
          <w:lang w:val="sr-Latn-ME"/>
        </w:rPr>
        <w:t>bezbjednosno</w:t>
      </w:r>
      <w:proofErr w:type="spellEnd"/>
      <w:r w:rsidRPr="00D83C9F">
        <w:rPr>
          <w:sz w:val="22"/>
          <w:szCs w:val="22"/>
          <w:lang w:val="sr-Latn-ME"/>
        </w:rPr>
        <w:t xml:space="preserve"> pitanje koje se tiče primjene kod </w:t>
      </w:r>
      <w:proofErr w:type="spellStart"/>
      <w:r w:rsidRPr="00D83C9F">
        <w:rPr>
          <w:sz w:val="22"/>
          <w:szCs w:val="22"/>
          <w:lang w:val="sr-Latn-ME"/>
        </w:rPr>
        <w:t>ljudi</w:t>
      </w:r>
      <w:proofErr w:type="spellEnd"/>
      <w:r w:rsidRPr="00D83C9F">
        <w:rPr>
          <w:sz w:val="22"/>
          <w:szCs w:val="22"/>
          <w:lang w:val="sr-Latn-ME"/>
        </w:rPr>
        <w:t xml:space="preserve">, a dobija se iz studija na životinjama. </w:t>
      </w:r>
    </w:p>
    <w:p w14:paraId="510F8023" w14:textId="2FC069A2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3A131C3" w14:textId="77777777" w:rsidR="00684660" w:rsidRPr="00D83C9F" w:rsidRDefault="00684660" w:rsidP="00CE1E1D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748B6C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6.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FARMACEUTSKI PODACI</w:t>
      </w:r>
    </w:p>
    <w:p w14:paraId="7D158F0A" w14:textId="77777777" w:rsidR="00836B35" w:rsidRPr="00D83C9F" w:rsidRDefault="00836B35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1D668C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6.1.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Lista pomoćnih supstanci</w:t>
      </w:r>
      <w:r w:rsidR="002E0135" w:rsidRPr="00D83C9F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D83C9F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D83C9F">
        <w:rPr>
          <w:b/>
          <w:bCs/>
          <w:sz w:val="22"/>
          <w:szCs w:val="22"/>
          <w:lang w:val="sr-Latn-ME"/>
        </w:rPr>
        <w:t>)</w:t>
      </w:r>
    </w:p>
    <w:p w14:paraId="65F3E2B2" w14:textId="77777777" w:rsidR="008E34CB" w:rsidRPr="00D83C9F" w:rsidRDefault="008E34C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84CBEB3" w14:textId="082B9A87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D83C9F">
        <w:rPr>
          <w:i/>
          <w:iCs/>
          <w:sz w:val="22"/>
          <w:szCs w:val="22"/>
          <w:u w:val="single"/>
          <w:lang w:val="sr-Latn-ME"/>
        </w:rPr>
        <w:t>Jezgro</w:t>
      </w:r>
      <w:r w:rsidR="00684660" w:rsidRPr="00D83C9F">
        <w:rPr>
          <w:i/>
          <w:iCs/>
          <w:sz w:val="22"/>
          <w:szCs w:val="22"/>
          <w:u w:val="single"/>
          <w:lang w:val="sr-Latn-ME"/>
        </w:rPr>
        <w:t xml:space="preserve"> film tablete</w:t>
      </w:r>
    </w:p>
    <w:p w14:paraId="133CB26B" w14:textId="77777777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Celuloza, </w:t>
      </w:r>
      <w:proofErr w:type="spellStart"/>
      <w:r w:rsidRPr="00D83C9F">
        <w:rPr>
          <w:sz w:val="22"/>
          <w:szCs w:val="22"/>
          <w:lang w:val="sr-Latn-ME"/>
        </w:rPr>
        <w:t>mikrokristalna</w:t>
      </w:r>
      <w:proofErr w:type="spellEnd"/>
    </w:p>
    <w:p w14:paraId="1A958119" w14:textId="52917B38" w:rsidR="008E34CB" w:rsidRPr="00D83C9F" w:rsidRDefault="00684660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S</w:t>
      </w:r>
      <w:r w:rsidR="008E34CB" w:rsidRPr="00D83C9F">
        <w:rPr>
          <w:sz w:val="22"/>
          <w:szCs w:val="22"/>
          <w:lang w:val="sr-Latn-ME"/>
        </w:rPr>
        <w:t>krob</w:t>
      </w:r>
      <w:r w:rsidRPr="00D83C9F">
        <w:rPr>
          <w:sz w:val="22"/>
          <w:szCs w:val="22"/>
          <w:lang w:val="sr-Latn-ME"/>
        </w:rPr>
        <w:t>, kukuruzni</w:t>
      </w:r>
    </w:p>
    <w:p w14:paraId="748667D5" w14:textId="77777777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Magnezijum </w:t>
      </w:r>
      <w:proofErr w:type="spellStart"/>
      <w:r w:rsidRPr="00D83C9F">
        <w:rPr>
          <w:sz w:val="22"/>
          <w:szCs w:val="22"/>
          <w:lang w:val="sr-Latn-ME"/>
        </w:rPr>
        <w:t>stearat</w:t>
      </w:r>
      <w:proofErr w:type="spellEnd"/>
    </w:p>
    <w:p w14:paraId="634A48B8" w14:textId="32310336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Laktoza </w:t>
      </w:r>
      <w:proofErr w:type="spellStart"/>
      <w:r w:rsidRPr="00D83C9F">
        <w:rPr>
          <w:sz w:val="22"/>
          <w:szCs w:val="22"/>
          <w:lang w:val="sr-Latn-ME"/>
        </w:rPr>
        <w:t>monohidrat</w:t>
      </w:r>
      <w:proofErr w:type="spellEnd"/>
    </w:p>
    <w:p w14:paraId="33D49BE1" w14:textId="77777777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Silicijum dioksid, koloidni, bezvodni</w:t>
      </w:r>
    </w:p>
    <w:p w14:paraId="7E6CC2D4" w14:textId="634915A1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Natrijum skrob</w:t>
      </w:r>
      <w:r w:rsidR="00684660" w:rsidRPr="00D83C9F">
        <w:rPr>
          <w:sz w:val="22"/>
          <w:szCs w:val="22"/>
          <w:lang w:val="sr-Latn-ME"/>
        </w:rPr>
        <w:t xml:space="preserve"> </w:t>
      </w:r>
      <w:proofErr w:type="spellStart"/>
      <w:r w:rsidRPr="00D83C9F">
        <w:rPr>
          <w:sz w:val="22"/>
          <w:szCs w:val="22"/>
          <w:lang w:val="sr-Latn-ME"/>
        </w:rPr>
        <w:t>glikolat</w:t>
      </w:r>
      <w:proofErr w:type="spellEnd"/>
      <w:r w:rsidRPr="00D83C9F">
        <w:rPr>
          <w:sz w:val="22"/>
          <w:szCs w:val="22"/>
          <w:lang w:val="sr-Latn-ME"/>
        </w:rPr>
        <w:t xml:space="preserve">, </w:t>
      </w:r>
      <w:r w:rsidR="00684660" w:rsidRPr="00D83C9F">
        <w:rPr>
          <w:sz w:val="22"/>
          <w:szCs w:val="22"/>
          <w:lang w:val="sr-Latn-ME"/>
        </w:rPr>
        <w:t xml:space="preserve">tip </w:t>
      </w:r>
      <w:r w:rsidRPr="00D83C9F">
        <w:rPr>
          <w:sz w:val="22"/>
          <w:szCs w:val="22"/>
          <w:lang w:val="sr-Latn-ME"/>
        </w:rPr>
        <w:t xml:space="preserve">A </w:t>
      </w:r>
    </w:p>
    <w:p w14:paraId="2D7B32C8" w14:textId="77777777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</w:p>
    <w:p w14:paraId="6A57EE8E" w14:textId="05CFB123" w:rsidR="008E34CB" w:rsidRPr="00D83C9F" w:rsidRDefault="00684660" w:rsidP="00CE1E1D">
      <w:pPr>
        <w:tabs>
          <w:tab w:val="left" w:pos="284"/>
          <w:tab w:val="center" w:pos="4320"/>
          <w:tab w:val="right" w:pos="8640"/>
        </w:tabs>
        <w:jc w:val="both"/>
        <w:rPr>
          <w:i/>
          <w:iCs/>
          <w:sz w:val="22"/>
          <w:szCs w:val="22"/>
          <w:u w:val="single"/>
          <w:lang w:val="sr-Latn-ME"/>
        </w:rPr>
      </w:pPr>
      <w:r w:rsidRPr="00D83C9F">
        <w:rPr>
          <w:i/>
          <w:iCs/>
          <w:sz w:val="22"/>
          <w:szCs w:val="22"/>
          <w:u w:val="single"/>
          <w:lang w:val="sr-Latn-ME"/>
        </w:rPr>
        <w:t>Film o</w:t>
      </w:r>
      <w:r w:rsidR="008E34CB" w:rsidRPr="00D83C9F">
        <w:rPr>
          <w:i/>
          <w:iCs/>
          <w:sz w:val="22"/>
          <w:szCs w:val="22"/>
          <w:u w:val="single"/>
          <w:lang w:val="sr-Latn-ME"/>
        </w:rPr>
        <w:t>motač</w:t>
      </w:r>
      <w:r w:rsidRPr="00D83C9F">
        <w:rPr>
          <w:i/>
          <w:iCs/>
          <w:sz w:val="22"/>
          <w:szCs w:val="22"/>
          <w:u w:val="single"/>
          <w:lang w:val="sr-Latn-ME"/>
        </w:rPr>
        <w:t xml:space="preserve"> tablete (</w:t>
      </w:r>
      <w:proofErr w:type="spellStart"/>
      <w:r w:rsidRPr="00D83C9F">
        <w:rPr>
          <w:i/>
          <w:iCs/>
          <w:sz w:val="22"/>
          <w:szCs w:val="22"/>
          <w:u w:val="single"/>
          <w:lang w:val="sr-Latn-ME"/>
        </w:rPr>
        <w:t>Opadry</w:t>
      </w:r>
      <w:proofErr w:type="spellEnd"/>
      <w:r w:rsidRPr="00D83C9F">
        <w:rPr>
          <w:i/>
          <w:iCs/>
          <w:sz w:val="22"/>
          <w:szCs w:val="22"/>
          <w:u w:val="single"/>
          <w:lang w:val="sr-Latn-ME"/>
        </w:rPr>
        <w:t xml:space="preserve"> II 85F32723 </w:t>
      </w:r>
      <w:proofErr w:type="spellStart"/>
      <w:r w:rsidRPr="00D83C9F">
        <w:rPr>
          <w:i/>
          <w:iCs/>
          <w:sz w:val="22"/>
          <w:szCs w:val="22"/>
          <w:u w:val="single"/>
          <w:lang w:val="sr-Latn-ME"/>
        </w:rPr>
        <w:t>Yellow</w:t>
      </w:r>
      <w:proofErr w:type="spellEnd"/>
      <w:r w:rsidRPr="00D83C9F">
        <w:rPr>
          <w:i/>
          <w:iCs/>
          <w:sz w:val="22"/>
          <w:szCs w:val="22"/>
          <w:u w:val="single"/>
          <w:lang w:val="sr-Latn-ME"/>
        </w:rPr>
        <w:t>)</w:t>
      </w:r>
    </w:p>
    <w:p w14:paraId="4A67BDDD" w14:textId="0BCB318F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Gvož</w:t>
      </w:r>
      <w:r w:rsidR="00684660" w:rsidRPr="00D83C9F">
        <w:rPr>
          <w:sz w:val="22"/>
          <w:szCs w:val="22"/>
          <w:lang w:val="sr-Latn-ME"/>
        </w:rPr>
        <w:t>đ</w:t>
      </w:r>
      <w:r w:rsidRPr="00D83C9F">
        <w:rPr>
          <w:sz w:val="22"/>
          <w:szCs w:val="22"/>
          <w:lang w:val="sr-Latn-ME"/>
        </w:rPr>
        <w:t xml:space="preserve">e </w:t>
      </w:r>
      <w:r w:rsidR="00684660" w:rsidRPr="00D83C9F">
        <w:rPr>
          <w:sz w:val="22"/>
          <w:szCs w:val="22"/>
          <w:lang w:val="sr-Latn-ME"/>
        </w:rPr>
        <w:t xml:space="preserve">(III) </w:t>
      </w:r>
      <w:r w:rsidRPr="00D83C9F">
        <w:rPr>
          <w:sz w:val="22"/>
          <w:szCs w:val="22"/>
          <w:lang w:val="sr-Latn-ME"/>
        </w:rPr>
        <w:t>oksid, žuti (E172)</w:t>
      </w:r>
    </w:p>
    <w:p w14:paraId="08EB9FEE" w14:textId="7BE56633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proofErr w:type="spellStart"/>
      <w:r w:rsidRPr="00D83C9F">
        <w:rPr>
          <w:sz w:val="22"/>
          <w:szCs w:val="22"/>
          <w:lang w:val="sr-Latn-ME"/>
        </w:rPr>
        <w:t>Makrogo</w:t>
      </w:r>
      <w:r w:rsidR="00666D50" w:rsidRPr="00D83C9F">
        <w:rPr>
          <w:sz w:val="22"/>
          <w:szCs w:val="22"/>
          <w:lang w:val="sr-Latn-ME"/>
        </w:rPr>
        <w:t>l</w:t>
      </w:r>
      <w:proofErr w:type="spellEnd"/>
      <w:r w:rsidRPr="00D83C9F">
        <w:rPr>
          <w:sz w:val="22"/>
          <w:szCs w:val="22"/>
          <w:lang w:val="sr-Latn-ME"/>
        </w:rPr>
        <w:t xml:space="preserve"> 3350</w:t>
      </w:r>
    </w:p>
    <w:p w14:paraId="52631C5E" w14:textId="77777777" w:rsidR="008E34CB" w:rsidRPr="00D83C9F" w:rsidRDefault="00082DF1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Titan</w:t>
      </w:r>
      <w:r w:rsidR="008E34CB" w:rsidRPr="00D83C9F">
        <w:rPr>
          <w:sz w:val="22"/>
          <w:szCs w:val="22"/>
          <w:lang w:val="sr-Latn-ME"/>
        </w:rPr>
        <w:t xml:space="preserve"> dioksid (E171)</w:t>
      </w:r>
    </w:p>
    <w:p w14:paraId="3F4410C0" w14:textId="77777777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Talk</w:t>
      </w:r>
    </w:p>
    <w:p w14:paraId="31435DFB" w14:textId="0D38E403" w:rsidR="008E34CB" w:rsidRPr="00D83C9F" w:rsidRDefault="00684660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Boja </w:t>
      </w:r>
      <w:r w:rsidR="003B4F42" w:rsidRPr="00D83C9F">
        <w:rPr>
          <w:sz w:val="22"/>
          <w:szCs w:val="22"/>
          <w:lang w:val="sr-Latn-ME"/>
        </w:rPr>
        <w:t>i</w:t>
      </w:r>
      <w:r w:rsidR="008E34CB" w:rsidRPr="00D83C9F">
        <w:rPr>
          <w:sz w:val="22"/>
          <w:szCs w:val="22"/>
          <w:lang w:val="sr-Latn-ME"/>
        </w:rPr>
        <w:t xml:space="preserve">ndigo </w:t>
      </w:r>
      <w:proofErr w:type="spellStart"/>
      <w:r w:rsidR="008E34CB" w:rsidRPr="00D83C9F">
        <w:rPr>
          <w:sz w:val="22"/>
          <w:szCs w:val="22"/>
          <w:lang w:val="sr-Latn-ME"/>
        </w:rPr>
        <w:t>carmine</w:t>
      </w:r>
      <w:proofErr w:type="spellEnd"/>
      <w:r w:rsidR="008E34CB" w:rsidRPr="00D83C9F">
        <w:rPr>
          <w:sz w:val="22"/>
          <w:szCs w:val="22"/>
          <w:lang w:val="sr-Latn-ME"/>
        </w:rPr>
        <w:t xml:space="preserve"> (E132)</w:t>
      </w:r>
    </w:p>
    <w:p w14:paraId="007943EC" w14:textId="67F67F8B" w:rsidR="008E34CB" w:rsidRPr="00D83C9F" w:rsidRDefault="008E34CB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>Polivinil alkohol</w:t>
      </w:r>
    </w:p>
    <w:p w14:paraId="472F7120" w14:textId="7687E065" w:rsidR="008E34CB" w:rsidRPr="00D83C9F" w:rsidRDefault="00684660" w:rsidP="00CE1E1D">
      <w:pPr>
        <w:tabs>
          <w:tab w:val="left" w:pos="284"/>
          <w:tab w:val="center" w:pos="4320"/>
          <w:tab w:val="right" w:pos="8640"/>
        </w:tabs>
        <w:jc w:val="both"/>
        <w:rPr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Boja </w:t>
      </w:r>
      <w:proofErr w:type="spellStart"/>
      <w:r w:rsidR="003B4F42" w:rsidRPr="00D83C9F">
        <w:rPr>
          <w:sz w:val="22"/>
          <w:szCs w:val="22"/>
          <w:lang w:val="sr-Latn-ME"/>
        </w:rPr>
        <w:t>t</w:t>
      </w:r>
      <w:r w:rsidR="008E34CB" w:rsidRPr="00D83C9F">
        <w:rPr>
          <w:sz w:val="22"/>
          <w:szCs w:val="22"/>
          <w:lang w:val="sr-Latn-ME"/>
        </w:rPr>
        <w:t>artrazin</w:t>
      </w:r>
      <w:proofErr w:type="spellEnd"/>
      <w:r w:rsidR="008E34CB" w:rsidRPr="00D83C9F">
        <w:rPr>
          <w:sz w:val="22"/>
          <w:szCs w:val="22"/>
          <w:lang w:val="sr-Latn-ME"/>
        </w:rPr>
        <w:t xml:space="preserve"> (E102)</w:t>
      </w:r>
    </w:p>
    <w:p w14:paraId="0213C1E8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0281BA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6.2.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Inkompatibilnost</w:t>
      </w:r>
      <w:r w:rsidR="002846DB" w:rsidRPr="00D83C9F">
        <w:rPr>
          <w:b/>
          <w:bCs/>
          <w:sz w:val="22"/>
          <w:szCs w:val="22"/>
          <w:lang w:val="sr-Latn-ME"/>
        </w:rPr>
        <w:t>i</w:t>
      </w:r>
    </w:p>
    <w:p w14:paraId="3A378900" w14:textId="77777777" w:rsidR="008E34CB" w:rsidRPr="00D83C9F" w:rsidRDefault="008E34C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F8F99F7" w14:textId="77777777" w:rsidR="008E34CB" w:rsidRPr="00D83C9F" w:rsidRDefault="008E34CB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Nije primjenljivo.</w:t>
      </w:r>
    </w:p>
    <w:p w14:paraId="4312982F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651BDD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>6.3.</w:t>
      </w:r>
      <w:r w:rsidR="00C05DF8" w:rsidRPr="00D83C9F">
        <w:rPr>
          <w:b/>
          <w:bCs/>
          <w:sz w:val="22"/>
          <w:szCs w:val="22"/>
          <w:lang w:val="sr-Latn-ME"/>
        </w:rPr>
        <w:t xml:space="preserve">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Rok upotrebe</w:t>
      </w:r>
    </w:p>
    <w:p w14:paraId="30EAD07E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4D3822" w14:textId="77777777" w:rsidR="008E34CB" w:rsidRPr="00D83C9F" w:rsidRDefault="008E34CB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3 godine.</w:t>
      </w:r>
    </w:p>
    <w:p w14:paraId="1C6F3956" w14:textId="77777777" w:rsidR="008E34CB" w:rsidRPr="00D83C9F" w:rsidRDefault="008E34CB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1F74891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lastRenderedPageBreak/>
        <w:t xml:space="preserve">6.4.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D83C9F">
        <w:rPr>
          <w:b/>
          <w:bCs/>
          <w:sz w:val="22"/>
          <w:szCs w:val="22"/>
          <w:lang w:val="sr-Latn-ME"/>
        </w:rPr>
        <w:t xml:space="preserve"> lijeka</w:t>
      </w:r>
    </w:p>
    <w:p w14:paraId="36A7E8F3" w14:textId="77777777" w:rsidR="00EC2532" w:rsidRPr="00D83C9F" w:rsidRDefault="00EC2532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BAD44B" w14:textId="3232608F" w:rsidR="00E4700E" w:rsidRPr="00D83C9F" w:rsidRDefault="00E470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Lijek ne zahtijeva posebne uslove čuvanja.</w:t>
      </w:r>
    </w:p>
    <w:p w14:paraId="7FAF66B9" w14:textId="77777777" w:rsidR="008E34CB" w:rsidRPr="00D83C9F" w:rsidRDefault="008E34CB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04CCBC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6.5.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="002846DB" w:rsidRPr="00D83C9F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D83C9F">
        <w:rPr>
          <w:b/>
          <w:bCs/>
          <w:sz w:val="22"/>
          <w:szCs w:val="22"/>
          <w:lang w:val="sr-Latn-ME"/>
        </w:rPr>
        <w:t>pakovanja</w:t>
      </w:r>
      <w:r w:rsidR="00C06864" w:rsidRPr="00D83C9F">
        <w:rPr>
          <w:b/>
          <w:bCs/>
          <w:sz w:val="22"/>
          <w:szCs w:val="22"/>
          <w:lang w:val="sr-Latn-ME"/>
        </w:rPr>
        <w:t xml:space="preserve"> </w:t>
      </w:r>
    </w:p>
    <w:p w14:paraId="5E2EEFC8" w14:textId="77777777" w:rsidR="008E34CB" w:rsidRPr="00D83C9F" w:rsidRDefault="008E34CB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1702EFE" w14:textId="77777777" w:rsidR="00743251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Unutrašnje pakovanje lijeka je </w:t>
      </w:r>
      <w:r w:rsidR="008E34CB" w:rsidRPr="00D83C9F">
        <w:rPr>
          <w:bCs/>
          <w:sz w:val="22"/>
          <w:szCs w:val="22"/>
          <w:lang w:val="sr-Latn-ME"/>
        </w:rPr>
        <w:t>PVC/</w:t>
      </w:r>
      <w:proofErr w:type="spellStart"/>
      <w:r w:rsidR="008E34CB" w:rsidRPr="00D83C9F">
        <w:rPr>
          <w:bCs/>
          <w:sz w:val="22"/>
          <w:szCs w:val="22"/>
          <w:lang w:val="sr-Latn-ME"/>
        </w:rPr>
        <w:t>PVdC</w:t>
      </w:r>
      <w:proofErr w:type="spellEnd"/>
      <w:r w:rsidR="008E34CB" w:rsidRPr="00D83C9F">
        <w:rPr>
          <w:bCs/>
          <w:sz w:val="22"/>
          <w:szCs w:val="22"/>
          <w:lang w:val="sr-Latn-ME"/>
        </w:rPr>
        <w:t>//</w:t>
      </w:r>
      <w:r w:rsidR="00635DDC" w:rsidRPr="00D83C9F">
        <w:rPr>
          <w:bCs/>
          <w:sz w:val="22"/>
          <w:szCs w:val="22"/>
          <w:lang w:val="sr-Latn-ME"/>
        </w:rPr>
        <w:t xml:space="preserve">Al </w:t>
      </w:r>
      <w:proofErr w:type="spellStart"/>
      <w:r w:rsidR="00635DDC" w:rsidRPr="00D83C9F">
        <w:rPr>
          <w:bCs/>
          <w:sz w:val="22"/>
          <w:szCs w:val="22"/>
          <w:lang w:val="sr-Latn-ME"/>
        </w:rPr>
        <w:t>blister</w:t>
      </w:r>
      <w:proofErr w:type="spellEnd"/>
      <w:r w:rsidRPr="00D83C9F">
        <w:rPr>
          <w:bCs/>
          <w:sz w:val="22"/>
          <w:szCs w:val="22"/>
          <w:lang w:val="sr-Latn-ME"/>
        </w:rPr>
        <w:t xml:space="preserve"> koji sadrži 10 film tableta.</w:t>
      </w:r>
    </w:p>
    <w:p w14:paraId="49B1C14B" w14:textId="55B867EB" w:rsidR="008E34CB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 w:rsidDel="00743251">
        <w:rPr>
          <w:bCs/>
          <w:sz w:val="22"/>
          <w:szCs w:val="22"/>
          <w:lang w:val="sr-Latn-ME"/>
        </w:rPr>
        <w:t xml:space="preserve"> </w:t>
      </w:r>
    </w:p>
    <w:p w14:paraId="43513AD4" w14:textId="50DEC218" w:rsidR="008E34CB" w:rsidRPr="00D83C9F" w:rsidRDefault="00743251" w:rsidP="002D2DF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Spoljašnje </w:t>
      </w:r>
      <w:r w:rsidR="008E34CB" w:rsidRPr="00D83C9F">
        <w:rPr>
          <w:bCs/>
          <w:sz w:val="22"/>
          <w:szCs w:val="22"/>
          <w:lang w:val="sr-Latn-ME"/>
        </w:rPr>
        <w:t>pakovanj</w:t>
      </w:r>
      <w:r w:rsidRPr="00D83C9F">
        <w:rPr>
          <w:bCs/>
          <w:sz w:val="22"/>
          <w:szCs w:val="22"/>
          <w:lang w:val="sr-Latn-ME"/>
        </w:rPr>
        <w:t xml:space="preserve">e lijeka je </w:t>
      </w:r>
      <w:proofErr w:type="spellStart"/>
      <w:r w:rsidRPr="00D83C9F">
        <w:rPr>
          <w:bCs/>
          <w:sz w:val="22"/>
          <w:szCs w:val="22"/>
          <w:lang w:val="sr-Latn-ME"/>
        </w:rPr>
        <w:t>složiva</w:t>
      </w:r>
      <w:proofErr w:type="spellEnd"/>
      <w:r w:rsidRPr="00D83C9F">
        <w:rPr>
          <w:bCs/>
          <w:sz w:val="22"/>
          <w:szCs w:val="22"/>
          <w:lang w:val="sr-Latn-ME"/>
        </w:rPr>
        <w:t xml:space="preserve"> kartonska kutija u kojoj se nalaze 3 </w:t>
      </w:r>
      <w:proofErr w:type="spellStart"/>
      <w:r w:rsidRPr="00D83C9F">
        <w:rPr>
          <w:bCs/>
          <w:sz w:val="22"/>
          <w:szCs w:val="22"/>
          <w:lang w:val="sr-Latn-ME"/>
        </w:rPr>
        <w:t>blistera</w:t>
      </w:r>
      <w:proofErr w:type="spellEnd"/>
      <w:r w:rsidRPr="00D83C9F">
        <w:rPr>
          <w:bCs/>
          <w:sz w:val="22"/>
          <w:szCs w:val="22"/>
          <w:lang w:val="sr-Latn-ME"/>
        </w:rPr>
        <w:t xml:space="preserve"> (ukupno </w:t>
      </w:r>
      <w:r w:rsidR="008E34CB" w:rsidRPr="00D83C9F">
        <w:rPr>
          <w:bCs/>
          <w:sz w:val="22"/>
          <w:szCs w:val="22"/>
          <w:lang w:val="sr-Latn-ME"/>
        </w:rPr>
        <w:t>30 film tableta</w:t>
      </w:r>
      <w:r w:rsidRPr="00D83C9F">
        <w:rPr>
          <w:bCs/>
          <w:sz w:val="22"/>
          <w:szCs w:val="22"/>
          <w:lang w:val="sr-Latn-ME"/>
        </w:rPr>
        <w:t>) i Uputstvo za lijek</w:t>
      </w:r>
      <w:r w:rsidR="008E34CB" w:rsidRPr="00D83C9F">
        <w:rPr>
          <w:bCs/>
          <w:sz w:val="22"/>
          <w:szCs w:val="22"/>
          <w:lang w:val="sr-Latn-ME"/>
        </w:rPr>
        <w:t>.</w:t>
      </w:r>
    </w:p>
    <w:p w14:paraId="1E4AB607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335EA4F" w14:textId="77777777" w:rsidR="002846DB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6.6.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D83C9F">
        <w:rPr>
          <w:b/>
          <w:bCs/>
          <w:sz w:val="22"/>
          <w:szCs w:val="22"/>
          <w:lang w:val="sr-Latn-ME"/>
        </w:rPr>
        <w:t xml:space="preserve"> </w:t>
      </w:r>
      <w:r w:rsidR="00310F03" w:rsidRPr="00D83C9F">
        <w:rPr>
          <w:b/>
          <w:bCs/>
          <w:sz w:val="22"/>
          <w:szCs w:val="22"/>
          <w:lang w:val="sr-Latn-ME"/>
        </w:rPr>
        <w:t>(i druga uputs</w:t>
      </w:r>
      <w:r w:rsidR="004109FA" w:rsidRPr="00D83C9F">
        <w:rPr>
          <w:b/>
          <w:bCs/>
          <w:sz w:val="22"/>
          <w:szCs w:val="22"/>
          <w:lang w:val="sr-Latn-ME"/>
        </w:rPr>
        <w:t>t</w:t>
      </w:r>
      <w:r w:rsidR="00310F03" w:rsidRPr="00D83C9F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366AA248" w14:textId="77777777" w:rsidR="00B66A70" w:rsidRPr="00D83C9F" w:rsidRDefault="00B66A70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E065DF" w14:textId="13A955CE" w:rsidR="00734504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D83C9F">
        <w:rPr>
          <w:bCs/>
          <w:sz w:val="22"/>
          <w:szCs w:val="22"/>
          <w:lang w:val="sr-Latn-ME"/>
        </w:rPr>
        <w:t>Neupotrijebljeni</w:t>
      </w:r>
      <w:proofErr w:type="spellEnd"/>
      <w:r w:rsidRPr="00D83C9F">
        <w:rPr>
          <w:bCs/>
          <w:sz w:val="22"/>
          <w:szCs w:val="22"/>
          <w:lang w:val="sr-Latn-ME"/>
        </w:rPr>
        <w:t xml:space="preserve"> lijek se uništava u skladu sa važećim propisima</w:t>
      </w:r>
      <w:r w:rsidR="00734504" w:rsidRPr="00D83C9F">
        <w:rPr>
          <w:bCs/>
          <w:sz w:val="22"/>
          <w:szCs w:val="22"/>
          <w:lang w:val="sr-Latn-ME"/>
        </w:rPr>
        <w:t>.</w:t>
      </w:r>
    </w:p>
    <w:p w14:paraId="507AEC53" w14:textId="77777777" w:rsidR="00743251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2B0DAF4" w14:textId="77777777" w:rsidR="0072020E" w:rsidRPr="00D83C9F" w:rsidRDefault="0072020E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5CC8C4C" w14:textId="77777777" w:rsidR="00F8570A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7.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NOSILAC DOZVOLE</w:t>
      </w:r>
      <w:r w:rsidR="00483928" w:rsidRPr="00D83C9F">
        <w:rPr>
          <w:b/>
          <w:bCs/>
          <w:sz w:val="22"/>
          <w:szCs w:val="22"/>
          <w:lang w:val="sr-Latn-ME"/>
        </w:rPr>
        <w:t xml:space="preserve"> </w:t>
      </w:r>
    </w:p>
    <w:p w14:paraId="632F084A" w14:textId="77777777" w:rsidR="00734504" w:rsidRPr="00D83C9F" w:rsidRDefault="00734504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E5DE011" w14:textId="683D611C" w:rsidR="00734504" w:rsidRPr="00D83C9F" w:rsidRDefault="00734504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Evropa </w:t>
      </w:r>
      <w:proofErr w:type="spellStart"/>
      <w:r w:rsidRPr="00D83C9F">
        <w:rPr>
          <w:bCs/>
          <w:sz w:val="22"/>
          <w:szCs w:val="22"/>
          <w:lang w:val="sr-Latn-ME"/>
        </w:rPr>
        <w:t>Lek</w:t>
      </w:r>
      <w:proofErr w:type="spellEnd"/>
      <w:r w:rsidRPr="00D83C9F">
        <w:rPr>
          <w:bCs/>
          <w:sz w:val="22"/>
          <w:szCs w:val="22"/>
          <w:lang w:val="sr-Latn-ME"/>
        </w:rPr>
        <w:t xml:space="preserve"> Pharma </w:t>
      </w:r>
      <w:proofErr w:type="spellStart"/>
      <w:r w:rsidRPr="00D83C9F">
        <w:rPr>
          <w:bCs/>
          <w:sz w:val="22"/>
          <w:szCs w:val="22"/>
          <w:lang w:val="sr-Latn-ME"/>
        </w:rPr>
        <w:t>d.o.o</w:t>
      </w:r>
      <w:proofErr w:type="spellEnd"/>
      <w:r w:rsidRPr="00D83C9F">
        <w:rPr>
          <w:bCs/>
          <w:sz w:val="22"/>
          <w:szCs w:val="22"/>
          <w:lang w:val="sr-Latn-ME"/>
        </w:rPr>
        <w:t>. Podgorica</w:t>
      </w:r>
      <w:r w:rsidR="00743251" w:rsidRPr="00D83C9F">
        <w:rPr>
          <w:bCs/>
          <w:sz w:val="22"/>
          <w:szCs w:val="22"/>
          <w:lang w:val="sr-Latn-ME"/>
        </w:rPr>
        <w:t>,</w:t>
      </w:r>
    </w:p>
    <w:p w14:paraId="1269B635" w14:textId="77777777" w:rsidR="00734504" w:rsidRPr="00D83C9F" w:rsidRDefault="00734504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Kritskog odreda 4/1, 81000 Podgorica, Crna Gora</w:t>
      </w:r>
    </w:p>
    <w:p w14:paraId="7C7FD469" w14:textId="096698AF" w:rsidR="00C37FD7" w:rsidRPr="00D83C9F" w:rsidRDefault="00C37FD7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FC2B58" w14:textId="77777777" w:rsidR="00743251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04B315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8.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>BROJ DOZVOLE</w:t>
      </w:r>
      <w:r w:rsidR="008A6D43" w:rsidRPr="00D83C9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2571F0C" w14:textId="77777777" w:rsidR="00734504" w:rsidRPr="00D83C9F" w:rsidRDefault="00734504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34ED0D8" w14:textId="21D11BD2" w:rsidR="00734504" w:rsidRPr="00D83C9F" w:rsidRDefault="00D83C9F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sz w:val="22"/>
          <w:szCs w:val="22"/>
          <w:lang w:val="sr-Latn-ME"/>
        </w:rPr>
        <w:t xml:space="preserve">2030/25/2221 – 4221 </w:t>
      </w:r>
    </w:p>
    <w:p w14:paraId="6D9C7D5B" w14:textId="77777777" w:rsidR="00743251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AEE53B" w14:textId="77777777" w:rsidR="00F45F77" w:rsidRPr="00D83C9F" w:rsidRDefault="00F45F77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D9CF575" w14:textId="77777777" w:rsidR="0072020E" w:rsidRPr="00D83C9F" w:rsidRDefault="0072020E" w:rsidP="00CE1E1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9.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Pr="00D83C9F">
        <w:rPr>
          <w:b/>
          <w:bCs/>
          <w:sz w:val="22"/>
          <w:szCs w:val="22"/>
          <w:lang w:val="sr-Latn-ME"/>
        </w:rPr>
        <w:t xml:space="preserve">DATUM </w:t>
      </w:r>
      <w:r w:rsidR="00C05DF8" w:rsidRPr="00D83C9F">
        <w:rPr>
          <w:b/>
          <w:bCs/>
          <w:sz w:val="22"/>
          <w:szCs w:val="22"/>
          <w:lang w:val="sr-Latn-ME"/>
        </w:rPr>
        <w:t xml:space="preserve">PRVE </w:t>
      </w:r>
      <w:r w:rsidR="008A6D43" w:rsidRPr="00D83C9F">
        <w:rPr>
          <w:b/>
          <w:bCs/>
          <w:sz w:val="22"/>
          <w:szCs w:val="22"/>
          <w:lang w:val="sr-Latn-ME"/>
        </w:rPr>
        <w:t>DOZVOLE</w:t>
      </w:r>
      <w:r w:rsidR="00C05DF8" w:rsidRPr="00D83C9F">
        <w:rPr>
          <w:b/>
          <w:bCs/>
          <w:sz w:val="22"/>
          <w:szCs w:val="22"/>
          <w:lang w:val="sr-Latn-ME"/>
        </w:rPr>
        <w:t>/OBNOVE DOZVOLE</w:t>
      </w:r>
      <w:r w:rsidR="008A6D43" w:rsidRPr="00D83C9F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598147FE" w14:textId="77777777" w:rsidR="00734504" w:rsidRPr="00D83C9F" w:rsidRDefault="00734504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FB3C7D8" w14:textId="570B9742" w:rsidR="0072020E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Datum prve dozvole</w:t>
      </w:r>
      <w:r w:rsidR="00734504" w:rsidRPr="00D83C9F">
        <w:rPr>
          <w:bCs/>
          <w:sz w:val="22"/>
          <w:szCs w:val="22"/>
          <w:lang w:val="sr-Latn-ME"/>
        </w:rPr>
        <w:t>: 28.11.2014. godine</w:t>
      </w:r>
    </w:p>
    <w:p w14:paraId="322F6476" w14:textId="771F5D5C" w:rsidR="00743251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 xml:space="preserve">Datum posljednje obnove dozvole: </w:t>
      </w:r>
      <w:r w:rsidR="00D83C9F" w:rsidRPr="00D83C9F">
        <w:rPr>
          <w:bCs/>
          <w:sz w:val="22"/>
          <w:szCs w:val="22"/>
          <w:lang w:val="sr-Latn-ME"/>
        </w:rPr>
        <w:t>02.06.2025. godine</w:t>
      </w:r>
    </w:p>
    <w:p w14:paraId="14DDB8EF" w14:textId="77777777" w:rsidR="00743251" w:rsidRPr="00D83C9F" w:rsidRDefault="00743251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068AE0" w14:textId="77777777" w:rsidR="00836B35" w:rsidRPr="00D83C9F" w:rsidRDefault="00836B35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90A924E" w14:textId="646E67BF" w:rsidR="003F6A59" w:rsidRPr="00D83C9F" w:rsidRDefault="0072020E" w:rsidP="00CE1E1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D83C9F">
        <w:rPr>
          <w:b/>
          <w:bCs/>
          <w:sz w:val="22"/>
          <w:szCs w:val="22"/>
          <w:lang w:val="sr-Latn-ME"/>
        </w:rPr>
        <w:t xml:space="preserve">10. </w:t>
      </w:r>
      <w:r w:rsidR="00480FB1" w:rsidRPr="00D83C9F">
        <w:rPr>
          <w:b/>
          <w:bCs/>
          <w:sz w:val="22"/>
          <w:szCs w:val="22"/>
          <w:lang w:val="sr-Latn-ME"/>
        </w:rPr>
        <w:tab/>
      </w:r>
      <w:r w:rsidR="002846DB" w:rsidRPr="00D83C9F">
        <w:rPr>
          <w:b/>
          <w:bCs/>
          <w:sz w:val="22"/>
          <w:szCs w:val="22"/>
          <w:lang w:val="sr-Latn-ME"/>
        </w:rPr>
        <w:t>D</w:t>
      </w:r>
      <w:r w:rsidR="00EC2532" w:rsidRPr="00D83C9F">
        <w:rPr>
          <w:b/>
          <w:bCs/>
          <w:sz w:val="22"/>
          <w:szCs w:val="22"/>
          <w:lang w:val="sr-Latn-ME"/>
        </w:rPr>
        <w:t xml:space="preserve">ATUM REVIZIJE TEKSTA </w:t>
      </w:r>
    </w:p>
    <w:p w14:paraId="7A8EFD2C" w14:textId="5A938BAD" w:rsidR="00E9192F" w:rsidRPr="00D83C9F" w:rsidRDefault="00E9192F" w:rsidP="00CE1E1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4A550334" w14:textId="5128001B" w:rsidR="003F6A59" w:rsidRPr="00D83C9F" w:rsidRDefault="00D83C9F" w:rsidP="00CE1E1D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D83C9F">
        <w:rPr>
          <w:bCs/>
          <w:sz w:val="22"/>
          <w:szCs w:val="22"/>
          <w:lang w:val="sr-Latn-ME"/>
        </w:rPr>
        <w:t>Jun, 2025. godine</w:t>
      </w:r>
    </w:p>
    <w:p w14:paraId="3A68C279" w14:textId="1A7D36E9" w:rsidR="003F6A59" w:rsidRPr="00D83C9F" w:rsidRDefault="003F6A59" w:rsidP="00CE1E1D">
      <w:pPr>
        <w:rPr>
          <w:sz w:val="22"/>
          <w:szCs w:val="22"/>
          <w:lang w:val="sr-Latn-ME"/>
        </w:rPr>
      </w:pPr>
    </w:p>
    <w:sectPr w:rsidR="003F6A59" w:rsidRPr="00D83C9F" w:rsidSect="002D2DFB">
      <w:footerReference w:type="default" r:id="rId12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B524E5" w14:textId="77777777" w:rsidR="00E54FC3" w:rsidRDefault="00E54FC3">
      <w:r>
        <w:separator/>
      </w:r>
    </w:p>
  </w:endnote>
  <w:endnote w:type="continuationSeparator" w:id="0">
    <w:p w14:paraId="73F8C340" w14:textId="77777777" w:rsidR="00E54FC3" w:rsidRDefault="00E54FC3">
      <w:r>
        <w:continuationSeparator/>
      </w:r>
    </w:p>
  </w:endnote>
  <w:endnote w:type="continuationNotice" w:id="1">
    <w:p w14:paraId="7FE2AB70" w14:textId="77777777" w:rsidR="00E54FC3" w:rsidRDefault="00E54F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4FF8" w14:textId="53615112" w:rsidR="003B4F42" w:rsidRPr="00B23F69" w:rsidRDefault="003B4F42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D83C9F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D83C9F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3BFB" w14:textId="77777777" w:rsidR="00E54FC3" w:rsidRDefault="00E54FC3">
      <w:r>
        <w:separator/>
      </w:r>
    </w:p>
  </w:footnote>
  <w:footnote w:type="continuationSeparator" w:id="0">
    <w:p w14:paraId="1D562179" w14:textId="77777777" w:rsidR="00E54FC3" w:rsidRDefault="00E54FC3">
      <w:r>
        <w:continuationSeparator/>
      </w:r>
    </w:p>
  </w:footnote>
  <w:footnote w:type="continuationNotice" w:id="1">
    <w:p w14:paraId="49DCDC1D" w14:textId="77777777" w:rsidR="00E54FC3" w:rsidRDefault="00E54F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75pt;height:13.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C24E33"/>
    <w:multiLevelType w:val="hybridMultilevel"/>
    <w:tmpl w:val="22CC46CE"/>
    <w:lvl w:ilvl="0" w:tplc="0BF873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03337"/>
    <w:multiLevelType w:val="hybridMultilevel"/>
    <w:tmpl w:val="E74CE37A"/>
    <w:lvl w:ilvl="0" w:tplc="E0B288FE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0F32"/>
    <w:rsid w:val="000131DD"/>
    <w:rsid w:val="000176CA"/>
    <w:rsid w:val="0002115E"/>
    <w:rsid w:val="00036FA0"/>
    <w:rsid w:val="0003793F"/>
    <w:rsid w:val="000561BC"/>
    <w:rsid w:val="00057E35"/>
    <w:rsid w:val="000667A6"/>
    <w:rsid w:val="00074CF6"/>
    <w:rsid w:val="00076726"/>
    <w:rsid w:val="00077D3A"/>
    <w:rsid w:val="00080303"/>
    <w:rsid w:val="00082DF1"/>
    <w:rsid w:val="00084AFC"/>
    <w:rsid w:val="00095A1D"/>
    <w:rsid w:val="000A358B"/>
    <w:rsid w:val="000A3F58"/>
    <w:rsid w:val="000D2343"/>
    <w:rsid w:val="000D3449"/>
    <w:rsid w:val="000D425A"/>
    <w:rsid w:val="000D4F0D"/>
    <w:rsid w:val="000D60CC"/>
    <w:rsid w:val="000E0ABF"/>
    <w:rsid w:val="000E2084"/>
    <w:rsid w:val="000E6F55"/>
    <w:rsid w:val="000F3F11"/>
    <w:rsid w:val="000F77FA"/>
    <w:rsid w:val="00107BF7"/>
    <w:rsid w:val="00126F53"/>
    <w:rsid w:val="001436AC"/>
    <w:rsid w:val="0014766D"/>
    <w:rsid w:val="001536CC"/>
    <w:rsid w:val="00155C6C"/>
    <w:rsid w:val="00156DB4"/>
    <w:rsid w:val="001655A0"/>
    <w:rsid w:val="00176137"/>
    <w:rsid w:val="00194C2C"/>
    <w:rsid w:val="001A3FBA"/>
    <w:rsid w:val="001A5518"/>
    <w:rsid w:val="001B1C6A"/>
    <w:rsid w:val="001B70F6"/>
    <w:rsid w:val="001C1263"/>
    <w:rsid w:val="001C1417"/>
    <w:rsid w:val="001D1CD6"/>
    <w:rsid w:val="001E0837"/>
    <w:rsid w:val="001E0EDC"/>
    <w:rsid w:val="001E390B"/>
    <w:rsid w:val="001F42FB"/>
    <w:rsid w:val="001F719A"/>
    <w:rsid w:val="002031B3"/>
    <w:rsid w:val="0021340A"/>
    <w:rsid w:val="00215931"/>
    <w:rsid w:val="002165B7"/>
    <w:rsid w:val="00224C91"/>
    <w:rsid w:val="00226ACA"/>
    <w:rsid w:val="00227BDB"/>
    <w:rsid w:val="002319A3"/>
    <w:rsid w:val="00234CB1"/>
    <w:rsid w:val="002352F8"/>
    <w:rsid w:val="00242EAD"/>
    <w:rsid w:val="002510A5"/>
    <w:rsid w:val="002525EA"/>
    <w:rsid w:val="00254A0A"/>
    <w:rsid w:val="00266046"/>
    <w:rsid w:val="002835F9"/>
    <w:rsid w:val="002846DB"/>
    <w:rsid w:val="00284CCD"/>
    <w:rsid w:val="002A400B"/>
    <w:rsid w:val="002C6637"/>
    <w:rsid w:val="002D2DFB"/>
    <w:rsid w:val="002E0135"/>
    <w:rsid w:val="002E37A5"/>
    <w:rsid w:val="002F007B"/>
    <w:rsid w:val="00306DA5"/>
    <w:rsid w:val="00310F03"/>
    <w:rsid w:val="003116DA"/>
    <w:rsid w:val="003247D2"/>
    <w:rsid w:val="003445C1"/>
    <w:rsid w:val="0035556C"/>
    <w:rsid w:val="00355B61"/>
    <w:rsid w:val="00355C3A"/>
    <w:rsid w:val="00362686"/>
    <w:rsid w:val="00371510"/>
    <w:rsid w:val="003874BD"/>
    <w:rsid w:val="00396DFD"/>
    <w:rsid w:val="003A7059"/>
    <w:rsid w:val="003B4F42"/>
    <w:rsid w:val="003B7A36"/>
    <w:rsid w:val="003C17AB"/>
    <w:rsid w:val="003C7823"/>
    <w:rsid w:val="003E1DCC"/>
    <w:rsid w:val="003F11A1"/>
    <w:rsid w:val="003F4485"/>
    <w:rsid w:val="003F6A59"/>
    <w:rsid w:val="00405A3A"/>
    <w:rsid w:val="004065C8"/>
    <w:rsid w:val="004109FA"/>
    <w:rsid w:val="00411B4B"/>
    <w:rsid w:val="00415BEE"/>
    <w:rsid w:val="00427F85"/>
    <w:rsid w:val="00436F42"/>
    <w:rsid w:val="004378B4"/>
    <w:rsid w:val="004378E8"/>
    <w:rsid w:val="00451314"/>
    <w:rsid w:val="00452E9D"/>
    <w:rsid w:val="004534C7"/>
    <w:rsid w:val="0045351E"/>
    <w:rsid w:val="004671AA"/>
    <w:rsid w:val="00480FB1"/>
    <w:rsid w:val="00483928"/>
    <w:rsid w:val="00491B56"/>
    <w:rsid w:val="004B09D6"/>
    <w:rsid w:val="004C331F"/>
    <w:rsid w:val="004D41DF"/>
    <w:rsid w:val="004D6103"/>
    <w:rsid w:val="004E3BCE"/>
    <w:rsid w:val="004E70AD"/>
    <w:rsid w:val="004F0E97"/>
    <w:rsid w:val="005017FE"/>
    <w:rsid w:val="00501DD1"/>
    <w:rsid w:val="00503475"/>
    <w:rsid w:val="00510382"/>
    <w:rsid w:val="005145C3"/>
    <w:rsid w:val="00515C21"/>
    <w:rsid w:val="005170EB"/>
    <w:rsid w:val="00530BD7"/>
    <w:rsid w:val="005457A1"/>
    <w:rsid w:val="00545CD2"/>
    <w:rsid w:val="005476F3"/>
    <w:rsid w:val="00572527"/>
    <w:rsid w:val="00573E40"/>
    <w:rsid w:val="00576348"/>
    <w:rsid w:val="005A0B2E"/>
    <w:rsid w:val="005A23D2"/>
    <w:rsid w:val="005A2CD2"/>
    <w:rsid w:val="005A36CB"/>
    <w:rsid w:val="005B49B8"/>
    <w:rsid w:val="005C0741"/>
    <w:rsid w:val="005C5EF4"/>
    <w:rsid w:val="005E2E0B"/>
    <w:rsid w:val="005E7A7D"/>
    <w:rsid w:val="005F4053"/>
    <w:rsid w:val="005F6244"/>
    <w:rsid w:val="00602457"/>
    <w:rsid w:val="006177CF"/>
    <w:rsid w:val="00635DDC"/>
    <w:rsid w:val="00644FC3"/>
    <w:rsid w:val="00646BD1"/>
    <w:rsid w:val="006561C2"/>
    <w:rsid w:val="006619C3"/>
    <w:rsid w:val="00663D59"/>
    <w:rsid w:val="00666D50"/>
    <w:rsid w:val="00671CB3"/>
    <w:rsid w:val="0067490D"/>
    <w:rsid w:val="00674BAF"/>
    <w:rsid w:val="00682200"/>
    <w:rsid w:val="00684660"/>
    <w:rsid w:val="00692BF6"/>
    <w:rsid w:val="00692F7F"/>
    <w:rsid w:val="006A1497"/>
    <w:rsid w:val="006A1831"/>
    <w:rsid w:val="006A1D7C"/>
    <w:rsid w:val="006B0BD1"/>
    <w:rsid w:val="006B5404"/>
    <w:rsid w:val="006C0C84"/>
    <w:rsid w:val="006C7A10"/>
    <w:rsid w:val="006D19AB"/>
    <w:rsid w:val="006D20A5"/>
    <w:rsid w:val="006D37BF"/>
    <w:rsid w:val="00702E22"/>
    <w:rsid w:val="0072020E"/>
    <w:rsid w:val="00734504"/>
    <w:rsid w:val="00743251"/>
    <w:rsid w:val="007826B0"/>
    <w:rsid w:val="00786071"/>
    <w:rsid w:val="007A2D7F"/>
    <w:rsid w:val="007A3ECB"/>
    <w:rsid w:val="007B0926"/>
    <w:rsid w:val="007B1391"/>
    <w:rsid w:val="007D7BB3"/>
    <w:rsid w:val="007E137D"/>
    <w:rsid w:val="0080473C"/>
    <w:rsid w:val="00824AB9"/>
    <w:rsid w:val="00836B35"/>
    <w:rsid w:val="00843BDE"/>
    <w:rsid w:val="00856BB6"/>
    <w:rsid w:val="00865454"/>
    <w:rsid w:val="00873F4B"/>
    <w:rsid w:val="0087588C"/>
    <w:rsid w:val="0088564E"/>
    <w:rsid w:val="00894044"/>
    <w:rsid w:val="0089705C"/>
    <w:rsid w:val="008A6D43"/>
    <w:rsid w:val="008B491E"/>
    <w:rsid w:val="008C1A28"/>
    <w:rsid w:val="008C1F69"/>
    <w:rsid w:val="008C2E98"/>
    <w:rsid w:val="008E34CB"/>
    <w:rsid w:val="008E49BD"/>
    <w:rsid w:val="008E53E9"/>
    <w:rsid w:val="008E5771"/>
    <w:rsid w:val="008F4ACF"/>
    <w:rsid w:val="00902A73"/>
    <w:rsid w:val="00915087"/>
    <w:rsid w:val="0092392A"/>
    <w:rsid w:val="00924166"/>
    <w:rsid w:val="00932FDD"/>
    <w:rsid w:val="009355DE"/>
    <w:rsid w:val="00940B9B"/>
    <w:rsid w:val="00952A98"/>
    <w:rsid w:val="0095676E"/>
    <w:rsid w:val="00956983"/>
    <w:rsid w:val="009605CB"/>
    <w:rsid w:val="00963CF0"/>
    <w:rsid w:val="00964BB1"/>
    <w:rsid w:val="009771A2"/>
    <w:rsid w:val="009775D9"/>
    <w:rsid w:val="00986785"/>
    <w:rsid w:val="00997175"/>
    <w:rsid w:val="009A1847"/>
    <w:rsid w:val="009B062A"/>
    <w:rsid w:val="009E7C6F"/>
    <w:rsid w:val="009F06C2"/>
    <w:rsid w:val="009F1793"/>
    <w:rsid w:val="009F2D23"/>
    <w:rsid w:val="00A01D69"/>
    <w:rsid w:val="00A02335"/>
    <w:rsid w:val="00A10408"/>
    <w:rsid w:val="00A12276"/>
    <w:rsid w:val="00A229F3"/>
    <w:rsid w:val="00A34C84"/>
    <w:rsid w:val="00A34F7B"/>
    <w:rsid w:val="00A46C9A"/>
    <w:rsid w:val="00A619F3"/>
    <w:rsid w:val="00A62A73"/>
    <w:rsid w:val="00A87FF6"/>
    <w:rsid w:val="00AA0A3B"/>
    <w:rsid w:val="00AA2763"/>
    <w:rsid w:val="00AA33B6"/>
    <w:rsid w:val="00AB3F20"/>
    <w:rsid w:val="00AB50CA"/>
    <w:rsid w:val="00AB6D64"/>
    <w:rsid w:val="00AC53CE"/>
    <w:rsid w:val="00AD2193"/>
    <w:rsid w:val="00AD49D6"/>
    <w:rsid w:val="00AF2AC7"/>
    <w:rsid w:val="00AF74CE"/>
    <w:rsid w:val="00B07119"/>
    <w:rsid w:val="00B208DB"/>
    <w:rsid w:val="00B2327D"/>
    <w:rsid w:val="00B23F69"/>
    <w:rsid w:val="00B27D58"/>
    <w:rsid w:val="00B60619"/>
    <w:rsid w:val="00B62E92"/>
    <w:rsid w:val="00B64363"/>
    <w:rsid w:val="00B66A70"/>
    <w:rsid w:val="00B67366"/>
    <w:rsid w:val="00B80EE1"/>
    <w:rsid w:val="00B84135"/>
    <w:rsid w:val="00BB5299"/>
    <w:rsid w:val="00BB7C23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C4812"/>
    <w:rsid w:val="00CD4F85"/>
    <w:rsid w:val="00CD6F02"/>
    <w:rsid w:val="00CE1E1D"/>
    <w:rsid w:val="00CE246D"/>
    <w:rsid w:val="00CE3D86"/>
    <w:rsid w:val="00CF07A0"/>
    <w:rsid w:val="00CF3E03"/>
    <w:rsid w:val="00D0082A"/>
    <w:rsid w:val="00D019D7"/>
    <w:rsid w:val="00D21455"/>
    <w:rsid w:val="00D4347B"/>
    <w:rsid w:val="00D45E04"/>
    <w:rsid w:val="00D47634"/>
    <w:rsid w:val="00D709B3"/>
    <w:rsid w:val="00D83C9F"/>
    <w:rsid w:val="00DA2ED6"/>
    <w:rsid w:val="00DA382C"/>
    <w:rsid w:val="00DB76B8"/>
    <w:rsid w:val="00DC03EC"/>
    <w:rsid w:val="00DC2EA1"/>
    <w:rsid w:val="00DD6AAF"/>
    <w:rsid w:val="00DE3F5C"/>
    <w:rsid w:val="00DF1D20"/>
    <w:rsid w:val="00E21324"/>
    <w:rsid w:val="00E246B9"/>
    <w:rsid w:val="00E30C60"/>
    <w:rsid w:val="00E31FEA"/>
    <w:rsid w:val="00E422E6"/>
    <w:rsid w:val="00E45169"/>
    <w:rsid w:val="00E4700E"/>
    <w:rsid w:val="00E47787"/>
    <w:rsid w:val="00E51C30"/>
    <w:rsid w:val="00E538B8"/>
    <w:rsid w:val="00E54FC3"/>
    <w:rsid w:val="00E64180"/>
    <w:rsid w:val="00E64DE4"/>
    <w:rsid w:val="00E74AEE"/>
    <w:rsid w:val="00E868E5"/>
    <w:rsid w:val="00E9192F"/>
    <w:rsid w:val="00E9237A"/>
    <w:rsid w:val="00E939FA"/>
    <w:rsid w:val="00EA425D"/>
    <w:rsid w:val="00EA5765"/>
    <w:rsid w:val="00EA6F14"/>
    <w:rsid w:val="00EC2532"/>
    <w:rsid w:val="00ED5E61"/>
    <w:rsid w:val="00ED6714"/>
    <w:rsid w:val="00ED7812"/>
    <w:rsid w:val="00EE73F3"/>
    <w:rsid w:val="00EF3B86"/>
    <w:rsid w:val="00F2094F"/>
    <w:rsid w:val="00F317E9"/>
    <w:rsid w:val="00F34554"/>
    <w:rsid w:val="00F44965"/>
    <w:rsid w:val="00F44E52"/>
    <w:rsid w:val="00F45F77"/>
    <w:rsid w:val="00F5167F"/>
    <w:rsid w:val="00F52258"/>
    <w:rsid w:val="00F8570A"/>
    <w:rsid w:val="00F91C7B"/>
    <w:rsid w:val="00FA276E"/>
    <w:rsid w:val="00FB0071"/>
    <w:rsid w:val="00FB0C94"/>
    <w:rsid w:val="00FC3E25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171A02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Indent3">
    <w:name w:val="Body Text Indent 3"/>
    <w:basedOn w:val="Normal"/>
    <w:link w:val="BodyTextIndent3Char"/>
    <w:rsid w:val="0002115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2115E"/>
    <w:rPr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9605C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F936-6649-45BD-A0E7-622755A7E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7062</Words>
  <Characters>40259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47227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Ninoslava Lalatović</cp:lastModifiedBy>
  <cp:revision>3</cp:revision>
  <dcterms:created xsi:type="dcterms:W3CDTF">2025-06-02T06:21:00Z</dcterms:created>
  <dcterms:modified xsi:type="dcterms:W3CDTF">2025-06-02T08:44:00Z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