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50A20" w14:textId="77777777" w:rsidR="006D66DC" w:rsidRDefault="006D66DC" w:rsidP="00A016B7">
      <w:pPr>
        <w:tabs>
          <w:tab w:val="left" w:pos="540"/>
          <w:tab w:val="left" w:pos="569"/>
        </w:tabs>
        <w:jc w:val="center"/>
        <w:rPr>
          <w:b/>
          <w:bCs/>
          <w:sz w:val="22"/>
          <w:szCs w:val="22"/>
          <w:lang w:val="sv-SE"/>
        </w:rPr>
      </w:pPr>
      <w:bookmarkStart w:id="0" w:name="_GoBack"/>
      <w:bookmarkEnd w:id="0"/>
    </w:p>
    <w:p w14:paraId="726C1B63" w14:textId="019DC46C" w:rsidR="00A016B7" w:rsidRPr="00EB2BF2" w:rsidRDefault="00A016B7" w:rsidP="00A016B7">
      <w:pPr>
        <w:tabs>
          <w:tab w:val="left" w:pos="540"/>
          <w:tab w:val="left" w:pos="569"/>
        </w:tabs>
        <w:jc w:val="center"/>
        <w:rPr>
          <w:b/>
          <w:bCs/>
          <w:sz w:val="22"/>
          <w:szCs w:val="22"/>
          <w:lang w:val="sr-Latn-RS"/>
        </w:rPr>
      </w:pPr>
      <w:r w:rsidRPr="00EB2BF2">
        <w:rPr>
          <w:b/>
          <w:bCs/>
          <w:sz w:val="22"/>
          <w:szCs w:val="22"/>
          <w:lang w:val="sr-Latn-RS"/>
        </w:rPr>
        <w:t>SAŽETAK KARAKTERISTIKA LIJEKA</w:t>
      </w:r>
    </w:p>
    <w:p w14:paraId="38639A3A" w14:textId="49680E2C" w:rsidR="00A016B7" w:rsidRPr="00EB2BF2" w:rsidRDefault="00A016B7" w:rsidP="00F5167F">
      <w:pPr>
        <w:tabs>
          <w:tab w:val="left" w:pos="540"/>
          <w:tab w:val="left" w:pos="569"/>
        </w:tabs>
        <w:rPr>
          <w:b/>
          <w:bCs/>
          <w:sz w:val="22"/>
          <w:szCs w:val="22"/>
          <w:lang w:val="sr-Latn-RS"/>
        </w:rPr>
      </w:pPr>
    </w:p>
    <w:p w14:paraId="37F482E1" w14:textId="77777777" w:rsidR="006D66DC" w:rsidRPr="00EB2BF2" w:rsidRDefault="006D66DC" w:rsidP="00F5167F">
      <w:pPr>
        <w:tabs>
          <w:tab w:val="left" w:pos="540"/>
          <w:tab w:val="left" w:pos="569"/>
        </w:tabs>
        <w:rPr>
          <w:b/>
          <w:bCs/>
          <w:sz w:val="22"/>
          <w:szCs w:val="22"/>
          <w:lang w:val="sr-Latn-RS"/>
        </w:rPr>
      </w:pPr>
    </w:p>
    <w:p w14:paraId="6020873F" w14:textId="77777777" w:rsidR="00411B4B" w:rsidRPr="00EB2BF2" w:rsidRDefault="00411B4B" w:rsidP="00F5167F">
      <w:pPr>
        <w:tabs>
          <w:tab w:val="left" w:pos="540"/>
          <w:tab w:val="left" w:pos="569"/>
        </w:tabs>
        <w:rPr>
          <w:b/>
          <w:bCs/>
          <w:sz w:val="22"/>
          <w:szCs w:val="22"/>
          <w:lang w:val="sr-Latn-RS"/>
        </w:rPr>
      </w:pPr>
      <w:r w:rsidRPr="00EB2BF2">
        <w:rPr>
          <w:b/>
          <w:bCs/>
          <w:sz w:val="22"/>
          <w:szCs w:val="22"/>
          <w:lang w:val="sr-Latn-RS"/>
        </w:rPr>
        <w:t>1.</w:t>
      </w:r>
      <w:r w:rsidR="00F5167F" w:rsidRPr="00EB2BF2">
        <w:rPr>
          <w:b/>
          <w:bCs/>
          <w:sz w:val="22"/>
          <w:szCs w:val="22"/>
          <w:lang w:val="sr-Latn-RS"/>
        </w:rPr>
        <w:tab/>
      </w:r>
      <w:r w:rsidR="002846DB" w:rsidRPr="00EB2BF2">
        <w:rPr>
          <w:b/>
          <w:bCs/>
          <w:sz w:val="22"/>
          <w:szCs w:val="22"/>
          <w:lang w:val="sr-Latn-RS"/>
        </w:rPr>
        <w:t xml:space="preserve">NAZIV </w:t>
      </w:r>
      <w:r w:rsidRPr="00EB2BF2">
        <w:rPr>
          <w:b/>
          <w:bCs/>
          <w:sz w:val="22"/>
          <w:szCs w:val="22"/>
          <w:lang w:val="sr-Latn-RS"/>
        </w:rPr>
        <w:t>LIJEKA</w:t>
      </w:r>
    </w:p>
    <w:p w14:paraId="32371422" w14:textId="77777777" w:rsidR="006D66DC" w:rsidRPr="00EB2BF2" w:rsidRDefault="006D66DC" w:rsidP="00F9103C">
      <w:pPr>
        <w:widowControl w:val="0"/>
        <w:autoSpaceDE w:val="0"/>
        <w:autoSpaceDN w:val="0"/>
        <w:rPr>
          <w:bCs/>
          <w:sz w:val="22"/>
          <w:szCs w:val="22"/>
          <w:lang w:val="sr-Latn-RS"/>
        </w:rPr>
      </w:pPr>
    </w:p>
    <w:p w14:paraId="5AF17678" w14:textId="214D972A" w:rsidR="00F9103C" w:rsidRPr="00EB2BF2" w:rsidRDefault="00670431" w:rsidP="00EB2BF2">
      <w:pPr>
        <w:widowControl w:val="0"/>
        <w:autoSpaceDE w:val="0"/>
        <w:autoSpaceDN w:val="0"/>
        <w:jc w:val="both"/>
        <w:rPr>
          <w:bCs/>
          <w:sz w:val="22"/>
          <w:szCs w:val="22"/>
          <w:lang w:val="sr-Latn-RS"/>
        </w:rPr>
      </w:pPr>
      <w:r w:rsidRPr="00EB2BF2">
        <w:rPr>
          <w:bCs/>
          <w:sz w:val="22"/>
          <w:szCs w:val="22"/>
          <w:lang w:val="sr-Latn-RS"/>
        </w:rPr>
        <w:t>Clindamycin-MIP</w:t>
      </w:r>
      <w:r w:rsidR="00F9103C" w:rsidRPr="00EB2BF2">
        <w:rPr>
          <w:bCs/>
          <w:sz w:val="22"/>
          <w:szCs w:val="22"/>
          <w:lang w:val="sr-Latn-RS"/>
        </w:rPr>
        <w:t>, 300 mg, film tablet</w:t>
      </w:r>
      <w:r w:rsidR="006D66DC" w:rsidRPr="00EB2BF2">
        <w:rPr>
          <w:bCs/>
          <w:sz w:val="22"/>
          <w:szCs w:val="22"/>
          <w:lang w:val="sr-Latn-RS"/>
        </w:rPr>
        <w:t>a</w:t>
      </w:r>
    </w:p>
    <w:p w14:paraId="7C5AB9B9" w14:textId="092D6E56" w:rsidR="00F9103C" w:rsidRPr="00EB2BF2" w:rsidRDefault="00670431" w:rsidP="00EB2BF2">
      <w:pPr>
        <w:widowControl w:val="0"/>
        <w:autoSpaceDE w:val="0"/>
        <w:autoSpaceDN w:val="0"/>
        <w:jc w:val="both"/>
        <w:rPr>
          <w:b/>
          <w:sz w:val="22"/>
          <w:szCs w:val="22"/>
          <w:lang w:val="sr-Latn-RS"/>
        </w:rPr>
      </w:pPr>
      <w:r w:rsidRPr="00EB2BF2">
        <w:rPr>
          <w:bCs/>
          <w:sz w:val="22"/>
          <w:szCs w:val="22"/>
          <w:lang w:val="sr-Latn-RS"/>
        </w:rPr>
        <w:t>Clindamycin-MIP</w:t>
      </w:r>
      <w:r w:rsidR="00F9103C" w:rsidRPr="00EB2BF2">
        <w:rPr>
          <w:bCs/>
          <w:sz w:val="22"/>
          <w:szCs w:val="22"/>
          <w:lang w:val="sr-Latn-RS"/>
        </w:rPr>
        <w:t>, 600 mg, film tablet</w:t>
      </w:r>
      <w:r w:rsidR="006D66DC" w:rsidRPr="00EB2BF2">
        <w:rPr>
          <w:bCs/>
          <w:sz w:val="22"/>
          <w:szCs w:val="22"/>
          <w:lang w:val="sr-Latn-RS"/>
        </w:rPr>
        <w:t>a</w:t>
      </w:r>
    </w:p>
    <w:p w14:paraId="3F93F022" w14:textId="77777777" w:rsidR="00EC2532" w:rsidRPr="00EB2BF2" w:rsidRDefault="00EC2532" w:rsidP="00EB2BF2">
      <w:pPr>
        <w:jc w:val="both"/>
        <w:rPr>
          <w:sz w:val="22"/>
          <w:szCs w:val="22"/>
          <w:lang w:val="sr-Latn-RS"/>
        </w:rPr>
      </w:pPr>
    </w:p>
    <w:p w14:paraId="297020FE" w14:textId="77777777" w:rsidR="00411B4B" w:rsidRPr="00EB2BF2" w:rsidRDefault="00411B4B" w:rsidP="00EB2BF2">
      <w:pPr>
        <w:jc w:val="both"/>
        <w:rPr>
          <w:sz w:val="22"/>
          <w:szCs w:val="22"/>
          <w:lang w:val="sr-Latn-RS"/>
        </w:rPr>
      </w:pPr>
      <w:r w:rsidRPr="00EB2BF2">
        <w:rPr>
          <w:sz w:val="22"/>
          <w:szCs w:val="22"/>
          <w:lang w:val="sr-Latn-RS"/>
        </w:rPr>
        <w:t>INN:</w:t>
      </w:r>
      <w:r w:rsidR="00F9103C" w:rsidRPr="00EB2BF2">
        <w:rPr>
          <w:sz w:val="22"/>
          <w:szCs w:val="22"/>
          <w:lang w:val="sr-Latn-RS"/>
        </w:rPr>
        <w:t xml:space="preserve"> klindamicin</w:t>
      </w:r>
    </w:p>
    <w:p w14:paraId="4DAE858B" w14:textId="77777777" w:rsidR="000D425A" w:rsidRPr="00EB2BF2" w:rsidRDefault="000D425A">
      <w:pPr>
        <w:rPr>
          <w:bCs/>
          <w:sz w:val="22"/>
          <w:szCs w:val="22"/>
          <w:lang w:val="sr-Latn-RS"/>
        </w:rPr>
      </w:pPr>
    </w:p>
    <w:p w14:paraId="3B45F419" w14:textId="77777777" w:rsidR="00530BD7" w:rsidRPr="00EB2BF2" w:rsidRDefault="00530BD7">
      <w:pPr>
        <w:rPr>
          <w:bCs/>
          <w:sz w:val="22"/>
          <w:szCs w:val="22"/>
          <w:lang w:val="sr-Latn-RS"/>
        </w:rPr>
      </w:pPr>
    </w:p>
    <w:p w14:paraId="05B22B51" w14:textId="77777777" w:rsidR="00411B4B" w:rsidRPr="00EB2BF2" w:rsidRDefault="00411B4B" w:rsidP="00F5167F">
      <w:pPr>
        <w:tabs>
          <w:tab w:val="left" w:pos="540"/>
          <w:tab w:val="left" w:pos="569"/>
        </w:tabs>
        <w:rPr>
          <w:b/>
          <w:bCs/>
          <w:sz w:val="22"/>
          <w:szCs w:val="22"/>
          <w:lang w:val="sr-Latn-RS"/>
        </w:rPr>
      </w:pPr>
      <w:r w:rsidRPr="00EB2BF2">
        <w:rPr>
          <w:b/>
          <w:bCs/>
          <w:sz w:val="22"/>
          <w:szCs w:val="22"/>
          <w:lang w:val="sr-Latn-RS"/>
        </w:rPr>
        <w:t xml:space="preserve">2. </w:t>
      </w:r>
      <w:r w:rsidR="00F5167F" w:rsidRPr="00EB2BF2">
        <w:rPr>
          <w:b/>
          <w:bCs/>
          <w:sz w:val="22"/>
          <w:szCs w:val="22"/>
          <w:lang w:val="sr-Latn-RS"/>
        </w:rPr>
        <w:tab/>
      </w:r>
      <w:r w:rsidRPr="00EB2BF2">
        <w:rPr>
          <w:b/>
          <w:bCs/>
          <w:sz w:val="22"/>
          <w:szCs w:val="22"/>
          <w:lang w:val="sr-Latn-RS"/>
        </w:rPr>
        <w:t>KVALITATIVNI I KVANTITATIVNI SASTAV</w:t>
      </w:r>
    </w:p>
    <w:p w14:paraId="1F3479CD" w14:textId="77777777" w:rsidR="00F9103C" w:rsidRPr="00EB2BF2" w:rsidRDefault="00F9103C" w:rsidP="00F5167F">
      <w:pPr>
        <w:tabs>
          <w:tab w:val="left" w:pos="540"/>
          <w:tab w:val="left" w:pos="569"/>
        </w:tabs>
        <w:rPr>
          <w:b/>
          <w:bCs/>
          <w:sz w:val="22"/>
          <w:szCs w:val="22"/>
          <w:lang w:val="sr-Latn-RS"/>
        </w:rPr>
      </w:pPr>
    </w:p>
    <w:p w14:paraId="3B3169DE" w14:textId="652D89A4" w:rsidR="00F9103C" w:rsidRPr="00EB2BF2" w:rsidRDefault="00670431" w:rsidP="00EB2BF2">
      <w:pPr>
        <w:jc w:val="both"/>
        <w:rPr>
          <w:sz w:val="22"/>
          <w:szCs w:val="22"/>
          <w:lang w:val="sr-Latn-RS"/>
        </w:rPr>
      </w:pPr>
      <w:r w:rsidRPr="00EB2BF2">
        <w:rPr>
          <w:bCs/>
          <w:sz w:val="22"/>
          <w:szCs w:val="22"/>
          <w:lang w:val="sr-Latn-RS"/>
        </w:rPr>
        <w:t>Clindamycin-MIP</w:t>
      </w:r>
      <w:r w:rsidR="00F9103C" w:rsidRPr="00EB2BF2">
        <w:rPr>
          <w:bCs/>
          <w:sz w:val="22"/>
          <w:szCs w:val="22"/>
          <w:lang w:val="sr-Latn-RS"/>
        </w:rPr>
        <w:t>, 300 mg: jedna</w:t>
      </w:r>
      <w:r w:rsidR="00F9103C" w:rsidRPr="00EB2BF2">
        <w:rPr>
          <w:sz w:val="22"/>
          <w:szCs w:val="22"/>
          <w:lang w:val="sr-Latn-RS"/>
        </w:rPr>
        <w:t xml:space="preserve"> film tableta sadrži 300 mg klindamicina (u obliku 344</w:t>
      </w:r>
      <w:r w:rsidR="008C3B82" w:rsidRPr="00EB2BF2">
        <w:rPr>
          <w:sz w:val="22"/>
          <w:szCs w:val="22"/>
          <w:lang w:val="sr-Latn-RS"/>
        </w:rPr>
        <w:t xml:space="preserve"> </w:t>
      </w:r>
      <w:r w:rsidR="00F9103C" w:rsidRPr="00EB2BF2">
        <w:rPr>
          <w:sz w:val="22"/>
          <w:szCs w:val="22"/>
          <w:lang w:val="sr-Latn-RS"/>
        </w:rPr>
        <w:t>mg klindamicin</w:t>
      </w:r>
      <w:r w:rsidR="006D66DC" w:rsidRPr="00EB2BF2">
        <w:rPr>
          <w:sz w:val="22"/>
          <w:szCs w:val="22"/>
          <w:lang w:val="sr-Latn-RS"/>
        </w:rPr>
        <w:t xml:space="preserve"> </w:t>
      </w:r>
      <w:r w:rsidR="00F9103C" w:rsidRPr="00EB2BF2">
        <w:rPr>
          <w:sz w:val="22"/>
          <w:szCs w:val="22"/>
          <w:lang w:val="sr-Latn-RS"/>
        </w:rPr>
        <w:t xml:space="preserve">hidrohlorida) </w:t>
      </w:r>
    </w:p>
    <w:p w14:paraId="71B72C8F" w14:textId="1BB3A3B2" w:rsidR="00F9103C" w:rsidRPr="00EB2BF2" w:rsidRDefault="00670431" w:rsidP="00EB2BF2">
      <w:pPr>
        <w:jc w:val="both"/>
        <w:rPr>
          <w:sz w:val="22"/>
          <w:szCs w:val="22"/>
          <w:lang w:val="sr-Latn-RS"/>
        </w:rPr>
      </w:pPr>
      <w:r w:rsidRPr="00EB2BF2">
        <w:rPr>
          <w:bCs/>
          <w:sz w:val="22"/>
          <w:szCs w:val="22"/>
          <w:lang w:val="sr-Latn-RS"/>
        </w:rPr>
        <w:t>Clindamycin-MIP</w:t>
      </w:r>
      <w:r w:rsidR="00F9103C" w:rsidRPr="00EB2BF2">
        <w:rPr>
          <w:bCs/>
          <w:sz w:val="22"/>
          <w:szCs w:val="22"/>
          <w:lang w:val="sr-Latn-RS"/>
        </w:rPr>
        <w:t>, 600 mg: jedna</w:t>
      </w:r>
      <w:r w:rsidR="00F9103C" w:rsidRPr="00EB2BF2">
        <w:rPr>
          <w:sz w:val="22"/>
          <w:szCs w:val="22"/>
          <w:lang w:val="sr-Latn-RS"/>
        </w:rPr>
        <w:t xml:space="preserve"> film tableta sadrži 600 mg klindamicina (u obliku 688</w:t>
      </w:r>
      <w:r w:rsidR="008C3B82" w:rsidRPr="00EB2BF2">
        <w:rPr>
          <w:sz w:val="22"/>
          <w:szCs w:val="22"/>
          <w:lang w:val="sr-Latn-RS"/>
        </w:rPr>
        <w:t xml:space="preserve"> </w:t>
      </w:r>
      <w:r w:rsidR="00F9103C" w:rsidRPr="00EB2BF2">
        <w:rPr>
          <w:sz w:val="22"/>
          <w:szCs w:val="22"/>
          <w:lang w:val="sr-Latn-RS"/>
        </w:rPr>
        <w:t>mg klindamicin</w:t>
      </w:r>
      <w:r w:rsidR="006D66DC" w:rsidRPr="00EB2BF2">
        <w:rPr>
          <w:sz w:val="22"/>
          <w:szCs w:val="22"/>
          <w:lang w:val="sr-Latn-RS"/>
        </w:rPr>
        <w:t xml:space="preserve"> </w:t>
      </w:r>
      <w:r w:rsidR="00F9103C" w:rsidRPr="00EB2BF2">
        <w:rPr>
          <w:sz w:val="22"/>
          <w:szCs w:val="22"/>
          <w:lang w:val="sr-Latn-RS"/>
        </w:rPr>
        <w:t xml:space="preserve">hidrohlorida) </w:t>
      </w:r>
    </w:p>
    <w:p w14:paraId="1B354BA9" w14:textId="77777777" w:rsidR="00670431" w:rsidRPr="00EB2BF2" w:rsidRDefault="00670431" w:rsidP="00EB2BF2">
      <w:pPr>
        <w:jc w:val="both"/>
        <w:rPr>
          <w:sz w:val="22"/>
          <w:szCs w:val="22"/>
          <w:lang w:val="sr-Latn-RS"/>
        </w:rPr>
      </w:pPr>
    </w:p>
    <w:p w14:paraId="66A44079" w14:textId="77777777" w:rsidR="005A0B2E" w:rsidRPr="00EB2BF2" w:rsidRDefault="00A016B7" w:rsidP="00EB2BF2">
      <w:pPr>
        <w:jc w:val="both"/>
        <w:rPr>
          <w:sz w:val="22"/>
          <w:szCs w:val="22"/>
          <w:lang w:val="sr-Latn-RS"/>
        </w:rPr>
      </w:pPr>
      <w:r w:rsidRPr="00EB2BF2">
        <w:rPr>
          <w:sz w:val="22"/>
          <w:szCs w:val="22"/>
          <w:lang w:val="sr-Latn-RS"/>
        </w:rPr>
        <w:t>Za spisak svih ekscipijenasa, pogledati dio 6.1.</w:t>
      </w:r>
    </w:p>
    <w:p w14:paraId="464A56FF" w14:textId="1E40EB17" w:rsidR="00E51C30" w:rsidRPr="00EB2BF2" w:rsidRDefault="00E51C30">
      <w:pPr>
        <w:rPr>
          <w:sz w:val="22"/>
          <w:szCs w:val="22"/>
          <w:lang w:val="sr-Latn-RS"/>
        </w:rPr>
      </w:pPr>
    </w:p>
    <w:p w14:paraId="3B878CC6" w14:textId="77777777" w:rsidR="00070139" w:rsidRPr="00EB2BF2" w:rsidRDefault="00070139">
      <w:pPr>
        <w:rPr>
          <w:sz w:val="22"/>
          <w:szCs w:val="22"/>
          <w:lang w:val="sr-Latn-RS"/>
        </w:rPr>
      </w:pPr>
    </w:p>
    <w:p w14:paraId="2CF843D6" w14:textId="77777777" w:rsidR="00411B4B" w:rsidRPr="00EB2BF2" w:rsidRDefault="00411B4B" w:rsidP="00F5167F">
      <w:pPr>
        <w:tabs>
          <w:tab w:val="left" w:pos="540"/>
          <w:tab w:val="left" w:pos="569"/>
        </w:tabs>
        <w:rPr>
          <w:b/>
          <w:bCs/>
          <w:sz w:val="22"/>
          <w:szCs w:val="22"/>
          <w:lang w:val="sr-Latn-RS"/>
        </w:rPr>
      </w:pPr>
      <w:r w:rsidRPr="00EB2BF2">
        <w:rPr>
          <w:b/>
          <w:bCs/>
          <w:sz w:val="22"/>
          <w:szCs w:val="22"/>
          <w:lang w:val="sr-Latn-RS"/>
        </w:rPr>
        <w:t xml:space="preserve">3. </w:t>
      </w:r>
      <w:r w:rsidR="00F5167F" w:rsidRPr="00EB2BF2">
        <w:rPr>
          <w:b/>
          <w:bCs/>
          <w:sz w:val="22"/>
          <w:szCs w:val="22"/>
          <w:lang w:val="sr-Latn-RS"/>
        </w:rPr>
        <w:tab/>
      </w:r>
      <w:r w:rsidRPr="00EB2BF2">
        <w:rPr>
          <w:b/>
          <w:bCs/>
          <w:sz w:val="22"/>
          <w:szCs w:val="22"/>
          <w:lang w:val="sr-Latn-RS"/>
        </w:rPr>
        <w:t>FARMACEUTSKI OBLIK</w:t>
      </w:r>
    </w:p>
    <w:p w14:paraId="4B4F425B" w14:textId="77777777" w:rsidR="00411B4B" w:rsidRPr="00EB2BF2" w:rsidRDefault="00411B4B">
      <w:pPr>
        <w:rPr>
          <w:bCs/>
          <w:sz w:val="22"/>
          <w:szCs w:val="22"/>
          <w:lang w:val="sr-Latn-RS"/>
        </w:rPr>
      </w:pPr>
    </w:p>
    <w:p w14:paraId="3AB18030" w14:textId="77777777" w:rsidR="00F9103C" w:rsidRPr="00EB2BF2" w:rsidRDefault="00F9103C" w:rsidP="00EB2BF2">
      <w:pPr>
        <w:pStyle w:val="Header"/>
        <w:tabs>
          <w:tab w:val="left" w:pos="284"/>
        </w:tabs>
        <w:rPr>
          <w:sz w:val="22"/>
          <w:szCs w:val="22"/>
          <w:lang w:val="sr-Latn-RS"/>
        </w:rPr>
      </w:pPr>
      <w:r w:rsidRPr="00EB2BF2">
        <w:rPr>
          <w:sz w:val="22"/>
          <w:szCs w:val="22"/>
          <w:lang w:val="sr-Latn-RS"/>
        </w:rPr>
        <w:t>Film tableta</w:t>
      </w:r>
    </w:p>
    <w:p w14:paraId="468F9731" w14:textId="77777777" w:rsidR="00F9103C" w:rsidRPr="00EB2BF2" w:rsidRDefault="00F9103C" w:rsidP="00EB2BF2">
      <w:pPr>
        <w:pStyle w:val="Header"/>
        <w:rPr>
          <w:bCs/>
          <w:sz w:val="22"/>
          <w:szCs w:val="22"/>
          <w:lang w:val="sr-Latn-RS"/>
        </w:rPr>
      </w:pPr>
    </w:p>
    <w:p w14:paraId="0DA7FFE8" w14:textId="33A8CA59" w:rsidR="00F9103C" w:rsidRPr="00EB2BF2" w:rsidRDefault="00670431" w:rsidP="00EB2BF2">
      <w:pPr>
        <w:pStyle w:val="Header"/>
        <w:rPr>
          <w:bCs/>
          <w:i/>
          <w:sz w:val="22"/>
          <w:szCs w:val="22"/>
          <w:lang w:val="sr-Latn-RS"/>
        </w:rPr>
      </w:pPr>
      <w:r w:rsidRPr="00EB2BF2">
        <w:rPr>
          <w:bCs/>
          <w:i/>
          <w:sz w:val="22"/>
          <w:szCs w:val="22"/>
          <w:lang w:val="sr-Latn-RS"/>
        </w:rPr>
        <w:t>Clindamycin-MIP</w:t>
      </w:r>
      <w:r w:rsidR="00F9103C" w:rsidRPr="00EB2BF2">
        <w:rPr>
          <w:bCs/>
          <w:i/>
          <w:sz w:val="22"/>
          <w:szCs w:val="22"/>
          <w:lang w:val="sr-Latn-RS"/>
        </w:rPr>
        <w:t xml:space="preserve">, 300 mg: </w:t>
      </w:r>
    </w:p>
    <w:p w14:paraId="0111173D" w14:textId="397D2B16" w:rsidR="00F9103C" w:rsidRPr="00EB2BF2" w:rsidRDefault="00AC7040" w:rsidP="00EB2BF2">
      <w:pPr>
        <w:pStyle w:val="Header"/>
        <w:rPr>
          <w:bCs/>
          <w:sz w:val="22"/>
          <w:szCs w:val="22"/>
          <w:lang w:val="sr-Latn-RS"/>
        </w:rPr>
      </w:pPr>
      <w:r w:rsidRPr="00EB2BF2">
        <w:rPr>
          <w:bCs/>
          <w:sz w:val="22"/>
          <w:szCs w:val="22"/>
          <w:lang w:val="sr-Latn-RS"/>
        </w:rPr>
        <w:t>B</w:t>
      </w:r>
      <w:r w:rsidR="00670431" w:rsidRPr="00EB2BF2">
        <w:rPr>
          <w:bCs/>
          <w:sz w:val="22"/>
          <w:szCs w:val="22"/>
          <w:lang w:val="sr-Latn-RS"/>
        </w:rPr>
        <w:t>ijele, okrugle, bikonveksne film tablete</w:t>
      </w:r>
    </w:p>
    <w:p w14:paraId="07B53C3B" w14:textId="77777777" w:rsidR="00F9103C" w:rsidRPr="00EB2BF2" w:rsidRDefault="00F9103C" w:rsidP="00EB2BF2">
      <w:pPr>
        <w:pStyle w:val="Header"/>
        <w:rPr>
          <w:bCs/>
          <w:sz w:val="22"/>
          <w:szCs w:val="22"/>
          <w:lang w:val="sr-Latn-RS"/>
        </w:rPr>
      </w:pPr>
    </w:p>
    <w:p w14:paraId="4ED45855" w14:textId="6D678A60" w:rsidR="00F9103C" w:rsidRPr="00EB2BF2" w:rsidRDefault="00670431" w:rsidP="00EB2BF2">
      <w:pPr>
        <w:pStyle w:val="Header"/>
        <w:tabs>
          <w:tab w:val="left" w:pos="284"/>
        </w:tabs>
        <w:rPr>
          <w:bCs/>
          <w:i/>
          <w:sz w:val="22"/>
          <w:szCs w:val="22"/>
          <w:lang w:val="sr-Latn-RS"/>
        </w:rPr>
      </w:pPr>
      <w:r w:rsidRPr="00EB2BF2">
        <w:rPr>
          <w:bCs/>
          <w:i/>
          <w:sz w:val="22"/>
          <w:szCs w:val="22"/>
          <w:lang w:val="sr-Latn-RS"/>
        </w:rPr>
        <w:t>Clindamycin-MIP</w:t>
      </w:r>
      <w:r w:rsidR="00F9103C" w:rsidRPr="00EB2BF2">
        <w:rPr>
          <w:bCs/>
          <w:i/>
          <w:sz w:val="22"/>
          <w:szCs w:val="22"/>
          <w:lang w:val="sr-Latn-RS"/>
        </w:rPr>
        <w:t xml:space="preserve">, 600 mg: </w:t>
      </w:r>
    </w:p>
    <w:p w14:paraId="434DA35C" w14:textId="70BCDB79" w:rsidR="00F9103C" w:rsidRPr="00EB2BF2" w:rsidRDefault="00AC7040" w:rsidP="00EB2BF2">
      <w:pPr>
        <w:pStyle w:val="Header"/>
        <w:tabs>
          <w:tab w:val="left" w:pos="284"/>
        </w:tabs>
        <w:rPr>
          <w:bCs/>
          <w:sz w:val="22"/>
          <w:szCs w:val="22"/>
          <w:lang w:val="sr-Latn-RS"/>
        </w:rPr>
      </w:pPr>
      <w:r w:rsidRPr="00EB2BF2">
        <w:rPr>
          <w:bCs/>
          <w:sz w:val="22"/>
          <w:szCs w:val="22"/>
          <w:lang w:val="sr-Latn-RS"/>
        </w:rPr>
        <w:t>B</w:t>
      </w:r>
      <w:r w:rsidR="00C15DC6" w:rsidRPr="00EB2BF2">
        <w:rPr>
          <w:bCs/>
          <w:sz w:val="22"/>
          <w:szCs w:val="22"/>
          <w:lang w:val="sr-Latn-RS"/>
        </w:rPr>
        <w:t xml:space="preserve">ijele, </w:t>
      </w:r>
      <w:r w:rsidR="00F9103C" w:rsidRPr="00EB2BF2">
        <w:rPr>
          <w:bCs/>
          <w:sz w:val="22"/>
          <w:szCs w:val="22"/>
          <w:lang w:val="sr-Latn-RS"/>
        </w:rPr>
        <w:t>duguljaste</w:t>
      </w:r>
      <w:r w:rsidRPr="00EB2BF2">
        <w:rPr>
          <w:bCs/>
          <w:sz w:val="22"/>
          <w:szCs w:val="22"/>
          <w:lang w:val="sr-Latn-RS"/>
        </w:rPr>
        <w:t xml:space="preserve"> </w:t>
      </w:r>
      <w:r w:rsidR="00F9103C" w:rsidRPr="00EB2BF2">
        <w:rPr>
          <w:bCs/>
          <w:sz w:val="22"/>
          <w:szCs w:val="22"/>
          <w:lang w:val="sr-Latn-RS"/>
        </w:rPr>
        <w:t xml:space="preserve">film tablete, koje sa </w:t>
      </w:r>
      <w:r w:rsidR="00C15DC6" w:rsidRPr="00EB2BF2">
        <w:rPr>
          <w:bCs/>
          <w:sz w:val="22"/>
          <w:szCs w:val="22"/>
          <w:lang w:val="sr-Latn-RS"/>
        </w:rPr>
        <w:t>obje strane imaju utisnutu podi</w:t>
      </w:r>
      <w:r w:rsidR="00F9103C" w:rsidRPr="00EB2BF2">
        <w:rPr>
          <w:bCs/>
          <w:sz w:val="22"/>
          <w:szCs w:val="22"/>
          <w:lang w:val="sr-Latn-RS"/>
        </w:rPr>
        <w:t>onu crtu.</w:t>
      </w:r>
    </w:p>
    <w:p w14:paraId="585687FF" w14:textId="38FEBF95" w:rsidR="003B1E28" w:rsidRPr="00EB2BF2" w:rsidRDefault="003B1E28" w:rsidP="00EB2BF2">
      <w:pPr>
        <w:pStyle w:val="Header"/>
        <w:tabs>
          <w:tab w:val="left" w:pos="284"/>
        </w:tabs>
        <w:rPr>
          <w:bCs/>
          <w:sz w:val="22"/>
          <w:szCs w:val="22"/>
          <w:lang w:val="sr-Latn-RS"/>
        </w:rPr>
      </w:pPr>
      <w:r w:rsidRPr="00EB2BF2">
        <w:rPr>
          <w:bCs/>
          <w:sz w:val="22"/>
          <w:szCs w:val="22"/>
          <w:lang w:val="sr-Latn-RS"/>
        </w:rPr>
        <w:t>Film tableta se može podijeliti na jednake doze.</w:t>
      </w:r>
    </w:p>
    <w:p w14:paraId="1480E6ED" w14:textId="0E2BDB07" w:rsidR="00EC2532" w:rsidRDefault="00EC2532" w:rsidP="00EB2BF2">
      <w:pPr>
        <w:jc w:val="both"/>
        <w:rPr>
          <w:bCs/>
          <w:sz w:val="22"/>
          <w:szCs w:val="22"/>
          <w:lang w:val="sr-Latn-RS"/>
        </w:rPr>
      </w:pPr>
    </w:p>
    <w:p w14:paraId="437E5EC1" w14:textId="77777777" w:rsidR="00EB2BF2" w:rsidRPr="00EB2BF2" w:rsidRDefault="00EB2BF2" w:rsidP="00EB2BF2">
      <w:pPr>
        <w:jc w:val="both"/>
        <w:rPr>
          <w:bCs/>
          <w:sz w:val="22"/>
          <w:szCs w:val="22"/>
          <w:lang w:val="sr-Latn-RS"/>
        </w:rPr>
      </w:pPr>
    </w:p>
    <w:p w14:paraId="3027D828" w14:textId="77777777" w:rsidR="00411B4B" w:rsidRPr="00EB2BF2" w:rsidRDefault="00411B4B" w:rsidP="00F5167F">
      <w:pPr>
        <w:tabs>
          <w:tab w:val="left" w:pos="540"/>
          <w:tab w:val="left" w:pos="569"/>
        </w:tabs>
        <w:rPr>
          <w:b/>
          <w:bCs/>
          <w:sz w:val="22"/>
          <w:szCs w:val="22"/>
          <w:lang w:val="sr-Latn-RS"/>
        </w:rPr>
      </w:pPr>
      <w:r w:rsidRPr="00EB2BF2">
        <w:rPr>
          <w:b/>
          <w:bCs/>
          <w:sz w:val="22"/>
          <w:szCs w:val="22"/>
          <w:lang w:val="sr-Latn-RS"/>
        </w:rPr>
        <w:t xml:space="preserve">4. </w:t>
      </w:r>
      <w:r w:rsidR="00480FB1" w:rsidRPr="00EB2BF2">
        <w:rPr>
          <w:b/>
          <w:bCs/>
          <w:sz w:val="22"/>
          <w:szCs w:val="22"/>
          <w:lang w:val="sr-Latn-RS"/>
        </w:rPr>
        <w:tab/>
      </w:r>
      <w:r w:rsidRPr="00EB2BF2">
        <w:rPr>
          <w:b/>
          <w:bCs/>
          <w:sz w:val="22"/>
          <w:szCs w:val="22"/>
          <w:lang w:val="sr-Latn-RS"/>
        </w:rPr>
        <w:t>KLINIČKI PODACI</w:t>
      </w:r>
    </w:p>
    <w:p w14:paraId="039C4A01" w14:textId="77777777" w:rsidR="00CD6F02" w:rsidRPr="00EB2BF2" w:rsidRDefault="00CD6F02" w:rsidP="00480FB1">
      <w:pPr>
        <w:tabs>
          <w:tab w:val="left" w:pos="540"/>
          <w:tab w:val="left" w:pos="569"/>
        </w:tabs>
        <w:rPr>
          <w:bCs/>
          <w:sz w:val="22"/>
          <w:szCs w:val="22"/>
          <w:lang w:val="sr-Latn-RS"/>
        </w:rPr>
      </w:pPr>
    </w:p>
    <w:p w14:paraId="1DCFC92E" w14:textId="77777777" w:rsidR="00411B4B" w:rsidRPr="00EB2BF2" w:rsidRDefault="00411B4B" w:rsidP="00480FB1">
      <w:pPr>
        <w:tabs>
          <w:tab w:val="left" w:pos="540"/>
          <w:tab w:val="left" w:pos="569"/>
        </w:tabs>
        <w:rPr>
          <w:b/>
          <w:bCs/>
          <w:sz w:val="22"/>
          <w:szCs w:val="22"/>
          <w:lang w:val="sr-Latn-RS"/>
        </w:rPr>
      </w:pPr>
      <w:r w:rsidRPr="00EB2BF2">
        <w:rPr>
          <w:b/>
          <w:bCs/>
          <w:sz w:val="22"/>
          <w:szCs w:val="22"/>
          <w:lang w:val="sr-Latn-RS"/>
        </w:rPr>
        <w:t xml:space="preserve">4.1. </w:t>
      </w:r>
      <w:r w:rsidR="00480FB1" w:rsidRPr="00EB2BF2">
        <w:rPr>
          <w:b/>
          <w:bCs/>
          <w:sz w:val="22"/>
          <w:szCs w:val="22"/>
          <w:lang w:val="sr-Latn-RS"/>
        </w:rPr>
        <w:tab/>
      </w:r>
      <w:r w:rsidRPr="00EB2BF2">
        <w:rPr>
          <w:b/>
          <w:bCs/>
          <w:sz w:val="22"/>
          <w:szCs w:val="22"/>
          <w:lang w:val="sr-Latn-RS"/>
        </w:rPr>
        <w:t>Terapijske indikacije</w:t>
      </w:r>
    </w:p>
    <w:p w14:paraId="4765A1C2" w14:textId="77777777" w:rsidR="00F9103C" w:rsidRPr="00EB2BF2" w:rsidRDefault="00F9103C" w:rsidP="00480FB1">
      <w:pPr>
        <w:tabs>
          <w:tab w:val="left" w:pos="540"/>
          <w:tab w:val="left" w:pos="569"/>
        </w:tabs>
        <w:rPr>
          <w:b/>
          <w:bCs/>
          <w:sz w:val="22"/>
          <w:szCs w:val="22"/>
          <w:lang w:val="sr-Latn-RS"/>
        </w:rPr>
      </w:pPr>
    </w:p>
    <w:p w14:paraId="20FB6439" w14:textId="77777777" w:rsidR="00411B4B" w:rsidRPr="00EB2BF2" w:rsidRDefault="00F9103C" w:rsidP="00EB2BF2">
      <w:pPr>
        <w:tabs>
          <w:tab w:val="left" w:pos="540"/>
          <w:tab w:val="left" w:pos="569"/>
        </w:tabs>
        <w:jc w:val="both"/>
        <w:rPr>
          <w:bCs/>
          <w:sz w:val="22"/>
          <w:szCs w:val="22"/>
          <w:lang w:val="sr-Latn-RS"/>
        </w:rPr>
      </w:pPr>
      <w:r w:rsidRPr="00EB2BF2">
        <w:rPr>
          <w:bCs/>
          <w:sz w:val="22"/>
          <w:szCs w:val="22"/>
          <w:lang w:val="sr-Latn-RS"/>
        </w:rPr>
        <w:t xml:space="preserve">Lijek </w:t>
      </w:r>
      <w:r w:rsidR="00670431" w:rsidRPr="00EB2BF2">
        <w:rPr>
          <w:bCs/>
          <w:sz w:val="22"/>
          <w:szCs w:val="22"/>
          <w:lang w:val="sr-Latn-RS"/>
        </w:rPr>
        <w:t>Clindamycin-MIP</w:t>
      </w:r>
      <w:r w:rsidRPr="00EB2BF2">
        <w:rPr>
          <w:bCs/>
          <w:sz w:val="22"/>
          <w:szCs w:val="22"/>
          <w:lang w:val="sr-Latn-RS"/>
        </w:rPr>
        <w:t xml:space="preserve"> 300mg/600mg film tablete se koristi za terapiju teških infekcija</w:t>
      </w:r>
      <w:r w:rsidR="00C15DC6" w:rsidRPr="00EB2BF2">
        <w:rPr>
          <w:bCs/>
          <w:sz w:val="22"/>
          <w:szCs w:val="22"/>
          <w:lang w:val="sr-Latn-RS"/>
        </w:rPr>
        <w:t xml:space="preserve"> izazvanih </w:t>
      </w:r>
      <w:r w:rsidR="00D66AD9" w:rsidRPr="00EB2BF2">
        <w:rPr>
          <w:bCs/>
          <w:sz w:val="22"/>
          <w:szCs w:val="22"/>
          <w:lang w:val="sr-Latn-RS"/>
        </w:rPr>
        <w:t xml:space="preserve">osjetljivim </w:t>
      </w:r>
      <w:r w:rsidR="00C15DC6" w:rsidRPr="00EB2BF2">
        <w:rPr>
          <w:bCs/>
          <w:sz w:val="22"/>
          <w:szCs w:val="22"/>
          <w:lang w:val="sr-Latn-RS"/>
        </w:rPr>
        <w:t>gram</w:t>
      </w:r>
      <w:r w:rsidR="00D66AD9" w:rsidRPr="00EB2BF2">
        <w:rPr>
          <w:bCs/>
          <w:sz w:val="22"/>
          <w:szCs w:val="22"/>
          <w:lang w:val="sr-Latn-RS"/>
        </w:rPr>
        <w:t>-</w:t>
      </w:r>
      <w:r w:rsidR="00C15DC6" w:rsidRPr="00EB2BF2">
        <w:rPr>
          <w:bCs/>
          <w:sz w:val="22"/>
          <w:szCs w:val="22"/>
          <w:lang w:val="sr-Latn-RS"/>
        </w:rPr>
        <w:t>pozitivnim mikroorganizmima, uključujući stafilokoke (</w:t>
      </w:r>
      <w:r w:rsidRPr="00EB2BF2">
        <w:rPr>
          <w:bCs/>
          <w:sz w:val="22"/>
          <w:szCs w:val="22"/>
          <w:lang w:val="sr-Latn-RS"/>
        </w:rPr>
        <w:t xml:space="preserve">koje proizvode i koje ne proizvode penicilinazu), streptokoke (osim </w:t>
      </w:r>
      <w:r w:rsidRPr="00EB2BF2">
        <w:rPr>
          <w:bCs/>
          <w:i/>
          <w:sz w:val="22"/>
          <w:szCs w:val="22"/>
          <w:lang w:val="sr-Latn-RS"/>
        </w:rPr>
        <w:t>Streptococcus</w:t>
      </w:r>
      <w:r w:rsidRPr="00EB2BF2">
        <w:rPr>
          <w:bCs/>
          <w:sz w:val="22"/>
          <w:szCs w:val="22"/>
          <w:lang w:val="sr-Latn-RS"/>
        </w:rPr>
        <w:t xml:space="preserve"> </w:t>
      </w:r>
      <w:r w:rsidRPr="00EB2BF2">
        <w:rPr>
          <w:bCs/>
          <w:i/>
          <w:sz w:val="22"/>
          <w:szCs w:val="22"/>
          <w:lang w:val="sr-Latn-RS"/>
        </w:rPr>
        <w:t>faecalis</w:t>
      </w:r>
      <w:r w:rsidRPr="00EB2BF2">
        <w:rPr>
          <w:bCs/>
          <w:sz w:val="22"/>
          <w:szCs w:val="22"/>
          <w:lang w:val="sr-Latn-RS"/>
        </w:rPr>
        <w:t>) i pneumokoke. Takođe je indikovan u terapiji teških infekcija izazvanih osjetljivim anaerobnim patogenima.</w:t>
      </w:r>
    </w:p>
    <w:p w14:paraId="6740A2E4" w14:textId="77777777" w:rsidR="00F9103C" w:rsidRPr="00EB2BF2" w:rsidRDefault="00F9103C" w:rsidP="00EB2BF2">
      <w:pPr>
        <w:tabs>
          <w:tab w:val="left" w:pos="540"/>
          <w:tab w:val="left" w:pos="569"/>
        </w:tabs>
        <w:jc w:val="both"/>
        <w:rPr>
          <w:bCs/>
          <w:sz w:val="22"/>
          <w:szCs w:val="22"/>
          <w:lang w:val="sr-Latn-RS"/>
        </w:rPr>
      </w:pPr>
    </w:p>
    <w:p w14:paraId="35B5E9E8" w14:textId="77777777" w:rsidR="00F9103C" w:rsidRPr="00EB2BF2" w:rsidRDefault="00F9103C" w:rsidP="00EB2BF2">
      <w:pPr>
        <w:tabs>
          <w:tab w:val="left" w:pos="540"/>
          <w:tab w:val="left" w:pos="569"/>
        </w:tabs>
        <w:jc w:val="both"/>
        <w:rPr>
          <w:bCs/>
          <w:sz w:val="22"/>
          <w:szCs w:val="22"/>
          <w:lang w:val="sr-Latn-RS"/>
        </w:rPr>
      </w:pPr>
      <w:r w:rsidRPr="00EB2BF2">
        <w:rPr>
          <w:bCs/>
          <w:sz w:val="22"/>
          <w:szCs w:val="22"/>
          <w:lang w:val="sr-Latn-RS"/>
        </w:rPr>
        <w:t>Klindamicin ne prolazi kroz hemato-encefalnu barijeru u terapijski efikasnim koncentracijama.</w:t>
      </w:r>
    </w:p>
    <w:p w14:paraId="1EDB4465" w14:textId="77777777" w:rsidR="00F9103C" w:rsidRPr="00EB2BF2" w:rsidRDefault="00F9103C" w:rsidP="00480FB1">
      <w:pPr>
        <w:tabs>
          <w:tab w:val="left" w:pos="540"/>
          <w:tab w:val="left" w:pos="569"/>
        </w:tabs>
        <w:rPr>
          <w:bCs/>
          <w:sz w:val="22"/>
          <w:szCs w:val="22"/>
          <w:lang w:val="sr-Latn-RS"/>
        </w:rPr>
      </w:pPr>
    </w:p>
    <w:p w14:paraId="5CDBABBC" w14:textId="77777777" w:rsidR="00411B4B" w:rsidRPr="00EB2BF2" w:rsidRDefault="00411B4B" w:rsidP="00480FB1">
      <w:pPr>
        <w:tabs>
          <w:tab w:val="left" w:pos="540"/>
          <w:tab w:val="left" w:pos="569"/>
        </w:tabs>
        <w:rPr>
          <w:b/>
          <w:bCs/>
          <w:sz w:val="22"/>
          <w:szCs w:val="22"/>
          <w:lang w:val="sr-Latn-RS"/>
        </w:rPr>
      </w:pPr>
      <w:r w:rsidRPr="00EB2BF2">
        <w:rPr>
          <w:b/>
          <w:bCs/>
          <w:sz w:val="22"/>
          <w:szCs w:val="22"/>
          <w:lang w:val="sr-Latn-RS"/>
        </w:rPr>
        <w:t xml:space="preserve">4.2. </w:t>
      </w:r>
      <w:r w:rsidR="00480FB1" w:rsidRPr="00EB2BF2">
        <w:rPr>
          <w:b/>
          <w:bCs/>
          <w:sz w:val="22"/>
          <w:szCs w:val="22"/>
          <w:lang w:val="sr-Latn-RS"/>
        </w:rPr>
        <w:tab/>
      </w:r>
      <w:r w:rsidRPr="00EB2BF2">
        <w:rPr>
          <w:b/>
          <w:bCs/>
          <w:sz w:val="22"/>
          <w:szCs w:val="22"/>
          <w:lang w:val="sr-Latn-RS"/>
        </w:rPr>
        <w:t>Doziranje i način primjene</w:t>
      </w:r>
    </w:p>
    <w:p w14:paraId="72582B5A" w14:textId="77777777" w:rsidR="0072020E" w:rsidRPr="00EB2BF2" w:rsidRDefault="0072020E" w:rsidP="00480FB1">
      <w:pPr>
        <w:tabs>
          <w:tab w:val="left" w:pos="540"/>
          <w:tab w:val="left" w:pos="569"/>
        </w:tabs>
        <w:rPr>
          <w:bCs/>
          <w:sz w:val="22"/>
          <w:szCs w:val="22"/>
          <w:lang w:val="sr-Latn-RS"/>
        </w:rPr>
      </w:pPr>
    </w:p>
    <w:p w14:paraId="3B8416A7" w14:textId="77777777" w:rsidR="00F23A54" w:rsidRPr="00EB2BF2" w:rsidRDefault="00C15DC6" w:rsidP="00EB2BF2">
      <w:pPr>
        <w:pStyle w:val="Header"/>
        <w:tabs>
          <w:tab w:val="left" w:pos="284"/>
        </w:tabs>
        <w:spacing w:before="40" w:after="40"/>
        <w:jc w:val="both"/>
        <w:rPr>
          <w:i/>
          <w:sz w:val="22"/>
          <w:szCs w:val="22"/>
          <w:u w:val="single"/>
          <w:lang w:val="sr-Latn-RS"/>
        </w:rPr>
      </w:pPr>
      <w:r w:rsidRPr="00EB2BF2">
        <w:rPr>
          <w:i/>
          <w:sz w:val="22"/>
          <w:szCs w:val="22"/>
          <w:u w:val="single"/>
          <w:lang w:val="sr-Latn-RS"/>
        </w:rPr>
        <w:t>Clindamycin-MIP, film tablete, 300 mg:</w:t>
      </w:r>
    </w:p>
    <w:p w14:paraId="5565E15A" w14:textId="77777777" w:rsidR="00C15DC6" w:rsidRPr="00EB2BF2" w:rsidRDefault="00C15DC6" w:rsidP="00EB2BF2">
      <w:pPr>
        <w:pStyle w:val="Header"/>
        <w:tabs>
          <w:tab w:val="left" w:pos="284"/>
        </w:tabs>
        <w:spacing w:before="40" w:after="40"/>
        <w:jc w:val="both"/>
        <w:rPr>
          <w:sz w:val="22"/>
          <w:szCs w:val="22"/>
          <w:lang w:val="sr-Latn-RS"/>
        </w:rPr>
      </w:pPr>
      <w:r w:rsidRPr="00EB2BF2">
        <w:rPr>
          <w:sz w:val="22"/>
          <w:szCs w:val="22"/>
          <w:lang w:val="sr-Latn-RS"/>
        </w:rPr>
        <w:t xml:space="preserve">Zavisno od težine i lokalizacije infekcije, </w:t>
      </w:r>
      <w:r w:rsidRPr="00EB2BF2">
        <w:rPr>
          <w:b/>
          <w:sz w:val="22"/>
          <w:szCs w:val="22"/>
          <w:lang w:val="sr-Latn-RS"/>
        </w:rPr>
        <w:t>odrasle osobe i djeca uzrasta iznad 14 godina</w:t>
      </w:r>
      <w:r w:rsidRPr="00EB2BF2">
        <w:rPr>
          <w:sz w:val="22"/>
          <w:szCs w:val="22"/>
          <w:lang w:val="sr-Latn-RS"/>
        </w:rPr>
        <w:t xml:space="preserve"> uzimaju dnevno 0,6 do 1,8 g klindamicina, podijeljeno u 2, 3 ili 4 pojedinačne doze. Dnevni unos je prema tome 2-6 film tableta (što odgovara 0,6 do 1,8 g klindamicina).</w:t>
      </w:r>
    </w:p>
    <w:p w14:paraId="40832DFC" w14:textId="77777777" w:rsidR="00FF2F55" w:rsidRPr="00EB2BF2" w:rsidRDefault="00FF2F55" w:rsidP="00EB2BF2">
      <w:pPr>
        <w:pStyle w:val="Header"/>
        <w:tabs>
          <w:tab w:val="left" w:pos="284"/>
        </w:tabs>
        <w:spacing w:before="40" w:after="40"/>
        <w:jc w:val="both"/>
        <w:rPr>
          <w:sz w:val="22"/>
          <w:szCs w:val="22"/>
          <w:lang w:val="sr-Latn-RS"/>
        </w:rPr>
      </w:pPr>
    </w:p>
    <w:p w14:paraId="0387F2CB" w14:textId="77777777" w:rsidR="00C15DC6" w:rsidRPr="00EB2BF2" w:rsidRDefault="00C15DC6" w:rsidP="00EB2BF2">
      <w:pPr>
        <w:pStyle w:val="Header"/>
        <w:tabs>
          <w:tab w:val="left" w:pos="284"/>
        </w:tabs>
        <w:spacing w:before="40" w:after="40"/>
        <w:jc w:val="both"/>
        <w:rPr>
          <w:i/>
          <w:sz w:val="22"/>
          <w:szCs w:val="22"/>
          <w:u w:val="single"/>
          <w:lang w:val="sr-Latn-RS"/>
        </w:rPr>
      </w:pPr>
      <w:r w:rsidRPr="00EB2BF2">
        <w:rPr>
          <w:i/>
          <w:sz w:val="22"/>
          <w:szCs w:val="22"/>
          <w:u w:val="single"/>
          <w:lang w:val="sr-Latn-RS"/>
        </w:rPr>
        <w:t>Clindamycin-MIP, film tablete, 600 mg:</w:t>
      </w:r>
    </w:p>
    <w:p w14:paraId="117A0BD9" w14:textId="77777777" w:rsidR="00C15DC6" w:rsidRPr="00EB2BF2" w:rsidRDefault="00C15DC6" w:rsidP="00EB2BF2">
      <w:pPr>
        <w:pStyle w:val="Header"/>
        <w:tabs>
          <w:tab w:val="left" w:pos="284"/>
        </w:tabs>
        <w:spacing w:before="40" w:after="40"/>
        <w:jc w:val="both"/>
        <w:rPr>
          <w:sz w:val="22"/>
          <w:szCs w:val="22"/>
          <w:lang w:val="sr-Latn-RS"/>
        </w:rPr>
      </w:pPr>
      <w:r w:rsidRPr="00EB2BF2">
        <w:rPr>
          <w:sz w:val="22"/>
          <w:szCs w:val="22"/>
          <w:lang w:val="sr-Latn-RS"/>
        </w:rPr>
        <w:t xml:space="preserve">Zavisno od težine i lokalizacije infekcije, </w:t>
      </w:r>
      <w:r w:rsidRPr="00EB2BF2">
        <w:rPr>
          <w:b/>
          <w:sz w:val="22"/>
          <w:szCs w:val="22"/>
          <w:lang w:val="sr-Latn-RS"/>
        </w:rPr>
        <w:t>odrasle osobe i djeca uzrasta iznad 14 godina</w:t>
      </w:r>
      <w:r w:rsidRPr="00EB2BF2">
        <w:rPr>
          <w:sz w:val="22"/>
          <w:szCs w:val="22"/>
          <w:lang w:val="sr-Latn-RS"/>
        </w:rPr>
        <w:t xml:space="preserve"> uzimaju dnevno 1,8 g klindamicina, podijeljeno u 3 pojedinačne doze. Dnevni unos je prema tome 3 film tablete (što odgovara 1,8 g klindamicina).</w:t>
      </w:r>
    </w:p>
    <w:p w14:paraId="12253CDB" w14:textId="77777777" w:rsidR="002D1B6E" w:rsidRPr="00EB2BF2" w:rsidRDefault="002D1B6E" w:rsidP="00147859">
      <w:pPr>
        <w:pStyle w:val="Header"/>
        <w:tabs>
          <w:tab w:val="left" w:pos="284"/>
        </w:tabs>
        <w:spacing w:before="40" w:after="40"/>
        <w:rPr>
          <w:sz w:val="22"/>
          <w:szCs w:val="22"/>
          <w:lang w:val="sr-Latn-RS"/>
        </w:rPr>
      </w:pPr>
    </w:p>
    <w:p w14:paraId="399C59CD" w14:textId="77777777" w:rsidR="002D1B6E" w:rsidRPr="00EB2BF2" w:rsidRDefault="002D1B6E" w:rsidP="00EB2BF2">
      <w:pPr>
        <w:pStyle w:val="Header"/>
        <w:tabs>
          <w:tab w:val="left" w:pos="284"/>
        </w:tabs>
        <w:spacing w:before="40" w:after="40"/>
        <w:jc w:val="both"/>
        <w:rPr>
          <w:i/>
          <w:sz w:val="22"/>
          <w:szCs w:val="22"/>
          <w:u w:val="single"/>
          <w:lang w:val="sr-Latn-RS"/>
        </w:rPr>
      </w:pPr>
      <w:r w:rsidRPr="00EB2BF2">
        <w:rPr>
          <w:i/>
          <w:sz w:val="22"/>
          <w:szCs w:val="22"/>
          <w:u w:val="single"/>
          <w:lang w:val="sr-Latn-RS"/>
        </w:rPr>
        <w:t>Stariji pacijenti</w:t>
      </w:r>
    </w:p>
    <w:p w14:paraId="3E2DE8D0" w14:textId="77777777" w:rsidR="002D1B6E" w:rsidRPr="00EB2BF2" w:rsidRDefault="002D1B6E" w:rsidP="00EB2BF2">
      <w:pPr>
        <w:pStyle w:val="Header"/>
        <w:tabs>
          <w:tab w:val="left" w:pos="284"/>
        </w:tabs>
        <w:spacing w:before="40" w:after="40"/>
        <w:jc w:val="both"/>
        <w:rPr>
          <w:sz w:val="22"/>
          <w:szCs w:val="22"/>
          <w:lang w:val="sr-Latn-RS"/>
        </w:rPr>
      </w:pPr>
      <w:r w:rsidRPr="00EB2BF2">
        <w:rPr>
          <w:sz w:val="22"/>
          <w:szCs w:val="22"/>
          <w:lang w:val="sr-Latn-RS"/>
        </w:rPr>
        <w:t>Poluvrijeme</w:t>
      </w:r>
      <w:r w:rsidR="00C86290" w:rsidRPr="00EB2BF2">
        <w:rPr>
          <w:sz w:val="22"/>
          <w:szCs w:val="22"/>
          <w:lang w:val="sr-Latn-RS"/>
        </w:rPr>
        <w:t xml:space="preserve"> </w:t>
      </w:r>
      <w:r w:rsidR="00B017B8" w:rsidRPr="00EB2BF2">
        <w:rPr>
          <w:sz w:val="22"/>
          <w:szCs w:val="22"/>
          <w:lang w:val="sr-Latn-RS"/>
        </w:rPr>
        <w:t>eliminacije</w:t>
      </w:r>
      <w:r w:rsidRPr="00EB2BF2">
        <w:rPr>
          <w:sz w:val="22"/>
          <w:szCs w:val="22"/>
          <w:lang w:val="sr-Latn-RS"/>
        </w:rPr>
        <w:t>, volumen distribucije</w:t>
      </w:r>
      <w:r w:rsidR="00D66AD9" w:rsidRPr="00EB2BF2">
        <w:rPr>
          <w:sz w:val="22"/>
          <w:szCs w:val="22"/>
          <w:lang w:val="sr-Latn-RS"/>
        </w:rPr>
        <w:t>,</w:t>
      </w:r>
      <w:r w:rsidRPr="00EB2BF2">
        <w:rPr>
          <w:sz w:val="22"/>
          <w:szCs w:val="22"/>
          <w:lang w:val="sr-Latn-RS"/>
        </w:rPr>
        <w:t xml:space="preserve"> klirens, i stepen </w:t>
      </w:r>
      <w:r w:rsidR="00D66AD9" w:rsidRPr="00EB2BF2">
        <w:rPr>
          <w:sz w:val="22"/>
          <w:szCs w:val="22"/>
          <w:lang w:val="sr-Latn-RS"/>
        </w:rPr>
        <w:t>re</w:t>
      </w:r>
      <w:r w:rsidRPr="00EB2BF2">
        <w:rPr>
          <w:sz w:val="22"/>
          <w:szCs w:val="22"/>
          <w:lang w:val="sr-Latn-RS"/>
        </w:rPr>
        <w:t xml:space="preserve">sorpcije nakon primjene klindamicin hidrohlorida se ne mijenjaju sa </w:t>
      </w:r>
      <w:r w:rsidR="00E47A82" w:rsidRPr="00EB2BF2">
        <w:rPr>
          <w:sz w:val="22"/>
          <w:szCs w:val="22"/>
          <w:lang w:val="sr-Latn-RS"/>
        </w:rPr>
        <w:t>starošću</w:t>
      </w:r>
      <w:r w:rsidRPr="00EB2BF2">
        <w:rPr>
          <w:sz w:val="22"/>
          <w:szCs w:val="22"/>
          <w:lang w:val="sr-Latn-RS"/>
        </w:rPr>
        <w:t>.</w:t>
      </w:r>
    </w:p>
    <w:p w14:paraId="02493727" w14:textId="77777777" w:rsidR="000F3A8A" w:rsidRPr="00EB2BF2" w:rsidRDefault="002D1B6E" w:rsidP="00EB2BF2">
      <w:pPr>
        <w:pStyle w:val="Header"/>
        <w:tabs>
          <w:tab w:val="left" w:pos="284"/>
        </w:tabs>
        <w:spacing w:before="40" w:after="40"/>
        <w:jc w:val="both"/>
        <w:rPr>
          <w:sz w:val="22"/>
          <w:szCs w:val="22"/>
          <w:lang w:val="sr-Latn-RS"/>
        </w:rPr>
      </w:pPr>
      <w:r w:rsidRPr="00EB2BF2">
        <w:rPr>
          <w:sz w:val="22"/>
          <w:szCs w:val="22"/>
          <w:lang w:val="sr-Latn-RS"/>
        </w:rPr>
        <w:t>Analiza podataka iz kliničkih studija nije otkrila bilo kakvo povećanje toksičnosti vezano za uzrast. Prema tome, na određivanje doze kod starijih pacijenata ne bi trebalo da utiče sama starost.</w:t>
      </w:r>
    </w:p>
    <w:p w14:paraId="4DD58080" w14:textId="77777777" w:rsidR="00E47A82" w:rsidRPr="00EB2BF2" w:rsidRDefault="00E47A82" w:rsidP="00EB2BF2">
      <w:pPr>
        <w:pStyle w:val="Header"/>
        <w:tabs>
          <w:tab w:val="left" w:pos="284"/>
        </w:tabs>
        <w:spacing w:before="40" w:after="40"/>
        <w:jc w:val="both"/>
        <w:rPr>
          <w:sz w:val="22"/>
          <w:szCs w:val="22"/>
          <w:lang w:val="sr-Latn-RS"/>
        </w:rPr>
      </w:pPr>
    </w:p>
    <w:p w14:paraId="12AF8439" w14:textId="77777777" w:rsidR="00FF04C5" w:rsidRPr="00EB2BF2" w:rsidRDefault="002D1B6E" w:rsidP="00EB2BF2">
      <w:pPr>
        <w:pStyle w:val="Header"/>
        <w:tabs>
          <w:tab w:val="left" w:pos="284"/>
        </w:tabs>
        <w:spacing w:before="40" w:after="40"/>
        <w:jc w:val="both"/>
        <w:rPr>
          <w:i/>
          <w:iCs/>
          <w:sz w:val="22"/>
          <w:szCs w:val="22"/>
          <w:u w:val="single"/>
          <w:lang w:val="sr-Latn-RS"/>
        </w:rPr>
      </w:pPr>
      <w:r w:rsidRPr="00EB2BF2">
        <w:rPr>
          <w:i/>
          <w:iCs/>
          <w:sz w:val="22"/>
          <w:szCs w:val="22"/>
          <w:u w:val="single"/>
          <w:lang w:val="sr-Latn-RS"/>
        </w:rPr>
        <w:t xml:space="preserve">Pedijatrijska </w:t>
      </w:r>
      <w:r w:rsidR="00FF04C5" w:rsidRPr="00EB2BF2">
        <w:rPr>
          <w:i/>
          <w:iCs/>
          <w:sz w:val="22"/>
          <w:szCs w:val="22"/>
          <w:u w:val="single"/>
          <w:lang w:val="sr-Latn-RS"/>
        </w:rPr>
        <w:t>populacija</w:t>
      </w:r>
      <w:r w:rsidRPr="00EB2BF2">
        <w:rPr>
          <w:i/>
          <w:iCs/>
          <w:sz w:val="22"/>
          <w:szCs w:val="22"/>
          <w:u w:val="single"/>
          <w:lang w:val="sr-Latn-RS"/>
        </w:rPr>
        <w:t>populacija</w:t>
      </w:r>
    </w:p>
    <w:p w14:paraId="72704164" w14:textId="77777777" w:rsidR="00620A41" w:rsidRPr="00EB2BF2" w:rsidRDefault="00620A41" w:rsidP="00EB2BF2">
      <w:pPr>
        <w:pStyle w:val="Header"/>
        <w:tabs>
          <w:tab w:val="left" w:pos="284"/>
        </w:tabs>
        <w:spacing w:before="40" w:after="40"/>
        <w:jc w:val="both"/>
        <w:rPr>
          <w:sz w:val="22"/>
          <w:szCs w:val="22"/>
          <w:lang w:val="sr-Latn-RS"/>
        </w:rPr>
      </w:pPr>
      <w:r w:rsidRPr="00EB2BF2">
        <w:rPr>
          <w:sz w:val="22"/>
          <w:szCs w:val="22"/>
          <w:lang w:val="sr-Latn-RS"/>
        </w:rPr>
        <w:t xml:space="preserve">Za djecu mlađu od 14 godina, na raspolaganju su </w:t>
      </w:r>
      <w:r w:rsidR="00E47A82" w:rsidRPr="00EB2BF2">
        <w:rPr>
          <w:sz w:val="22"/>
          <w:szCs w:val="22"/>
          <w:lang w:val="sr-Latn-RS"/>
        </w:rPr>
        <w:t xml:space="preserve">ljekovi </w:t>
      </w:r>
      <w:r w:rsidRPr="00EB2BF2">
        <w:rPr>
          <w:sz w:val="22"/>
          <w:szCs w:val="22"/>
          <w:lang w:val="sr-Latn-RS"/>
        </w:rPr>
        <w:t>sa manjom količinom aktivne supstance.</w:t>
      </w:r>
    </w:p>
    <w:p w14:paraId="57898C7E" w14:textId="77777777" w:rsidR="00620A41" w:rsidRPr="00EB2BF2" w:rsidRDefault="00620A41" w:rsidP="00EB2BF2">
      <w:pPr>
        <w:pStyle w:val="Header"/>
        <w:tabs>
          <w:tab w:val="left" w:pos="284"/>
        </w:tabs>
        <w:spacing w:before="40" w:after="40"/>
        <w:jc w:val="both"/>
        <w:rPr>
          <w:sz w:val="22"/>
          <w:szCs w:val="22"/>
          <w:lang w:val="sr-Latn-RS"/>
        </w:rPr>
      </w:pPr>
    </w:p>
    <w:p w14:paraId="52DF9EA8" w14:textId="77777777" w:rsidR="00C15DC6" w:rsidRPr="00EB2BF2" w:rsidRDefault="00C15DC6" w:rsidP="00EB2BF2">
      <w:pPr>
        <w:pStyle w:val="Header"/>
        <w:tabs>
          <w:tab w:val="left" w:pos="284"/>
        </w:tabs>
        <w:spacing w:before="40" w:after="40"/>
        <w:jc w:val="both"/>
        <w:rPr>
          <w:i/>
          <w:sz w:val="22"/>
          <w:szCs w:val="22"/>
          <w:u w:val="single"/>
          <w:lang w:val="sr-Latn-RS"/>
        </w:rPr>
      </w:pPr>
      <w:r w:rsidRPr="00EB2BF2">
        <w:rPr>
          <w:i/>
          <w:sz w:val="22"/>
          <w:szCs w:val="22"/>
          <w:u w:val="single"/>
          <w:lang w:val="sr-Latn-RS"/>
        </w:rPr>
        <w:t>Doziranje u slučaju oštećenja jetre</w:t>
      </w:r>
    </w:p>
    <w:p w14:paraId="67D6678C" w14:textId="77777777" w:rsidR="00C15DC6" w:rsidRPr="00EB2BF2" w:rsidRDefault="00C15DC6" w:rsidP="00EB2BF2">
      <w:pPr>
        <w:pStyle w:val="Header"/>
        <w:tabs>
          <w:tab w:val="left" w:pos="284"/>
        </w:tabs>
        <w:spacing w:before="40" w:after="40"/>
        <w:jc w:val="both"/>
        <w:rPr>
          <w:sz w:val="22"/>
          <w:szCs w:val="22"/>
          <w:lang w:val="sr-Latn-RS"/>
        </w:rPr>
      </w:pPr>
      <w:r w:rsidRPr="00EB2BF2">
        <w:rPr>
          <w:sz w:val="22"/>
          <w:szCs w:val="22"/>
          <w:lang w:val="sr-Latn-RS"/>
        </w:rPr>
        <w:t>Ukoliko postoji umjereno do jako oštećenje jetre, poluvrijeme eliminacije klindamicina je produženo. Obično nije potrebno smanjenje doze ako se klindamicin daje svakih 8 sati. Međutim, ukoliko postoji ozbiljna insuficijencija jetre koncentracija lijeka u plazmi mora da se prati. U skladu sa rezultatima ove analize može biti neophodno smanjiti dozu ili produžiti interval uzimanja lijeka.</w:t>
      </w:r>
    </w:p>
    <w:p w14:paraId="274F61DE" w14:textId="77777777" w:rsidR="00F23A54" w:rsidRPr="00EB2BF2" w:rsidRDefault="00F23A54" w:rsidP="00EB2BF2">
      <w:pPr>
        <w:pStyle w:val="Header"/>
        <w:tabs>
          <w:tab w:val="left" w:pos="284"/>
        </w:tabs>
        <w:spacing w:before="40" w:after="40"/>
        <w:jc w:val="both"/>
        <w:rPr>
          <w:sz w:val="22"/>
          <w:szCs w:val="22"/>
          <w:lang w:val="sr-Latn-RS"/>
        </w:rPr>
      </w:pPr>
    </w:p>
    <w:p w14:paraId="2B6A4CBA" w14:textId="77777777" w:rsidR="00F23A54" w:rsidRPr="00EB2BF2" w:rsidRDefault="00C15DC6" w:rsidP="00EB2BF2">
      <w:pPr>
        <w:pStyle w:val="Header"/>
        <w:tabs>
          <w:tab w:val="left" w:pos="284"/>
        </w:tabs>
        <w:spacing w:before="40" w:after="40"/>
        <w:jc w:val="both"/>
        <w:rPr>
          <w:i/>
          <w:sz w:val="22"/>
          <w:szCs w:val="22"/>
          <w:u w:val="single"/>
          <w:lang w:val="sr-Latn-RS"/>
        </w:rPr>
      </w:pPr>
      <w:r w:rsidRPr="00EB2BF2">
        <w:rPr>
          <w:i/>
          <w:sz w:val="22"/>
          <w:szCs w:val="22"/>
          <w:u w:val="single"/>
          <w:lang w:val="sr-Latn-RS"/>
        </w:rPr>
        <w:t>Doziranje u slučaju oštećenja bubrega</w:t>
      </w:r>
    </w:p>
    <w:p w14:paraId="280E5590" w14:textId="77777777" w:rsidR="00C15DC6" w:rsidRPr="00EB2BF2" w:rsidRDefault="00C15DC6" w:rsidP="00EB2BF2">
      <w:pPr>
        <w:pStyle w:val="Header"/>
        <w:tabs>
          <w:tab w:val="left" w:pos="284"/>
        </w:tabs>
        <w:spacing w:before="40" w:after="40"/>
        <w:jc w:val="both"/>
        <w:rPr>
          <w:sz w:val="22"/>
          <w:szCs w:val="22"/>
          <w:lang w:val="sr-Latn-RS"/>
        </w:rPr>
      </w:pPr>
      <w:r w:rsidRPr="00EB2BF2">
        <w:rPr>
          <w:sz w:val="22"/>
          <w:szCs w:val="22"/>
          <w:lang w:val="sr-Latn-RS"/>
        </w:rPr>
        <w:t>Ukoliko postoji oštećenje bubrega, poluvrijeme eliminacije klindamicina je takođe produženo, ali smanjenje doze nije neophodno kod blagih do umjereno jakih oštećenja. Međutim ukoliko postoji teška bubrežna insuficijencija ili anurija, koncentracija lijeka u plazmi mora da se prati. U skladu sa rezultatima ove analize može biti potrebno da se smanji doza ili produži interval davanja lijeka na 8 ili čak 12 sati.</w:t>
      </w:r>
    </w:p>
    <w:p w14:paraId="48F52E8F" w14:textId="77777777" w:rsidR="00C15DC6" w:rsidRPr="00EB2BF2" w:rsidRDefault="00C15DC6" w:rsidP="00EB2BF2">
      <w:pPr>
        <w:pStyle w:val="Header"/>
        <w:tabs>
          <w:tab w:val="left" w:pos="284"/>
        </w:tabs>
        <w:spacing w:before="40" w:after="40"/>
        <w:jc w:val="both"/>
        <w:rPr>
          <w:sz w:val="22"/>
          <w:szCs w:val="22"/>
          <w:lang w:val="sr-Latn-RS"/>
        </w:rPr>
      </w:pPr>
    </w:p>
    <w:p w14:paraId="0107F51A" w14:textId="77777777" w:rsidR="00C15DC6" w:rsidRPr="00EB2BF2" w:rsidRDefault="00C15DC6" w:rsidP="00EB2BF2">
      <w:pPr>
        <w:pStyle w:val="Header"/>
        <w:tabs>
          <w:tab w:val="left" w:pos="284"/>
        </w:tabs>
        <w:spacing w:before="40" w:after="40"/>
        <w:jc w:val="both"/>
        <w:rPr>
          <w:i/>
          <w:sz w:val="22"/>
          <w:szCs w:val="22"/>
          <w:u w:val="single"/>
          <w:lang w:val="sr-Latn-RS"/>
        </w:rPr>
      </w:pPr>
      <w:r w:rsidRPr="00EB2BF2">
        <w:rPr>
          <w:i/>
          <w:sz w:val="22"/>
          <w:szCs w:val="22"/>
          <w:u w:val="single"/>
          <w:lang w:val="sr-Latn-RS"/>
        </w:rPr>
        <w:t>Doziranje u slučaju hemodijalize</w:t>
      </w:r>
    </w:p>
    <w:p w14:paraId="29528F0F" w14:textId="77777777" w:rsidR="00C15DC6" w:rsidRPr="00EB2BF2" w:rsidRDefault="00C15DC6" w:rsidP="00EB2BF2">
      <w:pPr>
        <w:pStyle w:val="Header"/>
        <w:tabs>
          <w:tab w:val="left" w:pos="284"/>
        </w:tabs>
        <w:spacing w:before="40" w:after="40"/>
        <w:jc w:val="both"/>
        <w:rPr>
          <w:sz w:val="22"/>
          <w:szCs w:val="22"/>
          <w:lang w:val="sr-Latn-RS"/>
        </w:rPr>
      </w:pPr>
      <w:r w:rsidRPr="00EB2BF2">
        <w:rPr>
          <w:sz w:val="22"/>
          <w:szCs w:val="22"/>
          <w:lang w:val="sr-Latn-RS"/>
        </w:rPr>
        <w:t>Klindamicin se ne može ukloniti iz krvi putem hemodijalize. Prema tome, dodatna doza prije ili poslije dijalize nije neophodna.</w:t>
      </w:r>
    </w:p>
    <w:p w14:paraId="5F46F728" w14:textId="77777777" w:rsidR="00E47A82" w:rsidRPr="00EB2BF2" w:rsidRDefault="00E47A82" w:rsidP="00EB2BF2">
      <w:pPr>
        <w:pStyle w:val="Header"/>
        <w:tabs>
          <w:tab w:val="left" w:pos="284"/>
        </w:tabs>
        <w:spacing w:before="40" w:after="40"/>
        <w:jc w:val="both"/>
        <w:rPr>
          <w:sz w:val="22"/>
          <w:szCs w:val="22"/>
          <w:lang w:val="sr-Latn-RS"/>
        </w:rPr>
      </w:pPr>
    </w:p>
    <w:p w14:paraId="4084B487" w14:textId="77777777" w:rsidR="00CE308B" w:rsidRPr="00EB2BF2" w:rsidRDefault="00CE308B" w:rsidP="00EB2BF2">
      <w:pPr>
        <w:pStyle w:val="Header"/>
        <w:tabs>
          <w:tab w:val="left" w:pos="284"/>
        </w:tabs>
        <w:spacing w:before="40" w:after="40"/>
        <w:jc w:val="both"/>
        <w:rPr>
          <w:b/>
          <w:sz w:val="22"/>
          <w:szCs w:val="22"/>
          <w:lang w:val="sr-Latn-RS"/>
        </w:rPr>
      </w:pPr>
      <w:r w:rsidRPr="00EB2BF2">
        <w:rPr>
          <w:b/>
          <w:sz w:val="22"/>
          <w:szCs w:val="22"/>
          <w:lang w:val="sr-Latn-RS"/>
        </w:rPr>
        <w:t>Način primjene i trajanje terapije</w:t>
      </w:r>
    </w:p>
    <w:p w14:paraId="3E0E6BEB" w14:textId="77777777" w:rsidR="002E0FCC" w:rsidRPr="00EB2BF2" w:rsidRDefault="00CE308B" w:rsidP="00EB2BF2">
      <w:pPr>
        <w:pStyle w:val="Header"/>
        <w:tabs>
          <w:tab w:val="left" w:pos="284"/>
        </w:tabs>
        <w:spacing w:before="40" w:after="40"/>
        <w:jc w:val="both"/>
        <w:rPr>
          <w:sz w:val="22"/>
          <w:szCs w:val="22"/>
          <w:lang w:val="sr-Latn-RS"/>
        </w:rPr>
      </w:pPr>
      <w:r w:rsidRPr="00EB2BF2">
        <w:rPr>
          <w:sz w:val="22"/>
          <w:szCs w:val="22"/>
          <w:lang w:val="sr-Latn-RS"/>
        </w:rPr>
        <w:t>Tablete se gutaju cijele sa dovoljnom količinom tečnosti (sa punom čašom vode), da bi se izbjegla mogućnost iritacije jednjaka.</w:t>
      </w:r>
      <w:r w:rsidR="00810956" w:rsidRPr="00EB2BF2">
        <w:rPr>
          <w:sz w:val="22"/>
          <w:szCs w:val="22"/>
          <w:lang w:val="sr-Latn-RS"/>
        </w:rPr>
        <w:t xml:space="preserve"> Nakon primjene tableta budite najmanje 30 minuta u uspravnom položaju. </w:t>
      </w:r>
    </w:p>
    <w:p w14:paraId="4A4EFE25" w14:textId="77777777" w:rsidR="00FF2F55" w:rsidRPr="00EB2BF2" w:rsidRDefault="00FF2F55" w:rsidP="00EB2BF2">
      <w:pPr>
        <w:pStyle w:val="Header"/>
        <w:tabs>
          <w:tab w:val="left" w:pos="284"/>
        </w:tabs>
        <w:spacing w:before="40" w:after="40"/>
        <w:jc w:val="both"/>
        <w:rPr>
          <w:sz w:val="22"/>
          <w:szCs w:val="22"/>
          <w:lang w:val="sr-Latn-RS"/>
        </w:rPr>
      </w:pPr>
    </w:p>
    <w:p w14:paraId="5378C13C" w14:textId="77777777" w:rsidR="00FF2F55" w:rsidRPr="00EB2BF2" w:rsidRDefault="00FF2F55" w:rsidP="00EB2BF2">
      <w:pPr>
        <w:pStyle w:val="Header"/>
        <w:tabs>
          <w:tab w:val="left" w:pos="284"/>
        </w:tabs>
        <w:spacing w:before="40" w:after="40"/>
        <w:jc w:val="both"/>
        <w:rPr>
          <w:sz w:val="22"/>
          <w:szCs w:val="22"/>
          <w:lang w:val="sr-Latn-RS"/>
        </w:rPr>
      </w:pPr>
      <w:r w:rsidRPr="00EB2BF2">
        <w:rPr>
          <w:sz w:val="22"/>
          <w:szCs w:val="22"/>
          <w:lang w:val="sr-Latn-RS"/>
        </w:rPr>
        <w:t>U slučaju sumnje na infekciju beta-hemolitičkim streptokokama ili ako je dokazano prisustvo ove bakterije, trajanje liječenja treba produžiti na najmanje 10 dana da bi se smanjila vjerovatnoća naknadne reumatske groznice ili glomerulonefritisa.</w:t>
      </w:r>
    </w:p>
    <w:p w14:paraId="5A99F4EF" w14:textId="77777777" w:rsidR="00C15DC6" w:rsidRPr="00EB2BF2" w:rsidRDefault="00C15DC6" w:rsidP="00EB2BF2">
      <w:pPr>
        <w:pStyle w:val="Header"/>
        <w:tabs>
          <w:tab w:val="left" w:pos="284"/>
        </w:tabs>
        <w:spacing w:before="40" w:after="40"/>
        <w:jc w:val="both"/>
        <w:rPr>
          <w:sz w:val="22"/>
          <w:szCs w:val="22"/>
          <w:lang w:val="sr-Latn-RS"/>
        </w:rPr>
      </w:pPr>
    </w:p>
    <w:p w14:paraId="5F56625E" w14:textId="77777777" w:rsidR="00411B4B" w:rsidRPr="00EB2BF2" w:rsidRDefault="00411B4B" w:rsidP="00EB2BF2">
      <w:pPr>
        <w:tabs>
          <w:tab w:val="left" w:pos="540"/>
          <w:tab w:val="left" w:pos="569"/>
        </w:tabs>
        <w:jc w:val="both"/>
        <w:rPr>
          <w:b/>
          <w:bCs/>
          <w:sz w:val="22"/>
          <w:szCs w:val="22"/>
          <w:lang w:val="sr-Latn-RS"/>
        </w:rPr>
      </w:pPr>
      <w:r w:rsidRPr="00EB2BF2">
        <w:rPr>
          <w:b/>
          <w:bCs/>
          <w:sz w:val="22"/>
          <w:szCs w:val="22"/>
          <w:lang w:val="sr-Latn-RS"/>
        </w:rPr>
        <w:t xml:space="preserve">4.3. </w:t>
      </w:r>
      <w:r w:rsidR="00480FB1" w:rsidRPr="00EB2BF2">
        <w:rPr>
          <w:b/>
          <w:bCs/>
          <w:sz w:val="22"/>
          <w:szCs w:val="22"/>
          <w:lang w:val="sr-Latn-RS"/>
        </w:rPr>
        <w:tab/>
      </w:r>
      <w:r w:rsidRPr="00EB2BF2">
        <w:rPr>
          <w:b/>
          <w:bCs/>
          <w:sz w:val="22"/>
          <w:szCs w:val="22"/>
          <w:lang w:val="sr-Latn-RS"/>
        </w:rPr>
        <w:t>Kontraindikacije</w:t>
      </w:r>
    </w:p>
    <w:p w14:paraId="10089F6C" w14:textId="77777777" w:rsidR="0072020E" w:rsidRPr="00EB2BF2" w:rsidRDefault="0072020E" w:rsidP="00EB2BF2">
      <w:pPr>
        <w:tabs>
          <w:tab w:val="left" w:pos="540"/>
          <w:tab w:val="left" w:pos="569"/>
        </w:tabs>
        <w:jc w:val="both"/>
        <w:rPr>
          <w:bCs/>
          <w:sz w:val="22"/>
          <w:szCs w:val="22"/>
          <w:lang w:val="sr-Latn-RS"/>
        </w:rPr>
      </w:pPr>
    </w:p>
    <w:p w14:paraId="35D89B99" w14:textId="77777777" w:rsidR="00F23A54" w:rsidRPr="00EB2BF2" w:rsidRDefault="00F23A54" w:rsidP="00EB2BF2">
      <w:pPr>
        <w:tabs>
          <w:tab w:val="left" w:pos="540"/>
          <w:tab w:val="left" w:pos="569"/>
        </w:tabs>
        <w:jc w:val="both"/>
        <w:rPr>
          <w:bCs/>
          <w:sz w:val="22"/>
          <w:szCs w:val="22"/>
          <w:lang w:val="sr-Latn-RS"/>
        </w:rPr>
      </w:pPr>
      <w:r w:rsidRPr="00EB2BF2">
        <w:rPr>
          <w:bCs/>
          <w:sz w:val="22"/>
          <w:szCs w:val="22"/>
          <w:lang w:val="sr-Latn-RS"/>
        </w:rPr>
        <w:t xml:space="preserve">Lijek </w:t>
      </w:r>
      <w:r w:rsidR="00670431" w:rsidRPr="00EB2BF2">
        <w:rPr>
          <w:bCs/>
          <w:sz w:val="22"/>
          <w:szCs w:val="22"/>
          <w:lang w:val="sr-Latn-RS"/>
        </w:rPr>
        <w:t>Clindamycin-MIP</w:t>
      </w:r>
      <w:r w:rsidRPr="00EB2BF2">
        <w:rPr>
          <w:bCs/>
          <w:sz w:val="22"/>
          <w:szCs w:val="22"/>
          <w:lang w:val="sr-Latn-RS"/>
        </w:rPr>
        <w:t xml:space="preserve"> 300mg/600mg film tablete je kontraindikovan kod pacijenata za koje je ranije utvrđeno da su preosjetljivi na klindam</w:t>
      </w:r>
      <w:r w:rsidR="00CE308B" w:rsidRPr="00EB2BF2">
        <w:rPr>
          <w:bCs/>
          <w:sz w:val="22"/>
          <w:szCs w:val="22"/>
          <w:lang w:val="sr-Latn-RS"/>
        </w:rPr>
        <w:t>i</w:t>
      </w:r>
      <w:r w:rsidRPr="00EB2BF2">
        <w:rPr>
          <w:bCs/>
          <w:sz w:val="22"/>
          <w:szCs w:val="22"/>
          <w:lang w:val="sr-Latn-RS"/>
        </w:rPr>
        <w:t>cin, linkomicin ili bilo koji od ekscipijena</w:t>
      </w:r>
      <w:r w:rsidR="00AF634F" w:rsidRPr="00EB2BF2">
        <w:rPr>
          <w:bCs/>
          <w:sz w:val="22"/>
          <w:szCs w:val="22"/>
          <w:lang w:val="sr-Latn-RS"/>
        </w:rPr>
        <w:t>sa</w:t>
      </w:r>
      <w:r w:rsidRPr="00EB2BF2">
        <w:rPr>
          <w:bCs/>
          <w:sz w:val="22"/>
          <w:szCs w:val="22"/>
          <w:lang w:val="sr-Latn-RS"/>
        </w:rPr>
        <w:t xml:space="preserve"> navedenih u </w:t>
      </w:r>
      <w:r w:rsidR="00E47A82" w:rsidRPr="00EB2BF2">
        <w:rPr>
          <w:bCs/>
          <w:sz w:val="22"/>
          <w:szCs w:val="22"/>
          <w:lang w:val="sr-Latn-RS"/>
        </w:rPr>
        <w:t>dijelu</w:t>
      </w:r>
      <w:r w:rsidRPr="00EB2BF2">
        <w:rPr>
          <w:bCs/>
          <w:sz w:val="22"/>
          <w:szCs w:val="22"/>
          <w:lang w:val="sr-Latn-RS"/>
        </w:rPr>
        <w:t xml:space="preserve"> 6.1. </w:t>
      </w:r>
    </w:p>
    <w:p w14:paraId="51D5FA3F" w14:textId="77777777" w:rsidR="00F23A54" w:rsidRPr="00EB2BF2" w:rsidRDefault="007203B4" w:rsidP="00EB2BF2">
      <w:pPr>
        <w:tabs>
          <w:tab w:val="left" w:pos="540"/>
          <w:tab w:val="left" w:pos="569"/>
        </w:tabs>
        <w:jc w:val="both"/>
        <w:rPr>
          <w:bCs/>
          <w:sz w:val="22"/>
          <w:szCs w:val="22"/>
          <w:lang w:val="sr-Latn-RS"/>
        </w:rPr>
      </w:pPr>
      <w:r w:rsidRPr="00EB2BF2">
        <w:rPr>
          <w:bCs/>
          <w:sz w:val="22"/>
          <w:szCs w:val="22"/>
          <w:lang w:val="sr-Latn-RS"/>
        </w:rPr>
        <w:t>Primjena kod pacijenata sa dijarejom ili inflamatornom bolešću crijeva.</w:t>
      </w:r>
    </w:p>
    <w:p w14:paraId="18EE2F89" w14:textId="77777777" w:rsidR="00F23A54" w:rsidRPr="00EB2BF2" w:rsidRDefault="00F23A54" w:rsidP="00EB2BF2">
      <w:pPr>
        <w:tabs>
          <w:tab w:val="left" w:pos="540"/>
          <w:tab w:val="left" w:pos="569"/>
        </w:tabs>
        <w:jc w:val="both"/>
        <w:rPr>
          <w:bCs/>
          <w:sz w:val="22"/>
          <w:szCs w:val="22"/>
          <w:lang w:val="sr-Latn-RS"/>
        </w:rPr>
      </w:pPr>
    </w:p>
    <w:p w14:paraId="04A25CC9" w14:textId="77777777" w:rsidR="00411B4B" w:rsidRPr="00EB2BF2" w:rsidRDefault="00411B4B" w:rsidP="00EB2BF2">
      <w:pPr>
        <w:tabs>
          <w:tab w:val="left" w:pos="540"/>
          <w:tab w:val="left" w:pos="569"/>
        </w:tabs>
        <w:jc w:val="both"/>
        <w:rPr>
          <w:b/>
          <w:bCs/>
          <w:sz w:val="22"/>
          <w:szCs w:val="22"/>
          <w:lang w:val="sr-Latn-RS"/>
        </w:rPr>
      </w:pPr>
      <w:r w:rsidRPr="00EB2BF2">
        <w:rPr>
          <w:b/>
          <w:bCs/>
          <w:sz w:val="22"/>
          <w:szCs w:val="22"/>
          <w:lang w:val="sr-Latn-RS"/>
        </w:rPr>
        <w:t xml:space="preserve">4.4. </w:t>
      </w:r>
      <w:r w:rsidR="00480FB1" w:rsidRPr="00EB2BF2">
        <w:rPr>
          <w:b/>
          <w:bCs/>
          <w:sz w:val="22"/>
          <w:szCs w:val="22"/>
          <w:lang w:val="sr-Latn-RS"/>
        </w:rPr>
        <w:tab/>
      </w:r>
      <w:r w:rsidRPr="00EB2BF2">
        <w:rPr>
          <w:b/>
          <w:bCs/>
          <w:sz w:val="22"/>
          <w:szCs w:val="22"/>
          <w:lang w:val="sr-Latn-RS"/>
        </w:rPr>
        <w:t>Posebna upozorenja i mjere opreza pri upotrebi lijeka</w:t>
      </w:r>
    </w:p>
    <w:p w14:paraId="63CE3F78" w14:textId="77777777" w:rsidR="00201F85" w:rsidRPr="00EB2BF2" w:rsidRDefault="00201F85" w:rsidP="00EB2BF2">
      <w:pPr>
        <w:tabs>
          <w:tab w:val="left" w:pos="540"/>
          <w:tab w:val="left" w:pos="569"/>
        </w:tabs>
        <w:jc w:val="both"/>
        <w:rPr>
          <w:b/>
          <w:bCs/>
          <w:sz w:val="22"/>
          <w:szCs w:val="22"/>
          <w:lang w:val="sr-Latn-RS"/>
        </w:rPr>
      </w:pPr>
    </w:p>
    <w:p w14:paraId="7A65BE20" w14:textId="77777777" w:rsidR="00DA39C7" w:rsidRPr="00EB2BF2" w:rsidRDefault="00C86290" w:rsidP="00EB2BF2">
      <w:pPr>
        <w:tabs>
          <w:tab w:val="left" w:pos="540"/>
          <w:tab w:val="left" w:pos="569"/>
        </w:tabs>
        <w:jc w:val="both"/>
        <w:rPr>
          <w:i/>
          <w:sz w:val="22"/>
          <w:szCs w:val="22"/>
          <w:highlight w:val="yellow"/>
          <w:u w:val="single"/>
          <w:lang w:val="sr-Latn-RS"/>
        </w:rPr>
      </w:pPr>
      <w:r w:rsidRPr="00EB2BF2">
        <w:rPr>
          <w:i/>
          <w:sz w:val="22"/>
          <w:szCs w:val="22"/>
          <w:u w:val="single"/>
          <w:lang w:val="sr-Latn-RS"/>
        </w:rPr>
        <w:t>Upozorenja</w:t>
      </w:r>
    </w:p>
    <w:p w14:paraId="2C3BC22B" w14:textId="77777777" w:rsidR="00DA39C7" w:rsidRPr="00EB2BF2" w:rsidRDefault="002D1767" w:rsidP="00EB2BF2">
      <w:pPr>
        <w:tabs>
          <w:tab w:val="left" w:pos="540"/>
          <w:tab w:val="left" w:pos="569"/>
        </w:tabs>
        <w:jc w:val="both"/>
        <w:rPr>
          <w:bCs/>
          <w:sz w:val="22"/>
          <w:szCs w:val="22"/>
          <w:lang w:val="sr-Latn-RS"/>
        </w:rPr>
      </w:pPr>
      <w:r w:rsidRPr="00EB2BF2">
        <w:rPr>
          <w:bCs/>
          <w:sz w:val="22"/>
          <w:szCs w:val="22"/>
          <w:lang w:val="sr-Latn-RS"/>
        </w:rPr>
        <w:t>Kod pacijenata koji su l</w:t>
      </w:r>
      <w:r w:rsidR="00C86290" w:rsidRPr="00EB2BF2">
        <w:rPr>
          <w:bCs/>
          <w:sz w:val="22"/>
          <w:szCs w:val="22"/>
          <w:lang w:val="sr-Latn-RS"/>
        </w:rPr>
        <w:t>ij</w:t>
      </w:r>
      <w:r w:rsidRPr="00EB2BF2">
        <w:rPr>
          <w:bCs/>
          <w:sz w:val="22"/>
          <w:szCs w:val="22"/>
          <w:lang w:val="sr-Latn-RS"/>
        </w:rPr>
        <w:t xml:space="preserve">ečeni </w:t>
      </w:r>
      <w:r w:rsidR="00E47A82" w:rsidRPr="00EB2BF2">
        <w:rPr>
          <w:bCs/>
          <w:sz w:val="22"/>
          <w:szCs w:val="22"/>
          <w:lang w:val="sr-Latn-RS"/>
        </w:rPr>
        <w:t>klindamicinom</w:t>
      </w:r>
      <w:r w:rsidRPr="00EB2BF2">
        <w:rPr>
          <w:bCs/>
          <w:sz w:val="22"/>
          <w:szCs w:val="22"/>
          <w:lang w:val="sr-Latn-RS"/>
        </w:rPr>
        <w:t xml:space="preserve">, </w:t>
      </w:r>
      <w:r w:rsidR="00AF634F" w:rsidRPr="00EB2BF2">
        <w:rPr>
          <w:bCs/>
          <w:sz w:val="22"/>
          <w:szCs w:val="22"/>
          <w:lang w:val="sr-Latn-RS"/>
        </w:rPr>
        <w:t>zabilježene</w:t>
      </w:r>
      <w:r w:rsidRPr="00EB2BF2">
        <w:rPr>
          <w:bCs/>
          <w:sz w:val="22"/>
          <w:szCs w:val="22"/>
          <w:lang w:val="sr-Latn-RS"/>
        </w:rPr>
        <w:t xml:space="preserve"> s</w:t>
      </w:r>
      <w:r w:rsidR="00FF2F55" w:rsidRPr="00EB2BF2">
        <w:rPr>
          <w:bCs/>
          <w:sz w:val="22"/>
          <w:szCs w:val="22"/>
          <w:lang w:val="sr-Latn-RS"/>
        </w:rPr>
        <w:t>u</w:t>
      </w:r>
      <w:r w:rsidRPr="00EB2BF2">
        <w:rPr>
          <w:bCs/>
          <w:sz w:val="22"/>
          <w:szCs w:val="22"/>
          <w:lang w:val="sr-Latn-RS"/>
        </w:rPr>
        <w:t xml:space="preserve"> teške reakcije preos</w:t>
      </w:r>
      <w:r w:rsidR="00C86290" w:rsidRPr="00EB2BF2">
        <w:rPr>
          <w:bCs/>
          <w:sz w:val="22"/>
          <w:szCs w:val="22"/>
          <w:lang w:val="sr-Latn-RS"/>
        </w:rPr>
        <w:t>j</w:t>
      </w:r>
      <w:r w:rsidRPr="00EB2BF2">
        <w:rPr>
          <w:bCs/>
          <w:sz w:val="22"/>
          <w:szCs w:val="22"/>
          <w:lang w:val="sr-Latn-RS"/>
        </w:rPr>
        <w:t xml:space="preserve">etljivosti, uključujući teške reakcije na koži kao npr. osip </w:t>
      </w:r>
      <w:r w:rsidR="00E47A82" w:rsidRPr="00EB2BF2">
        <w:rPr>
          <w:bCs/>
          <w:sz w:val="22"/>
          <w:szCs w:val="22"/>
          <w:lang w:val="sr-Latn-RS"/>
        </w:rPr>
        <w:t>izazvan</w:t>
      </w:r>
      <w:r w:rsidRPr="00EB2BF2">
        <w:rPr>
          <w:bCs/>
          <w:sz w:val="22"/>
          <w:szCs w:val="22"/>
          <w:lang w:val="sr-Latn-RS"/>
        </w:rPr>
        <w:t xml:space="preserve"> l</w:t>
      </w:r>
      <w:r w:rsidR="00C86290" w:rsidRPr="00EB2BF2">
        <w:rPr>
          <w:bCs/>
          <w:sz w:val="22"/>
          <w:szCs w:val="22"/>
          <w:lang w:val="sr-Latn-RS"/>
        </w:rPr>
        <w:t>j</w:t>
      </w:r>
      <w:r w:rsidRPr="00EB2BF2">
        <w:rPr>
          <w:bCs/>
          <w:sz w:val="22"/>
          <w:szCs w:val="22"/>
          <w:lang w:val="sr-Latn-RS"/>
        </w:rPr>
        <w:t>ekov</w:t>
      </w:r>
      <w:r w:rsidR="00E47A82" w:rsidRPr="00EB2BF2">
        <w:rPr>
          <w:bCs/>
          <w:sz w:val="22"/>
          <w:szCs w:val="22"/>
          <w:lang w:val="sr-Latn-RS"/>
        </w:rPr>
        <w:t>ima</w:t>
      </w:r>
      <w:r w:rsidRPr="00EB2BF2">
        <w:rPr>
          <w:bCs/>
          <w:sz w:val="22"/>
          <w:szCs w:val="22"/>
          <w:lang w:val="sr-Latn-RS"/>
        </w:rPr>
        <w:t xml:space="preserve"> sa eozinofilijom i sistemskim simptomima (DRESS-sindrom</w:t>
      </w:r>
      <w:r w:rsidRPr="00EB2BF2">
        <w:rPr>
          <w:i/>
          <w:sz w:val="22"/>
          <w:szCs w:val="22"/>
          <w:lang w:val="sr-Latn-RS"/>
        </w:rPr>
        <w:t>), Steven-Johnson</w:t>
      </w:r>
      <w:r w:rsidRPr="00EB2BF2">
        <w:rPr>
          <w:bCs/>
          <w:sz w:val="22"/>
          <w:szCs w:val="22"/>
          <w:lang w:val="sr-Latn-RS"/>
        </w:rPr>
        <w:t>-sindrom (SJS), toksično-epidermaln</w:t>
      </w:r>
      <w:r w:rsidR="00C86290" w:rsidRPr="00EB2BF2">
        <w:rPr>
          <w:bCs/>
          <w:sz w:val="22"/>
          <w:szCs w:val="22"/>
          <w:lang w:val="sr-Latn-RS"/>
        </w:rPr>
        <w:t>a</w:t>
      </w:r>
      <w:r w:rsidRPr="00EB2BF2">
        <w:rPr>
          <w:bCs/>
          <w:sz w:val="22"/>
          <w:szCs w:val="22"/>
          <w:lang w:val="sr-Latn-RS"/>
        </w:rPr>
        <w:t xml:space="preserve"> nekroliza (TEN) i akutn</w:t>
      </w:r>
      <w:r w:rsidR="00E47A82" w:rsidRPr="00EB2BF2">
        <w:rPr>
          <w:bCs/>
          <w:sz w:val="22"/>
          <w:szCs w:val="22"/>
          <w:lang w:val="sr-Latn-RS"/>
        </w:rPr>
        <w:t>a</w:t>
      </w:r>
      <w:r w:rsidRPr="00EB2BF2">
        <w:rPr>
          <w:bCs/>
          <w:sz w:val="22"/>
          <w:szCs w:val="22"/>
          <w:lang w:val="sr-Latn-RS"/>
        </w:rPr>
        <w:t xml:space="preserve"> generalizovan</w:t>
      </w:r>
      <w:r w:rsidR="00E47A82" w:rsidRPr="00EB2BF2">
        <w:rPr>
          <w:bCs/>
          <w:sz w:val="22"/>
          <w:szCs w:val="22"/>
          <w:lang w:val="sr-Latn-RS"/>
        </w:rPr>
        <w:t>a egzantematozna</w:t>
      </w:r>
      <w:r w:rsidRPr="00EB2BF2">
        <w:rPr>
          <w:bCs/>
          <w:sz w:val="22"/>
          <w:szCs w:val="22"/>
          <w:lang w:val="sr-Latn-RS"/>
        </w:rPr>
        <w:t xml:space="preserve"> pustuloz</w:t>
      </w:r>
      <w:r w:rsidR="00E47A82" w:rsidRPr="00EB2BF2">
        <w:rPr>
          <w:bCs/>
          <w:sz w:val="22"/>
          <w:szCs w:val="22"/>
          <w:lang w:val="sr-Latn-RS"/>
        </w:rPr>
        <w:t xml:space="preserve">a </w:t>
      </w:r>
      <w:r w:rsidRPr="00EB2BF2">
        <w:rPr>
          <w:bCs/>
          <w:sz w:val="22"/>
          <w:szCs w:val="22"/>
          <w:lang w:val="sr-Latn-RS"/>
        </w:rPr>
        <w:t>(AGEP). Kod pojave preos</w:t>
      </w:r>
      <w:r w:rsidR="00C86290" w:rsidRPr="00EB2BF2">
        <w:rPr>
          <w:bCs/>
          <w:sz w:val="22"/>
          <w:szCs w:val="22"/>
          <w:lang w:val="sr-Latn-RS"/>
        </w:rPr>
        <w:t>j</w:t>
      </w:r>
      <w:r w:rsidRPr="00EB2BF2">
        <w:rPr>
          <w:bCs/>
          <w:sz w:val="22"/>
          <w:szCs w:val="22"/>
          <w:lang w:val="sr-Latn-RS"/>
        </w:rPr>
        <w:t>etljivosti ili teških reakcija na koži, l</w:t>
      </w:r>
      <w:r w:rsidR="00C86290" w:rsidRPr="00EB2BF2">
        <w:rPr>
          <w:bCs/>
          <w:sz w:val="22"/>
          <w:szCs w:val="22"/>
          <w:lang w:val="sr-Latn-RS"/>
        </w:rPr>
        <w:t>ij</w:t>
      </w:r>
      <w:r w:rsidRPr="00EB2BF2">
        <w:rPr>
          <w:bCs/>
          <w:sz w:val="22"/>
          <w:szCs w:val="22"/>
          <w:lang w:val="sr-Latn-RS"/>
        </w:rPr>
        <w:t xml:space="preserve">ečenje  </w:t>
      </w:r>
      <w:r w:rsidR="004518E4" w:rsidRPr="00EB2BF2">
        <w:rPr>
          <w:bCs/>
          <w:sz w:val="22"/>
          <w:szCs w:val="22"/>
          <w:lang w:val="sr-Latn-RS"/>
        </w:rPr>
        <w:t>klindamicinom</w:t>
      </w:r>
      <w:r w:rsidRPr="00EB2BF2">
        <w:rPr>
          <w:bCs/>
          <w:sz w:val="22"/>
          <w:szCs w:val="22"/>
          <w:lang w:val="sr-Latn-RS"/>
        </w:rPr>
        <w:t xml:space="preserve"> treba prekinuti i uvesti adekvatno l</w:t>
      </w:r>
      <w:r w:rsidR="00C86290" w:rsidRPr="00EB2BF2">
        <w:rPr>
          <w:bCs/>
          <w:sz w:val="22"/>
          <w:szCs w:val="22"/>
          <w:lang w:val="sr-Latn-RS"/>
        </w:rPr>
        <w:t>ij</w:t>
      </w:r>
      <w:r w:rsidRPr="00EB2BF2">
        <w:rPr>
          <w:bCs/>
          <w:sz w:val="22"/>
          <w:szCs w:val="22"/>
          <w:lang w:val="sr-Latn-RS"/>
        </w:rPr>
        <w:t>ečenje (vid</w:t>
      </w:r>
      <w:r w:rsidR="00C86290" w:rsidRPr="00EB2BF2">
        <w:rPr>
          <w:bCs/>
          <w:sz w:val="22"/>
          <w:szCs w:val="22"/>
          <w:lang w:val="sr-Latn-RS"/>
        </w:rPr>
        <w:t>jet</w:t>
      </w:r>
      <w:r w:rsidRPr="00EB2BF2">
        <w:rPr>
          <w:bCs/>
          <w:sz w:val="22"/>
          <w:szCs w:val="22"/>
          <w:lang w:val="sr-Latn-RS"/>
        </w:rPr>
        <w:t xml:space="preserve">i </w:t>
      </w:r>
      <w:r w:rsidR="004518E4" w:rsidRPr="00EB2BF2">
        <w:rPr>
          <w:bCs/>
          <w:sz w:val="22"/>
          <w:szCs w:val="22"/>
          <w:lang w:val="sr-Latn-RS"/>
        </w:rPr>
        <w:t>djelove</w:t>
      </w:r>
      <w:r w:rsidRPr="00EB2BF2">
        <w:rPr>
          <w:bCs/>
          <w:sz w:val="22"/>
          <w:szCs w:val="22"/>
          <w:lang w:val="sr-Latn-RS"/>
        </w:rPr>
        <w:t xml:space="preserve"> 4.3 i 4.8).</w:t>
      </w:r>
    </w:p>
    <w:p w14:paraId="0B94BEDF" w14:textId="77777777" w:rsidR="00DA39C7" w:rsidRPr="00EB2BF2" w:rsidRDefault="00DA39C7" w:rsidP="00EB2BF2">
      <w:pPr>
        <w:tabs>
          <w:tab w:val="left" w:pos="540"/>
          <w:tab w:val="left" w:pos="569"/>
        </w:tabs>
        <w:jc w:val="both"/>
        <w:rPr>
          <w:bCs/>
          <w:sz w:val="22"/>
          <w:szCs w:val="22"/>
          <w:lang w:val="sr-Latn-RS"/>
        </w:rPr>
      </w:pPr>
    </w:p>
    <w:p w14:paraId="646B1CEB" w14:textId="77777777" w:rsidR="0072020E" w:rsidRPr="00EB2BF2" w:rsidRDefault="00AF634F" w:rsidP="00EB2BF2">
      <w:pPr>
        <w:tabs>
          <w:tab w:val="left" w:pos="540"/>
          <w:tab w:val="left" w:pos="569"/>
        </w:tabs>
        <w:jc w:val="both"/>
        <w:rPr>
          <w:bCs/>
          <w:sz w:val="22"/>
          <w:szCs w:val="22"/>
          <w:lang w:val="sr-Latn-RS"/>
        </w:rPr>
      </w:pPr>
      <w:r w:rsidRPr="00EB2BF2">
        <w:rPr>
          <w:bCs/>
          <w:sz w:val="22"/>
          <w:szCs w:val="22"/>
          <w:lang w:val="sr-Latn-RS"/>
        </w:rPr>
        <w:t>Klindamicin</w:t>
      </w:r>
      <w:r w:rsidR="00201F85" w:rsidRPr="00EB2BF2">
        <w:rPr>
          <w:bCs/>
          <w:sz w:val="22"/>
          <w:szCs w:val="22"/>
          <w:lang w:val="sr-Latn-RS"/>
        </w:rPr>
        <w:t xml:space="preserve"> treba da se koristi samo za terapiju teških infekcija. Prilikom razmatranja terapije ovim lijekom, ljekar treba da ima u vidu tip infekcije i mogući rizik od razvoja </w:t>
      </w:r>
      <w:r w:rsidR="00EF5082" w:rsidRPr="00EB2BF2">
        <w:rPr>
          <w:bCs/>
          <w:sz w:val="22"/>
          <w:szCs w:val="22"/>
          <w:lang w:val="sr-Latn-RS"/>
        </w:rPr>
        <w:t>dijareje</w:t>
      </w:r>
      <w:r w:rsidR="00201F85" w:rsidRPr="00EB2BF2">
        <w:rPr>
          <w:bCs/>
          <w:sz w:val="22"/>
          <w:szCs w:val="22"/>
          <w:lang w:val="sr-Latn-RS"/>
        </w:rPr>
        <w:t xml:space="preserve">, </w:t>
      </w:r>
      <w:r w:rsidR="0009538F" w:rsidRPr="00EB2BF2">
        <w:rPr>
          <w:sz w:val="22"/>
          <w:szCs w:val="22"/>
          <w:lang w:val="sr-Latn-RS"/>
        </w:rPr>
        <w:t>pošto su slučajevi kolitisa prijavljeni tokom ili čak dvije do tri sedmice nakon primjene</w:t>
      </w:r>
      <w:r w:rsidR="0009538F" w:rsidRPr="00EB2BF2">
        <w:rPr>
          <w:bCs/>
          <w:sz w:val="22"/>
          <w:szCs w:val="22"/>
          <w:lang w:val="sr-Latn-RS"/>
        </w:rPr>
        <w:t xml:space="preserve"> </w:t>
      </w:r>
      <w:r w:rsidR="004518E4" w:rsidRPr="00EB2BF2">
        <w:rPr>
          <w:sz w:val="22"/>
          <w:szCs w:val="22"/>
          <w:lang w:val="sr-Latn-RS"/>
        </w:rPr>
        <w:t>klindamicina.</w:t>
      </w:r>
    </w:p>
    <w:p w14:paraId="7C414E24" w14:textId="77777777" w:rsidR="00201F85" w:rsidRPr="00EB2BF2" w:rsidRDefault="00201F85" w:rsidP="00EB2BF2">
      <w:pPr>
        <w:tabs>
          <w:tab w:val="left" w:pos="540"/>
          <w:tab w:val="left" w:pos="569"/>
        </w:tabs>
        <w:jc w:val="both"/>
        <w:rPr>
          <w:bCs/>
          <w:sz w:val="22"/>
          <w:szCs w:val="22"/>
          <w:lang w:val="sr-Latn-RS"/>
        </w:rPr>
      </w:pPr>
    </w:p>
    <w:p w14:paraId="705FB50F" w14:textId="77777777" w:rsidR="00201F85" w:rsidRPr="00EB2BF2" w:rsidRDefault="00201F85" w:rsidP="00EB2BF2">
      <w:pPr>
        <w:tabs>
          <w:tab w:val="left" w:pos="540"/>
          <w:tab w:val="left" w:pos="569"/>
        </w:tabs>
        <w:jc w:val="both"/>
        <w:rPr>
          <w:bCs/>
          <w:sz w:val="22"/>
          <w:szCs w:val="22"/>
          <w:lang w:val="sr-Latn-RS"/>
        </w:rPr>
      </w:pPr>
      <w:r w:rsidRPr="00EB2BF2">
        <w:rPr>
          <w:bCs/>
          <w:sz w:val="22"/>
          <w:szCs w:val="22"/>
          <w:lang w:val="sr-Latn-RS"/>
        </w:rPr>
        <w:t>Studije pokazuju da je toksin (toksini) koje proizvodi klostridij</w:t>
      </w:r>
      <w:r w:rsidR="00AF634F" w:rsidRPr="00EB2BF2">
        <w:rPr>
          <w:bCs/>
          <w:sz w:val="22"/>
          <w:szCs w:val="22"/>
          <w:lang w:val="sr-Latn-RS"/>
        </w:rPr>
        <w:t>e</w:t>
      </w:r>
      <w:r w:rsidRPr="00EB2BF2">
        <w:rPr>
          <w:bCs/>
          <w:sz w:val="22"/>
          <w:szCs w:val="22"/>
          <w:lang w:val="sr-Latn-RS"/>
        </w:rPr>
        <w:t xml:space="preserve"> (posebno </w:t>
      </w:r>
      <w:r w:rsidR="00DA39C7" w:rsidRPr="00EB2BF2">
        <w:rPr>
          <w:bCs/>
          <w:i/>
          <w:sz w:val="22"/>
          <w:szCs w:val="22"/>
          <w:lang w:val="sr-Latn-RS"/>
        </w:rPr>
        <w:t xml:space="preserve">Clostridioides </w:t>
      </w:r>
      <w:r w:rsidRPr="00EB2BF2">
        <w:rPr>
          <w:bCs/>
          <w:i/>
          <w:sz w:val="22"/>
          <w:szCs w:val="22"/>
          <w:lang w:val="sr-Latn-RS"/>
        </w:rPr>
        <w:t>difficile</w:t>
      </w:r>
      <w:r w:rsidRPr="00EB2BF2">
        <w:rPr>
          <w:bCs/>
          <w:sz w:val="22"/>
          <w:szCs w:val="22"/>
          <w:lang w:val="sr-Latn-RS"/>
        </w:rPr>
        <w:t xml:space="preserve">) primarni uzrok nastanka kolitisa </w:t>
      </w:r>
      <w:r w:rsidR="00FF2F55" w:rsidRPr="00EB2BF2">
        <w:rPr>
          <w:bCs/>
          <w:sz w:val="22"/>
          <w:szCs w:val="22"/>
          <w:lang w:val="sr-Latn-RS"/>
        </w:rPr>
        <w:t xml:space="preserve">povezanog </w:t>
      </w:r>
      <w:r w:rsidRPr="00EB2BF2">
        <w:rPr>
          <w:bCs/>
          <w:sz w:val="22"/>
          <w:szCs w:val="22"/>
          <w:lang w:val="sr-Latn-RS"/>
        </w:rPr>
        <w:t xml:space="preserve">sa primjenom antibiotika. Ove studije takođe pokazuju da je ova toksigena klostridija u </w:t>
      </w:r>
      <w:r w:rsidRPr="00EB2BF2">
        <w:rPr>
          <w:bCs/>
          <w:i/>
          <w:sz w:val="22"/>
          <w:szCs w:val="22"/>
          <w:lang w:val="sr-Latn-RS"/>
        </w:rPr>
        <w:t>in vitro</w:t>
      </w:r>
      <w:r w:rsidRPr="00EB2BF2">
        <w:rPr>
          <w:bCs/>
          <w:sz w:val="22"/>
          <w:szCs w:val="22"/>
          <w:lang w:val="sr-Latn-RS"/>
        </w:rPr>
        <w:t xml:space="preserve"> uslovima obično osjetljiva na vankomicin. Kada se 125-500 mg vankomicina primjenjuje oralno četiri puta dnevno</w:t>
      </w:r>
      <w:r w:rsidR="00DA39C7" w:rsidRPr="00EB2BF2">
        <w:rPr>
          <w:bCs/>
          <w:sz w:val="22"/>
          <w:szCs w:val="22"/>
          <w:lang w:val="sr-Latn-RS"/>
        </w:rPr>
        <w:t xml:space="preserve"> </w:t>
      </w:r>
      <w:r w:rsidR="005F0396" w:rsidRPr="00EB2BF2">
        <w:rPr>
          <w:bCs/>
          <w:sz w:val="22"/>
          <w:szCs w:val="22"/>
          <w:lang w:val="sr-Latn-RS"/>
        </w:rPr>
        <w:t>tokom</w:t>
      </w:r>
      <w:r w:rsidR="00FF2F55" w:rsidRPr="00EB2BF2">
        <w:rPr>
          <w:bCs/>
          <w:sz w:val="22"/>
          <w:szCs w:val="22"/>
          <w:lang w:val="sr-Latn-RS"/>
        </w:rPr>
        <w:t xml:space="preserve"> </w:t>
      </w:r>
      <w:r w:rsidR="00DA39C7" w:rsidRPr="00EB2BF2">
        <w:rPr>
          <w:bCs/>
          <w:sz w:val="22"/>
          <w:szCs w:val="22"/>
          <w:lang w:val="sr-Latn-RS"/>
        </w:rPr>
        <w:t>7 - 10 da</w:t>
      </w:r>
      <w:r w:rsidR="00EF5082" w:rsidRPr="00EB2BF2">
        <w:rPr>
          <w:bCs/>
          <w:sz w:val="22"/>
          <w:szCs w:val="22"/>
          <w:lang w:val="sr-Latn-RS"/>
        </w:rPr>
        <w:t>na</w:t>
      </w:r>
      <w:r w:rsidRPr="00EB2BF2">
        <w:rPr>
          <w:bCs/>
          <w:sz w:val="22"/>
          <w:szCs w:val="22"/>
          <w:lang w:val="sr-Latn-RS"/>
        </w:rPr>
        <w:t>, prim</w:t>
      </w:r>
      <w:r w:rsidR="00FF2F55" w:rsidRPr="00EB2BF2">
        <w:rPr>
          <w:bCs/>
          <w:sz w:val="22"/>
          <w:szCs w:val="22"/>
          <w:lang w:val="sr-Latn-RS"/>
        </w:rPr>
        <w:t>i</w:t>
      </w:r>
      <w:r w:rsidRPr="00EB2BF2">
        <w:rPr>
          <w:bCs/>
          <w:sz w:val="22"/>
          <w:szCs w:val="22"/>
          <w:lang w:val="sr-Latn-RS"/>
        </w:rPr>
        <w:t>jećeno je da toksin iz uzoraka f</w:t>
      </w:r>
      <w:r w:rsidR="00CE308B" w:rsidRPr="00EB2BF2">
        <w:rPr>
          <w:bCs/>
          <w:sz w:val="22"/>
          <w:szCs w:val="22"/>
          <w:lang w:val="sr-Latn-RS"/>
        </w:rPr>
        <w:t>ecesa brzo nestaje i posljedično dolazi do oporav</w:t>
      </w:r>
      <w:r w:rsidRPr="00EB2BF2">
        <w:rPr>
          <w:bCs/>
          <w:sz w:val="22"/>
          <w:szCs w:val="22"/>
          <w:lang w:val="sr-Latn-RS"/>
        </w:rPr>
        <w:t>k</w:t>
      </w:r>
      <w:r w:rsidR="00CE308B" w:rsidRPr="00EB2BF2">
        <w:rPr>
          <w:bCs/>
          <w:sz w:val="22"/>
          <w:szCs w:val="22"/>
          <w:lang w:val="sr-Latn-RS"/>
        </w:rPr>
        <w:t>a</w:t>
      </w:r>
      <w:r w:rsidRPr="00EB2BF2">
        <w:rPr>
          <w:bCs/>
          <w:sz w:val="22"/>
          <w:szCs w:val="22"/>
          <w:lang w:val="sr-Latn-RS"/>
        </w:rPr>
        <w:t xml:space="preserve"> od dijareje</w:t>
      </w:r>
      <w:r w:rsidR="00DA39C7" w:rsidRPr="00EB2BF2">
        <w:rPr>
          <w:bCs/>
          <w:sz w:val="22"/>
          <w:szCs w:val="22"/>
          <w:lang w:val="sr-Latn-RS"/>
        </w:rPr>
        <w:t xml:space="preserve"> (</w:t>
      </w:r>
      <w:r w:rsidR="00EF5082" w:rsidRPr="00EB2BF2">
        <w:rPr>
          <w:bCs/>
          <w:sz w:val="22"/>
          <w:szCs w:val="22"/>
          <w:lang w:val="sr-Latn-RS"/>
        </w:rPr>
        <w:t>Ukoliko pacijent prima holestiramin pored vankomicina, treba razmotriti razdvojeno vrijeme primjene</w:t>
      </w:r>
      <w:r w:rsidR="00DA39C7" w:rsidRPr="00EB2BF2">
        <w:rPr>
          <w:bCs/>
          <w:sz w:val="22"/>
          <w:szCs w:val="22"/>
          <w:lang w:val="sr-Latn-RS"/>
        </w:rPr>
        <w:t>).</w:t>
      </w:r>
    </w:p>
    <w:p w14:paraId="22B1F590" w14:textId="77777777" w:rsidR="00201F85" w:rsidRPr="00EB2BF2" w:rsidRDefault="00201F85" w:rsidP="00EB2BF2">
      <w:pPr>
        <w:tabs>
          <w:tab w:val="left" w:pos="540"/>
          <w:tab w:val="left" w:pos="569"/>
        </w:tabs>
        <w:jc w:val="both"/>
        <w:rPr>
          <w:bCs/>
          <w:sz w:val="22"/>
          <w:szCs w:val="22"/>
          <w:lang w:val="sr-Latn-RS"/>
        </w:rPr>
      </w:pPr>
    </w:p>
    <w:p w14:paraId="20266B8F" w14:textId="77777777" w:rsidR="00DA39C7" w:rsidRPr="00EB2BF2" w:rsidRDefault="00811928" w:rsidP="00EB2BF2">
      <w:pPr>
        <w:tabs>
          <w:tab w:val="left" w:pos="540"/>
          <w:tab w:val="left" w:pos="569"/>
        </w:tabs>
        <w:jc w:val="both"/>
        <w:rPr>
          <w:bCs/>
          <w:sz w:val="22"/>
          <w:szCs w:val="22"/>
          <w:highlight w:val="yellow"/>
          <w:lang w:val="sr-Latn-RS"/>
        </w:rPr>
      </w:pPr>
      <w:r w:rsidRPr="00EB2BF2">
        <w:rPr>
          <w:sz w:val="22"/>
          <w:szCs w:val="22"/>
          <w:lang w:val="sr-Latn-RS"/>
        </w:rPr>
        <w:t>Kolitis je oboljenje čiji se klinički spektar kreće od blage, vodenaste dijareje do teške, perzistentne dijareje, leukocitoze, teških abdominalnih grčeva, koji mogu biti udruženi sa pojavom krvi i sluzi. Ukoliko se razvije, može izazvati peritonitis, šok i toksični megakolon. Ovo može imati fatalan ishod.</w:t>
      </w:r>
    </w:p>
    <w:p w14:paraId="7CF9030B" w14:textId="77777777" w:rsidR="00DA39C7" w:rsidRPr="00EB2BF2" w:rsidRDefault="00DA39C7" w:rsidP="00EB2BF2">
      <w:pPr>
        <w:tabs>
          <w:tab w:val="left" w:pos="540"/>
          <w:tab w:val="left" w:pos="569"/>
        </w:tabs>
        <w:jc w:val="both"/>
        <w:rPr>
          <w:bCs/>
          <w:sz w:val="22"/>
          <w:szCs w:val="22"/>
          <w:highlight w:val="yellow"/>
          <w:lang w:val="sr-Latn-RS"/>
        </w:rPr>
      </w:pPr>
    </w:p>
    <w:p w14:paraId="77F6C2BD" w14:textId="77777777" w:rsidR="00DA39C7" w:rsidRPr="00EB2BF2" w:rsidRDefault="00EF5082" w:rsidP="00EB2BF2">
      <w:pPr>
        <w:tabs>
          <w:tab w:val="left" w:pos="540"/>
          <w:tab w:val="left" w:pos="569"/>
        </w:tabs>
        <w:jc w:val="both"/>
        <w:rPr>
          <w:bCs/>
          <w:sz w:val="22"/>
          <w:szCs w:val="22"/>
          <w:lang w:val="sr-Latn-RS"/>
        </w:rPr>
      </w:pPr>
      <w:bookmarkStart w:id="1" w:name="_Hlk179804172"/>
      <w:r w:rsidRPr="00EB2BF2">
        <w:rPr>
          <w:bCs/>
          <w:sz w:val="22"/>
          <w:szCs w:val="22"/>
          <w:lang w:val="sr-Latn-RS"/>
        </w:rPr>
        <w:t xml:space="preserve">Pojavu izražene dijareje treba smatrati indikacijom da primjenu </w:t>
      </w:r>
      <w:r w:rsidR="004518E4" w:rsidRPr="00EB2BF2">
        <w:rPr>
          <w:bCs/>
          <w:sz w:val="22"/>
          <w:szCs w:val="22"/>
          <w:lang w:val="sr-Latn-RS"/>
        </w:rPr>
        <w:t>lijeka</w:t>
      </w:r>
      <w:r w:rsidRPr="00EB2BF2">
        <w:rPr>
          <w:bCs/>
          <w:sz w:val="22"/>
          <w:szCs w:val="22"/>
          <w:lang w:val="sr-Latn-RS"/>
        </w:rPr>
        <w:t xml:space="preserve"> treba odmah prekinuti</w:t>
      </w:r>
      <w:r w:rsidR="00DA39C7" w:rsidRPr="00EB2BF2">
        <w:rPr>
          <w:bCs/>
          <w:sz w:val="22"/>
          <w:szCs w:val="22"/>
          <w:lang w:val="sr-Latn-RS"/>
        </w:rPr>
        <w:t xml:space="preserve">. </w:t>
      </w:r>
      <w:bookmarkEnd w:id="1"/>
      <w:r w:rsidR="00811928" w:rsidRPr="00EB2BF2">
        <w:rPr>
          <w:sz w:val="22"/>
          <w:szCs w:val="22"/>
          <w:lang w:val="sr-Latn-RS"/>
        </w:rPr>
        <w:t xml:space="preserve">Oboljenje može imati težu kliničku sliku kod starijih pacijenata ili pacijenata koji su hendikepirani. Dijagnoza se obično postavlja prepoznavanjem kliničkih simptoma, ali može da se potvrdi endoskopskim dokazivanjem pseudomombranoznog kolitisa. Prisustvo bolesti može se dalje potvrditi kultivacijom </w:t>
      </w:r>
      <w:r w:rsidR="00811928" w:rsidRPr="00EB2BF2">
        <w:rPr>
          <w:i/>
          <w:sz w:val="22"/>
          <w:szCs w:val="22"/>
          <w:lang w:val="sr-Latn-RS"/>
        </w:rPr>
        <w:t>Clostridioides difficile</w:t>
      </w:r>
      <w:r w:rsidR="00811928" w:rsidRPr="00EB2BF2">
        <w:rPr>
          <w:sz w:val="22"/>
          <w:szCs w:val="22"/>
          <w:lang w:val="sr-Latn-RS"/>
        </w:rPr>
        <w:t xml:space="preserve"> iz stolice na posebnim medijumima i ispitivanjem uzorka stolice na toksine </w:t>
      </w:r>
      <w:r w:rsidR="00811928" w:rsidRPr="00EB2BF2">
        <w:rPr>
          <w:i/>
          <w:sz w:val="22"/>
          <w:szCs w:val="22"/>
          <w:lang w:val="sr-Latn-RS"/>
        </w:rPr>
        <w:t>C. difficile</w:t>
      </w:r>
      <w:r w:rsidR="00811928" w:rsidRPr="00EB2BF2">
        <w:rPr>
          <w:sz w:val="22"/>
          <w:szCs w:val="22"/>
          <w:lang w:val="sr-Latn-RS"/>
        </w:rPr>
        <w:t>.</w:t>
      </w:r>
    </w:p>
    <w:p w14:paraId="5099D5B4" w14:textId="77777777" w:rsidR="00936FC6" w:rsidRPr="00EB2BF2" w:rsidRDefault="00936FC6" w:rsidP="00EB2BF2">
      <w:pPr>
        <w:tabs>
          <w:tab w:val="left" w:pos="540"/>
          <w:tab w:val="left" w:pos="569"/>
        </w:tabs>
        <w:jc w:val="both"/>
        <w:rPr>
          <w:bCs/>
          <w:sz w:val="22"/>
          <w:szCs w:val="22"/>
          <w:lang w:val="sr-Latn-RS"/>
        </w:rPr>
      </w:pPr>
    </w:p>
    <w:p w14:paraId="38A83CC6" w14:textId="77777777" w:rsidR="00936FC6" w:rsidRPr="00EB2BF2" w:rsidRDefault="00FD0D13" w:rsidP="00EB2BF2">
      <w:pPr>
        <w:tabs>
          <w:tab w:val="left" w:pos="540"/>
          <w:tab w:val="left" w:pos="569"/>
        </w:tabs>
        <w:jc w:val="both"/>
        <w:rPr>
          <w:bCs/>
          <w:sz w:val="22"/>
          <w:szCs w:val="22"/>
          <w:lang w:val="sr-Latn-RS"/>
        </w:rPr>
      </w:pPr>
      <w:r w:rsidRPr="00EB2BF2">
        <w:rPr>
          <w:bCs/>
          <w:sz w:val="22"/>
          <w:szCs w:val="22"/>
          <w:lang w:val="sr-Latn-RS"/>
        </w:rPr>
        <w:t xml:space="preserve">Dijareja povezana sa </w:t>
      </w:r>
      <w:r w:rsidRPr="00EB2BF2">
        <w:rPr>
          <w:bCs/>
          <w:i/>
          <w:sz w:val="22"/>
          <w:szCs w:val="22"/>
          <w:lang w:val="sr-Latn-RS"/>
        </w:rPr>
        <w:t>Clostridioides difficile</w:t>
      </w:r>
      <w:r w:rsidRPr="00EB2BF2">
        <w:rPr>
          <w:bCs/>
          <w:sz w:val="22"/>
          <w:szCs w:val="22"/>
          <w:lang w:val="sr-Latn-RS"/>
        </w:rPr>
        <w:t xml:space="preserve"> (</w:t>
      </w:r>
      <w:r w:rsidR="00FF2F55" w:rsidRPr="00EB2BF2">
        <w:rPr>
          <w:bCs/>
          <w:sz w:val="22"/>
          <w:szCs w:val="22"/>
          <w:lang w:val="sr-Latn-RS"/>
        </w:rPr>
        <w:t xml:space="preserve">engl. </w:t>
      </w:r>
      <w:r w:rsidR="00FF2F55" w:rsidRPr="00EB2BF2">
        <w:rPr>
          <w:bCs/>
          <w:i/>
          <w:sz w:val="22"/>
          <w:szCs w:val="22"/>
          <w:lang w:val="sr-Latn-RS"/>
        </w:rPr>
        <w:t>Clostridioides difficile associated diarrhea</w:t>
      </w:r>
      <w:r w:rsidR="00FF2F55" w:rsidRPr="00EB2BF2">
        <w:rPr>
          <w:bCs/>
          <w:sz w:val="22"/>
          <w:szCs w:val="22"/>
          <w:lang w:val="sr-Latn-RS"/>
        </w:rPr>
        <w:t xml:space="preserve">, </w:t>
      </w:r>
      <w:r w:rsidRPr="00EB2BF2">
        <w:rPr>
          <w:bCs/>
          <w:sz w:val="22"/>
          <w:szCs w:val="22"/>
          <w:lang w:val="sr-Latn-RS"/>
        </w:rPr>
        <w:t xml:space="preserve">CDAD) je prijavljena uz upotrebu skoro svih antibakterijskih </w:t>
      </w:r>
      <w:r w:rsidR="00AF634F" w:rsidRPr="00EB2BF2">
        <w:rPr>
          <w:bCs/>
          <w:sz w:val="22"/>
          <w:szCs w:val="22"/>
          <w:lang w:val="sr-Latn-RS"/>
        </w:rPr>
        <w:t>ljekova</w:t>
      </w:r>
      <w:r w:rsidRPr="00EB2BF2">
        <w:rPr>
          <w:bCs/>
          <w:sz w:val="22"/>
          <w:szCs w:val="22"/>
          <w:lang w:val="sr-Latn-RS"/>
        </w:rPr>
        <w:t xml:space="preserve">, uključujući klindamicin, i može biti u rasponu od blage dijareje do fatalnog kolitisa. Terapija antibakterijskim </w:t>
      </w:r>
      <w:r w:rsidR="00FF2F55" w:rsidRPr="00EB2BF2">
        <w:rPr>
          <w:bCs/>
          <w:sz w:val="22"/>
          <w:szCs w:val="22"/>
          <w:lang w:val="sr-Latn-RS"/>
        </w:rPr>
        <w:t xml:space="preserve">ljekovima </w:t>
      </w:r>
      <w:r w:rsidRPr="00EB2BF2">
        <w:rPr>
          <w:bCs/>
          <w:sz w:val="22"/>
          <w:szCs w:val="22"/>
          <w:lang w:val="sr-Latn-RS"/>
        </w:rPr>
        <w:t xml:space="preserve">mijenja normalnu floru debelog crijeva što dovodi do prekomjernog rasta </w:t>
      </w:r>
      <w:r w:rsidRPr="00EB2BF2">
        <w:rPr>
          <w:bCs/>
          <w:i/>
          <w:sz w:val="22"/>
          <w:szCs w:val="22"/>
          <w:lang w:val="sr-Latn-RS"/>
        </w:rPr>
        <w:t>C. difficile</w:t>
      </w:r>
      <w:r w:rsidR="00936FC6" w:rsidRPr="00EB2BF2">
        <w:rPr>
          <w:bCs/>
          <w:sz w:val="22"/>
          <w:szCs w:val="22"/>
          <w:lang w:val="sr-Latn-RS"/>
        </w:rPr>
        <w:t>.</w:t>
      </w:r>
    </w:p>
    <w:p w14:paraId="29303E5D" w14:textId="77777777" w:rsidR="00936FC6" w:rsidRPr="00EB2BF2" w:rsidRDefault="00936FC6" w:rsidP="00EB2BF2">
      <w:pPr>
        <w:tabs>
          <w:tab w:val="left" w:pos="540"/>
          <w:tab w:val="left" w:pos="569"/>
        </w:tabs>
        <w:jc w:val="both"/>
        <w:rPr>
          <w:bCs/>
          <w:sz w:val="22"/>
          <w:szCs w:val="22"/>
          <w:highlight w:val="yellow"/>
          <w:lang w:val="sr-Latn-RS"/>
        </w:rPr>
      </w:pPr>
    </w:p>
    <w:p w14:paraId="3AD545BC" w14:textId="77777777" w:rsidR="00FF2F55" w:rsidRPr="00EB2BF2" w:rsidRDefault="00936FC6" w:rsidP="00EB2BF2">
      <w:pPr>
        <w:tabs>
          <w:tab w:val="left" w:pos="540"/>
          <w:tab w:val="left" w:pos="569"/>
        </w:tabs>
        <w:jc w:val="both"/>
        <w:rPr>
          <w:bCs/>
          <w:sz w:val="22"/>
          <w:szCs w:val="22"/>
          <w:lang w:val="sr-Latn-RS"/>
        </w:rPr>
      </w:pPr>
      <w:r w:rsidRPr="00EB2BF2">
        <w:rPr>
          <w:bCs/>
          <w:i/>
          <w:iCs/>
          <w:sz w:val="22"/>
          <w:szCs w:val="22"/>
          <w:lang w:val="sr-Latn-RS"/>
        </w:rPr>
        <w:t>C. difficile</w:t>
      </w:r>
      <w:r w:rsidRPr="00EB2BF2">
        <w:rPr>
          <w:bCs/>
          <w:sz w:val="22"/>
          <w:szCs w:val="22"/>
          <w:lang w:val="sr-Latn-RS"/>
        </w:rPr>
        <w:t xml:space="preserve"> </w:t>
      </w:r>
      <w:r w:rsidR="00FD0D13" w:rsidRPr="00EB2BF2">
        <w:rPr>
          <w:bCs/>
          <w:sz w:val="22"/>
          <w:szCs w:val="22"/>
          <w:lang w:val="sr-Latn-RS"/>
        </w:rPr>
        <w:t xml:space="preserve">proizvodi toksine A i B koji doprinose razvoju CDAD-a. </w:t>
      </w:r>
    </w:p>
    <w:p w14:paraId="22E10FDF" w14:textId="77777777" w:rsidR="00FF2F55" w:rsidRPr="00EB2BF2" w:rsidRDefault="00FF2F55" w:rsidP="00EB2BF2">
      <w:pPr>
        <w:tabs>
          <w:tab w:val="left" w:pos="540"/>
          <w:tab w:val="left" w:pos="569"/>
        </w:tabs>
        <w:jc w:val="both"/>
        <w:rPr>
          <w:bCs/>
          <w:sz w:val="22"/>
          <w:szCs w:val="22"/>
          <w:lang w:val="sr-Latn-RS"/>
        </w:rPr>
      </w:pPr>
    </w:p>
    <w:p w14:paraId="2F2A97EF" w14:textId="77777777" w:rsidR="00FF2F55" w:rsidRPr="00EB2BF2" w:rsidRDefault="00FD0D13" w:rsidP="00EB2BF2">
      <w:pPr>
        <w:tabs>
          <w:tab w:val="left" w:pos="540"/>
          <w:tab w:val="left" w:pos="569"/>
        </w:tabs>
        <w:jc w:val="both"/>
        <w:rPr>
          <w:sz w:val="22"/>
          <w:szCs w:val="22"/>
          <w:lang w:val="sr-Latn-RS"/>
        </w:rPr>
      </w:pPr>
      <w:r w:rsidRPr="00EB2BF2">
        <w:rPr>
          <w:bCs/>
          <w:sz w:val="22"/>
          <w:szCs w:val="22"/>
          <w:lang w:val="sr-Latn-RS"/>
        </w:rPr>
        <w:t xml:space="preserve">Sojevi </w:t>
      </w:r>
      <w:r w:rsidRPr="00EB2BF2">
        <w:rPr>
          <w:bCs/>
          <w:i/>
          <w:sz w:val="22"/>
          <w:szCs w:val="22"/>
          <w:lang w:val="sr-Latn-RS"/>
        </w:rPr>
        <w:t xml:space="preserve">C. difficile </w:t>
      </w:r>
      <w:r w:rsidRPr="00EB2BF2">
        <w:rPr>
          <w:bCs/>
          <w:sz w:val="22"/>
          <w:szCs w:val="22"/>
          <w:lang w:val="sr-Latn-RS"/>
        </w:rPr>
        <w:t>koji proizvode hipertoksin uzrokuju povećan morbiditet i mortalitet, jer ove infekcije mogu biti otporne na antimikrobnu terapiju i mogu zahtijevati kolektomiju. CDAD se mora uzeti u obzir kod svih pacijenata koji imaju dijareju nakon upotrebe antibiotika. Neophodna je pažljiva medicinska anamneza, pošto je prijavljeno da se CDAD javlja tokom dva mjeseca nakon primjene antibakterijskog lijeka</w:t>
      </w:r>
      <w:r w:rsidR="00936FC6" w:rsidRPr="00EB2BF2">
        <w:rPr>
          <w:bCs/>
          <w:sz w:val="22"/>
          <w:szCs w:val="22"/>
          <w:lang w:val="sr-Latn-RS"/>
        </w:rPr>
        <w:t>.</w:t>
      </w:r>
      <w:r w:rsidRPr="00EB2BF2">
        <w:rPr>
          <w:sz w:val="22"/>
          <w:szCs w:val="22"/>
          <w:lang w:val="sr-Latn-RS"/>
        </w:rPr>
        <w:t xml:space="preserve"> </w:t>
      </w:r>
    </w:p>
    <w:p w14:paraId="10136EF7" w14:textId="77777777" w:rsidR="00FF2F55" w:rsidRPr="00EB2BF2" w:rsidRDefault="00FF2F55" w:rsidP="00EB2BF2">
      <w:pPr>
        <w:tabs>
          <w:tab w:val="left" w:pos="540"/>
          <w:tab w:val="left" w:pos="569"/>
        </w:tabs>
        <w:jc w:val="both"/>
        <w:rPr>
          <w:sz w:val="22"/>
          <w:szCs w:val="22"/>
          <w:lang w:val="sr-Latn-RS"/>
        </w:rPr>
      </w:pPr>
    </w:p>
    <w:p w14:paraId="5494A39D" w14:textId="77777777" w:rsidR="008F52E5" w:rsidRPr="00EB2BF2" w:rsidRDefault="00492DF6" w:rsidP="00EB2BF2">
      <w:pPr>
        <w:tabs>
          <w:tab w:val="left" w:pos="540"/>
          <w:tab w:val="left" w:pos="569"/>
        </w:tabs>
        <w:jc w:val="both"/>
        <w:rPr>
          <w:bCs/>
          <w:i/>
          <w:sz w:val="22"/>
          <w:szCs w:val="22"/>
          <w:u w:val="single"/>
          <w:lang w:val="sr-Latn-RS"/>
        </w:rPr>
      </w:pPr>
      <w:r w:rsidRPr="00EB2BF2">
        <w:rPr>
          <w:bCs/>
          <w:i/>
          <w:sz w:val="22"/>
          <w:szCs w:val="22"/>
          <w:lang w:val="sr-Latn-RS"/>
        </w:rPr>
        <w:t xml:space="preserve">Mjere </w:t>
      </w:r>
      <w:r w:rsidR="003B4C9E" w:rsidRPr="00EB2BF2">
        <w:rPr>
          <w:bCs/>
          <w:i/>
          <w:sz w:val="22"/>
          <w:szCs w:val="22"/>
          <w:lang w:val="sr-Latn-RS"/>
        </w:rPr>
        <w:t>opreza</w:t>
      </w:r>
    </w:p>
    <w:p w14:paraId="6555AC7A" w14:textId="77777777" w:rsidR="006869F3" w:rsidRPr="00EB2BF2" w:rsidRDefault="006869F3" w:rsidP="00EB2BF2">
      <w:pPr>
        <w:pStyle w:val="Header"/>
        <w:jc w:val="both"/>
        <w:rPr>
          <w:sz w:val="22"/>
          <w:szCs w:val="22"/>
          <w:lang w:val="sr-Latn-RS"/>
        </w:rPr>
      </w:pPr>
      <w:r w:rsidRPr="00EB2BF2">
        <w:rPr>
          <w:sz w:val="22"/>
          <w:szCs w:val="22"/>
          <w:lang w:val="sr-Latn-RS"/>
        </w:rPr>
        <w:t>Kod pacijenata koji u anamnezi imaju istoriju gastro-intestinalnih oboljenja, posebno kolitis, lijek Clindamycin-MIP treba primjenjivati sa oprezom.</w:t>
      </w:r>
    </w:p>
    <w:p w14:paraId="22C6BA7C" w14:textId="77777777" w:rsidR="006869F3" w:rsidRPr="00EB2BF2" w:rsidRDefault="006869F3" w:rsidP="00EB2BF2">
      <w:pPr>
        <w:tabs>
          <w:tab w:val="left" w:pos="540"/>
          <w:tab w:val="left" w:pos="569"/>
        </w:tabs>
        <w:jc w:val="both"/>
        <w:rPr>
          <w:bCs/>
          <w:sz w:val="22"/>
          <w:szCs w:val="22"/>
          <w:lang w:val="sr-Latn-RS"/>
        </w:rPr>
      </w:pPr>
    </w:p>
    <w:p w14:paraId="3CECEBAF" w14:textId="77777777" w:rsidR="00BB28C2" w:rsidRPr="00EB2BF2" w:rsidRDefault="00BB28C2" w:rsidP="00EB2BF2">
      <w:pPr>
        <w:tabs>
          <w:tab w:val="left" w:pos="540"/>
          <w:tab w:val="left" w:pos="569"/>
        </w:tabs>
        <w:jc w:val="both"/>
        <w:rPr>
          <w:bCs/>
          <w:sz w:val="22"/>
          <w:szCs w:val="22"/>
          <w:lang w:val="sr-Latn-RS"/>
        </w:rPr>
      </w:pPr>
      <w:r w:rsidRPr="00EB2BF2">
        <w:rPr>
          <w:bCs/>
          <w:sz w:val="22"/>
          <w:szCs w:val="22"/>
          <w:lang w:val="sr-Latn-RS"/>
        </w:rPr>
        <w:t>Obzirom da klindamicin ne difunduje na adekvatan način u cerebro</w:t>
      </w:r>
      <w:r w:rsidR="003C2C28" w:rsidRPr="00EB2BF2">
        <w:rPr>
          <w:bCs/>
          <w:sz w:val="22"/>
          <w:szCs w:val="22"/>
          <w:lang w:val="sr-Latn-RS"/>
        </w:rPr>
        <w:t xml:space="preserve">spinalnu tečnost, ovaj lijek </w:t>
      </w:r>
      <w:r w:rsidRPr="00EB2BF2">
        <w:rPr>
          <w:bCs/>
          <w:sz w:val="22"/>
          <w:szCs w:val="22"/>
          <w:lang w:val="sr-Latn-RS"/>
        </w:rPr>
        <w:t>ne treba koristiti za liječenje meningitisa.</w:t>
      </w:r>
    </w:p>
    <w:p w14:paraId="681A5ABC" w14:textId="77777777" w:rsidR="00BB28C2" w:rsidRPr="00EB2BF2" w:rsidRDefault="00BB28C2" w:rsidP="00EB2BF2">
      <w:pPr>
        <w:tabs>
          <w:tab w:val="left" w:pos="540"/>
          <w:tab w:val="left" w:pos="569"/>
        </w:tabs>
        <w:jc w:val="both"/>
        <w:rPr>
          <w:bCs/>
          <w:sz w:val="22"/>
          <w:szCs w:val="22"/>
          <w:lang w:val="sr-Latn-RS"/>
        </w:rPr>
      </w:pPr>
    </w:p>
    <w:p w14:paraId="5617C70C" w14:textId="77777777" w:rsidR="00BB28C2" w:rsidRPr="00EB2BF2" w:rsidRDefault="00BB28C2" w:rsidP="00EB2BF2">
      <w:pPr>
        <w:tabs>
          <w:tab w:val="left" w:pos="540"/>
          <w:tab w:val="left" w:pos="569"/>
        </w:tabs>
        <w:jc w:val="both"/>
        <w:rPr>
          <w:bCs/>
          <w:sz w:val="22"/>
          <w:szCs w:val="22"/>
          <w:lang w:val="sr-Latn-RS"/>
        </w:rPr>
      </w:pPr>
      <w:bookmarkStart w:id="2" w:name="_Hlk179804708"/>
      <w:r w:rsidRPr="00EB2BF2">
        <w:rPr>
          <w:bCs/>
          <w:sz w:val="22"/>
          <w:szCs w:val="22"/>
          <w:lang w:val="sr-Latn-RS"/>
        </w:rPr>
        <w:t xml:space="preserve">U slučajevima duže primjene, treba testirati renalnu i hepatičnu funkciju odgovarajućim testovima, i treba pratiti krvnu sliku. Ovakav monitoring se preporučuje i kod novorođenčadi i odojčadi. </w:t>
      </w:r>
      <w:bookmarkEnd w:id="2"/>
    </w:p>
    <w:p w14:paraId="693BEEA6" w14:textId="77777777" w:rsidR="008F52E5" w:rsidRPr="00EB2BF2" w:rsidRDefault="008F52E5" w:rsidP="00EB2BF2">
      <w:pPr>
        <w:tabs>
          <w:tab w:val="left" w:pos="540"/>
          <w:tab w:val="left" w:pos="569"/>
        </w:tabs>
        <w:jc w:val="both"/>
        <w:rPr>
          <w:bCs/>
          <w:sz w:val="22"/>
          <w:szCs w:val="22"/>
          <w:lang w:val="sr-Latn-RS"/>
        </w:rPr>
      </w:pPr>
    </w:p>
    <w:p w14:paraId="3B3F4799" w14:textId="77777777" w:rsidR="00BB28C2" w:rsidRPr="00EB2BF2" w:rsidRDefault="00262C40" w:rsidP="00EB2BF2">
      <w:pPr>
        <w:tabs>
          <w:tab w:val="left" w:pos="540"/>
          <w:tab w:val="left" w:pos="569"/>
        </w:tabs>
        <w:jc w:val="both"/>
        <w:rPr>
          <w:bCs/>
          <w:sz w:val="22"/>
          <w:szCs w:val="22"/>
          <w:lang w:val="sr-Latn-RS"/>
        </w:rPr>
      </w:pPr>
      <w:r w:rsidRPr="00EB2BF2">
        <w:rPr>
          <w:bCs/>
          <w:sz w:val="22"/>
          <w:szCs w:val="22"/>
          <w:lang w:val="sr-Latn-RS"/>
        </w:rPr>
        <w:t xml:space="preserve">Akutno oštećenje bubrega, uključujući akutnu bubrežnu insuficijenciju, rijetko je prijavljivano. Kod pacijenata koji pate od postojeće disfunkcije bubrega ili koji istovremeno uzimaju nefrotoksične ljekove, treba razmotriti praćenje funkcije bubrega (vidjeti </w:t>
      </w:r>
      <w:r w:rsidR="003B4C9E" w:rsidRPr="00EB2BF2">
        <w:rPr>
          <w:bCs/>
          <w:sz w:val="22"/>
          <w:szCs w:val="22"/>
          <w:lang w:val="sr-Latn-RS"/>
        </w:rPr>
        <w:t>dio</w:t>
      </w:r>
      <w:r w:rsidRPr="00EB2BF2">
        <w:rPr>
          <w:bCs/>
          <w:sz w:val="22"/>
          <w:szCs w:val="22"/>
          <w:lang w:val="sr-Latn-RS"/>
        </w:rPr>
        <w:t xml:space="preserve"> 4.8).</w:t>
      </w:r>
    </w:p>
    <w:p w14:paraId="05AA84A3" w14:textId="77777777" w:rsidR="00262C40" w:rsidRPr="00EB2BF2" w:rsidRDefault="00262C40" w:rsidP="00EB2BF2">
      <w:pPr>
        <w:tabs>
          <w:tab w:val="left" w:pos="540"/>
          <w:tab w:val="left" w:pos="569"/>
        </w:tabs>
        <w:jc w:val="both"/>
        <w:rPr>
          <w:bCs/>
          <w:sz w:val="22"/>
          <w:szCs w:val="22"/>
          <w:lang w:val="sr-Latn-RS"/>
        </w:rPr>
      </w:pPr>
    </w:p>
    <w:p w14:paraId="79AF22B3" w14:textId="77777777" w:rsidR="00BB28C2" w:rsidRPr="00EB2BF2" w:rsidRDefault="00BB28C2" w:rsidP="00EB2BF2">
      <w:pPr>
        <w:tabs>
          <w:tab w:val="left" w:pos="540"/>
          <w:tab w:val="left" w:pos="569"/>
        </w:tabs>
        <w:jc w:val="both"/>
        <w:rPr>
          <w:bCs/>
          <w:sz w:val="22"/>
          <w:szCs w:val="22"/>
          <w:lang w:val="sr-Latn-RS"/>
        </w:rPr>
      </w:pPr>
      <w:r w:rsidRPr="00EB2BF2">
        <w:rPr>
          <w:bCs/>
          <w:sz w:val="22"/>
          <w:szCs w:val="22"/>
          <w:lang w:val="sr-Latn-RS"/>
        </w:rPr>
        <w:t>Produžena pr</w:t>
      </w:r>
      <w:r w:rsidR="003C2C28" w:rsidRPr="00EB2BF2">
        <w:rPr>
          <w:bCs/>
          <w:sz w:val="22"/>
          <w:szCs w:val="22"/>
          <w:lang w:val="sr-Latn-RS"/>
        </w:rPr>
        <w:t>imjena antibakterijskih l</w:t>
      </w:r>
      <w:r w:rsidRPr="00EB2BF2">
        <w:rPr>
          <w:bCs/>
          <w:sz w:val="22"/>
          <w:szCs w:val="22"/>
          <w:lang w:val="sr-Latn-RS"/>
        </w:rPr>
        <w:t>jekova može izazvati superinfekciju or</w:t>
      </w:r>
      <w:r w:rsidR="003C2C28" w:rsidRPr="00EB2BF2">
        <w:rPr>
          <w:bCs/>
          <w:sz w:val="22"/>
          <w:szCs w:val="22"/>
          <w:lang w:val="sr-Latn-RS"/>
        </w:rPr>
        <w:t>ganizmima neosjetljivi</w:t>
      </w:r>
      <w:r w:rsidR="00AF634F" w:rsidRPr="00EB2BF2">
        <w:rPr>
          <w:bCs/>
          <w:sz w:val="22"/>
          <w:szCs w:val="22"/>
          <w:lang w:val="sr-Latn-RS"/>
        </w:rPr>
        <w:t>m</w:t>
      </w:r>
      <w:r w:rsidR="003C2C28" w:rsidRPr="00EB2BF2">
        <w:rPr>
          <w:bCs/>
          <w:sz w:val="22"/>
          <w:szCs w:val="22"/>
          <w:lang w:val="sr-Latn-RS"/>
        </w:rPr>
        <w:t xml:space="preserve"> na te l</w:t>
      </w:r>
      <w:r w:rsidRPr="00EB2BF2">
        <w:rPr>
          <w:bCs/>
          <w:sz w:val="22"/>
          <w:szCs w:val="22"/>
          <w:lang w:val="sr-Latn-RS"/>
        </w:rPr>
        <w:t>jekove.</w:t>
      </w:r>
    </w:p>
    <w:p w14:paraId="4ED323CA" w14:textId="77777777" w:rsidR="008F52E5" w:rsidRPr="00EB2BF2" w:rsidRDefault="008F52E5" w:rsidP="00EB2BF2">
      <w:pPr>
        <w:tabs>
          <w:tab w:val="left" w:pos="540"/>
          <w:tab w:val="left" w:pos="569"/>
        </w:tabs>
        <w:jc w:val="both"/>
        <w:rPr>
          <w:bCs/>
          <w:sz w:val="22"/>
          <w:szCs w:val="22"/>
          <w:lang w:val="sr-Latn-RS"/>
        </w:rPr>
      </w:pPr>
    </w:p>
    <w:p w14:paraId="1510D27A" w14:textId="77777777" w:rsidR="008F52E5" w:rsidRPr="00EB2BF2" w:rsidRDefault="008F52E5" w:rsidP="00EB2BF2">
      <w:pPr>
        <w:tabs>
          <w:tab w:val="left" w:pos="540"/>
          <w:tab w:val="left" w:pos="569"/>
        </w:tabs>
        <w:jc w:val="both"/>
        <w:rPr>
          <w:bCs/>
          <w:sz w:val="22"/>
          <w:szCs w:val="22"/>
          <w:lang w:val="sr-Latn-RS"/>
        </w:rPr>
      </w:pPr>
      <w:r w:rsidRPr="00EB2BF2">
        <w:rPr>
          <w:bCs/>
          <w:sz w:val="22"/>
          <w:szCs w:val="22"/>
          <w:lang w:val="sr-Latn-RS"/>
        </w:rPr>
        <w:t>Kod pacijenata sa atopijskom konstitucijom (npr. astma i alergije), lijek Clindamycin-MIP 300mg/600mg film tablete treba davati sa oprezom.</w:t>
      </w:r>
    </w:p>
    <w:p w14:paraId="416760D8" w14:textId="77777777" w:rsidR="00D16CD1" w:rsidRPr="00EB2BF2" w:rsidRDefault="00D16CD1" w:rsidP="00EB2BF2">
      <w:pPr>
        <w:tabs>
          <w:tab w:val="left" w:pos="540"/>
          <w:tab w:val="left" w:pos="569"/>
        </w:tabs>
        <w:jc w:val="both"/>
        <w:rPr>
          <w:bCs/>
          <w:sz w:val="22"/>
          <w:szCs w:val="22"/>
          <w:lang w:val="sr-Latn-RS"/>
        </w:rPr>
      </w:pPr>
    </w:p>
    <w:p w14:paraId="35FB2618" w14:textId="77777777" w:rsidR="00411B4B" w:rsidRPr="00EB2BF2" w:rsidRDefault="00411B4B" w:rsidP="00EB2BF2">
      <w:pPr>
        <w:tabs>
          <w:tab w:val="left" w:pos="540"/>
          <w:tab w:val="left" w:pos="569"/>
        </w:tabs>
        <w:jc w:val="both"/>
        <w:rPr>
          <w:b/>
          <w:bCs/>
          <w:sz w:val="22"/>
          <w:szCs w:val="22"/>
          <w:lang w:val="sr-Latn-RS"/>
        </w:rPr>
      </w:pPr>
      <w:r w:rsidRPr="00EB2BF2">
        <w:rPr>
          <w:b/>
          <w:bCs/>
          <w:sz w:val="22"/>
          <w:szCs w:val="22"/>
          <w:lang w:val="sr-Latn-RS"/>
        </w:rPr>
        <w:t xml:space="preserve">4.5. </w:t>
      </w:r>
      <w:r w:rsidR="00480FB1" w:rsidRPr="00EB2BF2">
        <w:rPr>
          <w:b/>
          <w:bCs/>
          <w:sz w:val="22"/>
          <w:szCs w:val="22"/>
          <w:lang w:val="sr-Latn-RS"/>
        </w:rPr>
        <w:tab/>
      </w:r>
      <w:r w:rsidRPr="00EB2BF2">
        <w:rPr>
          <w:b/>
          <w:bCs/>
          <w:sz w:val="22"/>
          <w:szCs w:val="22"/>
          <w:lang w:val="sr-Latn-RS"/>
        </w:rPr>
        <w:t>Interakcije sa drugim ljekovima i druge vrste interakcija</w:t>
      </w:r>
    </w:p>
    <w:p w14:paraId="7EF14892" w14:textId="77777777" w:rsidR="0072020E" w:rsidRPr="00EB2BF2" w:rsidRDefault="0072020E" w:rsidP="00EB2BF2">
      <w:pPr>
        <w:tabs>
          <w:tab w:val="left" w:pos="540"/>
          <w:tab w:val="left" w:pos="569"/>
        </w:tabs>
        <w:jc w:val="both"/>
        <w:rPr>
          <w:bCs/>
          <w:sz w:val="22"/>
          <w:szCs w:val="22"/>
          <w:lang w:val="sr-Latn-RS"/>
        </w:rPr>
      </w:pPr>
    </w:p>
    <w:p w14:paraId="097A11C9" w14:textId="77777777" w:rsidR="00BB28C2" w:rsidRPr="00EB2BF2" w:rsidRDefault="00635D4C" w:rsidP="00EB2BF2">
      <w:pPr>
        <w:tabs>
          <w:tab w:val="left" w:pos="540"/>
          <w:tab w:val="left" w:pos="569"/>
        </w:tabs>
        <w:jc w:val="both"/>
        <w:rPr>
          <w:bCs/>
          <w:sz w:val="22"/>
          <w:szCs w:val="22"/>
          <w:lang w:val="sr-Latn-RS"/>
        </w:rPr>
      </w:pPr>
      <w:r w:rsidRPr="00EB2BF2">
        <w:rPr>
          <w:bCs/>
          <w:sz w:val="22"/>
          <w:szCs w:val="22"/>
          <w:lang w:val="sr-Latn-RS"/>
        </w:rPr>
        <w:t xml:space="preserve">Za klindamicin </w:t>
      </w:r>
      <w:r w:rsidR="00C41CF1" w:rsidRPr="00EB2BF2">
        <w:rPr>
          <w:bCs/>
          <w:sz w:val="22"/>
          <w:szCs w:val="22"/>
          <w:lang w:val="sr-Latn-RS"/>
        </w:rPr>
        <w:t xml:space="preserve">je </w:t>
      </w:r>
      <w:r w:rsidRPr="00EB2BF2">
        <w:rPr>
          <w:bCs/>
          <w:sz w:val="22"/>
          <w:szCs w:val="22"/>
          <w:lang w:val="sr-Latn-RS"/>
        </w:rPr>
        <w:t xml:space="preserve">dokazano da </w:t>
      </w:r>
      <w:r w:rsidR="00C41CF1" w:rsidRPr="00EB2BF2">
        <w:rPr>
          <w:bCs/>
          <w:sz w:val="22"/>
          <w:szCs w:val="22"/>
          <w:lang w:val="sr-Latn-RS"/>
        </w:rPr>
        <w:t>može da izazove</w:t>
      </w:r>
      <w:r w:rsidRPr="00EB2BF2">
        <w:rPr>
          <w:bCs/>
          <w:sz w:val="22"/>
          <w:szCs w:val="22"/>
          <w:lang w:val="sr-Latn-RS"/>
        </w:rPr>
        <w:t xml:space="preserve"> </w:t>
      </w:r>
      <w:r w:rsidR="00C41CF1" w:rsidRPr="00EB2BF2">
        <w:rPr>
          <w:bCs/>
          <w:sz w:val="22"/>
          <w:szCs w:val="22"/>
          <w:lang w:val="sr-Latn-RS"/>
        </w:rPr>
        <w:t xml:space="preserve">neuromuskularnu </w:t>
      </w:r>
      <w:r w:rsidRPr="00EB2BF2">
        <w:rPr>
          <w:bCs/>
          <w:sz w:val="22"/>
          <w:szCs w:val="22"/>
          <w:lang w:val="sr-Latn-RS"/>
        </w:rPr>
        <w:t>blokad</w:t>
      </w:r>
      <w:r w:rsidR="00C41CF1" w:rsidRPr="00EB2BF2">
        <w:rPr>
          <w:bCs/>
          <w:sz w:val="22"/>
          <w:szCs w:val="22"/>
          <w:lang w:val="sr-Latn-RS"/>
        </w:rPr>
        <w:t>u</w:t>
      </w:r>
      <w:r w:rsidRPr="00EB2BF2">
        <w:rPr>
          <w:bCs/>
          <w:sz w:val="22"/>
          <w:szCs w:val="22"/>
          <w:lang w:val="sr-Latn-RS"/>
        </w:rPr>
        <w:t xml:space="preserve"> </w:t>
      </w:r>
      <w:r w:rsidR="00C41CF1" w:rsidRPr="00EB2BF2">
        <w:rPr>
          <w:bCs/>
          <w:sz w:val="22"/>
          <w:szCs w:val="22"/>
          <w:lang w:val="sr-Latn-RS"/>
        </w:rPr>
        <w:t xml:space="preserve">i </w:t>
      </w:r>
      <w:r w:rsidRPr="00EB2BF2">
        <w:rPr>
          <w:bCs/>
          <w:sz w:val="22"/>
          <w:szCs w:val="22"/>
          <w:lang w:val="sr-Latn-RS"/>
        </w:rPr>
        <w:t xml:space="preserve">da </w:t>
      </w:r>
      <w:r w:rsidR="00C41CF1" w:rsidRPr="00EB2BF2">
        <w:rPr>
          <w:bCs/>
          <w:sz w:val="22"/>
          <w:szCs w:val="22"/>
          <w:lang w:val="sr-Latn-RS"/>
        </w:rPr>
        <w:t xml:space="preserve">može da </w:t>
      </w:r>
      <w:r w:rsidRPr="00EB2BF2">
        <w:rPr>
          <w:bCs/>
          <w:sz w:val="22"/>
          <w:szCs w:val="22"/>
          <w:lang w:val="sr-Latn-RS"/>
        </w:rPr>
        <w:t>pojača dejstvo drugih neuromuskularnih blokatora. Prema tome, klindamicin treba koristiti sa oprezom kod pacijenata koji primaju ove lijekove.</w:t>
      </w:r>
    </w:p>
    <w:p w14:paraId="2B091287" w14:textId="77777777" w:rsidR="00635D4C" w:rsidRPr="00EB2BF2" w:rsidRDefault="00635D4C" w:rsidP="00EB2BF2">
      <w:pPr>
        <w:tabs>
          <w:tab w:val="left" w:pos="540"/>
          <w:tab w:val="left" w:pos="569"/>
        </w:tabs>
        <w:jc w:val="both"/>
        <w:rPr>
          <w:bCs/>
          <w:sz w:val="22"/>
          <w:szCs w:val="22"/>
          <w:lang w:val="sr-Latn-RS"/>
        </w:rPr>
      </w:pPr>
    </w:p>
    <w:p w14:paraId="16189BF6" w14:textId="77777777" w:rsidR="00635D4C" w:rsidRPr="00EB2BF2" w:rsidRDefault="00C41CF1" w:rsidP="00EB2BF2">
      <w:pPr>
        <w:tabs>
          <w:tab w:val="left" w:pos="540"/>
          <w:tab w:val="left" w:pos="569"/>
        </w:tabs>
        <w:jc w:val="both"/>
        <w:rPr>
          <w:bCs/>
          <w:sz w:val="22"/>
          <w:szCs w:val="22"/>
          <w:u w:val="single"/>
          <w:lang w:val="sr-Latn-RS"/>
        </w:rPr>
      </w:pPr>
      <w:r w:rsidRPr="00EB2BF2">
        <w:rPr>
          <w:bCs/>
          <w:sz w:val="22"/>
          <w:szCs w:val="22"/>
          <w:u w:val="single"/>
          <w:lang w:val="sr-Latn-RS"/>
        </w:rPr>
        <w:t>A</w:t>
      </w:r>
      <w:r w:rsidR="00635D4C" w:rsidRPr="00EB2BF2">
        <w:rPr>
          <w:bCs/>
          <w:sz w:val="22"/>
          <w:szCs w:val="22"/>
          <w:u w:val="single"/>
          <w:lang w:val="sr-Latn-RS"/>
        </w:rPr>
        <w:t>ntagonisti</w:t>
      </w:r>
      <w:r w:rsidRPr="00EB2BF2">
        <w:rPr>
          <w:bCs/>
          <w:sz w:val="22"/>
          <w:szCs w:val="22"/>
          <w:u w:val="single"/>
          <w:lang w:val="sr-Latn-RS"/>
        </w:rPr>
        <w:t xml:space="preserve"> vitamina K</w:t>
      </w:r>
    </w:p>
    <w:p w14:paraId="4923FAD1" w14:textId="77777777" w:rsidR="00635D4C" w:rsidRPr="00EB2BF2" w:rsidRDefault="00635D4C" w:rsidP="00EB2BF2">
      <w:pPr>
        <w:tabs>
          <w:tab w:val="left" w:pos="540"/>
          <w:tab w:val="left" w:pos="569"/>
        </w:tabs>
        <w:jc w:val="both"/>
        <w:rPr>
          <w:bCs/>
          <w:sz w:val="22"/>
          <w:szCs w:val="22"/>
          <w:lang w:val="sr-Latn-RS"/>
        </w:rPr>
      </w:pPr>
      <w:r w:rsidRPr="00EB2BF2">
        <w:rPr>
          <w:bCs/>
          <w:sz w:val="22"/>
          <w:szCs w:val="22"/>
          <w:lang w:val="sr-Latn-RS"/>
        </w:rPr>
        <w:t>Kod pacijenata liječeni</w:t>
      </w:r>
      <w:r w:rsidR="00C41CF1" w:rsidRPr="00EB2BF2">
        <w:rPr>
          <w:bCs/>
          <w:sz w:val="22"/>
          <w:szCs w:val="22"/>
          <w:lang w:val="sr-Latn-RS"/>
        </w:rPr>
        <w:t>h</w:t>
      </w:r>
      <w:r w:rsidRPr="00EB2BF2">
        <w:rPr>
          <w:bCs/>
          <w:sz w:val="22"/>
          <w:szCs w:val="22"/>
          <w:lang w:val="sr-Latn-RS"/>
        </w:rPr>
        <w:t xml:space="preserve"> klindamicinom u kombinaciji sa antagonistima vitamina K (npr. varfarin, acenokumarol i fluindion) </w:t>
      </w:r>
      <w:r w:rsidR="00C41CF1" w:rsidRPr="00EB2BF2">
        <w:rPr>
          <w:bCs/>
          <w:sz w:val="22"/>
          <w:szCs w:val="22"/>
          <w:lang w:val="sr-Latn-RS"/>
        </w:rPr>
        <w:t xml:space="preserve">zabilježene </w:t>
      </w:r>
      <w:r w:rsidRPr="00EB2BF2">
        <w:rPr>
          <w:bCs/>
          <w:sz w:val="22"/>
          <w:szCs w:val="22"/>
          <w:lang w:val="sr-Latn-RS"/>
        </w:rPr>
        <w:t>su povišene vrijednosti koagulacionih testova (PT/INR) i/ili krvarenje. Prema tome, kod pacijenata koji su na terapiji antagonistima vitamina K treba redovno sprovoditi koagulacione testove.</w:t>
      </w:r>
    </w:p>
    <w:p w14:paraId="045A0496" w14:textId="77777777" w:rsidR="00701304" w:rsidRPr="00EB2BF2" w:rsidRDefault="00701304" w:rsidP="00EB2BF2">
      <w:pPr>
        <w:tabs>
          <w:tab w:val="left" w:pos="540"/>
          <w:tab w:val="left" w:pos="569"/>
        </w:tabs>
        <w:jc w:val="both"/>
        <w:rPr>
          <w:bCs/>
          <w:sz w:val="22"/>
          <w:szCs w:val="22"/>
          <w:lang w:val="sr-Latn-RS"/>
        </w:rPr>
      </w:pPr>
      <w:bookmarkStart w:id="3" w:name="_Hlk179804974"/>
    </w:p>
    <w:bookmarkEnd w:id="3"/>
    <w:p w14:paraId="0C6EAE1C" w14:textId="77777777" w:rsidR="0012305F" w:rsidRPr="00EB2BF2" w:rsidRDefault="0012305F" w:rsidP="00EB2BF2">
      <w:pPr>
        <w:tabs>
          <w:tab w:val="left" w:pos="540"/>
          <w:tab w:val="left" w:pos="569"/>
        </w:tabs>
        <w:jc w:val="both"/>
        <w:rPr>
          <w:bCs/>
          <w:sz w:val="22"/>
          <w:szCs w:val="22"/>
          <w:lang w:val="sr-Latn-RS"/>
        </w:rPr>
      </w:pPr>
    </w:p>
    <w:p w14:paraId="0D1A23D1" w14:textId="77777777" w:rsidR="0012305F" w:rsidRPr="00EB2BF2" w:rsidRDefault="00E260C1" w:rsidP="00EB2BF2">
      <w:pPr>
        <w:tabs>
          <w:tab w:val="left" w:pos="540"/>
          <w:tab w:val="left" w:pos="569"/>
        </w:tabs>
        <w:jc w:val="both"/>
        <w:rPr>
          <w:bCs/>
          <w:sz w:val="22"/>
          <w:szCs w:val="22"/>
          <w:u w:val="single"/>
          <w:lang w:val="sr-Latn-RS"/>
        </w:rPr>
      </w:pPr>
      <w:bookmarkStart w:id="4" w:name="_Hlk179805771"/>
      <w:r w:rsidRPr="00EB2BF2">
        <w:rPr>
          <w:bCs/>
          <w:sz w:val="22"/>
          <w:szCs w:val="22"/>
          <w:u w:val="single"/>
          <w:lang w:val="sr-Latn-RS"/>
        </w:rPr>
        <w:t xml:space="preserve">Istovremena primjena </w:t>
      </w:r>
      <w:r w:rsidR="003B4C9E" w:rsidRPr="00EB2BF2">
        <w:rPr>
          <w:bCs/>
          <w:sz w:val="22"/>
          <w:szCs w:val="22"/>
          <w:u w:val="single"/>
          <w:lang w:val="sr-Latn-RS"/>
        </w:rPr>
        <w:t>klindamicina</w:t>
      </w:r>
      <w:r w:rsidRPr="00EB2BF2">
        <w:rPr>
          <w:bCs/>
          <w:sz w:val="22"/>
          <w:szCs w:val="22"/>
          <w:u w:val="single"/>
          <w:lang w:val="sr-Latn-RS"/>
        </w:rPr>
        <w:t xml:space="preserve"> sa inhibitorima </w:t>
      </w:r>
      <w:r w:rsidR="0012305F" w:rsidRPr="00EB2BF2">
        <w:rPr>
          <w:bCs/>
          <w:sz w:val="22"/>
          <w:szCs w:val="22"/>
          <w:u w:val="single"/>
          <w:lang w:val="sr-Latn-RS"/>
        </w:rPr>
        <w:t xml:space="preserve">CYP3A4 </w:t>
      </w:r>
      <w:r w:rsidRPr="00EB2BF2">
        <w:rPr>
          <w:bCs/>
          <w:sz w:val="22"/>
          <w:szCs w:val="22"/>
          <w:u w:val="single"/>
          <w:lang w:val="sr-Latn-RS"/>
        </w:rPr>
        <w:t xml:space="preserve">i </w:t>
      </w:r>
      <w:r w:rsidR="0012305F" w:rsidRPr="00EB2BF2">
        <w:rPr>
          <w:bCs/>
          <w:sz w:val="22"/>
          <w:szCs w:val="22"/>
          <w:u w:val="single"/>
          <w:lang w:val="sr-Latn-RS"/>
        </w:rPr>
        <w:t>CYP3A5</w:t>
      </w:r>
    </w:p>
    <w:p w14:paraId="3EDCD2E1" w14:textId="77777777" w:rsidR="002D1767" w:rsidRPr="00EB2BF2" w:rsidRDefault="003B4C9E" w:rsidP="00EB2BF2">
      <w:pPr>
        <w:tabs>
          <w:tab w:val="left" w:pos="540"/>
          <w:tab w:val="left" w:pos="569"/>
        </w:tabs>
        <w:jc w:val="both"/>
        <w:rPr>
          <w:bCs/>
          <w:sz w:val="22"/>
          <w:szCs w:val="22"/>
          <w:lang w:val="sr-Latn-RS"/>
        </w:rPr>
      </w:pPr>
      <w:r w:rsidRPr="00EB2BF2">
        <w:rPr>
          <w:bCs/>
          <w:sz w:val="22"/>
          <w:szCs w:val="22"/>
          <w:lang w:val="sr-Latn-RS"/>
        </w:rPr>
        <w:t>Klindamicin</w:t>
      </w:r>
      <w:r w:rsidR="002D1767" w:rsidRPr="00EB2BF2">
        <w:rPr>
          <w:bCs/>
          <w:sz w:val="22"/>
          <w:szCs w:val="22"/>
          <w:lang w:val="sr-Latn-RS"/>
        </w:rPr>
        <w:t xml:space="preserve"> se </w:t>
      </w:r>
      <w:r w:rsidR="00C41CF1" w:rsidRPr="00EB2BF2">
        <w:rPr>
          <w:bCs/>
          <w:sz w:val="22"/>
          <w:szCs w:val="22"/>
          <w:lang w:val="sr-Latn-RS"/>
        </w:rPr>
        <w:t xml:space="preserve">primarno </w:t>
      </w:r>
      <w:r w:rsidR="002D1767" w:rsidRPr="00EB2BF2">
        <w:rPr>
          <w:bCs/>
          <w:sz w:val="22"/>
          <w:szCs w:val="22"/>
          <w:lang w:val="sr-Latn-RS"/>
        </w:rPr>
        <w:t>metaboli</w:t>
      </w:r>
      <w:r w:rsidR="00E260C1" w:rsidRPr="00EB2BF2">
        <w:rPr>
          <w:bCs/>
          <w:sz w:val="22"/>
          <w:szCs w:val="22"/>
          <w:lang w:val="sr-Latn-RS"/>
        </w:rPr>
        <w:t>še</w:t>
      </w:r>
      <w:r w:rsidR="002D1767" w:rsidRPr="00EB2BF2">
        <w:rPr>
          <w:bCs/>
          <w:sz w:val="22"/>
          <w:szCs w:val="22"/>
          <w:lang w:val="sr-Latn-RS"/>
        </w:rPr>
        <w:t xml:space="preserve"> preko citohroma CYP3A4 i u malom ud</w:t>
      </w:r>
      <w:r w:rsidR="00E260C1" w:rsidRPr="00EB2BF2">
        <w:rPr>
          <w:bCs/>
          <w:sz w:val="22"/>
          <w:szCs w:val="22"/>
          <w:lang w:val="sr-Latn-RS"/>
        </w:rPr>
        <w:t>j</w:t>
      </w:r>
      <w:r w:rsidR="002D1767" w:rsidRPr="00EB2BF2">
        <w:rPr>
          <w:bCs/>
          <w:sz w:val="22"/>
          <w:szCs w:val="22"/>
          <w:lang w:val="sr-Latn-RS"/>
        </w:rPr>
        <w:t xml:space="preserve">elu preko citohroma CYP3A5 u glavni metabolit </w:t>
      </w:r>
      <w:r w:rsidRPr="00EB2BF2">
        <w:rPr>
          <w:bCs/>
          <w:sz w:val="22"/>
          <w:szCs w:val="22"/>
          <w:lang w:val="sr-Latn-RS"/>
        </w:rPr>
        <w:t>klindamicin</w:t>
      </w:r>
      <w:r w:rsidR="002D1767" w:rsidRPr="00EB2BF2">
        <w:rPr>
          <w:bCs/>
          <w:sz w:val="22"/>
          <w:szCs w:val="22"/>
          <w:lang w:val="sr-Latn-RS"/>
        </w:rPr>
        <w:t xml:space="preserve"> </w:t>
      </w:r>
      <w:r w:rsidR="00C41CF1" w:rsidRPr="00EB2BF2">
        <w:rPr>
          <w:bCs/>
          <w:sz w:val="22"/>
          <w:szCs w:val="22"/>
          <w:lang w:val="sr-Latn-RS"/>
        </w:rPr>
        <w:t xml:space="preserve">sulfoksid </w:t>
      </w:r>
      <w:r w:rsidR="002D1767" w:rsidRPr="00EB2BF2">
        <w:rPr>
          <w:bCs/>
          <w:sz w:val="22"/>
          <w:szCs w:val="22"/>
          <w:lang w:val="sr-Latn-RS"/>
        </w:rPr>
        <w:t>i sporedni metabolit N-</w:t>
      </w:r>
      <w:r w:rsidRPr="00EB2BF2">
        <w:rPr>
          <w:bCs/>
          <w:sz w:val="22"/>
          <w:szCs w:val="22"/>
          <w:lang w:val="sr-Latn-RS"/>
        </w:rPr>
        <w:t>desmetilklindamicin</w:t>
      </w:r>
      <w:r w:rsidR="002D1767" w:rsidRPr="00EB2BF2">
        <w:rPr>
          <w:bCs/>
          <w:sz w:val="22"/>
          <w:szCs w:val="22"/>
          <w:lang w:val="sr-Latn-RS"/>
        </w:rPr>
        <w:t xml:space="preserve">. Zbog toga inhibitori CYP3A4 i CYP3A5 mogu da smanje klirens </w:t>
      </w:r>
      <w:r w:rsidRPr="00EB2BF2">
        <w:rPr>
          <w:bCs/>
          <w:sz w:val="22"/>
          <w:szCs w:val="22"/>
          <w:lang w:val="sr-Latn-RS"/>
        </w:rPr>
        <w:t>klindamicina</w:t>
      </w:r>
      <w:r w:rsidR="002D1767" w:rsidRPr="00EB2BF2">
        <w:rPr>
          <w:bCs/>
          <w:sz w:val="22"/>
          <w:szCs w:val="22"/>
          <w:lang w:val="sr-Latn-RS"/>
        </w:rPr>
        <w:t xml:space="preserve">, a induktori ovih izoenzima mogu da povećaju klirens </w:t>
      </w:r>
      <w:r w:rsidRPr="00EB2BF2">
        <w:rPr>
          <w:bCs/>
          <w:sz w:val="22"/>
          <w:szCs w:val="22"/>
          <w:lang w:val="sr-Latn-RS"/>
        </w:rPr>
        <w:t>klindamicina</w:t>
      </w:r>
      <w:r w:rsidR="002D1767" w:rsidRPr="00EB2BF2">
        <w:rPr>
          <w:bCs/>
          <w:sz w:val="22"/>
          <w:szCs w:val="22"/>
          <w:lang w:val="sr-Latn-RS"/>
        </w:rPr>
        <w:t xml:space="preserve">. Kod istovremenog davanja jakih CYP3A4-induktora kao što je </w:t>
      </w:r>
      <w:r w:rsidRPr="00EB2BF2">
        <w:rPr>
          <w:bCs/>
          <w:sz w:val="22"/>
          <w:szCs w:val="22"/>
          <w:lang w:val="sr-Latn-RS"/>
        </w:rPr>
        <w:t>r</w:t>
      </w:r>
      <w:r w:rsidR="002D1767" w:rsidRPr="00EB2BF2">
        <w:rPr>
          <w:bCs/>
          <w:sz w:val="22"/>
          <w:szCs w:val="22"/>
          <w:lang w:val="sr-Latn-RS"/>
        </w:rPr>
        <w:t xml:space="preserve">imfapicin, trebalo bi </w:t>
      </w:r>
      <w:r w:rsidR="00C41CF1" w:rsidRPr="00EB2BF2">
        <w:rPr>
          <w:bCs/>
          <w:sz w:val="22"/>
          <w:szCs w:val="22"/>
          <w:lang w:val="sr-Latn-RS"/>
        </w:rPr>
        <w:t xml:space="preserve">pratiti da li dolazi do gubitka dejstva. </w:t>
      </w:r>
    </w:p>
    <w:p w14:paraId="3892E64B" w14:textId="77777777" w:rsidR="0012305F" w:rsidRPr="00EB2BF2" w:rsidRDefault="0012305F" w:rsidP="00EB2BF2">
      <w:pPr>
        <w:tabs>
          <w:tab w:val="left" w:pos="540"/>
          <w:tab w:val="left" w:pos="569"/>
        </w:tabs>
        <w:jc w:val="both"/>
        <w:rPr>
          <w:bCs/>
          <w:sz w:val="22"/>
          <w:szCs w:val="22"/>
          <w:lang w:val="sr-Latn-RS"/>
        </w:rPr>
      </w:pPr>
    </w:p>
    <w:p w14:paraId="76999BF1" w14:textId="77777777" w:rsidR="0012305F" w:rsidRPr="00EB2BF2" w:rsidRDefault="002D1767" w:rsidP="00EB2BF2">
      <w:pPr>
        <w:tabs>
          <w:tab w:val="left" w:pos="540"/>
          <w:tab w:val="left" w:pos="569"/>
        </w:tabs>
        <w:jc w:val="both"/>
        <w:rPr>
          <w:bCs/>
          <w:sz w:val="22"/>
          <w:szCs w:val="22"/>
          <w:lang w:val="sr-Latn-RS"/>
        </w:rPr>
      </w:pPr>
      <w:r w:rsidRPr="00EB2BF2">
        <w:rPr>
          <w:i/>
          <w:sz w:val="22"/>
          <w:szCs w:val="22"/>
          <w:lang w:val="sr-Latn-RS"/>
        </w:rPr>
        <w:t>In vitro</w:t>
      </w:r>
      <w:r w:rsidRPr="00EB2BF2">
        <w:rPr>
          <w:bCs/>
          <w:sz w:val="22"/>
          <w:szCs w:val="22"/>
          <w:lang w:val="sr-Latn-RS"/>
        </w:rPr>
        <w:t xml:space="preserve"> studije ukazuju na to da </w:t>
      </w:r>
      <w:r w:rsidR="003B4C9E" w:rsidRPr="00EB2BF2">
        <w:rPr>
          <w:bCs/>
          <w:sz w:val="22"/>
          <w:szCs w:val="22"/>
          <w:lang w:val="sr-Latn-RS"/>
        </w:rPr>
        <w:t>klindamicin</w:t>
      </w:r>
      <w:r w:rsidRPr="00EB2BF2">
        <w:rPr>
          <w:bCs/>
          <w:sz w:val="22"/>
          <w:szCs w:val="22"/>
          <w:lang w:val="sr-Latn-RS"/>
        </w:rPr>
        <w:t xml:space="preserve"> ne inhibira izoenzime CYP1A2, CYP2C9, CYP2C19, CYP2E1 ili CYP2D6, a CYP3A4 samo um</w:t>
      </w:r>
      <w:r w:rsidR="00E260C1" w:rsidRPr="00EB2BF2">
        <w:rPr>
          <w:bCs/>
          <w:sz w:val="22"/>
          <w:szCs w:val="22"/>
          <w:lang w:val="sr-Latn-RS"/>
        </w:rPr>
        <w:t>j</w:t>
      </w:r>
      <w:r w:rsidRPr="00EB2BF2">
        <w:rPr>
          <w:bCs/>
          <w:sz w:val="22"/>
          <w:szCs w:val="22"/>
          <w:lang w:val="sr-Latn-RS"/>
        </w:rPr>
        <w:t>ereno. Stoga ni</w:t>
      </w:r>
      <w:r w:rsidR="003B4C9E" w:rsidRPr="00EB2BF2">
        <w:rPr>
          <w:bCs/>
          <w:sz w:val="22"/>
          <w:szCs w:val="22"/>
          <w:lang w:val="sr-Latn-RS"/>
        </w:rPr>
        <w:t>je</w:t>
      </w:r>
      <w:r w:rsidRPr="00EB2BF2">
        <w:rPr>
          <w:bCs/>
          <w:sz w:val="22"/>
          <w:szCs w:val="22"/>
          <w:lang w:val="sr-Latn-RS"/>
        </w:rPr>
        <w:t>su v</w:t>
      </w:r>
      <w:r w:rsidR="00E260C1" w:rsidRPr="00EB2BF2">
        <w:rPr>
          <w:bCs/>
          <w:sz w:val="22"/>
          <w:szCs w:val="22"/>
          <w:lang w:val="sr-Latn-RS"/>
        </w:rPr>
        <w:t>j</w:t>
      </w:r>
      <w:r w:rsidRPr="00EB2BF2">
        <w:rPr>
          <w:bCs/>
          <w:sz w:val="22"/>
          <w:szCs w:val="22"/>
          <w:lang w:val="sr-Latn-RS"/>
        </w:rPr>
        <w:t xml:space="preserve">erovatne klinički relevantne interakcije između </w:t>
      </w:r>
      <w:r w:rsidR="003B4C9E" w:rsidRPr="00EB2BF2">
        <w:rPr>
          <w:bCs/>
          <w:sz w:val="22"/>
          <w:szCs w:val="22"/>
          <w:lang w:val="sr-Latn-RS"/>
        </w:rPr>
        <w:t>klindamicina</w:t>
      </w:r>
      <w:r w:rsidRPr="00EB2BF2">
        <w:rPr>
          <w:bCs/>
          <w:sz w:val="22"/>
          <w:szCs w:val="22"/>
          <w:lang w:val="sr-Latn-RS"/>
        </w:rPr>
        <w:t xml:space="preserve"> i istovremeno datih l</w:t>
      </w:r>
      <w:r w:rsidR="00E260C1" w:rsidRPr="00EB2BF2">
        <w:rPr>
          <w:bCs/>
          <w:sz w:val="22"/>
          <w:szCs w:val="22"/>
          <w:lang w:val="sr-Latn-RS"/>
        </w:rPr>
        <w:t>j</w:t>
      </w:r>
      <w:r w:rsidRPr="00EB2BF2">
        <w:rPr>
          <w:bCs/>
          <w:sz w:val="22"/>
          <w:szCs w:val="22"/>
          <w:lang w:val="sr-Latn-RS"/>
        </w:rPr>
        <w:t>ekova koji se metabolišu preko ovih izoenzima.</w:t>
      </w:r>
    </w:p>
    <w:bookmarkEnd w:id="4"/>
    <w:p w14:paraId="7E005E70" w14:textId="77777777" w:rsidR="00635D4C" w:rsidRPr="00EB2BF2" w:rsidRDefault="00635D4C" w:rsidP="00EB2BF2">
      <w:pPr>
        <w:tabs>
          <w:tab w:val="left" w:pos="540"/>
          <w:tab w:val="left" w:pos="569"/>
        </w:tabs>
        <w:jc w:val="both"/>
        <w:rPr>
          <w:bCs/>
          <w:sz w:val="22"/>
          <w:szCs w:val="22"/>
          <w:lang w:val="sr-Latn-RS"/>
        </w:rPr>
      </w:pPr>
    </w:p>
    <w:p w14:paraId="6F33F27C" w14:textId="77777777" w:rsidR="0072020E" w:rsidRPr="00EB2BF2" w:rsidRDefault="0072020E" w:rsidP="00EB2BF2">
      <w:pPr>
        <w:tabs>
          <w:tab w:val="left" w:pos="540"/>
          <w:tab w:val="left" w:pos="569"/>
        </w:tabs>
        <w:jc w:val="both"/>
        <w:rPr>
          <w:b/>
          <w:bCs/>
          <w:sz w:val="22"/>
          <w:szCs w:val="22"/>
          <w:lang w:val="sr-Latn-RS"/>
        </w:rPr>
      </w:pPr>
      <w:r w:rsidRPr="00EB2BF2">
        <w:rPr>
          <w:b/>
          <w:bCs/>
          <w:sz w:val="22"/>
          <w:szCs w:val="22"/>
          <w:lang w:val="sr-Latn-RS"/>
        </w:rPr>
        <w:t xml:space="preserve">4.6. </w:t>
      </w:r>
      <w:r w:rsidR="00480FB1" w:rsidRPr="00EB2BF2">
        <w:rPr>
          <w:b/>
          <w:bCs/>
          <w:sz w:val="22"/>
          <w:szCs w:val="22"/>
          <w:lang w:val="sr-Latn-RS"/>
        </w:rPr>
        <w:tab/>
      </w:r>
      <w:r w:rsidR="00A016B7" w:rsidRPr="00EB2BF2">
        <w:rPr>
          <w:b/>
          <w:bCs/>
          <w:sz w:val="22"/>
          <w:szCs w:val="22"/>
          <w:lang w:val="sr-Latn-RS"/>
        </w:rPr>
        <w:t xml:space="preserve">Plodnost, </w:t>
      </w:r>
      <w:r w:rsidRPr="00EB2BF2">
        <w:rPr>
          <w:b/>
          <w:bCs/>
          <w:sz w:val="22"/>
          <w:szCs w:val="22"/>
          <w:lang w:val="sr-Latn-RS"/>
        </w:rPr>
        <w:t>trudnoć</w:t>
      </w:r>
      <w:r w:rsidR="00A016B7" w:rsidRPr="00EB2BF2">
        <w:rPr>
          <w:b/>
          <w:bCs/>
          <w:sz w:val="22"/>
          <w:szCs w:val="22"/>
          <w:lang w:val="sr-Latn-RS"/>
        </w:rPr>
        <w:t>a</w:t>
      </w:r>
      <w:r w:rsidRPr="00EB2BF2">
        <w:rPr>
          <w:b/>
          <w:bCs/>
          <w:sz w:val="22"/>
          <w:szCs w:val="22"/>
          <w:lang w:val="sr-Latn-RS"/>
        </w:rPr>
        <w:t xml:space="preserve"> i dojenj</w:t>
      </w:r>
      <w:r w:rsidR="00A016B7" w:rsidRPr="00EB2BF2">
        <w:rPr>
          <w:b/>
          <w:bCs/>
          <w:sz w:val="22"/>
          <w:szCs w:val="22"/>
          <w:lang w:val="sr-Latn-RS"/>
        </w:rPr>
        <w:t>e</w:t>
      </w:r>
    </w:p>
    <w:p w14:paraId="36EA6C5E" w14:textId="77777777" w:rsidR="00A016B7" w:rsidRPr="00EB2BF2" w:rsidRDefault="00A016B7" w:rsidP="00EB2BF2">
      <w:pPr>
        <w:tabs>
          <w:tab w:val="left" w:pos="540"/>
          <w:tab w:val="left" w:pos="569"/>
        </w:tabs>
        <w:jc w:val="both"/>
        <w:rPr>
          <w:b/>
          <w:bCs/>
          <w:sz w:val="22"/>
          <w:szCs w:val="22"/>
          <w:lang w:val="sr-Latn-RS"/>
        </w:rPr>
      </w:pPr>
    </w:p>
    <w:p w14:paraId="5A4C2C96" w14:textId="77777777" w:rsidR="00635D4C" w:rsidRPr="00EB2BF2" w:rsidRDefault="00635D4C" w:rsidP="00EB2BF2">
      <w:pPr>
        <w:pStyle w:val="Header"/>
        <w:jc w:val="both"/>
        <w:rPr>
          <w:sz w:val="22"/>
          <w:szCs w:val="22"/>
          <w:u w:val="single"/>
          <w:lang w:val="sr-Latn-RS"/>
        </w:rPr>
      </w:pPr>
      <w:r w:rsidRPr="00EB2BF2">
        <w:rPr>
          <w:sz w:val="22"/>
          <w:szCs w:val="22"/>
          <w:u w:val="single"/>
          <w:lang w:val="sr-Latn-RS"/>
        </w:rPr>
        <w:t>Trudnoća</w:t>
      </w:r>
    </w:p>
    <w:p w14:paraId="3757598C" w14:textId="77777777" w:rsidR="00635D4C" w:rsidRPr="00EB2BF2" w:rsidRDefault="003460C0" w:rsidP="00EB2BF2">
      <w:pPr>
        <w:autoSpaceDE w:val="0"/>
        <w:autoSpaceDN w:val="0"/>
        <w:adjustRightInd w:val="0"/>
        <w:jc w:val="both"/>
        <w:rPr>
          <w:sz w:val="22"/>
          <w:szCs w:val="22"/>
          <w:lang w:val="sr-Latn-RS"/>
        </w:rPr>
      </w:pPr>
      <w:r w:rsidRPr="00EB2BF2">
        <w:rPr>
          <w:sz w:val="22"/>
          <w:szCs w:val="22"/>
          <w:lang w:val="sr-Latn-RS"/>
        </w:rPr>
        <w:t>Studije reproduktivne toksičnosti sprovedene na pacovima i kunićima sa oralno i potkožno primijenjenim klindamicinom, nijesu ukazale na postojanje štetnog uticaja na plodnost ili na fetus, osim kod doza koje su uzrokovale toksičnost kod majke. Rezultati dobijeni iz studija na životinjama ne mogu se uvijek ekstrapolirati na ljud</w:t>
      </w:r>
      <w:r w:rsidR="00C41CF1" w:rsidRPr="00EB2BF2">
        <w:rPr>
          <w:sz w:val="22"/>
          <w:szCs w:val="22"/>
          <w:lang w:val="sr-Latn-RS"/>
        </w:rPr>
        <w:t>i.</w:t>
      </w:r>
    </w:p>
    <w:p w14:paraId="2D132EA5" w14:textId="77777777" w:rsidR="00C41CF1" w:rsidRPr="00EB2BF2" w:rsidRDefault="00C41CF1" w:rsidP="00EB2BF2">
      <w:pPr>
        <w:autoSpaceDE w:val="0"/>
        <w:autoSpaceDN w:val="0"/>
        <w:adjustRightInd w:val="0"/>
        <w:jc w:val="both"/>
        <w:rPr>
          <w:sz w:val="22"/>
          <w:szCs w:val="22"/>
          <w:lang w:val="sr-Latn-RS"/>
        </w:rPr>
      </w:pPr>
    </w:p>
    <w:p w14:paraId="53F1412A" w14:textId="77777777" w:rsidR="00635D4C" w:rsidRPr="00EB2BF2" w:rsidRDefault="00635D4C" w:rsidP="00EB2BF2">
      <w:pPr>
        <w:pStyle w:val="Header"/>
        <w:jc w:val="both"/>
        <w:rPr>
          <w:sz w:val="22"/>
          <w:szCs w:val="22"/>
          <w:lang w:val="sr-Latn-RS"/>
        </w:rPr>
      </w:pPr>
      <w:r w:rsidRPr="00EB2BF2">
        <w:rPr>
          <w:sz w:val="22"/>
          <w:szCs w:val="22"/>
          <w:lang w:val="sr-Latn-RS"/>
        </w:rPr>
        <w:t xml:space="preserve">Klindamicin </w:t>
      </w:r>
      <w:r w:rsidR="003C2C28" w:rsidRPr="00EB2BF2">
        <w:rPr>
          <w:sz w:val="22"/>
          <w:szCs w:val="22"/>
          <w:lang w:val="sr-Latn-RS"/>
        </w:rPr>
        <w:t xml:space="preserve">prolazi </w:t>
      </w:r>
      <w:r w:rsidR="00EB4249" w:rsidRPr="00EB2BF2">
        <w:rPr>
          <w:sz w:val="22"/>
          <w:szCs w:val="22"/>
          <w:lang w:val="sr-Latn-RS"/>
        </w:rPr>
        <w:t>placent</w:t>
      </w:r>
      <w:r w:rsidR="00455E2E" w:rsidRPr="00EB2BF2">
        <w:rPr>
          <w:sz w:val="22"/>
          <w:szCs w:val="22"/>
          <w:lang w:val="sr-Latn-RS"/>
        </w:rPr>
        <w:t>ar</w:t>
      </w:r>
      <w:r w:rsidR="00EB4249" w:rsidRPr="00EB2BF2">
        <w:rPr>
          <w:sz w:val="22"/>
          <w:szCs w:val="22"/>
          <w:lang w:val="sr-Latn-RS"/>
        </w:rPr>
        <w:t>n</w:t>
      </w:r>
      <w:r w:rsidRPr="00EB2BF2">
        <w:rPr>
          <w:sz w:val="22"/>
          <w:szCs w:val="22"/>
          <w:lang w:val="sr-Latn-RS"/>
        </w:rPr>
        <w:t xml:space="preserve">u barijeru kod </w:t>
      </w:r>
      <w:r w:rsidR="00C41CF1" w:rsidRPr="00EB2BF2">
        <w:rPr>
          <w:sz w:val="22"/>
          <w:szCs w:val="22"/>
          <w:lang w:val="sr-Latn-RS"/>
        </w:rPr>
        <w:t>žen</w:t>
      </w:r>
      <w:r w:rsidR="00772E5E" w:rsidRPr="00EB2BF2">
        <w:rPr>
          <w:sz w:val="22"/>
          <w:szCs w:val="22"/>
          <w:lang w:val="sr-Latn-RS"/>
        </w:rPr>
        <w:t>a</w:t>
      </w:r>
      <w:r w:rsidRPr="00EB2BF2">
        <w:rPr>
          <w:sz w:val="22"/>
          <w:szCs w:val="22"/>
          <w:lang w:val="sr-Latn-RS"/>
        </w:rPr>
        <w:t xml:space="preserve">. Nakon </w:t>
      </w:r>
      <w:r w:rsidR="003C2C28" w:rsidRPr="00EB2BF2">
        <w:rPr>
          <w:sz w:val="22"/>
          <w:szCs w:val="22"/>
          <w:lang w:val="sr-Latn-RS"/>
        </w:rPr>
        <w:t>ponovljenih</w:t>
      </w:r>
      <w:r w:rsidRPr="00EB2BF2">
        <w:rPr>
          <w:sz w:val="22"/>
          <w:szCs w:val="22"/>
          <w:lang w:val="sr-Latn-RS"/>
        </w:rPr>
        <w:t xml:space="preserve"> doza, koncentracije u amnionskoj tečnosti bile su približno 30% od koncentracije u krvi majke.</w:t>
      </w:r>
    </w:p>
    <w:p w14:paraId="695DBE33" w14:textId="77777777" w:rsidR="00C41CF1" w:rsidRPr="00EB2BF2" w:rsidRDefault="00C41CF1" w:rsidP="00EB2BF2">
      <w:pPr>
        <w:pStyle w:val="Header"/>
        <w:jc w:val="both"/>
        <w:rPr>
          <w:sz w:val="22"/>
          <w:szCs w:val="22"/>
          <w:lang w:val="sr-Latn-RS"/>
        </w:rPr>
      </w:pPr>
    </w:p>
    <w:p w14:paraId="4C56917A" w14:textId="77777777" w:rsidR="00635D4C" w:rsidRPr="00EB2BF2" w:rsidRDefault="003C2C28" w:rsidP="00EB2BF2">
      <w:pPr>
        <w:pStyle w:val="Header"/>
        <w:jc w:val="both"/>
        <w:rPr>
          <w:sz w:val="22"/>
          <w:szCs w:val="22"/>
          <w:lang w:val="sr-Latn-RS"/>
        </w:rPr>
      </w:pPr>
      <w:r w:rsidRPr="00EB2BF2">
        <w:rPr>
          <w:sz w:val="22"/>
          <w:szCs w:val="22"/>
          <w:lang w:val="sr-Latn-RS"/>
        </w:rPr>
        <w:t>U k</w:t>
      </w:r>
      <w:r w:rsidR="00635D4C" w:rsidRPr="00EB2BF2">
        <w:rPr>
          <w:sz w:val="22"/>
          <w:szCs w:val="22"/>
          <w:lang w:val="sr-Latn-RS"/>
        </w:rPr>
        <w:t xml:space="preserve">liničkim ispitivanjima </w:t>
      </w:r>
      <w:r w:rsidR="00C41CF1" w:rsidRPr="00EB2BF2">
        <w:rPr>
          <w:sz w:val="22"/>
          <w:szCs w:val="22"/>
          <w:lang w:val="sr-Latn-RS"/>
        </w:rPr>
        <w:t>kod</w:t>
      </w:r>
      <w:r w:rsidR="00635D4C" w:rsidRPr="00EB2BF2">
        <w:rPr>
          <w:sz w:val="22"/>
          <w:szCs w:val="22"/>
          <w:lang w:val="sr-Latn-RS"/>
        </w:rPr>
        <w:t xml:space="preserve"> trudni</w:t>
      </w:r>
      <w:r w:rsidR="00C41CF1" w:rsidRPr="00EB2BF2">
        <w:rPr>
          <w:sz w:val="22"/>
          <w:szCs w:val="22"/>
          <w:lang w:val="sr-Latn-RS"/>
        </w:rPr>
        <w:t>h</w:t>
      </w:r>
      <w:r w:rsidR="00635D4C" w:rsidRPr="00EB2BF2">
        <w:rPr>
          <w:sz w:val="22"/>
          <w:szCs w:val="22"/>
          <w:lang w:val="sr-Latn-RS"/>
        </w:rPr>
        <w:t xml:space="preserve"> žena, sistemska primjena klindamicina tokom drugog i trećeg trimestra nije pokazala povišenu frekvenciju kongenitalnih anomalija. Ne postoje adekvatne i dobro-kontrolisane studije na trudnim ženama tokom prvog trimestra trudnoće.</w:t>
      </w:r>
    </w:p>
    <w:p w14:paraId="3017E531" w14:textId="77777777" w:rsidR="00C41CF1" w:rsidRPr="00EB2BF2" w:rsidRDefault="00C41CF1" w:rsidP="00EB2BF2">
      <w:pPr>
        <w:pStyle w:val="Header"/>
        <w:jc w:val="both"/>
        <w:rPr>
          <w:sz w:val="22"/>
          <w:szCs w:val="22"/>
          <w:lang w:val="sr-Latn-RS"/>
        </w:rPr>
      </w:pPr>
    </w:p>
    <w:p w14:paraId="1FC0438C" w14:textId="77777777" w:rsidR="00635D4C" w:rsidRPr="00EB2BF2" w:rsidRDefault="00635D4C" w:rsidP="00EB2BF2">
      <w:pPr>
        <w:pStyle w:val="Header"/>
        <w:jc w:val="both"/>
        <w:rPr>
          <w:sz w:val="22"/>
          <w:szCs w:val="22"/>
          <w:lang w:val="sr-Latn-RS"/>
        </w:rPr>
      </w:pPr>
      <w:r w:rsidRPr="00EB2BF2">
        <w:rPr>
          <w:sz w:val="22"/>
          <w:szCs w:val="22"/>
          <w:lang w:val="sr-Latn-RS"/>
        </w:rPr>
        <w:t>Klindamicin treba koristiti u trudnoći samo ukoliko je zaista neophodno.</w:t>
      </w:r>
    </w:p>
    <w:p w14:paraId="2DEC14EC" w14:textId="77777777" w:rsidR="00635D4C" w:rsidRPr="00EB2BF2" w:rsidRDefault="00635D4C" w:rsidP="00EB2BF2">
      <w:pPr>
        <w:pStyle w:val="Header"/>
        <w:jc w:val="both"/>
        <w:rPr>
          <w:sz w:val="22"/>
          <w:szCs w:val="22"/>
          <w:lang w:val="sr-Latn-RS"/>
        </w:rPr>
      </w:pPr>
    </w:p>
    <w:p w14:paraId="54EB6B03" w14:textId="77777777" w:rsidR="00635D4C" w:rsidRPr="00EB2BF2" w:rsidRDefault="00635D4C" w:rsidP="00EB2BF2">
      <w:pPr>
        <w:pStyle w:val="Header"/>
        <w:jc w:val="both"/>
        <w:rPr>
          <w:sz w:val="22"/>
          <w:szCs w:val="22"/>
          <w:lang w:val="sr-Latn-RS"/>
        </w:rPr>
      </w:pPr>
      <w:r w:rsidRPr="00EB2BF2">
        <w:rPr>
          <w:sz w:val="22"/>
          <w:szCs w:val="22"/>
          <w:u w:val="single"/>
          <w:lang w:val="sr-Latn-RS"/>
        </w:rPr>
        <w:t>Dojenje</w:t>
      </w:r>
    </w:p>
    <w:p w14:paraId="667544A7" w14:textId="77777777" w:rsidR="00635D4C" w:rsidRPr="00EB2BF2" w:rsidRDefault="00635D4C" w:rsidP="00EB2BF2">
      <w:pPr>
        <w:pStyle w:val="Header"/>
        <w:jc w:val="both"/>
        <w:rPr>
          <w:sz w:val="22"/>
          <w:szCs w:val="22"/>
          <w:lang w:val="sr-Latn-RS"/>
        </w:rPr>
      </w:pPr>
      <w:r w:rsidRPr="00EB2BF2">
        <w:rPr>
          <w:sz w:val="22"/>
          <w:szCs w:val="22"/>
          <w:lang w:val="sr-Latn-RS"/>
        </w:rPr>
        <w:t>Klindamicin primijenjen oralno i</w:t>
      </w:r>
      <w:r w:rsidR="00C41CF1" w:rsidRPr="00EB2BF2">
        <w:rPr>
          <w:sz w:val="22"/>
          <w:szCs w:val="22"/>
          <w:lang w:val="sr-Latn-RS"/>
        </w:rPr>
        <w:t>li</w:t>
      </w:r>
      <w:r w:rsidRPr="00EB2BF2">
        <w:rPr>
          <w:sz w:val="22"/>
          <w:szCs w:val="22"/>
          <w:lang w:val="sr-Latn-RS"/>
        </w:rPr>
        <w:t xml:space="preserve"> parenteralno prolazi u majčino mlij</w:t>
      </w:r>
      <w:r w:rsidR="003C2C28" w:rsidRPr="00EB2BF2">
        <w:rPr>
          <w:sz w:val="22"/>
          <w:szCs w:val="22"/>
          <w:lang w:val="sr-Latn-RS"/>
        </w:rPr>
        <w:t>eko u opsegu od 0,7 do 3,8 µg/ml</w:t>
      </w:r>
      <w:r w:rsidR="00772E5E" w:rsidRPr="00EB2BF2">
        <w:rPr>
          <w:sz w:val="22"/>
          <w:szCs w:val="22"/>
          <w:lang w:val="sr-Latn-RS"/>
        </w:rPr>
        <w:t>,</w:t>
      </w:r>
      <w:r w:rsidRPr="00EB2BF2">
        <w:rPr>
          <w:sz w:val="22"/>
          <w:szCs w:val="22"/>
          <w:lang w:val="sr-Latn-RS"/>
        </w:rPr>
        <w:t xml:space="preserve"> </w:t>
      </w:r>
      <w:r w:rsidR="00772E5E" w:rsidRPr="00EB2BF2">
        <w:rPr>
          <w:sz w:val="22"/>
          <w:szCs w:val="22"/>
          <w:lang w:val="sr-Latn-RS"/>
        </w:rPr>
        <w:t>a neželjena dejstva (npr. dijareja, krv u stolici i osip) su uočena kod novorodenčadi/odojčadi čije su majke na terapiji i koje doje.</w:t>
      </w:r>
    </w:p>
    <w:p w14:paraId="3BD7B075" w14:textId="77777777" w:rsidR="00772E5E" w:rsidRPr="00EB2BF2" w:rsidRDefault="00772E5E" w:rsidP="00EB2BF2">
      <w:pPr>
        <w:pStyle w:val="Header"/>
        <w:jc w:val="both"/>
        <w:rPr>
          <w:sz w:val="22"/>
          <w:szCs w:val="22"/>
          <w:lang w:val="sr-Latn-RS"/>
        </w:rPr>
      </w:pPr>
    </w:p>
    <w:p w14:paraId="5C9940A9" w14:textId="77777777" w:rsidR="00FF04C5" w:rsidRPr="00EB2BF2" w:rsidRDefault="00FF04C5" w:rsidP="00EB2BF2">
      <w:pPr>
        <w:pStyle w:val="Header"/>
        <w:jc w:val="both"/>
        <w:rPr>
          <w:sz w:val="22"/>
          <w:szCs w:val="22"/>
          <w:lang w:val="sr-Latn-RS"/>
        </w:rPr>
      </w:pPr>
      <w:r w:rsidRPr="00EB2BF2">
        <w:rPr>
          <w:sz w:val="22"/>
          <w:szCs w:val="22"/>
          <w:lang w:val="sr-Latn-RS"/>
        </w:rPr>
        <w:t>Mora se donijeti odluka da li da se prekine dojenje ili da se prekine terapija/uzdrži od terapije klindamicinom, uzimajući u obzir rizik od pojave neželjenih efekata za odojče,  korist dojenja za dijete i korist terapije za majku.</w:t>
      </w:r>
    </w:p>
    <w:p w14:paraId="7E526A28" w14:textId="77777777" w:rsidR="009B2881" w:rsidRPr="00EB2BF2" w:rsidRDefault="009B2881" w:rsidP="00EB2BF2">
      <w:pPr>
        <w:pStyle w:val="Header"/>
        <w:jc w:val="both"/>
        <w:rPr>
          <w:sz w:val="22"/>
          <w:szCs w:val="22"/>
          <w:lang w:val="sr-Latn-RS"/>
        </w:rPr>
      </w:pPr>
    </w:p>
    <w:p w14:paraId="3ABF8DC6" w14:textId="77777777" w:rsidR="009B2881" w:rsidRPr="00EB2BF2" w:rsidRDefault="009B2881" w:rsidP="00EB2BF2">
      <w:pPr>
        <w:pStyle w:val="Header"/>
        <w:jc w:val="both"/>
        <w:rPr>
          <w:sz w:val="22"/>
          <w:szCs w:val="22"/>
          <w:u w:val="single"/>
          <w:lang w:val="sr-Latn-RS"/>
        </w:rPr>
      </w:pPr>
      <w:r w:rsidRPr="00EB2BF2">
        <w:rPr>
          <w:sz w:val="22"/>
          <w:szCs w:val="22"/>
          <w:u w:val="single"/>
          <w:lang w:val="sr-Latn-RS"/>
        </w:rPr>
        <w:t>Plodnost</w:t>
      </w:r>
    </w:p>
    <w:p w14:paraId="61AEA78A" w14:textId="77777777" w:rsidR="009B2881" w:rsidRPr="00EB2BF2" w:rsidRDefault="009B2881" w:rsidP="00EB2BF2">
      <w:pPr>
        <w:pStyle w:val="Header"/>
        <w:jc w:val="both"/>
        <w:rPr>
          <w:sz w:val="22"/>
          <w:szCs w:val="22"/>
          <w:lang w:val="sr-Latn-RS"/>
        </w:rPr>
      </w:pPr>
      <w:r w:rsidRPr="00EB2BF2">
        <w:rPr>
          <w:sz w:val="22"/>
          <w:szCs w:val="22"/>
          <w:lang w:val="sr-Latn-RS"/>
        </w:rPr>
        <w:t xml:space="preserve">Studije </w:t>
      </w:r>
      <w:r w:rsidR="00772E5E" w:rsidRPr="00EB2BF2">
        <w:rPr>
          <w:sz w:val="22"/>
          <w:szCs w:val="22"/>
          <w:lang w:val="sr-Latn-RS"/>
        </w:rPr>
        <w:t>sprovedene</w:t>
      </w:r>
      <w:r w:rsidRPr="00EB2BF2">
        <w:rPr>
          <w:sz w:val="22"/>
          <w:szCs w:val="22"/>
          <w:lang w:val="sr-Latn-RS"/>
        </w:rPr>
        <w:t xml:space="preserve"> na pacovima tretiranim klindamicinom oralno nijesu pokazale efekat na plodnost ili sposobnost parenja.</w:t>
      </w:r>
    </w:p>
    <w:p w14:paraId="045E4555" w14:textId="77777777" w:rsidR="00635D4C" w:rsidRPr="00EB2BF2" w:rsidRDefault="00635D4C" w:rsidP="00EB2BF2">
      <w:pPr>
        <w:pStyle w:val="Header"/>
        <w:jc w:val="both"/>
        <w:rPr>
          <w:sz w:val="22"/>
          <w:szCs w:val="22"/>
          <w:lang w:val="sr-Latn-RS"/>
        </w:rPr>
      </w:pPr>
    </w:p>
    <w:p w14:paraId="2F968C72" w14:textId="77777777" w:rsidR="0072020E" w:rsidRPr="00EB2BF2" w:rsidRDefault="0072020E" w:rsidP="00EB2BF2">
      <w:pPr>
        <w:tabs>
          <w:tab w:val="left" w:pos="540"/>
          <w:tab w:val="left" w:pos="569"/>
        </w:tabs>
        <w:ind w:left="540" w:hanging="540"/>
        <w:jc w:val="both"/>
        <w:rPr>
          <w:b/>
          <w:bCs/>
          <w:sz w:val="22"/>
          <w:szCs w:val="22"/>
          <w:lang w:val="sr-Latn-RS"/>
        </w:rPr>
      </w:pPr>
      <w:r w:rsidRPr="00EB2BF2">
        <w:rPr>
          <w:b/>
          <w:bCs/>
          <w:sz w:val="22"/>
          <w:szCs w:val="22"/>
          <w:lang w:val="sr-Latn-RS"/>
        </w:rPr>
        <w:t xml:space="preserve">4.7. </w:t>
      </w:r>
      <w:r w:rsidR="00480FB1" w:rsidRPr="00EB2BF2">
        <w:rPr>
          <w:b/>
          <w:bCs/>
          <w:sz w:val="22"/>
          <w:szCs w:val="22"/>
          <w:lang w:val="sr-Latn-RS"/>
        </w:rPr>
        <w:tab/>
      </w:r>
      <w:r w:rsidRPr="00EB2BF2">
        <w:rPr>
          <w:b/>
          <w:bCs/>
          <w:sz w:val="22"/>
          <w:szCs w:val="22"/>
          <w:lang w:val="sr-Latn-RS"/>
        </w:rPr>
        <w:t>Uticaj na sposobnost</w:t>
      </w:r>
      <w:r w:rsidR="00F34554" w:rsidRPr="00EB2BF2">
        <w:rPr>
          <w:b/>
          <w:bCs/>
          <w:sz w:val="22"/>
          <w:szCs w:val="22"/>
          <w:lang w:val="sr-Latn-RS"/>
        </w:rPr>
        <w:t xml:space="preserve"> upravljanja vozili</w:t>
      </w:r>
      <w:r w:rsidRPr="00EB2BF2">
        <w:rPr>
          <w:b/>
          <w:bCs/>
          <w:sz w:val="22"/>
          <w:szCs w:val="22"/>
          <w:lang w:val="sr-Latn-RS"/>
        </w:rPr>
        <w:t>m</w:t>
      </w:r>
      <w:r w:rsidR="00F34554" w:rsidRPr="00EB2BF2">
        <w:rPr>
          <w:b/>
          <w:bCs/>
          <w:sz w:val="22"/>
          <w:szCs w:val="22"/>
          <w:lang w:val="sr-Latn-RS"/>
        </w:rPr>
        <w:t>a</w:t>
      </w:r>
      <w:r w:rsidRPr="00EB2BF2">
        <w:rPr>
          <w:b/>
          <w:bCs/>
          <w:sz w:val="22"/>
          <w:szCs w:val="22"/>
          <w:lang w:val="sr-Latn-RS"/>
        </w:rPr>
        <w:t xml:space="preserve"> i rukovanja mašinama</w:t>
      </w:r>
    </w:p>
    <w:p w14:paraId="3D96BE97" w14:textId="77777777" w:rsidR="00635D4C" w:rsidRPr="00EB2BF2" w:rsidRDefault="00635D4C" w:rsidP="00EB2BF2">
      <w:pPr>
        <w:tabs>
          <w:tab w:val="left" w:pos="540"/>
          <w:tab w:val="left" w:pos="569"/>
        </w:tabs>
        <w:ind w:left="540" w:hanging="540"/>
        <w:jc w:val="both"/>
        <w:rPr>
          <w:b/>
          <w:bCs/>
          <w:sz w:val="22"/>
          <w:szCs w:val="22"/>
          <w:lang w:val="sr-Latn-RS"/>
        </w:rPr>
      </w:pPr>
    </w:p>
    <w:p w14:paraId="5B1A8424" w14:textId="77777777" w:rsidR="00635D4C" w:rsidRPr="00EB2BF2" w:rsidRDefault="00635D4C" w:rsidP="00EB2BF2">
      <w:pPr>
        <w:jc w:val="both"/>
        <w:rPr>
          <w:sz w:val="22"/>
          <w:szCs w:val="22"/>
          <w:lang w:val="sr-Latn-RS"/>
        </w:rPr>
      </w:pPr>
      <w:r w:rsidRPr="00EB2BF2">
        <w:rPr>
          <w:sz w:val="22"/>
          <w:szCs w:val="22"/>
          <w:lang w:val="sr-Latn-RS"/>
        </w:rPr>
        <w:t xml:space="preserve">Klindamicin ima </w:t>
      </w:r>
      <w:r w:rsidR="00C41CF1" w:rsidRPr="00EB2BF2">
        <w:rPr>
          <w:sz w:val="22"/>
          <w:szCs w:val="22"/>
          <w:lang w:val="sr-Latn-RS"/>
        </w:rPr>
        <w:t xml:space="preserve">zanemarljiv </w:t>
      </w:r>
      <w:r w:rsidRPr="00EB2BF2">
        <w:rPr>
          <w:sz w:val="22"/>
          <w:szCs w:val="22"/>
          <w:lang w:val="sr-Latn-RS"/>
        </w:rPr>
        <w:t>ili nikakav efekat na sposobnost upravljanja motornim vozilima i rukovanje mašinama.</w:t>
      </w:r>
    </w:p>
    <w:p w14:paraId="234C3864" w14:textId="525E4618" w:rsidR="0072020E" w:rsidRDefault="0072020E" w:rsidP="00EB2BF2">
      <w:pPr>
        <w:tabs>
          <w:tab w:val="left" w:pos="540"/>
          <w:tab w:val="left" w:pos="569"/>
        </w:tabs>
        <w:jc w:val="both"/>
        <w:rPr>
          <w:b/>
          <w:bCs/>
          <w:sz w:val="22"/>
          <w:szCs w:val="22"/>
          <w:lang w:val="sr-Latn-RS"/>
        </w:rPr>
      </w:pPr>
    </w:p>
    <w:p w14:paraId="05B3F611" w14:textId="11AD9B19" w:rsidR="00EB2BF2" w:rsidRDefault="00EB2BF2" w:rsidP="00EB2BF2">
      <w:pPr>
        <w:tabs>
          <w:tab w:val="left" w:pos="540"/>
          <w:tab w:val="left" w:pos="569"/>
        </w:tabs>
        <w:jc w:val="both"/>
        <w:rPr>
          <w:b/>
          <w:bCs/>
          <w:sz w:val="22"/>
          <w:szCs w:val="22"/>
          <w:lang w:val="sr-Latn-RS"/>
        </w:rPr>
      </w:pPr>
    </w:p>
    <w:p w14:paraId="4C23B6C5" w14:textId="3FD1CB88" w:rsidR="00EB2BF2" w:rsidRDefault="00EB2BF2" w:rsidP="00EB2BF2">
      <w:pPr>
        <w:tabs>
          <w:tab w:val="left" w:pos="540"/>
          <w:tab w:val="left" w:pos="569"/>
        </w:tabs>
        <w:jc w:val="both"/>
        <w:rPr>
          <w:b/>
          <w:bCs/>
          <w:sz w:val="22"/>
          <w:szCs w:val="22"/>
          <w:lang w:val="sr-Latn-RS"/>
        </w:rPr>
      </w:pPr>
    </w:p>
    <w:p w14:paraId="6E79F466" w14:textId="77777777" w:rsidR="00EB2BF2" w:rsidRPr="00EB2BF2" w:rsidRDefault="00EB2BF2" w:rsidP="00EB2BF2">
      <w:pPr>
        <w:tabs>
          <w:tab w:val="left" w:pos="540"/>
          <w:tab w:val="left" w:pos="569"/>
        </w:tabs>
        <w:jc w:val="both"/>
        <w:rPr>
          <w:b/>
          <w:bCs/>
          <w:sz w:val="22"/>
          <w:szCs w:val="22"/>
          <w:lang w:val="sr-Latn-RS"/>
        </w:rPr>
      </w:pPr>
    </w:p>
    <w:p w14:paraId="3E1C099A" w14:textId="77777777" w:rsidR="0072020E" w:rsidRPr="00EB2BF2" w:rsidRDefault="0072020E" w:rsidP="00EB2BF2">
      <w:pPr>
        <w:tabs>
          <w:tab w:val="left" w:pos="540"/>
          <w:tab w:val="left" w:pos="569"/>
        </w:tabs>
        <w:jc w:val="both"/>
        <w:rPr>
          <w:b/>
          <w:bCs/>
          <w:sz w:val="22"/>
          <w:szCs w:val="22"/>
          <w:lang w:val="sr-Latn-RS"/>
        </w:rPr>
      </w:pPr>
      <w:r w:rsidRPr="00EB2BF2">
        <w:rPr>
          <w:b/>
          <w:bCs/>
          <w:sz w:val="22"/>
          <w:szCs w:val="22"/>
          <w:lang w:val="sr-Latn-RS"/>
        </w:rPr>
        <w:lastRenderedPageBreak/>
        <w:t xml:space="preserve">4.8. </w:t>
      </w:r>
      <w:r w:rsidR="00480FB1" w:rsidRPr="00EB2BF2">
        <w:rPr>
          <w:b/>
          <w:bCs/>
          <w:sz w:val="22"/>
          <w:szCs w:val="22"/>
          <w:lang w:val="sr-Latn-RS"/>
        </w:rPr>
        <w:tab/>
      </w:r>
      <w:r w:rsidRPr="00EB2BF2">
        <w:rPr>
          <w:b/>
          <w:bCs/>
          <w:sz w:val="22"/>
          <w:szCs w:val="22"/>
          <w:lang w:val="sr-Latn-RS"/>
        </w:rPr>
        <w:t>Neželjena dejstva</w:t>
      </w:r>
    </w:p>
    <w:p w14:paraId="54A93867" w14:textId="77777777" w:rsidR="00635D4C" w:rsidRPr="00EB2BF2" w:rsidRDefault="00635D4C" w:rsidP="00EB2BF2">
      <w:pPr>
        <w:jc w:val="both"/>
        <w:rPr>
          <w:sz w:val="22"/>
          <w:szCs w:val="22"/>
          <w:lang w:val="sr-Latn-RS"/>
        </w:rPr>
      </w:pPr>
    </w:p>
    <w:p w14:paraId="7AE5B0FD" w14:textId="77777777" w:rsidR="00635D4C" w:rsidRPr="00EB2BF2" w:rsidRDefault="00635D4C" w:rsidP="00EB2BF2">
      <w:pPr>
        <w:jc w:val="both"/>
        <w:rPr>
          <w:sz w:val="22"/>
          <w:szCs w:val="22"/>
          <w:lang w:val="sr-Latn-RS"/>
        </w:rPr>
      </w:pPr>
      <w:r w:rsidRPr="00EB2BF2">
        <w:rPr>
          <w:sz w:val="22"/>
          <w:szCs w:val="22"/>
          <w:lang w:val="sr-Latn-RS"/>
        </w:rPr>
        <w:t xml:space="preserve">Tabela ispod prikazuje neželjena dejstva identifikovana kroz klinička ispitivanja i post-marketinško praćenje, po klasama sistema organa i učestalosti javljanja. </w:t>
      </w:r>
    </w:p>
    <w:p w14:paraId="58C3D77D" w14:textId="77777777" w:rsidR="00635D4C" w:rsidRPr="00EB2BF2" w:rsidRDefault="00635D4C" w:rsidP="00CA021B">
      <w:pPr>
        <w:jc w:val="both"/>
        <w:rPr>
          <w:sz w:val="22"/>
          <w:szCs w:val="22"/>
          <w:lang w:val="sr-Latn-RS"/>
        </w:rPr>
      </w:pPr>
    </w:p>
    <w:p w14:paraId="6C2EC0BB" w14:textId="77777777" w:rsidR="00635D4C" w:rsidRPr="00EB2BF2" w:rsidRDefault="00635D4C" w:rsidP="00CA021B">
      <w:pPr>
        <w:jc w:val="both"/>
        <w:rPr>
          <w:sz w:val="22"/>
          <w:szCs w:val="22"/>
          <w:lang w:val="sr-Latn-RS"/>
        </w:rPr>
      </w:pPr>
      <w:r w:rsidRPr="00EB2BF2">
        <w:rPr>
          <w:sz w:val="22"/>
          <w:szCs w:val="22"/>
          <w:lang w:val="sr-Latn-RS"/>
        </w:rPr>
        <w:t>Neželjen</w:t>
      </w:r>
      <w:r w:rsidR="003C2C28" w:rsidRPr="00EB2BF2">
        <w:rPr>
          <w:sz w:val="22"/>
          <w:szCs w:val="22"/>
          <w:lang w:val="sr-Latn-RS"/>
        </w:rPr>
        <w:t xml:space="preserve">e reakcije koje su se javile u </w:t>
      </w:r>
      <w:r w:rsidRPr="00EB2BF2">
        <w:rPr>
          <w:sz w:val="22"/>
          <w:szCs w:val="22"/>
          <w:lang w:val="sr-Latn-RS"/>
        </w:rPr>
        <w:t>post-marketinškom periodu prikazane su</w:t>
      </w:r>
      <w:r w:rsidR="003C2C28" w:rsidRPr="00EB2BF2">
        <w:rPr>
          <w:sz w:val="22"/>
          <w:szCs w:val="22"/>
          <w:lang w:val="sr-Latn-RS"/>
        </w:rPr>
        <w:t xml:space="preserve"> </w:t>
      </w:r>
      <w:r w:rsidR="00772E5E" w:rsidRPr="00EB2BF2">
        <w:rPr>
          <w:sz w:val="22"/>
          <w:szCs w:val="22"/>
          <w:lang w:val="sr-Latn-RS"/>
        </w:rPr>
        <w:t>kurzivom.</w:t>
      </w:r>
      <w:r w:rsidRPr="00EB2BF2">
        <w:rPr>
          <w:sz w:val="22"/>
          <w:szCs w:val="22"/>
          <w:lang w:val="sr-Latn-RS"/>
        </w:rPr>
        <w:t xml:space="preserve"> Učestalost je definisana kao: veoma često (≥ 1/10), često (≥ 1/100 i &lt; 1/10), povremeno (≥1/1000 i &lt; 1/100), rijetko (≥ 1/10000 i &lt; 1/1000),  veoma rijetko (&lt;1/10000) i nepoznato (nije moguće utvrditi </w:t>
      </w:r>
      <w:r w:rsidR="00772E5E" w:rsidRPr="00EB2BF2">
        <w:rPr>
          <w:sz w:val="22"/>
          <w:szCs w:val="22"/>
          <w:lang w:val="sr-Latn-RS"/>
        </w:rPr>
        <w:t xml:space="preserve">učestalost </w:t>
      </w:r>
      <w:r w:rsidRPr="00EB2BF2">
        <w:rPr>
          <w:sz w:val="22"/>
          <w:szCs w:val="22"/>
          <w:lang w:val="sr-Latn-RS"/>
        </w:rPr>
        <w:t xml:space="preserve">na osnovu raspoloživih podataka). Neželjeni efekti u svakoj grupi prikazani su po opadajućoj ozbiljnosti. </w:t>
      </w:r>
    </w:p>
    <w:p w14:paraId="58A4BC78" w14:textId="77777777" w:rsidR="005A23D2" w:rsidRPr="00EB2BF2" w:rsidRDefault="005A23D2" w:rsidP="00480FB1">
      <w:pPr>
        <w:tabs>
          <w:tab w:val="left" w:pos="540"/>
          <w:tab w:val="left" w:pos="569"/>
        </w:tabs>
        <w:rPr>
          <w:b/>
          <w:bCs/>
          <w:sz w:val="22"/>
          <w:szCs w:val="22"/>
          <w:lang w:val="sr-Latn-R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163"/>
        <w:gridCol w:w="1105"/>
        <w:gridCol w:w="1305"/>
        <w:gridCol w:w="1026"/>
        <w:gridCol w:w="1260"/>
        <w:gridCol w:w="1825"/>
      </w:tblGrid>
      <w:tr w:rsidR="004F3E76" w:rsidRPr="00EB2BF2" w14:paraId="53F09E08" w14:textId="77777777" w:rsidTr="00B14E56">
        <w:tc>
          <w:tcPr>
            <w:tcW w:w="1814" w:type="dxa"/>
            <w:shd w:val="clear" w:color="auto" w:fill="auto"/>
          </w:tcPr>
          <w:p w14:paraId="42DF2F38" w14:textId="77777777" w:rsidR="00635D4C" w:rsidRPr="00EB2BF2" w:rsidRDefault="005B341C" w:rsidP="00BF78A3">
            <w:pPr>
              <w:rPr>
                <w:sz w:val="22"/>
                <w:szCs w:val="22"/>
                <w:lang w:val="sr-Latn-RS"/>
              </w:rPr>
            </w:pPr>
            <w:r w:rsidRPr="00EB2BF2">
              <w:rPr>
                <w:b/>
                <w:noProof/>
                <w:sz w:val="22"/>
                <w:szCs w:val="22"/>
                <w:lang w:val="sr-Latn-RS"/>
              </w:rPr>
              <w:t>Sistem organa</w:t>
            </w:r>
          </w:p>
        </w:tc>
        <w:tc>
          <w:tcPr>
            <w:tcW w:w="1163" w:type="dxa"/>
            <w:shd w:val="clear" w:color="auto" w:fill="auto"/>
          </w:tcPr>
          <w:p w14:paraId="07235934" w14:textId="77777777" w:rsidR="00635D4C" w:rsidRPr="00EB2BF2" w:rsidRDefault="00635D4C" w:rsidP="005B341C">
            <w:pPr>
              <w:autoSpaceDE w:val="0"/>
              <w:autoSpaceDN w:val="0"/>
              <w:adjustRightInd w:val="0"/>
              <w:rPr>
                <w:b/>
                <w:noProof/>
                <w:sz w:val="22"/>
                <w:szCs w:val="22"/>
                <w:lang w:val="sr-Latn-RS"/>
              </w:rPr>
            </w:pPr>
            <w:r w:rsidRPr="00EB2BF2">
              <w:rPr>
                <w:b/>
                <w:noProof/>
                <w:sz w:val="22"/>
                <w:szCs w:val="22"/>
                <w:lang w:val="sr-Latn-RS"/>
              </w:rPr>
              <w:t>Veoma često</w:t>
            </w:r>
          </w:p>
        </w:tc>
        <w:tc>
          <w:tcPr>
            <w:tcW w:w="1105" w:type="dxa"/>
            <w:shd w:val="clear" w:color="auto" w:fill="auto"/>
          </w:tcPr>
          <w:p w14:paraId="7221DBE8" w14:textId="77777777" w:rsidR="00635D4C" w:rsidRPr="00EB2BF2" w:rsidRDefault="00635D4C" w:rsidP="005B341C">
            <w:pPr>
              <w:autoSpaceDE w:val="0"/>
              <w:autoSpaceDN w:val="0"/>
              <w:adjustRightInd w:val="0"/>
              <w:rPr>
                <w:b/>
                <w:noProof/>
                <w:sz w:val="22"/>
                <w:szCs w:val="22"/>
                <w:lang w:val="sr-Latn-RS"/>
              </w:rPr>
            </w:pPr>
            <w:r w:rsidRPr="00EB2BF2">
              <w:rPr>
                <w:b/>
                <w:noProof/>
                <w:sz w:val="22"/>
                <w:szCs w:val="22"/>
                <w:lang w:val="sr-Latn-RS"/>
              </w:rPr>
              <w:t>Često</w:t>
            </w:r>
          </w:p>
        </w:tc>
        <w:tc>
          <w:tcPr>
            <w:tcW w:w="1305" w:type="dxa"/>
            <w:shd w:val="clear" w:color="auto" w:fill="auto"/>
          </w:tcPr>
          <w:p w14:paraId="17FE4014" w14:textId="77777777" w:rsidR="00635D4C" w:rsidRPr="00EB2BF2" w:rsidRDefault="00635D4C" w:rsidP="005B341C">
            <w:pPr>
              <w:autoSpaceDE w:val="0"/>
              <w:autoSpaceDN w:val="0"/>
              <w:adjustRightInd w:val="0"/>
              <w:rPr>
                <w:b/>
                <w:noProof/>
                <w:sz w:val="22"/>
                <w:szCs w:val="22"/>
                <w:lang w:val="sr-Latn-RS"/>
              </w:rPr>
            </w:pPr>
            <w:r w:rsidRPr="00EB2BF2">
              <w:rPr>
                <w:b/>
                <w:noProof/>
                <w:sz w:val="22"/>
                <w:szCs w:val="22"/>
                <w:lang w:val="sr-Latn-RS"/>
              </w:rPr>
              <w:t>Povremeno</w:t>
            </w:r>
          </w:p>
        </w:tc>
        <w:tc>
          <w:tcPr>
            <w:tcW w:w="1026" w:type="dxa"/>
            <w:shd w:val="clear" w:color="auto" w:fill="auto"/>
          </w:tcPr>
          <w:p w14:paraId="0FED0F38" w14:textId="77777777" w:rsidR="00635D4C" w:rsidRPr="00EB2BF2" w:rsidRDefault="00635D4C" w:rsidP="005B341C">
            <w:pPr>
              <w:autoSpaceDE w:val="0"/>
              <w:autoSpaceDN w:val="0"/>
              <w:adjustRightInd w:val="0"/>
              <w:rPr>
                <w:b/>
                <w:noProof/>
                <w:sz w:val="22"/>
                <w:szCs w:val="22"/>
                <w:lang w:val="sr-Latn-RS"/>
              </w:rPr>
            </w:pPr>
            <w:r w:rsidRPr="00EB2BF2">
              <w:rPr>
                <w:b/>
                <w:noProof/>
                <w:sz w:val="22"/>
                <w:szCs w:val="22"/>
                <w:lang w:val="sr-Latn-RS"/>
              </w:rPr>
              <w:t>Rijetko</w:t>
            </w:r>
          </w:p>
        </w:tc>
        <w:tc>
          <w:tcPr>
            <w:tcW w:w="1260" w:type="dxa"/>
            <w:shd w:val="clear" w:color="auto" w:fill="auto"/>
          </w:tcPr>
          <w:p w14:paraId="146D838E" w14:textId="77777777" w:rsidR="00635D4C" w:rsidRPr="00EB2BF2" w:rsidRDefault="00635D4C" w:rsidP="005B341C">
            <w:pPr>
              <w:autoSpaceDE w:val="0"/>
              <w:autoSpaceDN w:val="0"/>
              <w:adjustRightInd w:val="0"/>
              <w:rPr>
                <w:b/>
                <w:noProof/>
                <w:sz w:val="22"/>
                <w:szCs w:val="22"/>
                <w:lang w:val="sr-Latn-RS"/>
              </w:rPr>
            </w:pPr>
            <w:r w:rsidRPr="00EB2BF2">
              <w:rPr>
                <w:b/>
                <w:noProof/>
                <w:sz w:val="22"/>
                <w:szCs w:val="22"/>
                <w:lang w:val="sr-Latn-RS"/>
              </w:rPr>
              <w:t>Veoma rijetko</w:t>
            </w:r>
          </w:p>
        </w:tc>
        <w:tc>
          <w:tcPr>
            <w:tcW w:w="1825" w:type="dxa"/>
            <w:shd w:val="clear" w:color="auto" w:fill="auto"/>
          </w:tcPr>
          <w:p w14:paraId="485C9881" w14:textId="77777777" w:rsidR="00635D4C" w:rsidRPr="00EB2BF2" w:rsidRDefault="00635D4C" w:rsidP="00BF78A3">
            <w:pPr>
              <w:autoSpaceDE w:val="0"/>
              <w:autoSpaceDN w:val="0"/>
              <w:adjustRightInd w:val="0"/>
              <w:rPr>
                <w:b/>
                <w:noProof/>
                <w:sz w:val="22"/>
                <w:szCs w:val="22"/>
                <w:lang w:val="sr-Latn-RS"/>
              </w:rPr>
            </w:pPr>
            <w:r w:rsidRPr="00EB2BF2">
              <w:rPr>
                <w:b/>
                <w:noProof/>
                <w:sz w:val="22"/>
                <w:szCs w:val="22"/>
                <w:lang w:val="sr-Latn-RS"/>
              </w:rPr>
              <w:t>Nepoznato</w:t>
            </w:r>
          </w:p>
          <w:p w14:paraId="2353765D" w14:textId="77777777" w:rsidR="00635D4C" w:rsidRPr="00EB2BF2" w:rsidRDefault="00635D4C" w:rsidP="00BF78A3">
            <w:pPr>
              <w:rPr>
                <w:sz w:val="22"/>
                <w:szCs w:val="22"/>
                <w:lang w:val="sr-Latn-RS"/>
              </w:rPr>
            </w:pPr>
            <w:r w:rsidRPr="00EB2BF2">
              <w:rPr>
                <w:b/>
                <w:noProof/>
                <w:sz w:val="22"/>
                <w:szCs w:val="22"/>
                <w:lang w:val="sr-Latn-RS"/>
              </w:rPr>
              <w:t>(nije moguće utvrditi</w:t>
            </w:r>
            <w:r w:rsidR="00772E5E" w:rsidRPr="00EB2BF2">
              <w:rPr>
                <w:b/>
                <w:noProof/>
                <w:sz w:val="22"/>
                <w:szCs w:val="22"/>
                <w:lang w:val="sr-Latn-RS"/>
              </w:rPr>
              <w:t xml:space="preserve"> učestalost</w:t>
            </w:r>
            <w:r w:rsidRPr="00EB2BF2">
              <w:rPr>
                <w:b/>
                <w:noProof/>
                <w:sz w:val="22"/>
                <w:szCs w:val="22"/>
                <w:lang w:val="sr-Latn-RS"/>
              </w:rPr>
              <w:t xml:space="preserve"> na osnovu raspoloživih podataka)</w:t>
            </w:r>
          </w:p>
        </w:tc>
      </w:tr>
      <w:tr w:rsidR="004F3E76" w:rsidRPr="00EB2BF2" w14:paraId="325C58BC" w14:textId="77777777" w:rsidTr="00B14E56">
        <w:tc>
          <w:tcPr>
            <w:tcW w:w="1814" w:type="dxa"/>
            <w:shd w:val="clear" w:color="auto" w:fill="auto"/>
          </w:tcPr>
          <w:p w14:paraId="50EB875A" w14:textId="77777777" w:rsidR="00635D4C" w:rsidRPr="00EB2BF2" w:rsidRDefault="00635D4C" w:rsidP="00BF78A3">
            <w:pPr>
              <w:rPr>
                <w:sz w:val="22"/>
                <w:szCs w:val="22"/>
                <w:lang w:val="sr-Latn-RS"/>
              </w:rPr>
            </w:pPr>
            <w:r w:rsidRPr="00EB2BF2">
              <w:rPr>
                <w:b/>
                <w:noProof/>
                <w:sz w:val="22"/>
                <w:szCs w:val="22"/>
                <w:lang w:val="sr-Latn-RS"/>
              </w:rPr>
              <w:t>Infekcije i infestacije</w:t>
            </w:r>
          </w:p>
        </w:tc>
        <w:tc>
          <w:tcPr>
            <w:tcW w:w="1163" w:type="dxa"/>
            <w:shd w:val="clear" w:color="auto" w:fill="auto"/>
          </w:tcPr>
          <w:p w14:paraId="76B4577E" w14:textId="77777777" w:rsidR="00635D4C" w:rsidRPr="00EB2BF2" w:rsidRDefault="00635D4C" w:rsidP="00BF78A3">
            <w:pPr>
              <w:rPr>
                <w:sz w:val="22"/>
                <w:szCs w:val="22"/>
                <w:lang w:val="sr-Latn-RS"/>
              </w:rPr>
            </w:pPr>
          </w:p>
        </w:tc>
        <w:tc>
          <w:tcPr>
            <w:tcW w:w="1105" w:type="dxa"/>
            <w:shd w:val="clear" w:color="auto" w:fill="auto"/>
          </w:tcPr>
          <w:p w14:paraId="7F8D67C4" w14:textId="77777777" w:rsidR="00B3621B" w:rsidRPr="00EB2BF2" w:rsidRDefault="00B3621B" w:rsidP="00B3621B">
            <w:pPr>
              <w:rPr>
                <w:i/>
                <w:noProof/>
                <w:sz w:val="22"/>
                <w:szCs w:val="22"/>
                <w:lang w:val="sr-Latn-RS"/>
              </w:rPr>
            </w:pPr>
            <w:r w:rsidRPr="00EB2BF2">
              <w:rPr>
                <w:i/>
                <w:noProof/>
                <w:sz w:val="22"/>
                <w:szCs w:val="22"/>
                <w:lang w:val="sr-Latn-RS"/>
              </w:rPr>
              <w:t>Pseudo</w:t>
            </w:r>
            <w:r w:rsidR="005E530E" w:rsidRPr="00EB2BF2">
              <w:rPr>
                <w:i/>
                <w:noProof/>
                <w:sz w:val="22"/>
                <w:szCs w:val="22"/>
                <w:lang w:val="sr-Latn-RS"/>
              </w:rPr>
              <w:t>-</w:t>
            </w:r>
          </w:p>
          <w:p w14:paraId="6ED2D917" w14:textId="77777777" w:rsidR="00635D4C" w:rsidRPr="00EB2BF2" w:rsidRDefault="00B3621B" w:rsidP="00B3621B">
            <w:pPr>
              <w:rPr>
                <w:sz w:val="22"/>
                <w:szCs w:val="22"/>
                <w:lang w:val="sr-Latn-RS"/>
              </w:rPr>
            </w:pPr>
            <w:r w:rsidRPr="00EB2BF2">
              <w:rPr>
                <w:i/>
                <w:noProof/>
                <w:sz w:val="22"/>
                <w:szCs w:val="22"/>
                <w:lang w:val="sr-Latn-RS"/>
              </w:rPr>
              <w:t>membranozni kolitis</w:t>
            </w:r>
            <w:r w:rsidR="00B246D6" w:rsidRPr="00EB2BF2">
              <w:rPr>
                <w:noProof/>
                <w:sz w:val="22"/>
                <w:szCs w:val="22"/>
                <w:vertAlign w:val="superscript"/>
                <w:lang w:val="sr-Latn-RS"/>
              </w:rPr>
              <w:t>#</w:t>
            </w:r>
          </w:p>
        </w:tc>
        <w:tc>
          <w:tcPr>
            <w:tcW w:w="1305" w:type="dxa"/>
            <w:shd w:val="clear" w:color="auto" w:fill="auto"/>
          </w:tcPr>
          <w:p w14:paraId="29DF302F" w14:textId="77777777" w:rsidR="00635D4C" w:rsidRPr="00EB2BF2" w:rsidRDefault="00635D4C" w:rsidP="00BF78A3">
            <w:pPr>
              <w:rPr>
                <w:sz w:val="22"/>
                <w:szCs w:val="22"/>
                <w:lang w:val="sr-Latn-RS"/>
              </w:rPr>
            </w:pPr>
          </w:p>
        </w:tc>
        <w:tc>
          <w:tcPr>
            <w:tcW w:w="1026" w:type="dxa"/>
            <w:shd w:val="clear" w:color="auto" w:fill="auto"/>
          </w:tcPr>
          <w:p w14:paraId="7248330B" w14:textId="77777777" w:rsidR="00635D4C" w:rsidRPr="00EB2BF2" w:rsidRDefault="00635D4C" w:rsidP="00BF78A3">
            <w:pPr>
              <w:rPr>
                <w:sz w:val="22"/>
                <w:szCs w:val="22"/>
                <w:lang w:val="sr-Latn-RS"/>
              </w:rPr>
            </w:pPr>
          </w:p>
        </w:tc>
        <w:tc>
          <w:tcPr>
            <w:tcW w:w="1260" w:type="dxa"/>
            <w:shd w:val="clear" w:color="auto" w:fill="auto"/>
          </w:tcPr>
          <w:p w14:paraId="56DB2122" w14:textId="77777777" w:rsidR="00635D4C" w:rsidRPr="00EB2BF2" w:rsidRDefault="00635D4C" w:rsidP="00BF78A3">
            <w:pPr>
              <w:rPr>
                <w:sz w:val="22"/>
                <w:szCs w:val="22"/>
                <w:lang w:val="sr-Latn-RS"/>
              </w:rPr>
            </w:pPr>
          </w:p>
        </w:tc>
        <w:tc>
          <w:tcPr>
            <w:tcW w:w="1825" w:type="dxa"/>
            <w:shd w:val="clear" w:color="auto" w:fill="auto"/>
          </w:tcPr>
          <w:p w14:paraId="2F93042C" w14:textId="77777777" w:rsidR="00B3621B" w:rsidRPr="00EB2BF2" w:rsidRDefault="00B3621B" w:rsidP="00B3621B">
            <w:pPr>
              <w:autoSpaceDE w:val="0"/>
              <w:autoSpaceDN w:val="0"/>
              <w:adjustRightInd w:val="0"/>
              <w:rPr>
                <w:i/>
                <w:iCs/>
                <w:sz w:val="22"/>
                <w:szCs w:val="22"/>
                <w:lang w:val="sr-Latn-RS" w:eastAsia="de-DE"/>
              </w:rPr>
            </w:pPr>
            <w:r w:rsidRPr="00EB2BF2">
              <w:rPr>
                <w:i/>
                <w:iCs/>
                <w:sz w:val="22"/>
                <w:szCs w:val="22"/>
                <w:lang w:val="sr-Latn-RS" w:eastAsia="de-DE"/>
              </w:rPr>
              <w:t>Clostridioides</w:t>
            </w:r>
          </w:p>
          <w:p w14:paraId="3613D843" w14:textId="77777777" w:rsidR="00635D4C" w:rsidRPr="00EB2BF2" w:rsidRDefault="00B3621B" w:rsidP="00B3621B">
            <w:pPr>
              <w:rPr>
                <w:i/>
                <w:sz w:val="22"/>
                <w:szCs w:val="22"/>
                <w:lang w:val="sr-Latn-RS"/>
              </w:rPr>
            </w:pPr>
            <w:r w:rsidRPr="00EB2BF2">
              <w:rPr>
                <w:i/>
                <w:iCs/>
                <w:sz w:val="22"/>
                <w:szCs w:val="22"/>
                <w:lang w:val="sr-Latn-RS" w:eastAsia="de-DE"/>
              </w:rPr>
              <w:t xml:space="preserve">difficile </w:t>
            </w:r>
            <w:r w:rsidR="002664C4" w:rsidRPr="00EB2BF2">
              <w:rPr>
                <w:i/>
                <w:iCs/>
                <w:sz w:val="22"/>
                <w:szCs w:val="22"/>
                <w:lang w:val="sr-Latn-RS" w:eastAsia="de-DE"/>
              </w:rPr>
              <w:t>k</w:t>
            </w:r>
            <w:r w:rsidRPr="00EB2BF2">
              <w:rPr>
                <w:i/>
                <w:iCs/>
                <w:sz w:val="22"/>
                <w:szCs w:val="22"/>
                <w:lang w:val="sr-Latn-RS" w:eastAsia="de-DE"/>
              </w:rPr>
              <w:t>olitis</w:t>
            </w:r>
            <w:r w:rsidRPr="00EB2BF2">
              <w:rPr>
                <w:sz w:val="22"/>
                <w:szCs w:val="22"/>
                <w:lang w:val="sr-Latn-RS" w:eastAsia="de-DE"/>
              </w:rPr>
              <w:t xml:space="preserve">, </w:t>
            </w:r>
            <w:r w:rsidR="00635D4C" w:rsidRPr="00EB2BF2">
              <w:rPr>
                <w:i/>
                <w:noProof/>
                <w:sz w:val="22"/>
                <w:szCs w:val="22"/>
                <w:lang w:val="sr-Latn-RS"/>
              </w:rPr>
              <w:t>Vaginalne infekcije</w:t>
            </w:r>
          </w:p>
        </w:tc>
      </w:tr>
      <w:tr w:rsidR="004F3E76" w:rsidRPr="00EB2BF2" w14:paraId="1C6DE3E3" w14:textId="77777777" w:rsidTr="00B14E56">
        <w:tc>
          <w:tcPr>
            <w:tcW w:w="1814" w:type="dxa"/>
            <w:shd w:val="clear" w:color="auto" w:fill="auto"/>
          </w:tcPr>
          <w:p w14:paraId="1BC4E856" w14:textId="77777777" w:rsidR="00635D4C" w:rsidRPr="00EB2BF2" w:rsidRDefault="00635D4C" w:rsidP="005B341C">
            <w:pPr>
              <w:rPr>
                <w:sz w:val="22"/>
                <w:szCs w:val="22"/>
                <w:lang w:val="sr-Latn-RS"/>
              </w:rPr>
            </w:pPr>
            <w:r w:rsidRPr="00EB2BF2">
              <w:rPr>
                <w:b/>
                <w:noProof/>
                <w:sz w:val="22"/>
                <w:szCs w:val="22"/>
                <w:lang w:val="sr-Latn-RS"/>
              </w:rPr>
              <w:t>Poremećaji krvi i limfnog sistema</w:t>
            </w:r>
          </w:p>
        </w:tc>
        <w:tc>
          <w:tcPr>
            <w:tcW w:w="1163" w:type="dxa"/>
            <w:shd w:val="clear" w:color="auto" w:fill="auto"/>
          </w:tcPr>
          <w:p w14:paraId="6C11DC05" w14:textId="77777777" w:rsidR="00635D4C" w:rsidRPr="00EB2BF2" w:rsidRDefault="00635D4C" w:rsidP="00BF78A3">
            <w:pPr>
              <w:rPr>
                <w:sz w:val="22"/>
                <w:szCs w:val="22"/>
                <w:lang w:val="sr-Latn-RS"/>
              </w:rPr>
            </w:pPr>
          </w:p>
        </w:tc>
        <w:tc>
          <w:tcPr>
            <w:tcW w:w="1105" w:type="dxa"/>
            <w:shd w:val="clear" w:color="auto" w:fill="auto"/>
          </w:tcPr>
          <w:p w14:paraId="04328F2D" w14:textId="77777777" w:rsidR="00635D4C" w:rsidRPr="00EB2BF2" w:rsidRDefault="00635D4C" w:rsidP="00BF78A3">
            <w:pPr>
              <w:rPr>
                <w:sz w:val="22"/>
                <w:szCs w:val="22"/>
                <w:lang w:val="sr-Latn-RS"/>
              </w:rPr>
            </w:pPr>
          </w:p>
        </w:tc>
        <w:tc>
          <w:tcPr>
            <w:tcW w:w="1305" w:type="dxa"/>
            <w:shd w:val="clear" w:color="auto" w:fill="auto"/>
          </w:tcPr>
          <w:p w14:paraId="22AB5F6E" w14:textId="77777777" w:rsidR="00635D4C" w:rsidRPr="00EB2BF2" w:rsidRDefault="00635D4C" w:rsidP="00BF78A3">
            <w:pPr>
              <w:rPr>
                <w:sz w:val="22"/>
                <w:szCs w:val="22"/>
                <w:lang w:val="sr-Latn-RS"/>
              </w:rPr>
            </w:pPr>
          </w:p>
        </w:tc>
        <w:tc>
          <w:tcPr>
            <w:tcW w:w="1026" w:type="dxa"/>
            <w:shd w:val="clear" w:color="auto" w:fill="auto"/>
          </w:tcPr>
          <w:p w14:paraId="2378CDA3" w14:textId="77777777" w:rsidR="00635D4C" w:rsidRPr="00EB2BF2" w:rsidRDefault="00635D4C" w:rsidP="00BF78A3">
            <w:pPr>
              <w:rPr>
                <w:sz w:val="22"/>
                <w:szCs w:val="22"/>
                <w:lang w:val="sr-Latn-RS"/>
              </w:rPr>
            </w:pPr>
          </w:p>
        </w:tc>
        <w:tc>
          <w:tcPr>
            <w:tcW w:w="1260" w:type="dxa"/>
            <w:shd w:val="clear" w:color="auto" w:fill="auto"/>
          </w:tcPr>
          <w:p w14:paraId="6C75B569" w14:textId="77777777" w:rsidR="00635D4C" w:rsidRPr="00EB2BF2" w:rsidRDefault="00635D4C" w:rsidP="00BF78A3">
            <w:pPr>
              <w:rPr>
                <w:sz w:val="22"/>
                <w:szCs w:val="22"/>
                <w:lang w:val="sr-Latn-RS"/>
              </w:rPr>
            </w:pPr>
          </w:p>
        </w:tc>
        <w:tc>
          <w:tcPr>
            <w:tcW w:w="1825" w:type="dxa"/>
            <w:shd w:val="clear" w:color="auto" w:fill="auto"/>
          </w:tcPr>
          <w:p w14:paraId="7ABD7D1E" w14:textId="77777777" w:rsidR="00635D4C" w:rsidRPr="00EB2BF2" w:rsidRDefault="005B341C" w:rsidP="00BF78A3">
            <w:pPr>
              <w:rPr>
                <w:i/>
                <w:noProof/>
                <w:sz w:val="22"/>
                <w:szCs w:val="22"/>
                <w:lang w:val="sr-Latn-RS"/>
              </w:rPr>
            </w:pPr>
            <w:r w:rsidRPr="00EB2BF2">
              <w:rPr>
                <w:i/>
                <w:noProof/>
                <w:sz w:val="22"/>
                <w:szCs w:val="22"/>
                <w:lang w:val="sr-Latn-RS"/>
              </w:rPr>
              <w:t>A</w:t>
            </w:r>
            <w:r w:rsidR="00635D4C" w:rsidRPr="00EB2BF2">
              <w:rPr>
                <w:i/>
                <w:noProof/>
                <w:sz w:val="22"/>
                <w:szCs w:val="22"/>
                <w:lang w:val="sr-Latn-RS"/>
              </w:rPr>
              <w:t>granulocitoza,</w:t>
            </w:r>
          </w:p>
          <w:p w14:paraId="5275F164" w14:textId="77777777" w:rsidR="00635D4C" w:rsidRPr="00EB2BF2" w:rsidRDefault="005B341C" w:rsidP="00BF78A3">
            <w:pPr>
              <w:rPr>
                <w:i/>
                <w:noProof/>
                <w:sz w:val="22"/>
                <w:szCs w:val="22"/>
                <w:lang w:val="sr-Latn-RS"/>
              </w:rPr>
            </w:pPr>
            <w:r w:rsidRPr="00EB2BF2">
              <w:rPr>
                <w:i/>
                <w:noProof/>
                <w:sz w:val="22"/>
                <w:szCs w:val="22"/>
                <w:lang w:val="sr-Latn-RS"/>
              </w:rPr>
              <w:t>L</w:t>
            </w:r>
            <w:r w:rsidR="00635D4C" w:rsidRPr="00EB2BF2">
              <w:rPr>
                <w:i/>
                <w:noProof/>
                <w:sz w:val="22"/>
                <w:szCs w:val="22"/>
                <w:lang w:val="sr-Latn-RS"/>
              </w:rPr>
              <w:t>eukopenija,</w:t>
            </w:r>
          </w:p>
          <w:p w14:paraId="11BA6F29" w14:textId="77777777" w:rsidR="00635D4C" w:rsidRPr="00EB2BF2" w:rsidRDefault="005B341C" w:rsidP="00BF78A3">
            <w:pPr>
              <w:rPr>
                <w:i/>
                <w:noProof/>
                <w:sz w:val="22"/>
                <w:szCs w:val="22"/>
                <w:lang w:val="sr-Latn-RS"/>
              </w:rPr>
            </w:pPr>
            <w:r w:rsidRPr="00EB2BF2">
              <w:rPr>
                <w:i/>
                <w:noProof/>
                <w:sz w:val="22"/>
                <w:szCs w:val="22"/>
                <w:lang w:val="sr-Latn-RS"/>
              </w:rPr>
              <w:t>N</w:t>
            </w:r>
            <w:r w:rsidR="00635D4C" w:rsidRPr="00EB2BF2">
              <w:rPr>
                <w:i/>
                <w:noProof/>
                <w:sz w:val="22"/>
                <w:szCs w:val="22"/>
                <w:lang w:val="sr-Latn-RS"/>
              </w:rPr>
              <w:t>eutropenija,</w:t>
            </w:r>
          </w:p>
          <w:p w14:paraId="3847259A" w14:textId="77777777" w:rsidR="00635D4C" w:rsidRPr="00EB2BF2" w:rsidRDefault="005B341C" w:rsidP="00BF78A3">
            <w:pPr>
              <w:rPr>
                <w:i/>
                <w:noProof/>
                <w:sz w:val="22"/>
                <w:szCs w:val="22"/>
                <w:lang w:val="sr-Latn-RS"/>
              </w:rPr>
            </w:pPr>
            <w:r w:rsidRPr="00EB2BF2">
              <w:rPr>
                <w:i/>
                <w:noProof/>
                <w:sz w:val="22"/>
                <w:szCs w:val="22"/>
                <w:lang w:val="sr-Latn-RS"/>
              </w:rPr>
              <w:t>T</w:t>
            </w:r>
            <w:r w:rsidR="00635D4C" w:rsidRPr="00EB2BF2">
              <w:rPr>
                <w:i/>
                <w:noProof/>
                <w:sz w:val="22"/>
                <w:szCs w:val="22"/>
                <w:lang w:val="sr-Latn-RS"/>
              </w:rPr>
              <w:t>rombocitopenija</w:t>
            </w:r>
          </w:p>
          <w:p w14:paraId="1C7A5725" w14:textId="77777777" w:rsidR="00635D4C" w:rsidRPr="00EB2BF2" w:rsidRDefault="005B341C" w:rsidP="00BF78A3">
            <w:pPr>
              <w:rPr>
                <w:sz w:val="22"/>
                <w:szCs w:val="22"/>
                <w:lang w:val="sr-Latn-RS"/>
              </w:rPr>
            </w:pPr>
            <w:r w:rsidRPr="00EB2BF2">
              <w:rPr>
                <w:noProof/>
                <w:sz w:val="22"/>
                <w:szCs w:val="22"/>
                <w:lang w:val="sr-Latn-RS"/>
              </w:rPr>
              <w:t>E</w:t>
            </w:r>
            <w:r w:rsidR="00635D4C" w:rsidRPr="00EB2BF2">
              <w:rPr>
                <w:noProof/>
                <w:sz w:val="22"/>
                <w:szCs w:val="22"/>
                <w:lang w:val="sr-Latn-RS"/>
              </w:rPr>
              <w:t>ozinofilija</w:t>
            </w:r>
          </w:p>
        </w:tc>
      </w:tr>
      <w:tr w:rsidR="004F3E76" w:rsidRPr="00EB2BF2" w14:paraId="09C0FB0B" w14:textId="77777777" w:rsidTr="00B14E56">
        <w:tc>
          <w:tcPr>
            <w:tcW w:w="1814" w:type="dxa"/>
            <w:shd w:val="clear" w:color="auto" w:fill="auto"/>
          </w:tcPr>
          <w:p w14:paraId="3ECC2CD8" w14:textId="77777777" w:rsidR="00635D4C" w:rsidRPr="00EB2BF2" w:rsidRDefault="00635D4C" w:rsidP="00BF78A3">
            <w:pPr>
              <w:rPr>
                <w:sz w:val="22"/>
                <w:szCs w:val="22"/>
                <w:lang w:val="sr-Latn-RS"/>
              </w:rPr>
            </w:pPr>
            <w:r w:rsidRPr="00EB2BF2">
              <w:rPr>
                <w:b/>
                <w:noProof/>
                <w:sz w:val="22"/>
                <w:szCs w:val="22"/>
                <w:lang w:val="sr-Latn-RS"/>
              </w:rPr>
              <w:t>Imunološki poremećaji</w:t>
            </w:r>
          </w:p>
        </w:tc>
        <w:tc>
          <w:tcPr>
            <w:tcW w:w="1163" w:type="dxa"/>
            <w:shd w:val="clear" w:color="auto" w:fill="auto"/>
          </w:tcPr>
          <w:p w14:paraId="39E128D8" w14:textId="77777777" w:rsidR="00635D4C" w:rsidRPr="00EB2BF2" w:rsidRDefault="00635D4C" w:rsidP="00BF78A3">
            <w:pPr>
              <w:rPr>
                <w:sz w:val="22"/>
                <w:szCs w:val="22"/>
                <w:lang w:val="sr-Latn-RS"/>
              </w:rPr>
            </w:pPr>
          </w:p>
        </w:tc>
        <w:tc>
          <w:tcPr>
            <w:tcW w:w="1105" w:type="dxa"/>
            <w:shd w:val="clear" w:color="auto" w:fill="auto"/>
          </w:tcPr>
          <w:p w14:paraId="0DE8C029" w14:textId="77777777" w:rsidR="00635D4C" w:rsidRPr="00EB2BF2" w:rsidRDefault="00635D4C" w:rsidP="00BF78A3">
            <w:pPr>
              <w:rPr>
                <w:sz w:val="22"/>
                <w:szCs w:val="22"/>
                <w:lang w:val="sr-Latn-RS"/>
              </w:rPr>
            </w:pPr>
          </w:p>
        </w:tc>
        <w:tc>
          <w:tcPr>
            <w:tcW w:w="1305" w:type="dxa"/>
            <w:shd w:val="clear" w:color="auto" w:fill="auto"/>
          </w:tcPr>
          <w:p w14:paraId="3520A8A1" w14:textId="77777777" w:rsidR="00635D4C" w:rsidRPr="00EB2BF2" w:rsidRDefault="00635D4C" w:rsidP="00BF78A3">
            <w:pPr>
              <w:rPr>
                <w:sz w:val="22"/>
                <w:szCs w:val="22"/>
                <w:lang w:val="sr-Latn-RS"/>
              </w:rPr>
            </w:pPr>
          </w:p>
        </w:tc>
        <w:tc>
          <w:tcPr>
            <w:tcW w:w="1026" w:type="dxa"/>
            <w:shd w:val="clear" w:color="auto" w:fill="auto"/>
          </w:tcPr>
          <w:p w14:paraId="40F20A1F" w14:textId="77777777" w:rsidR="00635D4C" w:rsidRPr="00EB2BF2" w:rsidRDefault="00635D4C" w:rsidP="00BF78A3">
            <w:pPr>
              <w:rPr>
                <w:sz w:val="22"/>
                <w:szCs w:val="22"/>
                <w:lang w:val="sr-Latn-RS"/>
              </w:rPr>
            </w:pPr>
          </w:p>
        </w:tc>
        <w:tc>
          <w:tcPr>
            <w:tcW w:w="1260" w:type="dxa"/>
            <w:shd w:val="clear" w:color="auto" w:fill="auto"/>
          </w:tcPr>
          <w:p w14:paraId="207B14BD" w14:textId="77777777" w:rsidR="00635D4C" w:rsidRPr="00EB2BF2" w:rsidRDefault="00635D4C" w:rsidP="00BF78A3">
            <w:pPr>
              <w:rPr>
                <w:sz w:val="22"/>
                <w:szCs w:val="22"/>
                <w:lang w:val="sr-Latn-RS"/>
              </w:rPr>
            </w:pPr>
          </w:p>
        </w:tc>
        <w:tc>
          <w:tcPr>
            <w:tcW w:w="1825" w:type="dxa"/>
            <w:shd w:val="clear" w:color="auto" w:fill="auto"/>
          </w:tcPr>
          <w:p w14:paraId="2CD76975" w14:textId="77777777" w:rsidR="00635D4C" w:rsidRPr="00EB2BF2" w:rsidRDefault="00635D4C" w:rsidP="00BF78A3">
            <w:pPr>
              <w:rPr>
                <w:i/>
                <w:noProof/>
                <w:sz w:val="22"/>
                <w:szCs w:val="22"/>
                <w:lang w:val="sr-Latn-RS"/>
              </w:rPr>
            </w:pPr>
            <w:r w:rsidRPr="00EB2BF2">
              <w:rPr>
                <w:i/>
                <w:noProof/>
                <w:sz w:val="22"/>
                <w:szCs w:val="22"/>
                <w:lang w:val="sr-Latn-RS"/>
              </w:rPr>
              <w:t>Anafilaktičke reakcije,</w:t>
            </w:r>
          </w:p>
          <w:p w14:paraId="5EF57C54" w14:textId="77777777" w:rsidR="00B3621B" w:rsidRPr="00EB2BF2" w:rsidRDefault="002D1767" w:rsidP="00B3621B">
            <w:pPr>
              <w:rPr>
                <w:i/>
                <w:iCs/>
                <w:noProof/>
                <w:sz w:val="22"/>
                <w:szCs w:val="22"/>
                <w:lang w:val="sr-Latn-RS"/>
              </w:rPr>
            </w:pPr>
            <w:r w:rsidRPr="00EB2BF2">
              <w:rPr>
                <w:i/>
                <w:iCs/>
                <w:sz w:val="22"/>
                <w:szCs w:val="22"/>
                <w:lang w:val="sr-Latn-RS" w:eastAsia="de-DE"/>
              </w:rPr>
              <w:t>anafilaktoidna reakcija, preos</w:t>
            </w:r>
            <w:r w:rsidR="002215EC" w:rsidRPr="00EB2BF2">
              <w:rPr>
                <w:i/>
                <w:iCs/>
                <w:sz w:val="22"/>
                <w:szCs w:val="22"/>
                <w:lang w:val="sr-Latn-RS" w:eastAsia="de-DE"/>
              </w:rPr>
              <w:t>j</w:t>
            </w:r>
            <w:r w:rsidRPr="00EB2BF2">
              <w:rPr>
                <w:i/>
                <w:iCs/>
                <w:sz w:val="22"/>
                <w:szCs w:val="22"/>
                <w:lang w:val="sr-Latn-RS" w:eastAsia="de-DE"/>
              </w:rPr>
              <w:t>etljivost</w:t>
            </w:r>
          </w:p>
          <w:p w14:paraId="0AAF7FA8" w14:textId="77777777" w:rsidR="00635D4C" w:rsidRPr="00EB2BF2" w:rsidRDefault="00635D4C" w:rsidP="00BF78A3">
            <w:pPr>
              <w:rPr>
                <w:sz w:val="22"/>
                <w:szCs w:val="22"/>
                <w:lang w:val="sr-Latn-RS"/>
              </w:rPr>
            </w:pPr>
          </w:p>
        </w:tc>
      </w:tr>
      <w:tr w:rsidR="004F3E76" w:rsidRPr="00EB2BF2" w14:paraId="39E93C57" w14:textId="77777777" w:rsidTr="00B14E56">
        <w:tc>
          <w:tcPr>
            <w:tcW w:w="1814" w:type="dxa"/>
            <w:shd w:val="clear" w:color="auto" w:fill="auto"/>
          </w:tcPr>
          <w:p w14:paraId="4B6B9283" w14:textId="77777777" w:rsidR="00635D4C" w:rsidRPr="00EB2BF2" w:rsidRDefault="00635D4C" w:rsidP="00BF78A3">
            <w:pPr>
              <w:rPr>
                <w:sz w:val="22"/>
                <w:szCs w:val="22"/>
                <w:lang w:val="sr-Latn-RS"/>
              </w:rPr>
            </w:pPr>
            <w:r w:rsidRPr="00EB2BF2">
              <w:rPr>
                <w:b/>
                <w:noProof/>
                <w:sz w:val="22"/>
                <w:szCs w:val="22"/>
                <w:lang w:val="sr-Latn-RS"/>
              </w:rPr>
              <w:t>Poremećaji nervnog sistema</w:t>
            </w:r>
          </w:p>
        </w:tc>
        <w:tc>
          <w:tcPr>
            <w:tcW w:w="1163" w:type="dxa"/>
            <w:shd w:val="clear" w:color="auto" w:fill="auto"/>
          </w:tcPr>
          <w:p w14:paraId="78E08A4C" w14:textId="77777777" w:rsidR="00635D4C" w:rsidRPr="00EB2BF2" w:rsidRDefault="00635D4C" w:rsidP="00BF78A3">
            <w:pPr>
              <w:rPr>
                <w:sz w:val="22"/>
                <w:szCs w:val="22"/>
                <w:lang w:val="sr-Latn-RS"/>
              </w:rPr>
            </w:pPr>
          </w:p>
        </w:tc>
        <w:tc>
          <w:tcPr>
            <w:tcW w:w="1105" w:type="dxa"/>
            <w:shd w:val="clear" w:color="auto" w:fill="auto"/>
          </w:tcPr>
          <w:p w14:paraId="5926763A" w14:textId="77777777" w:rsidR="00635D4C" w:rsidRPr="00EB2BF2" w:rsidRDefault="00635D4C" w:rsidP="005B341C">
            <w:pPr>
              <w:autoSpaceDE w:val="0"/>
              <w:autoSpaceDN w:val="0"/>
              <w:adjustRightInd w:val="0"/>
              <w:rPr>
                <w:sz w:val="22"/>
                <w:szCs w:val="22"/>
                <w:lang w:val="sr-Latn-RS"/>
              </w:rPr>
            </w:pPr>
          </w:p>
        </w:tc>
        <w:tc>
          <w:tcPr>
            <w:tcW w:w="1305" w:type="dxa"/>
            <w:shd w:val="clear" w:color="auto" w:fill="auto"/>
          </w:tcPr>
          <w:p w14:paraId="33926936" w14:textId="77777777" w:rsidR="00635D4C" w:rsidRPr="00EB2BF2" w:rsidRDefault="00635D4C" w:rsidP="00BF78A3">
            <w:pPr>
              <w:rPr>
                <w:sz w:val="22"/>
                <w:szCs w:val="22"/>
                <w:lang w:val="sr-Latn-RS"/>
              </w:rPr>
            </w:pPr>
          </w:p>
        </w:tc>
        <w:tc>
          <w:tcPr>
            <w:tcW w:w="1026" w:type="dxa"/>
            <w:shd w:val="clear" w:color="auto" w:fill="auto"/>
          </w:tcPr>
          <w:p w14:paraId="12DB03CD" w14:textId="77777777" w:rsidR="00635D4C" w:rsidRPr="00EB2BF2" w:rsidRDefault="00635D4C" w:rsidP="00BF78A3">
            <w:pPr>
              <w:rPr>
                <w:sz w:val="22"/>
                <w:szCs w:val="22"/>
                <w:lang w:val="sr-Latn-RS"/>
              </w:rPr>
            </w:pPr>
          </w:p>
        </w:tc>
        <w:tc>
          <w:tcPr>
            <w:tcW w:w="1260" w:type="dxa"/>
            <w:shd w:val="clear" w:color="auto" w:fill="auto"/>
          </w:tcPr>
          <w:p w14:paraId="772D9860" w14:textId="77777777" w:rsidR="00635D4C" w:rsidRPr="00EB2BF2" w:rsidRDefault="00635D4C" w:rsidP="00BF78A3">
            <w:pPr>
              <w:rPr>
                <w:sz w:val="22"/>
                <w:szCs w:val="22"/>
                <w:lang w:val="sr-Latn-RS"/>
              </w:rPr>
            </w:pPr>
          </w:p>
        </w:tc>
        <w:tc>
          <w:tcPr>
            <w:tcW w:w="1825" w:type="dxa"/>
            <w:shd w:val="clear" w:color="auto" w:fill="auto"/>
          </w:tcPr>
          <w:p w14:paraId="2B3B90F7" w14:textId="77777777" w:rsidR="0078200E" w:rsidRPr="00EB2BF2" w:rsidRDefault="0078200E" w:rsidP="0078200E">
            <w:pPr>
              <w:autoSpaceDE w:val="0"/>
              <w:autoSpaceDN w:val="0"/>
              <w:adjustRightInd w:val="0"/>
              <w:rPr>
                <w:noProof/>
                <w:sz w:val="22"/>
                <w:szCs w:val="22"/>
                <w:lang w:val="sr-Latn-RS"/>
              </w:rPr>
            </w:pPr>
            <w:r w:rsidRPr="00EB2BF2">
              <w:rPr>
                <w:noProof/>
                <w:sz w:val="22"/>
                <w:szCs w:val="22"/>
                <w:lang w:val="sr-Latn-RS"/>
              </w:rPr>
              <w:t>Disgeuzija</w:t>
            </w:r>
          </w:p>
          <w:p w14:paraId="27351166" w14:textId="77777777" w:rsidR="00635D4C" w:rsidRPr="00EB2BF2" w:rsidRDefault="00635D4C" w:rsidP="00BF78A3">
            <w:pPr>
              <w:rPr>
                <w:sz w:val="22"/>
                <w:szCs w:val="22"/>
                <w:lang w:val="sr-Latn-RS"/>
              </w:rPr>
            </w:pPr>
          </w:p>
        </w:tc>
      </w:tr>
      <w:tr w:rsidR="004F3E76" w:rsidRPr="00EB2BF2" w14:paraId="79F3DAC8" w14:textId="77777777" w:rsidTr="00B14E56">
        <w:tc>
          <w:tcPr>
            <w:tcW w:w="1814" w:type="dxa"/>
            <w:shd w:val="clear" w:color="auto" w:fill="auto"/>
          </w:tcPr>
          <w:p w14:paraId="43BC979E" w14:textId="77777777" w:rsidR="00635D4C" w:rsidRPr="00EB2BF2" w:rsidRDefault="00635D4C" w:rsidP="00BF78A3">
            <w:pPr>
              <w:rPr>
                <w:sz w:val="22"/>
                <w:szCs w:val="22"/>
                <w:lang w:val="sr-Latn-RS"/>
              </w:rPr>
            </w:pPr>
            <w:r w:rsidRPr="00EB2BF2">
              <w:rPr>
                <w:b/>
                <w:noProof/>
                <w:sz w:val="22"/>
                <w:szCs w:val="22"/>
                <w:lang w:val="sr-Latn-RS"/>
              </w:rPr>
              <w:t>Gastrointestinalni poremećaji</w:t>
            </w:r>
          </w:p>
        </w:tc>
        <w:tc>
          <w:tcPr>
            <w:tcW w:w="1163" w:type="dxa"/>
            <w:shd w:val="clear" w:color="auto" w:fill="auto"/>
          </w:tcPr>
          <w:p w14:paraId="35116336" w14:textId="77777777" w:rsidR="00635D4C" w:rsidRPr="00EB2BF2" w:rsidRDefault="00635D4C" w:rsidP="00BF78A3">
            <w:pPr>
              <w:rPr>
                <w:sz w:val="22"/>
                <w:szCs w:val="22"/>
                <w:lang w:val="sr-Latn-RS"/>
              </w:rPr>
            </w:pPr>
          </w:p>
        </w:tc>
        <w:tc>
          <w:tcPr>
            <w:tcW w:w="1105" w:type="dxa"/>
            <w:shd w:val="clear" w:color="auto" w:fill="auto"/>
          </w:tcPr>
          <w:p w14:paraId="7717EE26" w14:textId="77777777" w:rsidR="0078200E" w:rsidRPr="00EB2BF2" w:rsidRDefault="0078200E" w:rsidP="00BF78A3">
            <w:pPr>
              <w:rPr>
                <w:noProof/>
                <w:sz w:val="22"/>
                <w:szCs w:val="22"/>
                <w:lang w:val="sr-Latn-RS"/>
              </w:rPr>
            </w:pPr>
            <w:r w:rsidRPr="00EB2BF2">
              <w:rPr>
                <w:noProof/>
                <w:sz w:val="22"/>
                <w:szCs w:val="22"/>
                <w:lang w:val="sr-Latn-RS"/>
              </w:rPr>
              <w:t>Abdominalni bol</w:t>
            </w:r>
          </w:p>
          <w:p w14:paraId="6C181858" w14:textId="77777777" w:rsidR="00635D4C" w:rsidRPr="00EB2BF2" w:rsidRDefault="00635D4C" w:rsidP="00BF78A3">
            <w:pPr>
              <w:rPr>
                <w:noProof/>
                <w:sz w:val="22"/>
                <w:szCs w:val="22"/>
                <w:lang w:val="sr-Latn-RS"/>
              </w:rPr>
            </w:pPr>
            <w:r w:rsidRPr="00EB2BF2">
              <w:rPr>
                <w:noProof/>
                <w:sz w:val="22"/>
                <w:szCs w:val="22"/>
                <w:lang w:val="sr-Latn-RS"/>
              </w:rPr>
              <w:t>Dijareja</w:t>
            </w:r>
          </w:p>
          <w:p w14:paraId="736AE193" w14:textId="77777777" w:rsidR="00635D4C" w:rsidRPr="00EB2BF2" w:rsidRDefault="00635D4C" w:rsidP="0078200E">
            <w:pPr>
              <w:rPr>
                <w:sz w:val="22"/>
                <w:szCs w:val="22"/>
                <w:lang w:val="sr-Latn-RS"/>
              </w:rPr>
            </w:pPr>
          </w:p>
        </w:tc>
        <w:tc>
          <w:tcPr>
            <w:tcW w:w="1305" w:type="dxa"/>
            <w:shd w:val="clear" w:color="auto" w:fill="auto"/>
          </w:tcPr>
          <w:p w14:paraId="665CBD1C" w14:textId="77777777" w:rsidR="00635D4C" w:rsidRPr="00EB2BF2" w:rsidRDefault="0078200E" w:rsidP="00BF78A3">
            <w:pPr>
              <w:autoSpaceDE w:val="0"/>
              <w:autoSpaceDN w:val="0"/>
              <w:adjustRightInd w:val="0"/>
              <w:rPr>
                <w:noProof/>
                <w:sz w:val="22"/>
                <w:szCs w:val="22"/>
                <w:lang w:val="sr-Latn-RS"/>
              </w:rPr>
            </w:pPr>
            <w:r w:rsidRPr="00EB2BF2">
              <w:rPr>
                <w:noProof/>
                <w:sz w:val="22"/>
                <w:szCs w:val="22"/>
                <w:lang w:val="sr-Latn-RS"/>
              </w:rPr>
              <w:t>Mučnina</w:t>
            </w:r>
          </w:p>
          <w:p w14:paraId="0ECFCCFE" w14:textId="77777777" w:rsidR="0078200E" w:rsidRPr="00EB2BF2" w:rsidRDefault="0078200E" w:rsidP="00BF78A3">
            <w:pPr>
              <w:autoSpaceDE w:val="0"/>
              <w:autoSpaceDN w:val="0"/>
              <w:adjustRightInd w:val="0"/>
              <w:rPr>
                <w:noProof/>
                <w:sz w:val="22"/>
                <w:szCs w:val="22"/>
                <w:lang w:val="sr-Latn-RS"/>
              </w:rPr>
            </w:pPr>
          </w:p>
          <w:p w14:paraId="54F7DC60" w14:textId="77777777" w:rsidR="0078200E" w:rsidRPr="00EB2BF2" w:rsidRDefault="0078200E" w:rsidP="00BF78A3">
            <w:pPr>
              <w:autoSpaceDE w:val="0"/>
              <w:autoSpaceDN w:val="0"/>
              <w:adjustRightInd w:val="0"/>
              <w:rPr>
                <w:noProof/>
                <w:sz w:val="22"/>
                <w:szCs w:val="22"/>
                <w:lang w:val="sr-Latn-RS"/>
              </w:rPr>
            </w:pPr>
            <w:r w:rsidRPr="00EB2BF2">
              <w:rPr>
                <w:noProof/>
                <w:sz w:val="22"/>
                <w:szCs w:val="22"/>
                <w:lang w:val="sr-Latn-RS"/>
              </w:rPr>
              <w:t>Povraćanje</w:t>
            </w:r>
          </w:p>
        </w:tc>
        <w:tc>
          <w:tcPr>
            <w:tcW w:w="1026" w:type="dxa"/>
            <w:shd w:val="clear" w:color="auto" w:fill="auto"/>
          </w:tcPr>
          <w:p w14:paraId="43CE403E" w14:textId="77777777" w:rsidR="00635D4C" w:rsidRPr="00EB2BF2" w:rsidRDefault="00635D4C" w:rsidP="00BF78A3">
            <w:pPr>
              <w:rPr>
                <w:sz w:val="22"/>
                <w:szCs w:val="22"/>
                <w:lang w:val="sr-Latn-RS"/>
              </w:rPr>
            </w:pPr>
          </w:p>
        </w:tc>
        <w:tc>
          <w:tcPr>
            <w:tcW w:w="1260" w:type="dxa"/>
            <w:shd w:val="clear" w:color="auto" w:fill="auto"/>
          </w:tcPr>
          <w:p w14:paraId="5A835D8B" w14:textId="77777777" w:rsidR="00635D4C" w:rsidRPr="00EB2BF2" w:rsidRDefault="00635D4C" w:rsidP="00BF78A3">
            <w:pPr>
              <w:rPr>
                <w:sz w:val="22"/>
                <w:szCs w:val="22"/>
                <w:lang w:val="sr-Latn-RS"/>
              </w:rPr>
            </w:pPr>
          </w:p>
        </w:tc>
        <w:tc>
          <w:tcPr>
            <w:tcW w:w="1825" w:type="dxa"/>
            <w:shd w:val="clear" w:color="auto" w:fill="auto"/>
          </w:tcPr>
          <w:p w14:paraId="7CA88139" w14:textId="77777777" w:rsidR="00635D4C" w:rsidRPr="00EB2BF2" w:rsidRDefault="0078200E" w:rsidP="00BF78A3">
            <w:pPr>
              <w:autoSpaceDE w:val="0"/>
              <w:autoSpaceDN w:val="0"/>
              <w:adjustRightInd w:val="0"/>
              <w:rPr>
                <w:i/>
                <w:noProof/>
                <w:sz w:val="22"/>
                <w:szCs w:val="22"/>
                <w:lang w:val="sr-Latn-RS"/>
              </w:rPr>
            </w:pPr>
            <w:r w:rsidRPr="00EB2BF2">
              <w:rPr>
                <w:i/>
                <w:noProof/>
                <w:sz w:val="22"/>
                <w:szCs w:val="22"/>
                <w:lang w:val="sr-Latn-RS"/>
              </w:rPr>
              <w:t>Ezofagealni ulkus</w:t>
            </w:r>
            <w:r w:rsidR="00B246D6" w:rsidRPr="00EB2BF2">
              <w:rPr>
                <w:i/>
                <w:noProof/>
                <w:sz w:val="22"/>
                <w:szCs w:val="22"/>
                <w:vertAlign w:val="superscript"/>
                <w:lang w:val="sr-Latn-RS"/>
              </w:rPr>
              <w:t>†</w:t>
            </w:r>
          </w:p>
          <w:p w14:paraId="67725ED7" w14:textId="77777777" w:rsidR="0078200E" w:rsidRPr="00EB2BF2" w:rsidRDefault="0078200E" w:rsidP="00BF78A3">
            <w:pPr>
              <w:autoSpaceDE w:val="0"/>
              <w:autoSpaceDN w:val="0"/>
              <w:adjustRightInd w:val="0"/>
              <w:rPr>
                <w:i/>
                <w:noProof/>
                <w:sz w:val="22"/>
                <w:szCs w:val="22"/>
                <w:lang w:val="sr-Latn-RS"/>
              </w:rPr>
            </w:pPr>
          </w:p>
          <w:p w14:paraId="29AD571E" w14:textId="77777777" w:rsidR="0078200E" w:rsidRPr="00EB2BF2" w:rsidRDefault="0078200E" w:rsidP="00BF78A3">
            <w:pPr>
              <w:autoSpaceDE w:val="0"/>
              <w:autoSpaceDN w:val="0"/>
              <w:adjustRightInd w:val="0"/>
              <w:rPr>
                <w:i/>
                <w:sz w:val="22"/>
                <w:szCs w:val="22"/>
                <w:lang w:val="sr-Latn-RS"/>
              </w:rPr>
            </w:pPr>
            <w:r w:rsidRPr="00EB2BF2">
              <w:rPr>
                <w:i/>
                <w:noProof/>
                <w:sz w:val="22"/>
                <w:szCs w:val="22"/>
                <w:lang w:val="sr-Latn-RS"/>
              </w:rPr>
              <w:t>Ezofagitis</w:t>
            </w:r>
          </w:p>
        </w:tc>
      </w:tr>
      <w:tr w:rsidR="004F3E76" w:rsidRPr="00EB2BF2" w14:paraId="60115BC3" w14:textId="77777777" w:rsidTr="00B14E56">
        <w:tc>
          <w:tcPr>
            <w:tcW w:w="1814" w:type="dxa"/>
            <w:shd w:val="clear" w:color="auto" w:fill="auto"/>
          </w:tcPr>
          <w:p w14:paraId="1B1D3666" w14:textId="77777777" w:rsidR="00635D4C" w:rsidRPr="00EB2BF2" w:rsidRDefault="00635D4C" w:rsidP="00BF78A3">
            <w:pPr>
              <w:rPr>
                <w:sz w:val="22"/>
                <w:szCs w:val="22"/>
                <w:lang w:val="sr-Latn-RS"/>
              </w:rPr>
            </w:pPr>
            <w:r w:rsidRPr="00EB2BF2">
              <w:rPr>
                <w:b/>
                <w:noProof/>
                <w:color w:val="000000"/>
                <w:sz w:val="22"/>
                <w:szCs w:val="22"/>
                <w:lang w:val="sr-Latn-RS"/>
              </w:rPr>
              <w:t>Hepatobilijarni poremećaji</w:t>
            </w:r>
          </w:p>
        </w:tc>
        <w:tc>
          <w:tcPr>
            <w:tcW w:w="1163" w:type="dxa"/>
            <w:shd w:val="clear" w:color="auto" w:fill="auto"/>
          </w:tcPr>
          <w:p w14:paraId="4ABCB7C1" w14:textId="77777777" w:rsidR="00635D4C" w:rsidRPr="00EB2BF2" w:rsidRDefault="00635D4C" w:rsidP="00BF78A3">
            <w:pPr>
              <w:rPr>
                <w:sz w:val="22"/>
                <w:szCs w:val="22"/>
                <w:lang w:val="sr-Latn-RS"/>
              </w:rPr>
            </w:pPr>
          </w:p>
        </w:tc>
        <w:tc>
          <w:tcPr>
            <w:tcW w:w="1105" w:type="dxa"/>
            <w:shd w:val="clear" w:color="auto" w:fill="auto"/>
          </w:tcPr>
          <w:p w14:paraId="44E232A4" w14:textId="77777777" w:rsidR="00635D4C" w:rsidRPr="00EB2BF2" w:rsidRDefault="00635D4C" w:rsidP="00BF78A3">
            <w:pPr>
              <w:rPr>
                <w:sz w:val="22"/>
                <w:szCs w:val="22"/>
                <w:lang w:val="sr-Latn-RS"/>
              </w:rPr>
            </w:pPr>
          </w:p>
        </w:tc>
        <w:tc>
          <w:tcPr>
            <w:tcW w:w="1305" w:type="dxa"/>
            <w:shd w:val="clear" w:color="auto" w:fill="auto"/>
          </w:tcPr>
          <w:p w14:paraId="34BD9B04" w14:textId="77777777" w:rsidR="00635D4C" w:rsidRPr="00EB2BF2" w:rsidRDefault="00635D4C" w:rsidP="00BF78A3">
            <w:pPr>
              <w:rPr>
                <w:sz w:val="22"/>
                <w:szCs w:val="22"/>
                <w:lang w:val="sr-Latn-RS"/>
              </w:rPr>
            </w:pPr>
          </w:p>
        </w:tc>
        <w:tc>
          <w:tcPr>
            <w:tcW w:w="1026" w:type="dxa"/>
            <w:shd w:val="clear" w:color="auto" w:fill="auto"/>
          </w:tcPr>
          <w:p w14:paraId="68F0AF55" w14:textId="77777777" w:rsidR="00635D4C" w:rsidRPr="00EB2BF2" w:rsidRDefault="00635D4C" w:rsidP="00BF78A3">
            <w:pPr>
              <w:rPr>
                <w:sz w:val="22"/>
                <w:szCs w:val="22"/>
                <w:lang w:val="sr-Latn-RS"/>
              </w:rPr>
            </w:pPr>
          </w:p>
        </w:tc>
        <w:tc>
          <w:tcPr>
            <w:tcW w:w="1260" w:type="dxa"/>
            <w:shd w:val="clear" w:color="auto" w:fill="auto"/>
          </w:tcPr>
          <w:p w14:paraId="748349A2" w14:textId="77777777" w:rsidR="00635D4C" w:rsidRPr="00EB2BF2" w:rsidRDefault="00635D4C" w:rsidP="00BF78A3">
            <w:pPr>
              <w:rPr>
                <w:sz w:val="22"/>
                <w:szCs w:val="22"/>
                <w:lang w:val="sr-Latn-RS"/>
              </w:rPr>
            </w:pPr>
          </w:p>
        </w:tc>
        <w:tc>
          <w:tcPr>
            <w:tcW w:w="1825" w:type="dxa"/>
            <w:shd w:val="clear" w:color="auto" w:fill="auto"/>
          </w:tcPr>
          <w:p w14:paraId="6BACD26C" w14:textId="77777777" w:rsidR="00635D4C" w:rsidRPr="00EB2BF2" w:rsidRDefault="005B341C" w:rsidP="00BF78A3">
            <w:pPr>
              <w:rPr>
                <w:sz w:val="22"/>
                <w:szCs w:val="22"/>
                <w:lang w:val="sr-Latn-RS"/>
              </w:rPr>
            </w:pPr>
            <w:r w:rsidRPr="00EB2BF2">
              <w:rPr>
                <w:i/>
                <w:noProof/>
                <w:sz w:val="22"/>
                <w:szCs w:val="22"/>
                <w:lang w:val="sr-Latn-RS"/>
              </w:rPr>
              <w:t>I</w:t>
            </w:r>
            <w:r w:rsidR="00635D4C" w:rsidRPr="00EB2BF2">
              <w:rPr>
                <w:i/>
                <w:noProof/>
                <w:sz w:val="22"/>
                <w:szCs w:val="22"/>
                <w:lang w:val="sr-Latn-RS"/>
              </w:rPr>
              <w:t>kterus</w:t>
            </w:r>
          </w:p>
        </w:tc>
      </w:tr>
      <w:tr w:rsidR="004F3E76" w:rsidRPr="00EB2BF2" w14:paraId="20362852" w14:textId="77777777" w:rsidTr="00B14E56">
        <w:tc>
          <w:tcPr>
            <w:tcW w:w="1814" w:type="dxa"/>
            <w:shd w:val="clear" w:color="auto" w:fill="auto"/>
          </w:tcPr>
          <w:p w14:paraId="14FA42A6" w14:textId="77777777" w:rsidR="00635D4C" w:rsidRPr="00EB2BF2" w:rsidRDefault="00635D4C" w:rsidP="005B341C">
            <w:pPr>
              <w:autoSpaceDE w:val="0"/>
              <w:autoSpaceDN w:val="0"/>
              <w:adjustRightInd w:val="0"/>
              <w:rPr>
                <w:b/>
                <w:noProof/>
                <w:color w:val="000000"/>
                <w:sz w:val="22"/>
                <w:szCs w:val="22"/>
                <w:lang w:val="sr-Latn-RS"/>
              </w:rPr>
            </w:pPr>
            <w:r w:rsidRPr="00EB2BF2">
              <w:rPr>
                <w:b/>
                <w:noProof/>
                <w:color w:val="000000"/>
                <w:sz w:val="22"/>
                <w:szCs w:val="22"/>
                <w:lang w:val="sr-Latn-RS"/>
              </w:rPr>
              <w:t>Poremećaji kože i potkožnog tkiva</w:t>
            </w:r>
          </w:p>
        </w:tc>
        <w:tc>
          <w:tcPr>
            <w:tcW w:w="1163" w:type="dxa"/>
          </w:tcPr>
          <w:p w14:paraId="5FDBA8FA" w14:textId="77777777" w:rsidR="00635D4C" w:rsidRPr="00EB2BF2" w:rsidRDefault="00635D4C" w:rsidP="00BF78A3">
            <w:pPr>
              <w:autoSpaceDE w:val="0"/>
              <w:autoSpaceDN w:val="0"/>
              <w:adjustRightInd w:val="0"/>
              <w:rPr>
                <w:noProof/>
                <w:sz w:val="22"/>
                <w:szCs w:val="22"/>
                <w:lang w:val="sr-Latn-RS"/>
              </w:rPr>
            </w:pPr>
          </w:p>
        </w:tc>
        <w:tc>
          <w:tcPr>
            <w:tcW w:w="1105" w:type="dxa"/>
            <w:shd w:val="clear" w:color="auto" w:fill="auto"/>
          </w:tcPr>
          <w:p w14:paraId="08EE7463" w14:textId="77777777" w:rsidR="00635D4C" w:rsidRPr="00EB2BF2" w:rsidRDefault="00635D4C" w:rsidP="00BF78A3">
            <w:pPr>
              <w:autoSpaceDE w:val="0"/>
              <w:autoSpaceDN w:val="0"/>
              <w:adjustRightInd w:val="0"/>
              <w:rPr>
                <w:noProof/>
                <w:sz w:val="22"/>
                <w:szCs w:val="22"/>
                <w:lang w:val="sr-Latn-RS"/>
              </w:rPr>
            </w:pPr>
          </w:p>
        </w:tc>
        <w:tc>
          <w:tcPr>
            <w:tcW w:w="1305" w:type="dxa"/>
            <w:shd w:val="clear" w:color="auto" w:fill="auto"/>
          </w:tcPr>
          <w:p w14:paraId="3EF3AD37" w14:textId="77777777" w:rsidR="005B341C" w:rsidRPr="00EB2BF2" w:rsidRDefault="0078200E" w:rsidP="00BF78A3">
            <w:pPr>
              <w:autoSpaceDE w:val="0"/>
              <w:autoSpaceDN w:val="0"/>
              <w:adjustRightInd w:val="0"/>
              <w:rPr>
                <w:noProof/>
                <w:sz w:val="22"/>
                <w:szCs w:val="22"/>
                <w:lang w:val="sr-Latn-RS"/>
              </w:rPr>
            </w:pPr>
            <w:r w:rsidRPr="00EB2BF2">
              <w:rPr>
                <w:noProof/>
                <w:sz w:val="22"/>
                <w:szCs w:val="22"/>
                <w:lang w:val="sr-Latn-RS"/>
              </w:rPr>
              <w:t>Makulo</w:t>
            </w:r>
          </w:p>
          <w:p w14:paraId="2548FA1D" w14:textId="77777777" w:rsidR="00635D4C" w:rsidRPr="00EB2BF2" w:rsidRDefault="0078200E" w:rsidP="00BF78A3">
            <w:pPr>
              <w:autoSpaceDE w:val="0"/>
              <w:autoSpaceDN w:val="0"/>
              <w:adjustRightInd w:val="0"/>
              <w:rPr>
                <w:noProof/>
                <w:sz w:val="22"/>
                <w:szCs w:val="22"/>
                <w:lang w:val="sr-Latn-RS"/>
              </w:rPr>
            </w:pPr>
            <w:r w:rsidRPr="00EB2BF2">
              <w:rPr>
                <w:noProof/>
                <w:sz w:val="22"/>
                <w:szCs w:val="22"/>
                <w:lang w:val="sr-Latn-RS"/>
              </w:rPr>
              <w:t>papulozni egzantem</w:t>
            </w:r>
          </w:p>
          <w:p w14:paraId="7BAFE9EC" w14:textId="77777777" w:rsidR="0078200E" w:rsidRPr="00EB2BF2" w:rsidRDefault="0078200E" w:rsidP="00BF78A3">
            <w:pPr>
              <w:autoSpaceDE w:val="0"/>
              <w:autoSpaceDN w:val="0"/>
              <w:adjustRightInd w:val="0"/>
              <w:rPr>
                <w:noProof/>
                <w:sz w:val="22"/>
                <w:szCs w:val="22"/>
                <w:lang w:val="sr-Latn-RS"/>
              </w:rPr>
            </w:pPr>
            <w:r w:rsidRPr="00EB2BF2">
              <w:rPr>
                <w:noProof/>
                <w:sz w:val="22"/>
                <w:szCs w:val="22"/>
                <w:lang w:val="sr-Latn-RS"/>
              </w:rPr>
              <w:t>Urtikarija</w:t>
            </w:r>
          </w:p>
        </w:tc>
        <w:tc>
          <w:tcPr>
            <w:tcW w:w="1026" w:type="dxa"/>
            <w:shd w:val="clear" w:color="auto" w:fill="auto"/>
          </w:tcPr>
          <w:p w14:paraId="26ADF633" w14:textId="77777777" w:rsidR="00635D4C" w:rsidRPr="00EB2BF2" w:rsidRDefault="00635D4C" w:rsidP="00BF78A3">
            <w:pPr>
              <w:autoSpaceDE w:val="0"/>
              <w:autoSpaceDN w:val="0"/>
              <w:adjustRightInd w:val="0"/>
              <w:rPr>
                <w:noProof/>
                <w:sz w:val="22"/>
                <w:szCs w:val="22"/>
                <w:lang w:val="sr-Latn-RS"/>
              </w:rPr>
            </w:pPr>
          </w:p>
        </w:tc>
        <w:tc>
          <w:tcPr>
            <w:tcW w:w="1260" w:type="dxa"/>
            <w:shd w:val="clear" w:color="auto" w:fill="auto"/>
          </w:tcPr>
          <w:p w14:paraId="7ACAD8EB" w14:textId="77777777" w:rsidR="00635D4C" w:rsidRPr="00EB2BF2" w:rsidRDefault="00635D4C" w:rsidP="00BF78A3">
            <w:pPr>
              <w:autoSpaceDE w:val="0"/>
              <w:autoSpaceDN w:val="0"/>
              <w:adjustRightInd w:val="0"/>
              <w:rPr>
                <w:i/>
                <w:noProof/>
                <w:sz w:val="22"/>
                <w:szCs w:val="22"/>
                <w:lang w:val="sr-Latn-RS"/>
              </w:rPr>
            </w:pPr>
          </w:p>
        </w:tc>
        <w:tc>
          <w:tcPr>
            <w:tcW w:w="1825" w:type="dxa"/>
            <w:shd w:val="clear" w:color="auto" w:fill="auto"/>
          </w:tcPr>
          <w:p w14:paraId="52F099C5" w14:textId="77777777" w:rsidR="00635D4C" w:rsidRPr="00EB2BF2" w:rsidRDefault="005B341C" w:rsidP="00BF78A3">
            <w:pPr>
              <w:autoSpaceDE w:val="0"/>
              <w:autoSpaceDN w:val="0"/>
              <w:adjustRightInd w:val="0"/>
              <w:rPr>
                <w:i/>
                <w:noProof/>
                <w:sz w:val="22"/>
                <w:szCs w:val="22"/>
                <w:lang w:val="sr-Latn-RS"/>
              </w:rPr>
            </w:pPr>
            <w:r w:rsidRPr="00EB2BF2">
              <w:rPr>
                <w:i/>
                <w:noProof/>
                <w:sz w:val="22"/>
                <w:szCs w:val="22"/>
                <w:lang w:val="sr-Latn-RS"/>
              </w:rPr>
              <w:t>T</w:t>
            </w:r>
            <w:r w:rsidR="00635D4C" w:rsidRPr="00EB2BF2">
              <w:rPr>
                <w:i/>
                <w:noProof/>
                <w:sz w:val="22"/>
                <w:szCs w:val="22"/>
                <w:lang w:val="sr-Latn-RS"/>
              </w:rPr>
              <w:t>oksična epidermalna nekroliza, Stevens Johnson-ov sindrom,</w:t>
            </w:r>
          </w:p>
          <w:p w14:paraId="7347F1B5" w14:textId="77777777" w:rsidR="00220FED" w:rsidRPr="00EB2BF2" w:rsidRDefault="00220FED" w:rsidP="00BF78A3">
            <w:pPr>
              <w:autoSpaceDE w:val="0"/>
              <w:autoSpaceDN w:val="0"/>
              <w:adjustRightInd w:val="0"/>
              <w:rPr>
                <w:i/>
                <w:noProof/>
                <w:sz w:val="22"/>
                <w:szCs w:val="22"/>
                <w:lang w:val="sr-Latn-RS"/>
              </w:rPr>
            </w:pPr>
            <w:r w:rsidRPr="00EB2BF2">
              <w:rPr>
                <w:i/>
                <w:noProof/>
                <w:sz w:val="22"/>
                <w:szCs w:val="22"/>
                <w:lang w:val="sr-Latn-RS"/>
              </w:rPr>
              <w:t>Medikamentozni egzantem sa eozinofilijom i sistemskim simptomima (DRESS sindrom),</w:t>
            </w:r>
          </w:p>
          <w:p w14:paraId="2A10901C" w14:textId="77777777" w:rsidR="00635D4C" w:rsidRPr="00EB2BF2" w:rsidRDefault="00635D4C" w:rsidP="00BF78A3">
            <w:pPr>
              <w:autoSpaceDE w:val="0"/>
              <w:autoSpaceDN w:val="0"/>
              <w:adjustRightInd w:val="0"/>
              <w:rPr>
                <w:i/>
                <w:noProof/>
                <w:sz w:val="22"/>
                <w:szCs w:val="22"/>
                <w:lang w:val="sr-Latn-RS"/>
              </w:rPr>
            </w:pPr>
            <w:r w:rsidRPr="00EB2BF2">
              <w:rPr>
                <w:i/>
                <w:noProof/>
                <w:sz w:val="22"/>
                <w:szCs w:val="22"/>
                <w:lang w:val="sr-Latn-RS"/>
              </w:rPr>
              <w:t>Akutni generalizovani pustulozni egzantem (AGEP)</w:t>
            </w:r>
          </w:p>
          <w:p w14:paraId="5875569D" w14:textId="77777777" w:rsidR="0078200E" w:rsidRPr="00EB2BF2" w:rsidRDefault="0078200E" w:rsidP="00BF78A3">
            <w:pPr>
              <w:autoSpaceDE w:val="0"/>
              <w:autoSpaceDN w:val="0"/>
              <w:adjustRightInd w:val="0"/>
              <w:rPr>
                <w:noProof/>
                <w:sz w:val="22"/>
                <w:szCs w:val="22"/>
                <w:lang w:val="sr-Latn-RS"/>
              </w:rPr>
            </w:pPr>
            <w:r w:rsidRPr="00EB2BF2">
              <w:rPr>
                <w:noProof/>
                <w:sz w:val="22"/>
                <w:szCs w:val="22"/>
                <w:lang w:val="sr-Latn-RS"/>
              </w:rPr>
              <w:lastRenderedPageBreak/>
              <w:t>Erythema multiforme</w:t>
            </w:r>
          </w:p>
          <w:p w14:paraId="2888BA13" w14:textId="77777777" w:rsidR="0078200E" w:rsidRPr="00EB2BF2" w:rsidRDefault="0078200E" w:rsidP="00BF78A3">
            <w:pPr>
              <w:autoSpaceDE w:val="0"/>
              <w:autoSpaceDN w:val="0"/>
              <w:adjustRightInd w:val="0"/>
              <w:rPr>
                <w:i/>
                <w:noProof/>
                <w:sz w:val="22"/>
                <w:szCs w:val="22"/>
                <w:lang w:val="sr-Latn-RS"/>
              </w:rPr>
            </w:pPr>
          </w:p>
          <w:p w14:paraId="20573A1B" w14:textId="77777777" w:rsidR="0078200E" w:rsidRPr="00EB2BF2" w:rsidRDefault="005B341C" w:rsidP="00BF78A3">
            <w:pPr>
              <w:autoSpaceDE w:val="0"/>
              <w:autoSpaceDN w:val="0"/>
              <w:adjustRightInd w:val="0"/>
              <w:rPr>
                <w:i/>
                <w:noProof/>
                <w:sz w:val="22"/>
                <w:szCs w:val="22"/>
                <w:lang w:val="sr-Latn-RS"/>
              </w:rPr>
            </w:pPr>
            <w:r w:rsidRPr="00EB2BF2">
              <w:rPr>
                <w:i/>
                <w:noProof/>
                <w:sz w:val="22"/>
                <w:szCs w:val="22"/>
                <w:lang w:val="sr-Latn-RS"/>
              </w:rPr>
              <w:t>E</w:t>
            </w:r>
            <w:r w:rsidR="0078200E" w:rsidRPr="00EB2BF2">
              <w:rPr>
                <w:i/>
                <w:noProof/>
                <w:sz w:val="22"/>
                <w:szCs w:val="22"/>
                <w:lang w:val="sr-Latn-RS"/>
              </w:rPr>
              <w:t>ksfolijativni dermatitis,</w:t>
            </w:r>
          </w:p>
          <w:p w14:paraId="4D5CD10F" w14:textId="77777777" w:rsidR="0078200E" w:rsidRPr="00EB2BF2" w:rsidRDefault="0078200E" w:rsidP="00BF78A3">
            <w:pPr>
              <w:autoSpaceDE w:val="0"/>
              <w:autoSpaceDN w:val="0"/>
              <w:adjustRightInd w:val="0"/>
              <w:rPr>
                <w:i/>
                <w:noProof/>
                <w:sz w:val="22"/>
                <w:szCs w:val="22"/>
                <w:lang w:val="sr-Latn-RS"/>
              </w:rPr>
            </w:pPr>
          </w:p>
          <w:p w14:paraId="7CCD0F93" w14:textId="77777777" w:rsidR="00635D4C" w:rsidRPr="00EB2BF2" w:rsidRDefault="005B341C" w:rsidP="00BF78A3">
            <w:pPr>
              <w:autoSpaceDE w:val="0"/>
              <w:autoSpaceDN w:val="0"/>
              <w:adjustRightInd w:val="0"/>
              <w:rPr>
                <w:noProof/>
                <w:sz w:val="22"/>
                <w:szCs w:val="22"/>
                <w:lang w:val="sr-Latn-RS"/>
              </w:rPr>
            </w:pPr>
            <w:r w:rsidRPr="00EB2BF2">
              <w:rPr>
                <w:i/>
                <w:noProof/>
                <w:sz w:val="22"/>
                <w:szCs w:val="22"/>
                <w:lang w:val="sr-Latn-RS"/>
              </w:rPr>
              <w:t>B</w:t>
            </w:r>
            <w:r w:rsidR="00635D4C" w:rsidRPr="00EB2BF2">
              <w:rPr>
                <w:i/>
                <w:noProof/>
                <w:sz w:val="22"/>
                <w:szCs w:val="22"/>
                <w:lang w:val="sr-Latn-RS"/>
              </w:rPr>
              <w:t>ulozni dermatitis</w:t>
            </w:r>
            <w:r w:rsidR="00635D4C" w:rsidRPr="00EB2BF2">
              <w:rPr>
                <w:noProof/>
                <w:sz w:val="22"/>
                <w:szCs w:val="22"/>
                <w:lang w:val="sr-Latn-RS"/>
              </w:rPr>
              <w:t>,</w:t>
            </w:r>
          </w:p>
          <w:p w14:paraId="61DB8684" w14:textId="77777777" w:rsidR="0078200E" w:rsidRPr="00EB2BF2" w:rsidRDefault="0078200E" w:rsidP="00BF78A3">
            <w:pPr>
              <w:autoSpaceDE w:val="0"/>
              <w:autoSpaceDN w:val="0"/>
              <w:adjustRightInd w:val="0"/>
              <w:rPr>
                <w:noProof/>
                <w:sz w:val="22"/>
                <w:szCs w:val="22"/>
                <w:lang w:val="sr-Latn-RS"/>
              </w:rPr>
            </w:pPr>
          </w:p>
          <w:p w14:paraId="3DC46991" w14:textId="77777777" w:rsidR="00635D4C" w:rsidRPr="00EB2BF2" w:rsidRDefault="005B341C" w:rsidP="00BF78A3">
            <w:pPr>
              <w:autoSpaceDE w:val="0"/>
              <w:autoSpaceDN w:val="0"/>
              <w:adjustRightInd w:val="0"/>
              <w:rPr>
                <w:i/>
                <w:noProof/>
                <w:sz w:val="22"/>
                <w:szCs w:val="22"/>
                <w:lang w:val="sr-Latn-RS"/>
              </w:rPr>
            </w:pPr>
            <w:r w:rsidRPr="00EB2BF2">
              <w:rPr>
                <w:i/>
                <w:noProof/>
                <w:sz w:val="22"/>
                <w:szCs w:val="22"/>
                <w:lang w:val="sr-Latn-RS"/>
              </w:rPr>
              <w:t>M</w:t>
            </w:r>
            <w:r w:rsidR="00635D4C" w:rsidRPr="00EB2BF2">
              <w:rPr>
                <w:i/>
                <w:noProof/>
                <w:sz w:val="22"/>
                <w:szCs w:val="22"/>
                <w:lang w:val="sr-Latn-RS"/>
              </w:rPr>
              <w:t>orbiliformni raš</w:t>
            </w:r>
          </w:p>
          <w:p w14:paraId="3312C3EE" w14:textId="77777777" w:rsidR="0078200E" w:rsidRPr="00EB2BF2" w:rsidRDefault="0078200E" w:rsidP="00BF78A3">
            <w:pPr>
              <w:autoSpaceDE w:val="0"/>
              <w:autoSpaceDN w:val="0"/>
              <w:adjustRightInd w:val="0"/>
              <w:rPr>
                <w:i/>
                <w:noProof/>
                <w:sz w:val="22"/>
                <w:szCs w:val="22"/>
                <w:lang w:val="sr-Latn-RS"/>
              </w:rPr>
            </w:pPr>
          </w:p>
          <w:p w14:paraId="71F35CA5" w14:textId="77777777" w:rsidR="0078200E" w:rsidRPr="00EB2BF2" w:rsidRDefault="0078200E" w:rsidP="00BF78A3">
            <w:pPr>
              <w:autoSpaceDE w:val="0"/>
              <w:autoSpaceDN w:val="0"/>
              <w:adjustRightInd w:val="0"/>
              <w:rPr>
                <w:i/>
                <w:noProof/>
                <w:sz w:val="22"/>
                <w:szCs w:val="22"/>
                <w:lang w:val="sr-Latn-RS"/>
              </w:rPr>
            </w:pPr>
            <w:r w:rsidRPr="00EB2BF2">
              <w:rPr>
                <w:noProof/>
                <w:sz w:val="22"/>
                <w:szCs w:val="22"/>
                <w:lang w:val="sr-Latn-RS"/>
              </w:rPr>
              <w:t>Pruritus</w:t>
            </w:r>
          </w:p>
        </w:tc>
      </w:tr>
      <w:tr w:rsidR="004F3E76" w:rsidRPr="00EB2BF2" w14:paraId="60B0C192" w14:textId="77777777" w:rsidTr="00B14E56">
        <w:tc>
          <w:tcPr>
            <w:tcW w:w="1814" w:type="dxa"/>
            <w:shd w:val="clear" w:color="auto" w:fill="auto"/>
          </w:tcPr>
          <w:p w14:paraId="58B5875D" w14:textId="77777777" w:rsidR="00220FED" w:rsidRPr="00EB2BF2" w:rsidRDefault="00220FED" w:rsidP="00FD0D13">
            <w:pPr>
              <w:rPr>
                <w:b/>
                <w:noProof/>
                <w:color w:val="000000"/>
                <w:sz w:val="22"/>
                <w:szCs w:val="22"/>
                <w:lang w:val="sr-Latn-RS"/>
              </w:rPr>
            </w:pPr>
            <w:r w:rsidRPr="00EB2BF2">
              <w:rPr>
                <w:b/>
                <w:noProof/>
                <w:color w:val="000000"/>
                <w:sz w:val="22"/>
                <w:szCs w:val="22"/>
                <w:lang w:val="sr-Latn-RS"/>
              </w:rPr>
              <w:lastRenderedPageBreak/>
              <w:t>Bubrežni i urinarni poremećaji</w:t>
            </w:r>
          </w:p>
        </w:tc>
        <w:tc>
          <w:tcPr>
            <w:tcW w:w="1163" w:type="dxa"/>
            <w:shd w:val="clear" w:color="auto" w:fill="auto"/>
          </w:tcPr>
          <w:p w14:paraId="4716CFC1" w14:textId="77777777" w:rsidR="00220FED" w:rsidRPr="00EB2BF2" w:rsidRDefault="00220FED" w:rsidP="00FD0D13">
            <w:pPr>
              <w:rPr>
                <w:sz w:val="22"/>
                <w:szCs w:val="22"/>
                <w:lang w:val="sr-Latn-RS"/>
              </w:rPr>
            </w:pPr>
          </w:p>
        </w:tc>
        <w:tc>
          <w:tcPr>
            <w:tcW w:w="1105" w:type="dxa"/>
            <w:shd w:val="clear" w:color="auto" w:fill="auto"/>
          </w:tcPr>
          <w:p w14:paraId="512CF834" w14:textId="77777777" w:rsidR="00220FED" w:rsidRPr="00EB2BF2" w:rsidRDefault="00220FED" w:rsidP="00FD0D13">
            <w:pPr>
              <w:rPr>
                <w:noProof/>
                <w:sz w:val="22"/>
                <w:szCs w:val="22"/>
                <w:lang w:val="sr-Latn-RS"/>
              </w:rPr>
            </w:pPr>
          </w:p>
        </w:tc>
        <w:tc>
          <w:tcPr>
            <w:tcW w:w="1305" w:type="dxa"/>
            <w:shd w:val="clear" w:color="auto" w:fill="auto"/>
          </w:tcPr>
          <w:p w14:paraId="453ABB9B" w14:textId="77777777" w:rsidR="00220FED" w:rsidRPr="00EB2BF2" w:rsidRDefault="00220FED" w:rsidP="00FD0D13">
            <w:pPr>
              <w:rPr>
                <w:sz w:val="22"/>
                <w:szCs w:val="22"/>
                <w:lang w:val="sr-Latn-RS"/>
              </w:rPr>
            </w:pPr>
          </w:p>
        </w:tc>
        <w:tc>
          <w:tcPr>
            <w:tcW w:w="1026" w:type="dxa"/>
            <w:shd w:val="clear" w:color="auto" w:fill="auto"/>
          </w:tcPr>
          <w:p w14:paraId="793C058B" w14:textId="77777777" w:rsidR="00220FED" w:rsidRPr="00EB2BF2" w:rsidRDefault="00220FED" w:rsidP="00FD0D13">
            <w:pPr>
              <w:rPr>
                <w:sz w:val="22"/>
                <w:szCs w:val="22"/>
                <w:lang w:val="sr-Latn-RS"/>
              </w:rPr>
            </w:pPr>
          </w:p>
        </w:tc>
        <w:tc>
          <w:tcPr>
            <w:tcW w:w="1260" w:type="dxa"/>
            <w:shd w:val="clear" w:color="auto" w:fill="auto"/>
          </w:tcPr>
          <w:p w14:paraId="0EAD9657" w14:textId="77777777" w:rsidR="00220FED" w:rsidRPr="00EB2BF2" w:rsidRDefault="00220FED" w:rsidP="00FD0D13">
            <w:pPr>
              <w:rPr>
                <w:sz w:val="22"/>
                <w:szCs w:val="22"/>
                <w:lang w:val="sr-Latn-RS"/>
              </w:rPr>
            </w:pPr>
          </w:p>
        </w:tc>
        <w:tc>
          <w:tcPr>
            <w:tcW w:w="1825" w:type="dxa"/>
            <w:shd w:val="clear" w:color="auto" w:fill="auto"/>
          </w:tcPr>
          <w:p w14:paraId="346D505D" w14:textId="77777777" w:rsidR="00220FED" w:rsidRPr="00EB2BF2" w:rsidRDefault="00220FED" w:rsidP="00FD0D13">
            <w:pPr>
              <w:rPr>
                <w:i/>
                <w:noProof/>
                <w:sz w:val="22"/>
                <w:szCs w:val="22"/>
                <w:lang w:val="sr-Latn-RS"/>
              </w:rPr>
            </w:pPr>
            <w:r w:rsidRPr="00EB2BF2">
              <w:rPr>
                <w:i/>
                <w:noProof/>
                <w:sz w:val="22"/>
                <w:szCs w:val="22"/>
                <w:lang w:val="sr-Latn-RS"/>
              </w:rPr>
              <w:t xml:space="preserve">Akutno oštećenje bubrega </w:t>
            </w:r>
            <w:r w:rsidRPr="00EB2BF2">
              <w:rPr>
                <w:i/>
                <w:noProof/>
                <w:sz w:val="22"/>
                <w:szCs w:val="22"/>
                <w:vertAlign w:val="superscript"/>
                <w:lang w:val="sr-Latn-RS"/>
              </w:rPr>
              <w:t>#</w:t>
            </w:r>
          </w:p>
        </w:tc>
      </w:tr>
      <w:tr w:rsidR="004F3E76" w:rsidRPr="00EB2BF2" w14:paraId="5F4CE6D6" w14:textId="77777777" w:rsidTr="00B14E56">
        <w:tc>
          <w:tcPr>
            <w:tcW w:w="1814" w:type="dxa"/>
            <w:shd w:val="clear" w:color="auto" w:fill="auto"/>
          </w:tcPr>
          <w:p w14:paraId="77FEEA4F" w14:textId="77777777" w:rsidR="00220FED" w:rsidRPr="00EB2BF2" w:rsidRDefault="002D1767" w:rsidP="005B341C">
            <w:pPr>
              <w:autoSpaceDE w:val="0"/>
              <w:autoSpaceDN w:val="0"/>
              <w:adjustRightInd w:val="0"/>
              <w:rPr>
                <w:b/>
                <w:noProof/>
                <w:color w:val="000000"/>
                <w:sz w:val="22"/>
                <w:szCs w:val="22"/>
                <w:lang w:val="sr-Latn-RS"/>
              </w:rPr>
            </w:pPr>
            <w:r w:rsidRPr="00EB2BF2">
              <w:rPr>
                <w:b/>
                <w:bCs/>
                <w:sz w:val="22"/>
                <w:szCs w:val="22"/>
                <w:lang w:val="sr-Latn-RS" w:eastAsia="de-DE"/>
              </w:rPr>
              <w:t>Ispitivanja</w:t>
            </w:r>
          </w:p>
        </w:tc>
        <w:tc>
          <w:tcPr>
            <w:tcW w:w="1163" w:type="dxa"/>
          </w:tcPr>
          <w:p w14:paraId="096FC49A" w14:textId="77777777" w:rsidR="00220FED" w:rsidRPr="00EB2BF2" w:rsidRDefault="00220FED" w:rsidP="00BF78A3">
            <w:pPr>
              <w:autoSpaceDE w:val="0"/>
              <w:autoSpaceDN w:val="0"/>
              <w:adjustRightInd w:val="0"/>
              <w:rPr>
                <w:noProof/>
                <w:sz w:val="22"/>
                <w:szCs w:val="22"/>
                <w:lang w:val="sr-Latn-RS"/>
              </w:rPr>
            </w:pPr>
          </w:p>
        </w:tc>
        <w:tc>
          <w:tcPr>
            <w:tcW w:w="1105" w:type="dxa"/>
            <w:shd w:val="clear" w:color="auto" w:fill="auto"/>
          </w:tcPr>
          <w:p w14:paraId="1FD5EAA4" w14:textId="77777777" w:rsidR="00220FED" w:rsidRPr="00EB2BF2" w:rsidRDefault="00220FED" w:rsidP="00BF78A3">
            <w:pPr>
              <w:autoSpaceDE w:val="0"/>
              <w:autoSpaceDN w:val="0"/>
              <w:adjustRightInd w:val="0"/>
              <w:rPr>
                <w:noProof/>
                <w:sz w:val="22"/>
                <w:szCs w:val="22"/>
                <w:lang w:val="sr-Latn-RS"/>
              </w:rPr>
            </w:pPr>
            <w:r w:rsidRPr="00EB2BF2">
              <w:rPr>
                <w:noProof/>
                <w:sz w:val="22"/>
                <w:szCs w:val="22"/>
                <w:lang w:val="sr-Latn-RS"/>
              </w:rPr>
              <w:t>Poremećaj funkcionalnih testova jetre</w:t>
            </w:r>
          </w:p>
        </w:tc>
        <w:tc>
          <w:tcPr>
            <w:tcW w:w="1305" w:type="dxa"/>
            <w:shd w:val="clear" w:color="auto" w:fill="auto"/>
          </w:tcPr>
          <w:p w14:paraId="6C974CDF" w14:textId="77777777" w:rsidR="00220FED" w:rsidRPr="00EB2BF2" w:rsidRDefault="00220FED" w:rsidP="00BF78A3">
            <w:pPr>
              <w:autoSpaceDE w:val="0"/>
              <w:autoSpaceDN w:val="0"/>
              <w:adjustRightInd w:val="0"/>
              <w:rPr>
                <w:noProof/>
                <w:sz w:val="22"/>
                <w:szCs w:val="22"/>
                <w:lang w:val="sr-Latn-RS"/>
              </w:rPr>
            </w:pPr>
          </w:p>
        </w:tc>
        <w:tc>
          <w:tcPr>
            <w:tcW w:w="1026" w:type="dxa"/>
            <w:shd w:val="clear" w:color="auto" w:fill="auto"/>
          </w:tcPr>
          <w:p w14:paraId="036D092B" w14:textId="77777777" w:rsidR="00220FED" w:rsidRPr="00EB2BF2" w:rsidRDefault="00220FED" w:rsidP="00BF78A3">
            <w:pPr>
              <w:autoSpaceDE w:val="0"/>
              <w:autoSpaceDN w:val="0"/>
              <w:adjustRightInd w:val="0"/>
              <w:rPr>
                <w:noProof/>
                <w:sz w:val="22"/>
                <w:szCs w:val="22"/>
                <w:lang w:val="sr-Latn-RS"/>
              </w:rPr>
            </w:pPr>
          </w:p>
        </w:tc>
        <w:tc>
          <w:tcPr>
            <w:tcW w:w="1260" w:type="dxa"/>
            <w:shd w:val="clear" w:color="auto" w:fill="auto"/>
          </w:tcPr>
          <w:p w14:paraId="0905575E" w14:textId="77777777" w:rsidR="00220FED" w:rsidRPr="00EB2BF2" w:rsidRDefault="00220FED" w:rsidP="00BF78A3">
            <w:pPr>
              <w:autoSpaceDE w:val="0"/>
              <w:autoSpaceDN w:val="0"/>
              <w:adjustRightInd w:val="0"/>
              <w:rPr>
                <w:i/>
                <w:noProof/>
                <w:sz w:val="22"/>
                <w:szCs w:val="22"/>
                <w:lang w:val="sr-Latn-RS"/>
              </w:rPr>
            </w:pPr>
          </w:p>
        </w:tc>
        <w:tc>
          <w:tcPr>
            <w:tcW w:w="1825" w:type="dxa"/>
            <w:shd w:val="clear" w:color="auto" w:fill="auto"/>
          </w:tcPr>
          <w:p w14:paraId="2CF57316" w14:textId="77777777" w:rsidR="00220FED" w:rsidRPr="00EB2BF2" w:rsidRDefault="00220FED" w:rsidP="00BF78A3">
            <w:pPr>
              <w:autoSpaceDE w:val="0"/>
              <w:autoSpaceDN w:val="0"/>
              <w:adjustRightInd w:val="0"/>
              <w:rPr>
                <w:i/>
                <w:noProof/>
                <w:sz w:val="22"/>
                <w:szCs w:val="22"/>
                <w:lang w:val="sr-Latn-RS"/>
              </w:rPr>
            </w:pPr>
          </w:p>
        </w:tc>
      </w:tr>
      <w:tr w:rsidR="00C41CF1" w:rsidRPr="00EB2BF2" w14:paraId="736A3389" w14:textId="77777777" w:rsidTr="00C41CF1">
        <w:tblPrEx>
          <w:tblLook w:val="0000" w:firstRow="0" w:lastRow="0" w:firstColumn="0" w:lastColumn="0" w:noHBand="0" w:noVBand="0"/>
        </w:tblPrEx>
        <w:tc>
          <w:tcPr>
            <w:tcW w:w="9498" w:type="dxa"/>
            <w:gridSpan w:val="7"/>
            <w:vAlign w:val="center"/>
          </w:tcPr>
          <w:p w14:paraId="24408366" w14:textId="77777777" w:rsidR="00635D4C" w:rsidRPr="00EB2BF2" w:rsidRDefault="00A723BC" w:rsidP="00A723BC">
            <w:pPr>
              <w:tabs>
                <w:tab w:val="left" w:pos="284"/>
              </w:tabs>
              <w:jc w:val="both"/>
              <w:rPr>
                <w:sz w:val="22"/>
                <w:szCs w:val="22"/>
                <w:lang w:val="sr-Latn-RS"/>
              </w:rPr>
            </w:pPr>
            <w:r w:rsidRPr="00EB2BF2">
              <w:rPr>
                <w:bCs/>
                <w:sz w:val="22"/>
                <w:szCs w:val="22"/>
                <w:vertAlign w:val="superscript"/>
                <w:lang w:val="sr-Latn-RS"/>
              </w:rPr>
              <w:t xml:space="preserve"># </w:t>
            </w:r>
            <w:r w:rsidR="00B246D6" w:rsidRPr="00EB2BF2">
              <w:rPr>
                <w:bCs/>
                <w:sz w:val="22"/>
                <w:szCs w:val="22"/>
                <w:vertAlign w:val="superscript"/>
                <w:lang w:val="sr-Latn-RS"/>
              </w:rPr>
              <w:t xml:space="preserve"> </w:t>
            </w:r>
            <w:r w:rsidRPr="00EB2BF2">
              <w:rPr>
                <w:sz w:val="22"/>
                <w:szCs w:val="22"/>
                <w:lang w:val="sr-Latn-RS"/>
              </w:rPr>
              <w:t xml:space="preserve">Vidjeti </w:t>
            </w:r>
            <w:r w:rsidR="00772E5E" w:rsidRPr="00EB2BF2">
              <w:rPr>
                <w:sz w:val="22"/>
                <w:szCs w:val="22"/>
                <w:lang w:val="sr-Latn-RS"/>
              </w:rPr>
              <w:t xml:space="preserve">dio </w:t>
            </w:r>
            <w:r w:rsidRPr="00EB2BF2">
              <w:rPr>
                <w:sz w:val="22"/>
                <w:szCs w:val="22"/>
                <w:lang w:val="sr-Latn-RS"/>
              </w:rPr>
              <w:t>4.4.</w:t>
            </w:r>
          </w:p>
          <w:p w14:paraId="59FDA9DC" w14:textId="77777777" w:rsidR="00B246D6" w:rsidRPr="00EB2BF2" w:rsidRDefault="00B246D6" w:rsidP="002215EC">
            <w:pPr>
              <w:tabs>
                <w:tab w:val="left" w:pos="284"/>
              </w:tabs>
              <w:jc w:val="both"/>
              <w:rPr>
                <w:sz w:val="22"/>
                <w:szCs w:val="22"/>
                <w:lang w:val="sr-Latn-RS"/>
              </w:rPr>
            </w:pPr>
            <w:r w:rsidRPr="00EB2BF2">
              <w:rPr>
                <w:i/>
                <w:noProof/>
                <w:sz w:val="22"/>
                <w:szCs w:val="22"/>
                <w:vertAlign w:val="superscript"/>
                <w:lang w:val="sr-Latn-RS"/>
              </w:rPr>
              <w:t>†</w:t>
            </w:r>
            <w:r w:rsidRPr="00EB2BF2">
              <w:rPr>
                <w:iCs/>
                <w:noProof/>
                <w:sz w:val="22"/>
                <w:szCs w:val="22"/>
                <w:lang w:val="sr-Latn-RS"/>
              </w:rPr>
              <w:t>.</w:t>
            </w:r>
            <w:r w:rsidR="002215EC" w:rsidRPr="00EB2BF2">
              <w:rPr>
                <w:sz w:val="22"/>
                <w:szCs w:val="22"/>
                <w:lang w:val="sr-Latn-RS"/>
              </w:rPr>
              <w:t xml:space="preserve"> </w:t>
            </w:r>
            <w:r w:rsidR="002215EC" w:rsidRPr="00EB2BF2">
              <w:rPr>
                <w:iCs/>
                <w:noProof/>
                <w:sz w:val="22"/>
                <w:szCs w:val="22"/>
                <w:lang w:val="sr-Latn-RS"/>
              </w:rPr>
              <w:t>Moguća pojava ezofagitisa i čira na jednjaku, posebno ako se uzimaju u ležećem položaju i/ili sa malom količinom vode.</w:t>
            </w:r>
          </w:p>
        </w:tc>
      </w:tr>
    </w:tbl>
    <w:p w14:paraId="4C480E13" w14:textId="77777777" w:rsidR="00635D4C" w:rsidRPr="00EB2BF2" w:rsidRDefault="00635D4C" w:rsidP="00480FB1">
      <w:pPr>
        <w:tabs>
          <w:tab w:val="left" w:pos="540"/>
          <w:tab w:val="left" w:pos="569"/>
        </w:tabs>
        <w:rPr>
          <w:b/>
          <w:bCs/>
          <w:sz w:val="22"/>
          <w:szCs w:val="22"/>
          <w:lang w:val="sr-Latn-RS"/>
        </w:rPr>
      </w:pPr>
    </w:p>
    <w:p w14:paraId="0350B9C2" w14:textId="77777777" w:rsidR="005A23D2" w:rsidRPr="00EB2BF2" w:rsidRDefault="005A23D2" w:rsidP="00B14E56">
      <w:pPr>
        <w:spacing w:after="200" w:line="276" w:lineRule="auto"/>
        <w:rPr>
          <w:rFonts w:eastAsia="Calibri"/>
          <w:sz w:val="22"/>
          <w:szCs w:val="22"/>
          <w:u w:val="single"/>
          <w:lang w:val="sr-Latn-RS"/>
        </w:rPr>
      </w:pPr>
      <w:r w:rsidRPr="00EB2BF2">
        <w:rPr>
          <w:rFonts w:eastAsia="Calibri"/>
          <w:sz w:val="22"/>
          <w:szCs w:val="22"/>
          <w:u w:val="single"/>
          <w:lang w:val="sr-Latn-RS"/>
        </w:rPr>
        <w:t>Prijavljivanje sumnji na neželjena dejstva</w:t>
      </w:r>
    </w:p>
    <w:p w14:paraId="4AF30C8F" w14:textId="77777777" w:rsidR="005A23D2" w:rsidRPr="00EB2BF2" w:rsidRDefault="005A23D2" w:rsidP="00B14E56">
      <w:pPr>
        <w:spacing w:after="200"/>
        <w:jc w:val="both"/>
        <w:rPr>
          <w:rFonts w:eastAsia="Calibri"/>
          <w:sz w:val="22"/>
          <w:szCs w:val="22"/>
          <w:lang w:val="sr-Latn-RS"/>
        </w:rPr>
      </w:pPr>
      <w:r w:rsidRPr="00EB2BF2">
        <w:rPr>
          <w:rFonts w:eastAsia="Calibri"/>
          <w:sz w:val="22"/>
          <w:szCs w:val="22"/>
          <w:lang w:val="sr-Latn-RS"/>
        </w:rPr>
        <w:t>Prijavljivanje neželjenih dejstava nakon dobijanja dozvole je od velikog značaja jer obezbjeđuje kont</w:t>
      </w:r>
      <w:r w:rsidR="00EA5765" w:rsidRPr="00EB2BF2">
        <w:rPr>
          <w:rFonts w:eastAsia="Calibri"/>
          <w:sz w:val="22"/>
          <w:szCs w:val="22"/>
          <w:lang w:val="sr-Latn-RS"/>
        </w:rPr>
        <w:t>inuirano praćenje odnosa korist</w:t>
      </w:r>
      <w:r w:rsidRPr="00EB2BF2">
        <w:rPr>
          <w:rFonts w:eastAsia="Calibri"/>
          <w:sz w:val="22"/>
          <w:szCs w:val="22"/>
          <w:lang w:val="sr-Latn-RS"/>
        </w:rPr>
        <w:t>/rizik primjene lijeka. Zdravstveni radnici treba da prijave svaku sumnju na neželjeno</w:t>
      </w:r>
      <w:r w:rsidR="009B062A" w:rsidRPr="00EB2BF2">
        <w:rPr>
          <w:rFonts w:eastAsia="Calibri"/>
          <w:sz w:val="22"/>
          <w:szCs w:val="22"/>
          <w:lang w:val="sr-Latn-RS"/>
        </w:rPr>
        <w:t xml:space="preserve"> </w:t>
      </w:r>
      <w:r w:rsidRPr="00EB2BF2">
        <w:rPr>
          <w:rFonts w:eastAsia="Calibri"/>
          <w:sz w:val="22"/>
          <w:szCs w:val="22"/>
          <w:lang w:val="sr-Latn-RS"/>
        </w:rPr>
        <w:t xml:space="preserve">dejstvo ovog lijeka </w:t>
      </w:r>
      <w:r w:rsidR="009D5D21" w:rsidRPr="00EB2BF2">
        <w:rPr>
          <w:rFonts w:eastAsia="Calibri"/>
          <w:sz w:val="22"/>
          <w:szCs w:val="22"/>
          <w:lang w:val="sr-Latn-RS"/>
        </w:rPr>
        <w:t>Institutu za ljekove i medicinska sredstva (CInMED)</w:t>
      </w:r>
      <w:r w:rsidRPr="00EB2BF2">
        <w:rPr>
          <w:rFonts w:eastAsia="Calibri"/>
          <w:sz w:val="22"/>
          <w:szCs w:val="22"/>
          <w:lang w:val="sr-Latn-RS"/>
        </w:rPr>
        <w:t>:</w:t>
      </w:r>
    </w:p>
    <w:p w14:paraId="6935B5EC" w14:textId="77777777" w:rsidR="00F65879" w:rsidRPr="00EB2BF2" w:rsidRDefault="009D5D21" w:rsidP="00B14E56">
      <w:pPr>
        <w:pStyle w:val="NoSpacing"/>
        <w:jc w:val="both"/>
        <w:rPr>
          <w:rFonts w:eastAsia="Calibri"/>
          <w:sz w:val="22"/>
          <w:szCs w:val="22"/>
          <w:lang w:val="sr-Latn-RS"/>
        </w:rPr>
      </w:pPr>
      <w:r w:rsidRPr="00EB2BF2">
        <w:rPr>
          <w:rFonts w:eastAsia="Calibri"/>
          <w:sz w:val="22"/>
          <w:szCs w:val="22"/>
          <w:lang w:val="sr-Latn-RS"/>
        </w:rPr>
        <w:t>Institut za ljekove i medicinska sredstva</w:t>
      </w:r>
    </w:p>
    <w:p w14:paraId="4C9105C3" w14:textId="77777777" w:rsidR="005A23D2" w:rsidRPr="00EB2BF2" w:rsidRDefault="005A23D2" w:rsidP="00B14E56">
      <w:pPr>
        <w:pStyle w:val="NoSpacing"/>
        <w:jc w:val="both"/>
        <w:rPr>
          <w:rFonts w:eastAsia="Calibri"/>
          <w:sz w:val="22"/>
          <w:szCs w:val="22"/>
          <w:lang w:val="sr-Latn-RS"/>
        </w:rPr>
      </w:pPr>
      <w:r w:rsidRPr="00EB2BF2">
        <w:rPr>
          <w:rFonts w:eastAsia="Calibri"/>
          <w:sz w:val="22"/>
          <w:szCs w:val="22"/>
          <w:lang w:val="sr-Latn-RS"/>
        </w:rPr>
        <w:t>Odjeljenje za farmakovigilancu</w:t>
      </w:r>
    </w:p>
    <w:p w14:paraId="7296DA4F" w14:textId="77777777" w:rsidR="00EA5765" w:rsidRPr="00EB2BF2" w:rsidRDefault="005A23D2" w:rsidP="00B14E56">
      <w:pPr>
        <w:pStyle w:val="NoSpacing"/>
        <w:jc w:val="both"/>
        <w:rPr>
          <w:rFonts w:eastAsia="Calibri"/>
          <w:sz w:val="22"/>
          <w:szCs w:val="22"/>
          <w:lang w:val="sr-Latn-RS"/>
        </w:rPr>
      </w:pPr>
      <w:r w:rsidRPr="00EB2BF2">
        <w:rPr>
          <w:rFonts w:eastAsia="Calibri"/>
          <w:sz w:val="22"/>
          <w:szCs w:val="22"/>
          <w:lang w:val="sr-Latn-RS"/>
        </w:rPr>
        <w:t>Bulevar Ivana Crnojevića 64a, 81000 Podgorica</w:t>
      </w:r>
    </w:p>
    <w:p w14:paraId="20D5123C" w14:textId="77777777" w:rsidR="005A23D2" w:rsidRPr="00EB2BF2" w:rsidRDefault="005A23D2" w:rsidP="00B14E56">
      <w:pPr>
        <w:pStyle w:val="NoSpacing"/>
        <w:jc w:val="both"/>
        <w:rPr>
          <w:rFonts w:eastAsia="Calibri"/>
          <w:sz w:val="22"/>
          <w:szCs w:val="22"/>
          <w:lang w:val="sr-Latn-RS"/>
        </w:rPr>
      </w:pPr>
      <w:r w:rsidRPr="00EB2BF2">
        <w:rPr>
          <w:rFonts w:eastAsia="Calibri"/>
          <w:sz w:val="22"/>
          <w:szCs w:val="22"/>
          <w:lang w:val="sr-Latn-RS"/>
        </w:rPr>
        <w:t>tel: +382 (0) 20 310 280</w:t>
      </w:r>
    </w:p>
    <w:p w14:paraId="29295486" w14:textId="77777777" w:rsidR="00EA5765" w:rsidRPr="00EB2BF2" w:rsidRDefault="005A23D2" w:rsidP="00B14E56">
      <w:pPr>
        <w:pStyle w:val="NoSpacing"/>
        <w:jc w:val="both"/>
        <w:rPr>
          <w:rFonts w:eastAsia="Calibri"/>
          <w:sz w:val="22"/>
          <w:szCs w:val="22"/>
          <w:lang w:val="sr-Latn-RS"/>
        </w:rPr>
      </w:pPr>
      <w:r w:rsidRPr="00EB2BF2">
        <w:rPr>
          <w:rFonts w:eastAsia="Calibri"/>
          <w:sz w:val="22"/>
          <w:szCs w:val="22"/>
          <w:lang w:val="sr-Latn-RS"/>
        </w:rPr>
        <w:t>fax:</w:t>
      </w:r>
      <w:r w:rsidR="00EA5765" w:rsidRPr="00EB2BF2">
        <w:rPr>
          <w:rFonts w:eastAsia="Calibri"/>
          <w:sz w:val="22"/>
          <w:szCs w:val="22"/>
          <w:lang w:val="sr-Latn-RS"/>
        </w:rPr>
        <w:t xml:space="preserve"> </w:t>
      </w:r>
      <w:r w:rsidRPr="00EB2BF2">
        <w:rPr>
          <w:rFonts w:eastAsia="Calibri"/>
          <w:sz w:val="22"/>
          <w:szCs w:val="22"/>
          <w:lang w:val="sr-Latn-RS"/>
        </w:rPr>
        <w:t>+382 (0) 20 310 581</w:t>
      </w:r>
    </w:p>
    <w:p w14:paraId="319C7285" w14:textId="77777777" w:rsidR="005A23D2" w:rsidRPr="00EB2BF2" w:rsidRDefault="0094715F" w:rsidP="00B14E56">
      <w:pPr>
        <w:pStyle w:val="NoSpacing"/>
        <w:jc w:val="both"/>
        <w:rPr>
          <w:rFonts w:eastAsia="Calibri"/>
          <w:sz w:val="22"/>
          <w:szCs w:val="22"/>
          <w:lang w:val="sr-Latn-RS"/>
        </w:rPr>
      </w:pPr>
      <w:hyperlink r:id="rId8" w:history="1">
        <w:r w:rsidR="00A016B7" w:rsidRPr="00EB2BF2">
          <w:rPr>
            <w:rStyle w:val="Hyperlink"/>
            <w:rFonts w:eastAsia="Calibri"/>
            <w:color w:val="auto"/>
            <w:sz w:val="22"/>
            <w:szCs w:val="22"/>
            <w:lang w:val="sr-Latn-RS"/>
          </w:rPr>
          <w:t>www.cinmed.me</w:t>
        </w:r>
      </w:hyperlink>
    </w:p>
    <w:p w14:paraId="59E229FD" w14:textId="77777777" w:rsidR="00EA5765" w:rsidRPr="00EB2BF2" w:rsidRDefault="00A016B7" w:rsidP="00B14E56">
      <w:pPr>
        <w:pStyle w:val="NoSpacing"/>
        <w:jc w:val="both"/>
        <w:rPr>
          <w:rFonts w:eastAsia="Calibri"/>
          <w:sz w:val="22"/>
          <w:szCs w:val="22"/>
          <w:u w:val="single"/>
          <w:lang w:val="sr-Latn-RS"/>
        </w:rPr>
      </w:pPr>
      <w:r w:rsidRPr="00EB2BF2">
        <w:rPr>
          <w:rFonts w:eastAsia="Calibri"/>
          <w:sz w:val="22"/>
          <w:szCs w:val="22"/>
          <w:u w:val="single"/>
          <w:lang w:val="sr-Latn-RS"/>
        </w:rPr>
        <w:t>nezeljenadejstva@cinmed.me</w:t>
      </w:r>
    </w:p>
    <w:p w14:paraId="5471A84C" w14:textId="77777777" w:rsidR="005A23D2" w:rsidRPr="00EB2BF2" w:rsidRDefault="005A23D2" w:rsidP="00B14E56">
      <w:pPr>
        <w:pStyle w:val="NoSpacing"/>
        <w:jc w:val="both"/>
        <w:rPr>
          <w:rFonts w:eastAsia="Calibri"/>
          <w:sz w:val="22"/>
          <w:szCs w:val="22"/>
          <w:lang w:val="sr-Latn-RS"/>
        </w:rPr>
      </w:pPr>
      <w:r w:rsidRPr="00EB2BF2">
        <w:rPr>
          <w:rFonts w:eastAsia="Calibri"/>
          <w:sz w:val="22"/>
          <w:szCs w:val="22"/>
          <w:lang w:val="sr-Latn-RS"/>
        </w:rPr>
        <w:t>putem IS zdravstvene zaštite</w:t>
      </w:r>
    </w:p>
    <w:p w14:paraId="27526033" w14:textId="77777777" w:rsidR="007E57E6" w:rsidRPr="00EB2BF2" w:rsidRDefault="007E57E6" w:rsidP="00B14E56">
      <w:pPr>
        <w:pStyle w:val="NoSpacing"/>
        <w:jc w:val="both"/>
        <w:rPr>
          <w:rFonts w:eastAsia="Calibri"/>
          <w:sz w:val="22"/>
          <w:szCs w:val="22"/>
          <w:lang w:val="sr-Latn-RS"/>
        </w:rPr>
      </w:pPr>
      <w:bookmarkStart w:id="5" w:name="_Hlk179806350"/>
      <w:r w:rsidRPr="00EB2BF2">
        <w:rPr>
          <w:rFonts w:eastAsia="Calibri"/>
          <w:sz w:val="22"/>
          <w:szCs w:val="22"/>
          <w:lang w:val="sr-Latn-RS"/>
        </w:rPr>
        <w:t>QR kod za online prijavu sumnje na neželjeno dejstvo lijeka:</w:t>
      </w:r>
    </w:p>
    <w:p w14:paraId="1E415048" w14:textId="77777777" w:rsidR="007E57E6" w:rsidRPr="00EB2BF2" w:rsidRDefault="007E57E6" w:rsidP="007E57E6">
      <w:pPr>
        <w:pStyle w:val="NoSpacing"/>
        <w:jc w:val="both"/>
        <w:rPr>
          <w:rFonts w:eastAsia="Calibri"/>
          <w:sz w:val="22"/>
          <w:szCs w:val="22"/>
          <w:lang w:val="sr-Latn-RS"/>
        </w:rPr>
      </w:pPr>
    </w:p>
    <w:p w14:paraId="4AB1A622" w14:textId="77777777" w:rsidR="007E57E6" w:rsidRPr="00EB2BF2" w:rsidRDefault="00772E5E" w:rsidP="007E57E6">
      <w:pPr>
        <w:pStyle w:val="NoSpacing"/>
        <w:jc w:val="both"/>
        <w:rPr>
          <w:rFonts w:eastAsia="Calibri"/>
          <w:sz w:val="22"/>
          <w:szCs w:val="22"/>
          <w:lang w:val="sr-Latn-RS"/>
        </w:rPr>
      </w:pPr>
      <w:r w:rsidRPr="00EB2BF2">
        <w:rPr>
          <w:b/>
          <w:bCs/>
          <w:noProof/>
          <w:sz w:val="22"/>
          <w:szCs w:val="22"/>
        </w:rPr>
        <w:drawing>
          <wp:inline distT="0" distB="0" distL="0" distR="0" wp14:anchorId="479F7A9E" wp14:editId="09B608BC">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bookmarkEnd w:id="5"/>
    <w:p w14:paraId="1C3F473D" w14:textId="77777777" w:rsidR="007E57E6" w:rsidRPr="00EB2BF2" w:rsidRDefault="007E57E6" w:rsidP="00A46C9A">
      <w:pPr>
        <w:pStyle w:val="NoSpacing"/>
        <w:jc w:val="both"/>
        <w:rPr>
          <w:rFonts w:eastAsia="Calibri"/>
          <w:sz w:val="22"/>
          <w:szCs w:val="22"/>
          <w:lang w:val="sr-Latn-RS"/>
        </w:rPr>
      </w:pPr>
    </w:p>
    <w:p w14:paraId="429C9D51" w14:textId="77777777" w:rsidR="00836B35" w:rsidRPr="00EB2BF2" w:rsidRDefault="00836B35" w:rsidP="00480FB1">
      <w:pPr>
        <w:tabs>
          <w:tab w:val="left" w:pos="540"/>
          <w:tab w:val="left" w:pos="569"/>
        </w:tabs>
        <w:rPr>
          <w:b/>
          <w:bCs/>
          <w:sz w:val="22"/>
          <w:szCs w:val="22"/>
          <w:lang w:val="sr-Latn-RS"/>
        </w:rPr>
      </w:pPr>
    </w:p>
    <w:p w14:paraId="0D4C0212" w14:textId="77777777" w:rsidR="0072020E" w:rsidRPr="00EB2BF2" w:rsidRDefault="0072020E" w:rsidP="00480FB1">
      <w:pPr>
        <w:tabs>
          <w:tab w:val="left" w:pos="540"/>
          <w:tab w:val="left" w:pos="569"/>
        </w:tabs>
        <w:rPr>
          <w:b/>
          <w:bCs/>
          <w:sz w:val="22"/>
          <w:szCs w:val="22"/>
          <w:lang w:val="sr-Latn-RS"/>
        </w:rPr>
      </w:pPr>
      <w:r w:rsidRPr="00EB2BF2">
        <w:rPr>
          <w:b/>
          <w:bCs/>
          <w:sz w:val="22"/>
          <w:szCs w:val="22"/>
          <w:lang w:val="sr-Latn-RS"/>
        </w:rPr>
        <w:t xml:space="preserve">4.9. </w:t>
      </w:r>
      <w:r w:rsidR="00480FB1" w:rsidRPr="00EB2BF2">
        <w:rPr>
          <w:b/>
          <w:bCs/>
          <w:sz w:val="22"/>
          <w:szCs w:val="22"/>
          <w:lang w:val="sr-Latn-RS"/>
        </w:rPr>
        <w:tab/>
      </w:r>
      <w:r w:rsidRPr="00EB2BF2">
        <w:rPr>
          <w:b/>
          <w:bCs/>
          <w:sz w:val="22"/>
          <w:szCs w:val="22"/>
          <w:lang w:val="sr-Latn-RS"/>
        </w:rPr>
        <w:t>Predoziranje</w:t>
      </w:r>
      <w:r w:rsidR="002846DB" w:rsidRPr="00EB2BF2">
        <w:rPr>
          <w:b/>
          <w:bCs/>
          <w:sz w:val="22"/>
          <w:szCs w:val="22"/>
          <w:lang w:val="sr-Latn-RS"/>
        </w:rPr>
        <w:t xml:space="preserve"> i mjere koje je potrebno preduzeti</w:t>
      </w:r>
    </w:p>
    <w:p w14:paraId="37F8379E" w14:textId="77777777" w:rsidR="00CD6F02" w:rsidRPr="00EB2BF2" w:rsidRDefault="00CD6F02" w:rsidP="00480FB1">
      <w:pPr>
        <w:tabs>
          <w:tab w:val="left" w:pos="540"/>
          <w:tab w:val="left" w:pos="569"/>
        </w:tabs>
        <w:rPr>
          <w:b/>
          <w:bCs/>
          <w:sz w:val="22"/>
          <w:szCs w:val="22"/>
          <w:lang w:val="sr-Latn-RS"/>
        </w:rPr>
      </w:pPr>
    </w:p>
    <w:p w14:paraId="487A8263" w14:textId="77777777" w:rsidR="00DA05E6" w:rsidRPr="00EB2BF2" w:rsidRDefault="00DA05E6" w:rsidP="00B14E56">
      <w:pPr>
        <w:pStyle w:val="Header"/>
        <w:jc w:val="both"/>
        <w:rPr>
          <w:sz w:val="22"/>
          <w:szCs w:val="22"/>
          <w:lang w:val="sr-Latn-RS"/>
        </w:rPr>
      </w:pPr>
      <w:r w:rsidRPr="00EB2BF2">
        <w:rPr>
          <w:sz w:val="22"/>
          <w:szCs w:val="22"/>
          <w:lang w:val="sr-Latn-RS"/>
        </w:rPr>
        <w:t xml:space="preserve">U slučaju predoziranja nije indikovana nikakva </w:t>
      </w:r>
      <w:r w:rsidR="002664C4" w:rsidRPr="00EB2BF2">
        <w:rPr>
          <w:sz w:val="22"/>
          <w:szCs w:val="22"/>
          <w:lang w:val="sr-Latn-RS"/>
        </w:rPr>
        <w:t xml:space="preserve">specifična </w:t>
      </w:r>
      <w:r w:rsidRPr="00EB2BF2">
        <w:rPr>
          <w:sz w:val="22"/>
          <w:szCs w:val="22"/>
          <w:lang w:val="sr-Latn-RS"/>
        </w:rPr>
        <w:t>terapija.</w:t>
      </w:r>
    </w:p>
    <w:p w14:paraId="1EE8EF93" w14:textId="77777777" w:rsidR="00DA05E6" w:rsidRPr="00EB2BF2" w:rsidRDefault="00DA05E6" w:rsidP="00B14E56">
      <w:pPr>
        <w:pStyle w:val="Header"/>
        <w:jc w:val="both"/>
        <w:rPr>
          <w:sz w:val="22"/>
          <w:szCs w:val="22"/>
          <w:lang w:val="sr-Latn-RS"/>
        </w:rPr>
      </w:pPr>
    </w:p>
    <w:p w14:paraId="693BAB8C" w14:textId="77777777" w:rsidR="004425EC" w:rsidRPr="00EB2BF2" w:rsidRDefault="00F363BB" w:rsidP="00B14E56">
      <w:pPr>
        <w:pStyle w:val="Header"/>
        <w:jc w:val="both"/>
        <w:rPr>
          <w:sz w:val="22"/>
          <w:szCs w:val="22"/>
          <w:lang w:val="sr-Latn-RS"/>
        </w:rPr>
      </w:pPr>
      <w:r w:rsidRPr="00EB2BF2">
        <w:rPr>
          <w:sz w:val="22"/>
          <w:szCs w:val="22"/>
          <w:lang w:val="sr-Latn-RS"/>
        </w:rPr>
        <w:t>Biološko</w:t>
      </w:r>
      <w:r w:rsidR="00DA05E6" w:rsidRPr="00EB2BF2">
        <w:rPr>
          <w:sz w:val="22"/>
          <w:szCs w:val="22"/>
          <w:lang w:val="sr-Latn-RS"/>
        </w:rPr>
        <w:t xml:space="preserve"> </w:t>
      </w:r>
      <w:r w:rsidRPr="00EB2BF2">
        <w:rPr>
          <w:sz w:val="22"/>
          <w:szCs w:val="22"/>
          <w:lang w:val="sr-Latn-RS"/>
        </w:rPr>
        <w:t>poluvrijeme eliminacije</w:t>
      </w:r>
      <w:r w:rsidR="00DA05E6" w:rsidRPr="00EB2BF2">
        <w:rPr>
          <w:sz w:val="22"/>
          <w:szCs w:val="22"/>
          <w:lang w:val="sr-Latn-RS"/>
        </w:rPr>
        <w:t xml:space="preserve"> klindamicina u serumu je 2,4 časa. Nije moguće odstraniti klindamicin iz seruma putem hemodijalize ili peritonealne dijalize.</w:t>
      </w:r>
    </w:p>
    <w:p w14:paraId="31310F33" w14:textId="77777777" w:rsidR="004425EC" w:rsidRPr="00EB2BF2" w:rsidRDefault="004425EC" w:rsidP="00B14E56">
      <w:pPr>
        <w:pStyle w:val="Header"/>
        <w:jc w:val="both"/>
        <w:rPr>
          <w:sz w:val="22"/>
          <w:szCs w:val="22"/>
          <w:lang w:val="sr-Latn-RS"/>
        </w:rPr>
      </w:pPr>
    </w:p>
    <w:p w14:paraId="4220DC3D" w14:textId="77777777" w:rsidR="00DA05E6" w:rsidRPr="00EB2BF2" w:rsidRDefault="00DA05E6" w:rsidP="00B14E56">
      <w:pPr>
        <w:pStyle w:val="Header"/>
        <w:jc w:val="both"/>
        <w:rPr>
          <w:sz w:val="22"/>
          <w:szCs w:val="22"/>
          <w:lang w:val="sr-Latn-RS"/>
        </w:rPr>
      </w:pPr>
      <w:r w:rsidRPr="00EB2BF2">
        <w:rPr>
          <w:sz w:val="22"/>
          <w:szCs w:val="22"/>
          <w:lang w:val="sr-Latn-RS"/>
        </w:rPr>
        <w:lastRenderedPageBreak/>
        <w:t>Ukoliko se javi alergijska reakcija, terapija podrazum</w:t>
      </w:r>
      <w:r w:rsidR="00EB4249" w:rsidRPr="00EB2BF2">
        <w:rPr>
          <w:sz w:val="22"/>
          <w:szCs w:val="22"/>
          <w:lang w:val="sr-Latn-RS"/>
        </w:rPr>
        <w:t>ij</w:t>
      </w:r>
      <w:r w:rsidRPr="00EB2BF2">
        <w:rPr>
          <w:sz w:val="22"/>
          <w:szCs w:val="22"/>
          <w:lang w:val="sr-Latn-RS"/>
        </w:rPr>
        <w:t>eva uobičajeno liječenje urgentnih stanja, uključujući kortikosteroide, adrenalin i antihistaminike.</w:t>
      </w:r>
    </w:p>
    <w:p w14:paraId="01ADD94B" w14:textId="77777777" w:rsidR="00DA05E6" w:rsidRPr="00EB2BF2" w:rsidRDefault="00DA05E6" w:rsidP="00480FB1">
      <w:pPr>
        <w:tabs>
          <w:tab w:val="left" w:pos="540"/>
          <w:tab w:val="left" w:pos="569"/>
        </w:tabs>
        <w:rPr>
          <w:b/>
          <w:bCs/>
          <w:sz w:val="22"/>
          <w:szCs w:val="22"/>
          <w:lang w:val="sr-Latn-RS"/>
        </w:rPr>
      </w:pPr>
    </w:p>
    <w:p w14:paraId="0575D084" w14:textId="77777777" w:rsidR="00CD6F02" w:rsidRPr="00EB2BF2" w:rsidRDefault="00CD6F02" w:rsidP="00480FB1">
      <w:pPr>
        <w:tabs>
          <w:tab w:val="left" w:pos="540"/>
          <w:tab w:val="left" w:pos="569"/>
        </w:tabs>
        <w:rPr>
          <w:b/>
          <w:bCs/>
          <w:sz w:val="22"/>
          <w:szCs w:val="22"/>
          <w:lang w:val="sr-Latn-RS"/>
        </w:rPr>
      </w:pPr>
    </w:p>
    <w:p w14:paraId="13CD0943" w14:textId="77777777" w:rsidR="0072020E" w:rsidRPr="00EB2BF2" w:rsidRDefault="0072020E" w:rsidP="00480FB1">
      <w:pPr>
        <w:tabs>
          <w:tab w:val="left" w:pos="540"/>
          <w:tab w:val="left" w:pos="569"/>
        </w:tabs>
        <w:rPr>
          <w:b/>
          <w:bCs/>
          <w:sz w:val="22"/>
          <w:szCs w:val="22"/>
          <w:lang w:val="sr-Latn-RS"/>
        </w:rPr>
      </w:pPr>
      <w:r w:rsidRPr="00EB2BF2">
        <w:rPr>
          <w:b/>
          <w:bCs/>
          <w:sz w:val="22"/>
          <w:szCs w:val="22"/>
          <w:lang w:val="sr-Latn-RS"/>
        </w:rPr>
        <w:t xml:space="preserve">5. </w:t>
      </w:r>
      <w:r w:rsidR="00480FB1" w:rsidRPr="00EB2BF2">
        <w:rPr>
          <w:b/>
          <w:bCs/>
          <w:sz w:val="22"/>
          <w:szCs w:val="22"/>
          <w:lang w:val="sr-Latn-RS"/>
        </w:rPr>
        <w:tab/>
      </w:r>
      <w:r w:rsidRPr="00EB2BF2">
        <w:rPr>
          <w:b/>
          <w:bCs/>
          <w:sz w:val="22"/>
          <w:szCs w:val="22"/>
          <w:lang w:val="sr-Latn-RS"/>
        </w:rPr>
        <w:t>FARMAKOLOŠK</w:t>
      </w:r>
      <w:r w:rsidR="000D425A" w:rsidRPr="00EB2BF2">
        <w:rPr>
          <w:b/>
          <w:bCs/>
          <w:sz w:val="22"/>
          <w:szCs w:val="22"/>
          <w:lang w:val="sr-Latn-RS"/>
        </w:rPr>
        <w:t>I</w:t>
      </w:r>
      <w:r w:rsidRPr="00EB2BF2">
        <w:rPr>
          <w:b/>
          <w:bCs/>
          <w:sz w:val="22"/>
          <w:szCs w:val="22"/>
          <w:lang w:val="sr-Latn-RS"/>
        </w:rPr>
        <w:t xml:space="preserve"> PODACI</w:t>
      </w:r>
    </w:p>
    <w:p w14:paraId="3BE90761" w14:textId="77777777" w:rsidR="0072020E" w:rsidRPr="00EB2BF2" w:rsidRDefault="0072020E" w:rsidP="00480FB1">
      <w:pPr>
        <w:tabs>
          <w:tab w:val="left" w:pos="540"/>
          <w:tab w:val="left" w:pos="569"/>
        </w:tabs>
        <w:rPr>
          <w:b/>
          <w:bCs/>
          <w:sz w:val="22"/>
          <w:szCs w:val="22"/>
          <w:lang w:val="sr-Latn-RS"/>
        </w:rPr>
      </w:pPr>
    </w:p>
    <w:p w14:paraId="75CCD9BB" w14:textId="77777777" w:rsidR="0072020E" w:rsidRPr="00EB2BF2" w:rsidRDefault="0072020E" w:rsidP="00480FB1">
      <w:pPr>
        <w:tabs>
          <w:tab w:val="left" w:pos="540"/>
          <w:tab w:val="left" w:pos="569"/>
        </w:tabs>
        <w:rPr>
          <w:b/>
          <w:bCs/>
          <w:sz w:val="22"/>
          <w:szCs w:val="22"/>
          <w:lang w:val="sr-Latn-RS"/>
        </w:rPr>
      </w:pPr>
      <w:r w:rsidRPr="00EB2BF2">
        <w:rPr>
          <w:b/>
          <w:bCs/>
          <w:sz w:val="22"/>
          <w:szCs w:val="22"/>
          <w:lang w:val="sr-Latn-RS"/>
        </w:rPr>
        <w:t xml:space="preserve">5.1. </w:t>
      </w:r>
      <w:r w:rsidR="00480FB1" w:rsidRPr="00EB2BF2">
        <w:rPr>
          <w:b/>
          <w:bCs/>
          <w:sz w:val="22"/>
          <w:szCs w:val="22"/>
          <w:lang w:val="sr-Latn-RS"/>
        </w:rPr>
        <w:tab/>
      </w:r>
      <w:r w:rsidRPr="00EB2BF2">
        <w:rPr>
          <w:b/>
          <w:bCs/>
          <w:sz w:val="22"/>
          <w:szCs w:val="22"/>
          <w:lang w:val="sr-Latn-RS"/>
        </w:rPr>
        <w:t>Farmakodinamski podaci</w:t>
      </w:r>
    </w:p>
    <w:p w14:paraId="4EC9DA03" w14:textId="77777777" w:rsidR="00F45F77" w:rsidRPr="00EB2BF2" w:rsidRDefault="00F45F77" w:rsidP="00480FB1">
      <w:pPr>
        <w:tabs>
          <w:tab w:val="left" w:pos="540"/>
          <w:tab w:val="left" w:pos="569"/>
        </w:tabs>
        <w:rPr>
          <w:b/>
          <w:bCs/>
          <w:sz w:val="22"/>
          <w:szCs w:val="22"/>
          <w:lang w:val="sr-Latn-RS"/>
        </w:rPr>
      </w:pPr>
    </w:p>
    <w:p w14:paraId="30BD8154" w14:textId="77777777" w:rsidR="0072020E" w:rsidRPr="00EB2BF2" w:rsidRDefault="0072020E" w:rsidP="00B14E56">
      <w:pPr>
        <w:tabs>
          <w:tab w:val="left" w:pos="540"/>
          <w:tab w:val="left" w:pos="569"/>
        </w:tabs>
        <w:jc w:val="both"/>
        <w:rPr>
          <w:bCs/>
          <w:sz w:val="22"/>
          <w:szCs w:val="22"/>
          <w:lang w:val="sr-Latn-RS"/>
        </w:rPr>
      </w:pPr>
      <w:r w:rsidRPr="00EB2BF2">
        <w:rPr>
          <w:bCs/>
          <w:sz w:val="22"/>
          <w:szCs w:val="22"/>
          <w:lang w:val="sr-Latn-RS"/>
        </w:rPr>
        <w:t>Farmakoterapijska grupa:</w:t>
      </w:r>
      <w:r w:rsidR="00E31081" w:rsidRPr="00EB2BF2">
        <w:rPr>
          <w:bCs/>
          <w:sz w:val="22"/>
          <w:szCs w:val="22"/>
          <w:lang w:val="sr-Latn-RS"/>
        </w:rPr>
        <w:t xml:space="preserve">  Antibakterijski lekovi za sistemsku terapiju</w:t>
      </w:r>
      <w:r w:rsidR="00F363BB" w:rsidRPr="00EB2BF2">
        <w:rPr>
          <w:bCs/>
          <w:sz w:val="22"/>
          <w:szCs w:val="22"/>
          <w:lang w:val="sr-Latn-RS"/>
        </w:rPr>
        <w:t>;  Linkozamidi</w:t>
      </w:r>
    </w:p>
    <w:p w14:paraId="71173DFE" w14:textId="77777777" w:rsidR="0072020E" w:rsidRPr="00EB2BF2" w:rsidRDefault="0072020E" w:rsidP="00B14E56">
      <w:pPr>
        <w:tabs>
          <w:tab w:val="left" w:pos="540"/>
          <w:tab w:val="left" w:pos="569"/>
        </w:tabs>
        <w:jc w:val="both"/>
        <w:rPr>
          <w:bCs/>
          <w:sz w:val="22"/>
          <w:szCs w:val="22"/>
          <w:lang w:val="sr-Latn-RS"/>
        </w:rPr>
      </w:pPr>
    </w:p>
    <w:p w14:paraId="23B2283F" w14:textId="77777777" w:rsidR="0072020E" w:rsidRPr="00EB2BF2" w:rsidRDefault="0072020E" w:rsidP="00B14E56">
      <w:pPr>
        <w:tabs>
          <w:tab w:val="left" w:pos="540"/>
          <w:tab w:val="left" w:pos="569"/>
        </w:tabs>
        <w:jc w:val="both"/>
        <w:rPr>
          <w:sz w:val="22"/>
          <w:szCs w:val="22"/>
          <w:lang w:val="sr-Latn-RS"/>
        </w:rPr>
      </w:pPr>
      <w:r w:rsidRPr="00EB2BF2">
        <w:rPr>
          <w:bCs/>
          <w:sz w:val="22"/>
          <w:szCs w:val="22"/>
          <w:lang w:val="sr-Latn-RS"/>
        </w:rPr>
        <w:t>ATC kod:</w:t>
      </w:r>
      <w:r w:rsidR="00E31081" w:rsidRPr="00EB2BF2">
        <w:rPr>
          <w:bCs/>
          <w:sz w:val="22"/>
          <w:szCs w:val="22"/>
          <w:lang w:val="sr-Latn-RS"/>
        </w:rPr>
        <w:t xml:space="preserve"> </w:t>
      </w:r>
      <w:r w:rsidR="00E31081" w:rsidRPr="00EB2BF2">
        <w:rPr>
          <w:sz w:val="22"/>
          <w:szCs w:val="22"/>
          <w:lang w:val="sr-Latn-RS"/>
        </w:rPr>
        <w:t>J01FF01</w:t>
      </w:r>
    </w:p>
    <w:p w14:paraId="04BEACD1" w14:textId="77777777" w:rsidR="00E31081" w:rsidRPr="00EB2BF2" w:rsidRDefault="00E31081" w:rsidP="00B14E56">
      <w:pPr>
        <w:tabs>
          <w:tab w:val="left" w:pos="540"/>
          <w:tab w:val="left" w:pos="569"/>
        </w:tabs>
        <w:jc w:val="both"/>
        <w:rPr>
          <w:sz w:val="22"/>
          <w:szCs w:val="22"/>
          <w:lang w:val="sr-Latn-RS"/>
        </w:rPr>
      </w:pPr>
    </w:p>
    <w:p w14:paraId="21F87CAF" w14:textId="77777777" w:rsidR="004425EC" w:rsidRPr="00EB2BF2" w:rsidRDefault="002215EC" w:rsidP="00B14E56">
      <w:pPr>
        <w:tabs>
          <w:tab w:val="left" w:pos="540"/>
          <w:tab w:val="left" w:pos="569"/>
        </w:tabs>
        <w:jc w:val="both"/>
        <w:rPr>
          <w:sz w:val="22"/>
          <w:szCs w:val="22"/>
          <w:u w:val="single"/>
          <w:lang w:val="sr-Latn-RS"/>
        </w:rPr>
      </w:pPr>
      <w:bookmarkStart w:id="6" w:name="_Hlk179806396"/>
      <w:r w:rsidRPr="00EB2BF2">
        <w:rPr>
          <w:sz w:val="22"/>
          <w:szCs w:val="22"/>
          <w:u w:val="single"/>
          <w:lang w:val="sr-Latn-RS" w:eastAsia="de-DE"/>
        </w:rPr>
        <w:t>Mehanizam dejstva</w:t>
      </w:r>
    </w:p>
    <w:bookmarkEnd w:id="6"/>
    <w:p w14:paraId="54D4063D" w14:textId="77777777" w:rsidR="00E31081" w:rsidRPr="00EB2BF2" w:rsidRDefault="00E31081" w:rsidP="00B14E56">
      <w:pPr>
        <w:pStyle w:val="Header"/>
        <w:jc w:val="both"/>
        <w:rPr>
          <w:sz w:val="22"/>
          <w:szCs w:val="22"/>
          <w:lang w:val="sr-Latn-RS"/>
        </w:rPr>
      </w:pPr>
      <w:r w:rsidRPr="00EB2BF2">
        <w:rPr>
          <w:sz w:val="22"/>
          <w:szCs w:val="22"/>
          <w:lang w:val="sr-Latn-RS"/>
        </w:rPr>
        <w:t xml:space="preserve">Klindamicin je antibiotik iz grupe linkozamida sa primarnim bakteriostatskim dejstvom na Gram-pozitivne aerobe i širok spektar anaerobnih bakterija. Likozamidi poput klindamicina vezuju se za 50S subjedinicu bakterijskih ribozoma slično makrolidima poput eritromicina i inhibiraju rani stadijum sinteze proteina. Dejstvo </w:t>
      </w:r>
      <w:r w:rsidR="002664C4" w:rsidRPr="00EB2BF2">
        <w:rPr>
          <w:sz w:val="22"/>
          <w:szCs w:val="22"/>
          <w:lang w:val="sr-Latn-RS"/>
        </w:rPr>
        <w:t>klindamicina</w:t>
      </w:r>
      <w:r w:rsidRPr="00EB2BF2">
        <w:rPr>
          <w:sz w:val="22"/>
          <w:szCs w:val="22"/>
          <w:lang w:val="sr-Latn-RS"/>
        </w:rPr>
        <w:t xml:space="preserve"> je predominantno bakteriostatko, iako visoke koncentracije mogu imati spori baktericidni efekat na osjetljive sojeve.</w:t>
      </w:r>
    </w:p>
    <w:p w14:paraId="650022A2" w14:textId="77777777" w:rsidR="00E31081" w:rsidRPr="00EB2BF2" w:rsidRDefault="00E31081" w:rsidP="00B14E56">
      <w:pPr>
        <w:pStyle w:val="Header"/>
        <w:jc w:val="both"/>
        <w:rPr>
          <w:sz w:val="22"/>
          <w:szCs w:val="22"/>
          <w:lang w:val="sr-Latn-RS"/>
        </w:rPr>
      </w:pPr>
    </w:p>
    <w:p w14:paraId="513D7DD6" w14:textId="77777777" w:rsidR="004425EC" w:rsidRPr="00EB2BF2" w:rsidRDefault="00BA39FA" w:rsidP="00B14E56">
      <w:pPr>
        <w:autoSpaceDE w:val="0"/>
        <w:autoSpaceDN w:val="0"/>
        <w:adjustRightInd w:val="0"/>
        <w:jc w:val="both"/>
        <w:rPr>
          <w:sz w:val="22"/>
          <w:szCs w:val="22"/>
          <w:u w:val="single"/>
          <w:lang w:val="sr-Latn-RS" w:eastAsia="de-DE"/>
        </w:rPr>
      </w:pPr>
      <w:bookmarkStart w:id="7" w:name="_Hlk179806429"/>
      <w:r w:rsidRPr="00EB2BF2">
        <w:rPr>
          <w:sz w:val="22"/>
          <w:szCs w:val="22"/>
          <w:u w:val="single"/>
          <w:lang w:val="sr-Latn-RS" w:eastAsia="de-DE"/>
        </w:rPr>
        <w:t>Rezistencija</w:t>
      </w:r>
    </w:p>
    <w:p w14:paraId="3F11648B" w14:textId="77777777" w:rsidR="004425EC" w:rsidRPr="00EB2BF2" w:rsidRDefault="00BA39FA" w:rsidP="00B14E56">
      <w:pPr>
        <w:autoSpaceDE w:val="0"/>
        <w:autoSpaceDN w:val="0"/>
        <w:adjustRightInd w:val="0"/>
        <w:jc w:val="both"/>
        <w:rPr>
          <w:sz w:val="22"/>
          <w:szCs w:val="22"/>
          <w:lang w:val="sr-Latn-RS" w:eastAsia="de-DE"/>
        </w:rPr>
      </w:pPr>
      <w:r w:rsidRPr="00EB2BF2">
        <w:rPr>
          <w:sz w:val="22"/>
          <w:szCs w:val="22"/>
          <w:lang w:val="sr-Latn-RS" w:eastAsia="de-DE"/>
        </w:rPr>
        <w:t>Rezistencija na klindamicin se obično javlja preko tipa rezistencije makrolid-linkozamid-streptogramin B (MLSB), koja može biti konstitutivna ili inducibilna</w:t>
      </w:r>
      <w:r w:rsidR="004425EC" w:rsidRPr="00EB2BF2">
        <w:rPr>
          <w:sz w:val="22"/>
          <w:szCs w:val="22"/>
          <w:lang w:val="sr-Latn-RS" w:eastAsia="de-DE"/>
        </w:rPr>
        <w:t>.</w:t>
      </w:r>
    </w:p>
    <w:p w14:paraId="194AEE42" w14:textId="77777777" w:rsidR="004425EC" w:rsidRPr="00EB2BF2" w:rsidRDefault="004425EC" w:rsidP="00B14E56">
      <w:pPr>
        <w:autoSpaceDE w:val="0"/>
        <w:autoSpaceDN w:val="0"/>
        <w:adjustRightInd w:val="0"/>
        <w:jc w:val="both"/>
        <w:rPr>
          <w:sz w:val="22"/>
          <w:szCs w:val="22"/>
          <w:lang w:val="sr-Latn-RS" w:eastAsia="de-DE"/>
        </w:rPr>
      </w:pPr>
    </w:p>
    <w:p w14:paraId="6AA31192" w14:textId="77777777" w:rsidR="004425EC" w:rsidRPr="00EB2BF2" w:rsidRDefault="0056034C" w:rsidP="004F3E76">
      <w:pPr>
        <w:autoSpaceDE w:val="0"/>
        <w:autoSpaceDN w:val="0"/>
        <w:adjustRightInd w:val="0"/>
        <w:jc w:val="both"/>
        <w:rPr>
          <w:sz w:val="22"/>
          <w:szCs w:val="22"/>
          <w:u w:val="single"/>
          <w:lang w:val="sr-Latn-RS" w:eastAsia="de-DE"/>
        </w:rPr>
      </w:pPr>
      <w:r w:rsidRPr="00EB2BF2">
        <w:rPr>
          <w:sz w:val="22"/>
          <w:szCs w:val="22"/>
          <w:u w:val="single"/>
          <w:lang w:val="sr-Latn-RS" w:eastAsia="de-DE"/>
        </w:rPr>
        <w:t>Granične vrijednosti</w:t>
      </w:r>
    </w:p>
    <w:p w14:paraId="0CE605B4" w14:textId="77777777" w:rsidR="004425EC" w:rsidRPr="00EB2BF2" w:rsidRDefault="0056034C" w:rsidP="00B14E56">
      <w:pPr>
        <w:pStyle w:val="Header"/>
        <w:jc w:val="both"/>
        <w:rPr>
          <w:sz w:val="22"/>
          <w:szCs w:val="22"/>
          <w:lang w:val="sr-Latn-RS" w:eastAsia="de-DE"/>
        </w:rPr>
      </w:pPr>
      <w:r w:rsidRPr="00EB2BF2">
        <w:rPr>
          <w:sz w:val="22"/>
          <w:szCs w:val="22"/>
          <w:lang w:val="sr-Latn-RS" w:eastAsia="de-DE"/>
        </w:rPr>
        <w:t>Granične vrijednosti</w:t>
      </w:r>
      <w:r w:rsidR="00BA39FA" w:rsidRPr="00EB2BF2">
        <w:rPr>
          <w:sz w:val="22"/>
          <w:szCs w:val="22"/>
          <w:lang w:val="sr-Latn-RS" w:eastAsia="de-DE"/>
        </w:rPr>
        <w:t xml:space="preserve"> minimalnih inhibitornih koncentracija (MIC) su sljedeće</w:t>
      </w:r>
      <w:r w:rsidR="004425EC" w:rsidRPr="00EB2BF2">
        <w:rPr>
          <w:sz w:val="22"/>
          <w:szCs w:val="22"/>
          <w:lang w:val="sr-Latn-RS" w:eastAsia="de-DE"/>
        </w:rPr>
        <w:t>:</w:t>
      </w:r>
    </w:p>
    <w:p w14:paraId="6F7580F0" w14:textId="77777777" w:rsidR="00FD7B97" w:rsidRPr="00EB2BF2" w:rsidRDefault="00FD7B97" w:rsidP="00B14E56">
      <w:pPr>
        <w:pStyle w:val="Header"/>
        <w:jc w:val="both"/>
        <w:rPr>
          <w:sz w:val="22"/>
          <w:szCs w:val="22"/>
          <w:lang w:val="sr-Latn-RS" w:eastAsia="de-DE"/>
        </w:rPr>
      </w:pPr>
    </w:p>
    <w:p w14:paraId="09E05A06" w14:textId="77777777" w:rsidR="004425EC" w:rsidRPr="00EB2BF2" w:rsidRDefault="004425EC" w:rsidP="00B14E56">
      <w:pPr>
        <w:pStyle w:val="Header"/>
        <w:jc w:val="both"/>
        <w:rPr>
          <w:sz w:val="22"/>
          <w:szCs w:val="22"/>
          <w:lang w:val="sr-Latn-RS"/>
        </w:rPr>
      </w:pPr>
      <w:r w:rsidRPr="00EB2BF2">
        <w:rPr>
          <w:sz w:val="22"/>
          <w:szCs w:val="22"/>
          <w:lang w:val="sr-Latn-RS"/>
        </w:rPr>
        <w:t>EUCAST</w:t>
      </w:r>
    </w:p>
    <w:p w14:paraId="7EEA3BC4" w14:textId="77777777" w:rsidR="004425EC" w:rsidRPr="00EB2BF2" w:rsidRDefault="004425EC" w:rsidP="00B14E56">
      <w:pPr>
        <w:pStyle w:val="Header"/>
        <w:jc w:val="both"/>
        <w:rPr>
          <w:sz w:val="22"/>
          <w:szCs w:val="22"/>
          <w:lang w:val="sr-Latn-RS"/>
        </w:rPr>
      </w:pPr>
      <w:r w:rsidRPr="00EB2BF2">
        <w:rPr>
          <w:i/>
          <w:iCs/>
          <w:sz w:val="22"/>
          <w:szCs w:val="22"/>
          <w:lang w:val="sr-Latn-RS"/>
        </w:rPr>
        <w:t>Staphylococci</w:t>
      </w:r>
      <w:r w:rsidRPr="00EB2BF2">
        <w:rPr>
          <w:sz w:val="22"/>
          <w:szCs w:val="22"/>
          <w:lang w:val="sr-Latn-RS"/>
        </w:rPr>
        <w:t xml:space="preserve">: </w:t>
      </w:r>
      <w:r w:rsidR="00BA39FA" w:rsidRPr="00EB2BF2">
        <w:rPr>
          <w:sz w:val="22"/>
          <w:szCs w:val="22"/>
          <w:lang w:val="sr-Latn-RS"/>
        </w:rPr>
        <w:t>osjetljiv</w:t>
      </w:r>
      <w:r w:rsidRPr="00EB2BF2">
        <w:rPr>
          <w:sz w:val="22"/>
          <w:szCs w:val="22"/>
          <w:lang w:val="sr-Latn-RS"/>
        </w:rPr>
        <w:t xml:space="preserve"> ≤ 0.25 </w:t>
      </w:r>
      <w:r w:rsidR="00BA39FA" w:rsidRPr="00EB2BF2">
        <w:rPr>
          <w:sz w:val="22"/>
          <w:szCs w:val="22"/>
          <w:lang w:val="sr-Latn-RS"/>
        </w:rPr>
        <w:t>rezistentan</w:t>
      </w:r>
      <w:r w:rsidRPr="00EB2BF2">
        <w:rPr>
          <w:sz w:val="22"/>
          <w:szCs w:val="22"/>
          <w:lang w:val="sr-Latn-RS"/>
        </w:rPr>
        <w:t xml:space="preserve"> &gt; 0.5</w:t>
      </w:r>
    </w:p>
    <w:p w14:paraId="7B03D91E" w14:textId="77777777" w:rsidR="004425EC" w:rsidRPr="00EB2BF2" w:rsidRDefault="004425EC" w:rsidP="00B14E56">
      <w:pPr>
        <w:pStyle w:val="Header"/>
        <w:jc w:val="both"/>
        <w:rPr>
          <w:sz w:val="22"/>
          <w:szCs w:val="22"/>
          <w:lang w:val="sr-Latn-RS"/>
        </w:rPr>
      </w:pPr>
      <w:r w:rsidRPr="00EB2BF2">
        <w:rPr>
          <w:i/>
          <w:iCs/>
          <w:sz w:val="22"/>
          <w:szCs w:val="22"/>
          <w:lang w:val="sr-Latn-RS"/>
        </w:rPr>
        <w:t xml:space="preserve">Streptococci ABCG </w:t>
      </w:r>
      <w:r w:rsidR="00FD7B97" w:rsidRPr="00EB2BF2">
        <w:rPr>
          <w:sz w:val="22"/>
          <w:szCs w:val="22"/>
          <w:lang w:val="sr-Latn-RS"/>
        </w:rPr>
        <w:t xml:space="preserve">i </w:t>
      </w:r>
      <w:r w:rsidRPr="00EB2BF2">
        <w:rPr>
          <w:i/>
          <w:iCs/>
          <w:sz w:val="22"/>
          <w:szCs w:val="22"/>
          <w:lang w:val="sr-Latn-RS"/>
        </w:rPr>
        <w:t>pneumoniae</w:t>
      </w:r>
      <w:r w:rsidRPr="00EB2BF2">
        <w:rPr>
          <w:sz w:val="22"/>
          <w:szCs w:val="22"/>
          <w:lang w:val="sr-Latn-RS"/>
        </w:rPr>
        <w:t xml:space="preserve">: </w:t>
      </w:r>
      <w:r w:rsidR="00BA39FA" w:rsidRPr="00EB2BF2">
        <w:rPr>
          <w:sz w:val="22"/>
          <w:szCs w:val="22"/>
          <w:lang w:val="sr-Latn-RS"/>
        </w:rPr>
        <w:t>osjetljiv</w:t>
      </w:r>
      <w:r w:rsidRPr="00EB2BF2">
        <w:rPr>
          <w:sz w:val="22"/>
          <w:szCs w:val="22"/>
          <w:lang w:val="sr-Latn-RS"/>
        </w:rPr>
        <w:t xml:space="preserve"> ≤ 0.5 re</w:t>
      </w:r>
      <w:r w:rsidR="00BA39FA" w:rsidRPr="00EB2BF2">
        <w:rPr>
          <w:sz w:val="22"/>
          <w:szCs w:val="22"/>
          <w:lang w:val="sr-Latn-RS"/>
        </w:rPr>
        <w:t>zistentan</w:t>
      </w:r>
      <w:r w:rsidRPr="00EB2BF2">
        <w:rPr>
          <w:sz w:val="22"/>
          <w:szCs w:val="22"/>
          <w:lang w:val="sr-Latn-RS"/>
        </w:rPr>
        <w:t xml:space="preserve"> &gt; 0.5</w:t>
      </w:r>
    </w:p>
    <w:p w14:paraId="5DAD4B1C" w14:textId="77777777" w:rsidR="004425EC" w:rsidRPr="00EB2BF2" w:rsidRDefault="004425EC" w:rsidP="00B14E56">
      <w:pPr>
        <w:pStyle w:val="Header"/>
        <w:jc w:val="both"/>
        <w:rPr>
          <w:sz w:val="22"/>
          <w:szCs w:val="22"/>
          <w:lang w:val="sr-Latn-RS"/>
        </w:rPr>
      </w:pPr>
      <w:r w:rsidRPr="00EB2BF2">
        <w:rPr>
          <w:sz w:val="22"/>
          <w:szCs w:val="22"/>
          <w:lang w:val="sr-Latn-RS"/>
        </w:rPr>
        <w:t xml:space="preserve">Gram </w:t>
      </w:r>
      <w:r w:rsidR="00FD7B97" w:rsidRPr="00EB2BF2">
        <w:rPr>
          <w:sz w:val="22"/>
          <w:szCs w:val="22"/>
          <w:lang w:val="sr-Latn-RS"/>
        </w:rPr>
        <w:t>pozitivni anaerobi</w:t>
      </w:r>
      <w:r w:rsidRPr="00EB2BF2">
        <w:rPr>
          <w:sz w:val="22"/>
          <w:szCs w:val="22"/>
          <w:lang w:val="sr-Latn-RS"/>
        </w:rPr>
        <w:t xml:space="preserve">: </w:t>
      </w:r>
      <w:r w:rsidR="00BA39FA" w:rsidRPr="00EB2BF2">
        <w:rPr>
          <w:sz w:val="22"/>
          <w:szCs w:val="22"/>
          <w:lang w:val="sr-Latn-RS"/>
        </w:rPr>
        <w:t>osjetljiv</w:t>
      </w:r>
      <w:r w:rsidRPr="00EB2BF2">
        <w:rPr>
          <w:sz w:val="22"/>
          <w:szCs w:val="22"/>
          <w:lang w:val="sr-Latn-RS"/>
        </w:rPr>
        <w:t xml:space="preserve"> ≤ 4 re</w:t>
      </w:r>
      <w:r w:rsidR="00BA39FA" w:rsidRPr="00EB2BF2">
        <w:rPr>
          <w:sz w:val="22"/>
          <w:szCs w:val="22"/>
          <w:lang w:val="sr-Latn-RS"/>
        </w:rPr>
        <w:t>zistentan</w:t>
      </w:r>
      <w:r w:rsidRPr="00EB2BF2">
        <w:rPr>
          <w:sz w:val="22"/>
          <w:szCs w:val="22"/>
          <w:lang w:val="sr-Latn-RS"/>
        </w:rPr>
        <w:t xml:space="preserve"> &gt; 4</w:t>
      </w:r>
    </w:p>
    <w:p w14:paraId="5C274AB6" w14:textId="77777777" w:rsidR="004425EC" w:rsidRPr="00EB2BF2" w:rsidRDefault="004425EC" w:rsidP="00B14E56">
      <w:pPr>
        <w:pStyle w:val="Header"/>
        <w:jc w:val="both"/>
        <w:rPr>
          <w:sz w:val="22"/>
          <w:szCs w:val="22"/>
          <w:lang w:val="sr-Latn-RS"/>
        </w:rPr>
      </w:pPr>
      <w:r w:rsidRPr="00EB2BF2">
        <w:rPr>
          <w:sz w:val="22"/>
          <w:szCs w:val="22"/>
          <w:lang w:val="sr-Latn-RS"/>
        </w:rPr>
        <w:t xml:space="preserve">Gram </w:t>
      </w:r>
      <w:r w:rsidR="00FD7B97" w:rsidRPr="00EB2BF2">
        <w:rPr>
          <w:sz w:val="22"/>
          <w:szCs w:val="22"/>
          <w:lang w:val="sr-Latn-RS"/>
        </w:rPr>
        <w:t>negativni anaerobi</w:t>
      </w:r>
      <w:r w:rsidRPr="00EB2BF2">
        <w:rPr>
          <w:sz w:val="22"/>
          <w:szCs w:val="22"/>
          <w:lang w:val="sr-Latn-RS"/>
        </w:rPr>
        <w:t>:</w:t>
      </w:r>
      <w:r w:rsidR="00BA39FA" w:rsidRPr="00EB2BF2">
        <w:rPr>
          <w:sz w:val="22"/>
          <w:szCs w:val="22"/>
          <w:lang w:val="sr-Latn-RS"/>
        </w:rPr>
        <w:t>osjetljiv</w:t>
      </w:r>
      <w:r w:rsidRPr="00EB2BF2">
        <w:rPr>
          <w:sz w:val="22"/>
          <w:szCs w:val="22"/>
          <w:lang w:val="sr-Latn-RS"/>
        </w:rPr>
        <w:t xml:space="preserve"> ≤ 4 re</w:t>
      </w:r>
      <w:r w:rsidR="00BA39FA" w:rsidRPr="00EB2BF2">
        <w:rPr>
          <w:sz w:val="22"/>
          <w:szCs w:val="22"/>
          <w:lang w:val="sr-Latn-RS"/>
        </w:rPr>
        <w:t>zistentan</w:t>
      </w:r>
      <w:r w:rsidRPr="00EB2BF2">
        <w:rPr>
          <w:sz w:val="22"/>
          <w:szCs w:val="22"/>
          <w:lang w:val="sr-Latn-RS"/>
        </w:rPr>
        <w:t xml:space="preserve"> &gt; 4</w:t>
      </w:r>
    </w:p>
    <w:p w14:paraId="6A6A0447" w14:textId="77777777" w:rsidR="004425EC" w:rsidRPr="00EB2BF2" w:rsidRDefault="004425EC" w:rsidP="00B14E56">
      <w:pPr>
        <w:pStyle w:val="Header"/>
        <w:jc w:val="both"/>
        <w:rPr>
          <w:sz w:val="22"/>
          <w:szCs w:val="22"/>
          <w:lang w:val="sr-Latn-RS"/>
        </w:rPr>
      </w:pPr>
    </w:p>
    <w:p w14:paraId="003301AC" w14:textId="77777777" w:rsidR="004425EC" w:rsidRPr="00EB2BF2" w:rsidRDefault="004425EC" w:rsidP="00B14E56">
      <w:pPr>
        <w:pStyle w:val="Header"/>
        <w:jc w:val="both"/>
        <w:rPr>
          <w:sz w:val="22"/>
          <w:szCs w:val="22"/>
          <w:u w:val="single"/>
          <w:lang w:val="sr-Latn-RS"/>
        </w:rPr>
      </w:pPr>
      <w:r w:rsidRPr="00EB2BF2">
        <w:rPr>
          <w:sz w:val="22"/>
          <w:szCs w:val="22"/>
          <w:u w:val="single"/>
          <w:lang w:val="sr-Latn-RS"/>
        </w:rPr>
        <w:t xml:space="preserve">PK/PD </w:t>
      </w:r>
      <w:r w:rsidR="00590BA7" w:rsidRPr="00EB2BF2">
        <w:rPr>
          <w:sz w:val="22"/>
          <w:szCs w:val="22"/>
          <w:u w:val="single"/>
          <w:lang w:val="sr-Latn-RS"/>
        </w:rPr>
        <w:t>odnos</w:t>
      </w:r>
    </w:p>
    <w:p w14:paraId="3FD3C9D9" w14:textId="77777777" w:rsidR="004425EC" w:rsidRPr="00EB2BF2" w:rsidRDefault="00D86EBB" w:rsidP="00B14E56">
      <w:pPr>
        <w:pStyle w:val="Header"/>
        <w:jc w:val="both"/>
        <w:rPr>
          <w:sz w:val="22"/>
          <w:szCs w:val="22"/>
          <w:lang w:val="sr-Latn-RS"/>
        </w:rPr>
      </w:pPr>
      <w:r w:rsidRPr="00EB2BF2">
        <w:rPr>
          <w:sz w:val="22"/>
          <w:szCs w:val="22"/>
          <w:lang w:val="sr-Latn-RS"/>
        </w:rPr>
        <w:t>Efikasnost je povezana sa odnosom površine krive koncentracija-vrijeme nevezanog antibiotika i MIC za patogen (fAUC/MIC).</w:t>
      </w:r>
    </w:p>
    <w:p w14:paraId="3AF363AC" w14:textId="77777777" w:rsidR="007203B4" w:rsidRPr="00EB2BF2" w:rsidRDefault="007203B4" w:rsidP="00B14E56">
      <w:pPr>
        <w:pStyle w:val="Header"/>
        <w:jc w:val="both"/>
        <w:rPr>
          <w:sz w:val="22"/>
          <w:szCs w:val="22"/>
          <w:lang w:val="sr-Latn-RS"/>
        </w:rPr>
      </w:pPr>
    </w:p>
    <w:p w14:paraId="26439D8B" w14:textId="77777777" w:rsidR="007203B4" w:rsidRPr="00EB2BF2" w:rsidRDefault="007203B4" w:rsidP="00B14E56">
      <w:pPr>
        <w:pStyle w:val="Header"/>
        <w:jc w:val="both"/>
        <w:rPr>
          <w:sz w:val="22"/>
          <w:szCs w:val="22"/>
          <w:lang w:val="sr-Latn-RS"/>
        </w:rPr>
      </w:pPr>
      <w:r w:rsidRPr="00EB2BF2">
        <w:rPr>
          <w:sz w:val="22"/>
          <w:szCs w:val="22"/>
          <w:lang w:val="sr-Latn-RS"/>
        </w:rPr>
        <w:t>Većina Gram-negativnih aerobnih bakterija, uključujući Enterobacteriaceae, su rezistentne na klindamicin. Klindamicin pokazuje ukrštenu rezistenciju sa linkomicinom. U in vitro uslovima, neki sojevi stafilokoka rezistentni na eritromicin su brzo razvili rezistenciju i na klindamicin. Mehanizam rezistencije je isti kao kod eritromicina: metilacija mjesta vezivanja za ribozom, hromozomska mutacija proteina ribozoma i u nekoliko izolata stafilokoka, enzimska inaktivacija preko plazmidske adeniltransferaze</w:t>
      </w:r>
    </w:p>
    <w:p w14:paraId="0AFFB218" w14:textId="77777777" w:rsidR="004425EC" w:rsidRPr="00EB2BF2" w:rsidRDefault="004425EC" w:rsidP="00B14E56">
      <w:pPr>
        <w:pStyle w:val="Header"/>
        <w:jc w:val="both"/>
        <w:rPr>
          <w:sz w:val="22"/>
          <w:szCs w:val="22"/>
          <w:lang w:val="sr-Latn-RS"/>
        </w:rPr>
      </w:pPr>
    </w:p>
    <w:p w14:paraId="0E5FF8F8" w14:textId="77777777" w:rsidR="004425EC" w:rsidRPr="00EB2BF2" w:rsidRDefault="00590BA7" w:rsidP="00B14E56">
      <w:pPr>
        <w:pStyle w:val="Header"/>
        <w:jc w:val="both"/>
        <w:rPr>
          <w:sz w:val="22"/>
          <w:szCs w:val="22"/>
          <w:u w:val="single"/>
          <w:lang w:val="sr-Latn-RS"/>
        </w:rPr>
      </w:pPr>
      <w:r w:rsidRPr="00EB2BF2">
        <w:rPr>
          <w:sz w:val="22"/>
          <w:szCs w:val="22"/>
          <w:u w:val="single"/>
          <w:lang w:val="sr-Latn-RS"/>
        </w:rPr>
        <w:t>Osjetljivost</w:t>
      </w:r>
    </w:p>
    <w:p w14:paraId="12DF090E" w14:textId="77777777" w:rsidR="004425EC" w:rsidRPr="00EB2BF2" w:rsidRDefault="00590BA7" w:rsidP="00B14E56">
      <w:pPr>
        <w:pStyle w:val="Header"/>
        <w:jc w:val="both"/>
        <w:rPr>
          <w:sz w:val="22"/>
          <w:szCs w:val="22"/>
          <w:lang w:val="sr-Latn-RS"/>
        </w:rPr>
      </w:pPr>
      <w:r w:rsidRPr="00EB2BF2">
        <w:rPr>
          <w:sz w:val="22"/>
          <w:szCs w:val="22"/>
          <w:lang w:val="sr-Latn-RS"/>
        </w:rPr>
        <w:t>Prevalencija stečene rezistencije može varirati geografski i tokom vremena za odabrane vrste, a lokalne informacije o</w:t>
      </w:r>
      <w:r w:rsidRPr="00EB2BF2">
        <w:rPr>
          <w:color w:val="FF0000"/>
          <w:sz w:val="22"/>
          <w:szCs w:val="22"/>
          <w:lang w:val="sr-Latn-RS"/>
        </w:rPr>
        <w:t xml:space="preserve"> </w:t>
      </w:r>
      <w:r w:rsidR="00E24108" w:rsidRPr="00EB2BF2">
        <w:rPr>
          <w:sz w:val="22"/>
          <w:szCs w:val="22"/>
          <w:lang w:val="sr-Latn-RS"/>
        </w:rPr>
        <w:t>rezistenciji</w:t>
      </w:r>
      <w:r w:rsidRPr="00EB2BF2">
        <w:rPr>
          <w:sz w:val="22"/>
          <w:szCs w:val="22"/>
          <w:lang w:val="sr-Latn-RS"/>
        </w:rPr>
        <w:t xml:space="preserve"> su poželjne, posebno kada se liječi teška infekcija. Po potrebi, treba potražiti savjet stručnjaka kada je lokalna prevalencija rezistencije takva da je upotreba </w:t>
      </w:r>
      <w:r w:rsidR="002664C4" w:rsidRPr="00EB2BF2">
        <w:rPr>
          <w:sz w:val="22"/>
          <w:szCs w:val="22"/>
          <w:lang w:val="sr-Latn-RS"/>
        </w:rPr>
        <w:t>lijeka</w:t>
      </w:r>
      <w:r w:rsidRPr="00EB2BF2">
        <w:rPr>
          <w:sz w:val="22"/>
          <w:szCs w:val="22"/>
          <w:lang w:val="sr-Latn-RS"/>
        </w:rPr>
        <w:t xml:space="preserve"> u bar nekim vrstama infekcija upitna.</w:t>
      </w:r>
    </w:p>
    <w:p w14:paraId="116B1217" w14:textId="77777777" w:rsidR="00590BA7" w:rsidRPr="00EB2BF2" w:rsidRDefault="00590BA7" w:rsidP="00B14E56">
      <w:pPr>
        <w:pStyle w:val="Header"/>
        <w:jc w:val="both"/>
        <w:rPr>
          <w:b/>
          <w:bCs/>
          <w:sz w:val="22"/>
          <w:szCs w:val="22"/>
          <w:lang w:val="sr-Latn-RS"/>
        </w:rPr>
      </w:pPr>
    </w:p>
    <w:p w14:paraId="53A1B214" w14:textId="77777777" w:rsidR="004425EC" w:rsidRPr="00EB2BF2" w:rsidRDefault="00590BA7" w:rsidP="00B14E56">
      <w:pPr>
        <w:pStyle w:val="Header"/>
        <w:jc w:val="both"/>
        <w:rPr>
          <w:b/>
          <w:bCs/>
          <w:sz w:val="22"/>
          <w:szCs w:val="22"/>
          <w:lang w:val="sr-Latn-RS"/>
        </w:rPr>
      </w:pPr>
      <w:r w:rsidRPr="00EB2BF2">
        <w:rPr>
          <w:b/>
          <w:bCs/>
          <w:sz w:val="22"/>
          <w:szCs w:val="22"/>
          <w:lang w:val="sr-Latn-RS"/>
        </w:rPr>
        <w:t>Vrsta</w:t>
      </w:r>
    </w:p>
    <w:p w14:paraId="7D398C2B" w14:textId="77777777" w:rsidR="004425EC" w:rsidRPr="00EB2BF2" w:rsidRDefault="00590BA7" w:rsidP="00B14E56">
      <w:pPr>
        <w:pStyle w:val="Header"/>
        <w:jc w:val="both"/>
        <w:rPr>
          <w:b/>
          <w:bCs/>
          <w:sz w:val="22"/>
          <w:szCs w:val="22"/>
          <w:lang w:val="sr-Latn-RS"/>
        </w:rPr>
      </w:pPr>
      <w:r w:rsidRPr="00EB2BF2">
        <w:rPr>
          <w:b/>
          <w:bCs/>
          <w:sz w:val="22"/>
          <w:szCs w:val="22"/>
          <w:lang w:val="sr-Latn-RS"/>
        </w:rPr>
        <w:t>Osjetljivost</w:t>
      </w:r>
    </w:p>
    <w:p w14:paraId="23C344D6" w14:textId="77777777" w:rsidR="004425EC" w:rsidRPr="00EB2BF2" w:rsidRDefault="004425EC" w:rsidP="00B14E56">
      <w:pPr>
        <w:pStyle w:val="Header"/>
        <w:jc w:val="both"/>
        <w:rPr>
          <w:b/>
          <w:bCs/>
          <w:sz w:val="22"/>
          <w:szCs w:val="22"/>
          <w:lang w:val="sr-Latn-RS"/>
        </w:rPr>
      </w:pPr>
      <w:r w:rsidRPr="00EB2BF2">
        <w:rPr>
          <w:b/>
          <w:bCs/>
          <w:sz w:val="22"/>
          <w:szCs w:val="22"/>
          <w:lang w:val="sr-Latn-RS"/>
        </w:rPr>
        <w:t>Gram-po</w:t>
      </w:r>
      <w:r w:rsidR="00590BA7" w:rsidRPr="00EB2BF2">
        <w:rPr>
          <w:b/>
          <w:bCs/>
          <w:sz w:val="22"/>
          <w:szCs w:val="22"/>
          <w:lang w:val="sr-Latn-RS"/>
        </w:rPr>
        <w:t>zitivni</w:t>
      </w:r>
      <w:r w:rsidRPr="00EB2BF2">
        <w:rPr>
          <w:b/>
          <w:bCs/>
          <w:sz w:val="22"/>
          <w:szCs w:val="22"/>
          <w:lang w:val="sr-Latn-RS"/>
        </w:rPr>
        <w:t xml:space="preserve"> aerob</w:t>
      </w:r>
      <w:r w:rsidR="00590BA7" w:rsidRPr="00EB2BF2">
        <w:rPr>
          <w:b/>
          <w:bCs/>
          <w:sz w:val="22"/>
          <w:szCs w:val="22"/>
          <w:lang w:val="sr-Latn-RS"/>
        </w:rPr>
        <w:t>i</w:t>
      </w:r>
    </w:p>
    <w:p w14:paraId="153478EC" w14:textId="77777777" w:rsidR="004425EC" w:rsidRPr="00EB2BF2" w:rsidRDefault="004425EC" w:rsidP="00B14E56">
      <w:pPr>
        <w:pStyle w:val="Header"/>
        <w:jc w:val="both"/>
        <w:rPr>
          <w:i/>
          <w:iCs/>
          <w:sz w:val="22"/>
          <w:szCs w:val="22"/>
          <w:lang w:val="sr-Latn-RS"/>
        </w:rPr>
      </w:pPr>
      <w:r w:rsidRPr="00EB2BF2">
        <w:rPr>
          <w:i/>
          <w:iCs/>
          <w:sz w:val="22"/>
          <w:szCs w:val="22"/>
          <w:lang w:val="sr-Latn-RS"/>
        </w:rPr>
        <w:t>Staphylococcus aureus*</w:t>
      </w:r>
    </w:p>
    <w:p w14:paraId="190FAB89" w14:textId="77777777" w:rsidR="004425EC" w:rsidRPr="00EB2BF2" w:rsidRDefault="004425EC" w:rsidP="00B14E56">
      <w:pPr>
        <w:pStyle w:val="Header"/>
        <w:jc w:val="both"/>
        <w:rPr>
          <w:i/>
          <w:iCs/>
          <w:sz w:val="22"/>
          <w:szCs w:val="22"/>
          <w:lang w:val="sr-Latn-RS"/>
        </w:rPr>
      </w:pPr>
      <w:r w:rsidRPr="00EB2BF2">
        <w:rPr>
          <w:i/>
          <w:iCs/>
          <w:sz w:val="22"/>
          <w:szCs w:val="22"/>
          <w:lang w:val="sr-Latn-RS"/>
        </w:rPr>
        <w:t>Staphylococcus epidermidis</w:t>
      </w:r>
    </w:p>
    <w:p w14:paraId="09346A49" w14:textId="77777777" w:rsidR="004425EC" w:rsidRPr="00EB2BF2" w:rsidRDefault="004425EC" w:rsidP="00B14E56">
      <w:pPr>
        <w:pStyle w:val="Header"/>
        <w:jc w:val="both"/>
        <w:rPr>
          <w:i/>
          <w:iCs/>
          <w:sz w:val="22"/>
          <w:szCs w:val="22"/>
          <w:lang w:val="sr-Latn-RS"/>
        </w:rPr>
      </w:pPr>
      <w:r w:rsidRPr="00EB2BF2">
        <w:rPr>
          <w:i/>
          <w:iCs/>
          <w:sz w:val="22"/>
          <w:szCs w:val="22"/>
          <w:lang w:val="sr-Latn-RS"/>
        </w:rPr>
        <w:t>Streptococcus pneumonia</w:t>
      </w:r>
    </w:p>
    <w:p w14:paraId="3ADE18E2" w14:textId="77777777" w:rsidR="004425EC" w:rsidRPr="00EB2BF2" w:rsidRDefault="004425EC" w:rsidP="00B14E56">
      <w:pPr>
        <w:pStyle w:val="Header"/>
        <w:jc w:val="both"/>
        <w:rPr>
          <w:i/>
          <w:iCs/>
          <w:sz w:val="22"/>
          <w:szCs w:val="22"/>
          <w:lang w:val="sr-Latn-RS"/>
        </w:rPr>
      </w:pPr>
      <w:r w:rsidRPr="00EB2BF2">
        <w:rPr>
          <w:i/>
          <w:iCs/>
          <w:sz w:val="22"/>
          <w:szCs w:val="22"/>
          <w:lang w:val="sr-Latn-RS"/>
        </w:rPr>
        <w:t>Streptococcus pyogenes</w:t>
      </w:r>
    </w:p>
    <w:p w14:paraId="756D6FF0" w14:textId="77777777" w:rsidR="004425EC" w:rsidRPr="00EB2BF2" w:rsidRDefault="004425EC" w:rsidP="00B14E56">
      <w:pPr>
        <w:pStyle w:val="Header"/>
        <w:jc w:val="both"/>
        <w:rPr>
          <w:i/>
          <w:iCs/>
          <w:sz w:val="22"/>
          <w:szCs w:val="22"/>
          <w:lang w:val="sr-Latn-RS"/>
        </w:rPr>
      </w:pPr>
      <w:r w:rsidRPr="00EB2BF2">
        <w:rPr>
          <w:i/>
          <w:iCs/>
          <w:sz w:val="22"/>
          <w:szCs w:val="22"/>
          <w:lang w:val="sr-Latn-RS"/>
        </w:rPr>
        <w:t>Viridans streptococci</w:t>
      </w:r>
    </w:p>
    <w:p w14:paraId="026C423A" w14:textId="77777777" w:rsidR="004425EC" w:rsidRPr="00EB2BF2" w:rsidRDefault="004425EC" w:rsidP="00B14E56">
      <w:pPr>
        <w:pStyle w:val="Header"/>
        <w:jc w:val="both"/>
        <w:rPr>
          <w:sz w:val="22"/>
          <w:szCs w:val="22"/>
          <w:lang w:val="sr-Latn-RS"/>
        </w:rPr>
      </w:pPr>
    </w:p>
    <w:p w14:paraId="0E355E40" w14:textId="77777777" w:rsidR="004425EC" w:rsidRPr="00EB2BF2" w:rsidRDefault="00590BA7" w:rsidP="00B14E56">
      <w:pPr>
        <w:pStyle w:val="Header"/>
        <w:jc w:val="both"/>
        <w:rPr>
          <w:b/>
          <w:bCs/>
          <w:sz w:val="22"/>
          <w:szCs w:val="22"/>
          <w:lang w:val="sr-Latn-RS"/>
        </w:rPr>
      </w:pPr>
      <w:r w:rsidRPr="00EB2BF2">
        <w:rPr>
          <w:b/>
          <w:bCs/>
          <w:sz w:val="22"/>
          <w:szCs w:val="22"/>
          <w:lang w:val="sr-Latn-RS"/>
        </w:rPr>
        <w:t>Anaerobi</w:t>
      </w:r>
    </w:p>
    <w:p w14:paraId="306D730D" w14:textId="77777777" w:rsidR="004425EC" w:rsidRPr="00EB2BF2" w:rsidRDefault="004425EC" w:rsidP="00B14E56">
      <w:pPr>
        <w:pStyle w:val="Header"/>
        <w:jc w:val="both"/>
        <w:rPr>
          <w:sz w:val="22"/>
          <w:szCs w:val="22"/>
          <w:lang w:val="sr-Latn-RS"/>
        </w:rPr>
      </w:pPr>
      <w:r w:rsidRPr="00EB2BF2">
        <w:rPr>
          <w:i/>
          <w:iCs/>
          <w:sz w:val="22"/>
          <w:szCs w:val="22"/>
          <w:lang w:val="sr-Latn-RS"/>
        </w:rPr>
        <w:t xml:space="preserve">Bacteriodes fragilis </w:t>
      </w:r>
      <w:r w:rsidR="002664C4" w:rsidRPr="00EB2BF2">
        <w:rPr>
          <w:sz w:val="22"/>
          <w:szCs w:val="22"/>
          <w:lang w:val="sr-Latn-RS"/>
        </w:rPr>
        <w:t>grupa</w:t>
      </w:r>
    </w:p>
    <w:p w14:paraId="71E3943C" w14:textId="77777777" w:rsidR="004425EC" w:rsidRPr="00EB2BF2" w:rsidRDefault="004425EC" w:rsidP="00B14E56">
      <w:pPr>
        <w:pStyle w:val="Header"/>
        <w:jc w:val="both"/>
        <w:rPr>
          <w:i/>
          <w:iCs/>
          <w:sz w:val="22"/>
          <w:szCs w:val="22"/>
          <w:lang w:val="sr-Latn-RS"/>
        </w:rPr>
      </w:pPr>
      <w:r w:rsidRPr="00EB2BF2">
        <w:rPr>
          <w:i/>
          <w:iCs/>
          <w:sz w:val="22"/>
          <w:szCs w:val="22"/>
          <w:lang w:val="sr-Latn-RS"/>
        </w:rPr>
        <w:t xml:space="preserve">Prevotella </w:t>
      </w:r>
      <w:r w:rsidR="002664C4" w:rsidRPr="00EB2BF2">
        <w:rPr>
          <w:iCs/>
          <w:sz w:val="22"/>
          <w:szCs w:val="22"/>
          <w:lang w:val="sr-Latn-RS"/>
        </w:rPr>
        <w:t>ranije poznata kao</w:t>
      </w:r>
      <w:r w:rsidRPr="00EB2BF2">
        <w:rPr>
          <w:i/>
          <w:iCs/>
          <w:sz w:val="22"/>
          <w:szCs w:val="22"/>
          <w:lang w:val="sr-Latn-RS"/>
        </w:rPr>
        <w:t xml:space="preserve"> Bacteroides melaninogenicus</w:t>
      </w:r>
    </w:p>
    <w:p w14:paraId="42BAABD2" w14:textId="77777777" w:rsidR="004425EC" w:rsidRPr="00EB2BF2" w:rsidRDefault="004425EC" w:rsidP="00B14E56">
      <w:pPr>
        <w:pStyle w:val="Header"/>
        <w:jc w:val="both"/>
        <w:rPr>
          <w:sz w:val="22"/>
          <w:szCs w:val="22"/>
          <w:lang w:val="sr-Latn-RS"/>
        </w:rPr>
      </w:pPr>
      <w:r w:rsidRPr="00EB2BF2">
        <w:rPr>
          <w:i/>
          <w:iCs/>
          <w:sz w:val="22"/>
          <w:szCs w:val="22"/>
          <w:lang w:val="sr-Latn-RS"/>
        </w:rPr>
        <w:t xml:space="preserve">Bifidobacterium </w:t>
      </w:r>
      <w:r w:rsidRPr="00EB2BF2">
        <w:rPr>
          <w:sz w:val="22"/>
          <w:szCs w:val="22"/>
          <w:lang w:val="sr-Latn-RS"/>
        </w:rPr>
        <w:t>spp.</w:t>
      </w:r>
    </w:p>
    <w:p w14:paraId="0E5E7208" w14:textId="77777777" w:rsidR="004425EC" w:rsidRPr="00EB2BF2" w:rsidRDefault="004425EC" w:rsidP="00B14E56">
      <w:pPr>
        <w:pStyle w:val="Header"/>
        <w:jc w:val="both"/>
        <w:rPr>
          <w:i/>
          <w:iCs/>
          <w:sz w:val="22"/>
          <w:szCs w:val="22"/>
          <w:lang w:val="sr-Latn-RS"/>
        </w:rPr>
      </w:pPr>
      <w:r w:rsidRPr="00EB2BF2">
        <w:rPr>
          <w:i/>
          <w:iCs/>
          <w:sz w:val="22"/>
          <w:szCs w:val="22"/>
          <w:lang w:val="sr-Latn-RS"/>
        </w:rPr>
        <w:t>Clostridioides perfringens</w:t>
      </w:r>
    </w:p>
    <w:p w14:paraId="58494F1B" w14:textId="77777777" w:rsidR="004425EC" w:rsidRPr="00EB2BF2" w:rsidRDefault="004425EC" w:rsidP="00B14E56">
      <w:pPr>
        <w:pStyle w:val="Header"/>
        <w:jc w:val="both"/>
        <w:rPr>
          <w:sz w:val="22"/>
          <w:szCs w:val="22"/>
          <w:lang w:val="sr-Latn-RS"/>
        </w:rPr>
      </w:pPr>
      <w:r w:rsidRPr="00EB2BF2">
        <w:rPr>
          <w:i/>
          <w:iCs/>
          <w:sz w:val="22"/>
          <w:szCs w:val="22"/>
          <w:lang w:val="sr-Latn-RS"/>
        </w:rPr>
        <w:t xml:space="preserve">Eubacterium </w:t>
      </w:r>
      <w:r w:rsidRPr="00EB2BF2">
        <w:rPr>
          <w:sz w:val="22"/>
          <w:szCs w:val="22"/>
          <w:lang w:val="sr-Latn-RS"/>
        </w:rPr>
        <w:t>spp.</w:t>
      </w:r>
    </w:p>
    <w:p w14:paraId="0F6CB37A" w14:textId="77777777" w:rsidR="004425EC" w:rsidRPr="00EB2BF2" w:rsidRDefault="004425EC" w:rsidP="00B14E56">
      <w:pPr>
        <w:pStyle w:val="Header"/>
        <w:jc w:val="both"/>
        <w:rPr>
          <w:sz w:val="22"/>
          <w:szCs w:val="22"/>
          <w:lang w:val="sr-Latn-RS"/>
        </w:rPr>
      </w:pPr>
      <w:r w:rsidRPr="00EB2BF2">
        <w:rPr>
          <w:i/>
          <w:iCs/>
          <w:sz w:val="22"/>
          <w:szCs w:val="22"/>
          <w:lang w:val="sr-Latn-RS"/>
        </w:rPr>
        <w:t xml:space="preserve">Fusobacterium </w:t>
      </w:r>
      <w:r w:rsidRPr="00EB2BF2">
        <w:rPr>
          <w:sz w:val="22"/>
          <w:szCs w:val="22"/>
          <w:lang w:val="sr-Latn-RS"/>
        </w:rPr>
        <w:t>spp.</w:t>
      </w:r>
    </w:p>
    <w:p w14:paraId="582DFBAD" w14:textId="77777777" w:rsidR="004425EC" w:rsidRPr="00EB2BF2" w:rsidRDefault="004425EC" w:rsidP="00B14E56">
      <w:pPr>
        <w:pStyle w:val="Header"/>
        <w:jc w:val="both"/>
        <w:rPr>
          <w:sz w:val="22"/>
          <w:szCs w:val="22"/>
          <w:lang w:val="sr-Latn-RS"/>
        </w:rPr>
      </w:pPr>
      <w:r w:rsidRPr="00EB2BF2">
        <w:rPr>
          <w:i/>
          <w:iCs/>
          <w:sz w:val="22"/>
          <w:szCs w:val="22"/>
          <w:lang w:val="sr-Latn-RS"/>
        </w:rPr>
        <w:t xml:space="preserve">Peptococcus </w:t>
      </w:r>
      <w:r w:rsidRPr="00EB2BF2">
        <w:rPr>
          <w:sz w:val="22"/>
          <w:szCs w:val="22"/>
          <w:lang w:val="sr-Latn-RS"/>
        </w:rPr>
        <w:t>spp.</w:t>
      </w:r>
    </w:p>
    <w:p w14:paraId="771D0A10" w14:textId="77777777" w:rsidR="004425EC" w:rsidRPr="00EB2BF2" w:rsidRDefault="004425EC" w:rsidP="00B14E56">
      <w:pPr>
        <w:pStyle w:val="Header"/>
        <w:jc w:val="both"/>
        <w:rPr>
          <w:sz w:val="22"/>
          <w:szCs w:val="22"/>
          <w:lang w:val="sr-Latn-RS"/>
        </w:rPr>
      </w:pPr>
      <w:r w:rsidRPr="00EB2BF2">
        <w:rPr>
          <w:i/>
          <w:iCs/>
          <w:sz w:val="22"/>
          <w:szCs w:val="22"/>
          <w:lang w:val="sr-Latn-RS"/>
        </w:rPr>
        <w:t xml:space="preserve">Peptostreptococcus </w:t>
      </w:r>
      <w:r w:rsidRPr="00EB2BF2">
        <w:rPr>
          <w:sz w:val="22"/>
          <w:szCs w:val="22"/>
          <w:lang w:val="sr-Latn-RS"/>
        </w:rPr>
        <w:t>spp.</w:t>
      </w:r>
    </w:p>
    <w:p w14:paraId="30180F6F" w14:textId="77777777" w:rsidR="004425EC" w:rsidRPr="00EB2BF2" w:rsidRDefault="004425EC" w:rsidP="00B14E56">
      <w:pPr>
        <w:pStyle w:val="Header"/>
        <w:jc w:val="both"/>
        <w:rPr>
          <w:sz w:val="22"/>
          <w:szCs w:val="22"/>
          <w:lang w:val="sr-Latn-RS"/>
        </w:rPr>
      </w:pPr>
      <w:r w:rsidRPr="00EB2BF2">
        <w:rPr>
          <w:i/>
          <w:iCs/>
          <w:sz w:val="22"/>
          <w:szCs w:val="22"/>
          <w:lang w:val="sr-Latn-RS"/>
        </w:rPr>
        <w:t xml:space="preserve">Propionibacterium </w:t>
      </w:r>
      <w:r w:rsidRPr="00EB2BF2">
        <w:rPr>
          <w:sz w:val="22"/>
          <w:szCs w:val="22"/>
          <w:lang w:val="sr-Latn-RS"/>
        </w:rPr>
        <w:t>spp.</w:t>
      </w:r>
    </w:p>
    <w:p w14:paraId="2614E679" w14:textId="77777777" w:rsidR="004425EC" w:rsidRPr="00EB2BF2" w:rsidRDefault="004425EC" w:rsidP="00B14E56">
      <w:pPr>
        <w:pStyle w:val="Header"/>
        <w:jc w:val="both"/>
        <w:rPr>
          <w:sz w:val="22"/>
          <w:szCs w:val="22"/>
          <w:lang w:val="sr-Latn-RS"/>
        </w:rPr>
      </w:pPr>
      <w:r w:rsidRPr="00EB2BF2">
        <w:rPr>
          <w:i/>
          <w:iCs/>
          <w:sz w:val="22"/>
          <w:szCs w:val="22"/>
          <w:lang w:val="sr-Latn-RS"/>
        </w:rPr>
        <w:t xml:space="preserve">Veillonella </w:t>
      </w:r>
      <w:r w:rsidRPr="00EB2BF2">
        <w:rPr>
          <w:sz w:val="22"/>
          <w:szCs w:val="22"/>
          <w:lang w:val="sr-Latn-RS"/>
        </w:rPr>
        <w:t>spp.</w:t>
      </w:r>
    </w:p>
    <w:p w14:paraId="0ADA7EEF" w14:textId="77777777" w:rsidR="004425EC" w:rsidRPr="00EB2BF2" w:rsidRDefault="004425EC" w:rsidP="00B14E56">
      <w:pPr>
        <w:pStyle w:val="Header"/>
        <w:jc w:val="both"/>
        <w:rPr>
          <w:sz w:val="22"/>
          <w:szCs w:val="22"/>
          <w:lang w:val="sr-Latn-RS"/>
        </w:rPr>
      </w:pPr>
    </w:p>
    <w:p w14:paraId="7B445B88" w14:textId="77777777" w:rsidR="004425EC" w:rsidRPr="00EB2BF2" w:rsidRDefault="00590BA7" w:rsidP="00B14E56">
      <w:pPr>
        <w:pStyle w:val="Header"/>
        <w:jc w:val="both"/>
        <w:rPr>
          <w:b/>
          <w:bCs/>
          <w:sz w:val="22"/>
          <w:szCs w:val="22"/>
          <w:lang w:val="sr-Latn-RS"/>
        </w:rPr>
      </w:pPr>
      <w:r w:rsidRPr="00EB2BF2">
        <w:rPr>
          <w:b/>
          <w:bCs/>
          <w:sz w:val="22"/>
          <w:szCs w:val="22"/>
          <w:lang w:val="sr-Latn-RS"/>
        </w:rPr>
        <w:t>Rezistentni</w:t>
      </w:r>
    </w:p>
    <w:p w14:paraId="08785FE7" w14:textId="77777777" w:rsidR="004425EC" w:rsidRPr="00EB2BF2" w:rsidRDefault="004425EC" w:rsidP="00B14E56">
      <w:pPr>
        <w:pStyle w:val="Header"/>
        <w:jc w:val="both"/>
        <w:rPr>
          <w:sz w:val="22"/>
          <w:szCs w:val="22"/>
          <w:lang w:val="sr-Latn-RS"/>
        </w:rPr>
      </w:pPr>
      <w:r w:rsidRPr="00EB2BF2">
        <w:rPr>
          <w:i/>
          <w:iCs/>
          <w:sz w:val="22"/>
          <w:szCs w:val="22"/>
          <w:lang w:val="sr-Latn-RS"/>
        </w:rPr>
        <w:t xml:space="preserve">Clostridia </w:t>
      </w:r>
      <w:r w:rsidRPr="00EB2BF2">
        <w:rPr>
          <w:sz w:val="22"/>
          <w:szCs w:val="22"/>
          <w:lang w:val="sr-Latn-RS"/>
        </w:rPr>
        <w:t>spp.</w:t>
      </w:r>
    </w:p>
    <w:p w14:paraId="0D03DF30" w14:textId="77777777" w:rsidR="004425EC" w:rsidRPr="00EB2BF2" w:rsidRDefault="004425EC" w:rsidP="00B14E56">
      <w:pPr>
        <w:pStyle w:val="Header"/>
        <w:jc w:val="both"/>
        <w:rPr>
          <w:i/>
          <w:iCs/>
          <w:sz w:val="22"/>
          <w:szCs w:val="22"/>
          <w:lang w:val="sr-Latn-RS"/>
        </w:rPr>
      </w:pPr>
      <w:r w:rsidRPr="00EB2BF2">
        <w:rPr>
          <w:i/>
          <w:iCs/>
          <w:sz w:val="22"/>
          <w:szCs w:val="22"/>
          <w:lang w:val="sr-Latn-RS"/>
        </w:rPr>
        <w:t>Enterococci</w:t>
      </w:r>
    </w:p>
    <w:p w14:paraId="6895E5BD" w14:textId="77777777" w:rsidR="004425EC" w:rsidRPr="00EB2BF2" w:rsidRDefault="004425EC" w:rsidP="00B14E56">
      <w:pPr>
        <w:pStyle w:val="Header"/>
        <w:jc w:val="both"/>
        <w:rPr>
          <w:i/>
          <w:iCs/>
          <w:sz w:val="22"/>
          <w:szCs w:val="22"/>
          <w:lang w:val="sr-Latn-RS"/>
        </w:rPr>
      </w:pPr>
      <w:r w:rsidRPr="00EB2BF2">
        <w:rPr>
          <w:i/>
          <w:iCs/>
          <w:sz w:val="22"/>
          <w:szCs w:val="22"/>
          <w:lang w:val="sr-Latn-RS"/>
        </w:rPr>
        <w:t>Enterobacteriaceae</w:t>
      </w:r>
    </w:p>
    <w:p w14:paraId="599B716E" w14:textId="77777777" w:rsidR="004425EC" w:rsidRPr="00EB2BF2" w:rsidRDefault="004425EC" w:rsidP="00B14E56">
      <w:pPr>
        <w:pStyle w:val="Header"/>
        <w:jc w:val="both"/>
        <w:rPr>
          <w:i/>
          <w:iCs/>
          <w:sz w:val="22"/>
          <w:szCs w:val="22"/>
          <w:lang w:val="sr-Latn-RS"/>
        </w:rPr>
      </w:pPr>
    </w:p>
    <w:p w14:paraId="3B5B66C6" w14:textId="77777777" w:rsidR="004425EC" w:rsidRPr="00EB2BF2" w:rsidRDefault="004425EC" w:rsidP="00B14E56">
      <w:pPr>
        <w:pStyle w:val="Header"/>
        <w:jc w:val="both"/>
        <w:rPr>
          <w:sz w:val="22"/>
          <w:szCs w:val="22"/>
          <w:lang w:val="sr-Latn-RS"/>
        </w:rPr>
      </w:pPr>
      <w:r w:rsidRPr="00EB2BF2">
        <w:rPr>
          <w:sz w:val="22"/>
          <w:szCs w:val="22"/>
          <w:lang w:val="sr-Latn-RS"/>
        </w:rPr>
        <w:t>*</w:t>
      </w:r>
      <w:r w:rsidR="00590BA7" w:rsidRPr="00EB2BF2">
        <w:rPr>
          <w:sz w:val="22"/>
          <w:szCs w:val="22"/>
          <w:lang w:val="sr-Latn-RS"/>
        </w:rPr>
        <w:t xml:space="preserve"> Prijavljeno je da je do 50% </w:t>
      </w:r>
      <w:r w:rsidR="00590BA7" w:rsidRPr="00EB2BF2">
        <w:rPr>
          <w:i/>
          <w:sz w:val="22"/>
          <w:szCs w:val="22"/>
          <w:lang w:val="sr-Latn-RS"/>
        </w:rPr>
        <w:t>S. aureusa</w:t>
      </w:r>
      <w:r w:rsidR="00590BA7" w:rsidRPr="00EB2BF2">
        <w:rPr>
          <w:sz w:val="22"/>
          <w:szCs w:val="22"/>
          <w:lang w:val="sr-Latn-RS"/>
        </w:rPr>
        <w:t xml:space="preserve"> osjetljivog na meticilin u nekim oblastim</w:t>
      </w:r>
      <w:r w:rsidR="00590BA7" w:rsidRPr="00EB2BF2">
        <w:rPr>
          <w:sz w:val="22"/>
          <w:szCs w:val="22"/>
          <w:u w:val="single"/>
          <w:lang w:val="sr-Latn-RS"/>
        </w:rPr>
        <w:t xml:space="preserve">a </w:t>
      </w:r>
      <w:r w:rsidR="00E24108" w:rsidRPr="00EB2BF2">
        <w:rPr>
          <w:sz w:val="22"/>
          <w:szCs w:val="22"/>
          <w:u w:val="single"/>
          <w:lang w:val="sr-Latn-RS"/>
        </w:rPr>
        <w:t>rezistent</w:t>
      </w:r>
      <w:r w:rsidR="00590BA7" w:rsidRPr="00EB2BF2">
        <w:rPr>
          <w:sz w:val="22"/>
          <w:szCs w:val="22"/>
          <w:u w:val="single"/>
          <w:lang w:val="sr-Latn-RS"/>
        </w:rPr>
        <w:t xml:space="preserve">no </w:t>
      </w:r>
      <w:r w:rsidR="00590BA7" w:rsidRPr="00EB2BF2">
        <w:rPr>
          <w:sz w:val="22"/>
          <w:szCs w:val="22"/>
          <w:lang w:val="sr-Latn-RS"/>
        </w:rPr>
        <w:t xml:space="preserve">na klindamicin. Više od 90% meticilin rezistentnog </w:t>
      </w:r>
      <w:r w:rsidR="00590BA7" w:rsidRPr="00EB2BF2">
        <w:rPr>
          <w:i/>
          <w:sz w:val="22"/>
          <w:szCs w:val="22"/>
          <w:lang w:val="sr-Latn-RS"/>
        </w:rPr>
        <w:t xml:space="preserve">S.aureusa </w:t>
      </w:r>
      <w:r w:rsidR="00590BA7" w:rsidRPr="00EB2BF2">
        <w:rPr>
          <w:sz w:val="22"/>
          <w:szCs w:val="22"/>
          <w:lang w:val="sr-Latn-RS"/>
        </w:rPr>
        <w:t xml:space="preserve">(MRSA) </w:t>
      </w:r>
      <w:r w:rsidR="00590BA7" w:rsidRPr="00EB2BF2">
        <w:rPr>
          <w:sz w:val="22"/>
          <w:szCs w:val="22"/>
          <w:u w:val="single"/>
          <w:lang w:val="sr-Latn-RS"/>
        </w:rPr>
        <w:t xml:space="preserve">je </w:t>
      </w:r>
      <w:r w:rsidR="00E24108" w:rsidRPr="00EB2BF2">
        <w:rPr>
          <w:sz w:val="22"/>
          <w:szCs w:val="22"/>
          <w:u w:val="single"/>
          <w:lang w:val="sr-Latn-RS"/>
        </w:rPr>
        <w:t>rezistent</w:t>
      </w:r>
      <w:r w:rsidR="00590BA7" w:rsidRPr="00EB2BF2">
        <w:rPr>
          <w:sz w:val="22"/>
          <w:szCs w:val="22"/>
          <w:u w:val="single"/>
          <w:lang w:val="sr-Latn-RS"/>
        </w:rPr>
        <w:t>no</w:t>
      </w:r>
      <w:r w:rsidR="00590BA7" w:rsidRPr="00EB2BF2">
        <w:rPr>
          <w:sz w:val="22"/>
          <w:szCs w:val="22"/>
          <w:lang w:val="sr-Latn-RS"/>
        </w:rPr>
        <w:t xml:space="preserve"> na klindamicin i ne treba ga koristiti dok se čekaju rezultati testa osjetljivosti ako postoji sumnja na MRSA.</w:t>
      </w:r>
      <w:bookmarkEnd w:id="7"/>
    </w:p>
    <w:p w14:paraId="3C827D4A" w14:textId="77777777" w:rsidR="002E37A5" w:rsidRPr="00EB2BF2" w:rsidRDefault="002E37A5" w:rsidP="00B14E56">
      <w:pPr>
        <w:tabs>
          <w:tab w:val="left" w:pos="540"/>
          <w:tab w:val="left" w:pos="569"/>
        </w:tabs>
        <w:jc w:val="both"/>
        <w:rPr>
          <w:b/>
          <w:bCs/>
          <w:sz w:val="22"/>
          <w:szCs w:val="22"/>
          <w:lang w:val="sr-Latn-RS"/>
        </w:rPr>
      </w:pPr>
    </w:p>
    <w:p w14:paraId="750D6508" w14:textId="77777777" w:rsidR="0072020E" w:rsidRPr="00EB2BF2" w:rsidRDefault="0072020E" w:rsidP="00B14E56">
      <w:pPr>
        <w:tabs>
          <w:tab w:val="left" w:pos="540"/>
          <w:tab w:val="left" w:pos="569"/>
        </w:tabs>
        <w:jc w:val="both"/>
        <w:rPr>
          <w:b/>
          <w:bCs/>
          <w:sz w:val="22"/>
          <w:szCs w:val="22"/>
          <w:lang w:val="sr-Latn-RS"/>
        </w:rPr>
      </w:pPr>
      <w:r w:rsidRPr="00EB2BF2">
        <w:rPr>
          <w:b/>
          <w:bCs/>
          <w:sz w:val="22"/>
          <w:szCs w:val="22"/>
          <w:lang w:val="sr-Latn-RS"/>
        </w:rPr>
        <w:t xml:space="preserve">5.2. </w:t>
      </w:r>
      <w:r w:rsidR="00480FB1" w:rsidRPr="00EB2BF2">
        <w:rPr>
          <w:b/>
          <w:bCs/>
          <w:sz w:val="22"/>
          <w:szCs w:val="22"/>
          <w:lang w:val="sr-Latn-RS"/>
        </w:rPr>
        <w:tab/>
      </w:r>
      <w:r w:rsidRPr="00EB2BF2">
        <w:rPr>
          <w:b/>
          <w:bCs/>
          <w:sz w:val="22"/>
          <w:szCs w:val="22"/>
          <w:lang w:val="sr-Latn-RS"/>
        </w:rPr>
        <w:t>Farmakokinetički podaci</w:t>
      </w:r>
    </w:p>
    <w:p w14:paraId="1DE9EC5A" w14:textId="77777777" w:rsidR="009D5D21" w:rsidRPr="00EB2BF2" w:rsidRDefault="009D5D21" w:rsidP="00B14E56">
      <w:pPr>
        <w:tabs>
          <w:tab w:val="left" w:pos="540"/>
          <w:tab w:val="left" w:pos="569"/>
        </w:tabs>
        <w:jc w:val="both"/>
        <w:rPr>
          <w:b/>
          <w:bCs/>
          <w:sz w:val="22"/>
          <w:szCs w:val="22"/>
          <w:lang w:val="sr-Latn-RS"/>
        </w:rPr>
      </w:pPr>
    </w:p>
    <w:p w14:paraId="321D09B2" w14:textId="77777777" w:rsidR="004425EC" w:rsidRPr="00EB2BF2" w:rsidRDefault="00093155" w:rsidP="00B14E56">
      <w:pPr>
        <w:tabs>
          <w:tab w:val="left" w:pos="540"/>
          <w:tab w:val="left" w:pos="569"/>
        </w:tabs>
        <w:jc w:val="both"/>
        <w:rPr>
          <w:b/>
          <w:bCs/>
          <w:sz w:val="22"/>
          <w:szCs w:val="22"/>
          <w:lang w:val="sr-Latn-RS"/>
        </w:rPr>
      </w:pPr>
      <w:r w:rsidRPr="00EB2BF2">
        <w:rPr>
          <w:b/>
          <w:bCs/>
          <w:sz w:val="22"/>
          <w:szCs w:val="22"/>
          <w:lang w:val="sr-Latn-RS"/>
        </w:rPr>
        <w:t>Opšte karakteristike aktivne supstance</w:t>
      </w:r>
    </w:p>
    <w:p w14:paraId="1F09B2B4" w14:textId="77777777" w:rsidR="00FD7B97" w:rsidRPr="00EB2BF2" w:rsidRDefault="00FD7B97" w:rsidP="00B14E56">
      <w:pPr>
        <w:tabs>
          <w:tab w:val="left" w:pos="540"/>
          <w:tab w:val="left" w:pos="569"/>
        </w:tabs>
        <w:jc w:val="both"/>
        <w:rPr>
          <w:b/>
          <w:bCs/>
          <w:sz w:val="22"/>
          <w:szCs w:val="22"/>
          <w:highlight w:val="yellow"/>
          <w:u w:val="single"/>
          <w:lang w:val="sr-Latn-RS"/>
        </w:rPr>
      </w:pPr>
    </w:p>
    <w:p w14:paraId="52197057" w14:textId="77777777" w:rsidR="004425EC" w:rsidRPr="00EB2BF2" w:rsidRDefault="00093155" w:rsidP="00B14E56">
      <w:pPr>
        <w:tabs>
          <w:tab w:val="left" w:pos="540"/>
          <w:tab w:val="left" w:pos="569"/>
        </w:tabs>
        <w:jc w:val="both"/>
        <w:rPr>
          <w:bCs/>
          <w:sz w:val="22"/>
          <w:szCs w:val="22"/>
          <w:highlight w:val="yellow"/>
          <w:lang w:val="sr-Latn-RS"/>
        </w:rPr>
      </w:pPr>
      <w:r w:rsidRPr="00EB2BF2">
        <w:rPr>
          <w:bCs/>
          <w:sz w:val="22"/>
          <w:szCs w:val="22"/>
          <w:lang w:val="sr-Latn-RS"/>
        </w:rPr>
        <w:t xml:space="preserve">Oko 90% doze klindamicin hidrohlorida se </w:t>
      </w:r>
      <w:r w:rsidR="002664C4" w:rsidRPr="00EB2BF2">
        <w:rPr>
          <w:bCs/>
          <w:sz w:val="22"/>
          <w:szCs w:val="22"/>
          <w:lang w:val="sr-Latn-RS"/>
        </w:rPr>
        <w:t>re</w:t>
      </w:r>
      <w:r w:rsidRPr="00EB2BF2">
        <w:rPr>
          <w:bCs/>
          <w:sz w:val="22"/>
          <w:szCs w:val="22"/>
          <w:lang w:val="sr-Latn-RS"/>
        </w:rPr>
        <w:t xml:space="preserve">sorbuje iz gastrointestinalnog trakta; koncentracije od 2 do 3 mikrograma po ml se javljaju u roku od jednog sata nakon doze od 150 mg klindamicina, sa prosječnim koncentracijama od oko 0,7 mikrograma po ml nakon 6 sati. Nakon doza od 300 i 600 mg prijavljene su </w:t>
      </w:r>
      <w:r w:rsidR="0056034C" w:rsidRPr="00EB2BF2">
        <w:rPr>
          <w:bCs/>
          <w:sz w:val="22"/>
          <w:szCs w:val="22"/>
          <w:lang w:val="sr-Latn-RS"/>
        </w:rPr>
        <w:t>maksimalne</w:t>
      </w:r>
      <w:r w:rsidRPr="00EB2BF2">
        <w:rPr>
          <w:bCs/>
          <w:sz w:val="22"/>
          <w:szCs w:val="22"/>
          <w:lang w:val="sr-Latn-RS"/>
        </w:rPr>
        <w:t xml:space="preserve"> koncentracije u plazmi od 4 odnosno 8 mikrograma po ml. </w:t>
      </w:r>
      <w:r w:rsidR="0056034C" w:rsidRPr="00EB2BF2">
        <w:rPr>
          <w:bCs/>
          <w:sz w:val="22"/>
          <w:szCs w:val="22"/>
          <w:lang w:val="sr-Latn-RS"/>
        </w:rPr>
        <w:t>Re</w:t>
      </w:r>
      <w:r w:rsidRPr="00EB2BF2">
        <w:rPr>
          <w:bCs/>
          <w:sz w:val="22"/>
          <w:szCs w:val="22"/>
          <w:lang w:val="sr-Latn-RS"/>
        </w:rPr>
        <w:t>sorpcija nije značajno smanjena</w:t>
      </w:r>
      <w:r w:rsidR="00B017B8" w:rsidRPr="00EB2BF2">
        <w:rPr>
          <w:bCs/>
          <w:sz w:val="22"/>
          <w:szCs w:val="22"/>
          <w:lang w:val="sr-Latn-RS"/>
        </w:rPr>
        <w:t xml:space="preserve"> prisustvom hrane</w:t>
      </w:r>
      <w:r w:rsidRPr="00EB2BF2">
        <w:rPr>
          <w:bCs/>
          <w:sz w:val="22"/>
          <w:szCs w:val="22"/>
          <w:lang w:val="sr-Latn-RS"/>
        </w:rPr>
        <w:t xml:space="preserve"> u stomak</w:t>
      </w:r>
      <w:r w:rsidR="00B017B8" w:rsidRPr="00EB2BF2">
        <w:rPr>
          <w:bCs/>
          <w:sz w:val="22"/>
          <w:szCs w:val="22"/>
          <w:lang w:val="sr-Latn-RS"/>
        </w:rPr>
        <w:t>u</w:t>
      </w:r>
      <w:r w:rsidRPr="00EB2BF2">
        <w:rPr>
          <w:bCs/>
          <w:sz w:val="22"/>
          <w:szCs w:val="22"/>
          <w:lang w:val="sr-Latn-RS"/>
        </w:rPr>
        <w:t xml:space="preserve">, ali brzina </w:t>
      </w:r>
      <w:r w:rsidR="00FD7B97" w:rsidRPr="00EB2BF2">
        <w:rPr>
          <w:bCs/>
          <w:sz w:val="22"/>
          <w:szCs w:val="22"/>
          <w:lang w:val="sr-Latn-RS"/>
        </w:rPr>
        <w:t>re</w:t>
      </w:r>
      <w:r w:rsidRPr="00EB2BF2">
        <w:rPr>
          <w:bCs/>
          <w:sz w:val="22"/>
          <w:szCs w:val="22"/>
          <w:lang w:val="sr-Latn-RS"/>
        </w:rPr>
        <w:t>sorpcije može biti smanjena.</w:t>
      </w:r>
    </w:p>
    <w:p w14:paraId="34F7A85A" w14:textId="77777777" w:rsidR="0005429E" w:rsidRPr="00EB2BF2" w:rsidRDefault="0005429E" w:rsidP="00B14E56">
      <w:pPr>
        <w:tabs>
          <w:tab w:val="left" w:pos="540"/>
          <w:tab w:val="left" w:pos="569"/>
        </w:tabs>
        <w:jc w:val="both"/>
        <w:rPr>
          <w:bCs/>
          <w:sz w:val="22"/>
          <w:szCs w:val="22"/>
          <w:lang w:val="sr-Latn-RS"/>
        </w:rPr>
      </w:pPr>
    </w:p>
    <w:p w14:paraId="1C024A02" w14:textId="77777777" w:rsidR="0005429E" w:rsidRPr="00EB2BF2" w:rsidRDefault="00B017B8" w:rsidP="00B14E56">
      <w:pPr>
        <w:tabs>
          <w:tab w:val="left" w:pos="540"/>
          <w:tab w:val="left" w:pos="569"/>
        </w:tabs>
        <w:jc w:val="both"/>
        <w:rPr>
          <w:bCs/>
          <w:sz w:val="22"/>
          <w:szCs w:val="22"/>
          <w:highlight w:val="yellow"/>
          <w:lang w:val="sr-Latn-RS"/>
        </w:rPr>
      </w:pPr>
      <w:r w:rsidRPr="00EB2BF2">
        <w:rPr>
          <w:bCs/>
          <w:sz w:val="22"/>
          <w:szCs w:val="22"/>
          <w:lang w:val="sr-Latn-RS"/>
        </w:rPr>
        <w:t xml:space="preserve">Klindamicin </w:t>
      </w:r>
      <w:r w:rsidR="00FD7B97" w:rsidRPr="00EB2BF2">
        <w:rPr>
          <w:bCs/>
          <w:sz w:val="22"/>
          <w:szCs w:val="22"/>
          <w:lang w:val="sr-Latn-RS"/>
        </w:rPr>
        <w:t>se</w:t>
      </w:r>
      <w:r w:rsidRPr="00EB2BF2">
        <w:rPr>
          <w:bCs/>
          <w:sz w:val="22"/>
          <w:szCs w:val="22"/>
          <w:lang w:val="sr-Latn-RS"/>
        </w:rPr>
        <w:t xml:space="preserve"> široko </w:t>
      </w:r>
      <w:r w:rsidR="0056034C" w:rsidRPr="00EB2BF2">
        <w:rPr>
          <w:bCs/>
          <w:sz w:val="22"/>
          <w:szCs w:val="22"/>
          <w:lang w:val="sr-Latn-RS"/>
        </w:rPr>
        <w:t>distribuira</w:t>
      </w:r>
      <w:r w:rsidRPr="00EB2BF2">
        <w:rPr>
          <w:bCs/>
          <w:sz w:val="22"/>
          <w:szCs w:val="22"/>
          <w:lang w:val="sr-Latn-RS"/>
        </w:rPr>
        <w:t xml:space="preserve"> u tjelesnim tečnostima i tkivima, uključujući kosti, ali </w:t>
      </w:r>
      <w:r w:rsidR="0056034C" w:rsidRPr="00EB2BF2">
        <w:rPr>
          <w:bCs/>
          <w:sz w:val="22"/>
          <w:szCs w:val="22"/>
          <w:lang w:val="sr-Latn-RS"/>
        </w:rPr>
        <w:t xml:space="preserve">ne dospijeva u cerebrospinalnu tečnost </w:t>
      </w:r>
      <w:r w:rsidRPr="00EB2BF2">
        <w:rPr>
          <w:bCs/>
          <w:sz w:val="22"/>
          <w:szCs w:val="22"/>
          <w:lang w:val="sr-Latn-RS"/>
        </w:rPr>
        <w:t xml:space="preserve">u značajnim koncentracijama. Difunduje preko placente u fetalnu cirkulaciju i prijavljeno je da se pojavljuje u majčinom mlijeku. Visoke koncentracije se javljaju u žuči. Akumulira se u leukocitima i makrofagima. Preko 90% klindamicina u cirkulaciji je vezano za proteine plazme. </w:t>
      </w:r>
      <w:r w:rsidRPr="00EB2BF2">
        <w:rPr>
          <w:i/>
          <w:sz w:val="22"/>
          <w:szCs w:val="22"/>
          <w:lang w:val="sr-Latn-RS"/>
        </w:rPr>
        <w:t>In vitro</w:t>
      </w:r>
      <w:r w:rsidRPr="00EB2BF2">
        <w:rPr>
          <w:bCs/>
          <w:sz w:val="22"/>
          <w:szCs w:val="22"/>
          <w:lang w:val="sr-Latn-RS"/>
        </w:rPr>
        <w:t xml:space="preserve"> studije na mikrozomima ljudske jetre i crijeva su pokazale da klindamicin</w:t>
      </w:r>
      <w:r w:rsidR="00FD7B97" w:rsidRPr="00EB2BF2">
        <w:rPr>
          <w:bCs/>
          <w:sz w:val="22"/>
          <w:szCs w:val="22"/>
          <w:lang w:val="sr-Latn-RS"/>
        </w:rPr>
        <w:t xml:space="preserve"> se</w:t>
      </w:r>
      <w:r w:rsidRPr="00EB2BF2">
        <w:rPr>
          <w:bCs/>
          <w:sz w:val="22"/>
          <w:szCs w:val="22"/>
          <w:lang w:val="sr-Latn-RS"/>
        </w:rPr>
        <w:t xml:space="preserve"> pretežno oksiduje </w:t>
      </w:r>
      <w:r w:rsidR="00FD7B97" w:rsidRPr="00EB2BF2">
        <w:rPr>
          <w:bCs/>
          <w:sz w:val="22"/>
          <w:szCs w:val="22"/>
          <w:lang w:val="sr-Latn-RS"/>
        </w:rPr>
        <w:t xml:space="preserve">putem </w:t>
      </w:r>
      <w:r w:rsidRPr="00EB2BF2">
        <w:rPr>
          <w:bCs/>
          <w:sz w:val="22"/>
          <w:szCs w:val="22"/>
          <w:lang w:val="sr-Latn-RS"/>
        </w:rPr>
        <w:t>C</w:t>
      </w:r>
      <w:r w:rsidR="0056034C" w:rsidRPr="00EB2BF2">
        <w:rPr>
          <w:bCs/>
          <w:sz w:val="22"/>
          <w:szCs w:val="22"/>
          <w:lang w:val="sr-Latn-RS"/>
        </w:rPr>
        <w:t>Y</w:t>
      </w:r>
      <w:r w:rsidRPr="00EB2BF2">
        <w:rPr>
          <w:bCs/>
          <w:sz w:val="22"/>
          <w:szCs w:val="22"/>
          <w:lang w:val="sr-Latn-RS"/>
        </w:rPr>
        <w:t>P3A4, uz manji doprinos C</w:t>
      </w:r>
      <w:r w:rsidR="0056034C" w:rsidRPr="00EB2BF2">
        <w:rPr>
          <w:bCs/>
          <w:sz w:val="22"/>
          <w:szCs w:val="22"/>
          <w:lang w:val="sr-Latn-RS"/>
        </w:rPr>
        <w:t>Y</w:t>
      </w:r>
      <w:r w:rsidRPr="00EB2BF2">
        <w:rPr>
          <w:bCs/>
          <w:sz w:val="22"/>
          <w:szCs w:val="22"/>
          <w:lang w:val="sr-Latn-RS"/>
        </w:rPr>
        <w:t xml:space="preserve">P3A5, da bi se formirao klindamicin sulfoksid i </w:t>
      </w:r>
      <w:r w:rsidR="0056034C" w:rsidRPr="00EB2BF2">
        <w:rPr>
          <w:bCs/>
          <w:sz w:val="22"/>
          <w:szCs w:val="22"/>
          <w:lang w:val="sr-Latn-RS"/>
        </w:rPr>
        <w:t>sporedni</w:t>
      </w:r>
      <w:r w:rsidRPr="00EB2BF2">
        <w:rPr>
          <w:bCs/>
          <w:sz w:val="22"/>
          <w:szCs w:val="22"/>
          <w:lang w:val="sr-Latn-RS"/>
        </w:rPr>
        <w:t xml:space="preserve"> metabolit, N-desmetilklindamicin. Poluvrijeme eliminacije je 2 do 3 sata, iako se može produžiti kod prijevremeno rođen</w:t>
      </w:r>
      <w:r w:rsidR="0056034C" w:rsidRPr="00EB2BF2">
        <w:rPr>
          <w:bCs/>
          <w:sz w:val="22"/>
          <w:szCs w:val="22"/>
          <w:lang w:val="sr-Latn-RS"/>
        </w:rPr>
        <w:t>e</w:t>
      </w:r>
      <w:r w:rsidRPr="00EB2BF2">
        <w:rPr>
          <w:bCs/>
          <w:sz w:val="22"/>
          <w:szCs w:val="22"/>
          <w:lang w:val="sr-Latn-RS"/>
        </w:rPr>
        <w:t xml:space="preserve"> novorođenčadi i pacijenata sa teškim oštećenjem bubrega.</w:t>
      </w:r>
      <w:r w:rsidRPr="00EB2BF2" w:rsidDel="00B017B8">
        <w:rPr>
          <w:bCs/>
          <w:sz w:val="22"/>
          <w:szCs w:val="22"/>
          <w:highlight w:val="yellow"/>
          <w:lang w:val="sr-Latn-RS"/>
        </w:rPr>
        <w:t xml:space="preserve"> </w:t>
      </w:r>
    </w:p>
    <w:p w14:paraId="1EDDE2E1" w14:textId="77777777" w:rsidR="00B017B8" w:rsidRPr="00EB2BF2" w:rsidRDefault="00B017B8" w:rsidP="00B14E56">
      <w:pPr>
        <w:tabs>
          <w:tab w:val="left" w:pos="540"/>
          <w:tab w:val="left" w:pos="569"/>
        </w:tabs>
        <w:jc w:val="both"/>
        <w:rPr>
          <w:bCs/>
          <w:sz w:val="22"/>
          <w:szCs w:val="22"/>
          <w:highlight w:val="yellow"/>
          <w:lang w:val="sr-Latn-RS"/>
        </w:rPr>
      </w:pPr>
    </w:p>
    <w:p w14:paraId="41559566" w14:textId="77777777" w:rsidR="0005429E" w:rsidRPr="00EB2BF2" w:rsidRDefault="00B017B8" w:rsidP="00B14E56">
      <w:pPr>
        <w:tabs>
          <w:tab w:val="left" w:pos="540"/>
          <w:tab w:val="left" w:pos="569"/>
        </w:tabs>
        <w:jc w:val="both"/>
        <w:rPr>
          <w:bCs/>
          <w:sz w:val="22"/>
          <w:szCs w:val="22"/>
          <w:highlight w:val="yellow"/>
          <w:lang w:val="sr-Latn-RS"/>
        </w:rPr>
      </w:pPr>
      <w:r w:rsidRPr="00EB2BF2">
        <w:rPr>
          <w:bCs/>
          <w:sz w:val="22"/>
          <w:szCs w:val="22"/>
          <w:lang w:val="sr-Latn-RS"/>
        </w:rPr>
        <w:t>Klindamicin se metaboliše, vjerovatno u jetri, do aktivnih N-demetil i sulfoksidnih metabolita, kao i do nekih neaktivnih metabolita. Oko 10% doze se izlučuje urinom kao aktivni lijek ili metaboliti, a oko 4% fecesom; ostatak se izlučuje kao neaktivni metaboliti. Izlučivanje je sporo i traje nekoliko dana. Ne uklanja se efikasno iz krvi dijalizom.</w:t>
      </w:r>
      <w:r w:rsidRPr="00EB2BF2" w:rsidDel="00B017B8">
        <w:rPr>
          <w:bCs/>
          <w:sz w:val="22"/>
          <w:szCs w:val="22"/>
          <w:highlight w:val="yellow"/>
          <w:lang w:val="sr-Latn-RS"/>
        </w:rPr>
        <w:t xml:space="preserve"> </w:t>
      </w:r>
    </w:p>
    <w:p w14:paraId="0B5144B9" w14:textId="77777777" w:rsidR="00B017B8" w:rsidRPr="00EB2BF2" w:rsidRDefault="00B017B8" w:rsidP="009617CF">
      <w:pPr>
        <w:tabs>
          <w:tab w:val="left" w:pos="540"/>
          <w:tab w:val="left" w:pos="569"/>
        </w:tabs>
        <w:jc w:val="both"/>
        <w:rPr>
          <w:bCs/>
          <w:sz w:val="22"/>
          <w:szCs w:val="22"/>
          <w:highlight w:val="yellow"/>
          <w:lang w:val="sr-Latn-RS"/>
        </w:rPr>
      </w:pPr>
    </w:p>
    <w:p w14:paraId="47C61871" w14:textId="77777777" w:rsidR="00366DB7" w:rsidRPr="00EB2BF2" w:rsidRDefault="00366DB7" w:rsidP="009617CF">
      <w:pPr>
        <w:tabs>
          <w:tab w:val="left" w:pos="540"/>
          <w:tab w:val="left" w:pos="569"/>
        </w:tabs>
        <w:jc w:val="both"/>
        <w:rPr>
          <w:b/>
          <w:sz w:val="22"/>
          <w:szCs w:val="22"/>
          <w:lang w:val="sr-Latn-RS"/>
        </w:rPr>
      </w:pPr>
      <w:r w:rsidRPr="00EB2BF2">
        <w:rPr>
          <w:b/>
          <w:sz w:val="22"/>
          <w:szCs w:val="22"/>
          <w:lang w:val="sr-Latn-RS"/>
        </w:rPr>
        <w:t>Gojazni pedijatrijski pacijenti uzrasta od 2 do manje od 18 godina i gojazni odrasli od 18 do 20 godina</w:t>
      </w:r>
    </w:p>
    <w:p w14:paraId="15A4797A" w14:textId="77777777" w:rsidR="00FF04C5" w:rsidRPr="00EB2BF2" w:rsidRDefault="00FF04C5" w:rsidP="009617CF">
      <w:pPr>
        <w:tabs>
          <w:tab w:val="left" w:pos="540"/>
          <w:tab w:val="left" w:pos="569"/>
        </w:tabs>
        <w:jc w:val="both"/>
        <w:rPr>
          <w:b/>
          <w:sz w:val="22"/>
          <w:szCs w:val="22"/>
          <w:lang w:val="sr-Latn-RS"/>
        </w:rPr>
      </w:pPr>
    </w:p>
    <w:p w14:paraId="61D4E94D" w14:textId="77777777" w:rsidR="004425EC" w:rsidRPr="00EB2BF2" w:rsidRDefault="00366DB7" w:rsidP="009617CF">
      <w:pPr>
        <w:tabs>
          <w:tab w:val="left" w:pos="540"/>
          <w:tab w:val="left" w:pos="569"/>
        </w:tabs>
        <w:jc w:val="both"/>
        <w:rPr>
          <w:sz w:val="22"/>
          <w:szCs w:val="22"/>
          <w:lang w:val="sr-Latn-RS"/>
        </w:rPr>
      </w:pPr>
      <w:r w:rsidRPr="00EB2BF2">
        <w:rPr>
          <w:sz w:val="22"/>
          <w:szCs w:val="22"/>
          <w:lang w:val="sr-Latn-RS"/>
        </w:rPr>
        <w:t xml:space="preserve">Analiza farmakokinetičkih podataka kod gojaznih pedijatrijskih pacijenata uzrasta od 2 do manje od 18 godina i gojaznih odraslih od 18 do 20 godina </w:t>
      </w:r>
      <w:r w:rsidRPr="00EB2BF2">
        <w:rPr>
          <w:bCs/>
          <w:sz w:val="22"/>
          <w:szCs w:val="22"/>
          <w:lang w:val="sr-Latn-RS"/>
        </w:rPr>
        <w:t>pokazal</w:t>
      </w:r>
      <w:r w:rsidR="0056034C" w:rsidRPr="00EB2BF2">
        <w:rPr>
          <w:bCs/>
          <w:sz w:val="22"/>
          <w:szCs w:val="22"/>
          <w:lang w:val="sr-Latn-RS"/>
        </w:rPr>
        <w:t>a je</w:t>
      </w:r>
      <w:r w:rsidRPr="00EB2BF2">
        <w:rPr>
          <w:sz w:val="22"/>
          <w:szCs w:val="22"/>
          <w:lang w:val="sr-Latn-RS"/>
        </w:rPr>
        <w:t xml:space="preserve"> da su klirens klindamicina i volumen distribucije normalizovani u odnosu na ukupnu tjelesnu težinu i uporedivi su bez obzira na gojaznost.</w:t>
      </w:r>
    </w:p>
    <w:p w14:paraId="400720B7" w14:textId="5DC1FEB2" w:rsidR="000D3E06" w:rsidRDefault="000D3E06" w:rsidP="009617CF">
      <w:pPr>
        <w:tabs>
          <w:tab w:val="left" w:pos="540"/>
          <w:tab w:val="left" w:pos="569"/>
        </w:tabs>
        <w:jc w:val="both"/>
        <w:rPr>
          <w:bCs/>
          <w:sz w:val="22"/>
          <w:szCs w:val="22"/>
          <w:lang w:val="sr-Latn-RS"/>
        </w:rPr>
      </w:pPr>
    </w:p>
    <w:p w14:paraId="7654E813" w14:textId="14568C8E" w:rsidR="00EB2BF2" w:rsidRDefault="00EB2BF2" w:rsidP="009617CF">
      <w:pPr>
        <w:tabs>
          <w:tab w:val="left" w:pos="540"/>
          <w:tab w:val="left" w:pos="569"/>
        </w:tabs>
        <w:jc w:val="both"/>
        <w:rPr>
          <w:bCs/>
          <w:sz w:val="22"/>
          <w:szCs w:val="22"/>
          <w:lang w:val="sr-Latn-RS"/>
        </w:rPr>
      </w:pPr>
    </w:p>
    <w:p w14:paraId="575AD364" w14:textId="4336AF35" w:rsidR="00EB2BF2" w:rsidRDefault="00EB2BF2" w:rsidP="009617CF">
      <w:pPr>
        <w:tabs>
          <w:tab w:val="left" w:pos="540"/>
          <w:tab w:val="left" w:pos="569"/>
        </w:tabs>
        <w:jc w:val="both"/>
        <w:rPr>
          <w:bCs/>
          <w:sz w:val="22"/>
          <w:szCs w:val="22"/>
          <w:lang w:val="sr-Latn-RS"/>
        </w:rPr>
      </w:pPr>
    </w:p>
    <w:p w14:paraId="23EC61C4" w14:textId="669755D3" w:rsidR="00EB2BF2" w:rsidRDefault="00EB2BF2" w:rsidP="009617CF">
      <w:pPr>
        <w:tabs>
          <w:tab w:val="left" w:pos="540"/>
          <w:tab w:val="left" w:pos="569"/>
        </w:tabs>
        <w:jc w:val="both"/>
        <w:rPr>
          <w:bCs/>
          <w:sz w:val="22"/>
          <w:szCs w:val="22"/>
          <w:lang w:val="sr-Latn-RS"/>
        </w:rPr>
      </w:pPr>
    </w:p>
    <w:p w14:paraId="56C46A46" w14:textId="77777777" w:rsidR="00EB2BF2" w:rsidRPr="00EB2BF2" w:rsidRDefault="00EB2BF2" w:rsidP="009617CF">
      <w:pPr>
        <w:tabs>
          <w:tab w:val="left" w:pos="540"/>
          <w:tab w:val="left" w:pos="569"/>
        </w:tabs>
        <w:jc w:val="both"/>
        <w:rPr>
          <w:bCs/>
          <w:sz w:val="22"/>
          <w:szCs w:val="22"/>
          <w:lang w:val="sr-Latn-RS"/>
        </w:rPr>
      </w:pPr>
    </w:p>
    <w:p w14:paraId="6C7EDBFA" w14:textId="77777777" w:rsidR="0072020E" w:rsidRPr="00EB2BF2" w:rsidRDefault="0072020E" w:rsidP="009617CF">
      <w:pPr>
        <w:tabs>
          <w:tab w:val="left" w:pos="540"/>
          <w:tab w:val="left" w:pos="569"/>
        </w:tabs>
        <w:jc w:val="both"/>
        <w:rPr>
          <w:b/>
          <w:bCs/>
          <w:sz w:val="22"/>
          <w:szCs w:val="22"/>
          <w:lang w:val="sr-Latn-RS"/>
        </w:rPr>
      </w:pPr>
      <w:r w:rsidRPr="00EB2BF2">
        <w:rPr>
          <w:b/>
          <w:bCs/>
          <w:sz w:val="22"/>
          <w:szCs w:val="22"/>
          <w:lang w:val="sr-Latn-RS"/>
        </w:rPr>
        <w:lastRenderedPageBreak/>
        <w:t xml:space="preserve">5.3. </w:t>
      </w:r>
      <w:r w:rsidR="00480FB1" w:rsidRPr="00EB2BF2">
        <w:rPr>
          <w:b/>
          <w:bCs/>
          <w:sz w:val="22"/>
          <w:szCs w:val="22"/>
          <w:lang w:val="sr-Latn-RS"/>
        </w:rPr>
        <w:tab/>
      </w:r>
      <w:r w:rsidRPr="00EB2BF2">
        <w:rPr>
          <w:b/>
          <w:bCs/>
          <w:sz w:val="22"/>
          <w:szCs w:val="22"/>
          <w:lang w:val="sr-Latn-RS"/>
        </w:rPr>
        <w:t xml:space="preserve">Pretklinički podaci o bezbjednosti </w:t>
      </w:r>
    </w:p>
    <w:p w14:paraId="59C9FB4E" w14:textId="77777777" w:rsidR="00DF017B" w:rsidRPr="00EB2BF2" w:rsidRDefault="00DF017B" w:rsidP="009617CF">
      <w:pPr>
        <w:tabs>
          <w:tab w:val="left" w:pos="540"/>
          <w:tab w:val="left" w:pos="569"/>
        </w:tabs>
        <w:jc w:val="both"/>
        <w:rPr>
          <w:b/>
          <w:bCs/>
          <w:sz w:val="22"/>
          <w:szCs w:val="22"/>
          <w:lang w:val="sr-Latn-RS"/>
        </w:rPr>
      </w:pPr>
    </w:p>
    <w:p w14:paraId="34BAD859" w14:textId="77777777" w:rsidR="00836B35" w:rsidRPr="00EB2BF2" w:rsidRDefault="00DF017B" w:rsidP="009617CF">
      <w:pPr>
        <w:tabs>
          <w:tab w:val="left" w:pos="540"/>
          <w:tab w:val="left" w:pos="569"/>
        </w:tabs>
        <w:jc w:val="both"/>
        <w:rPr>
          <w:bCs/>
          <w:sz w:val="22"/>
          <w:szCs w:val="22"/>
          <w:lang w:val="sr-Latn-RS"/>
        </w:rPr>
      </w:pPr>
      <w:r w:rsidRPr="00EB2BF2">
        <w:rPr>
          <w:bCs/>
          <w:sz w:val="22"/>
          <w:szCs w:val="22"/>
          <w:lang w:val="sr-Latn-RS"/>
        </w:rPr>
        <w:t>Do ovog trenutka ne postoje dokazi o teratogenom efektu kod životinja niti kod ljudi.</w:t>
      </w:r>
    </w:p>
    <w:p w14:paraId="7F0A8F37" w14:textId="77777777" w:rsidR="00DF017B" w:rsidRPr="00EB2BF2" w:rsidRDefault="00DF017B" w:rsidP="009617CF">
      <w:pPr>
        <w:tabs>
          <w:tab w:val="left" w:pos="540"/>
          <w:tab w:val="left" w:pos="569"/>
        </w:tabs>
        <w:jc w:val="both"/>
        <w:rPr>
          <w:bCs/>
          <w:sz w:val="22"/>
          <w:szCs w:val="22"/>
          <w:u w:val="single"/>
          <w:lang w:val="sr-Latn-RS"/>
        </w:rPr>
      </w:pPr>
    </w:p>
    <w:p w14:paraId="53253CB9" w14:textId="77777777" w:rsidR="00DF017B" w:rsidRPr="00EB2BF2" w:rsidRDefault="00DF017B" w:rsidP="009617CF">
      <w:pPr>
        <w:tabs>
          <w:tab w:val="left" w:pos="540"/>
          <w:tab w:val="left" w:pos="569"/>
        </w:tabs>
        <w:jc w:val="both"/>
        <w:rPr>
          <w:bCs/>
          <w:sz w:val="22"/>
          <w:szCs w:val="22"/>
          <w:u w:val="single"/>
          <w:lang w:val="sr-Latn-RS"/>
        </w:rPr>
      </w:pPr>
      <w:r w:rsidRPr="00EB2BF2">
        <w:rPr>
          <w:bCs/>
          <w:sz w:val="22"/>
          <w:szCs w:val="22"/>
          <w:u w:val="single"/>
          <w:lang w:val="sr-Latn-RS"/>
        </w:rPr>
        <w:t>Karcinogeneza:</w:t>
      </w:r>
    </w:p>
    <w:p w14:paraId="569755E7" w14:textId="77777777" w:rsidR="00DF017B" w:rsidRPr="00EB2BF2" w:rsidRDefault="00DF017B" w:rsidP="004F3E76">
      <w:pPr>
        <w:tabs>
          <w:tab w:val="left" w:pos="540"/>
          <w:tab w:val="left" w:pos="569"/>
        </w:tabs>
        <w:jc w:val="both"/>
        <w:rPr>
          <w:bCs/>
          <w:sz w:val="22"/>
          <w:szCs w:val="22"/>
          <w:lang w:val="sr-Latn-RS"/>
        </w:rPr>
      </w:pPr>
    </w:p>
    <w:p w14:paraId="06C770D0" w14:textId="77777777" w:rsidR="00DF017B" w:rsidRPr="00EB2BF2" w:rsidRDefault="00A372C7" w:rsidP="009617CF">
      <w:pPr>
        <w:tabs>
          <w:tab w:val="left" w:pos="540"/>
          <w:tab w:val="left" w:pos="569"/>
        </w:tabs>
        <w:jc w:val="both"/>
        <w:rPr>
          <w:bCs/>
          <w:sz w:val="22"/>
          <w:szCs w:val="22"/>
          <w:lang w:val="sr-Latn-RS"/>
        </w:rPr>
      </w:pPr>
      <w:r w:rsidRPr="00EB2BF2">
        <w:rPr>
          <w:bCs/>
          <w:sz w:val="22"/>
          <w:szCs w:val="22"/>
          <w:lang w:val="sr-Latn-RS"/>
        </w:rPr>
        <w:t>Ni</w:t>
      </w:r>
      <w:r w:rsidR="0056034C" w:rsidRPr="00EB2BF2">
        <w:rPr>
          <w:bCs/>
          <w:sz w:val="22"/>
          <w:szCs w:val="22"/>
          <w:lang w:val="sr-Latn-RS"/>
        </w:rPr>
        <w:t>je</w:t>
      </w:r>
      <w:r w:rsidRPr="00EB2BF2">
        <w:rPr>
          <w:bCs/>
          <w:sz w:val="22"/>
          <w:szCs w:val="22"/>
          <w:lang w:val="sr-Latn-RS"/>
        </w:rPr>
        <w:t>su rađene dugotrajne</w:t>
      </w:r>
      <w:r w:rsidR="00DF017B" w:rsidRPr="00EB2BF2">
        <w:rPr>
          <w:bCs/>
          <w:sz w:val="22"/>
          <w:szCs w:val="22"/>
          <w:lang w:val="sr-Latn-RS"/>
        </w:rPr>
        <w:t xml:space="preserve"> studije sa lijekom </w:t>
      </w:r>
      <w:r w:rsidR="00670431" w:rsidRPr="00EB2BF2">
        <w:rPr>
          <w:bCs/>
          <w:sz w:val="22"/>
          <w:szCs w:val="22"/>
          <w:lang w:val="sr-Latn-RS"/>
        </w:rPr>
        <w:t>Clindamycin-MIP</w:t>
      </w:r>
      <w:r w:rsidR="00DF017B" w:rsidRPr="00EB2BF2">
        <w:rPr>
          <w:bCs/>
          <w:sz w:val="22"/>
          <w:szCs w:val="22"/>
          <w:lang w:val="sr-Latn-RS"/>
        </w:rPr>
        <w:t xml:space="preserve"> na životinjama da bi se procijenio karcinogeni potencijal.</w:t>
      </w:r>
    </w:p>
    <w:p w14:paraId="2C3F92A3" w14:textId="77777777" w:rsidR="00DF017B" w:rsidRPr="00EB2BF2" w:rsidRDefault="00DF017B" w:rsidP="009617CF">
      <w:pPr>
        <w:tabs>
          <w:tab w:val="left" w:pos="540"/>
          <w:tab w:val="left" w:pos="569"/>
        </w:tabs>
        <w:jc w:val="both"/>
        <w:rPr>
          <w:bCs/>
          <w:sz w:val="22"/>
          <w:szCs w:val="22"/>
          <w:lang w:val="sr-Latn-RS"/>
        </w:rPr>
      </w:pPr>
    </w:p>
    <w:p w14:paraId="1DE93E19" w14:textId="77777777" w:rsidR="00DF017B" w:rsidRPr="00EB2BF2" w:rsidRDefault="00DF017B" w:rsidP="009617CF">
      <w:pPr>
        <w:tabs>
          <w:tab w:val="left" w:pos="540"/>
          <w:tab w:val="left" w:pos="569"/>
        </w:tabs>
        <w:jc w:val="both"/>
        <w:rPr>
          <w:bCs/>
          <w:sz w:val="22"/>
          <w:szCs w:val="22"/>
          <w:u w:val="single"/>
          <w:lang w:val="sr-Latn-RS"/>
        </w:rPr>
      </w:pPr>
      <w:r w:rsidRPr="00EB2BF2">
        <w:rPr>
          <w:bCs/>
          <w:sz w:val="22"/>
          <w:szCs w:val="22"/>
          <w:u w:val="single"/>
          <w:lang w:val="sr-Latn-RS"/>
        </w:rPr>
        <w:t>Mutageneza:</w:t>
      </w:r>
    </w:p>
    <w:p w14:paraId="1800187B" w14:textId="77777777" w:rsidR="00DF017B" w:rsidRPr="00EB2BF2" w:rsidRDefault="00DF017B" w:rsidP="004F3E76">
      <w:pPr>
        <w:tabs>
          <w:tab w:val="left" w:pos="540"/>
          <w:tab w:val="left" w:pos="569"/>
        </w:tabs>
        <w:jc w:val="both"/>
        <w:rPr>
          <w:bCs/>
          <w:sz w:val="22"/>
          <w:szCs w:val="22"/>
          <w:lang w:val="sr-Latn-RS"/>
        </w:rPr>
      </w:pPr>
    </w:p>
    <w:p w14:paraId="56B7E087" w14:textId="77777777" w:rsidR="004F7D4F" w:rsidRPr="00EB2BF2" w:rsidRDefault="004F7D4F" w:rsidP="009617CF">
      <w:pPr>
        <w:tabs>
          <w:tab w:val="left" w:pos="540"/>
          <w:tab w:val="left" w:pos="569"/>
        </w:tabs>
        <w:jc w:val="both"/>
        <w:rPr>
          <w:bCs/>
          <w:sz w:val="22"/>
          <w:szCs w:val="22"/>
          <w:lang w:val="sr-Latn-RS"/>
        </w:rPr>
      </w:pPr>
      <w:r w:rsidRPr="00EB2BF2">
        <w:rPr>
          <w:bCs/>
          <w:sz w:val="22"/>
          <w:szCs w:val="22"/>
          <w:lang w:val="sr-Latn-RS"/>
        </w:rPr>
        <w:t>Rađeni su testovi genotoksičnosti (mikronukleusni test pacova i Ames-ov test reverznih mutacija na salmoneli). Oba testa su bila negativna.</w:t>
      </w:r>
    </w:p>
    <w:p w14:paraId="672D7D92" w14:textId="77777777" w:rsidR="00DF017B" w:rsidRPr="00EB2BF2" w:rsidRDefault="00DF017B" w:rsidP="009617CF">
      <w:pPr>
        <w:tabs>
          <w:tab w:val="left" w:pos="540"/>
          <w:tab w:val="left" w:pos="569"/>
        </w:tabs>
        <w:jc w:val="both"/>
        <w:rPr>
          <w:bCs/>
          <w:sz w:val="22"/>
          <w:szCs w:val="22"/>
          <w:lang w:val="sr-Latn-RS"/>
        </w:rPr>
      </w:pPr>
    </w:p>
    <w:p w14:paraId="573744C5" w14:textId="77777777" w:rsidR="00DF017B" w:rsidRPr="00EB2BF2" w:rsidRDefault="00DF017B" w:rsidP="009617CF">
      <w:pPr>
        <w:tabs>
          <w:tab w:val="left" w:pos="540"/>
          <w:tab w:val="left" w:pos="569"/>
        </w:tabs>
        <w:jc w:val="both"/>
        <w:rPr>
          <w:bCs/>
          <w:sz w:val="22"/>
          <w:szCs w:val="22"/>
          <w:u w:val="single"/>
          <w:lang w:val="sr-Latn-RS"/>
        </w:rPr>
      </w:pPr>
      <w:r w:rsidRPr="00EB2BF2">
        <w:rPr>
          <w:bCs/>
          <w:sz w:val="22"/>
          <w:szCs w:val="22"/>
          <w:u w:val="single"/>
          <w:lang w:val="sr-Latn-RS"/>
        </w:rPr>
        <w:t>Uticaj na fertilitet:</w:t>
      </w:r>
    </w:p>
    <w:p w14:paraId="7E5627A2" w14:textId="77777777" w:rsidR="00DF017B" w:rsidRPr="00EB2BF2" w:rsidRDefault="00DF017B" w:rsidP="004F3E76">
      <w:pPr>
        <w:tabs>
          <w:tab w:val="left" w:pos="540"/>
          <w:tab w:val="left" w:pos="569"/>
        </w:tabs>
        <w:jc w:val="both"/>
        <w:rPr>
          <w:bCs/>
          <w:sz w:val="22"/>
          <w:szCs w:val="22"/>
          <w:lang w:val="sr-Latn-RS"/>
        </w:rPr>
      </w:pPr>
    </w:p>
    <w:p w14:paraId="4A3B6B89" w14:textId="77777777" w:rsidR="00DF017B" w:rsidRPr="00EB2BF2" w:rsidRDefault="00DF017B" w:rsidP="00614005">
      <w:pPr>
        <w:tabs>
          <w:tab w:val="left" w:pos="540"/>
          <w:tab w:val="left" w:pos="569"/>
        </w:tabs>
        <w:jc w:val="both"/>
        <w:rPr>
          <w:bCs/>
          <w:sz w:val="22"/>
          <w:szCs w:val="22"/>
          <w:lang w:val="sr-Latn-RS"/>
        </w:rPr>
      </w:pPr>
      <w:r w:rsidRPr="00EB2BF2">
        <w:rPr>
          <w:bCs/>
          <w:sz w:val="22"/>
          <w:szCs w:val="22"/>
          <w:lang w:val="sr-Latn-RS"/>
        </w:rPr>
        <w:t>Stud</w:t>
      </w:r>
      <w:r w:rsidR="00A372C7" w:rsidRPr="00EB2BF2">
        <w:rPr>
          <w:bCs/>
          <w:sz w:val="22"/>
          <w:szCs w:val="22"/>
          <w:lang w:val="sr-Latn-RS"/>
        </w:rPr>
        <w:t>ije fertil</w:t>
      </w:r>
      <w:r w:rsidR="0066777D" w:rsidRPr="00EB2BF2">
        <w:rPr>
          <w:bCs/>
          <w:sz w:val="22"/>
          <w:szCs w:val="22"/>
          <w:lang w:val="sr-Latn-RS"/>
        </w:rPr>
        <w:t>iteta</w:t>
      </w:r>
      <w:r w:rsidRPr="00EB2BF2">
        <w:rPr>
          <w:bCs/>
          <w:sz w:val="22"/>
          <w:szCs w:val="22"/>
          <w:lang w:val="sr-Latn-RS"/>
        </w:rPr>
        <w:t xml:space="preserve"> na pacovima</w:t>
      </w:r>
      <w:r w:rsidR="0066777D" w:rsidRPr="00EB2BF2">
        <w:rPr>
          <w:bCs/>
          <w:sz w:val="22"/>
          <w:szCs w:val="22"/>
          <w:lang w:val="sr-Latn-RS"/>
        </w:rPr>
        <w:t xml:space="preserve"> kada je klindamicin primijenjen</w:t>
      </w:r>
      <w:r w:rsidRPr="00EB2BF2">
        <w:rPr>
          <w:bCs/>
          <w:sz w:val="22"/>
          <w:szCs w:val="22"/>
          <w:lang w:val="sr-Latn-RS"/>
        </w:rPr>
        <w:t xml:space="preserve"> oralno</w:t>
      </w:r>
      <w:r w:rsidR="0066777D" w:rsidRPr="00EB2BF2">
        <w:rPr>
          <w:bCs/>
          <w:sz w:val="22"/>
          <w:szCs w:val="22"/>
          <w:lang w:val="sr-Latn-RS"/>
        </w:rPr>
        <w:t xml:space="preserve"> u</w:t>
      </w:r>
      <w:r w:rsidRPr="00EB2BF2">
        <w:rPr>
          <w:bCs/>
          <w:sz w:val="22"/>
          <w:szCs w:val="22"/>
          <w:lang w:val="sr-Latn-RS"/>
        </w:rPr>
        <w:t xml:space="preserve"> dozama do 300 mg/kg/dan (</w:t>
      </w:r>
      <w:r w:rsidR="0066777D" w:rsidRPr="00EB2BF2">
        <w:rPr>
          <w:bCs/>
          <w:sz w:val="22"/>
          <w:szCs w:val="22"/>
          <w:lang w:val="sr-Latn-RS"/>
        </w:rPr>
        <w:t>dan (što predstavlja 1,1 puta veću od najveće preporučene doze kod ljudi</w:t>
      </w:r>
      <w:r w:rsidR="0066777D" w:rsidRPr="00EB2BF2" w:rsidDel="0066777D">
        <w:rPr>
          <w:bCs/>
          <w:sz w:val="22"/>
          <w:szCs w:val="22"/>
          <w:lang w:val="sr-Latn-RS"/>
        </w:rPr>
        <w:t xml:space="preserve"> </w:t>
      </w:r>
      <w:r w:rsidRPr="00EB2BF2">
        <w:rPr>
          <w:bCs/>
          <w:sz w:val="22"/>
          <w:szCs w:val="22"/>
          <w:lang w:val="sr-Latn-RS"/>
        </w:rPr>
        <w:t>bazirano na mg/m</w:t>
      </w:r>
      <w:r w:rsidRPr="00EB2BF2">
        <w:rPr>
          <w:bCs/>
          <w:sz w:val="22"/>
          <w:szCs w:val="22"/>
          <w:vertAlign w:val="superscript"/>
          <w:lang w:val="sr-Latn-RS"/>
        </w:rPr>
        <w:t>2</w:t>
      </w:r>
      <w:r w:rsidRPr="00EB2BF2">
        <w:rPr>
          <w:bCs/>
          <w:sz w:val="22"/>
          <w:szCs w:val="22"/>
          <w:lang w:val="sr-Latn-RS"/>
        </w:rPr>
        <w:t>) ni</w:t>
      </w:r>
      <w:r w:rsidR="00A372C7" w:rsidRPr="00EB2BF2">
        <w:rPr>
          <w:bCs/>
          <w:sz w:val="22"/>
          <w:szCs w:val="22"/>
          <w:lang w:val="sr-Latn-RS"/>
        </w:rPr>
        <w:t>je</w:t>
      </w:r>
      <w:r w:rsidRPr="00EB2BF2">
        <w:rPr>
          <w:bCs/>
          <w:sz w:val="22"/>
          <w:szCs w:val="22"/>
          <w:lang w:val="sr-Latn-RS"/>
        </w:rPr>
        <w:t>su pokazale nikakav efekat na fertilitet ili sposobnost parenja.</w:t>
      </w:r>
    </w:p>
    <w:p w14:paraId="64994002" w14:textId="77777777" w:rsidR="00DF017B" w:rsidRPr="00EB2BF2" w:rsidRDefault="00DF017B" w:rsidP="00614005">
      <w:pPr>
        <w:tabs>
          <w:tab w:val="left" w:pos="540"/>
          <w:tab w:val="left" w:pos="569"/>
        </w:tabs>
        <w:jc w:val="both"/>
        <w:rPr>
          <w:bCs/>
          <w:sz w:val="22"/>
          <w:szCs w:val="22"/>
          <w:lang w:val="sr-Latn-RS"/>
        </w:rPr>
      </w:pPr>
    </w:p>
    <w:p w14:paraId="66397360" w14:textId="77777777" w:rsidR="00DF017B" w:rsidRPr="00EB2BF2" w:rsidRDefault="00DF017B" w:rsidP="00614005">
      <w:pPr>
        <w:tabs>
          <w:tab w:val="left" w:pos="540"/>
          <w:tab w:val="left" w:pos="569"/>
        </w:tabs>
        <w:jc w:val="both"/>
        <w:rPr>
          <w:bCs/>
          <w:sz w:val="22"/>
          <w:szCs w:val="22"/>
          <w:lang w:val="sr-Latn-RS"/>
        </w:rPr>
      </w:pPr>
      <w:r w:rsidRPr="00EB2BF2">
        <w:rPr>
          <w:bCs/>
          <w:sz w:val="22"/>
          <w:szCs w:val="22"/>
          <w:lang w:val="sr-Latn-RS"/>
        </w:rPr>
        <w:t xml:space="preserve">U studijama embrio-fetalnog razvoja na pacovima </w:t>
      </w:r>
      <w:r w:rsidR="00EB4249" w:rsidRPr="00EB2BF2">
        <w:rPr>
          <w:bCs/>
          <w:sz w:val="22"/>
          <w:szCs w:val="22"/>
          <w:lang w:val="sr-Latn-RS"/>
        </w:rPr>
        <w:t xml:space="preserve">(oralno primijenjen klindamicin) </w:t>
      </w:r>
      <w:r w:rsidRPr="00EB2BF2">
        <w:rPr>
          <w:bCs/>
          <w:sz w:val="22"/>
          <w:szCs w:val="22"/>
          <w:lang w:val="sr-Latn-RS"/>
        </w:rPr>
        <w:t xml:space="preserve">i studijama embrio-fetalnog razvoja na pacovima i </w:t>
      </w:r>
      <w:r w:rsidR="00A372C7" w:rsidRPr="00EB2BF2">
        <w:rPr>
          <w:bCs/>
          <w:sz w:val="22"/>
          <w:szCs w:val="22"/>
          <w:lang w:val="sr-Latn-RS"/>
        </w:rPr>
        <w:t>kunićima</w:t>
      </w:r>
      <w:r w:rsidRPr="00EB2BF2">
        <w:rPr>
          <w:bCs/>
          <w:sz w:val="22"/>
          <w:szCs w:val="22"/>
          <w:lang w:val="sr-Latn-RS"/>
        </w:rPr>
        <w:t xml:space="preserve"> </w:t>
      </w:r>
      <w:r w:rsidR="00EB4249" w:rsidRPr="00EB2BF2">
        <w:rPr>
          <w:bCs/>
          <w:sz w:val="22"/>
          <w:szCs w:val="22"/>
          <w:lang w:val="sr-Latn-RS"/>
        </w:rPr>
        <w:t xml:space="preserve">(potkožno primijenje klindamicin) </w:t>
      </w:r>
      <w:r w:rsidRPr="00EB2BF2">
        <w:rPr>
          <w:bCs/>
          <w:sz w:val="22"/>
          <w:szCs w:val="22"/>
          <w:lang w:val="sr-Latn-RS"/>
        </w:rPr>
        <w:t xml:space="preserve">nije </w:t>
      </w:r>
      <w:r w:rsidR="00A372C7" w:rsidRPr="00EB2BF2">
        <w:rPr>
          <w:bCs/>
          <w:sz w:val="22"/>
          <w:szCs w:val="22"/>
          <w:lang w:val="sr-Latn-RS"/>
        </w:rPr>
        <w:t>primijećen</w:t>
      </w:r>
      <w:r w:rsidRPr="00EB2BF2">
        <w:rPr>
          <w:bCs/>
          <w:sz w:val="22"/>
          <w:szCs w:val="22"/>
          <w:lang w:val="sr-Latn-RS"/>
        </w:rPr>
        <w:t xml:space="preserve"> razvoj toksičnosti</w:t>
      </w:r>
      <w:r w:rsidR="00A372C7" w:rsidRPr="00EB2BF2">
        <w:rPr>
          <w:bCs/>
          <w:sz w:val="22"/>
          <w:szCs w:val="22"/>
          <w:lang w:val="sr-Latn-RS"/>
        </w:rPr>
        <w:t>,</w:t>
      </w:r>
      <w:r w:rsidRPr="00EB2BF2">
        <w:rPr>
          <w:bCs/>
          <w:sz w:val="22"/>
          <w:szCs w:val="22"/>
          <w:lang w:val="sr-Latn-RS"/>
        </w:rPr>
        <w:t xml:space="preserve"> osim pri dozama koje su izazivale toksičnost kod majke.</w:t>
      </w:r>
    </w:p>
    <w:p w14:paraId="450C243C" w14:textId="5C980824" w:rsidR="00396DFD" w:rsidRPr="00EB2BF2" w:rsidRDefault="00396DFD" w:rsidP="00480FB1">
      <w:pPr>
        <w:tabs>
          <w:tab w:val="left" w:pos="540"/>
          <w:tab w:val="left" w:pos="569"/>
        </w:tabs>
        <w:rPr>
          <w:b/>
          <w:bCs/>
          <w:sz w:val="22"/>
          <w:szCs w:val="22"/>
          <w:lang w:val="sr-Latn-RS"/>
        </w:rPr>
      </w:pPr>
    </w:p>
    <w:p w14:paraId="4F7D2CB0" w14:textId="77777777" w:rsidR="00AC7040" w:rsidRPr="00EB2BF2" w:rsidRDefault="00AC7040" w:rsidP="00480FB1">
      <w:pPr>
        <w:tabs>
          <w:tab w:val="left" w:pos="540"/>
          <w:tab w:val="left" w:pos="569"/>
        </w:tabs>
        <w:rPr>
          <w:b/>
          <w:bCs/>
          <w:sz w:val="22"/>
          <w:szCs w:val="22"/>
          <w:lang w:val="sr-Latn-RS"/>
        </w:rPr>
      </w:pPr>
    </w:p>
    <w:p w14:paraId="7DD6DD05" w14:textId="77777777" w:rsidR="0072020E" w:rsidRPr="00EB2BF2" w:rsidRDefault="0072020E" w:rsidP="00480FB1">
      <w:pPr>
        <w:tabs>
          <w:tab w:val="left" w:pos="540"/>
          <w:tab w:val="left" w:pos="569"/>
        </w:tabs>
        <w:rPr>
          <w:b/>
          <w:bCs/>
          <w:sz w:val="22"/>
          <w:szCs w:val="22"/>
          <w:lang w:val="sr-Latn-RS"/>
        </w:rPr>
      </w:pPr>
      <w:r w:rsidRPr="00EB2BF2">
        <w:rPr>
          <w:b/>
          <w:bCs/>
          <w:sz w:val="22"/>
          <w:szCs w:val="22"/>
          <w:lang w:val="sr-Latn-RS"/>
        </w:rPr>
        <w:t xml:space="preserve">6. </w:t>
      </w:r>
      <w:r w:rsidR="00480FB1" w:rsidRPr="00EB2BF2">
        <w:rPr>
          <w:b/>
          <w:bCs/>
          <w:sz w:val="22"/>
          <w:szCs w:val="22"/>
          <w:lang w:val="sr-Latn-RS"/>
        </w:rPr>
        <w:tab/>
      </w:r>
      <w:r w:rsidRPr="00EB2BF2">
        <w:rPr>
          <w:b/>
          <w:bCs/>
          <w:sz w:val="22"/>
          <w:szCs w:val="22"/>
          <w:lang w:val="sr-Latn-RS"/>
        </w:rPr>
        <w:t>FARMACEUTSKI PODACI</w:t>
      </w:r>
    </w:p>
    <w:p w14:paraId="36EA171B" w14:textId="77777777" w:rsidR="00836B35" w:rsidRPr="00EB2BF2" w:rsidRDefault="00836B35" w:rsidP="00480FB1">
      <w:pPr>
        <w:tabs>
          <w:tab w:val="left" w:pos="540"/>
          <w:tab w:val="left" w:pos="569"/>
        </w:tabs>
        <w:rPr>
          <w:bCs/>
          <w:sz w:val="22"/>
          <w:szCs w:val="22"/>
          <w:lang w:val="sr-Latn-RS"/>
        </w:rPr>
      </w:pPr>
    </w:p>
    <w:p w14:paraId="4D853E40" w14:textId="77777777" w:rsidR="0072020E" w:rsidRPr="00EB2BF2" w:rsidRDefault="0072020E" w:rsidP="00480FB1">
      <w:pPr>
        <w:tabs>
          <w:tab w:val="left" w:pos="540"/>
          <w:tab w:val="left" w:pos="569"/>
        </w:tabs>
        <w:rPr>
          <w:b/>
          <w:bCs/>
          <w:sz w:val="22"/>
          <w:szCs w:val="22"/>
          <w:lang w:val="sr-Latn-RS"/>
        </w:rPr>
      </w:pPr>
      <w:r w:rsidRPr="00EB2BF2">
        <w:rPr>
          <w:b/>
          <w:bCs/>
          <w:sz w:val="22"/>
          <w:szCs w:val="22"/>
          <w:lang w:val="sr-Latn-RS"/>
        </w:rPr>
        <w:t xml:space="preserve">6.1. </w:t>
      </w:r>
      <w:r w:rsidR="00480FB1" w:rsidRPr="00EB2BF2">
        <w:rPr>
          <w:b/>
          <w:bCs/>
          <w:sz w:val="22"/>
          <w:szCs w:val="22"/>
          <w:lang w:val="sr-Latn-RS"/>
        </w:rPr>
        <w:tab/>
      </w:r>
      <w:r w:rsidRPr="00EB2BF2">
        <w:rPr>
          <w:b/>
          <w:bCs/>
          <w:sz w:val="22"/>
          <w:szCs w:val="22"/>
          <w:lang w:val="sr-Latn-RS"/>
        </w:rPr>
        <w:t>Lista pomoćnih supstanci</w:t>
      </w:r>
      <w:r w:rsidR="009D5D21" w:rsidRPr="00EB2BF2">
        <w:rPr>
          <w:b/>
          <w:bCs/>
          <w:sz w:val="22"/>
          <w:szCs w:val="22"/>
          <w:lang w:val="sr-Latn-RS"/>
        </w:rPr>
        <w:t xml:space="preserve"> (ekscipijenasa)</w:t>
      </w:r>
    </w:p>
    <w:p w14:paraId="0BB1F61E" w14:textId="77777777" w:rsidR="00DF017B" w:rsidRPr="00EB2BF2" w:rsidRDefault="00DF017B" w:rsidP="00480FB1">
      <w:pPr>
        <w:tabs>
          <w:tab w:val="left" w:pos="540"/>
          <w:tab w:val="left" w:pos="569"/>
        </w:tabs>
        <w:rPr>
          <w:b/>
          <w:bCs/>
          <w:sz w:val="22"/>
          <w:szCs w:val="22"/>
          <w:lang w:val="sr-Latn-RS"/>
        </w:rPr>
      </w:pPr>
    </w:p>
    <w:p w14:paraId="453BA0B5" w14:textId="77777777" w:rsidR="00DF017B" w:rsidRPr="00EB2BF2" w:rsidRDefault="00DF017B" w:rsidP="00DF017B">
      <w:pPr>
        <w:rPr>
          <w:sz w:val="22"/>
          <w:szCs w:val="22"/>
          <w:u w:val="single"/>
          <w:lang w:val="sr-Latn-RS"/>
        </w:rPr>
      </w:pPr>
      <w:r w:rsidRPr="00EB2BF2">
        <w:rPr>
          <w:sz w:val="22"/>
          <w:szCs w:val="22"/>
          <w:u w:val="single"/>
          <w:lang w:val="sr-Latn-RS"/>
        </w:rPr>
        <w:t>Jezgro tablete</w:t>
      </w:r>
      <w:r w:rsidRPr="00EB2BF2">
        <w:rPr>
          <w:sz w:val="22"/>
          <w:szCs w:val="22"/>
          <w:lang w:val="sr-Latn-RS"/>
        </w:rPr>
        <w:t>:</w:t>
      </w:r>
    </w:p>
    <w:p w14:paraId="1B91285B" w14:textId="77777777" w:rsidR="00DF017B" w:rsidRPr="00EB2BF2" w:rsidRDefault="00DF017B" w:rsidP="00DF017B">
      <w:pPr>
        <w:rPr>
          <w:sz w:val="22"/>
          <w:szCs w:val="22"/>
          <w:lang w:val="sr-Latn-RS"/>
        </w:rPr>
      </w:pPr>
      <w:r w:rsidRPr="00EB2BF2">
        <w:rPr>
          <w:sz w:val="22"/>
          <w:szCs w:val="22"/>
          <w:lang w:val="sr-Latn-RS"/>
        </w:rPr>
        <w:t>Celuloza, mikrokristalna</w:t>
      </w:r>
    </w:p>
    <w:p w14:paraId="2AC5F46A" w14:textId="77777777" w:rsidR="00DF017B" w:rsidRPr="00EB2BF2" w:rsidRDefault="00DF017B" w:rsidP="00DF017B">
      <w:pPr>
        <w:rPr>
          <w:sz w:val="22"/>
          <w:szCs w:val="22"/>
          <w:lang w:val="sr-Latn-RS"/>
        </w:rPr>
      </w:pPr>
      <w:r w:rsidRPr="00EB2BF2">
        <w:rPr>
          <w:sz w:val="22"/>
          <w:szCs w:val="22"/>
          <w:lang w:val="sr-Latn-RS"/>
        </w:rPr>
        <w:t>Manitol</w:t>
      </w:r>
    </w:p>
    <w:p w14:paraId="073E59AF" w14:textId="77777777" w:rsidR="00DF017B" w:rsidRPr="00EB2BF2" w:rsidRDefault="00DF017B" w:rsidP="00DF017B">
      <w:pPr>
        <w:rPr>
          <w:sz w:val="22"/>
          <w:szCs w:val="22"/>
          <w:lang w:val="sr-Latn-RS"/>
        </w:rPr>
      </w:pPr>
      <w:r w:rsidRPr="00EB2BF2">
        <w:rPr>
          <w:sz w:val="22"/>
          <w:szCs w:val="22"/>
          <w:lang w:val="sr-Latn-RS"/>
        </w:rPr>
        <w:t>Talk</w:t>
      </w:r>
    </w:p>
    <w:p w14:paraId="7E033383" w14:textId="3124E690" w:rsidR="00DF017B" w:rsidRPr="00EB2BF2" w:rsidRDefault="00DF017B" w:rsidP="00DF017B">
      <w:pPr>
        <w:rPr>
          <w:sz w:val="22"/>
          <w:szCs w:val="22"/>
          <w:lang w:val="sr-Latn-RS"/>
        </w:rPr>
      </w:pPr>
      <w:r w:rsidRPr="00EB2BF2">
        <w:rPr>
          <w:sz w:val="22"/>
          <w:szCs w:val="22"/>
          <w:lang w:val="sr-Latn-RS"/>
        </w:rPr>
        <w:t>Magnezijum</w:t>
      </w:r>
      <w:r w:rsidR="006D66DC" w:rsidRPr="00EB2BF2">
        <w:rPr>
          <w:sz w:val="22"/>
          <w:szCs w:val="22"/>
          <w:lang w:val="sr-Latn-RS"/>
        </w:rPr>
        <w:t xml:space="preserve"> </w:t>
      </w:r>
      <w:r w:rsidRPr="00EB2BF2">
        <w:rPr>
          <w:sz w:val="22"/>
          <w:szCs w:val="22"/>
          <w:lang w:val="sr-Latn-RS"/>
        </w:rPr>
        <w:t>stearat</w:t>
      </w:r>
    </w:p>
    <w:p w14:paraId="5BDC177B" w14:textId="77777777" w:rsidR="00DF017B" w:rsidRPr="00EB2BF2" w:rsidRDefault="00DF017B" w:rsidP="00DF017B">
      <w:pPr>
        <w:rPr>
          <w:sz w:val="22"/>
          <w:szCs w:val="22"/>
          <w:lang w:val="sr-Latn-RS"/>
        </w:rPr>
      </w:pPr>
      <w:r w:rsidRPr="00EB2BF2">
        <w:rPr>
          <w:sz w:val="22"/>
          <w:szCs w:val="22"/>
          <w:lang w:val="sr-Latn-RS"/>
        </w:rPr>
        <w:t>Krospovidon</w:t>
      </w:r>
    </w:p>
    <w:p w14:paraId="257DC34B" w14:textId="77777777" w:rsidR="00DF017B" w:rsidRPr="00EB2BF2" w:rsidRDefault="00A372C7" w:rsidP="00DF017B">
      <w:pPr>
        <w:rPr>
          <w:sz w:val="22"/>
          <w:szCs w:val="22"/>
          <w:lang w:val="sr-Latn-RS"/>
        </w:rPr>
      </w:pPr>
      <w:r w:rsidRPr="00EB2BF2">
        <w:rPr>
          <w:sz w:val="22"/>
          <w:szCs w:val="22"/>
          <w:lang w:val="sr-Latn-RS"/>
        </w:rPr>
        <w:t xml:space="preserve">Silicijum </w:t>
      </w:r>
      <w:r w:rsidR="00DF017B" w:rsidRPr="00EB2BF2">
        <w:rPr>
          <w:sz w:val="22"/>
          <w:szCs w:val="22"/>
          <w:lang w:val="sr-Latn-RS"/>
        </w:rPr>
        <w:t xml:space="preserve">dioksid, koloidni, bezvodni </w:t>
      </w:r>
    </w:p>
    <w:p w14:paraId="64B9E684" w14:textId="77777777" w:rsidR="00DF017B" w:rsidRPr="00EB2BF2" w:rsidRDefault="00DF017B" w:rsidP="00DF017B">
      <w:pPr>
        <w:rPr>
          <w:sz w:val="22"/>
          <w:szCs w:val="22"/>
          <w:lang w:val="sr-Latn-RS"/>
        </w:rPr>
      </w:pPr>
      <w:r w:rsidRPr="00EB2BF2">
        <w:rPr>
          <w:sz w:val="22"/>
          <w:szCs w:val="22"/>
          <w:u w:val="single"/>
          <w:lang w:val="sr-Latn-RS"/>
        </w:rPr>
        <w:t>Film</w:t>
      </w:r>
      <w:r w:rsidRPr="00EB2BF2">
        <w:rPr>
          <w:sz w:val="22"/>
          <w:szCs w:val="22"/>
          <w:lang w:val="sr-Latn-RS"/>
        </w:rPr>
        <w:t>:</w:t>
      </w:r>
    </w:p>
    <w:p w14:paraId="4ACD40BA" w14:textId="77777777" w:rsidR="00DF017B" w:rsidRPr="00EB2BF2" w:rsidRDefault="00DF017B" w:rsidP="00DF017B">
      <w:pPr>
        <w:rPr>
          <w:sz w:val="22"/>
          <w:szCs w:val="22"/>
          <w:lang w:val="sr-Latn-RS"/>
        </w:rPr>
      </w:pPr>
      <w:r w:rsidRPr="00EB2BF2">
        <w:rPr>
          <w:sz w:val="22"/>
          <w:szCs w:val="22"/>
          <w:lang w:val="sr-Latn-RS"/>
        </w:rPr>
        <w:t>Makrogol 6000</w:t>
      </w:r>
    </w:p>
    <w:p w14:paraId="3F38F331" w14:textId="77777777" w:rsidR="00DF017B" w:rsidRPr="00EB2BF2" w:rsidRDefault="00DF017B" w:rsidP="00DF017B">
      <w:pPr>
        <w:rPr>
          <w:sz w:val="22"/>
          <w:szCs w:val="22"/>
          <w:lang w:val="sr-Latn-RS"/>
        </w:rPr>
      </w:pPr>
      <w:r w:rsidRPr="00EB2BF2">
        <w:rPr>
          <w:sz w:val="22"/>
          <w:szCs w:val="22"/>
          <w:lang w:val="sr-Latn-RS"/>
        </w:rPr>
        <w:t>Talk</w:t>
      </w:r>
    </w:p>
    <w:p w14:paraId="06D66D8E" w14:textId="77777777" w:rsidR="00DF017B" w:rsidRPr="00EB2BF2" w:rsidRDefault="00DF017B" w:rsidP="00DF017B">
      <w:pPr>
        <w:rPr>
          <w:sz w:val="22"/>
          <w:szCs w:val="22"/>
          <w:lang w:val="sr-Latn-RS"/>
        </w:rPr>
      </w:pPr>
      <w:r w:rsidRPr="00EB2BF2">
        <w:rPr>
          <w:sz w:val="22"/>
          <w:szCs w:val="22"/>
          <w:lang w:val="sr-Latn-RS"/>
        </w:rPr>
        <w:t>Magnezijum stearat</w:t>
      </w:r>
    </w:p>
    <w:p w14:paraId="6B359063" w14:textId="77777777" w:rsidR="00DF017B" w:rsidRPr="00EB2BF2" w:rsidRDefault="00A372C7" w:rsidP="00DF017B">
      <w:pPr>
        <w:rPr>
          <w:sz w:val="22"/>
          <w:szCs w:val="22"/>
          <w:lang w:val="sr-Latn-RS"/>
        </w:rPr>
      </w:pPr>
      <w:r w:rsidRPr="00EB2BF2">
        <w:rPr>
          <w:sz w:val="22"/>
          <w:szCs w:val="22"/>
          <w:lang w:val="sr-Latn-RS"/>
        </w:rPr>
        <w:t xml:space="preserve">Titan </w:t>
      </w:r>
      <w:r w:rsidR="00DF017B" w:rsidRPr="00EB2BF2">
        <w:rPr>
          <w:sz w:val="22"/>
          <w:szCs w:val="22"/>
          <w:lang w:val="sr-Latn-RS"/>
        </w:rPr>
        <w:t>dioksid (E 171)</w:t>
      </w:r>
    </w:p>
    <w:p w14:paraId="00F121D3" w14:textId="77777777" w:rsidR="00DF017B" w:rsidRPr="00EB2BF2" w:rsidRDefault="00DF017B" w:rsidP="00DF017B">
      <w:pPr>
        <w:rPr>
          <w:sz w:val="22"/>
          <w:szCs w:val="22"/>
          <w:lang w:val="sr-Latn-RS"/>
        </w:rPr>
      </w:pPr>
      <w:r w:rsidRPr="00EB2BF2">
        <w:rPr>
          <w:sz w:val="22"/>
          <w:szCs w:val="22"/>
          <w:lang w:val="sr-Latn-RS"/>
        </w:rPr>
        <w:t>Bazni butilovani metakrilat kopolimer (Eudragit E 12.5)</w:t>
      </w:r>
    </w:p>
    <w:p w14:paraId="3DAB58DF" w14:textId="77777777" w:rsidR="0072020E" w:rsidRPr="00EB2BF2" w:rsidRDefault="0072020E" w:rsidP="00480FB1">
      <w:pPr>
        <w:tabs>
          <w:tab w:val="left" w:pos="540"/>
          <w:tab w:val="left" w:pos="569"/>
        </w:tabs>
        <w:rPr>
          <w:bCs/>
          <w:sz w:val="22"/>
          <w:szCs w:val="22"/>
          <w:lang w:val="sr-Latn-RS"/>
        </w:rPr>
      </w:pPr>
    </w:p>
    <w:p w14:paraId="717D25D9" w14:textId="77777777" w:rsidR="0072020E" w:rsidRPr="00EB2BF2" w:rsidRDefault="0072020E" w:rsidP="00480FB1">
      <w:pPr>
        <w:tabs>
          <w:tab w:val="left" w:pos="540"/>
          <w:tab w:val="left" w:pos="569"/>
        </w:tabs>
        <w:rPr>
          <w:b/>
          <w:bCs/>
          <w:sz w:val="22"/>
          <w:szCs w:val="22"/>
          <w:lang w:val="sr-Latn-RS"/>
        </w:rPr>
      </w:pPr>
      <w:r w:rsidRPr="00EB2BF2">
        <w:rPr>
          <w:b/>
          <w:bCs/>
          <w:sz w:val="22"/>
          <w:szCs w:val="22"/>
          <w:lang w:val="sr-Latn-RS"/>
        </w:rPr>
        <w:t xml:space="preserve">6.2. </w:t>
      </w:r>
      <w:r w:rsidR="00480FB1" w:rsidRPr="00EB2BF2">
        <w:rPr>
          <w:b/>
          <w:bCs/>
          <w:sz w:val="22"/>
          <w:szCs w:val="22"/>
          <w:lang w:val="sr-Latn-RS"/>
        </w:rPr>
        <w:tab/>
      </w:r>
      <w:r w:rsidRPr="00EB2BF2">
        <w:rPr>
          <w:b/>
          <w:bCs/>
          <w:sz w:val="22"/>
          <w:szCs w:val="22"/>
          <w:lang w:val="sr-Latn-RS"/>
        </w:rPr>
        <w:t>Inkompatibilnost</w:t>
      </w:r>
      <w:r w:rsidR="002846DB" w:rsidRPr="00EB2BF2">
        <w:rPr>
          <w:b/>
          <w:bCs/>
          <w:sz w:val="22"/>
          <w:szCs w:val="22"/>
          <w:lang w:val="sr-Latn-RS"/>
        </w:rPr>
        <w:t>i</w:t>
      </w:r>
    </w:p>
    <w:p w14:paraId="6921DC08" w14:textId="77777777" w:rsidR="0072020E" w:rsidRPr="00EB2BF2" w:rsidRDefault="0072020E" w:rsidP="00480FB1">
      <w:pPr>
        <w:tabs>
          <w:tab w:val="left" w:pos="540"/>
          <w:tab w:val="left" w:pos="569"/>
        </w:tabs>
        <w:rPr>
          <w:bCs/>
          <w:sz w:val="22"/>
          <w:szCs w:val="22"/>
          <w:lang w:val="sr-Latn-RS"/>
        </w:rPr>
      </w:pPr>
    </w:p>
    <w:p w14:paraId="530315D1" w14:textId="77777777" w:rsidR="00DF017B" w:rsidRPr="00EB2BF2" w:rsidRDefault="00DF017B" w:rsidP="00480FB1">
      <w:pPr>
        <w:tabs>
          <w:tab w:val="left" w:pos="540"/>
          <w:tab w:val="left" w:pos="569"/>
        </w:tabs>
        <w:rPr>
          <w:bCs/>
          <w:sz w:val="22"/>
          <w:szCs w:val="22"/>
          <w:lang w:val="sr-Latn-RS"/>
        </w:rPr>
      </w:pPr>
      <w:r w:rsidRPr="00EB2BF2">
        <w:rPr>
          <w:bCs/>
          <w:sz w:val="22"/>
          <w:szCs w:val="22"/>
          <w:lang w:val="sr-Latn-RS"/>
        </w:rPr>
        <w:t>Nije primjenljivo.</w:t>
      </w:r>
    </w:p>
    <w:p w14:paraId="3868D6E2" w14:textId="77777777" w:rsidR="00DF017B" w:rsidRPr="00EB2BF2" w:rsidRDefault="00DF017B" w:rsidP="00480FB1">
      <w:pPr>
        <w:tabs>
          <w:tab w:val="left" w:pos="540"/>
          <w:tab w:val="left" w:pos="569"/>
        </w:tabs>
        <w:rPr>
          <w:bCs/>
          <w:sz w:val="22"/>
          <w:szCs w:val="22"/>
          <w:lang w:val="sr-Latn-RS"/>
        </w:rPr>
      </w:pPr>
    </w:p>
    <w:p w14:paraId="29085B6B" w14:textId="77777777" w:rsidR="0072020E" w:rsidRPr="00EB2BF2" w:rsidRDefault="0072020E" w:rsidP="00480FB1">
      <w:pPr>
        <w:tabs>
          <w:tab w:val="left" w:pos="540"/>
          <w:tab w:val="left" w:pos="569"/>
        </w:tabs>
        <w:rPr>
          <w:b/>
          <w:bCs/>
          <w:sz w:val="22"/>
          <w:szCs w:val="22"/>
          <w:lang w:val="sr-Latn-RS"/>
        </w:rPr>
      </w:pPr>
      <w:r w:rsidRPr="00EB2BF2">
        <w:rPr>
          <w:b/>
          <w:bCs/>
          <w:sz w:val="22"/>
          <w:szCs w:val="22"/>
          <w:lang w:val="sr-Latn-RS"/>
        </w:rPr>
        <w:t>6.3.</w:t>
      </w:r>
      <w:r w:rsidR="00480FB1" w:rsidRPr="00EB2BF2">
        <w:rPr>
          <w:b/>
          <w:bCs/>
          <w:sz w:val="22"/>
          <w:szCs w:val="22"/>
          <w:lang w:val="sr-Latn-RS"/>
        </w:rPr>
        <w:tab/>
      </w:r>
      <w:r w:rsidRPr="00EB2BF2">
        <w:rPr>
          <w:b/>
          <w:bCs/>
          <w:sz w:val="22"/>
          <w:szCs w:val="22"/>
          <w:lang w:val="sr-Latn-RS"/>
        </w:rPr>
        <w:t>Rok upotrebe</w:t>
      </w:r>
    </w:p>
    <w:p w14:paraId="40A7DE01" w14:textId="77777777" w:rsidR="00DF017B" w:rsidRPr="00EB2BF2" w:rsidRDefault="00DF017B" w:rsidP="00480FB1">
      <w:pPr>
        <w:tabs>
          <w:tab w:val="left" w:pos="540"/>
          <w:tab w:val="left" w:pos="569"/>
        </w:tabs>
        <w:rPr>
          <w:b/>
          <w:bCs/>
          <w:sz w:val="22"/>
          <w:szCs w:val="22"/>
          <w:lang w:val="sr-Latn-RS"/>
        </w:rPr>
      </w:pPr>
    </w:p>
    <w:p w14:paraId="02FCA6CE" w14:textId="77777777" w:rsidR="0072020E" w:rsidRPr="00EB2BF2" w:rsidRDefault="00DF017B" w:rsidP="00480FB1">
      <w:pPr>
        <w:tabs>
          <w:tab w:val="left" w:pos="540"/>
          <w:tab w:val="left" w:pos="569"/>
        </w:tabs>
        <w:rPr>
          <w:sz w:val="22"/>
          <w:szCs w:val="22"/>
          <w:lang w:val="sr-Latn-RS"/>
        </w:rPr>
      </w:pPr>
      <w:r w:rsidRPr="00EB2BF2">
        <w:rPr>
          <w:sz w:val="22"/>
          <w:szCs w:val="22"/>
          <w:lang w:val="sr-Latn-RS"/>
        </w:rPr>
        <w:t>3 godine.</w:t>
      </w:r>
    </w:p>
    <w:p w14:paraId="3197E987" w14:textId="77777777" w:rsidR="00DF017B" w:rsidRPr="00EB2BF2" w:rsidRDefault="00DF017B" w:rsidP="00480FB1">
      <w:pPr>
        <w:tabs>
          <w:tab w:val="left" w:pos="540"/>
          <w:tab w:val="left" w:pos="569"/>
        </w:tabs>
        <w:rPr>
          <w:bCs/>
          <w:sz w:val="22"/>
          <w:szCs w:val="22"/>
          <w:lang w:val="sr-Latn-RS"/>
        </w:rPr>
      </w:pPr>
    </w:p>
    <w:p w14:paraId="2BE6BED5" w14:textId="77777777" w:rsidR="0072020E" w:rsidRPr="00EB2BF2" w:rsidRDefault="0072020E" w:rsidP="00480FB1">
      <w:pPr>
        <w:tabs>
          <w:tab w:val="left" w:pos="540"/>
          <w:tab w:val="left" w:pos="569"/>
        </w:tabs>
        <w:rPr>
          <w:b/>
          <w:bCs/>
          <w:sz w:val="22"/>
          <w:szCs w:val="22"/>
          <w:lang w:val="sr-Latn-RS"/>
        </w:rPr>
      </w:pPr>
      <w:r w:rsidRPr="00EB2BF2">
        <w:rPr>
          <w:b/>
          <w:bCs/>
          <w:sz w:val="22"/>
          <w:szCs w:val="22"/>
          <w:lang w:val="sr-Latn-RS"/>
        </w:rPr>
        <w:t xml:space="preserve">6.4. </w:t>
      </w:r>
      <w:r w:rsidR="00480FB1" w:rsidRPr="00EB2BF2">
        <w:rPr>
          <w:b/>
          <w:bCs/>
          <w:sz w:val="22"/>
          <w:szCs w:val="22"/>
          <w:lang w:val="sr-Latn-RS"/>
        </w:rPr>
        <w:tab/>
      </w:r>
      <w:r w:rsidRPr="00EB2BF2">
        <w:rPr>
          <w:b/>
          <w:bCs/>
          <w:sz w:val="22"/>
          <w:szCs w:val="22"/>
          <w:lang w:val="sr-Latn-RS"/>
        </w:rPr>
        <w:t>Posebne mjere upozorenja pri čuvanju</w:t>
      </w:r>
      <w:r w:rsidR="00F8570A" w:rsidRPr="00EB2BF2">
        <w:rPr>
          <w:b/>
          <w:bCs/>
          <w:sz w:val="22"/>
          <w:szCs w:val="22"/>
          <w:lang w:val="sr-Latn-RS"/>
        </w:rPr>
        <w:t xml:space="preserve"> lijeka</w:t>
      </w:r>
    </w:p>
    <w:p w14:paraId="4E33B33E" w14:textId="77777777" w:rsidR="00DF017B" w:rsidRPr="00EB2BF2" w:rsidRDefault="00DF017B" w:rsidP="00480FB1">
      <w:pPr>
        <w:tabs>
          <w:tab w:val="left" w:pos="540"/>
          <w:tab w:val="left" w:pos="569"/>
        </w:tabs>
        <w:rPr>
          <w:b/>
          <w:bCs/>
          <w:sz w:val="22"/>
          <w:szCs w:val="22"/>
          <w:lang w:val="sr-Latn-RS"/>
        </w:rPr>
      </w:pPr>
    </w:p>
    <w:p w14:paraId="30701E67" w14:textId="037837AF" w:rsidR="00DF017B" w:rsidRPr="00EB2BF2" w:rsidRDefault="00DF017B" w:rsidP="00DF017B">
      <w:pPr>
        <w:rPr>
          <w:sz w:val="22"/>
          <w:szCs w:val="22"/>
          <w:lang w:val="sr-Latn-RS"/>
        </w:rPr>
      </w:pPr>
      <w:r w:rsidRPr="00EB2BF2">
        <w:rPr>
          <w:bCs/>
          <w:sz w:val="22"/>
          <w:szCs w:val="22"/>
          <w:lang w:val="sr-Latn-RS"/>
        </w:rPr>
        <w:t>Lijek č</w:t>
      </w:r>
      <w:r w:rsidRPr="00EB2BF2">
        <w:rPr>
          <w:sz w:val="22"/>
          <w:szCs w:val="22"/>
          <w:lang w:val="sr-Latn-RS"/>
        </w:rPr>
        <w:t>uvati na temperaturi do 30°C.</w:t>
      </w:r>
    </w:p>
    <w:p w14:paraId="53B7B2CF" w14:textId="23C33311" w:rsidR="00EC2532" w:rsidRDefault="00EC2532" w:rsidP="00480FB1">
      <w:pPr>
        <w:tabs>
          <w:tab w:val="left" w:pos="540"/>
          <w:tab w:val="left" w:pos="569"/>
        </w:tabs>
        <w:rPr>
          <w:bCs/>
          <w:sz w:val="22"/>
          <w:szCs w:val="22"/>
          <w:lang w:val="sr-Latn-RS"/>
        </w:rPr>
      </w:pPr>
    </w:p>
    <w:p w14:paraId="128ACC59" w14:textId="640F7000" w:rsidR="00EB2BF2" w:rsidRDefault="00EB2BF2" w:rsidP="00480FB1">
      <w:pPr>
        <w:tabs>
          <w:tab w:val="left" w:pos="540"/>
          <w:tab w:val="left" w:pos="569"/>
        </w:tabs>
        <w:rPr>
          <w:bCs/>
          <w:sz w:val="22"/>
          <w:szCs w:val="22"/>
          <w:lang w:val="sr-Latn-RS"/>
        </w:rPr>
      </w:pPr>
    </w:p>
    <w:p w14:paraId="3F48AAF5" w14:textId="77777777" w:rsidR="00EB2BF2" w:rsidRPr="00EB2BF2" w:rsidRDefault="00EB2BF2" w:rsidP="00480FB1">
      <w:pPr>
        <w:tabs>
          <w:tab w:val="left" w:pos="540"/>
          <w:tab w:val="left" w:pos="569"/>
        </w:tabs>
        <w:rPr>
          <w:bCs/>
          <w:sz w:val="22"/>
          <w:szCs w:val="22"/>
          <w:lang w:val="sr-Latn-RS"/>
        </w:rPr>
      </w:pPr>
    </w:p>
    <w:p w14:paraId="49538956" w14:textId="77777777" w:rsidR="0072020E" w:rsidRPr="00EB2BF2" w:rsidRDefault="0072020E" w:rsidP="00480FB1">
      <w:pPr>
        <w:tabs>
          <w:tab w:val="left" w:pos="540"/>
          <w:tab w:val="left" w:pos="569"/>
        </w:tabs>
        <w:rPr>
          <w:b/>
          <w:bCs/>
          <w:sz w:val="22"/>
          <w:szCs w:val="22"/>
          <w:lang w:val="sr-Latn-RS"/>
        </w:rPr>
      </w:pPr>
      <w:r w:rsidRPr="00EB2BF2">
        <w:rPr>
          <w:b/>
          <w:bCs/>
          <w:sz w:val="22"/>
          <w:szCs w:val="22"/>
          <w:lang w:val="sr-Latn-RS"/>
        </w:rPr>
        <w:lastRenderedPageBreak/>
        <w:t xml:space="preserve">6.5. </w:t>
      </w:r>
      <w:r w:rsidR="00480FB1" w:rsidRPr="00EB2BF2">
        <w:rPr>
          <w:b/>
          <w:bCs/>
          <w:sz w:val="22"/>
          <w:szCs w:val="22"/>
          <w:lang w:val="sr-Latn-RS"/>
        </w:rPr>
        <w:tab/>
      </w:r>
      <w:r w:rsidR="002846DB" w:rsidRPr="00EB2BF2">
        <w:rPr>
          <w:b/>
          <w:bCs/>
          <w:sz w:val="22"/>
          <w:szCs w:val="22"/>
          <w:lang w:val="sr-Latn-RS"/>
        </w:rPr>
        <w:t xml:space="preserve">Vrsta i sadržaj </w:t>
      </w:r>
      <w:r w:rsidR="00F8570A" w:rsidRPr="00EB2BF2">
        <w:rPr>
          <w:b/>
          <w:bCs/>
          <w:sz w:val="22"/>
          <w:szCs w:val="22"/>
          <w:lang w:val="sr-Latn-RS"/>
        </w:rPr>
        <w:t>pakovanja</w:t>
      </w:r>
    </w:p>
    <w:p w14:paraId="24C895CA" w14:textId="77777777" w:rsidR="00DF017B" w:rsidRPr="00EB2BF2" w:rsidRDefault="00DF017B" w:rsidP="00480FB1">
      <w:pPr>
        <w:tabs>
          <w:tab w:val="left" w:pos="540"/>
          <w:tab w:val="left" w:pos="569"/>
        </w:tabs>
        <w:rPr>
          <w:b/>
          <w:bCs/>
          <w:sz w:val="22"/>
          <w:szCs w:val="22"/>
          <w:lang w:val="sr-Latn-RS"/>
        </w:rPr>
      </w:pPr>
    </w:p>
    <w:p w14:paraId="3E272F4A" w14:textId="3DC5D4AB" w:rsidR="00DF017B" w:rsidRPr="00EB2BF2" w:rsidRDefault="00670431" w:rsidP="00DF017B">
      <w:pPr>
        <w:pStyle w:val="Header"/>
        <w:tabs>
          <w:tab w:val="left" w:pos="284"/>
        </w:tabs>
        <w:rPr>
          <w:i/>
          <w:sz w:val="22"/>
          <w:szCs w:val="22"/>
          <w:lang w:val="sr-Latn-RS"/>
        </w:rPr>
      </w:pPr>
      <w:r w:rsidRPr="00EB2BF2">
        <w:rPr>
          <w:bCs/>
          <w:i/>
          <w:sz w:val="22"/>
          <w:szCs w:val="22"/>
          <w:lang w:val="sr-Latn-RS"/>
        </w:rPr>
        <w:t>Clindamycin-MIP</w:t>
      </w:r>
      <w:r w:rsidR="00DF017B" w:rsidRPr="00EB2BF2">
        <w:rPr>
          <w:bCs/>
          <w:i/>
          <w:sz w:val="22"/>
          <w:szCs w:val="22"/>
          <w:lang w:val="sr-Latn-RS"/>
        </w:rPr>
        <w:t>, 300 mg, film tablete</w:t>
      </w:r>
    </w:p>
    <w:p w14:paraId="004DF99C" w14:textId="77777777" w:rsidR="00DF017B" w:rsidRPr="00EB2BF2" w:rsidRDefault="00DF017B" w:rsidP="00DF017B">
      <w:pPr>
        <w:pStyle w:val="Header"/>
        <w:tabs>
          <w:tab w:val="left" w:pos="284"/>
        </w:tabs>
        <w:rPr>
          <w:sz w:val="22"/>
          <w:szCs w:val="22"/>
          <w:lang w:val="sr-Latn-RS"/>
        </w:rPr>
      </w:pPr>
      <w:r w:rsidRPr="00EB2BF2">
        <w:rPr>
          <w:sz w:val="22"/>
          <w:szCs w:val="22"/>
          <w:lang w:val="sr-Latn-RS"/>
        </w:rPr>
        <w:t>PVC/aluminijum blister pakovanje u kartonskoj kutiji. PVC folija je neprozirna.</w:t>
      </w:r>
    </w:p>
    <w:p w14:paraId="4A6D9356" w14:textId="77777777" w:rsidR="00DF017B" w:rsidRPr="00EB2BF2" w:rsidRDefault="00DF017B" w:rsidP="00DF017B">
      <w:pPr>
        <w:pStyle w:val="Header"/>
        <w:tabs>
          <w:tab w:val="left" w:pos="284"/>
        </w:tabs>
        <w:rPr>
          <w:sz w:val="22"/>
          <w:szCs w:val="22"/>
          <w:lang w:val="sr-Latn-RS"/>
        </w:rPr>
      </w:pPr>
      <w:r w:rsidRPr="00EB2BF2">
        <w:rPr>
          <w:sz w:val="22"/>
          <w:szCs w:val="22"/>
          <w:lang w:val="sr-Latn-RS"/>
        </w:rPr>
        <w:t>Kartonska kutija sadrži 2 blistera sa po 6 film tableta, odnosno 3 blistera sa po 10 film tableta.</w:t>
      </w:r>
    </w:p>
    <w:p w14:paraId="68BA36E3" w14:textId="77777777" w:rsidR="00DF017B" w:rsidRPr="00EB2BF2" w:rsidRDefault="00DF017B" w:rsidP="00DF017B">
      <w:pPr>
        <w:pStyle w:val="Header"/>
        <w:tabs>
          <w:tab w:val="left" w:pos="284"/>
        </w:tabs>
        <w:rPr>
          <w:sz w:val="22"/>
          <w:szCs w:val="22"/>
          <w:lang w:val="sr-Latn-RS"/>
        </w:rPr>
      </w:pPr>
    </w:p>
    <w:p w14:paraId="4AD8993A" w14:textId="697C8B12" w:rsidR="00DF017B" w:rsidRPr="00EB2BF2" w:rsidRDefault="00670431" w:rsidP="00DF017B">
      <w:pPr>
        <w:pStyle w:val="Header"/>
        <w:tabs>
          <w:tab w:val="left" w:pos="284"/>
        </w:tabs>
        <w:rPr>
          <w:i/>
          <w:sz w:val="22"/>
          <w:szCs w:val="22"/>
          <w:lang w:val="sr-Latn-RS"/>
        </w:rPr>
      </w:pPr>
      <w:r w:rsidRPr="00EB2BF2">
        <w:rPr>
          <w:bCs/>
          <w:i/>
          <w:sz w:val="22"/>
          <w:szCs w:val="22"/>
          <w:lang w:val="sr-Latn-RS"/>
        </w:rPr>
        <w:t>Clindamycin-MIP</w:t>
      </w:r>
      <w:r w:rsidR="00DF017B" w:rsidRPr="00EB2BF2">
        <w:rPr>
          <w:bCs/>
          <w:i/>
          <w:sz w:val="22"/>
          <w:szCs w:val="22"/>
          <w:lang w:val="sr-Latn-RS"/>
        </w:rPr>
        <w:t>, 600 mg, film tablete</w:t>
      </w:r>
    </w:p>
    <w:p w14:paraId="727B1C16" w14:textId="77777777" w:rsidR="00DF017B" w:rsidRPr="00EB2BF2" w:rsidRDefault="00DF017B" w:rsidP="00DF017B">
      <w:pPr>
        <w:pStyle w:val="Header"/>
        <w:tabs>
          <w:tab w:val="left" w:pos="284"/>
        </w:tabs>
        <w:rPr>
          <w:sz w:val="22"/>
          <w:szCs w:val="22"/>
          <w:lang w:val="sr-Latn-RS"/>
        </w:rPr>
      </w:pPr>
      <w:r w:rsidRPr="00EB2BF2">
        <w:rPr>
          <w:sz w:val="22"/>
          <w:szCs w:val="22"/>
          <w:lang w:val="sr-Latn-RS"/>
        </w:rPr>
        <w:t>PVC/aluminijum blister pakovanje u kartonskoj kutiji. PVC folija je neprozirna.</w:t>
      </w:r>
    </w:p>
    <w:p w14:paraId="77F165E9" w14:textId="77777777" w:rsidR="00DF017B" w:rsidRPr="00EB2BF2" w:rsidRDefault="00DF017B" w:rsidP="00DF017B">
      <w:pPr>
        <w:rPr>
          <w:sz w:val="22"/>
          <w:szCs w:val="22"/>
          <w:lang w:val="sr-Latn-RS"/>
        </w:rPr>
      </w:pPr>
      <w:r w:rsidRPr="00EB2BF2">
        <w:rPr>
          <w:sz w:val="22"/>
          <w:szCs w:val="22"/>
          <w:lang w:val="sr-Latn-RS"/>
        </w:rPr>
        <w:t>Kartonska kutija sadrži 1, 2 odnosno 5 blistera sa po 6 film tableta.</w:t>
      </w:r>
    </w:p>
    <w:p w14:paraId="0DDBDE14" w14:textId="5ED91D96" w:rsidR="006D66DC" w:rsidRPr="00EB2BF2" w:rsidRDefault="006D66DC" w:rsidP="00480FB1">
      <w:pPr>
        <w:tabs>
          <w:tab w:val="left" w:pos="540"/>
          <w:tab w:val="left" w:pos="569"/>
        </w:tabs>
        <w:rPr>
          <w:b/>
          <w:bCs/>
          <w:sz w:val="22"/>
          <w:szCs w:val="22"/>
          <w:lang w:val="sr-Latn-RS"/>
        </w:rPr>
      </w:pPr>
    </w:p>
    <w:p w14:paraId="6AA6F845" w14:textId="77777777" w:rsidR="00070139" w:rsidRPr="00EB2BF2" w:rsidRDefault="0072020E" w:rsidP="00070139">
      <w:pPr>
        <w:tabs>
          <w:tab w:val="left" w:pos="540"/>
          <w:tab w:val="left" w:pos="569"/>
        </w:tabs>
        <w:rPr>
          <w:b/>
          <w:bCs/>
          <w:sz w:val="22"/>
          <w:szCs w:val="22"/>
          <w:lang w:val="sr-Latn-RS"/>
        </w:rPr>
      </w:pPr>
      <w:r w:rsidRPr="00EB2BF2">
        <w:rPr>
          <w:b/>
          <w:bCs/>
          <w:sz w:val="22"/>
          <w:szCs w:val="22"/>
          <w:lang w:val="sr-Latn-RS"/>
        </w:rPr>
        <w:t xml:space="preserve">6.6. </w:t>
      </w:r>
      <w:r w:rsidR="00480FB1" w:rsidRPr="00EB2BF2">
        <w:rPr>
          <w:b/>
          <w:bCs/>
          <w:sz w:val="22"/>
          <w:szCs w:val="22"/>
          <w:lang w:val="sr-Latn-RS"/>
        </w:rPr>
        <w:tab/>
      </w:r>
      <w:r w:rsidRPr="00EB2BF2">
        <w:rPr>
          <w:b/>
          <w:bCs/>
          <w:sz w:val="22"/>
          <w:szCs w:val="22"/>
          <w:lang w:val="sr-Latn-RS"/>
        </w:rPr>
        <w:t xml:space="preserve">Posebne mjere opreza pri odlaganju materijala koji treba odbaciti nakon primjene lijeka </w:t>
      </w:r>
      <w:r w:rsidR="00070139" w:rsidRPr="00EB2BF2">
        <w:rPr>
          <w:b/>
          <w:bCs/>
          <w:sz w:val="22"/>
          <w:szCs w:val="22"/>
          <w:lang w:val="sr-Latn-RS"/>
        </w:rPr>
        <w:t xml:space="preserve">(i druga uputstva za rukovanje lijekom) </w:t>
      </w:r>
    </w:p>
    <w:p w14:paraId="545CC8C1" w14:textId="1A7822CD" w:rsidR="002846DB" w:rsidRPr="00EB2BF2" w:rsidRDefault="002846DB" w:rsidP="00480FB1">
      <w:pPr>
        <w:tabs>
          <w:tab w:val="left" w:pos="540"/>
          <w:tab w:val="left" w:pos="569"/>
        </w:tabs>
        <w:rPr>
          <w:b/>
          <w:bCs/>
          <w:sz w:val="22"/>
          <w:szCs w:val="22"/>
          <w:lang w:val="sr-Latn-RS"/>
        </w:rPr>
      </w:pPr>
    </w:p>
    <w:p w14:paraId="068E7CDF" w14:textId="77777777" w:rsidR="00DF017B" w:rsidRPr="00EB2BF2" w:rsidRDefault="00DF017B" w:rsidP="00480FB1">
      <w:pPr>
        <w:tabs>
          <w:tab w:val="left" w:pos="540"/>
          <w:tab w:val="left" w:pos="569"/>
        </w:tabs>
        <w:rPr>
          <w:spacing w:val="-2"/>
          <w:sz w:val="22"/>
          <w:szCs w:val="22"/>
          <w:lang w:val="sr-Latn-RS"/>
        </w:rPr>
      </w:pPr>
    </w:p>
    <w:p w14:paraId="23591895" w14:textId="77777777" w:rsidR="003F6A59" w:rsidRPr="00EB2BF2" w:rsidRDefault="00DF017B" w:rsidP="00480FB1">
      <w:pPr>
        <w:tabs>
          <w:tab w:val="left" w:pos="540"/>
          <w:tab w:val="left" w:pos="569"/>
        </w:tabs>
        <w:rPr>
          <w:sz w:val="22"/>
          <w:szCs w:val="22"/>
          <w:lang w:val="sr-Latn-RS"/>
        </w:rPr>
      </w:pPr>
      <w:r w:rsidRPr="00EB2BF2">
        <w:rPr>
          <w:spacing w:val="-2"/>
          <w:sz w:val="22"/>
          <w:szCs w:val="22"/>
          <w:lang w:val="sr-Latn-RS"/>
        </w:rPr>
        <w:t xml:space="preserve">Svu neiskorišćenu količinu lijeka ili otpadnog materijala nakon njegove upotrebe treba ukloniti u skladu sa </w:t>
      </w:r>
      <w:r w:rsidRPr="00EB2BF2">
        <w:rPr>
          <w:sz w:val="22"/>
          <w:szCs w:val="22"/>
          <w:lang w:val="sr-Latn-RS"/>
        </w:rPr>
        <w:t>važećim propisima.</w:t>
      </w:r>
    </w:p>
    <w:p w14:paraId="2C10CDFE" w14:textId="60493907" w:rsidR="0072020E" w:rsidRDefault="0072020E" w:rsidP="00480FB1">
      <w:pPr>
        <w:tabs>
          <w:tab w:val="left" w:pos="540"/>
          <w:tab w:val="left" w:pos="569"/>
        </w:tabs>
        <w:rPr>
          <w:bCs/>
          <w:sz w:val="22"/>
          <w:szCs w:val="22"/>
          <w:lang w:val="sr-Latn-RS"/>
        </w:rPr>
      </w:pPr>
    </w:p>
    <w:p w14:paraId="741D990E" w14:textId="77777777" w:rsidR="00EB2BF2" w:rsidRPr="00EB2BF2" w:rsidRDefault="00EB2BF2" w:rsidP="00480FB1">
      <w:pPr>
        <w:tabs>
          <w:tab w:val="left" w:pos="540"/>
          <w:tab w:val="left" w:pos="569"/>
        </w:tabs>
        <w:rPr>
          <w:bCs/>
          <w:sz w:val="22"/>
          <w:szCs w:val="22"/>
          <w:lang w:val="sr-Latn-RS"/>
        </w:rPr>
      </w:pPr>
    </w:p>
    <w:p w14:paraId="1BBB5627" w14:textId="77777777" w:rsidR="00F8570A" w:rsidRPr="00EB2BF2" w:rsidRDefault="0072020E" w:rsidP="00480FB1">
      <w:pPr>
        <w:tabs>
          <w:tab w:val="left" w:pos="540"/>
          <w:tab w:val="left" w:pos="569"/>
        </w:tabs>
        <w:rPr>
          <w:b/>
          <w:bCs/>
          <w:sz w:val="22"/>
          <w:szCs w:val="22"/>
          <w:lang w:val="sr-Latn-RS"/>
        </w:rPr>
      </w:pPr>
      <w:r w:rsidRPr="00EB2BF2">
        <w:rPr>
          <w:b/>
          <w:bCs/>
          <w:sz w:val="22"/>
          <w:szCs w:val="22"/>
          <w:lang w:val="sr-Latn-RS"/>
        </w:rPr>
        <w:t xml:space="preserve">7. </w:t>
      </w:r>
      <w:r w:rsidR="00480FB1" w:rsidRPr="00EB2BF2">
        <w:rPr>
          <w:b/>
          <w:bCs/>
          <w:sz w:val="22"/>
          <w:szCs w:val="22"/>
          <w:lang w:val="sr-Latn-RS"/>
        </w:rPr>
        <w:tab/>
      </w:r>
      <w:r w:rsidRPr="00EB2BF2">
        <w:rPr>
          <w:b/>
          <w:bCs/>
          <w:sz w:val="22"/>
          <w:szCs w:val="22"/>
          <w:lang w:val="sr-Latn-RS"/>
        </w:rPr>
        <w:t>NOSILAC DOZVOLE</w:t>
      </w:r>
      <w:r w:rsidR="00483928" w:rsidRPr="00EB2BF2">
        <w:rPr>
          <w:b/>
          <w:bCs/>
          <w:sz w:val="22"/>
          <w:szCs w:val="22"/>
          <w:lang w:val="sr-Latn-RS"/>
        </w:rPr>
        <w:t xml:space="preserve"> </w:t>
      </w:r>
    </w:p>
    <w:p w14:paraId="7CE4D794" w14:textId="77777777" w:rsidR="00DF017B" w:rsidRPr="00EB2BF2" w:rsidRDefault="00DF017B" w:rsidP="00480FB1">
      <w:pPr>
        <w:tabs>
          <w:tab w:val="left" w:pos="540"/>
          <w:tab w:val="left" w:pos="569"/>
        </w:tabs>
        <w:rPr>
          <w:b/>
          <w:bCs/>
          <w:sz w:val="22"/>
          <w:szCs w:val="22"/>
          <w:lang w:val="sr-Latn-RS"/>
        </w:rPr>
      </w:pPr>
    </w:p>
    <w:p w14:paraId="722F388E" w14:textId="69C05392" w:rsidR="00DF017B" w:rsidRPr="00EB2BF2" w:rsidRDefault="00DF017B" w:rsidP="00DF017B">
      <w:pPr>
        <w:widowControl w:val="0"/>
        <w:autoSpaceDE w:val="0"/>
        <w:autoSpaceDN w:val="0"/>
        <w:rPr>
          <w:bCs/>
          <w:sz w:val="22"/>
          <w:szCs w:val="22"/>
          <w:lang w:val="sr-Latn-RS"/>
        </w:rPr>
      </w:pPr>
      <w:r w:rsidRPr="00EB2BF2">
        <w:rPr>
          <w:bCs/>
          <w:sz w:val="22"/>
          <w:szCs w:val="22"/>
          <w:lang w:val="sr-Latn-RS"/>
        </w:rPr>
        <w:t>MIP P</w:t>
      </w:r>
      <w:r w:rsidR="00FA7566" w:rsidRPr="00EB2BF2">
        <w:rPr>
          <w:bCs/>
          <w:sz w:val="22"/>
          <w:szCs w:val="22"/>
          <w:lang w:val="sr-Latn-RS"/>
        </w:rPr>
        <w:t>HARMA</w:t>
      </w:r>
      <w:r w:rsidRPr="00EB2BF2">
        <w:rPr>
          <w:bCs/>
          <w:sz w:val="22"/>
          <w:szCs w:val="22"/>
          <w:lang w:val="sr-Latn-RS"/>
        </w:rPr>
        <w:t xml:space="preserve"> CG</w:t>
      </w:r>
    </w:p>
    <w:p w14:paraId="1899A017" w14:textId="319A62E4" w:rsidR="00DF017B" w:rsidRPr="00EB2BF2" w:rsidRDefault="007F4451" w:rsidP="00DF017B">
      <w:pPr>
        <w:widowControl w:val="0"/>
        <w:autoSpaceDE w:val="0"/>
        <w:autoSpaceDN w:val="0"/>
        <w:rPr>
          <w:bCs/>
          <w:sz w:val="22"/>
          <w:szCs w:val="22"/>
          <w:lang w:val="sr-Latn-RS"/>
        </w:rPr>
      </w:pPr>
      <w:r w:rsidRPr="00EB2BF2">
        <w:rPr>
          <w:bCs/>
          <w:sz w:val="22"/>
          <w:szCs w:val="22"/>
          <w:lang w:val="sr-Latn-RS"/>
        </w:rPr>
        <w:t xml:space="preserve">Trg </w:t>
      </w:r>
      <w:r w:rsidR="00C03857">
        <w:rPr>
          <w:bCs/>
          <w:sz w:val="22"/>
          <w:szCs w:val="22"/>
          <w:lang w:val="sr-Latn-RS"/>
        </w:rPr>
        <w:t>n</w:t>
      </w:r>
      <w:r w:rsidRPr="00EB2BF2">
        <w:rPr>
          <w:bCs/>
          <w:sz w:val="22"/>
          <w:szCs w:val="22"/>
          <w:lang w:val="sr-Latn-RS"/>
        </w:rPr>
        <w:t>ezavisnosti 1/I</w:t>
      </w:r>
      <w:r w:rsidR="00DF017B" w:rsidRPr="00EB2BF2">
        <w:rPr>
          <w:bCs/>
          <w:sz w:val="22"/>
          <w:szCs w:val="22"/>
          <w:lang w:val="sr-Latn-RS"/>
        </w:rPr>
        <w:t>, 81000 Podgorica</w:t>
      </w:r>
      <w:r w:rsidR="00070139" w:rsidRPr="00EB2BF2">
        <w:rPr>
          <w:bCs/>
          <w:sz w:val="22"/>
          <w:szCs w:val="22"/>
          <w:lang w:val="sr-Latn-RS"/>
        </w:rPr>
        <w:t>, Crna Gora</w:t>
      </w:r>
    </w:p>
    <w:p w14:paraId="589F599C" w14:textId="1D528C5E" w:rsidR="00836B35" w:rsidRPr="00EB2BF2" w:rsidRDefault="00836B35" w:rsidP="00480FB1">
      <w:pPr>
        <w:tabs>
          <w:tab w:val="left" w:pos="540"/>
          <w:tab w:val="left" w:pos="569"/>
        </w:tabs>
        <w:rPr>
          <w:bCs/>
          <w:sz w:val="22"/>
          <w:szCs w:val="22"/>
          <w:lang w:val="sr-Latn-RS"/>
        </w:rPr>
      </w:pPr>
    </w:p>
    <w:p w14:paraId="02DFAC26" w14:textId="77777777" w:rsidR="008E09E8" w:rsidRPr="00EB2BF2" w:rsidRDefault="008E09E8" w:rsidP="00480FB1">
      <w:pPr>
        <w:tabs>
          <w:tab w:val="left" w:pos="540"/>
          <w:tab w:val="left" w:pos="569"/>
        </w:tabs>
        <w:rPr>
          <w:bCs/>
          <w:sz w:val="22"/>
          <w:szCs w:val="22"/>
          <w:lang w:val="sr-Latn-RS"/>
        </w:rPr>
      </w:pPr>
    </w:p>
    <w:p w14:paraId="743DABE8" w14:textId="0F574BC4" w:rsidR="0072020E" w:rsidRPr="00EB2BF2" w:rsidRDefault="0072020E" w:rsidP="00480FB1">
      <w:pPr>
        <w:tabs>
          <w:tab w:val="left" w:pos="540"/>
          <w:tab w:val="left" w:pos="569"/>
        </w:tabs>
        <w:rPr>
          <w:b/>
          <w:bCs/>
          <w:sz w:val="22"/>
          <w:szCs w:val="22"/>
          <w:lang w:val="sr-Latn-RS"/>
        </w:rPr>
      </w:pPr>
      <w:r w:rsidRPr="00EB2BF2">
        <w:rPr>
          <w:b/>
          <w:bCs/>
          <w:sz w:val="22"/>
          <w:szCs w:val="22"/>
          <w:lang w:val="sr-Latn-RS"/>
        </w:rPr>
        <w:t xml:space="preserve">8. </w:t>
      </w:r>
      <w:r w:rsidR="00480FB1" w:rsidRPr="00EB2BF2">
        <w:rPr>
          <w:b/>
          <w:bCs/>
          <w:sz w:val="22"/>
          <w:szCs w:val="22"/>
          <w:lang w:val="sr-Latn-RS"/>
        </w:rPr>
        <w:tab/>
      </w:r>
      <w:r w:rsidRPr="00EB2BF2">
        <w:rPr>
          <w:b/>
          <w:bCs/>
          <w:sz w:val="22"/>
          <w:szCs w:val="22"/>
          <w:lang w:val="sr-Latn-RS"/>
        </w:rPr>
        <w:t>BROJ DOZVOLE</w:t>
      </w:r>
      <w:r w:rsidR="009D5D21" w:rsidRPr="00EB2BF2">
        <w:rPr>
          <w:b/>
          <w:bCs/>
          <w:sz w:val="22"/>
          <w:szCs w:val="22"/>
          <w:lang w:val="sr-Latn-RS"/>
        </w:rPr>
        <w:t xml:space="preserve"> ZA STAVLJANJE LIJEKA U PROMET</w:t>
      </w:r>
    </w:p>
    <w:p w14:paraId="230264CA" w14:textId="0CE5F692" w:rsidR="008E09E8" w:rsidRPr="00EB2BF2" w:rsidRDefault="008E09E8" w:rsidP="00480FB1">
      <w:pPr>
        <w:tabs>
          <w:tab w:val="left" w:pos="540"/>
          <w:tab w:val="left" w:pos="569"/>
        </w:tabs>
        <w:rPr>
          <w:b/>
          <w:bCs/>
          <w:sz w:val="22"/>
          <w:szCs w:val="22"/>
          <w:lang w:val="sr-Latn-RS"/>
        </w:rPr>
      </w:pPr>
    </w:p>
    <w:p w14:paraId="0E4C5718" w14:textId="4E16327F" w:rsidR="008E09E8" w:rsidRPr="00EB2BF2" w:rsidRDefault="008E09E8" w:rsidP="008E09E8">
      <w:pPr>
        <w:widowControl w:val="0"/>
        <w:autoSpaceDE w:val="0"/>
        <w:autoSpaceDN w:val="0"/>
        <w:rPr>
          <w:bCs/>
          <w:sz w:val="22"/>
          <w:szCs w:val="22"/>
          <w:lang w:val="sr-Latn-RS"/>
        </w:rPr>
      </w:pPr>
      <w:r w:rsidRPr="00EB2BF2">
        <w:rPr>
          <w:bCs/>
          <w:sz w:val="22"/>
          <w:szCs w:val="22"/>
          <w:lang w:val="sr-Latn-RS"/>
        </w:rPr>
        <w:t>Clindamycin-MIP, film tableta, 300 mg, blister, 12 (2x6) film tableta: 2030/25/2172 - 144</w:t>
      </w:r>
    </w:p>
    <w:p w14:paraId="75970A84" w14:textId="55268187" w:rsidR="008E09E8" w:rsidRPr="00EB2BF2" w:rsidRDefault="008E09E8" w:rsidP="008E09E8">
      <w:pPr>
        <w:widowControl w:val="0"/>
        <w:autoSpaceDE w:val="0"/>
        <w:autoSpaceDN w:val="0"/>
        <w:rPr>
          <w:bCs/>
          <w:sz w:val="22"/>
          <w:szCs w:val="22"/>
          <w:lang w:val="sr-Latn-RS"/>
        </w:rPr>
      </w:pPr>
      <w:r w:rsidRPr="00EB2BF2">
        <w:rPr>
          <w:bCs/>
          <w:sz w:val="22"/>
          <w:szCs w:val="22"/>
          <w:lang w:val="sr-Latn-RS"/>
        </w:rPr>
        <w:t>Clindamycin-MIP, film tableta, 300 mg, blister, 30 (3x10) film tableta: 2030/25/2173 - 145</w:t>
      </w:r>
    </w:p>
    <w:p w14:paraId="16B67A17" w14:textId="3FAD4E7A" w:rsidR="008E09E8" w:rsidRPr="00EB2BF2" w:rsidRDefault="008E09E8" w:rsidP="008E09E8">
      <w:pPr>
        <w:widowControl w:val="0"/>
        <w:autoSpaceDE w:val="0"/>
        <w:autoSpaceDN w:val="0"/>
        <w:rPr>
          <w:bCs/>
          <w:sz w:val="22"/>
          <w:szCs w:val="22"/>
          <w:lang w:val="sr-Latn-RS"/>
        </w:rPr>
      </w:pPr>
      <w:r w:rsidRPr="00EB2BF2">
        <w:rPr>
          <w:bCs/>
          <w:sz w:val="22"/>
          <w:szCs w:val="22"/>
          <w:lang w:val="sr-Latn-RS"/>
        </w:rPr>
        <w:t>Clindamycin-MIP, film tableta, 600 mg, blister, 6 (1x6) film tableta:</w:t>
      </w:r>
      <w:r w:rsidR="00CD3777" w:rsidRPr="00EB2BF2">
        <w:rPr>
          <w:bCs/>
          <w:sz w:val="22"/>
          <w:szCs w:val="22"/>
          <w:lang w:val="sr-Latn-RS"/>
        </w:rPr>
        <w:t xml:space="preserve"> 2030/25/2174 - 146</w:t>
      </w:r>
    </w:p>
    <w:p w14:paraId="78260233" w14:textId="2ACC49BD" w:rsidR="008E09E8" w:rsidRPr="00EB2BF2" w:rsidRDefault="008E09E8" w:rsidP="008E09E8">
      <w:pPr>
        <w:widowControl w:val="0"/>
        <w:autoSpaceDE w:val="0"/>
        <w:autoSpaceDN w:val="0"/>
        <w:rPr>
          <w:bCs/>
          <w:sz w:val="22"/>
          <w:szCs w:val="22"/>
          <w:lang w:val="sr-Latn-RS"/>
        </w:rPr>
      </w:pPr>
      <w:r w:rsidRPr="00EB2BF2">
        <w:rPr>
          <w:bCs/>
          <w:sz w:val="22"/>
          <w:szCs w:val="22"/>
          <w:lang w:val="sr-Latn-RS"/>
        </w:rPr>
        <w:t xml:space="preserve">Clindamycin-MIP, film tableta, 600 mg, blister, 12 </w:t>
      </w:r>
      <w:r w:rsidR="00CD3777" w:rsidRPr="00EB2BF2">
        <w:rPr>
          <w:bCs/>
          <w:sz w:val="22"/>
          <w:szCs w:val="22"/>
          <w:lang w:val="sr-Latn-RS"/>
        </w:rPr>
        <w:t>(</w:t>
      </w:r>
      <w:r w:rsidRPr="00EB2BF2">
        <w:rPr>
          <w:bCs/>
          <w:sz w:val="22"/>
          <w:szCs w:val="22"/>
          <w:lang w:val="sr-Latn-RS"/>
        </w:rPr>
        <w:t>2x6) film tableta:</w:t>
      </w:r>
      <w:r w:rsidR="00CD3777" w:rsidRPr="00EB2BF2">
        <w:rPr>
          <w:bCs/>
          <w:sz w:val="22"/>
          <w:szCs w:val="22"/>
          <w:lang w:val="sr-Latn-RS"/>
        </w:rPr>
        <w:t xml:space="preserve"> 2030/25/2175 - 147</w:t>
      </w:r>
    </w:p>
    <w:p w14:paraId="03918582" w14:textId="0493A5A4" w:rsidR="008E09E8" w:rsidRPr="00EB2BF2" w:rsidRDefault="008E09E8" w:rsidP="008E09E8">
      <w:pPr>
        <w:widowControl w:val="0"/>
        <w:autoSpaceDE w:val="0"/>
        <w:autoSpaceDN w:val="0"/>
        <w:rPr>
          <w:bCs/>
          <w:sz w:val="22"/>
          <w:szCs w:val="22"/>
          <w:lang w:val="sr-Latn-RS"/>
        </w:rPr>
      </w:pPr>
      <w:r w:rsidRPr="00EB2BF2">
        <w:rPr>
          <w:bCs/>
          <w:sz w:val="22"/>
          <w:szCs w:val="22"/>
          <w:lang w:val="sr-Latn-RS"/>
        </w:rPr>
        <w:t>Clindamycin-MIP, film tableta, 600 mg, blister, 30 (5x6) film tableta:</w:t>
      </w:r>
      <w:r w:rsidR="00CD3777" w:rsidRPr="00EB2BF2">
        <w:rPr>
          <w:bCs/>
          <w:sz w:val="22"/>
          <w:szCs w:val="22"/>
          <w:lang w:val="sr-Latn-RS"/>
        </w:rPr>
        <w:t xml:space="preserve"> 2030/25/2176 - 148</w:t>
      </w:r>
    </w:p>
    <w:p w14:paraId="7498FAE5" w14:textId="77777777" w:rsidR="008E09E8" w:rsidRPr="00EB2BF2" w:rsidRDefault="008E09E8" w:rsidP="008E09E8">
      <w:pPr>
        <w:tabs>
          <w:tab w:val="left" w:pos="540"/>
          <w:tab w:val="left" w:pos="569"/>
        </w:tabs>
        <w:rPr>
          <w:bCs/>
          <w:sz w:val="22"/>
          <w:szCs w:val="22"/>
          <w:lang w:val="sr-Latn-RS"/>
        </w:rPr>
      </w:pPr>
    </w:p>
    <w:p w14:paraId="14C0E8D0" w14:textId="237EE99A" w:rsidR="00F45F77" w:rsidRPr="00EB2BF2" w:rsidRDefault="00F45F77" w:rsidP="00480FB1">
      <w:pPr>
        <w:tabs>
          <w:tab w:val="left" w:pos="540"/>
          <w:tab w:val="left" w:pos="569"/>
        </w:tabs>
        <w:rPr>
          <w:bCs/>
          <w:sz w:val="22"/>
          <w:szCs w:val="22"/>
          <w:lang w:val="sr-Latn-RS"/>
        </w:rPr>
      </w:pPr>
    </w:p>
    <w:p w14:paraId="554B8D44" w14:textId="45BE2DAA" w:rsidR="00070139" w:rsidRPr="00EB2BF2" w:rsidRDefault="0072020E" w:rsidP="00070139">
      <w:pPr>
        <w:tabs>
          <w:tab w:val="left" w:pos="540"/>
          <w:tab w:val="left" w:pos="569"/>
        </w:tabs>
        <w:rPr>
          <w:b/>
          <w:bCs/>
          <w:sz w:val="22"/>
          <w:szCs w:val="22"/>
          <w:lang w:val="sr-Latn-RS"/>
        </w:rPr>
      </w:pPr>
      <w:r w:rsidRPr="00EB2BF2">
        <w:rPr>
          <w:b/>
          <w:bCs/>
          <w:sz w:val="22"/>
          <w:szCs w:val="22"/>
          <w:lang w:val="sr-Latn-RS"/>
        </w:rPr>
        <w:t xml:space="preserve">9. </w:t>
      </w:r>
      <w:r w:rsidR="00480FB1" w:rsidRPr="00EB2BF2">
        <w:rPr>
          <w:b/>
          <w:bCs/>
          <w:sz w:val="22"/>
          <w:szCs w:val="22"/>
          <w:lang w:val="sr-Latn-RS"/>
        </w:rPr>
        <w:tab/>
      </w:r>
      <w:r w:rsidRPr="00EB2BF2">
        <w:rPr>
          <w:b/>
          <w:bCs/>
          <w:sz w:val="22"/>
          <w:szCs w:val="22"/>
          <w:lang w:val="sr-Latn-RS"/>
        </w:rPr>
        <w:t>DATUM PRVE DOZVOLE</w:t>
      </w:r>
      <w:r w:rsidR="00F8570A" w:rsidRPr="00EB2BF2">
        <w:rPr>
          <w:b/>
          <w:bCs/>
          <w:sz w:val="22"/>
          <w:szCs w:val="22"/>
          <w:lang w:val="sr-Latn-RS"/>
        </w:rPr>
        <w:t>/</w:t>
      </w:r>
      <w:r w:rsidRPr="00EB2BF2">
        <w:rPr>
          <w:b/>
          <w:bCs/>
          <w:sz w:val="22"/>
          <w:szCs w:val="22"/>
          <w:lang w:val="sr-Latn-RS"/>
        </w:rPr>
        <w:t xml:space="preserve"> OBNOVE DOZVOLE</w:t>
      </w:r>
      <w:r w:rsidR="00070139" w:rsidRPr="00EB2BF2">
        <w:rPr>
          <w:b/>
          <w:bCs/>
          <w:sz w:val="22"/>
          <w:szCs w:val="22"/>
          <w:lang w:val="sr-Latn-RS"/>
        </w:rPr>
        <w:t xml:space="preserve"> ZA STAVLJANJE LIJEKA U PROMET</w:t>
      </w:r>
    </w:p>
    <w:p w14:paraId="47B028CD" w14:textId="0FE77E65" w:rsidR="0072020E" w:rsidRPr="00EB2BF2" w:rsidRDefault="0072020E" w:rsidP="00480FB1">
      <w:pPr>
        <w:tabs>
          <w:tab w:val="left" w:pos="540"/>
          <w:tab w:val="left" w:pos="569"/>
        </w:tabs>
        <w:rPr>
          <w:b/>
          <w:bCs/>
          <w:sz w:val="22"/>
          <w:szCs w:val="22"/>
          <w:lang w:val="sr-Latn-RS"/>
        </w:rPr>
      </w:pPr>
    </w:p>
    <w:p w14:paraId="3EE8AD40" w14:textId="2CCAD3F3" w:rsidR="003C7408" w:rsidRPr="00EB2BF2" w:rsidRDefault="003C7408" w:rsidP="00480FB1">
      <w:pPr>
        <w:tabs>
          <w:tab w:val="left" w:pos="540"/>
          <w:tab w:val="left" w:pos="569"/>
        </w:tabs>
        <w:rPr>
          <w:b/>
          <w:bCs/>
          <w:sz w:val="22"/>
          <w:szCs w:val="22"/>
          <w:lang w:val="sr-Latn-RS"/>
        </w:rPr>
      </w:pPr>
    </w:p>
    <w:p w14:paraId="5A8BD4E8" w14:textId="029E7699" w:rsidR="003C7408" w:rsidRPr="00EB2BF2" w:rsidRDefault="003C7408" w:rsidP="003C7408">
      <w:pPr>
        <w:tabs>
          <w:tab w:val="left" w:pos="540"/>
          <w:tab w:val="left" w:pos="569"/>
        </w:tabs>
        <w:ind w:left="540" w:hanging="540"/>
        <w:rPr>
          <w:rFonts w:eastAsia="TimesNewRoman"/>
          <w:sz w:val="22"/>
          <w:szCs w:val="22"/>
          <w:lang w:val="sr-Latn-RS" w:eastAsia="en-GB"/>
        </w:rPr>
      </w:pPr>
      <w:r w:rsidRPr="00EB2BF2">
        <w:rPr>
          <w:rFonts w:eastAsia="TimesNewRoman"/>
          <w:sz w:val="22"/>
          <w:szCs w:val="22"/>
          <w:lang w:val="sr-Latn-RS" w:eastAsia="en-GB"/>
        </w:rPr>
        <w:t>Datum prve dozvole: 15.07.2015. godine</w:t>
      </w:r>
    </w:p>
    <w:p w14:paraId="481F95CD" w14:textId="4DBC3EE9" w:rsidR="003C7408" w:rsidRPr="00EB2BF2" w:rsidRDefault="003C7408" w:rsidP="00FF04B0">
      <w:pPr>
        <w:tabs>
          <w:tab w:val="left" w:pos="540"/>
          <w:tab w:val="left" w:pos="569"/>
        </w:tabs>
        <w:ind w:left="540" w:hanging="540"/>
        <w:rPr>
          <w:b/>
          <w:bCs/>
          <w:sz w:val="22"/>
          <w:szCs w:val="22"/>
          <w:lang w:val="sr-Latn-RS"/>
        </w:rPr>
      </w:pPr>
      <w:r w:rsidRPr="00EB2BF2">
        <w:rPr>
          <w:rFonts w:eastAsia="TimesNewRoman"/>
          <w:sz w:val="22"/>
          <w:szCs w:val="22"/>
          <w:lang w:val="sr-Latn-RS" w:eastAsia="en-GB"/>
        </w:rPr>
        <w:t xml:space="preserve">Datum poslednje obnove dozvole: </w:t>
      </w:r>
      <w:r w:rsidR="0081361A">
        <w:rPr>
          <w:rFonts w:eastAsia="TimesNewRoman"/>
          <w:sz w:val="22"/>
          <w:szCs w:val="22"/>
          <w:lang w:val="sr-Latn-RS" w:eastAsia="en-GB"/>
        </w:rPr>
        <w:t>02.06</w:t>
      </w:r>
      <w:r w:rsidR="008E09E8" w:rsidRPr="00EB2BF2">
        <w:rPr>
          <w:rFonts w:eastAsia="TimesNewRoman"/>
          <w:sz w:val="22"/>
          <w:szCs w:val="22"/>
          <w:lang w:val="sr-Latn-RS" w:eastAsia="en-GB"/>
        </w:rPr>
        <w:t>.2025. godine</w:t>
      </w:r>
    </w:p>
    <w:p w14:paraId="362CB577" w14:textId="3B31F819" w:rsidR="00836B35" w:rsidRPr="00EB2BF2" w:rsidRDefault="00836B35" w:rsidP="00FF04B0">
      <w:pPr>
        <w:tabs>
          <w:tab w:val="left" w:pos="540"/>
          <w:tab w:val="left" w:pos="569"/>
        </w:tabs>
        <w:ind w:left="540" w:hanging="540"/>
        <w:rPr>
          <w:bCs/>
          <w:sz w:val="22"/>
          <w:szCs w:val="22"/>
          <w:lang w:val="sr-Latn-RS"/>
        </w:rPr>
      </w:pPr>
    </w:p>
    <w:p w14:paraId="0707BAF7" w14:textId="77777777" w:rsidR="008E09E8" w:rsidRPr="00EB2BF2" w:rsidRDefault="008E09E8" w:rsidP="00FF04B0">
      <w:pPr>
        <w:tabs>
          <w:tab w:val="left" w:pos="540"/>
          <w:tab w:val="left" w:pos="569"/>
        </w:tabs>
        <w:ind w:left="540" w:hanging="540"/>
        <w:rPr>
          <w:bCs/>
          <w:sz w:val="22"/>
          <w:szCs w:val="22"/>
          <w:lang w:val="sr-Latn-RS"/>
        </w:rPr>
      </w:pPr>
    </w:p>
    <w:p w14:paraId="6C3A79E2" w14:textId="7BE91381" w:rsidR="0072020E" w:rsidRPr="00EB2BF2" w:rsidRDefault="0072020E" w:rsidP="00614005">
      <w:pPr>
        <w:tabs>
          <w:tab w:val="left" w:pos="540"/>
          <w:tab w:val="left" w:pos="569"/>
        </w:tabs>
        <w:ind w:left="540" w:hanging="540"/>
        <w:rPr>
          <w:b/>
          <w:bCs/>
          <w:sz w:val="22"/>
          <w:szCs w:val="22"/>
          <w:lang w:val="sr-Latn-RS"/>
        </w:rPr>
      </w:pPr>
      <w:r w:rsidRPr="00EB2BF2">
        <w:rPr>
          <w:b/>
          <w:bCs/>
          <w:sz w:val="22"/>
          <w:szCs w:val="22"/>
          <w:lang w:val="sr-Latn-RS"/>
        </w:rPr>
        <w:t xml:space="preserve">10. </w:t>
      </w:r>
      <w:r w:rsidR="00480FB1" w:rsidRPr="00EB2BF2">
        <w:rPr>
          <w:b/>
          <w:bCs/>
          <w:sz w:val="22"/>
          <w:szCs w:val="22"/>
          <w:lang w:val="sr-Latn-RS"/>
        </w:rPr>
        <w:tab/>
      </w:r>
      <w:r w:rsidR="002846DB" w:rsidRPr="00EB2BF2">
        <w:rPr>
          <w:b/>
          <w:bCs/>
          <w:sz w:val="22"/>
          <w:szCs w:val="22"/>
          <w:lang w:val="sr-Latn-RS"/>
        </w:rPr>
        <w:t>D</w:t>
      </w:r>
      <w:r w:rsidR="00EC2532" w:rsidRPr="00EB2BF2">
        <w:rPr>
          <w:b/>
          <w:bCs/>
          <w:sz w:val="22"/>
          <w:szCs w:val="22"/>
          <w:lang w:val="sr-Latn-RS"/>
        </w:rPr>
        <w:t xml:space="preserve">ATUM REVIZIJE </w:t>
      </w:r>
      <w:r w:rsidR="00AC7040" w:rsidRPr="00EB2BF2">
        <w:rPr>
          <w:b/>
          <w:bCs/>
          <w:sz w:val="22"/>
          <w:szCs w:val="22"/>
          <w:lang w:val="sr-Latn-RS"/>
        </w:rPr>
        <w:t>TEKSTA</w:t>
      </w:r>
    </w:p>
    <w:p w14:paraId="01C56664" w14:textId="598B1CF8" w:rsidR="003F6A59" w:rsidRPr="00EB2BF2" w:rsidRDefault="003F6A59" w:rsidP="00480FB1">
      <w:pPr>
        <w:tabs>
          <w:tab w:val="left" w:pos="540"/>
          <w:tab w:val="left" w:pos="569"/>
        </w:tabs>
        <w:rPr>
          <w:bCs/>
          <w:sz w:val="22"/>
          <w:szCs w:val="22"/>
          <w:lang w:val="sr-Latn-RS"/>
        </w:rPr>
      </w:pPr>
    </w:p>
    <w:p w14:paraId="0CF5AAA0" w14:textId="25393F94" w:rsidR="003F6A59" w:rsidRPr="00EB2BF2" w:rsidRDefault="0081361A" w:rsidP="00614005">
      <w:pPr>
        <w:rPr>
          <w:sz w:val="22"/>
          <w:szCs w:val="22"/>
          <w:lang w:val="sr-Latn-RS"/>
        </w:rPr>
      </w:pPr>
      <w:r>
        <w:rPr>
          <w:sz w:val="22"/>
          <w:szCs w:val="22"/>
          <w:lang w:val="sr-Latn-RS"/>
        </w:rPr>
        <w:t>Jun</w:t>
      </w:r>
      <w:r w:rsidR="008E09E8" w:rsidRPr="00EB2BF2">
        <w:rPr>
          <w:sz w:val="22"/>
          <w:szCs w:val="22"/>
          <w:lang w:val="sr-Latn-RS"/>
        </w:rPr>
        <w:t>, 2025. godine</w:t>
      </w:r>
    </w:p>
    <w:sectPr w:rsidR="003F6A59" w:rsidRPr="00EB2BF2" w:rsidSect="00147859">
      <w:footerReference w:type="default" r:id="rId11"/>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FC4D6" w14:textId="77777777" w:rsidR="0094715F" w:rsidRDefault="0094715F">
      <w:r>
        <w:separator/>
      </w:r>
    </w:p>
  </w:endnote>
  <w:endnote w:type="continuationSeparator" w:id="0">
    <w:p w14:paraId="21AE5D7B" w14:textId="77777777" w:rsidR="0094715F" w:rsidRDefault="0094715F">
      <w:r>
        <w:continuationSeparator/>
      </w:r>
    </w:p>
  </w:endnote>
  <w:endnote w:type="continuationNotice" w:id="1">
    <w:p w14:paraId="2404154F" w14:textId="77777777" w:rsidR="0094715F" w:rsidRDefault="00947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81"/>
    <w:family w:val="auto"/>
    <w:notTrueType/>
    <w:pitch w:val="default"/>
    <w:sig w:usb0="00000007" w:usb1="09070000" w:usb2="00000010" w:usb3="00000000" w:csb0="000A0003" w:csb1="00000000"/>
  </w:font>
  <w:font w:name="Aptos Display">
    <w:altName w:val="Arial"/>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32C07" w14:textId="3C47312E" w:rsidR="00810956" w:rsidRPr="00B23F69" w:rsidRDefault="0081095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066D0">
      <w:rPr>
        <w:noProof/>
        <w:sz w:val="22"/>
        <w:szCs w:val="22"/>
      </w:rPr>
      <w:t>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066D0">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F6272" w14:textId="77777777" w:rsidR="0094715F" w:rsidRDefault="0094715F">
      <w:r>
        <w:separator/>
      </w:r>
    </w:p>
  </w:footnote>
  <w:footnote w:type="continuationSeparator" w:id="0">
    <w:p w14:paraId="6B091D39" w14:textId="77777777" w:rsidR="0094715F" w:rsidRDefault="0094715F">
      <w:r>
        <w:continuationSeparator/>
      </w:r>
    </w:p>
  </w:footnote>
  <w:footnote w:type="continuationNotice" w:id="1">
    <w:p w14:paraId="099CFF97" w14:textId="77777777" w:rsidR="0094715F" w:rsidRDefault="0094715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33304313" o:spid="_x0000_i1027"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7"/>
  </w:num>
  <w:num w:numId="5">
    <w:abstractNumId w:val="4"/>
  </w:num>
  <w:num w:numId="6">
    <w:abstractNumId w:val="1"/>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10B97"/>
    <w:rsid w:val="000137B9"/>
    <w:rsid w:val="000176CA"/>
    <w:rsid w:val="00020EF0"/>
    <w:rsid w:val="00031B56"/>
    <w:rsid w:val="000447FE"/>
    <w:rsid w:val="0004515D"/>
    <w:rsid w:val="0005429E"/>
    <w:rsid w:val="00070139"/>
    <w:rsid w:val="00073099"/>
    <w:rsid w:val="000754C8"/>
    <w:rsid w:val="00077674"/>
    <w:rsid w:val="00093155"/>
    <w:rsid w:val="0009538F"/>
    <w:rsid w:val="00096595"/>
    <w:rsid w:val="000A2138"/>
    <w:rsid w:val="000C3E80"/>
    <w:rsid w:val="000D2343"/>
    <w:rsid w:val="000D3E06"/>
    <w:rsid w:val="000D425A"/>
    <w:rsid w:val="000E2084"/>
    <w:rsid w:val="000E6F55"/>
    <w:rsid w:val="000F3A8A"/>
    <w:rsid w:val="000F3AC0"/>
    <w:rsid w:val="000F77FA"/>
    <w:rsid w:val="0010147A"/>
    <w:rsid w:val="0012305F"/>
    <w:rsid w:val="00124AC1"/>
    <w:rsid w:val="0014766D"/>
    <w:rsid w:val="00147859"/>
    <w:rsid w:val="0015256D"/>
    <w:rsid w:val="00170C84"/>
    <w:rsid w:val="001A3FBA"/>
    <w:rsid w:val="001A4524"/>
    <w:rsid w:val="001A5518"/>
    <w:rsid w:val="001C1263"/>
    <w:rsid w:val="001E390B"/>
    <w:rsid w:val="001F42FB"/>
    <w:rsid w:val="001F719A"/>
    <w:rsid w:val="00201F85"/>
    <w:rsid w:val="00206D66"/>
    <w:rsid w:val="00216612"/>
    <w:rsid w:val="00220FED"/>
    <w:rsid w:val="002215EC"/>
    <w:rsid w:val="00224C8B"/>
    <w:rsid w:val="0024418A"/>
    <w:rsid w:val="00254A0A"/>
    <w:rsid w:val="00262C40"/>
    <w:rsid w:val="00266046"/>
    <w:rsid w:val="002664C4"/>
    <w:rsid w:val="002846DB"/>
    <w:rsid w:val="002A2E70"/>
    <w:rsid w:val="002C6637"/>
    <w:rsid w:val="002D0ECE"/>
    <w:rsid w:val="002D1767"/>
    <w:rsid w:val="002D1B6E"/>
    <w:rsid w:val="002E0FCC"/>
    <w:rsid w:val="002E37A5"/>
    <w:rsid w:val="00300A41"/>
    <w:rsid w:val="00335AD5"/>
    <w:rsid w:val="003460C0"/>
    <w:rsid w:val="00355B61"/>
    <w:rsid w:val="003574FD"/>
    <w:rsid w:val="00360DC5"/>
    <w:rsid w:val="00362686"/>
    <w:rsid w:val="00366DB7"/>
    <w:rsid w:val="00371510"/>
    <w:rsid w:val="00390EB3"/>
    <w:rsid w:val="003968DC"/>
    <w:rsid w:val="00396DFD"/>
    <w:rsid w:val="003B1E28"/>
    <w:rsid w:val="003B4C9E"/>
    <w:rsid w:val="003B7A36"/>
    <w:rsid w:val="003C17AB"/>
    <w:rsid w:val="003C2C28"/>
    <w:rsid w:val="003C7408"/>
    <w:rsid w:val="003C7823"/>
    <w:rsid w:val="003E1DCC"/>
    <w:rsid w:val="003E46D8"/>
    <w:rsid w:val="003F6A59"/>
    <w:rsid w:val="004065C8"/>
    <w:rsid w:val="004066D0"/>
    <w:rsid w:val="00411B4B"/>
    <w:rsid w:val="00436F42"/>
    <w:rsid w:val="004425EC"/>
    <w:rsid w:val="00447030"/>
    <w:rsid w:val="00451314"/>
    <w:rsid w:val="00451463"/>
    <w:rsid w:val="004518E4"/>
    <w:rsid w:val="004534C7"/>
    <w:rsid w:val="00455E2E"/>
    <w:rsid w:val="00480FB1"/>
    <w:rsid w:val="00483928"/>
    <w:rsid w:val="00492DF6"/>
    <w:rsid w:val="00494386"/>
    <w:rsid w:val="004A12BD"/>
    <w:rsid w:val="004A582A"/>
    <w:rsid w:val="004D6103"/>
    <w:rsid w:val="004D7BB8"/>
    <w:rsid w:val="004E3BCE"/>
    <w:rsid w:val="004E57D3"/>
    <w:rsid w:val="004F0E97"/>
    <w:rsid w:val="004F3E76"/>
    <w:rsid w:val="004F7D4F"/>
    <w:rsid w:val="005026D3"/>
    <w:rsid w:val="00503C96"/>
    <w:rsid w:val="00515C21"/>
    <w:rsid w:val="00530BD7"/>
    <w:rsid w:val="005434B4"/>
    <w:rsid w:val="00545CD2"/>
    <w:rsid w:val="005476F3"/>
    <w:rsid w:val="00557B96"/>
    <w:rsid w:val="0056034C"/>
    <w:rsid w:val="00572527"/>
    <w:rsid w:val="00573E40"/>
    <w:rsid w:val="00576348"/>
    <w:rsid w:val="005834C6"/>
    <w:rsid w:val="00590BA7"/>
    <w:rsid w:val="005945A5"/>
    <w:rsid w:val="005A0B2E"/>
    <w:rsid w:val="005A23D2"/>
    <w:rsid w:val="005A36CB"/>
    <w:rsid w:val="005B341C"/>
    <w:rsid w:val="005B49B8"/>
    <w:rsid w:val="005B6DBA"/>
    <w:rsid w:val="005C0741"/>
    <w:rsid w:val="005D6BC3"/>
    <w:rsid w:val="005E2E0B"/>
    <w:rsid w:val="005E530E"/>
    <w:rsid w:val="005E7A7D"/>
    <w:rsid w:val="005F0396"/>
    <w:rsid w:val="005F0500"/>
    <w:rsid w:val="00614005"/>
    <w:rsid w:val="00620A41"/>
    <w:rsid w:val="00630A95"/>
    <w:rsid w:val="00635D4C"/>
    <w:rsid w:val="0064389F"/>
    <w:rsid w:val="00646BD1"/>
    <w:rsid w:val="0065595B"/>
    <w:rsid w:val="00661CD8"/>
    <w:rsid w:val="0066777D"/>
    <w:rsid w:val="00670431"/>
    <w:rsid w:val="00672052"/>
    <w:rsid w:val="00674BAF"/>
    <w:rsid w:val="006869F3"/>
    <w:rsid w:val="006A1497"/>
    <w:rsid w:val="006B0BD1"/>
    <w:rsid w:val="006C6CEB"/>
    <w:rsid w:val="006D1C1D"/>
    <w:rsid w:val="006D3961"/>
    <w:rsid w:val="006D66DC"/>
    <w:rsid w:val="00701304"/>
    <w:rsid w:val="0072020E"/>
    <w:rsid w:val="007203B4"/>
    <w:rsid w:val="00755F13"/>
    <w:rsid w:val="00756600"/>
    <w:rsid w:val="00767887"/>
    <w:rsid w:val="00772E5E"/>
    <w:rsid w:val="0078200E"/>
    <w:rsid w:val="007E57E6"/>
    <w:rsid w:val="007F1B3D"/>
    <w:rsid w:val="007F1D80"/>
    <w:rsid w:val="007F4451"/>
    <w:rsid w:val="00810956"/>
    <w:rsid w:val="00811928"/>
    <w:rsid w:val="0081361A"/>
    <w:rsid w:val="00824AB9"/>
    <w:rsid w:val="00836B35"/>
    <w:rsid w:val="00890EEB"/>
    <w:rsid w:val="008919A0"/>
    <w:rsid w:val="0089705C"/>
    <w:rsid w:val="008A63D0"/>
    <w:rsid w:val="008C1A28"/>
    <w:rsid w:val="008C2E98"/>
    <w:rsid w:val="008C3B82"/>
    <w:rsid w:val="008C5675"/>
    <w:rsid w:val="008D1255"/>
    <w:rsid w:val="008E09E8"/>
    <w:rsid w:val="008E2695"/>
    <w:rsid w:val="008E49BD"/>
    <w:rsid w:val="008E53E9"/>
    <w:rsid w:val="008E5771"/>
    <w:rsid w:val="008F52E5"/>
    <w:rsid w:val="00936FC6"/>
    <w:rsid w:val="0094715F"/>
    <w:rsid w:val="00956983"/>
    <w:rsid w:val="009617CF"/>
    <w:rsid w:val="00963CF0"/>
    <w:rsid w:val="00964BB1"/>
    <w:rsid w:val="009775D9"/>
    <w:rsid w:val="009839C3"/>
    <w:rsid w:val="00997A7C"/>
    <w:rsid w:val="009A1847"/>
    <w:rsid w:val="009B062A"/>
    <w:rsid w:val="009B2881"/>
    <w:rsid w:val="009C5F19"/>
    <w:rsid w:val="009D5D21"/>
    <w:rsid w:val="009D6048"/>
    <w:rsid w:val="009E7C6F"/>
    <w:rsid w:val="009F1793"/>
    <w:rsid w:val="00A016B7"/>
    <w:rsid w:val="00A02335"/>
    <w:rsid w:val="00A20F91"/>
    <w:rsid w:val="00A372C7"/>
    <w:rsid w:val="00A46C9A"/>
    <w:rsid w:val="00A60A35"/>
    <w:rsid w:val="00A619F3"/>
    <w:rsid w:val="00A723BC"/>
    <w:rsid w:val="00A835FD"/>
    <w:rsid w:val="00A843AF"/>
    <w:rsid w:val="00A87FF6"/>
    <w:rsid w:val="00A95E2B"/>
    <w:rsid w:val="00AA0A3B"/>
    <w:rsid w:val="00AC0241"/>
    <w:rsid w:val="00AC53CE"/>
    <w:rsid w:val="00AC7040"/>
    <w:rsid w:val="00AD2193"/>
    <w:rsid w:val="00AF2AC7"/>
    <w:rsid w:val="00AF634F"/>
    <w:rsid w:val="00B017B8"/>
    <w:rsid w:val="00B1049A"/>
    <w:rsid w:val="00B14E56"/>
    <w:rsid w:val="00B208DB"/>
    <w:rsid w:val="00B23F69"/>
    <w:rsid w:val="00B246D6"/>
    <w:rsid w:val="00B3621B"/>
    <w:rsid w:val="00B60619"/>
    <w:rsid w:val="00B60A34"/>
    <w:rsid w:val="00B67366"/>
    <w:rsid w:val="00B80EE1"/>
    <w:rsid w:val="00B83666"/>
    <w:rsid w:val="00BA39FA"/>
    <w:rsid w:val="00BB28C2"/>
    <w:rsid w:val="00BE68D8"/>
    <w:rsid w:val="00BF78A3"/>
    <w:rsid w:val="00C03857"/>
    <w:rsid w:val="00C04D34"/>
    <w:rsid w:val="00C077A9"/>
    <w:rsid w:val="00C11F13"/>
    <w:rsid w:val="00C15DC6"/>
    <w:rsid w:val="00C23D8D"/>
    <w:rsid w:val="00C37AA3"/>
    <w:rsid w:val="00C4086C"/>
    <w:rsid w:val="00C412AB"/>
    <w:rsid w:val="00C41CF1"/>
    <w:rsid w:val="00C43419"/>
    <w:rsid w:val="00C44CF3"/>
    <w:rsid w:val="00C55C5C"/>
    <w:rsid w:val="00C660C3"/>
    <w:rsid w:val="00C70B0E"/>
    <w:rsid w:val="00C83785"/>
    <w:rsid w:val="00C86290"/>
    <w:rsid w:val="00C9160B"/>
    <w:rsid w:val="00C94C0D"/>
    <w:rsid w:val="00CA021B"/>
    <w:rsid w:val="00CD3777"/>
    <w:rsid w:val="00CD4F85"/>
    <w:rsid w:val="00CD6F02"/>
    <w:rsid w:val="00CE246D"/>
    <w:rsid w:val="00CE308B"/>
    <w:rsid w:val="00CF07A0"/>
    <w:rsid w:val="00D0082A"/>
    <w:rsid w:val="00D146A3"/>
    <w:rsid w:val="00D16CD1"/>
    <w:rsid w:val="00D62FA4"/>
    <w:rsid w:val="00D66AD9"/>
    <w:rsid w:val="00D709B3"/>
    <w:rsid w:val="00D7423A"/>
    <w:rsid w:val="00D75610"/>
    <w:rsid w:val="00D86EBB"/>
    <w:rsid w:val="00D92B84"/>
    <w:rsid w:val="00D93290"/>
    <w:rsid w:val="00DA05E6"/>
    <w:rsid w:val="00DA2ED6"/>
    <w:rsid w:val="00DA39C7"/>
    <w:rsid w:val="00DA671E"/>
    <w:rsid w:val="00DB16AA"/>
    <w:rsid w:val="00DB76B8"/>
    <w:rsid w:val="00DC2246"/>
    <w:rsid w:val="00DC2EA1"/>
    <w:rsid w:val="00DC5C78"/>
    <w:rsid w:val="00DD0893"/>
    <w:rsid w:val="00DD2AF7"/>
    <w:rsid w:val="00DD6AAF"/>
    <w:rsid w:val="00DD77EE"/>
    <w:rsid w:val="00DE10D3"/>
    <w:rsid w:val="00DE3F5C"/>
    <w:rsid w:val="00DF017B"/>
    <w:rsid w:val="00DF1D20"/>
    <w:rsid w:val="00E02C84"/>
    <w:rsid w:val="00E155B4"/>
    <w:rsid w:val="00E24108"/>
    <w:rsid w:val="00E246B9"/>
    <w:rsid w:val="00E260C1"/>
    <w:rsid w:val="00E31081"/>
    <w:rsid w:val="00E45169"/>
    <w:rsid w:val="00E47787"/>
    <w:rsid w:val="00E47A82"/>
    <w:rsid w:val="00E51C30"/>
    <w:rsid w:val="00E64180"/>
    <w:rsid w:val="00E74319"/>
    <w:rsid w:val="00E74AEE"/>
    <w:rsid w:val="00E868E5"/>
    <w:rsid w:val="00E9237A"/>
    <w:rsid w:val="00E939FA"/>
    <w:rsid w:val="00EA35AE"/>
    <w:rsid w:val="00EA5765"/>
    <w:rsid w:val="00EA66BF"/>
    <w:rsid w:val="00EB2BF2"/>
    <w:rsid w:val="00EB4249"/>
    <w:rsid w:val="00EC2532"/>
    <w:rsid w:val="00EC326E"/>
    <w:rsid w:val="00ED7812"/>
    <w:rsid w:val="00EF1A10"/>
    <w:rsid w:val="00EF3B86"/>
    <w:rsid w:val="00EF4747"/>
    <w:rsid w:val="00EF5082"/>
    <w:rsid w:val="00F05638"/>
    <w:rsid w:val="00F23A54"/>
    <w:rsid w:val="00F34554"/>
    <w:rsid w:val="00F363BB"/>
    <w:rsid w:val="00F45F77"/>
    <w:rsid w:val="00F5167F"/>
    <w:rsid w:val="00F52258"/>
    <w:rsid w:val="00F65879"/>
    <w:rsid w:val="00F72D3D"/>
    <w:rsid w:val="00F8570A"/>
    <w:rsid w:val="00F9103C"/>
    <w:rsid w:val="00FA7566"/>
    <w:rsid w:val="00FA77E9"/>
    <w:rsid w:val="00FB23E4"/>
    <w:rsid w:val="00FB54DF"/>
    <w:rsid w:val="00FD0D13"/>
    <w:rsid w:val="00FD4F3B"/>
    <w:rsid w:val="00FD7B97"/>
    <w:rsid w:val="00FF04B0"/>
    <w:rsid w:val="00FF04C5"/>
    <w:rsid w:val="00FF2F55"/>
    <w:rsid w:val="00FF3FFF"/>
    <w:rsid w:val="00FF5F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EA14C"/>
  <w15:docId w15:val="{0F8E903E-E408-48D0-9FC0-713CA40A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
    <w:basedOn w:val="Normal"/>
    <w:link w:val="HeaderChar"/>
    <w:rsid w:val="00E246B9"/>
    <w:pPr>
      <w:tabs>
        <w:tab w:val="center" w:pos="4320"/>
        <w:tab w:val="right" w:pos="8640"/>
      </w:tabs>
    </w:pPr>
    <w:rPr>
      <w:lang w:val="x-none" w:eastAsia="x-none"/>
    </w:r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 Char"/>
    <w:link w:val="Header"/>
    <w:rsid w:val="00D7423A"/>
    <w:rPr>
      <w:sz w:val="24"/>
      <w:szCs w:val="24"/>
    </w:rPr>
  </w:style>
  <w:style w:type="paragraph" w:styleId="Revision">
    <w:name w:val="Revision"/>
    <w:hidden/>
    <w:uiPriority w:val="99"/>
    <w:semiHidden/>
    <w:rsid w:val="00A723BC"/>
    <w:rPr>
      <w:sz w:val="24"/>
      <w:szCs w:val="24"/>
      <w:lang w:val="en-US" w:eastAsia="en-US"/>
    </w:rPr>
  </w:style>
  <w:style w:type="character" w:styleId="Hyperlink">
    <w:name w:val="Hyperlink"/>
    <w:rsid w:val="00A016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299988">
      <w:bodyDiv w:val="1"/>
      <w:marLeft w:val="0"/>
      <w:marRight w:val="0"/>
      <w:marTop w:val="0"/>
      <w:marBottom w:val="0"/>
      <w:divBdr>
        <w:top w:val="none" w:sz="0" w:space="0" w:color="auto"/>
        <w:left w:val="none" w:sz="0" w:space="0" w:color="auto"/>
        <w:bottom w:val="none" w:sz="0" w:space="0" w:color="auto"/>
        <w:right w:val="none" w:sz="0" w:space="0" w:color="auto"/>
      </w:divBdr>
    </w:div>
    <w:div w:id="929003753">
      <w:bodyDiv w:val="1"/>
      <w:marLeft w:val="0"/>
      <w:marRight w:val="0"/>
      <w:marTop w:val="0"/>
      <w:marBottom w:val="0"/>
      <w:divBdr>
        <w:top w:val="none" w:sz="0" w:space="0" w:color="auto"/>
        <w:left w:val="none" w:sz="0" w:space="0" w:color="auto"/>
        <w:bottom w:val="none" w:sz="0" w:space="0" w:color="auto"/>
        <w:right w:val="none" w:sz="0" w:space="0" w:color="auto"/>
      </w:divBdr>
    </w:div>
    <w:div w:id="104667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vigiflow-eforms.who-umc.org/me/mead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3172B-2391-460B-B058-79EDC84C2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3345</Words>
  <Characters>19070</Characters>
  <Application>Microsoft Office Word</Application>
  <DocSecurity>0</DocSecurity>
  <Lines>158</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SAŽETAK KARAKTERISTIKA LIJEKA</vt:lpstr>
      <vt:lpstr>SAŽETAK KARAKTERISTIKA LIJEKA</vt:lpstr>
    </vt:vector>
  </TitlesOfParts>
  <Company>CALIMS</Company>
  <LinksUpToDate>false</LinksUpToDate>
  <CharactersWithSpaces>22371</CharactersWithSpaces>
  <SharedDoc>false</SharedDoc>
  <HLinks>
    <vt:vector size="6" baseType="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Olja Borozan</cp:lastModifiedBy>
  <cp:revision>11</cp:revision>
  <cp:lastPrinted>2015-08-24T13:31:00Z</cp:lastPrinted>
  <dcterms:created xsi:type="dcterms:W3CDTF">2025-05-07T12:58:00Z</dcterms:created>
  <dcterms:modified xsi:type="dcterms:W3CDTF">2025-06-02T11:42:00Z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