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F1A80" w14:textId="77777777" w:rsidR="002510A5" w:rsidRPr="00D123D4" w:rsidRDefault="002510A5" w:rsidP="00D123D4">
      <w:pPr>
        <w:widowControl w:val="0"/>
        <w:jc w:val="center"/>
        <w:rPr>
          <w:b/>
          <w:bCs/>
          <w:iCs/>
          <w:sz w:val="22"/>
          <w:szCs w:val="22"/>
          <w:u w:val="single"/>
          <w:lang w:val="sr-Latn-ME"/>
        </w:rPr>
      </w:pPr>
      <w:r w:rsidRPr="00D123D4">
        <w:rPr>
          <w:b/>
          <w:bCs/>
          <w:iCs/>
          <w:sz w:val="22"/>
          <w:szCs w:val="22"/>
          <w:u w:val="single"/>
          <w:lang w:val="sr-Latn-ME"/>
        </w:rPr>
        <w:t>SAŽETAK KARAKTERISTIKA LIJEKA</w:t>
      </w:r>
    </w:p>
    <w:p w14:paraId="4C6F1A82" w14:textId="5A72E728" w:rsidR="003C17AB" w:rsidRPr="00D123D4" w:rsidRDefault="003C17AB" w:rsidP="00D123D4">
      <w:pPr>
        <w:widowControl w:val="0"/>
        <w:rPr>
          <w:sz w:val="22"/>
          <w:szCs w:val="22"/>
          <w:lang w:val="sr-Latn-ME"/>
        </w:rPr>
      </w:pPr>
    </w:p>
    <w:p w14:paraId="4C6F1A85" w14:textId="77777777" w:rsidR="00C37FD7" w:rsidRPr="00D123D4" w:rsidRDefault="00C37FD7" w:rsidP="00D123D4">
      <w:pPr>
        <w:widowControl w:val="0"/>
        <w:tabs>
          <w:tab w:val="left" w:pos="540"/>
          <w:tab w:val="left" w:pos="569"/>
        </w:tabs>
        <w:rPr>
          <w:bCs/>
          <w:sz w:val="22"/>
          <w:szCs w:val="22"/>
          <w:lang w:val="sr-Latn-ME"/>
        </w:rPr>
      </w:pPr>
    </w:p>
    <w:p w14:paraId="4C6F1A86" w14:textId="160DF09B" w:rsidR="00411B4B" w:rsidRPr="00D123D4" w:rsidRDefault="00411B4B" w:rsidP="00D123D4">
      <w:pPr>
        <w:widowControl w:val="0"/>
        <w:tabs>
          <w:tab w:val="left" w:pos="540"/>
          <w:tab w:val="left" w:pos="569"/>
        </w:tabs>
        <w:rPr>
          <w:b/>
          <w:bCs/>
          <w:sz w:val="22"/>
          <w:szCs w:val="22"/>
          <w:lang w:val="sr-Latn-ME"/>
        </w:rPr>
      </w:pPr>
      <w:r w:rsidRPr="00D123D4">
        <w:rPr>
          <w:b/>
          <w:bCs/>
          <w:sz w:val="22"/>
          <w:szCs w:val="22"/>
          <w:lang w:val="sr-Latn-ME"/>
        </w:rPr>
        <w:t>1.</w:t>
      </w:r>
      <w:r w:rsidR="00F5167F" w:rsidRPr="00D123D4">
        <w:rPr>
          <w:b/>
          <w:bCs/>
          <w:sz w:val="22"/>
          <w:szCs w:val="22"/>
          <w:lang w:val="sr-Latn-ME"/>
        </w:rPr>
        <w:tab/>
      </w:r>
      <w:r w:rsidR="002846DB" w:rsidRPr="00D123D4">
        <w:rPr>
          <w:b/>
          <w:bCs/>
          <w:sz w:val="22"/>
          <w:szCs w:val="22"/>
          <w:lang w:val="sr-Latn-ME"/>
        </w:rPr>
        <w:t xml:space="preserve">NAZIV </w:t>
      </w:r>
      <w:r w:rsidRPr="00D123D4">
        <w:rPr>
          <w:b/>
          <w:bCs/>
          <w:sz w:val="22"/>
          <w:szCs w:val="22"/>
          <w:lang w:val="sr-Latn-ME"/>
        </w:rPr>
        <w:t>LIJEKA</w:t>
      </w:r>
    </w:p>
    <w:p w14:paraId="2FD43158" w14:textId="5F082E73" w:rsidR="009556C5" w:rsidRPr="00D123D4" w:rsidRDefault="009556C5" w:rsidP="00D123D4">
      <w:pPr>
        <w:widowControl w:val="0"/>
        <w:tabs>
          <w:tab w:val="left" w:pos="540"/>
          <w:tab w:val="left" w:pos="569"/>
        </w:tabs>
        <w:rPr>
          <w:b/>
          <w:bCs/>
          <w:sz w:val="22"/>
          <w:szCs w:val="22"/>
          <w:lang w:val="sr-Latn-ME"/>
        </w:rPr>
      </w:pPr>
    </w:p>
    <w:p w14:paraId="70E59E34" w14:textId="6374C0D4" w:rsidR="009556C5" w:rsidRPr="00D123D4" w:rsidRDefault="009556C5" w:rsidP="00D6666F">
      <w:pPr>
        <w:widowControl w:val="0"/>
        <w:tabs>
          <w:tab w:val="left" w:pos="540"/>
          <w:tab w:val="left" w:pos="569"/>
        </w:tabs>
        <w:jc w:val="both"/>
        <w:rPr>
          <w:bCs/>
          <w:sz w:val="22"/>
          <w:szCs w:val="22"/>
          <w:lang w:val="sr-Latn-ME"/>
        </w:rPr>
      </w:pPr>
      <w:r w:rsidRPr="00D123D4">
        <w:rPr>
          <w:bCs/>
          <w:sz w:val="22"/>
          <w:szCs w:val="22"/>
          <w:lang w:val="sr-Latn-ME"/>
        </w:rPr>
        <w:t>Ocrevus, 300 mg/10 ml, koncentrat za rastvor za infuziju</w:t>
      </w:r>
    </w:p>
    <w:p w14:paraId="40C5711C" w14:textId="77777777" w:rsidR="009556C5" w:rsidRPr="00D123D4" w:rsidRDefault="009556C5" w:rsidP="00D6666F">
      <w:pPr>
        <w:widowControl w:val="0"/>
        <w:tabs>
          <w:tab w:val="left" w:pos="540"/>
          <w:tab w:val="left" w:pos="569"/>
        </w:tabs>
        <w:jc w:val="both"/>
        <w:rPr>
          <w:bCs/>
          <w:sz w:val="22"/>
          <w:szCs w:val="22"/>
          <w:lang w:val="sr-Latn-ME"/>
        </w:rPr>
      </w:pPr>
    </w:p>
    <w:p w14:paraId="57EAC998" w14:textId="33F3204F" w:rsidR="009556C5" w:rsidRPr="00D123D4" w:rsidRDefault="009556C5" w:rsidP="00D6666F">
      <w:pPr>
        <w:widowControl w:val="0"/>
        <w:tabs>
          <w:tab w:val="left" w:pos="540"/>
          <w:tab w:val="left" w:pos="569"/>
        </w:tabs>
        <w:jc w:val="both"/>
        <w:rPr>
          <w:bCs/>
          <w:sz w:val="22"/>
          <w:szCs w:val="22"/>
          <w:lang w:val="sr-Latn-ME"/>
        </w:rPr>
      </w:pPr>
      <w:r w:rsidRPr="00D123D4">
        <w:rPr>
          <w:bCs/>
          <w:sz w:val="22"/>
          <w:szCs w:val="22"/>
          <w:lang w:val="sr-Latn-ME"/>
        </w:rPr>
        <w:t>INN:</w:t>
      </w:r>
      <w:r w:rsidRPr="00D123D4">
        <w:rPr>
          <w:bCs/>
          <w:sz w:val="22"/>
          <w:szCs w:val="22"/>
          <w:lang w:val="sr-Latn-ME"/>
        </w:rPr>
        <w:tab/>
        <w:t>okrelizumab</w:t>
      </w:r>
    </w:p>
    <w:p w14:paraId="4C6F1A8B" w14:textId="26938F68" w:rsidR="006D20A5" w:rsidRPr="00D123D4" w:rsidRDefault="006D20A5" w:rsidP="00D123D4">
      <w:pPr>
        <w:widowControl w:val="0"/>
        <w:rPr>
          <w:bCs/>
          <w:sz w:val="22"/>
          <w:szCs w:val="22"/>
          <w:lang w:val="sr-Latn-ME"/>
        </w:rPr>
      </w:pPr>
    </w:p>
    <w:p w14:paraId="4C6F1A8C" w14:textId="77777777" w:rsidR="00530BD7" w:rsidRPr="00D123D4" w:rsidRDefault="00530BD7" w:rsidP="00D123D4">
      <w:pPr>
        <w:widowControl w:val="0"/>
        <w:rPr>
          <w:bCs/>
          <w:sz w:val="22"/>
          <w:szCs w:val="22"/>
          <w:lang w:val="sr-Latn-ME"/>
        </w:rPr>
      </w:pPr>
    </w:p>
    <w:p w14:paraId="4C6F1A8D" w14:textId="77777777" w:rsidR="00411B4B" w:rsidRPr="00D123D4" w:rsidRDefault="00411B4B" w:rsidP="00D123D4">
      <w:pPr>
        <w:widowControl w:val="0"/>
        <w:tabs>
          <w:tab w:val="left" w:pos="540"/>
          <w:tab w:val="left" w:pos="569"/>
        </w:tabs>
        <w:rPr>
          <w:b/>
          <w:bCs/>
          <w:sz w:val="22"/>
          <w:szCs w:val="22"/>
          <w:lang w:val="sr-Latn-ME"/>
        </w:rPr>
      </w:pPr>
      <w:r w:rsidRPr="00D123D4">
        <w:rPr>
          <w:b/>
          <w:bCs/>
          <w:sz w:val="22"/>
          <w:szCs w:val="22"/>
          <w:lang w:val="sr-Latn-ME"/>
        </w:rPr>
        <w:t xml:space="preserve">2. </w:t>
      </w:r>
      <w:r w:rsidR="00F5167F" w:rsidRPr="00D123D4">
        <w:rPr>
          <w:b/>
          <w:bCs/>
          <w:sz w:val="22"/>
          <w:szCs w:val="22"/>
          <w:lang w:val="sr-Latn-ME"/>
        </w:rPr>
        <w:tab/>
      </w:r>
      <w:r w:rsidRPr="00D123D4">
        <w:rPr>
          <w:b/>
          <w:bCs/>
          <w:sz w:val="22"/>
          <w:szCs w:val="22"/>
          <w:lang w:val="sr-Latn-ME"/>
        </w:rPr>
        <w:t>KVALITATIVNI I KVANTITATIVNI SASTAV</w:t>
      </w:r>
    </w:p>
    <w:p w14:paraId="4C6F1A8E" w14:textId="77777777" w:rsidR="005A0B2E" w:rsidRPr="00D123D4" w:rsidRDefault="005A0B2E" w:rsidP="00D123D4">
      <w:pPr>
        <w:widowControl w:val="0"/>
        <w:rPr>
          <w:sz w:val="22"/>
          <w:szCs w:val="22"/>
          <w:lang w:val="sr-Latn-ME"/>
        </w:rPr>
      </w:pPr>
    </w:p>
    <w:p w14:paraId="41A50329" w14:textId="77777777" w:rsidR="00DD6A9C" w:rsidRPr="00D123D4" w:rsidRDefault="00DD6A9C" w:rsidP="00D123D4">
      <w:pPr>
        <w:widowControl w:val="0"/>
        <w:jc w:val="both"/>
        <w:rPr>
          <w:sz w:val="22"/>
          <w:szCs w:val="22"/>
          <w:lang w:val="sr-Latn-ME"/>
        </w:rPr>
      </w:pPr>
      <w:r w:rsidRPr="00D123D4">
        <w:rPr>
          <w:sz w:val="22"/>
          <w:szCs w:val="22"/>
          <w:lang w:val="sr-Latn-ME"/>
        </w:rPr>
        <w:t>Jedna bočica sadrži 300 mg okrelizumaba u 10 ml, što daje koncentraciju od 30 mg/ml. Konačna koncentracija lijeka nakon razblaživanja iznosi približno 1,2 mg/ml.</w:t>
      </w:r>
    </w:p>
    <w:p w14:paraId="72771CD9" w14:textId="77777777" w:rsidR="00DD6A9C" w:rsidRPr="00D123D4" w:rsidRDefault="00DD6A9C" w:rsidP="00D123D4">
      <w:pPr>
        <w:widowControl w:val="0"/>
        <w:jc w:val="both"/>
        <w:rPr>
          <w:sz w:val="22"/>
          <w:szCs w:val="22"/>
          <w:lang w:val="sr-Latn-ME"/>
        </w:rPr>
      </w:pPr>
      <w:r w:rsidRPr="00D123D4">
        <w:rPr>
          <w:sz w:val="22"/>
          <w:szCs w:val="22"/>
          <w:lang w:val="sr-Latn-ME"/>
        </w:rPr>
        <w:t xml:space="preserve"> </w:t>
      </w:r>
    </w:p>
    <w:p w14:paraId="79E6FE66" w14:textId="030F4D27" w:rsidR="00DD6A9C" w:rsidRPr="00D123D4" w:rsidRDefault="00DD6A9C" w:rsidP="00D123D4">
      <w:pPr>
        <w:widowControl w:val="0"/>
        <w:jc w:val="both"/>
        <w:rPr>
          <w:sz w:val="22"/>
          <w:szCs w:val="22"/>
          <w:lang w:val="sr-Latn-ME"/>
        </w:rPr>
      </w:pPr>
      <w:r w:rsidRPr="00D123D4">
        <w:rPr>
          <w:sz w:val="22"/>
          <w:szCs w:val="22"/>
          <w:lang w:val="sr-Latn-ME"/>
        </w:rPr>
        <w:t>Okrelizumab je humanizovano monoklonsko antitijelo koje se proizvodi u ćelijama jajnika kineskog hrčka tehnologijom rekombinantne DNK.</w:t>
      </w:r>
    </w:p>
    <w:p w14:paraId="6FC375A9" w14:textId="77777777" w:rsidR="00DD6A9C" w:rsidRPr="00D123D4" w:rsidRDefault="00DD6A9C" w:rsidP="00D123D4">
      <w:pPr>
        <w:widowControl w:val="0"/>
        <w:jc w:val="both"/>
        <w:rPr>
          <w:sz w:val="22"/>
          <w:szCs w:val="22"/>
          <w:lang w:val="sr-Latn-ME"/>
        </w:rPr>
      </w:pPr>
    </w:p>
    <w:p w14:paraId="4C6F1A8F" w14:textId="03EB2A53" w:rsidR="0003793F" w:rsidRPr="00D123D4" w:rsidRDefault="0003793F" w:rsidP="00D123D4">
      <w:pPr>
        <w:widowControl w:val="0"/>
        <w:jc w:val="both"/>
        <w:rPr>
          <w:sz w:val="22"/>
          <w:szCs w:val="22"/>
          <w:lang w:val="sr-Latn-ME"/>
        </w:rPr>
      </w:pPr>
      <w:r w:rsidRPr="00D123D4">
        <w:rPr>
          <w:sz w:val="22"/>
          <w:szCs w:val="22"/>
          <w:lang w:val="sr-Latn-ME"/>
        </w:rPr>
        <w:t>Za spisak svih ekscipijenasa, pogledati dio 6.1.</w:t>
      </w:r>
    </w:p>
    <w:p w14:paraId="4C6F1A90" w14:textId="77777777" w:rsidR="0003793F" w:rsidRPr="00D123D4" w:rsidRDefault="0003793F" w:rsidP="00D123D4">
      <w:pPr>
        <w:widowControl w:val="0"/>
        <w:rPr>
          <w:sz w:val="22"/>
          <w:szCs w:val="22"/>
          <w:lang w:val="sr-Latn-ME"/>
        </w:rPr>
      </w:pPr>
    </w:p>
    <w:p w14:paraId="4C6F1A91" w14:textId="77777777" w:rsidR="00C37FD7" w:rsidRPr="00D123D4" w:rsidRDefault="00C37FD7" w:rsidP="00D123D4">
      <w:pPr>
        <w:widowControl w:val="0"/>
        <w:rPr>
          <w:sz w:val="22"/>
          <w:szCs w:val="22"/>
          <w:lang w:val="sr-Latn-ME"/>
        </w:rPr>
      </w:pPr>
    </w:p>
    <w:p w14:paraId="4C6F1A92" w14:textId="77777777" w:rsidR="00411B4B" w:rsidRPr="00D123D4" w:rsidRDefault="00411B4B" w:rsidP="00D123D4">
      <w:pPr>
        <w:widowControl w:val="0"/>
        <w:tabs>
          <w:tab w:val="left" w:pos="540"/>
          <w:tab w:val="left" w:pos="569"/>
        </w:tabs>
        <w:rPr>
          <w:b/>
          <w:bCs/>
          <w:sz w:val="22"/>
          <w:szCs w:val="22"/>
          <w:lang w:val="sr-Latn-ME"/>
        </w:rPr>
      </w:pPr>
      <w:r w:rsidRPr="00D123D4">
        <w:rPr>
          <w:b/>
          <w:bCs/>
          <w:sz w:val="22"/>
          <w:szCs w:val="22"/>
          <w:lang w:val="sr-Latn-ME"/>
        </w:rPr>
        <w:t xml:space="preserve">3. </w:t>
      </w:r>
      <w:r w:rsidR="00F5167F" w:rsidRPr="00D123D4">
        <w:rPr>
          <w:b/>
          <w:bCs/>
          <w:sz w:val="22"/>
          <w:szCs w:val="22"/>
          <w:lang w:val="sr-Latn-ME"/>
        </w:rPr>
        <w:tab/>
      </w:r>
      <w:r w:rsidRPr="00D123D4">
        <w:rPr>
          <w:b/>
          <w:bCs/>
          <w:sz w:val="22"/>
          <w:szCs w:val="22"/>
          <w:lang w:val="sr-Latn-ME"/>
        </w:rPr>
        <w:t>FARMACEUTSKI OBLIK</w:t>
      </w:r>
      <w:r w:rsidR="009F2D23" w:rsidRPr="00D123D4">
        <w:rPr>
          <w:b/>
          <w:bCs/>
          <w:sz w:val="22"/>
          <w:szCs w:val="22"/>
          <w:lang w:val="sr-Latn-ME"/>
        </w:rPr>
        <w:t xml:space="preserve"> </w:t>
      </w:r>
    </w:p>
    <w:p w14:paraId="4C6F1A93" w14:textId="77777777" w:rsidR="00411B4B" w:rsidRPr="00D123D4" w:rsidRDefault="00411B4B" w:rsidP="00D123D4">
      <w:pPr>
        <w:widowControl w:val="0"/>
        <w:rPr>
          <w:bCs/>
          <w:sz w:val="22"/>
          <w:szCs w:val="22"/>
          <w:lang w:val="sr-Latn-ME"/>
        </w:rPr>
      </w:pPr>
    </w:p>
    <w:p w14:paraId="5DE9DFA6" w14:textId="77777777" w:rsidR="00DD6A9C" w:rsidRPr="00D123D4" w:rsidRDefault="00DD6A9C" w:rsidP="00D123D4">
      <w:pPr>
        <w:widowControl w:val="0"/>
        <w:jc w:val="both"/>
        <w:rPr>
          <w:sz w:val="22"/>
          <w:szCs w:val="22"/>
          <w:lang w:val="sr-Latn-ME"/>
        </w:rPr>
      </w:pPr>
      <w:r w:rsidRPr="00D123D4">
        <w:rPr>
          <w:sz w:val="22"/>
          <w:szCs w:val="22"/>
          <w:lang w:val="sr-Latn-ME"/>
        </w:rPr>
        <w:t xml:space="preserve">Koncentrat za rastvor za infuziju. </w:t>
      </w:r>
    </w:p>
    <w:p w14:paraId="7035DBDD" w14:textId="77777777" w:rsidR="00DD6A9C" w:rsidRPr="00D123D4" w:rsidRDefault="00DD6A9C" w:rsidP="00D123D4">
      <w:pPr>
        <w:widowControl w:val="0"/>
        <w:jc w:val="both"/>
        <w:rPr>
          <w:sz w:val="22"/>
          <w:szCs w:val="22"/>
          <w:lang w:val="sr-Latn-ME"/>
        </w:rPr>
      </w:pPr>
    </w:p>
    <w:p w14:paraId="5D409117" w14:textId="77777777" w:rsidR="00DD6A9C" w:rsidRPr="00D123D4" w:rsidRDefault="00DD6A9C" w:rsidP="00D123D4">
      <w:pPr>
        <w:widowControl w:val="0"/>
        <w:jc w:val="both"/>
        <w:rPr>
          <w:sz w:val="22"/>
          <w:szCs w:val="22"/>
          <w:lang w:val="sr-Latn-ME"/>
        </w:rPr>
      </w:pPr>
      <w:r w:rsidRPr="00D123D4">
        <w:rPr>
          <w:sz w:val="22"/>
          <w:szCs w:val="22"/>
          <w:lang w:val="sr-Latn-ME"/>
        </w:rPr>
        <w:t xml:space="preserve">Bistar do blago opalescentan, bezbojan do blijedosmeđ rastvor. </w:t>
      </w:r>
    </w:p>
    <w:p w14:paraId="4C6F1A94" w14:textId="392CC4BA" w:rsidR="00EC2532" w:rsidRPr="00D123D4" w:rsidRDefault="00EC2532" w:rsidP="00D123D4">
      <w:pPr>
        <w:widowControl w:val="0"/>
        <w:rPr>
          <w:bCs/>
          <w:sz w:val="22"/>
          <w:szCs w:val="22"/>
          <w:lang w:val="sr-Latn-ME"/>
        </w:rPr>
      </w:pPr>
    </w:p>
    <w:p w14:paraId="0583DC68" w14:textId="77777777" w:rsidR="00843FFE" w:rsidRPr="00D123D4" w:rsidRDefault="00843FFE" w:rsidP="00D123D4">
      <w:pPr>
        <w:widowControl w:val="0"/>
        <w:rPr>
          <w:bCs/>
          <w:sz w:val="22"/>
          <w:szCs w:val="22"/>
          <w:lang w:val="sr-Latn-ME"/>
        </w:rPr>
      </w:pPr>
    </w:p>
    <w:p w14:paraId="4C6F1A95" w14:textId="77777777" w:rsidR="00411B4B" w:rsidRPr="00D123D4" w:rsidRDefault="00411B4B" w:rsidP="00D123D4">
      <w:pPr>
        <w:widowControl w:val="0"/>
        <w:tabs>
          <w:tab w:val="left" w:pos="540"/>
          <w:tab w:val="left" w:pos="569"/>
        </w:tabs>
        <w:rPr>
          <w:b/>
          <w:bCs/>
          <w:sz w:val="22"/>
          <w:szCs w:val="22"/>
          <w:lang w:val="sr-Latn-ME"/>
        </w:rPr>
      </w:pPr>
      <w:r w:rsidRPr="00D123D4">
        <w:rPr>
          <w:b/>
          <w:bCs/>
          <w:sz w:val="22"/>
          <w:szCs w:val="22"/>
          <w:lang w:val="sr-Latn-ME"/>
        </w:rPr>
        <w:t xml:space="preserve">4. </w:t>
      </w:r>
      <w:r w:rsidR="00480FB1" w:rsidRPr="00D123D4">
        <w:rPr>
          <w:b/>
          <w:bCs/>
          <w:sz w:val="22"/>
          <w:szCs w:val="22"/>
          <w:lang w:val="sr-Latn-ME"/>
        </w:rPr>
        <w:tab/>
      </w:r>
      <w:r w:rsidRPr="00D123D4">
        <w:rPr>
          <w:b/>
          <w:bCs/>
          <w:sz w:val="22"/>
          <w:szCs w:val="22"/>
          <w:lang w:val="sr-Latn-ME"/>
        </w:rPr>
        <w:t>KLINIČKI PODACI</w:t>
      </w:r>
    </w:p>
    <w:p w14:paraId="4C6F1A96" w14:textId="77777777" w:rsidR="00CD6F02" w:rsidRPr="00D123D4" w:rsidRDefault="00CD6F02" w:rsidP="00D123D4">
      <w:pPr>
        <w:widowControl w:val="0"/>
        <w:tabs>
          <w:tab w:val="left" w:pos="540"/>
          <w:tab w:val="left" w:pos="569"/>
        </w:tabs>
        <w:rPr>
          <w:bCs/>
          <w:sz w:val="22"/>
          <w:szCs w:val="22"/>
          <w:lang w:val="sr-Latn-ME"/>
        </w:rPr>
      </w:pPr>
    </w:p>
    <w:p w14:paraId="3CAEB0CC" w14:textId="77777777" w:rsidR="00DD6A9C" w:rsidRPr="00D123D4" w:rsidRDefault="00DD6A9C" w:rsidP="00D123D4">
      <w:pPr>
        <w:widowControl w:val="0"/>
        <w:tabs>
          <w:tab w:val="left" w:pos="284"/>
          <w:tab w:val="center" w:pos="4320"/>
          <w:tab w:val="right" w:pos="8640"/>
        </w:tabs>
        <w:jc w:val="both"/>
        <w:rPr>
          <w:b/>
          <w:bCs/>
          <w:sz w:val="22"/>
          <w:szCs w:val="22"/>
          <w:lang w:val="sr-Latn-ME"/>
        </w:rPr>
      </w:pPr>
      <w:r w:rsidRPr="00D123D4">
        <w:rPr>
          <w:b/>
          <w:bCs/>
          <w:sz w:val="22"/>
          <w:szCs w:val="22"/>
          <w:lang w:val="sr-Latn-ME"/>
        </w:rPr>
        <w:t>4.1. Terapijske indikacije</w:t>
      </w:r>
    </w:p>
    <w:p w14:paraId="14C1580E" w14:textId="77777777" w:rsidR="00DD6A9C" w:rsidRPr="00D123D4" w:rsidRDefault="00DD6A9C" w:rsidP="00D123D4">
      <w:pPr>
        <w:widowControl w:val="0"/>
        <w:tabs>
          <w:tab w:val="left" w:pos="284"/>
          <w:tab w:val="center" w:pos="4320"/>
          <w:tab w:val="right" w:pos="8640"/>
        </w:tabs>
        <w:jc w:val="both"/>
        <w:rPr>
          <w:b/>
          <w:bCs/>
          <w:sz w:val="22"/>
          <w:szCs w:val="22"/>
          <w:lang w:val="sr-Latn-ME"/>
        </w:rPr>
      </w:pPr>
    </w:p>
    <w:p w14:paraId="585BD1AC" w14:textId="77777777" w:rsidR="00DD6A9C" w:rsidRPr="00D123D4" w:rsidRDefault="00DD6A9C" w:rsidP="00D123D4">
      <w:pPr>
        <w:widowControl w:val="0"/>
        <w:tabs>
          <w:tab w:val="left" w:pos="284"/>
          <w:tab w:val="center" w:pos="4320"/>
          <w:tab w:val="right" w:pos="8640"/>
        </w:tabs>
        <w:jc w:val="both"/>
        <w:rPr>
          <w:bCs/>
          <w:sz w:val="22"/>
          <w:szCs w:val="22"/>
          <w:lang w:val="sr-Latn-ME"/>
        </w:rPr>
      </w:pPr>
      <w:r w:rsidRPr="00D123D4">
        <w:rPr>
          <w:bCs/>
          <w:sz w:val="22"/>
          <w:szCs w:val="22"/>
          <w:lang w:val="sr-Latn-ME"/>
        </w:rPr>
        <w:t xml:space="preserve">Lijek Ocrevus je indikovan za liječenje odraslih pacijenata sa relapsirajućim oblicima multiple skleroze (RMS) koji imaju aktivnu bolest definisanu kliničkim karakteristikama ili karakteristikama koje se javljaju na snimcima (vidjeti dio 5.1). </w:t>
      </w:r>
    </w:p>
    <w:p w14:paraId="5587A35A" w14:textId="77777777" w:rsidR="00DD6A9C" w:rsidRPr="00D123D4" w:rsidRDefault="00DD6A9C" w:rsidP="00D123D4">
      <w:pPr>
        <w:widowControl w:val="0"/>
        <w:tabs>
          <w:tab w:val="left" w:pos="284"/>
          <w:tab w:val="center" w:pos="4320"/>
          <w:tab w:val="right" w:pos="8640"/>
        </w:tabs>
        <w:jc w:val="both"/>
        <w:rPr>
          <w:bCs/>
          <w:sz w:val="22"/>
          <w:szCs w:val="22"/>
          <w:lang w:val="sr-Latn-ME"/>
        </w:rPr>
      </w:pPr>
    </w:p>
    <w:p w14:paraId="4F9294CD" w14:textId="445C880E" w:rsidR="00DD6A9C" w:rsidRPr="00D123D4" w:rsidRDefault="00DD6A9C" w:rsidP="00D123D4">
      <w:pPr>
        <w:widowControl w:val="0"/>
        <w:tabs>
          <w:tab w:val="left" w:pos="284"/>
          <w:tab w:val="center" w:pos="4320"/>
          <w:tab w:val="right" w:pos="8640"/>
        </w:tabs>
        <w:jc w:val="both"/>
        <w:rPr>
          <w:bCs/>
          <w:sz w:val="22"/>
          <w:szCs w:val="22"/>
          <w:lang w:val="sr-Latn-ME"/>
        </w:rPr>
      </w:pPr>
      <w:r w:rsidRPr="00D123D4">
        <w:rPr>
          <w:bCs/>
          <w:sz w:val="22"/>
          <w:szCs w:val="22"/>
          <w:lang w:val="sr-Latn-ME"/>
        </w:rPr>
        <w:t>Lijek Ocrevus je indikovan za liječenje odraslih pacijenata sa ranom primarno progresivnom multiplom sklerozom (PPMS) u smislu trajanja bolesti i nivoa onesposobljenosti kao i sa karakteristikama zapaljenske aktivnosti koje se javljaju na snimcima (vidjeti dio 5.1).</w:t>
      </w:r>
    </w:p>
    <w:p w14:paraId="2CDC5D40" w14:textId="200BF619" w:rsidR="009556C5" w:rsidRPr="00D123D4" w:rsidRDefault="009556C5" w:rsidP="00D123D4">
      <w:pPr>
        <w:widowControl w:val="0"/>
        <w:tabs>
          <w:tab w:val="left" w:pos="284"/>
          <w:tab w:val="center" w:pos="4320"/>
          <w:tab w:val="right" w:pos="8640"/>
        </w:tabs>
        <w:jc w:val="both"/>
        <w:rPr>
          <w:bCs/>
          <w:sz w:val="22"/>
          <w:szCs w:val="22"/>
          <w:lang w:val="sr-Latn-ME"/>
        </w:rPr>
      </w:pPr>
    </w:p>
    <w:p w14:paraId="1887140E" w14:textId="65168966" w:rsidR="009556C5" w:rsidRPr="00D123D4" w:rsidRDefault="009556C5" w:rsidP="00D123D4">
      <w:pPr>
        <w:widowControl w:val="0"/>
        <w:rPr>
          <w:b/>
          <w:bCs/>
          <w:sz w:val="22"/>
          <w:szCs w:val="22"/>
          <w:lang w:val="sr-Latn-ME"/>
        </w:rPr>
      </w:pPr>
      <w:r w:rsidRPr="00D123D4">
        <w:rPr>
          <w:b/>
          <w:bCs/>
          <w:sz w:val="22"/>
          <w:szCs w:val="22"/>
          <w:lang w:val="sr-Latn-ME"/>
        </w:rPr>
        <w:t>4.2. Doziranje i način primjene</w:t>
      </w:r>
    </w:p>
    <w:p w14:paraId="2CA1FE26" w14:textId="3F59C42B" w:rsidR="009556C5" w:rsidRPr="00D123D4" w:rsidRDefault="009556C5" w:rsidP="00D123D4">
      <w:pPr>
        <w:widowControl w:val="0"/>
        <w:rPr>
          <w:b/>
          <w:bCs/>
          <w:sz w:val="22"/>
          <w:szCs w:val="22"/>
          <w:lang w:val="sr-Latn-ME"/>
        </w:rPr>
      </w:pPr>
    </w:p>
    <w:p w14:paraId="3C88F98B" w14:textId="77777777" w:rsidR="009556C5" w:rsidRPr="00D123D4" w:rsidRDefault="009556C5" w:rsidP="00D123D4">
      <w:pPr>
        <w:widowControl w:val="0"/>
        <w:jc w:val="both"/>
        <w:rPr>
          <w:sz w:val="22"/>
          <w:szCs w:val="22"/>
          <w:lang w:val="sr-Latn-ME"/>
        </w:rPr>
      </w:pPr>
      <w:r w:rsidRPr="00D123D4">
        <w:rPr>
          <w:sz w:val="22"/>
          <w:szCs w:val="22"/>
          <w:lang w:val="sr-Latn-ME"/>
        </w:rPr>
        <w:t>Liječenje treba započeti i nadzirati ljekar specijalista koji ima iskustva u dijagnostifikovanju i liječenju neuroloških bolesti i koji ima pristup odgovarajućoj medicinskoj njezi za zbrinjavanje ozbiljnih reakcija, kao što su ozbiljne reakcije koje se dovode u vezu sa infuzijom.</w:t>
      </w:r>
    </w:p>
    <w:p w14:paraId="6DDA2B33" w14:textId="77777777" w:rsidR="009556C5" w:rsidRPr="00D123D4" w:rsidRDefault="009556C5" w:rsidP="00D123D4">
      <w:pPr>
        <w:widowControl w:val="0"/>
        <w:jc w:val="both"/>
        <w:rPr>
          <w:sz w:val="22"/>
          <w:szCs w:val="22"/>
          <w:lang w:val="sr-Latn-ME"/>
        </w:rPr>
      </w:pPr>
    </w:p>
    <w:p w14:paraId="65B83E55" w14:textId="77777777" w:rsidR="009556C5" w:rsidRPr="00D123D4" w:rsidRDefault="009556C5" w:rsidP="00D123D4">
      <w:pPr>
        <w:widowControl w:val="0"/>
        <w:jc w:val="both"/>
        <w:rPr>
          <w:sz w:val="22"/>
          <w:szCs w:val="22"/>
          <w:u w:val="single"/>
          <w:lang w:val="sr-Latn-ME"/>
        </w:rPr>
      </w:pPr>
      <w:r w:rsidRPr="00D123D4">
        <w:rPr>
          <w:sz w:val="22"/>
          <w:szCs w:val="22"/>
          <w:u w:val="single"/>
          <w:lang w:val="sr-Latn-ME"/>
        </w:rPr>
        <w:t xml:space="preserve">Premedikacija za reakcije na infuziju </w:t>
      </w:r>
    </w:p>
    <w:p w14:paraId="683C37FD" w14:textId="77777777" w:rsidR="009556C5" w:rsidRPr="00D123D4" w:rsidRDefault="009556C5" w:rsidP="00D123D4">
      <w:pPr>
        <w:widowControl w:val="0"/>
        <w:jc w:val="both"/>
        <w:rPr>
          <w:sz w:val="22"/>
          <w:szCs w:val="22"/>
          <w:lang w:val="sr-Latn-ME"/>
        </w:rPr>
      </w:pPr>
    </w:p>
    <w:p w14:paraId="693CE170" w14:textId="77777777" w:rsidR="009556C5" w:rsidRPr="00D123D4" w:rsidRDefault="009556C5" w:rsidP="00D123D4">
      <w:pPr>
        <w:widowControl w:val="0"/>
        <w:jc w:val="both"/>
        <w:rPr>
          <w:sz w:val="22"/>
          <w:szCs w:val="22"/>
          <w:lang w:val="sr-Latn-ME"/>
        </w:rPr>
      </w:pPr>
      <w:r w:rsidRPr="00D123D4">
        <w:rPr>
          <w:sz w:val="22"/>
          <w:szCs w:val="22"/>
          <w:lang w:val="sr-Latn-ME"/>
        </w:rPr>
        <w:t>Prije svake infuzije okrelizumaba moraju se primijeniti sljedeća dva lijeka kao premedikacija kako bi se smanjile učestalost i težina reakcija na infuziju (za dodatne korake za smanjivanje reakcija na infuziju vidjeti dio 4.4):</w:t>
      </w:r>
    </w:p>
    <w:p w14:paraId="5FA1818B" w14:textId="77777777" w:rsidR="009556C5" w:rsidRPr="00D123D4" w:rsidRDefault="009556C5" w:rsidP="00D123D4">
      <w:pPr>
        <w:widowControl w:val="0"/>
        <w:jc w:val="both"/>
        <w:rPr>
          <w:sz w:val="22"/>
          <w:szCs w:val="22"/>
          <w:lang w:val="sr-Latn-ME"/>
        </w:rPr>
      </w:pPr>
      <w:r w:rsidRPr="00D123D4">
        <w:rPr>
          <w:sz w:val="22"/>
          <w:szCs w:val="22"/>
          <w:lang w:val="sr-Latn-ME"/>
        </w:rPr>
        <w:t>•</w:t>
      </w:r>
      <w:r w:rsidRPr="00D123D4">
        <w:rPr>
          <w:sz w:val="22"/>
          <w:szCs w:val="22"/>
          <w:lang w:val="sr-Latn-ME"/>
        </w:rPr>
        <w:tab/>
        <w:t>100 mg metilprednizolona (ili ekvivalenta) primijenjenog intravenski približno 30 minuta prije svake infuzije;</w:t>
      </w:r>
    </w:p>
    <w:p w14:paraId="51F39500" w14:textId="77777777" w:rsidR="009556C5" w:rsidRPr="00D123D4" w:rsidRDefault="009556C5" w:rsidP="00D123D4">
      <w:pPr>
        <w:widowControl w:val="0"/>
        <w:jc w:val="both"/>
        <w:rPr>
          <w:sz w:val="22"/>
          <w:szCs w:val="22"/>
          <w:lang w:val="sr-Latn-ME"/>
        </w:rPr>
      </w:pPr>
      <w:r w:rsidRPr="00D123D4">
        <w:rPr>
          <w:sz w:val="22"/>
          <w:szCs w:val="22"/>
          <w:lang w:val="sr-Latn-ME"/>
        </w:rPr>
        <w:t>•</w:t>
      </w:r>
      <w:r w:rsidRPr="00D123D4">
        <w:rPr>
          <w:sz w:val="22"/>
          <w:szCs w:val="22"/>
          <w:lang w:val="sr-Latn-ME"/>
        </w:rPr>
        <w:tab/>
        <w:t>antihistaminik približno 30-60 minuta prije svake infuzije;</w:t>
      </w:r>
    </w:p>
    <w:p w14:paraId="08A8033C" w14:textId="77777777" w:rsidR="009556C5" w:rsidRPr="00D123D4" w:rsidRDefault="009556C5" w:rsidP="00D123D4">
      <w:pPr>
        <w:widowControl w:val="0"/>
        <w:jc w:val="both"/>
        <w:rPr>
          <w:sz w:val="22"/>
          <w:szCs w:val="22"/>
          <w:lang w:val="sr-Latn-ME"/>
        </w:rPr>
      </w:pPr>
      <w:r w:rsidRPr="00D123D4">
        <w:rPr>
          <w:sz w:val="22"/>
          <w:szCs w:val="22"/>
          <w:lang w:val="sr-Latn-ME"/>
        </w:rPr>
        <w:t>Uz to se može razmotriti i premedikacija antipiretikom (npr. paracetamolom) približno 30-60 minuta prije svake infuzije.</w:t>
      </w:r>
    </w:p>
    <w:p w14:paraId="3090CD4B" w14:textId="77777777" w:rsidR="009556C5" w:rsidRPr="00D123D4" w:rsidRDefault="009556C5" w:rsidP="00D123D4">
      <w:pPr>
        <w:widowControl w:val="0"/>
        <w:jc w:val="both"/>
        <w:rPr>
          <w:sz w:val="22"/>
          <w:szCs w:val="22"/>
          <w:lang w:val="sr-Latn-ME"/>
        </w:rPr>
      </w:pPr>
    </w:p>
    <w:p w14:paraId="3E208E70" w14:textId="4D4E11FB" w:rsidR="009556C5" w:rsidRPr="00D123D4" w:rsidRDefault="009556C5" w:rsidP="00D123D4">
      <w:pPr>
        <w:widowControl w:val="0"/>
        <w:jc w:val="both"/>
        <w:rPr>
          <w:sz w:val="22"/>
          <w:szCs w:val="22"/>
          <w:u w:val="single"/>
          <w:lang w:val="sr-Latn-ME"/>
        </w:rPr>
      </w:pPr>
      <w:r w:rsidRPr="00D123D4">
        <w:rPr>
          <w:sz w:val="22"/>
          <w:szCs w:val="22"/>
          <w:u w:val="single"/>
          <w:lang w:val="sr-Latn-ME"/>
        </w:rPr>
        <w:t xml:space="preserve">Doziranje </w:t>
      </w:r>
    </w:p>
    <w:p w14:paraId="02053083" w14:textId="77777777" w:rsidR="009556C5" w:rsidRPr="00D123D4" w:rsidRDefault="009556C5" w:rsidP="00D123D4">
      <w:pPr>
        <w:widowControl w:val="0"/>
        <w:jc w:val="both"/>
        <w:rPr>
          <w:sz w:val="22"/>
          <w:szCs w:val="22"/>
          <w:lang w:val="sr-Latn-ME"/>
        </w:rPr>
      </w:pPr>
    </w:p>
    <w:p w14:paraId="1C22D28E" w14:textId="77777777" w:rsidR="009556C5" w:rsidRPr="00D123D4" w:rsidRDefault="009556C5" w:rsidP="00D123D4">
      <w:pPr>
        <w:widowControl w:val="0"/>
        <w:jc w:val="both"/>
        <w:rPr>
          <w:i/>
          <w:sz w:val="22"/>
          <w:szCs w:val="22"/>
          <w:lang w:val="sr-Latn-ME"/>
        </w:rPr>
      </w:pPr>
      <w:r w:rsidRPr="00D123D4">
        <w:rPr>
          <w:i/>
          <w:sz w:val="22"/>
          <w:szCs w:val="22"/>
          <w:lang w:val="sr-Latn-ME"/>
        </w:rPr>
        <w:lastRenderedPageBreak/>
        <w:t>Početna doza</w:t>
      </w:r>
    </w:p>
    <w:p w14:paraId="7EF45791" w14:textId="77777777" w:rsidR="009556C5" w:rsidRPr="00D123D4" w:rsidRDefault="009556C5" w:rsidP="00D123D4">
      <w:pPr>
        <w:widowControl w:val="0"/>
        <w:jc w:val="both"/>
        <w:rPr>
          <w:sz w:val="22"/>
          <w:szCs w:val="22"/>
          <w:lang w:val="sr-Latn-ME"/>
        </w:rPr>
      </w:pPr>
    </w:p>
    <w:p w14:paraId="7ED05F8A" w14:textId="77777777" w:rsidR="009556C5" w:rsidRPr="00D123D4" w:rsidRDefault="009556C5" w:rsidP="00D123D4">
      <w:pPr>
        <w:widowControl w:val="0"/>
        <w:jc w:val="both"/>
        <w:rPr>
          <w:sz w:val="22"/>
          <w:szCs w:val="22"/>
          <w:lang w:val="sr-Latn-ME"/>
        </w:rPr>
      </w:pPr>
      <w:r w:rsidRPr="00D123D4">
        <w:rPr>
          <w:sz w:val="22"/>
          <w:szCs w:val="22"/>
          <w:lang w:val="sr-Latn-ME"/>
        </w:rPr>
        <w:t>Početna doza od 600 mg primjenjuje se u dvije zasebne intravenske infuzije – prvo se primjenjuje jedna infuzija od 300 mg, a 2 nedjelje kasnije druga infuzija od 300 mg (vidjeti Tabelu 1).</w:t>
      </w:r>
    </w:p>
    <w:p w14:paraId="1AEE39BB" w14:textId="77777777" w:rsidR="009556C5" w:rsidRPr="00D123D4" w:rsidRDefault="009556C5" w:rsidP="00D123D4">
      <w:pPr>
        <w:widowControl w:val="0"/>
        <w:jc w:val="both"/>
        <w:rPr>
          <w:sz w:val="22"/>
          <w:szCs w:val="22"/>
          <w:lang w:val="sr-Latn-ME"/>
        </w:rPr>
      </w:pPr>
    </w:p>
    <w:p w14:paraId="40297381" w14:textId="77777777" w:rsidR="009556C5" w:rsidRPr="00D123D4" w:rsidRDefault="009556C5" w:rsidP="00D123D4">
      <w:pPr>
        <w:widowControl w:val="0"/>
        <w:jc w:val="both"/>
        <w:rPr>
          <w:i/>
          <w:sz w:val="22"/>
          <w:szCs w:val="22"/>
          <w:lang w:val="sr-Latn-ME"/>
        </w:rPr>
      </w:pPr>
      <w:r w:rsidRPr="00D123D4">
        <w:rPr>
          <w:i/>
          <w:sz w:val="22"/>
          <w:szCs w:val="22"/>
          <w:lang w:val="sr-Latn-ME"/>
        </w:rPr>
        <w:t xml:space="preserve">Sljedeće doze  </w:t>
      </w:r>
    </w:p>
    <w:p w14:paraId="1140FB06" w14:textId="77777777" w:rsidR="009556C5" w:rsidRPr="00D123D4" w:rsidRDefault="009556C5" w:rsidP="00D123D4">
      <w:pPr>
        <w:widowControl w:val="0"/>
        <w:jc w:val="both"/>
        <w:rPr>
          <w:sz w:val="22"/>
          <w:szCs w:val="22"/>
          <w:lang w:val="sr-Latn-ME"/>
        </w:rPr>
      </w:pPr>
    </w:p>
    <w:p w14:paraId="04EAE2E2" w14:textId="77777777" w:rsidR="009556C5" w:rsidRPr="00D123D4" w:rsidRDefault="009556C5" w:rsidP="00D123D4">
      <w:pPr>
        <w:widowControl w:val="0"/>
        <w:jc w:val="both"/>
        <w:rPr>
          <w:sz w:val="22"/>
          <w:szCs w:val="22"/>
          <w:lang w:val="sr-Latn-ME"/>
        </w:rPr>
      </w:pPr>
      <w:r w:rsidRPr="00D123D4">
        <w:rPr>
          <w:sz w:val="22"/>
          <w:szCs w:val="22"/>
          <w:lang w:val="sr-Latn-ME"/>
        </w:rPr>
        <w:t xml:space="preserve">Doze okrelizumaba koje slijede nakon toga, primjenjuju se u obliku jedne intravenske infuzije od 600 mg svakih 6 mjeseci (vidjeti Tabelu 1). Prvu sljedeću dozu od 600 mg treba primijeniti 6 mjeseci nakon prve infuzije početne doze. </w:t>
      </w:r>
    </w:p>
    <w:p w14:paraId="420EB970" w14:textId="77777777" w:rsidR="009556C5" w:rsidRPr="00D123D4" w:rsidRDefault="009556C5" w:rsidP="00D123D4">
      <w:pPr>
        <w:widowControl w:val="0"/>
        <w:jc w:val="both"/>
        <w:rPr>
          <w:sz w:val="22"/>
          <w:szCs w:val="22"/>
          <w:lang w:val="sr-Latn-ME"/>
        </w:rPr>
      </w:pPr>
    </w:p>
    <w:p w14:paraId="49ECE683" w14:textId="77777777" w:rsidR="009556C5" w:rsidRPr="00D123D4" w:rsidRDefault="009556C5" w:rsidP="00D123D4">
      <w:pPr>
        <w:widowControl w:val="0"/>
        <w:jc w:val="both"/>
        <w:rPr>
          <w:sz w:val="22"/>
          <w:szCs w:val="22"/>
          <w:lang w:val="sr-Latn-ME"/>
        </w:rPr>
      </w:pPr>
      <w:r w:rsidRPr="00D123D4">
        <w:rPr>
          <w:sz w:val="22"/>
          <w:szCs w:val="22"/>
          <w:lang w:val="sr-Latn-ME"/>
        </w:rPr>
        <w:t>Potrebno je održavati interval od najmanje 5 mjeseci između dviju doza okrelizumaba.</w:t>
      </w:r>
    </w:p>
    <w:p w14:paraId="20540DDA" w14:textId="77777777" w:rsidR="009556C5" w:rsidRPr="00D123D4" w:rsidRDefault="009556C5" w:rsidP="00D123D4">
      <w:pPr>
        <w:widowControl w:val="0"/>
        <w:jc w:val="both"/>
        <w:rPr>
          <w:sz w:val="22"/>
          <w:szCs w:val="22"/>
          <w:lang w:val="sr-Latn-ME"/>
        </w:rPr>
      </w:pPr>
    </w:p>
    <w:p w14:paraId="53A42B00" w14:textId="77777777" w:rsidR="009556C5" w:rsidRPr="00D123D4" w:rsidRDefault="009556C5" w:rsidP="00D123D4">
      <w:pPr>
        <w:widowControl w:val="0"/>
        <w:jc w:val="both"/>
        <w:rPr>
          <w:sz w:val="22"/>
          <w:szCs w:val="22"/>
          <w:u w:val="single"/>
          <w:lang w:val="sr-Latn-ME"/>
        </w:rPr>
      </w:pPr>
      <w:r w:rsidRPr="00D123D4">
        <w:rPr>
          <w:sz w:val="22"/>
          <w:szCs w:val="22"/>
          <w:u w:val="single"/>
          <w:lang w:val="sr-Latn-ME"/>
        </w:rPr>
        <w:t xml:space="preserve">Prilagođavanje infuzije u slučaju reakcija na infuziju </w:t>
      </w:r>
    </w:p>
    <w:p w14:paraId="5C1291CA" w14:textId="77777777" w:rsidR="009556C5" w:rsidRPr="00D123D4" w:rsidRDefault="009556C5" w:rsidP="00D123D4">
      <w:pPr>
        <w:widowControl w:val="0"/>
        <w:jc w:val="both"/>
        <w:rPr>
          <w:sz w:val="22"/>
          <w:szCs w:val="22"/>
          <w:lang w:val="sr-Latn-ME"/>
        </w:rPr>
      </w:pPr>
    </w:p>
    <w:p w14:paraId="4F6FD6B6" w14:textId="77777777" w:rsidR="009556C5" w:rsidRPr="00D123D4" w:rsidRDefault="009556C5" w:rsidP="00D123D4">
      <w:pPr>
        <w:widowControl w:val="0"/>
        <w:jc w:val="both"/>
        <w:rPr>
          <w:i/>
          <w:sz w:val="22"/>
          <w:szCs w:val="22"/>
          <w:lang w:val="sr-Latn-ME"/>
        </w:rPr>
      </w:pPr>
      <w:r w:rsidRPr="00D123D4">
        <w:rPr>
          <w:i/>
          <w:sz w:val="22"/>
          <w:szCs w:val="22"/>
          <w:lang w:val="sr-Latn-ME"/>
        </w:rPr>
        <w:t xml:space="preserve">Po život opasne reakcije na infuziju </w:t>
      </w:r>
    </w:p>
    <w:p w14:paraId="108CE647" w14:textId="77777777" w:rsidR="009556C5" w:rsidRPr="00D123D4" w:rsidRDefault="009556C5" w:rsidP="00D123D4">
      <w:pPr>
        <w:widowControl w:val="0"/>
        <w:jc w:val="both"/>
        <w:rPr>
          <w:sz w:val="22"/>
          <w:szCs w:val="22"/>
          <w:lang w:val="sr-Latn-ME"/>
        </w:rPr>
      </w:pPr>
    </w:p>
    <w:p w14:paraId="086AE353" w14:textId="77777777" w:rsidR="009556C5" w:rsidRPr="00D123D4" w:rsidRDefault="009556C5" w:rsidP="00D123D4">
      <w:pPr>
        <w:widowControl w:val="0"/>
        <w:jc w:val="both"/>
        <w:rPr>
          <w:sz w:val="22"/>
          <w:szCs w:val="22"/>
          <w:lang w:val="sr-Latn-ME"/>
        </w:rPr>
      </w:pPr>
      <w:r w:rsidRPr="00D123D4">
        <w:rPr>
          <w:sz w:val="22"/>
          <w:szCs w:val="22"/>
          <w:lang w:val="sr-Latn-ME"/>
        </w:rPr>
        <w:t>Ako se tokom infuzije pojave znaci  po život opasne ili onesposobljavajuće reakcije na infuziju, kao što su akutna preosjetljivost ili akutni respiratorni distres sindrom, infuzija se mora odmah prekinuti, a pacijentu pružiti odgovarajuće liječenje. Kod tih pacijenata se infuzija mora trajno obustaviti (vidjeti dio 4.3).</w:t>
      </w:r>
    </w:p>
    <w:p w14:paraId="079F9D1B" w14:textId="77777777" w:rsidR="009556C5" w:rsidRPr="00D123D4" w:rsidRDefault="009556C5" w:rsidP="00D123D4">
      <w:pPr>
        <w:widowControl w:val="0"/>
        <w:jc w:val="both"/>
        <w:rPr>
          <w:sz w:val="22"/>
          <w:szCs w:val="22"/>
          <w:lang w:val="sr-Latn-ME"/>
        </w:rPr>
      </w:pPr>
    </w:p>
    <w:p w14:paraId="115ABFE5" w14:textId="77777777" w:rsidR="009556C5" w:rsidRPr="00D123D4" w:rsidRDefault="009556C5" w:rsidP="00D123D4">
      <w:pPr>
        <w:widowControl w:val="0"/>
        <w:jc w:val="both"/>
        <w:rPr>
          <w:i/>
          <w:sz w:val="22"/>
          <w:szCs w:val="22"/>
          <w:lang w:val="sr-Latn-ME"/>
        </w:rPr>
      </w:pPr>
      <w:r w:rsidRPr="00D123D4">
        <w:rPr>
          <w:i/>
          <w:sz w:val="22"/>
          <w:szCs w:val="22"/>
          <w:lang w:val="sr-Latn-ME"/>
        </w:rPr>
        <w:t>Teške reakcije na infuziju</w:t>
      </w:r>
    </w:p>
    <w:p w14:paraId="618078AD" w14:textId="77777777" w:rsidR="009556C5" w:rsidRPr="00D123D4" w:rsidRDefault="009556C5" w:rsidP="00D123D4">
      <w:pPr>
        <w:widowControl w:val="0"/>
        <w:jc w:val="both"/>
        <w:rPr>
          <w:sz w:val="22"/>
          <w:szCs w:val="22"/>
          <w:lang w:val="sr-Latn-ME"/>
        </w:rPr>
      </w:pPr>
    </w:p>
    <w:p w14:paraId="18A25F70" w14:textId="77777777" w:rsidR="009556C5" w:rsidRPr="00D123D4" w:rsidRDefault="009556C5" w:rsidP="00D123D4">
      <w:pPr>
        <w:widowControl w:val="0"/>
        <w:jc w:val="both"/>
        <w:rPr>
          <w:sz w:val="22"/>
          <w:szCs w:val="22"/>
          <w:lang w:val="sr-Latn-ME"/>
        </w:rPr>
      </w:pPr>
      <w:r w:rsidRPr="00D123D4">
        <w:rPr>
          <w:sz w:val="22"/>
          <w:szCs w:val="22"/>
          <w:lang w:val="sr-Latn-ME"/>
        </w:rPr>
        <w:t>Ako se kod pacijenata pojavi teška reakcija na infuziju (poput dispneje) ili kombinacija navale crvenila, povišena temperature i bola u grlu, treba odmah privremeno prekinuti infuziju i primijeniti simptomatsko liječenje. Infuzija se može nastaviti tek nakon što se svi simptomi povuku. Početna brzina primjene pri nastavku infuzije mora biti upola manja od one kojom se infuzija primjenjivala kad je nastupila reakcija. Nije potrebno nikakvo prilagođavanje kod sljedećih infuzija, osim ako se ne pojavi reakcija na infuziju.</w:t>
      </w:r>
    </w:p>
    <w:p w14:paraId="28341651" w14:textId="77777777" w:rsidR="009556C5" w:rsidRPr="00D123D4" w:rsidRDefault="009556C5" w:rsidP="00D123D4">
      <w:pPr>
        <w:widowControl w:val="0"/>
        <w:jc w:val="both"/>
        <w:rPr>
          <w:i/>
          <w:sz w:val="22"/>
          <w:szCs w:val="22"/>
          <w:lang w:val="sr-Latn-ME"/>
        </w:rPr>
      </w:pPr>
    </w:p>
    <w:p w14:paraId="7148F7F7" w14:textId="77777777" w:rsidR="009556C5" w:rsidRPr="00D123D4" w:rsidRDefault="009556C5" w:rsidP="00D123D4">
      <w:pPr>
        <w:widowControl w:val="0"/>
        <w:jc w:val="both"/>
        <w:rPr>
          <w:i/>
          <w:sz w:val="22"/>
          <w:szCs w:val="22"/>
          <w:lang w:val="sr-Latn-ME"/>
        </w:rPr>
      </w:pPr>
      <w:r w:rsidRPr="00D123D4">
        <w:rPr>
          <w:i/>
          <w:sz w:val="22"/>
          <w:szCs w:val="22"/>
          <w:lang w:val="sr-Latn-ME"/>
        </w:rPr>
        <w:t>Blage do umjerene reakcije na infuziju</w:t>
      </w:r>
    </w:p>
    <w:p w14:paraId="175DB711" w14:textId="77777777" w:rsidR="009556C5" w:rsidRPr="00D123D4" w:rsidRDefault="009556C5" w:rsidP="00D123D4">
      <w:pPr>
        <w:widowControl w:val="0"/>
        <w:jc w:val="both"/>
        <w:rPr>
          <w:sz w:val="22"/>
          <w:szCs w:val="22"/>
          <w:lang w:val="sr-Latn-ME"/>
        </w:rPr>
      </w:pPr>
    </w:p>
    <w:p w14:paraId="0144D63B" w14:textId="77777777" w:rsidR="009556C5" w:rsidRPr="00D123D4" w:rsidRDefault="009556C5" w:rsidP="00D123D4">
      <w:pPr>
        <w:widowControl w:val="0"/>
        <w:jc w:val="both"/>
        <w:rPr>
          <w:sz w:val="22"/>
          <w:szCs w:val="22"/>
          <w:lang w:val="sr-Latn-ME"/>
        </w:rPr>
      </w:pPr>
      <w:r w:rsidRPr="00D123D4">
        <w:rPr>
          <w:sz w:val="22"/>
          <w:szCs w:val="22"/>
          <w:lang w:val="sr-Latn-ME"/>
        </w:rPr>
        <w:t>Ako pacijent doživi blagu do umjerenu reakciju na infuziju (npr. glavobolju), brzinu kojom se infuzija primjenjivala u trenutku nastupa reakcije treba prepoloviti. Tako smanjena brzina treba se održavati tokom najmanje 30 minuta. Ako je pacijent dobro podnosi, brzina infuzije može se ponovo povećati u skladu sa početnom brzinom. Nije potrebno prilagođavanje kod sljedećih infuzija, osim ako se ne pojavi reakcija na infuziju.</w:t>
      </w:r>
    </w:p>
    <w:p w14:paraId="48DB3ABF" w14:textId="77777777" w:rsidR="009556C5" w:rsidRPr="00D123D4" w:rsidRDefault="009556C5" w:rsidP="00D123D4">
      <w:pPr>
        <w:widowControl w:val="0"/>
        <w:jc w:val="both"/>
        <w:rPr>
          <w:sz w:val="22"/>
          <w:szCs w:val="22"/>
          <w:lang w:val="sr-Latn-ME"/>
        </w:rPr>
      </w:pPr>
    </w:p>
    <w:p w14:paraId="1D699CC3" w14:textId="77777777" w:rsidR="009556C5" w:rsidRPr="00D123D4" w:rsidRDefault="009556C5" w:rsidP="00D123D4">
      <w:pPr>
        <w:widowControl w:val="0"/>
        <w:jc w:val="both"/>
        <w:rPr>
          <w:sz w:val="22"/>
          <w:szCs w:val="22"/>
          <w:u w:val="single"/>
          <w:lang w:val="sr-Latn-ME"/>
        </w:rPr>
      </w:pPr>
      <w:r w:rsidRPr="00D123D4">
        <w:rPr>
          <w:sz w:val="22"/>
          <w:szCs w:val="22"/>
          <w:u w:val="single"/>
          <w:lang w:val="sr-Latn-ME"/>
        </w:rPr>
        <w:t>Prilagođavanje doze tokom liječenja</w:t>
      </w:r>
    </w:p>
    <w:p w14:paraId="77AFAEF1" w14:textId="77777777" w:rsidR="009556C5" w:rsidRPr="00D123D4" w:rsidRDefault="009556C5" w:rsidP="00D123D4">
      <w:pPr>
        <w:widowControl w:val="0"/>
        <w:jc w:val="both"/>
        <w:rPr>
          <w:sz w:val="22"/>
          <w:szCs w:val="22"/>
          <w:lang w:val="sr-Latn-ME"/>
        </w:rPr>
      </w:pPr>
    </w:p>
    <w:p w14:paraId="29D7460B" w14:textId="77777777" w:rsidR="009556C5" w:rsidRPr="00D123D4" w:rsidRDefault="009556C5" w:rsidP="00D123D4">
      <w:pPr>
        <w:widowControl w:val="0"/>
        <w:jc w:val="both"/>
        <w:rPr>
          <w:sz w:val="22"/>
          <w:szCs w:val="22"/>
          <w:lang w:val="sr-Latn-ME"/>
        </w:rPr>
      </w:pPr>
      <w:r w:rsidRPr="00D123D4">
        <w:rPr>
          <w:sz w:val="22"/>
          <w:szCs w:val="22"/>
          <w:lang w:val="sr-Latn-ME"/>
        </w:rPr>
        <w:t>Kod prethodno navedenih primjera privremenog prekida i usporavanja primjene (kod blagih/umjerenih i teških reakcija na infuziju) doći će do promjene brzine infuzije i produženja ukupnog trajanja infuzije, ali se neće povećati ukupna doza. Ne preporučuje se smanjivati dozu.</w:t>
      </w:r>
    </w:p>
    <w:p w14:paraId="42A6DC74" w14:textId="77777777" w:rsidR="009556C5" w:rsidRPr="00D123D4" w:rsidRDefault="009556C5" w:rsidP="00D123D4">
      <w:pPr>
        <w:widowControl w:val="0"/>
        <w:jc w:val="both"/>
        <w:rPr>
          <w:sz w:val="22"/>
          <w:szCs w:val="22"/>
          <w:u w:val="single"/>
          <w:lang w:val="sr-Latn-ME"/>
        </w:rPr>
      </w:pPr>
    </w:p>
    <w:p w14:paraId="16641A6C" w14:textId="77777777" w:rsidR="009556C5" w:rsidRPr="00D123D4" w:rsidRDefault="009556C5" w:rsidP="00D123D4">
      <w:pPr>
        <w:widowControl w:val="0"/>
        <w:jc w:val="both"/>
        <w:rPr>
          <w:sz w:val="22"/>
          <w:szCs w:val="22"/>
          <w:u w:val="single"/>
          <w:lang w:val="sr-Latn-ME"/>
        </w:rPr>
      </w:pPr>
      <w:r w:rsidRPr="00D123D4">
        <w:rPr>
          <w:sz w:val="22"/>
          <w:szCs w:val="22"/>
          <w:u w:val="single"/>
          <w:lang w:val="sr-Latn-ME"/>
        </w:rPr>
        <w:t>Odložene ili propuštene doze</w:t>
      </w:r>
    </w:p>
    <w:p w14:paraId="19565144" w14:textId="77777777" w:rsidR="009556C5" w:rsidRPr="00D123D4" w:rsidRDefault="009556C5" w:rsidP="00D123D4">
      <w:pPr>
        <w:widowControl w:val="0"/>
        <w:jc w:val="both"/>
        <w:rPr>
          <w:sz w:val="22"/>
          <w:szCs w:val="22"/>
          <w:lang w:val="sr-Latn-ME"/>
        </w:rPr>
      </w:pPr>
    </w:p>
    <w:p w14:paraId="1F7861BE" w14:textId="77777777" w:rsidR="009556C5" w:rsidRPr="00D123D4" w:rsidRDefault="009556C5" w:rsidP="00D123D4">
      <w:pPr>
        <w:widowControl w:val="0"/>
        <w:jc w:val="both"/>
        <w:rPr>
          <w:sz w:val="22"/>
          <w:szCs w:val="22"/>
          <w:lang w:val="sr-Latn-ME"/>
        </w:rPr>
      </w:pPr>
      <w:r w:rsidRPr="00D123D4">
        <w:rPr>
          <w:sz w:val="22"/>
          <w:szCs w:val="22"/>
          <w:lang w:val="sr-Latn-ME"/>
        </w:rPr>
        <w:t>Ako pacijent propusti da prima infuziju, treba je primijeniti što je prije moguće; ne smije se čekati do sljedeće planirane doze. Potrebno je održavati interval od 6 mjeseci (a najmanje 5 mjeseci) između doza (vidjeti Tabelu 1).</w:t>
      </w:r>
    </w:p>
    <w:p w14:paraId="684A66CD" w14:textId="77777777" w:rsidR="009556C5" w:rsidRPr="00D123D4" w:rsidRDefault="009556C5" w:rsidP="00D123D4">
      <w:pPr>
        <w:widowControl w:val="0"/>
        <w:jc w:val="both"/>
        <w:rPr>
          <w:sz w:val="22"/>
          <w:szCs w:val="22"/>
          <w:lang w:val="sr-Latn-ME"/>
        </w:rPr>
      </w:pPr>
    </w:p>
    <w:p w14:paraId="0956A9D5" w14:textId="77777777" w:rsidR="009556C5" w:rsidRPr="00D123D4" w:rsidRDefault="009556C5" w:rsidP="00D123D4">
      <w:pPr>
        <w:widowControl w:val="0"/>
        <w:jc w:val="both"/>
        <w:rPr>
          <w:sz w:val="22"/>
          <w:szCs w:val="22"/>
          <w:u w:val="single"/>
          <w:lang w:val="sr-Latn-ME"/>
        </w:rPr>
      </w:pPr>
      <w:r w:rsidRPr="00D123D4">
        <w:rPr>
          <w:sz w:val="22"/>
          <w:szCs w:val="22"/>
          <w:u w:val="single"/>
          <w:lang w:val="sr-Latn-ME"/>
        </w:rPr>
        <w:t xml:space="preserve">Posebne populacije </w:t>
      </w:r>
    </w:p>
    <w:p w14:paraId="5CBDFE4F" w14:textId="77777777" w:rsidR="009556C5" w:rsidRPr="00D123D4" w:rsidRDefault="009556C5" w:rsidP="00D123D4">
      <w:pPr>
        <w:widowControl w:val="0"/>
        <w:jc w:val="both"/>
        <w:rPr>
          <w:sz w:val="22"/>
          <w:szCs w:val="22"/>
          <w:lang w:val="sr-Latn-ME"/>
        </w:rPr>
      </w:pPr>
    </w:p>
    <w:p w14:paraId="7FD203CC" w14:textId="324C02E7" w:rsidR="009556C5" w:rsidRPr="00D123D4" w:rsidRDefault="009556C5" w:rsidP="00D123D4">
      <w:pPr>
        <w:widowControl w:val="0"/>
        <w:jc w:val="both"/>
        <w:rPr>
          <w:i/>
          <w:sz w:val="22"/>
          <w:szCs w:val="22"/>
          <w:lang w:val="sr-Latn-ME"/>
        </w:rPr>
      </w:pPr>
      <w:r w:rsidRPr="00D123D4">
        <w:rPr>
          <w:i/>
          <w:sz w:val="22"/>
          <w:szCs w:val="22"/>
          <w:lang w:val="sr-Latn-ME"/>
        </w:rPr>
        <w:t>Odrasle osobe starije od 55 godina</w:t>
      </w:r>
    </w:p>
    <w:p w14:paraId="36E8A6EA" w14:textId="77777777" w:rsidR="009556C5" w:rsidRPr="00D123D4" w:rsidRDefault="009556C5" w:rsidP="00D123D4">
      <w:pPr>
        <w:widowControl w:val="0"/>
        <w:jc w:val="both"/>
        <w:rPr>
          <w:sz w:val="22"/>
          <w:szCs w:val="22"/>
          <w:lang w:val="sr-Latn-ME"/>
        </w:rPr>
      </w:pPr>
    </w:p>
    <w:p w14:paraId="165837F3" w14:textId="77777777" w:rsidR="009556C5" w:rsidRPr="00D123D4" w:rsidRDefault="009556C5" w:rsidP="00D123D4">
      <w:pPr>
        <w:widowControl w:val="0"/>
        <w:jc w:val="both"/>
        <w:rPr>
          <w:sz w:val="22"/>
          <w:szCs w:val="22"/>
          <w:lang w:val="sr-Latn-ME"/>
        </w:rPr>
      </w:pPr>
      <w:r w:rsidRPr="00D123D4">
        <w:rPr>
          <w:sz w:val="22"/>
          <w:szCs w:val="22"/>
          <w:lang w:val="sr-Latn-ME"/>
        </w:rPr>
        <w:t xml:space="preserve">Prema ograničenim dostupnim podacima (vidjeti djelove 5.1 i 5.2) nije potrebno prilagođavati dozu kod pacijenata starijih od 55 godina. Pacijenti uključeni u klinička ispitivanja koja su u toku, nastavljaju da primaju dozu od 600 mg okrelizumaba svakih šest mjeseci i nakon što navrše 55 i više godina. </w:t>
      </w:r>
    </w:p>
    <w:p w14:paraId="5167300E" w14:textId="77777777" w:rsidR="009556C5" w:rsidRPr="00D123D4" w:rsidRDefault="009556C5" w:rsidP="00D123D4">
      <w:pPr>
        <w:widowControl w:val="0"/>
        <w:jc w:val="both"/>
        <w:rPr>
          <w:i/>
          <w:sz w:val="22"/>
          <w:szCs w:val="22"/>
          <w:lang w:val="sr-Latn-ME"/>
        </w:rPr>
      </w:pPr>
    </w:p>
    <w:p w14:paraId="7EAB6D90" w14:textId="77777777" w:rsidR="009556C5" w:rsidRPr="00D123D4" w:rsidRDefault="009556C5" w:rsidP="00D123D4">
      <w:pPr>
        <w:widowControl w:val="0"/>
        <w:jc w:val="both"/>
        <w:rPr>
          <w:i/>
          <w:sz w:val="22"/>
          <w:szCs w:val="22"/>
          <w:lang w:val="sr-Latn-ME"/>
        </w:rPr>
      </w:pPr>
      <w:r w:rsidRPr="00D123D4">
        <w:rPr>
          <w:i/>
          <w:sz w:val="22"/>
          <w:szCs w:val="22"/>
          <w:lang w:val="sr-Latn-ME"/>
        </w:rPr>
        <w:lastRenderedPageBreak/>
        <w:t>Oštećenje bubrežne funkcije</w:t>
      </w:r>
    </w:p>
    <w:p w14:paraId="11971D69" w14:textId="77777777" w:rsidR="009556C5" w:rsidRPr="00D123D4" w:rsidRDefault="009556C5" w:rsidP="00D123D4">
      <w:pPr>
        <w:widowControl w:val="0"/>
        <w:jc w:val="both"/>
        <w:rPr>
          <w:sz w:val="22"/>
          <w:szCs w:val="22"/>
          <w:lang w:val="sr-Latn-ME"/>
        </w:rPr>
      </w:pPr>
    </w:p>
    <w:p w14:paraId="6D4FEE6D" w14:textId="77777777" w:rsidR="009556C5" w:rsidRPr="00D123D4" w:rsidRDefault="009556C5" w:rsidP="00D123D4">
      <w:pPr>
        <w:widowControl w:val="0"/>
        <w:jc w:val="both"/>
        <w:rPr>
          <w:sz w:val="22"/>
          <w:szCs w:val="22"/>
          <w:lang w:val="sr-Latn-ME"/>
        </w:rPr>
      </w:pPr>
      <w:r w:rsidRPr="00D123D4">
        <w:rPr>
          <w:sz w:val="22"/>
          <w:szCs w:val="22"/>
          <w:lang w:val="sr-Latn-ME"/>
        </w:rPr>
        <w:t xml:space="preserve">Bezbjednost i efikasnost okrelizumaba kod pacijenata sa oštećenjem bubrežne funkcije nijesu se formalno ispitivale. U klinička ispitivanja su bili uključeni pacijenti sa blagim oštećenjem bubrežne funkcije. Nema iskustva sa primjenom kod pacijenata sa umjerenim i teškim oštećenjem bubrežne funkcije. Okrelizumab je monoklonsko antitijelo koje se eliminiše katabolizmom (tj. razgradnjom na peptide i aminokiseline), pa se ne očekuje da će biti potrebno prilagođavanje doze kod pacijenata sa oštećenjem bubrežne funkcije (vidjeti dio 5.2). </w:t>
      </w:r>
    </w:p>
    <w:p w14:paraId="2E7ACF06" w14:textId="77777777" w:rsidR="009556C5" w:rsidRPr="00D123D4" w:rsidRDefault="009556C5" w:rsidP="00D123D4">
      <w:pPr>
        <w:widowControl w:val="0"/>
        <w:jc w:val="both"/>
        <w:rPr>
          <w:sz w:val="22"/>
          <w:szCs w:val="22"/>
          <w:lang w:val="sr-Latn-ME"/>
        </w:rPr>
      </w:pPr>
    </w:p>
    <w:p w14:paraId="3864E3BC" w14:textId="77777777" w:rsidR="009556C5" w:rsidRPr="00D123D4" w:rsidRDefault="009556C5" w:rsidP="00D123D4">
      <w:pPr>
        <w:widowControl w:val="0"/>
        <w:jc w:val="both"/>
        <w:rPr>
          <w:i/>
          <w:sz w:val="22"/>
          <w:szCs w:val="22"/>
          <w:lang w:val="sr-Latn-ME"/>
        </w:rPr>
      </w:pPr>
      <w:r w:rsidRPr="00D123D4">
        <w:rPr>
          <w:i/>
          <w:sz w:val="22"/>
          <w:szCs w:val="22"/>
          <w:lang w:val="sr-Latn-ME"/>
        </w:rPr>
        <w:t>Oštećenje funkcije jetre</w:t>
      </w:r>
    </w:p>
    <w:p w14:paraId="118172E0" w14:textId="77777777" w:rsidR="009556C5" w:rsidRPr="00D123D4" w:rsidRDefault="009556C5" w:rsidP="00D123D4">
      <w:pPr>
        <w:widowControl w:val="0"/>
        <w:jc w:val="both"/>
        <w:rPr>
          <w:sz w:val="22"/>
          <w:szCs w:val="22"/>
          <w:lang w:val="sr-Latn-ME"/>
        </w:rPr>
      </w:pPr>
    </w:p>
    <w:p w14:paraId="2E20AB1B" w14:textId="77777777" w:rsidR="009556C5" w:rsidRPr="00D123D4" w:rsidRDefault="009556C5" w:rsidP="00D123D4">
      <w:pPr>
        <w:widowControl w:val="0"/>
        <w:jc w:val="both"/>
        <w:rPr>
          <w:sz w:val="22"/>
          <w:szCs w:val="22"/>
          <w:lang w:val="sr-Latn-ME"/>
        </w:rPr>
      </w:pPr>
      <w:r w:rsidRPr="00D123D4">
        <w:rPr>
          <w:sz w:val="22"/>
          <w:szCs w:val="22"/>
          <w:lang w:val="sr-Latn-ME"/>
        </w:rPr>
        <w:t>Bezbjednost i efikasnost okrelizumaba kod pacijenata sa oštećenjem funkcije jetre nijesu se formalno ispitivale. U klinička ispitivanja su bili uključeni pacijenti sa blagim oštećenjem funkcije jetre. Nema iskustva sa primjenom kod pacijenata sa umjerenim i teškim oštećenjem funkcije jetre. Okrelizumab je monoklonsko antitijelo koje se eliminiše katabolizmom (a ne jetrenim metabolizmom), pa se ne očekuje da će biti potrebno prilagođavanje doze kod pacijenata sa oštećenjem funkcije jetre (vidjeti dio 5.2).</w:t>
      </w:r>
    </w:p>
    <w:p w14:paraId="3650F956" w14:textId="77777777" w:rsidR="009556C5" w:rsidRPr="00D123D4" w:rsidRDefault="009556C5" w:rsidP="00D123D4">
      <w:pPr>
        <w:widowControl w:val="0"/>
        <w:jc w:val="both"/>
        <w:rPr>
          <w:sz w:val="22"/>
          <w:szCs w:val="22"/>
          <w:lang w:val="sr-Latn-ME"/>
        </w:rPr>
      </w:pPr>
    </w:p>
    <w:p w14:paraId="5B7A1981" w14:textId="77777777" w:rsidR="009556C5" w:rsidRPr="00D123D4" w:rsidRDefault="009556C5" w:rsidP="00D123D4">
      <w:pPr>
        <w:widowControl w:val="0"/>
        <w:jc w:val="both"/>
        <w:rPr>
          <w:i/>
          <w:sz w:val="22"/>
          <w:szCs w:val="22"/>
          <w:lang w:val="sr-Latn-ME"/>
        </w:rPr>
      </w:pPr>
      <w:r w:rsidRPr="00D123D4">
        <w:rPr>
          <w:i/>
          <w:sz w:val="22"/>
          <w:szCs w:val="22"/>
          <w:lang w:val="sr-Latn-ME"/>
        </w:rPr>
        <w:t xml:space="preserve">Pedijatrijska populacija </w:t>
      </w:r>
    </w:p>
    <w:p w14:paraId="76314BB7" w14:textId="77777777" w:rsidR="009556C5" w:rsidRPr="00D123D4" w:rsidRDefault="009556C5" w:rsidP="00D123D4">
      <w:pPr>
        <w:widowControl w:val="0"/>
        <w:jc w:val="both"/>
        <w:rPr>
          <w:sz w:val="22"/>
          <w:szCs w:val="22"/>
          <w:lang w:val="sr-Latn-ME"/>
        </w:rPr>
      </w:pPr>
    </w:p>
    <w:p w14:paraId="5C32B439" w14:textId="77777777" w:rsidR="009556C5" w:rsidRPr="00D123D4" w:rsidRDefault="009556C5" w:rsidP="00D123D4">
      <w:pPr>
        <w:widowControl w:val="0"/>
        <w:jc w:val="both"/>
        <w:rPr>
          <w:sz w:val="22"/>
          <w:szCs w:val="22"/>
          <w:lang w:val="sr-Latn-ME"/>
        </w:rPr>
      </w:pPr>
      <w:r w:rsidRPr="00D123D4">
        <w:rPr>
          <w:sz w:val="22"/>
          <w:szCs w:val="22"/>
          <w:lang w:val="sr-Latn-ME"/>
        </w:rPr>
        <w:t xml:space="preserve">Bezbjednost i efikasnost okrelizumaba kod djece i adolescenata uzrasta od 0 do 18 godina nijesu još ustanovljene. Nema dostupnih podataka. </w:t>
      </w:r>
    </w:p>
    <w:p w14:paraId="2038DB95" w14:textId="77777777" w:rsidR="009556C5" w:rsidRPr="00D123D4" w:rsidRDefault="009556C5" w:rsidP="00D123D4">
      <w:pPr>
        <w:widowControl w:val="0"/>
        <w:jc w:val="both"/>
        <w:rPr>
          <w:sz w:val="22"/>
          <w:szCs w:val="22"/>
          <w:lang w:val="sr-Latn-ME"/>
        </w:rPr>
      </w:pPr>
    </w:p>
    <w:p w14:paraId="2C5D9EA8" w14:textId="2DF9590C" w:rsidR="00007750" w:rsidRPr="00D123D4" w:rsidRDefault="009556C5" w:rsidP="002961A0">
      <w:pPr>
        <w:widowControl w:val="0"/>
        <w:jc w:val="both"/>
        <w:rPr>
          <w:sz w:val="22"/>
          <w:szCs w:val="22"/>
          <w:u w:val="single"/>
          <w:lang w:val="sr-Latn-ME"/>
        </w:rPr>
      </w:pPr>
      <w:r w:rsidRPr="00D123D4">
        <w:rPr>
          <w:sz w:val="22"/>
          <w:szCs w:val="22"/>
          <w:u w:val="single"/>
          <w:lang w:val="sr-Latn-ME"/>
        </w:rPr>
        <w:t xml:space="preserve">Način primjene </w:t>
      </w:r>
    </w:p>
    <w:p w14:paraId="1E9C52B9" w14:textId="77777777" w:rsidR="00007750" w:rsidRPr="00D123D4" w:rsidRDefault="00007750" w:rsidP="002961A0">
      <w:pPr>
        <w:widowControl w:val="0"/>
        <w:jc w:val="both"/>
        <w:rPr>
          <w:u w:val="single"/>
          <w:lang w:val="sr-Latn-ME"/>
        </w:rPr>
      </w:pPr>
    </w:p>
    <w:p w14:paraId="6E1E45D1" w14:textId="3872B81A" w:rsidR="00007750" w:rsidRPr="00D123D4" w:rsidRDefault="002961A0" w:rsidP="002961A0">
      <w:pPr>
        <w:widowControl w:val="0"/>
        <w:jc w:val="both"/>
        <w:rPr>
          <w:sz w:val="22"/>
          <w:szCs w:val="22"/>
          <w:lang w:val="sr-Latn-ME"/>
        </w:rPr>
      </w:pPr>
      <w:r>
        <w:rPr>
          <w:sz w:val="22"/>
          <w:szCs w:val="22"/>
          <w:lang w:val="sr-Latn-ME"/>
        </w:rPr>
        <w:t xml:space="preserve">Lijek </w:t>
      </w:r>
      <w:r w:rsidR="00007750" w:rsidRPr="00D123D4">
        <w:rPr>
          <w:sz w:val="22"/>
          <w:szCs w:val="22"/>
          <w:lang w:val="sr-Latn-ME"/>
        </w:rPr>
        <w:t>Ocrevus 300 mg koncentrat za rastvor za infuziju nije nam</w:t>
      </w:r>
      <w:r w:rsidR="00243D3D" w:rsidRPr="00D123D4">
        <w:rPr>
          <w:sz w:val="22"/>
          <w:szCs w:val="22"/>
          <w:lang w:val="sr-Latn-ME"/>
        </w:rPr>
        <w:t>i</w:t>
      </w:r>
      <w:r w:rsidR="00007750" w:rsidRPr="00D123D4">
        <w:rPr>
          <w:sz w:val="22"/>
          <w:szCs w:val="22"/>
          <w:lang w:val="sr-Latn-ME"/>
        </w:rPr>
        <w:t>jenjen za su</w:t>
      </w:r>
      <w:r w:rsidR="0059549A" w:rsidRPr="00D123D4">
        <w:rPr>
          <w:sz w:val="22"/>
          <w:szCs w:val="22"/>
          <w:lang w:val="sr-Latn-ME"/>
        </w:rPr>
        <w:t>b</w:t>
      </w:r>
      <w:r w:rsidR="00007750" w:rsidRPr="00D123D4">
        <w:rPr>
          <w:sz w:val="22"/>
          <w:szCs w:val="22"/>
          <w:lang w:val="sr-Latn-ME"/>
        </w:rPr>
        <w:t>kutanu primjenu i sm</w:t>
      </w:r>
      <w:r w:rsidR="00DD6086" w:rsidRPr="00D123D4">
        <w:rPr>
          <w:sz w:val="22"/>
          <w:szCs w:val="22"/>
          <w:lang w:val="sr-Latn-ME"/>
        </w:rPr>
        <w:t>ij</w:t>
      </w:r>
      <w:r w:rsidR="00007750" w:rsidRPr="00D123D4">
        <w:rPr>
          <w:sz w:val="22"/>
          <w:szCs w:val="22"/>
          <w:lang w:val="sr-Latn-ME"/>
        </w:rPr>
        <w:t>e se prim</w:t>
      </w:r>
      <w:r w:rsidR="0059549A" w:rsidRPr="00D123D4">
        <w:rPr>
          <w:sz w:val="22"/>
          <w:szCs w:val="22"/>
          <w:lang w:val="sr-Latn-ME"/>
        </w:rPr>
        <w:t>i</w:t>
      </w:r>
      <w:r w:rsidR="00007750" w:rsidRPr="00D123D4">
        <w:rPr>
          <w:sz w:val="22"/>
          <w:szCs w:val="22"/>
          <w:lang w:val="sr-Latn-ME"/>
        </w:rPr>
        <w:t>jeniti isključivo intravenskom infuzijom.</w:t>
      </w:r>
    </w:p>
    <w:p w14:paraId="1A694F20" w14:textId="77777777" w:rsidR="00007750" w:rsidRPr="00D123D4" w:rsidRDefault="00007750">
      <w:pPr>
        <w:widowControl w:val="0"/>
        <w:jc w:val="both"/>
        <w:rPr>
          <w:sz w:val="22"/>
          <w:szCs w:val="22"/>
          <w:lang w:val="sr-Latn-ME"/>
        </w:rPr>
      </w:pPr>
    </w:p>
    <w:p w14:paraId="550D3D30" w14:textId="1EAD02FF" w:rsidR="00007750" w:rsidRPr="00D123D4" w:rsidRDefault="00007750">
      <w:pPr>
        <w:widowControl w:val="0"/>
        <w:jc w:val="both"/>
        <w:rPr>
          <w:sz w:val="22"/>
          <w:szCs w:val="22"/>
          <w:lang w:val="sr-Latn-ME"/>
        </w:rPr>
      </w:pPr>
      <w:r w:rsidRPr="00D123D4">
        <w:rPr>
          <w:sz w:val="22"/>
          <w:szCs w:val="22"/>
          <w:lang w:val="sr-Latn-ME"/>
        </w:rPr>
        <w:t>Važno je provjeriti nal</w:t>
      </w:r>
      <w:r w:rsidR="00243D3D" w:rsidRPr="00D123D4">
        <w:rPr>
          <w:sz w:val="22"/>
          <w:szCs w:val="22"/>
          <w:lang w:val="sr-Latn-ME"/>
        </w:rPr>
        <w:t>j</w:t>
      </w:r>
      <w:r w:rsidRPr="00D123D4">
        <w:rPr>
          <w:sz w:val="22"/>
          <w:szCs w:val="22"/>
          <w:lang w:val="sr-Latn-ME"/>
        </w:rPr>
        <w:t xml:space="preserve">epnice na </w:t>
      </w:r>
      <w:r w:rsidR="00243D3D" w:rsidRPr="00D123D4">
        <w:rPr>
          <w:sz w:val="22"/>
          <w:szCs w:val="22"/>
          <w:lang w:val="sr-Latn-ME"/>
        </w:rPr>
        <w:t xml:space="preserve">bočici sa </w:t>
      </w:r>
      <w:r w:rsidRPr="00D123D4">
        <w:rPr>
          <w:sz w:val="22"/>
          <w:szCs w:val="22"/>
          <w:lang w:val="sr-Latn-ME"/>
        </w:rPr>
        <w:t>lijek</w:t>
      </w:r>
      <w:r w:rsidR="00243D3D" w:rsidRPr="00D123D4">
        <w:rPr>
          <w:sz w:val="22"/>
          <w:szCs w:val="22"/>
          <w:lang w:val="sr-Latn-ME"/>
        </w:rPr>
        <w:t>om</w:t>
      </w:r>
      <w:r w:rsidRPr="00D123D4">
        <w:rPr>
          <w:sz w:val="22"/>
          <w:szCs w:val="22"/>
          <w:lang w:val="sr-Latn-ME"/>
        </w:rPr>
        <w:t xml:space="preserve"> kako bi se osiguralo da će </w:t>
      </w:r>
      <w:r w:rsidR="00243D3D" w:rsidRPr="00D123D4">
        <w:rPr>
          <w:sz w:val="22"/>
          <w:szCs w:val="22"/>
          <w:lang w:val="sr-Latn-ME"/>
        </w:rPr>
        <w:t>pacijent</w:t>
      </w:r>
      <w:r w:rsidRPr="00D123D4">
        <w:rPr>
          <w:sz w:val="22"/>
          <w:szCs w:val="22"/>
          <w:lang w:val="sr-Latn-ME"/>
        </w:rPr>
        <w:t xml:space="preserve"> primiti odgovarajuću formulaciju </w:t>
      </w:r>
      <w:r w:rsidR="00243D3D" w:rsidRPr="00D123D4">
        <w:rPr>
          <w:sz w:val="22"/>
          <w:szCs w:val="22"/>
          <w:lang w:val="sr-Latn-ME"/>
        </w:rPr>
        <w:t xml:space="preserve">lijeka </w:t>
      </w:r>
      <w:r w:rsidRPr="00D123D4">
        <w:rPr>
          <w:sz w:val="22"/>
          <w:szCs w:val="22"/>
          <w:lang w:val="sr-Latn-ME"/>
        </w:rPr>
        <w:t>(intravensku ili su</w:t>
      </w:r>
      <w:r w:rsidR="0059549A" w:rsidRPr="00D123D4">
        <w:rPr>
          <w:sz w:val="22"/>
          <w:szCs w:val="22"/>
          <w:lang w:val="sr-Latn-ME"/>
        </w:rPr>
        <w:t>b</w:t>
      </w:r>
      <w:r w:rsidRPr="00D123D4">
        <w:rPr>
          <w:sz w:val="22"/>
          <w:szCs w:val="22"/>
          <w:lang w:val="sr-Latn-ME"/>
        </w:rPr>
        <w:t>kutanu), odgovarajućim putem prim</w:t>
      </w:r>
      <w:r w:rsidR="001A0E47" w:rsidRPr="00D123D4">
        <w:rPr>
          <w:sz w:val="22"/>
          <w:szCs w:val="22"/>
          <w:lang w:val="sr-Latn-ME"/>
        </w:rPr>
        <w:t>j</w:t>
      </w:r>
      <w:r w:rsidRPr="00D123D4">
        <w:rPr>
          <w:sz w:val="22"/>
          <w:szCs w:val="22"/>
          <w:lang w:val="sr-Latn-ME"/>
        </w:rPr>
        <w:t>ene, koja mu je propisana.</w:t>
      </w:r>
    </w:p>
    <w:p w14:paraId="77F14DF9" w14:textId="77777777" w:rsidR="00007750" w:rsidRPr="00D123D4" w:rsidRDefault="00007750">
      <w:pPr>
        <w:widowControl w:val="0"/>
        <w:jc w:val="both"/>
        <w:rPr>
          <w:lang w:val="sr-Latn-ME"/>
        </w:rPr>
      </w:pPr>
    </w:p>
    <w:p w14:paraId="4948B703" w14:textId="6E58C348" w:rsidR="00007750" w:rsidRPr="00D123D4" w:rsidRDefault="00007750">
      <w:pPr>
        <w:widowControl w:val="0"/>
        <w:jc w:val="both"/>
        <w:rPr>
          <w:sz w:val="22"/>
          <w:szCs w:val="22"/>
          <w:lang w:val="sr-Latn-ME"/>
        </w:rPr>
      </w:pPr>
      <w:r w:rsidRPr="00D123D4">
        <w:rPr>
          <w:sz w:val="22"/>
          <w:szCs w:val="22"/>
          <w:lang w:val="sr-Latn-ME"/>
        </w:rPr>
        <w:t>Pacijenti mogu započeti liječenje intravenskom ili su</w:t>
      </w:r>
      <w:r w:rsidR="0059549A" w:rsidRPr="00D123D4">
        <w:rPr>
          <w:sz w:val="22"/>
          <w:szCs w:val="22"/>
          <w:lang w:val="sr-Latn-ME"/>
        </w:rPr>
        <w:t>b</w:t>
      </w:r>
      <w:r w:rsidRPr="00D123D4">
        <w:rPr>
          <w:sz w:val="22"/>
          <w:szCs w:val="22"/>
          <w:lang w:val="sr-Latn-ME"/>
        </w:rPr>
        <w:t>kutanom formulacijom okrelizumaba.</w:t>
      </w:r>
    </w:p>
    <w:p w14:paraId="54CA6F06" w14:textId="77777777" w:rsidR="009556C5" w:rsidRPr="00D123D4" w:rsidRDefault="009556C5">
      <w:pPr>
        <w:widowControl w:val="0"/>
        <w:jc w:val="both"/>
        <w:rPr>
          <w:sz w:val="22"/>
          <w:szCs w:val="22"/>
          <w:u w:val="single"/>
          <w:lang w:val="sr-Latn-ME"/>
        </w:rPr>
      </w:pPr>
    </w:p>
    <w:p w14:paraId="751219D6" w14:textId="77777777" w:rsidR="009556C5" w:rsidRPr="00D123D4" w:rsidRDefault="009556C5">
      <w:pPr>
        <w:widowControl w:val="0"/>
        <w:jc w:val="both"/>
        <w:rPr>
          <w:sz w:val="22"/>
          <w:szCs w:val="22"/>
          <w:lang w:val="sr-Latn-ME"/>
        </w:rPr>
      </w:pPr>
      <w:r w:rsidRPr="00D123D4">
        <w:rPr>
          <w:sz w:val="22"/>
          <w:szCs w:val="22"/>
          <w:lang w:val="sr-Latn-ME"/>
        </w:rPr>
        <w:t>Lijek se nakon razblaživanja primjenjuje intravenskom infuzijom kroz zasebnu liniju. Infuzije se ne smiju primijeniti kao brze intravenske ili bolus injekcije.</w:t>
      </w:r>
    </w:p>
    <w:p w14:paraId="52760CB8" w14:textId="77777777" w:rsidR="009556C5" w:rsidRPr="00D123D4" w:rsidRDefault="009556C5">
      <w:pPr>
        <w:widowControl w:val="0"/>
        <w:jc w:val="both"/>
        <w:rPr>
          <w:sz w:val="22"/>
          <w:szCs w:val="22"/>
          <w:lang w:val="sr-Latn-ME"/>
        </w:rPr>
      </w:pPr>
    </w:p>
    <w:p w14:paraId="15D2D0EE" w14:textId="498C702D" w:rsidR="009556C5" w:rsidRPr="00D123D4" w:rsidRDefault="009556C5">
      <w:pPr>
        <w:widowControl w:val="0"/>
        <w:tabs>
          <w:tab w:val="left" w:pos="284"/>
        </w:tabs>
        <w:jc w:val="both"/>
        <w:rPr>
          <w:sz w:val="22"/>
          <w:lang w:val="sr-Latn-ME"/>
        </w:rPr>
      </w:pPr>
      <w:r w:rsidRPr="00D123D4">
        <w:rPr>
          <w:sz w:val="22"/>
          <w:lang w:val="sr-Latn-ME"/>
        </w:rPr>
        <w:t>Ukoliko kod pacijenata nije došlo do pojave teške reakcije na infuziju (IRR) tokom primjene bilo koje od prethodnih infuzija, sljedeće doze se mogu prim</w:t>
      </w:r>
      <w:r w:rsidR="00F00984" w:rsidRPr="00D123D4">
        <w:rPr>
          <w:sz w:val="22"/>
          <w:lang w:val="sr-Latn-ME"/>
        </w:rPr>
        <w:t>i</w:t>
      </w:r>
      <w:r w:rsidRPr="00D123D4">
        <w:rPr>
          <w:sz w:val="22"/>
          <w:lang w:val="sr-Latn-ME"/>
        </w:rPr>
        <w:t>jeniti u vidu kraće (2-satne) infuzije (Tabela 1, opcija 2).</w:t>
      </w:r>
    </w:p>
    <w:p w14:paraId="05ECD92E" w14:textId="77777777" w:rsidR="009556C5" w:rsidRPr="00D123D4" w:rsidRDefault="009556C5" w:rsidP="00D123D4">
      <w:pPr>
        <w:widowControl w:val="0"/>
        <w:tabs>
          <w:tab w:val="left" w:pos="284"/>
          <w:tab w:val="center" w:pos="4320"/>
          <w:tab w:val="right" w:pos="8640"/>
        </w:tabs>
        <w:jc w:val="both"/>
        <w:rPr>
          <w:bCs/>
          <w:sz w:val="22"/>
          <w:szCs w:val="22"/>
          <w:lang w:val="sr-Latn-ME"/>
        </w:rPr>
      </w:pPr>
    </w:p>
    <w:tbl>
      <w:tblPr>
        <w:tblW w:w="9214" w:type="dxa"/>
        <w:tblInd w:w="-142" w:type="dxa"/>
        <w:tblLook w:val="0000" w:firstRow="0" w:lastRow="0" w:firstColumn="0" w:lastColumn="0" w:noHBand="0" w:noVBand="0"/>
      </w:tblPr>
      <w:tblGrid>
        <w:gridCol w:w="9214"/>
      </w:tblGrid>
      <w:tr w:rsidR="00DD6A9C" w:rsidRPr="00D123D4" w14:paraId="53F8F623" w14:textId="77777777" w:rsidTr="009556C5">
        <w:trPr>
          <w:trHeight w:val="768"/>
        </w:trPr>
        <w:tc>
          <w:tcPr>
            <w:tcW w:w="9214" w:type="dxa"/>
            <w:vAlign w:val="center"/>
          </w:tcPr>
          <w:p w14:paraId="278E4142" w14:textId="5A39C552" w:rsidR="00DD6A9C" w:rsidRDefault="00DD6A9C" w:rsidP="00D123D4">
            <w:pPr>
              <w:widowControl w:val="0"/>
              <w:jc w:val="both"/>
              <w:rPr>
                <w:b/>
                <w:bCs/>
                <w:sz w:val="22"/>
                <w:szCs w:val="22"/>
                <w:lang w:val="sr-Latn-ME"/>
              </w:rPr>
            </w:pPr>
            <w:r w:rsidRPr="00D123D4">
              <w:rPr>
                <w:b/>
                <w:bCs/>
                <w:sz w:val="22"/>
                <w:szCs w:val="22"/>
                <w:lang w:val="sr-Latn-ME"/>
              </w:rPr>
              <w:t xml:space="preserve">Tabela 1:  Doza i raspored primjene </w:t>
            </w:r>
          </w:p>
          <w:p w14:paraId="61E78611" w14:textId="77777777" w:rsidR="002013D0" w:rsidRPr="00D123D4" w:rsidRDefault="002013D0" w:rsidP="00D123D4">
            <w:pPr>
              <w:widowControl w:val="0"/>
              <w:jc w:val="both"/>
              <w:rPr>
                <w:b/>
                <w:bCs/>
                <w:sz w:val="22"/>
                <w:szCs w:val="22"/>
                <w:lang w:val="sr-Latn-ME"/>
              </w:rPr>
            </w:pPr>
          </w:p>
          <w:p w14:paraId="65505F6D" w14:textId="77777777" w:rsidR="00DD6A9C" w:rsidRPr="00D123D4" w:rsidRDefault="00DD6A9C" w:rsidP="00D123D4">
            <w:pPr>
              <w:widowControl w:val="0"/>
              <w:jc w:val="both"/>
              <w:rPr>
                <w:b/>
                <w:bCs/>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1810"/>
              <w:gridCol w:w="1965"/>
              <w:gridCol w:w="2849"/>
            </w:tblGrid>
            <w:tr w:rsidR="00DD6A9C" w:rsidRPr="00D123D4" w14:paraId="7235A79A" w14:textId="77777777" w:rsidTr="00D123D4">
              <w:tc>
                <w:tcPr>
                  <w:tcW w:w="2322" w:type="pct"/>
                  <w:gridSpan w:val="2"/>
                  <w:shd w:val="clear" w:color="auto" w:fill="auto"/>
                </w:tcPr>
                <w:p w14:paraId="5769B848" w14:textId="77777777" w:rsidR="00DD6A9C" w:rsidRPr="00D123D4" w:rsidRDefault="00DD6A9C" w:rsidP="00D123D4">
                  <w:pPr>
                    <w:widowControl w:val="0"/>
                    <w:spacing w:line="300" w:lineRule="atLeast"/>
                    <w:jc w:val="both"/>
                    <w:rPr>
                      <w:sz w:val="22"/>
                      <w:szCs w:val="22"/>
                      <w:lang w:val="sr-Latn-ME"/>
                    </w:rPr>
                  </w:pPr>
                </w:p>
              </w:tc>
              <w:tc>
                <w:tcPr>
                  <w:tcW w:w="1093" w:type="pct"/>
                  <w:shd w:val="clear" w:color="auto" w:fill="auto"/>
                </w:tcPr>
                <w:p w14:paraId="0DCF7A46" w14:textId="21B702AD" w:rsidR="00DD6A9C" w:rsidRPr="00D123D4" w:rsidRDefault="00DD6A9C" w:rsidP="00D123D4">
                  <w:pPr>
                    <w:widowControl w:val="0"/>
                    <w:spacing w:line="300" w:lineRule="atLeast"/>
                    <w:jc w:val="center"/>
                    <w:rPr>
                      <w:b/>
                      <w:sz w:val="22"/>
                      <w:szCs w:val="22"/>
                      <w:lang w:val="sr-Latn-ME"/>
                    </w:rPr>
                  </w:pPr>
                  <w:r w:rsidRPr="00D123D4">
                    <w:rPr>
                      <w:b/>
                      <w:bCs/>
                      <w:sz w:val="22"/>
                      <w:szCs w:val="22"/>
                      <w:lang w:val="sr-Latn-ME"/>
                    </w:rPr>
                    <w:t xml:space="preserve">Količina </w:t>
                  </w:r>
                  <w:r w:rsidR="00C002BA" w:rsidRPr="00D123D4">
                    <w:rPr>
                      <w:b/>
                      <w:bCs/>
                      <w:sz w:val="22"/>
                      <w:szCs w:val="22"/>
                      <w:lang w:val="sr-Latn-ME"/>
                    </w:rPr>
                    <w:t>okrelizumaba</w:t>
                  </w:r>
                  <w:r w:rsidRPr="00D123D4">
                    <w:rPr>
                      <w:b/>
                      <w:bCs/>
                      <w:sz w:val="22"/>
                      <w:szCs w:val="22"/>
                      <w:lang w:val="sr-Latn-ME"/>
                    </w:rPr>
                    <w:t xml:space="preserve"> koju treba primijeniti</w:t>
                  </w:r>
                  <w:r w:rsidRPr="00D123D4">
                    <w:rPr>
                      <w:b/>
                      <w:sz w:val="22"/>
                      <w:szCs w:val="22"/>
                      <w:lang w:val="sr-Latn-ME"/>
                    </w:rPr>
                    <w:t xml:space="preserve"> </w:t>
                  </w:r>
                </w:p>
              </w:tc>
              <w:tc>
                <w:tcPr>
                  <w:tcW w:w="1585" w:type="pct"/>
                </w:tcPr>
                <w:p w14:paraId="6B929A48" w14:textId="77777777" w:rsidR="00DD6A9C" w:rsidRPr="00D123D4" w:rsidRDefault="00DD6A9C" w:rsidP="00D123D4">
                  <w:pPr>
                    <w:widowControl w:val="0"/>
                    <w:spacing w:line="300" w:lineRule="atLeast"/>
                    <w:jc w:val="center"/>
                    <w:rPr>
                      <w:b/>
                      <w:sz w:val="22"/>
                      <w:szCs w:val="22"/>
                      <w:lang w:val="sr-Latn-ME"/>
                    </w:rPr>
                  </w:pPr>
                  <w:r w:rsidRPr="00D123D4">
                    <w:rPr>
                      <w:b/>
                      <w:bCs/>
                      <w:sz w:val="22"/>
                      <w:szCs w:val="22"/>
                      <w:lang w:val="sr-Latn-ME"/>
                    </w:rPr>
                    <w:t>Uputstva za infuziju</w:t>
                  </w:r>
                </w:p>
              </w:tc>
            </w:tr>
            <w:tr w:rsidR="00DD6A9C" w:rsidRPr="00D123D4" w14:paraId="621B266D" w14:textId="77777777" w:rsidTr="00D123D4">
              <w:tc>
                <w:tcPr>
                  <w:tcW w:w="1315" w:type="pct"/>
                  <w:vMerge w:val="restart"/>
                  <w:shd w:val="clear" w:color="auto" w:fill="auto"/>
                </w:tcPr>
                <w:p w14:paraId="0F6BAB12" w14:textId="77777777" w:rsidR="00DD6A9C" w:rsidRPr="00D123D4" w:rsidRDefault="00DD6A9C" w:rsidP="00D123D4">
                  <w:pPr>
                    <w:widowControl w:val="0"/>
                    <w:spacing w:line="300" w:lineRule="atLeast"/>
                    <w:jc w:val="center"/>
                    <w:rPr>
                      <w:b/>
                      <w:bCs/>
                      <w:sz w:val="22"/>
                      <w:szCs w:val="22"/>
                      <w:lang w:val="sr-Latn-ME"/>
                    </w:rPr>
                  </w:pPr>
                  <w:r w:rsidRPr="00D123D4">
                    <w:rPr>
                      <w:b/>
                      <w:bCs/>
                      <w:sz w:val="22"/>
                      <w:szCs w:val="22"/>
                      <w:lang w:val="sr-Latn-ME"/>
                    </w:rPr>
                    <w:t>Početna doza</w:t>
                  </w:r>
                </w:p>
                <w:p w14:paraId="308E8936" w14:textId="77777777" w:rsidR="00DD6A9C" w:rsidRPr="00D123D4" w:rsidRDefault="00DD6A9C" w:rsidP="00D123D4">
                  <w:pPr>
                    <w:widowControl w:val="0"/>
                    <w:spacing w:line="300" w:lineRule="atLeast"/>
                    <w:jc w:val="center"/>
                    <w:rPr>
                      <w:b/>
                      <w:bCs/>
                      <w:sz w:val="22"/>
                      <w:szCs w:val="22"/>
                      <w:lang w:val="sr-Latn-ME"/>
                    </w:rPr>
                  </w:pPr>
                  <w:r w:rsidRPr="00D123D4">
                    <w:rPr>
                      <w:b/>
                      <w:bCs/>
                      <w:sz w:val="22"/>
                      <w:szCs w:val="22"/>
                      <w:lang w:val="sr-Latn-ME"/>
                    </w:rPr>
                    <w:t>(600 mg)</w:t>
                  </w:r>
                </w:p>
                <w:p w14:paraId="6732B4E1" w14:textId="77777777" w:rsidR="00DD6A9C" w:rsidRPr="00D123D4" w:rsidRDefault="00DD6A9C" w:rsidP="00D123D4">
                  <w:pPr>
                    <w:widowControl w:val="0"/>
                    <w:spacing w:line="300" w:lineRule="atLeast"/>
                    <w:jc w:val="center"/>
                    <w:rPr>
                      <w:bCs/>
                      <w:sz w:val="22"/>
                      <w:szCs w:val="22"/>
                      <w:lang w:val="sr-Latn-ME"/>
                    </w:rPr>
                  </w:pPr>
                  <w:r w:rsidRPr="00D123D4">
                    <w:rPr>
                      <w:bCs/>
                      <w:sz w:val="22"/>
                      <w:szCs w:val="22"/>
                      <w:lang w:val="sr-Latn-ME"/>
                    </w:rPr>
                    <w:t>podijeljena na 2 infuzije</w:t>
                  </w:r>
                </w:p>
              </w:tc>
              <w:tc>
                <w:tcPr>
                  <w:tcW w:w="1007" w:type="pct"/>
                  <w:shd w:val="clear" w:color="auto" w:fill="auto"/>
                </w:tcPr>
                <w:p w14:paraId="1F521AE5" w14:textId="77777777" w:rsidR="00DD6A9C" w:rsidRPr="00D123D4" w:rsidRDefault="00DD6A9C" w:rsidP="00D123D4">
                  <w:pPr>
                    <w:widowControl w:val="0"/>
                    <w:spacing w:line="300" w:lineRule="atLeast"/>
                    <w:jc w:val="center"/>
                    <w:rPr>
                      <w:bCs/>
                      <w:sz w:val="22"/>
                      <w:szCs w:val="22"/>
                      <w:lang w:val="sr-Latn-ME"/>
                    </w:rPr>
                  </w:pPr>
                  <w:r w:rsidRPr="00D123D4">
                    <w:rPr>
                      <w:bCs/>
                      <w:sz w:val="22"/>
                      <w:szCs w:val="22"/>
                      <w:lang w:val="sr-Latn-ME"/>
                    </w:rPr>
                    <w:t>1. infuzija</w:t>
                  </w:r>
                </w:p>
              </w:tc>
              <w:tc>
                <w:tcPr>
                  <w:tcW w:w="1093" w:type="pct"/>
                  <w:shd w:val="clear" w:color="auto" w:fill="auto"/>
                </w:tcPr>
                <w:p w14:paraId="2BDE8009" w14:textId="77777777" w:rsidR="00DD6A9C" w:rsidRPr="00D123D4" w:rsidRDefault="00DD6A9C" w:rsidP="00D123D4">
                  <w:pPr>
                    <w:widowControl w:val="0"/>
                    <w:spacing w:line="300" w:lineRule="atLeast"/>
                    <w:jc w:val="center"/>
                    <w:rPr>
                      <w:bCs/>
                      <w:sz w:val="22"/>
                      <w:szCs w:val="22"/>
                      <w:lang w:val="sr-Latn-ME"/>
                    </w:rPr>
                  </w:pPr>
                  <w:r w:rsidRPr="00D123D4">
                    <w:rPr>
                      <w:bCs/>
                      <w:sz w:val="22"/>
                      <w:szCs w:val="22"/>
                      <w:lang w:val="sr-Latn-ME"/>
                    </w:rPr>
                    <w:t>300 mg u 250 ml</w:t>
                  </w:r>
                </w:p>
              </w:tc>
              <w:tc>
                <w:tcPr>
                  <w:tcW w:w="1585" w:type="pct"/>
                  <w:vMerge w:val="restart"/>
                </w:tcPr>
                <w:p w14:paraId="11E29FA1" w14:textId="43025884" w:rsidR="00DD6A9C" w:rsidRPr="00D123D4" w:rsidRDefault="00DD6A9C" w:rsidP="00D123D4">
                  <w:pPr>
                    <w:widowControl w:val="0"/>
                    <w:spacing w:line="300" w:lineRule="atLeast"/>
                    <w:rPr>
                      <w:bCs/>
                      <w:sz w:val="22"/>
                      <w:szCs w:val="22"/>
                      <w:lang w:val="sr-Latn-ME"/>
                    </w:rPr>
                  </w:pPr>
                  <w:r w:rsidRPr="00D123D4">
                    <w:rPr>
                      <w:bCs/>
                      <w:sz w:val="22"/>
                      <w:szCs w:val="22"/>
                      <w:lang w:val="sr-Latn-ME"/>
                    </w:rPr>
                    <w:sym w:font="Symbol" w:char="F0B7"/>
                  </w:r>
                  <w:r w:rsidR="009556C5" w:rsidRPr="00D123D4">
                    <w:rPr>
                      <w:bCs/>
                      <w:sz w:val="22"/>
                      <w:szCs w:val="22"/>
                      <w:lang w:val="sr-Latn-ME"/>
                    </w:rPr>
                    <w:t xml:space="preserve"> </w:t>
                  </w:r>
                  <w:r w:rsidRPr="00D123D4">
                    <w:rPr>
                      <w:bCs/>
                      <w:sz w:val="22"/>
                      <w:szCs w:val="22"/>
                      <w:lang w:val="sr-Latn-ME"/>
                    </w:rPr>
                    <w:t>Infuziju treba započeti brzinom od 30 ml/h tokom 30 minuta</w:t>
                  </w:r>
                </w:p>
                <w:p w14:paraId="3E12AC78" w14:textId="59FBFFF1" w:rsidR="00DD6A9C" w:rsidRPr="00D123D4" w:rsidRDefault="00DD6A9C" w:rsidP="00D123D4">
                  <w:pPr>
                    <w:widowControl w:val="0"/>
                    <w:spacing w:line="300" w:lineRule="atLeast"/>
                    <w:rPr>
                      <w:bCs/>
                      <w:sz w:val="22"/>
                      <w:szCs w:val="22"/>
                      <w:lang w:val="sr-Latn-ME"/>
                    </w:rPr>
                  </w:pPr>
                  <w:r w:rsidRPr="00D123D4">
                    <w:rPr>
                      <w:bCs/>
                      <w:sz w:val="22"/>
                      <w:szCs w:val="22"/>
                      <w:lang w:val="sr-Latn-ME"/>
                    </w:rPr>
                    <w:sym w:font="Symbol" w:char="F0B7"/>
                  </w:r>
                  <w:r w:rsidR="009556C5" w:rsidRPr="00D123D4">
                    <w:rPr>
                      <w:bCs/>
                      <w:sz w:val="22"/>
                      <w:szCs w:val="22"/>
                      <w:lang w:val="sr-Latn-ME"/>
                    </w:rPr>
                    <w:t xml:space="preserve"> </w:t>
                  </w:r>
                  <w:r w:rsidRPr="00D123D4">
                    <w:rPr>
                      <w:bCs/>
                      <w:sz w:val="22"/>
                      <w:szCs w:val="22"/>
                      <w:lang w:val="sr-Latn-ME"/>
                    </w:rPr>
                    <w:t xml:space="preserve">Brzina se može povećavati u koracima od 30 ml/h svakih 30 minuta do najviše 180 ml/h  </w:t>
                  </w:r>
                </w:p>
                <w:p w14:paraId="6D6F4E49" w14:textId="2AEB405E" w:rsidR="00DD6A9C" w:rsidRPr="00D123D4" w:rsidRDefault="00DD6A9C" w:rsidP="00D123D4">
                  <w:pPr>
                    <w:widowControl w:val="0"/>
                    <w:spacing w:line="300" w:lineRule="atLeast"/>
                    <w:rPr>
                      <w:bCs/>
                      <w:sz w:val="22"/>
                      <w:szCs w:val="22"/>
                      <w:lang w:val="sr-Latn-ME"/>
                    </w:rPr>
                  </w:pPr>
                  <w:r w:rsidRPr="00D123D4">
                    <w:rPr>
                      <w:bCs/>
                      <w:sz w:val="22"/>
                      <w:szCs w:val="22"/>
                      <w:lang w:val="sr-Latn-ME"/>
                    </w:rPr>
                    <w:sym w:font="Symbol" w:char="F0B7"/>
                  </w:r>
                  <w:r w:rsidR="009556C5" w:rsidRPr="00D123D4">
                    <w:rPr>
                      <w:bCs/>
                      <w:sz w:val="22"/>
                      <w:szCs w:val="22"/>
                      <w:lang w:val="sr-Latn-ME"/>
                    </w:rPr>
                    <w:t xml:space="preserve"> </w:t>
                  </w:r>
                  <w:r w:rsidRPr="00D123D4">
                    <w:rPr>
                      <w:bCs/>
                      <w:sz w:val="22"/>
                      <w:szCs w:val="22"/>
                      <w:lang w:val="sr-Latn-ME"/>
                    </w:rPr>
                    <w:t>Primjena svake infuzije treba trajati približno 2,5 sata</w:t>
                  </w:r>
                </w:p>
              </w:tc>
            </w:tr>
            <w:tr w:rsidR="00DD6A9C" w:rsidRPr="00D123D4" w14:paraId="5C20BDBD" w14:textId="77777777" w:rsidTr="00D123D4">
              <w:tc>
                <w:tcPr>
                  <w:tcW w:w="1315" w:type="pct"/>
                  <w:vMerge/>
                  <w:shd w:val="clear" w:color="auto" w:fill="auto"/>
                </w:tcPr>
                <w:p w14:paraId="469E109E" w14:textId="77777777" w:rsidR="00DD6A9C" w:rsidRPr="00D123D4" w:rsidRDefault="00DD6A9C" w:rsidP="00D123D4">
                  <w:pPr>
                    <w:widowControl w:val="0"/>
                    <w:spacing w:line="300" w:lineRule="atLeast"/>
                    <w:jc w:val="center"/>
                    <w:rPr>
                      <w:bCs/>
                      <w:sz w:val="22"/>
                      <w:szCs w:val="22"/>
                      <w:lang w:val="sr-Latn-ME"/>
                    </w:rPr>
                  </w:pPr>
                </w:p>
              </w:tc>
              <w:tc>
                <w:tcPr>
                  <w:tcW w:w="1007" w:type="pct"/>
                  <w:shd w:val="clear" w:color="auto" w:fill="auto"/>
                </w:tcPr>
                <w:p w14:paraId="38F06241" w14:textId="77777777" w:rsidR="00DD6A9C" w:rsidRPr="00D123D4" w:rsidRDefault="00DD6A9C" w:rsidP="00D123D4">
                  <w:pPr>
                    <w:widowControl w:val="0"/>
                    <w:jc w:val="center"/>
                    <w:rPr>
                      <w:bCs/>
                      <w:sz w:val="22"/>
                      <w:szCs w:val="22"/>
                      <w:lang w:val="sr-Latn-ME"/>
                    </w:rPr>
                  </w:pPr>
                  <w:r w:rsidRPr="00D123D4">
                    <w:rPr>
                      <w:bCs/>
                      <w:sz w:val="22"/>
                      <w:szCs w:val="22"/>
                      <w:lang w:val="sr-Latn-ME"/>
                    </w:rPr>
                    <w:t>2. infuzija</w:t>
                  </w:r>
                </w:p>
                <w:p w14:paraId="78F61DD1" w14:textId="77777777" w:rsidR="00DD6A9C" w:rsidRPr="00D123D4" w:rsidRDefault="00DD6A9C" w:rsidP="00D123D4">
                  <w:pPr>
                    <w:widowControl w:val="0"/>
                    <w:jc w:val="center"/>
                    <w:rPr>
                      <w:bCs/>
                      <w:sz w:val="22"/>
                      <w:szCs w:val="22"/>
                      <w:lang w:val="sr-Latn-ME"/>
                    </w:rPr>
                  </w:pPr>
                  <w:r w:rsidRPr="00D123D4">
                    <w:rPr>
                      <w:bCs/>
                      <w:sz w:val="22"/>
                      <w:szCs w:val="22"/>
                      <w:lang w:val="sr-Latn-ME"/>
                    </w:rPr>
                    <w:t>(2 nedjelje kasnije)</w:t>
                  </w:r>
                </w:p>
              </w:tc>
              <w:tc>
                <w:tcPr>
                  <w:tcW w:w="1093" w:type="pct"/>
                  <w:shd w:val="clear" w:color="auto" w:fill="auto"/>
                </w:tcPr>
                <w:p w14:paraId="14E2E2B3" w14:textId="77777777" w:rsidR="00DD6A9C" w:rsidRPr="00D123D4" w:rsidRDefault="00DD6A9C" w:rsidP="00D123D4">
                  <w:pPr>
                    <w:widowControl w:val="0"/>
                    <w:spacing w:line="300" w:lineRule="atLeast"/>
                    <w:jc w:val="center"/>
                    <w:rPr>
                      <w:bCs/>
                      <w:sz w:val="22"/>
                      <w:szCs w:val="22"/>
                      <w:lang w:val="sr-Latn-ME"/>
                    </w:rPr>
                  </w:pPr>
                  <w:r w:rsidRPr="00D123D4">
                    <w:rPr>
                      <w:bCs/>
                      <w:sz w:val="22"/>
                      <w:szCs w:val="22"/>
                      <w:lang w:val="sr-Latn-ME"/>
                    </w:rPr>
                    <w:t>300 mg u 250 ml</w:t>
                  </w:r>
                </w:p>
              </w:tc>
              <w:tc>
                <w:tcPr>
                  <w:tcW w:w="1585" w:type="pct"/>
                  <w:vMerge/>
                </w:tcPr>
                <w:p w14:paraId="5F1FA599" w14:textId="77777777" w:rsidR="00DD6A9C" w:rsidRPr="00D123D4" w:rsidRDefault="00DD6A9C" w:rsidP="00D123D4">
                  <w:pPr>
                    <w:widowControl w:val="0"/>
                    <w:spacing w:line="300" w:lineRule="atLeast"/>
                    <w:jc w:val="center"/>
                    <w:rPr>
                      <w:bCs/>
                      <w:sz w:val="22"/>
                      <w:szCs w:val="22"/>
                      <w:lang w:val="sr-Latn-ME"/>
                    </w:rPr>
                  </w:pPr>
                </w:p>
              </w:tc>
            </w:tr>
            <w:tr w:rsidR="009B2887" w:rsidRPr="00D123D4" w14:paraId="5B50C384" w14:textId="77777777" w:rsidTr="009B2887">
              <w:tc>
                <w:tcPr>
                  <w:tcW w:w="2322" w:type="pct"/>
                  <w:gridSpan w:val="2"/>
                  <w:shd w:val="clear" w:color="auto" w:fill="auto"/>
                </w:tcPr>
                <w:p w14:paraId="18E7C0B2" w14:textId="77777777" w:rsidR="009B2887" w:rsidRPr="00D123D4" w:rsidRDefault="009B2887" w:rsidP="00D123D4">
                  <w:pPr>
                    <w:widowControl w:val="0"/>
                    <w:spacing w:line="300" w:lineRule="atLeast"/>
                    <w:jc w:val="center"/>
                    <w:rPr>
                      <w:bCs/>
                      <w:sz w:val="22"/>
                      <w:szCs w:val="22"/>
                      <w:lang w:val="sr-Latn-ME"/>
                    </w:rPr>
                  </w:pPr>
                </w:p>
              </w:tc>
              <w:tc>
                <w:tcPr>
                  <w:tcW w:w="1093" w:type="pct"/>
                  <w:shd w:val="clear" w:color="auto" w:fill="auto"/>
                </w:tcPr>
                <w:p w14:paraId="0DD826BD" w14:textId="03409DDA" w:rsidR="009B2887" w:rsidRPr="00D123D4" w:rsidRDefault="009B2887" w:rsidP="00D123D4">
                  <w:pPr>
                    <w:widowControl w:val="0"/>
                    <w:spacing w:line="300" w:lineRule="atLeast"/>
                    <w:jc w:val="center"/>
                    <w:rPr>
                      <w:bCs/>
                      <w:sz w:val="22"/>
                      <w:szCs w:val="22"/>
                      <w:lang w:val="sr-Latn-ME"/>
                    </w:rPr>
                  </w:pPr>
                  <w:r w:rsidRPr="00D123D4">
                    <w:rPr>
                      <w:b/>
                      <w:bCs/>
                      <w:sz w:val="22"/>
                      <w:szCs w:val="22"/>
                      <w:lang w:val="sr-Latn-ME"/>
                    </w:rPr>
                    <w:t>Količina okrelizumaba koju treba primijeniti</w:t>
                  </w:r>
                </w:p>
              </w:tc>
              <w:tc>
                <w:tcPr>
                  <w:tcW w:w="1585" w:type="pct"/>
                </w:tcPr>
                <w:p w14:paraId="3852CB5F" w14:textId="33408F23" w:rsidR="009B2887" w:rsidRPr="00D123D4" w:rsidRDefault="009B2887" w:rsidP="00D123D4">
                  <w:pPr>
                    <w:widowControl w:val="0"/>
                    <w:spacing w:line="300" w:lineRule="atLeast"/>
                    <w:rPr>
                      <w:bCs/>
                      <w:sz w:val="22"/>
                      <w:szCs w:val="22"/>
                      <w:lang w:val="sr-Latn-ME"/>
                    </w:rPr>
                  </w:pPr>
                  <w:r w:rsidRPr="00D123D4">
                    <w:rPr>
                      <w:b/>
                      <w:bCs/>
                      <w:sz w:val="22"/>
                      <w:szCs w:val="22"/>
                      <w:lang w:val="sr-Latn-ME"/>
                    </w:rPr>
                    <w:t>Uputstva za infuziju</w:t>
                  </w:r>
                </w:p>
              </w:tc>
            </w:tr>
            <w:tr w:rsidR="0021487C" w:rsidRPr="00D123D4" w14:paraId="36ECEC5C" w14:textId="77777777" w:rsidTr="00D123D4">
              <w:tc>
                <w:tcPr>
                  <w:tcW w:w="1315" w:type="pct"/>
                  <w:vMerge w:val="restart"/>
                  <w:shd w:val="clear" w:color="auto" w:fill="auto"/>
                </w:tcPr>
                <w:p w14:paraId="6F1BEFB9" w14:textId="77777777" w:rsidR="0021487C" w:rsidRPr="00D123D4" w:rsidRDefault="0021487C" w:rsidP="00D123D4">
                  <w:pPr>
                    <w:widowControl w:val="0"/>
                    <w:spacing w:line="300" w:lineRule="atLeast"/>
                    <w:jc w:val="center"/>
                    <w:rPr>
                      <w:b/>
                      <w:bCs/>
                      <w:sz w:val="22"/>
                      <w:szCs w:val="22"/>
                      <w:lang w:val="sr-Latn-ME"/>
                    </w:rPr>
                  </w:pPr>
                  <w:r w:rsidRPr="00D123D4">
                    <w:rPr>
                      <w:b/>
                      <w:bCs/>
                      <w:sz w:val="22"/>
                      <w:szCs w:val="22"/>
                      <w:lang w:val="sr-Latn-ME"/>
                    </w:rPr>
                    <w:t>Sljedeće doze</w:t>
                  </w:r>
                </w:p>
                <w:p w14:paraId="1DC873E9" w14:textId="0261CB55" w:rsidR="0021487C" w:rsidRPr="00D123D4" w:rsidRDefault="0021487C" w:rsidP="00D123D4">
                  <w:pPr>
                    <w:widowControl w:val="0"/>
                    <w:spacing w:line="300" w:lineRule="atLeast"/>
                    <w:jc w:val="center"/>
                    <w:rPr>
                      <w:b/>
                      <w:bCs/>
                      <w:sz w:val="22"/>
                      <w:szCs w:val="22"/>
                      <w:lang w:val="sr-Latn-ME"/>
                    </w:rPr>
                  </w:pPr>
                  <w:r w:rsidRPr="00D123D4">
                    <w:rPr>
                      <w:b/>
                      <w:bCs/>
                      <w:sz w:val="22"/>
                      <w:szCs w:val="22"/>
                      <w:lang w:val="sr-Latn-ME"/>
                    </w:rPr>
                    <w:t>(600 mg)</w:t>
                  </w:r>
                </w:p>
                <w:p w14:paraId="2E13741B" w14:textId="4638D583" w:rsidR="0021487C" w:rsidRPr="00D123D4" w:rsidRDefault="0021487C" w:rsidP="00D123D4">
                  <w:pPr>
                    <w:widowControl w:val="0"/>
                    <w:spacing w:line="300" w:lineRule="atLeast"/>
                    <w:jc w:val="center"/>
                    <w:rPr>
                      <w:bCs/>
                      <w:sz w:val="22"/>
                      <w:szCs w:val="22"/>
                      <w:lang w:val="sr-Latn-ME"/>
                    </w:rPr>
                  </w:pPr>
                  <w:r w:rsidRPr="00D123D4">
                    <w:rPr>
                      <w:bCs/>
                      <w:sz w:val="22"/>
                      <w:szCs w:val="22"/>
                      <w:lang w:val="sr-Latn-ME"/>
                    </w:rPr>
                    <w:t>Jedna infuzija</w:t>
                  </w:r>
                  <w:r w:rsidR="008C7AA6" w:rsidRPr="00D123D4">
                    <w:rPr>
                      <w:bCs/>
                      <w:sz w:val="22"/>
                      <w:szCs w:val="22"/>
                      <w:lang w:val="sr-Latn-ME"/>
                    </w:rPr>
                    <w:t xml:space="preserve"> </w:t>
                  </w:r>
                  <w:r w:rsidRPr="00D123D4">
                    <w:rPr>
                      <w:bCs/>
                      <w:sz w:val="22"/>
                      <w:szCs w:val="22"/>
                      <w:lang w:val="sr-Latn-ME"/>
                    </w:rPr>
                    <w:t>jedanput svakih 6 mjeseci</w:t>
                  </w:r>
                </w:p>
                <w:p w14:paraId="3B5A0E12" w14:textId="77777777" w:rsidR="0021487C" w:rsidRPr="00D123D4" w:rsidRDefault="0021487C" w:rsidP="00D123D4">
                  <w:pPr>
                    <w:widowControl w:val="0"/>
                    <w:spacing w:line="300" w:lineRule="atLeast"/>
                    <w:jc w:val="center"/>
                    <w:rPr>
                      <w:bCs/>
                      <w:sz w:val="22"/>
                      <w:szCs w:val="22"/>
                      <w:lang w:val="sr-Latn-ME"/>
                    </w:rPr>
                  </w:pPr>
                </w:p>
                <w:p w14:paraId="08DA8F5A" w14:textId="77777777" w:rsidR="0021487C" w:rsidRPr="00D123D4" w:rsidRDefault="0021487C" w:rsidP="00D123D4">
                  <w:pPr>
                    <w:widowControl w:val="0"/>
                    <w:spacing w:line="300" w:lineRule="atLeast"/>
                    <w:jc w:val="center"/>
                    <w:rPr>
                      <w:bCs/>
                      <w:sz w:val="22"/>
                      <w:szCs w:val="22"/>
                      <w:lang w:val="sr-Latn-ME"/>
                    </w:rPr>
                  </w:pPr>
                </w:p>
              </w:tc>
              <w:tc>
                <w:tcPr>
                  <w:tcW w:w="1007" w:type="pct"/>
                  <w:shd w:val="clear" w:color="auto" w:fill="auto"/>
                </w:tcPr>
                <w:p w14:paraId="7F1CEE9E" w14:textId="5100C483" w:rsidR="0021487C" w:rsidRPr="00D123D4" w:rsidRDefault="0021487C" w:rsidP="00D123D4">
                  <w:pPr>
                    <w:widowControl w:val="0"/>
                    <w:spacing w:line="300" w:lineRule="atLeast"/>
                    <w:jc w:val="center"/>
                    <w:rPr>
                      <w:bCs/>
                      <w:sz w:val="22"/>
                      <w:szCs w:val="22"/>
                      <w:lang w:val="sr-Latn-ME"/>
                    </w:rPr>
                  </w:pPr>
                </w:p>
                <w:p w14:paraId="5A5C56B0" w14:textId="2BCA1DE7" w:rsidR="0021487C" w:rsidRPr="00D123D4" w:rsidRDefault="0021487C" w:rsidP="00D123D4">
                  <w:pPr>
                    <w:widowControl w:val="0"/>
                    <w:spacing w:line="300" w:lineRule="atLeast"/>
                    <w:jc w:val="center"/>
                    <w:rPr>
                      <w:bCs/>
                      <w:sz w:val="22"/>
                      <w:szCs w:val="22"/>
                      <w:lang w:val="sr-Latn-ME"/>
                    </w:rPr>
                  </w:pPr>
                  <w:r w:rsidRPr="00D123D4">
                    <w:rPr>
                      <w:bCs/>
                      <w:sz w:val="22"/>
                      <w:szCs w:val="22"/>
                      <w:lang w:val="sr-Latn-ME"/>
                    </w:rPr>
                    <w:t>1. opcija</w:t>
                  </w:r>
                </w:p>
                <w:p w14:paraId="43BA15C2" w14:textId="00C42BD2" w:rsidR="0021487C" w:rsidRPr="00D123D4" w:rsidRDefault="0021487C" w:rsidP="00D123D4">
                  <w:pPr>
                    <w:widowControl w:val="0"/>
                    <w:spacing w:line="300" w:lineRule="atLeast"/>
                    <w:jc w:val="center"/>
                    <w:rPr>
                      <w:bCs/>
                      <w:lang w:val="sr-Latn-ME"/>
                    </w:rPr>
                  </w:pPr>
                  <w:r w:rsidRPr="00D123D4">
                    <w:rPr>
                      <w:sz w:val="22"/>
                      <w:szCs w:val="20"/>
                      <w:lang w:val="sr-Latn-ME" w:eastAsia="ja-JP"/>
                    </w:rPr>
                    <w:t>Infuzija u trajanju od približno 3,5 sata</w:t>
                  </w:r>
                </w:p>
              </w:tc>
              <w:tc>
                <w:tcPr>
                  <w:tcW w:w="1093" w:type="pct"/>
                  <w:shd w:val="clear" w:color="auto" w:fill="auto"/>
                </w:tcPr>
                <w:p w14:paraId="54E197CE" w14:textId="77777777" w:rsidR="0021487C" w:rsidRPr="00D123D4" w:rsidRDefault="0021487C" w:rsidP="00D123D4">
                  <w:pPr>
                    <w:widowControl w:val="0"/>
                    <w:spacing w:line="300" w:lineRule="atLeast"/>
                    <w:jc w:val="center"/>
                    <w:rPr>
                      <w:bCs/>
                      <w:sz w:val="22"/>
                      <w:szCs w:val="22"/>
                      <w:lang w:val="sr-Latn-ME"/>
                    </w:rPr>
                  </w:pPr>
                  <w:r w:rsidRPr="00D123D4">
                    <w:rPr>
                      <w:bCs/>
                      <w:sz w:val="22"/>
                      <w:szCs w:val="22"/>
                      <w:lang w:val="sr-Latn-ME"/>
                    </w:rPr>
                    <w:t>600 mg u 500 ml</w:t>
                  </w:r>
                </w:p>
              </w:tc>
              <w:tc>
                <w:tcPr>
                  <w:tcW w:w="1585" w:type="pct"/>
                </w:tcPr>
                <w:p w14:paraId="6D899BFD" w14:textId="23C99FE2" w:rsidR="0021487C" w:rsidRPr="00D123D4" w:rsidRDefault="0021487C" w:rsidP="00D123D4">
                  <w:pPr>
                    <w:widowControl w:val="0"/>
                    <w:spacing w:line="300" w:lineRule="atLeast"/>
                    <w:rPr>
                      <w:bCs/>
                      <w:sz w:val="22"/>
                      <w:szCs w:val="22"/>
                      <w:lang w:val="sr-Latn-ME"/>
                    </w:rPr>
                  </w:pPr>
                  <w:r w:rsidRPr="00D123D4">
                    <w:rPr>
                      <w:bCs/>
                      <w:sz w:val="22"/>
                      <w:szCs w:val="22"/>
                      <w:lang w:val="sr-Latn-ME"/>
                    </w:rPr>
                    <w:sym w:font="Symbol" w:char="F0B7"/>
                  </w:r>
                  <w:r w:rsidR="009556C5" w:rsidRPr="00D123D4">
                    <w:rPr>
                      <w:bCs/>
                      <w:sz w:val="22"/>
                      <w:szCs w:val="22"/>
                      <w:lang w:val="sr-Latn-ME"/>
                    </w:rPr>
                    <w:t xml:space="preserve"> </w:t>
                  </w:r>
                  <w:r w:rsidRPr="00D123D4">
                    <w:rPr>
                      <w:bCs/>
                      <w:sz w:val="22"/>
                      <w:szCs w:val="22"/>
                      <w:lang w:val="sr-Latn-ME"/>
                    </w:rPr>
                    <w:t xml:space="preserve">Infuziju treba započeti brzinom od 40 ml/h tokom 30 minuta </w:t>
                  </w:r>
                </w:p>
                <w:p w14:paraId="5332372A" w14:textId="3FA4D56F" w:rsidR="0021487C" w:rsidRPr="00D123D4" w:rsidRDefault="0021487C" w:rsidP="00D123D4">
                  <w:pPr>
                    <w:widowControl w:val="0"/>
                    <w:spacing w:line="300" w:lineRule="atLeast"/>
                    <w:rPr>
                      <w:bCs/>
                      <w:sz w:val="22"/>
                      <w:szCs w:val="22"/>
                      <w:lang w:val="sr-Latn-ME"/>
                    </w:rPr>
                  </w:pPr>
                  <w:r w:rsidRPr="00D123D4">
                    <w:rPr>
                      <w:bCs/>
                      <w:sz w:val="22"/>
                      <w:szCs w:val="22"/>
                      <w:lang w:val="sr-Latn-ME"/>
                    </w:rPr>
                    <w:sym w:font="Symbol" w:char="F0B7"/>
                  </w:r>
                  <w:r w:rsidR="009556C5" w:rsidRPr="00D123D4">
                    <w:rPr>
                      <w:bCs/>
                      <w:sz w:val="22"/>
                      <w:szCs w:val="22"/>
                      <w:lang w:val="sr-Latn-ME"/>
                    </w:rPr>
                    <w:t xml:space="preserve"> </w:t>
                  </w:r>
                  <w:r w:rsidRPr="00D123D4">
                    <w:rPr>
                      <w:bCs/>
                      <w:sz w:val="22"/>
                      <w:szCs w:val="22"/>
                      <w:lang w:val="sr-Latn-ME"/>
                    </w:rPr>
                    <w:t>Brzina se može povećavati u koracima od 40 ml/h svakih 30 minuta do najviše 200 ml/h</w:t>
                  </w:r>
                </w:p>
                <w:p w14:paraId="487B22A5" w14:textId="42234D7E" w:rsidR="0021487C" w:rsidRPr="00D123D4" w:rsidRDefault="0021487C" w:rsidP="00D123D4">
                  <w:pPr>
                    <w:widowControl w:val="0"/>
                    <w:spacing w:line="300" w:lineRule="atLeast"/>
                    <w:rPr>
                      <w:bCs/>
                      <w:sz w:val="22"/>
                      <w:szCs w:val="22"/>
                      <w:lang w:val="sr-Latn-ME"/>
                    </w:rPr>
                  </w:pPr>
                  <w:r w:rsidRPr="00D123D4">
                    <w:rPr>
                      <w:bCs/>
                      <w:sz w:val="22"/>
                      <w:szCs w:val="22"/>
                      <w:lang w:val="sr-Latn-ME"/>
                    </w:rPr>
                    <w:sym w:font="Symbol" w:char="F0B7"/>
                  </w:r>
                  <w:r w:rsidR="009556C5" w:rsidRPr="00D123D4">
                    <w:rPr>
                      <w:bCs/>
                      <w:sz w:val="22"/>
                      <w:szCs w:val="22"/>
                      <w:lang w:val="sr-Latn-ME"/>
                    </w:rPr>
                    <w:t xml:space="preserve"> </w:t>
                  </w:r>
                  <w:r w:rsidRPr="00D123D4">
                    <w:rPr>
                      <w:bCs/>
                      <w:sz w:val="22"/>
                      <w:szCs w:val="22"/>
                      <w:lang w:val="sr-Latn-ME"/>
                    </w:rPr>
                    <w:t>Primjena svake infuzije treba trajati približno 3,5 sata</w:t>
                  </w:r>
                </w:p>
              </w:tc>
            </w:tr>
            <w:tr w:rsidR="0021487C" w:rsidRPr="00D123D4" w14:paraId="03FB6181" w14:textId="77777777" w:rsidTr="00D123D4">
              <w:tc>
                <w:tcPr>
                  <w:tcW w:w="1315" w:type="pct"/>
                  <w:vMerge/>
                  <w:shd w:val="clear" w:color="auto" w:fill="auto"/>
                </w:tcPr>
                <w:p w14:paraId="29DD126F" w14:textId="77777777" w:rsidR="0021487C" w:rsidRPr="00D123D4" w:rsidRDefault="0021487C" w:rsidP="00D123D4">
                  <w:pPr>
                    <w:widowControl w:val="0"/>
                    <w:spacing w:line="300" w:lineRule="atLeast"/>
                    <w:jc w:val="center"/>
                    <w:rPr>
                      <w:b/>
                      <w:bCs/>
                      <w:sz w:val="22"/>
                      <w:szCs w:val="22"/>
                      <w:lang w:val="sr-Latn-ME"/>
                    </w:rPr>
                  </w:pPr>
                </w:p>
              </w:tc>
              <w:tc>
                <w:tcPr>
                  <w:tcW w:w="3685" w:type="pct"/>
                  <w:gridSpan w:val="3"/>
                  <w:shd w:val="clear" w:color="auto" w:fill="auto"/>
                </w:tcPr>
                <w:p w14:paraId="434332A9" w14:textId="3F927B08" w:rsidR="0021487C" w:rsidRPr="00D123D4" w:rsidRDefault="0021487C" w:rsidP="00D123D4">
                  <w:pPr>
                    <w:widowControl w:val="0"/>
                    <w:spacing w:line="300" w:lineRule="atLeast"/>
                    <w:jc w:val="center"/>
                    <w:rPr>
                      <w:bCs/>
                      <w:sz w:val="22"/>
                      <w:szCs w:val="22"/>
                      <w:lang w:val="sr-Latn-ME"/>
                    </w:rPr>
                  </w:pPr>
                  <w:r w:rsidRPr="00D123D4">
                    <w:rPr>
                      <w:bCs/>
                      <w:sz w:val="22"/>
                      <w:szCs w:val="22"/>
                      <w:lang w:val="sr-Latn-ME"/>
                    </w:rPr>
                    <w:t>ILI</w:t>
                  </w:r>
                </w:p>
              </w:tc>
            </w:tr>
            <w:tr w:rsidR="0021487C" w:rsidRPr="00D123D4" w14:paraId="5EF109C6" w14:textId="77777777" w:rsidTr="00D123D4">
              <w:tc>
                <w:tcPr>
                  <w:tcW w:w="1315" w:type="pct"/>
                  <w:vMerge/>
                  <w:shd w:val="clear" w:color="auto" w:fill="auto"/>
                </w:tcPr>
                <w:p w14:paraId="37CB1015" w14:textId="77777777" w:rsidR="0021487C" w:rsidRPr="00D123D4" w:rsidRDefault="0021487C" w:rsidP="00D123D4">
                  <w:pPr>
                    <w:widowControl w:val="0"/>
                    <w:spacing w:line="300" w:lineRule="atLeast"/>
                    <w:jc w:val="center"/>
                    <w:rPr>
                      <w:b/>
                      <w:bCs/>
                      <w:sz w:val="22"/>
                      <w:szCs w:val="22"/>
                      <w:lang w:val="sr-Latn-ME"/>
                    </w:rPr>
                  </w:pPr>
                </w:p>
              </w:tc>
              <w:tc>
                <w:tcPr>
                  <w:tcW w:w="1007" w:type="pct"/>
                  <w:shd w:val="clear" w:color="auto" w:fill="auto"/>
                </w:tcPr>
                <w:p w14:paraId="1571FE8B" w14:textId="31938681" w:rsidR="0021487C" w:rsidRPr="00D123D4" w:rsidRDefault="0021487C" w:rsidP="00D123D4">
                  <w:pPr>
                    <w:widowControl w:val="0"/>
                    <w:spacing w:line="300" w:lineRule="atLeast"/>
                    <w:jc w:val="center"/>
                    <w:rPr>
                      <w:sz w:val="22"/>
                      <w:szCs w:val="20"/>
                      <w:lang w:val="sr-Latn-ME" w:eastAsia="ja-JP"/>
                    </w:rPr>
                  </w:pPr>
                  <w:r w:rsidRPr="00D123D4">
                    <w:rPr>
                      <w:sz w:val="22"/>
                      <w:szCs w:val="20"/>
                      <w:lang w:val="sr-Latn-ME" w:eastAsia="ja-JP"/>
                    </w:rPr>
                    <w:t>2. opcija</w:t>
                  </w:r>
                </w:p>
                <w:p w14:paraId="0434D5B1" w14:textId="513EDB4F" w:rsidR="0021487C" w:rsidRPr="00D123D4" w:rsidRDefault="0021487C" w:rsidP="00D123D4">
                  <w:pPr>
                    <w:widowControl w:val="0"/>
                    <w:spacing w:line="300" w:lineRule="atLeast"/>
                    <w:jc w:val="center"/>
                    <w:rPr>
                      <w:bCs/>
                      <w:sz w:val="22"/>
                      <w:szCs w:val="22"/>
                      <w:lang w:val="sr-Latn-ME"/>
                    </w:rPr>
                  </w:pPr>
                  <w:r w:rsidRPr="00D123D4">
                    <w:rPr>
                      <w:sz w:val="22"/>
                      <w:szCs w:val="20"/>
                      <w:lang w:val="sr-Latn-ME" w:eastAsia="ja-JP"/>
                    </w:rPr>
                    <w:t>Infuzija u trajanju od približno 2 sata</w:t>
                  </w:r>
                </w:p>
              </w:tc>
              <w:tc>
                <w:tcPr>
                  <w:tcW w:w="1093" w:type="pct"/>
                  <w:shd w:val="clear" w:color="auto" w:fill="auto"/>
                </w:tcPr>
                <w:p w14:paraId="79F69587" w14:textId="0EC171AF" w:rsidR="0021487C" w:rsidRPr="00D123D4" w:rsidRDefault="0021487C" w:rsidP="00D123D4">
                  <w:pPr>
                    <w:widowControl w:val="0"/>
                    <w:spacing w:line="300" w:lineRule="atLeast"/>
                    <w:jc w:val="center"/>
                    <w:rPr>
                      <w:bCs/>
                      <w:sz w:val="22"/>
                      <w:szCs w:val="22"/>
                      <w:lang w:val="sr-Latn-ME"/>
                    </w:rPr>
                  </w:pPr>
                  <w:r w:rsidRPr="00D123D4">
                    <w:rPr>
                      <w:sz w:val="22"/>
                      <w:szCs w:val="20"/>
                      <w:lang w:val="sr-Latn-ME" w:eastAsia="ja-JP"/>
                    </w:rPr>
                    <w:t>600 mg u 500 ml</w:t>
                  </w:r>
                </w:p>
              </w:tc>
              <w:tc>
                <w:tcPr>
                  <w:tcW w:w="1585" w:type="pct"/>
                </w:tcPr>
                <w:p w14:paraId="09D42C61" w14:textId="16BECAE1" w:rsidR="0021487C" w:rsidRPr="00D123D4" w:rsidRDefault="0021487C" w:rsidP="00D123D4">
                  <w:pPr>
                    <w:widowControl w:val="0"/>
                    <w:spacing w:line="300" w:lineRule="atLeast"/>
                    <w:rPr>
                      <w:sz w:val="22"/>
                      <w:szCs w:val="20"/>
                      <w:lang w:val="sr-Latn-ME" w:eastAsia="ja-JP"/>
                    </w:rPr>
                  </w:pPr>
                  <w:r w:rsidRPr="00D123D4">
                    <w:rPr>
                      <w:sz w:val="22"/>
                      <w:szCs w:val="20"/>
                      <w:lang w:val="sr-Latn-ME" w:eastAsia="ja-JP"/>
                    </w:rPr>
                    <w:sym w:font="Symbol" w:char="F0B7"/>
                  </w:r>
                  <w:r w:rsidR="009556C5" w:rsidRPr="00D123D4">
                    <w:rPr>
                      <w:sz w:val="22"/>
                      <w:szCs w:val="20"/>
                      <w:lang w:val="sr-Latn-ME" w:eastAsia="ja-JP"/>
                    </w:rPr>
                    <w:t xml:space="preserve"> </w:t>
                  </w:r>
                  <w:r w:rsidRPr="00D123D4">
                    <w:rPr>
                      <w:sz w:val="22"/>
                      <w:szCs w:val="20"/>
                      <w:lang w:val="sr-Latn-ME" w:eastAsia="ja-JP"/>
                    </w:rPr>
                    <w:t xml:space="preserve">Infuziju treba započeti brzinom od 100 ml/h tokom prvih 15 minuta </w:t>
                  </w:r>
                </w:p>
                <w:p w14:paraId="2BB73A70" w14:textId="33DD84FE" w:rsidR="0021487C" w:rsidRPr="00D123D4" w:rsidRDefault="0021487C" w:rsidP="00D123D4">
                  <w:pPr>
                    <w:widowControl w:val="0"/>
                    <w:spacing w:line="300" w:lineRule="atLeast"/>
                    <w:rPr>
                      <w:sz w:val="22"/>
                      <w:szCs w:val="20"/>
                      <w:lang w:val="sr-Latn-ME" w:eastAsia="ja-JP"/>
                    </w:rPr>
                  </w:pPr>
                  <w:r w:rsidRPr="00D123D4">
                    <w:rPr>
                      <w:sz w:val="22"/>
                      <w:szCs w:val="20"/>
                      <w:lang w:val="sr-Latn-ME" w:eastAsia="ja-JP"/>
                    </w:rPr>
                    <w:sym w:font="Symbol" w:char="F0B7"/>
                  </w:r>
                  <w:r w:rsidR="009556C5" w:rsidRPr="00D123D4">
                    <w:rPr>
                      <w:sz w:val="22"/>
                      <w:szCs w:val="20"/>
                      <w:lang w:val="sr-Latn-ME" w:eastAsia="ja-JP"/>
                    </w:rPr>
                    <w:t xml:space="preserve"> </w:t>
                  </w:r>
                  <w:r w:rsidRPr="00D123D4">
                    <w:rPr>
                      <w:sz w:val="22"/>
                      <w:szCs w:val="20"/>
                      <w:lang w:val="sr-Latn-ME" w:eastAsia="ja-JP"/>
                    </w:rPr>
                    <w:t>Povećati brzinu infuzije na 200 ml/h tokom narednih 15 minuta</w:t>
                  </w:r>
                </w:p>
                <w:p w14:paraId="2E2E914F" w14:textId="5503BDBF" w:rsidR="0021487C" w:rsidRPr="00D123D4" w:rsidRDefault="0021487C" w:rsidP="00D123D4">
                  <w:pPr>
                    <w:widowControl w:val="0"/>
                    <w:spacing w:line="300" w:lineRule="atLeast"/>
                    <w:rPr>
                      <w:sz w:val="22"/>
                      <w:szCs w:val="20"/>
                      <w:lang w:val="sr-Latn-ME" w:eastAsia="ja-JP"/>
                    </w:rPr>
                  </w:pPr>
                  <w:r w:rsidRPr="00D123D4">
                    <w:rPr>
                      <w:sz w:val="22"/>
                      <w:szCs w:val="20"/>
                      <w:lang w:val="sr-Latn-ME" w:eastAsia="ja-JP"/>
                    </w:rPr>
                    <w:sym w:font="Symbol" w:char="F0B7"/>
                  </w:r>
                  <w:r w:rsidR="009556C5" w:rsidRPr="00D123D4">
                    <w:rPr>
                      <w:sz w:val="22"/>
                      <w:szCs w:val="20"/>
                      <w:lang w:val="sr-Latn-ME" w:eastAsia="ja-JP"/>
                    </w:rPr>
                    <w:t xml:space="preserve"> </w:t>
                  </w:r>
                  <w:r w:rsidRPr="00D123D4">
                    <w:rPr>
                      <w:sz w:val="22"/>
                      <w:szCs w:val="20"/>
                      <w:lang w:val="sr-Latn-ME" w:eastAsia="ja-JP"/>
                    </w:rPr>
                    <w:t>Povećati brzinu infuzije na 250 ml/h tokom narednih 30 minuta</w:t>
                  </w:r>
                </w:p>
                <w:p w14:paraId="4B8950E0" w14:textId="537EDAE7" w:rsidR="0021487C" w:rsidRPr="00D123D4" w:rsidRDefault="0021487C" w:rsidP="00D123D4">
                  <w:pPr>
                    <w:widowControl w:val="0"/>
                    <w:spacing w:line="300" w:lineRule="atLeast"/>
                    <w:rPr>
                      <w:sz w:val="22"/>
                      <w:szCs w:val="20"/>
                      <w:lang w:val="sr-Latn-ME" w:eastAsia="ja-JP"/>
                    </w:rPr>
                  </w:pPr>
                  <w:r w:rsidRPr="00D123D4">
                    <w:rPr>
                      <w:sz w:val="22"/>
                      <w:szCs w:val="20"/>
                      <w:lang w:val="sr-Latn-ME" w:eastAsia="ja-JP"/>
                    </w:rPr>
                    <w:sym w:font="Symbol" w:char="F0B7"/>
                  </w:r>
                  <w:r w:rsidR="009556C5" w:rsidRPr="00D123D4">
                    <w:rPr>
                      <w:sz w:val="22"/>
                      <w:szCs w:val="20"/>
                      <w:lang w:val="sr-Latn-ME" w:eastAsia="ja-JP"/>
                    </w:rPr>
                    <w:t xml:space="preserve"> </w:t>
                  </w:r>
                  <w:r w:rsidRPr="00D123D4">
                    <w:rPr>
                      <w:sz w:val="22"/>
                      <w:szCs w:val="20"/>
                      <w:lang w:val="sr-Latn-ME" w:eastAsia="ja-JP"/>
                    </w:rPr>
                    <w:t>Povećati brzinu infuzije na 300 ml/h tokom preostalih 60 minuta</w:t>
                  </w:r>
                </w:p>
                <w:p w14:paraId="03D35F06" w14:textId="54A3D31B" w:rsidR="0021487C" w:rsidRPr="00D123D4" w:rsidRDefault="0021487C" w:rsidP="00D123D4">
                  <w:pPr>
                    <w:widowControl w:val="0"/>
                    <w:spacing w:line="300" w:lineRule="atLeast"/>
                    <w:rPr>
                      <w:bCs/>
                      <w:sz w:val="22"/>
                      <w:szCs w:val="22"/>
                      <w:lang w:val="sr-Latn-ME"/>
                    </w:rPr>
                  </w:pPr>
                  <w:r w:rsidRPr="00D123D4">
                    <w:rPr>
                      <w:sz w:val="22"/>
                      <w:szCs w:val="20"/>
                      <w:lang w:val="sr-Latn-ME" w:eastAsia="ja-JP"/>
                    </w:rPr>
                    <w:sym w:font="Symbol" w:char="F0B7"/>
                  </w:r>
                  <w:r w:rsidR="009556C5" w:rsidRPr="00D123D4">
                    <w:rPr>
                      <w:sz w:val="22"/>
                      <w:szCs w:val="20"/>
                      <w:lang w:val="sr-Latn-ME" w:eastAsia="ja-JP"/>
                    </w:rPr>
                    <w:t xml:space="preserve"> </w:t>
                  </w:r>
                  <w:r w:rsidRPr="00D123D4">
                    <w:rPr>
                      <w:sz w:val="22"/>
                      <w:szCs w:val="20"/>
                      <w:lang w:val="sr-Latn-ME" w:eastAsia="ja-JP"/>
                    </w:rPr>
                    <w:t>Primjena svake infuzije treba da traje približno 2 sata</w:t>
                  </w:r>
                </w:p>
              </w:tc>
            </w:tr>
          </w:tbl>
          <w:p w14:paraId="3BAC16F1" w14:textId="272B7D7E" w:rsidR="009556C5" w:rsidRPr="00D123D4" w:rsidRDefault="009556C5" w:rsidP="00D123D4">
            <w:pPr>
              <w:widowControl w:val="0"/>
              <w:jc w:val="both"/>
              <w:rPr>
                <w:sz w:val="22"/>
                <w:szCs w:val="22"/>
                <w:lang w:val="sr-Latn-ME"/>
              </w:rPr>
            </w:pPr>
          </w:p>
        </w:tc>
      </w:tr>
    </w:tbl>
    <w:p w14:paraId="178B5B71" w14:textId="77777777" w:rsidR="00D123D4" w:rsidRPr="00D123D4" w:rsidRDefault="00D123D4" w:rsidP="00D123D4">
      <w:pPr>
        <w:widowControl w:val="0"/>
        <w:jc w:val="both"/>
        <w:rPr>
          <w:lang w:val="sr-Latn-ME"/>
        </w:rPr>
      </w:pPr>
    </w:p>
    <w:p w14:paraId="42F546BD" w14:textId="77777777" w:rsidR="00D123D4" w:rsidRPr="00D123D4" w:rsidRDefault="00D123D4" w:rsidP="00D123D4">
      <w:pPr>
        <w:widowControl w:val="0"/>
        <w:jc w:val="both"/>
        <w:rPr>
          <w:sz w:val="22"/>
          <w:szCs w:val="22"/>
          <w:lang w:val="sr-Latn-ME"/>
        </w:rPr>
      </w:pPr>
      <w:r w:rsidRPr="00D123D4">
        <w:rPr>
          <w:sz w:val="22"/>
          <w:szCs w:val="22"/>
          <w:lang w:val="sr-Latn-ME"/>
        </w:rPr>
        <w:t>Rastvori za intravensku infuziju pripremaju se tako da se koncentrat razblaži u infuzijskoj kesici koja sadrži rastvor natrijum hlorida za infuziju od 9 mg/ml (0,9%) kako bi se dobila konačna koncentracija okrelizumaba od približno 1,2 mg/ml. Za uputstvo o razblaživanju lijeka prije primjene vidjeti dio 6.6.</w:t>
      </w:r>
    </w:p>
    <w:p w14:paraId="56A7A97C" w14:textId="77777777" w:rsidR="00D123D4" w:rsidRPr="00D123D4" w:rsidRDefault="00D123D4" w:rsidP="00D123D4">
      <w:pPr>
        <w:widowControl w:val="0"/>
        <w:jc w:val="both"/>
        <w:rPr>
          <w:i/>
          <w:sz w:val="22"/>
          <w:szCs w:val="22"/>
          <w:lang w:val="sr-Latn-ME"/>
        </w:rPr>
      </w:pPr>
    </w:p>
    <w:p w14:paraId="686B8BCE" w14:textId="77777777" w:rsidR="00D123D4" w:rsidRDefault="00D123D4" w:rsidP="00D123D4">
      <w:pPr>
        <w:widowControl w:val="0"/>
        <w:tabs>
          <w:tab w:val="left" w:pos="284"/>
          <w:tab w:val="center" w:pos="4320"/>
          <w:tab w:val="right" w:pos="8640"/>
        </w:tabs>
        <w:jc w:val="both"/>
        <w:rPr>
          <w:sz w:val="22"/>
          <w:szCs w:val="22"/>
          <w:lang w:val="sr-Latn-ME"/>
        </w:rPr>
      </w:pPr>
      <w:r w:rsidRPr="00D123D4">
        <w:rPr>
          <w:sz w:val="22"/>
          <w:szCs w:val="22"/>
          <w:lang w:val="sr-Latn-ME"/>
        </w:rPr>
        <w:t xml:space="preserve">Pacijente treba nadgledati tokom infuzije i još najmanje jedan sat nakon njenog završetka (vidjeti dio 4.4). </w:t>
      </w:r>
    </w:p>
    <w:p w14:paraId="1FFD8D00" w14:textId="77777777" w:rsidR="00D123D4" w:rsidRDefault="00D123D4" w:rsidP="00D123D4">
      <w:pPr>
        <w:widowControl w:val="0"/>
        <w:tabs>
          <w:tab w:val="left" w:pos="284"/>
          <w:tab w:val="center" w:pos="4320"/>
          <w:tab w:val="right" w:pos="8640"/>
        </w:tabs>
        <w:jc w:val="both"/>
        <w:rPr>
          <w:sz w:val="22"/>
          <w:szCs w:val="22"/>
          <w:lang w:val="sr-Latn-ME"/>
        </w:rPr>
      </w:pPr>
    </w:p>
    <w:p w14:paraId="2530A5E8" w14:textId="79F3FB53" w:rsidR="00D123D4" w:rsidRPr="00D123D4" w:rsidRDefault="00D123D4" w:rsidP="00D123D4">
      <w:pPr>
        <w:widowControl w:val="0"/>
        <w:tabs>
          <w:tab w:val="left" w:pos="284"/>
          <w:tab w:val="center" w:pos="4320"/>
          <w:tab w:val="right" w:pos="8640"/>
        </w:tabs>
        <w:jc w:val="both"/>
        <w:rPr>
          <w:b/>
          <w:bCs/>
          <w:sz w:val="22"/>
          <w:lang w:val="sr-Latn-ME"/>
        </w:rPr>
      </w:pPr>
      <w:r w:rsidRPr="00D123D4">
        <w:rPr>
          <w:b/>
          <w:bCs/>
          <w:sz w:val="22"/>
          <w:lang w:val="sr-Latn-ME"/>
        </w:rPr>
        <w:t>4.3. Kontraindikacije</w:t>
      </w:r>
    </w:p>
    <w:p w14:paraId="7B80766E" w14:textId="77777777" w:rsidR="00D123D4" w:rsidRPr="00D123D4" w:rsidRDefault="00D123D4" w:rsidP="00D123D4">
      <w:pPr>
        <w:widowControl w:val="0"/>
        <w:tabs>
          <w:tab w:val="left" w:pos="284"/>
          <w:tab w:val="center" w:pos="4320"/>
          <w:tab w:val="right" w:pos="8640"/>
        </w:tabs>
        <w:jc w:val="both"/>
        <w:rPr>
          <w:b/>
          <w:bCs/>
          <w:lang w:val="sr-Latn-ME"/>
        </w:rPr>
      </w:pPr>
    </w:p>
    <w:p w14:paraId="00DC4CCF" w14:textId="182D2905" w:rsidR="00D123D4" w:rsidRPr="00D123D4" w:rsidRDefault="00D123D4" w:rsidP="00D123D4">
      <w:pPr>
        <w:pStyle w:val="ListParagraph"/>
        <w:widowControl w:val="0"/>
        <w:numPr>
          <w:ilvl w:val="0"/>
          <w:numId w:val="43"/>
        </w:numPr>
        <w:spacing w:after="0"/>
        <w:jc w:val="both"/>
        <w:rPr>
          <w:lang w:val="sr-Latn-ME"/>
        </w:rPr>
      </w:pPr>
      <w:r w:rsidRPr="00D123D4">
        <w:rPr>
          <w:rFonts w:ascii="Times New Roman" w:hAnsi="Times New Roman" w:cs="Times New Roman"/>
          <w:lang w:val="sr-Latn-ME"/>
        </w:rPr>
        <w:t>Preosjetljivost na aktivnu supstancu ili bilo koju od pomoćnih supstanci navedenih u dijelu 6.1.</w:t>
      </w:r>
    </w:p>
    <w:p w14:paraId="1E7B4B63" w14:textId="77777777" w:rsidR="00D123D4" w:rsidRPr="00D123D4" w:rsidRDefault="00D123D4" w:rsidP="00D123D4">
      <w:pPr>
        <w:pStyle w:val="ListParagraph"/>
        <w:widowControl w:val="0"/>
        <w:numPr>
          <w:ilvl w:val="0"/>
          <w:numId w:val="43"/>
        </w:numPr>
        <w:spacing w:after="0"/>
        <w:jc w:val="both"/>
        <w:rPr>
          <w:lang w:val="sr-Latn-ME"/>
        </w:rPr>
      </w:pPr>
      <w:r w:rsidRPr="00D123D4">
        <w:rPr>
          <w:rFonts w:ascii="Times New Roman" w:hAnsi="Times New Roman" w:cs="Times New Roman"/>
          <w:lang w:val="sr-Latn-ME"/>
        </w:rPr>
        <w:t>Trenutna aktivna infekcija (vidjeti dio 4.4)</w:t>
      </w:r>
    </w:p>
    <w:p w14:paraId="7B07D28E" w14:textId="77777777" w:rsidR="00D123D4" w:rsidRPr="00D123D4" w:rsidRDefault="00D123D4" w:rsidP="00D123D4">
      <w:pPr>
        <w:pStyle w:val="ListParagraph"/>
        <w:widowControl w:val="0"/>
        <w:numPr>
          <w:ilvl w:val="0"/>
          <w:numId w:val="43"/>
        </w:numPr>
        <w:spacing w:after="0"/>
        <w:jc w:val="both"/>
        <w:rPr>
          <w:lang w:val="sr-Latn-ME"/>
        </w:rPr>
      </w:pPr>
      <w:r w:rsidRPr="00D123D4">
        <w:rPr>
          <w:rFonts w:ascii="Times New Roman" w:hAnsi="Times New Roman" w:cs="Times New Roman"/>
          <w:lang w:val="sr-Latn-ME"/>
        </w:rPr>
        <w:t>Teško imunokompromitovani pacijenti (vidjeti dio 4.4)</w:t>
      </w:r>
    </w:p>
    <w:p w14:paraId="762582C3" w14:textId="77777777" w:rsidR="00D123D4" w:rsidRPr="00D123D4" w:rsidRDefault="00D123D4" w:rsidP="00D123D4">
      <w:pPr>
        <w:pStyle w:val="ListParagraph"/>
        <w:widowControl w:val="0"/>
        <w:numPr>
          <w:ilvl w:val="0"/>
          <w:numId w:val="43"/>
        </w:numPr>
        <w:spacing w:after="0"/>
        <w:jc w:val="both"/>
        <w:rPr>
          <w:lang w:val="sr-Latn-ME"/>
        </w:rPr>
      </w:pPr>
      <w:r w:rsidRPr="00D123D4">
        <w:rPr>
          <w:rFonts w:ascii="Times New Roman" w:hAnsi="Times New Roman" w:cs="Times New Roman"/>
          <w:lang w:val="sr-Latn-ME"/>
        </w:rPr>
        <w:t>Poznate aktivne maligne bolesti (vidjeti dio 4.4)</w:t>
      </w:r>
    </w:p>
    <w:p w14:paraId="166BC7F3" w14:textId="77777777" w:rsidR="00D123D4" w:rsidRDefault="00D123D4" w:rsidP="00D123D4">
      <w:pPr>
        <w:widowControl w:val="0"/>
        <w:tabs>
          <w:tab w:val="left" w:pos="284"/>
          <w:tab w:val="center" w:pos="4320"/>
          <w:tab w:val="right" w:pos="8640"/>
        </w:tabs>
        <w:jc w:val="both"/>
        <w:rPr>
          <w:b/>
          <w:bCs/>
          <w:sz w:val="22"/>
          <w:szCs w:val="22"/>
          <w:lang w:val="sr-Latn-ME"/>
        </w:rPr>
      </w:pPr>
    </w:p>
    <w:p w14:paraId="124F6ADA" w14:textId="0AAFD42F" w:rsidR="00D123D4" w:rsidRPr="00D123D4" w:rsidRDefault="00D123D4" w:rsidP="00D123D4">
      <w:pPr>
        <w:widowControl w:val="0"/>
        <w:tabs>
          <w:tab w:val="left" w:pos="284"/>
          <w:tab w:val="center" w:pos="4320"/>
          <w:tab w:val="right" w:pos="8640"/>
        </w:tabs>
        <w:jc w:val="both"/>
        <w:rPr>
          <w:b/>
          <w:bCs/>
          <w:sz w:val="22"/>
          <w:szCs w:val="22"/>
          <w:lang w:val="sr-Latn-ME"/>
        </w:rPr>
      </w:pPr>
      <w:r w:rsidRPr="00D123D4">
        <w:rPr>
          <w:b/>
          <w:bCs/>
          <w:sz w:val="22"/>
          <w:szCs w:val="22"/>
          <w:lang w:val="sr-Latn-ME"/>
        </w:rPr>
        <w:t>4.4. Posebna upozorenja i mjere opreza pri upotrebi lijeka</w:t>
      </w:r>
    </w:p>
    <w:p w14:paraId="0BC2E1CC" w14:textId="77777777" w:rsidR="00D123D4" w:rsidRPr="00D123D4" w:rsidRDefault="00D123D4" w:rsidP="00D123D4">
      <w:pPr>
        <w:widowControl w:val="0"/>
        <w:tabs>
          <w:tab w:val="left" w:pos="284"/>
          <w:tab w:val="center" w:pos="4320"/>
          <w:tab w:val="right" w:pos="8640"/>
        </w:tabs>
        <w:jc w:val="both"/>
        <w:rPr>
          <w:b/>
          <w:bCs/>
          <w:sz w:val="22"/>
          <w:szCs w:val="22"/>
          <w:lang w:val="sr-Latn-ME"/>
        </w:rPr>
      </w:pPr>
    </w:p>
    <w:p w14:paraId="4E5D1637" w14:textId="77777777" w:rsidR="00D123D4" w:rsidRPr="00D123D4" w:rsidRDefault="00D123D4" w:rsidP="00D123D4">
      <w:pPr>
        <w:widowControl w:val="0"/>
        <w:jc w:val="both"/>
        <w:rPr>
          <w:sz w:val="22"/>
          <w:szCs w:val="22"/>
          <w:u w:val="single"/>
          <w:lang w:val="sr-Latn-ME"/>
        </w:rPr>
      </w:pPr>
      <w:r w:rsidRPr="00D123D4">
        <w:rPr>
          <w:sz w:val="22"/>
          <w:szCs w:val="22"/>
          <w:u w:val="single"/>
          <w:lang w:val="sr-Latn-ME"/>
        </w:rPr>
        <w:t>Sledljivost</w:t>
      </w:r>
    </w:p>
    <w:p w14:paraId="642A2447" w14:textId="77777777" w:rsidR="00D123D4" w:rsidRPr="00D123D4" w:rsidRDefault="00D123D4" w:rsidP="00D123D4">
      <w:pPr>
        <w:widowControl w:val="0"/>
        <w:jc w:val="both"/>
        <w:rPr>
          <w:sz w:val="22"/>
          <w:szCs w:val="22"/>
          <w:lang w:val="sr-Latn-ME"/>
        </w:rPr>
      </w:pPr>
    </w:p>
    <w:p w14:paraId="3FBEB200" w14:textId="77777777" w:rsidR="00D123D4" w:rsidRPr="00D123D4" w:rsidRDefault="00D123D4" w:rsidP="00D123D4">
      <w:pPr>
        <w:widowControl w:val="0"/>
        <w:jc w:val="both"/>
        <w:rPr>
          <w:sz w:val="22"/>
          <w:szCs w:val="22"/>
          <w:lang w:val="sr-Latn-ME"/>
        </w:rPr>
      </w:pPr>
      <w:r w:rsidRPr="00D123D4">
        <w:rPr>
          <w:sz w:val="22"/>
          <w:szCs w:val="22"/>
          <w:lang w:val="sr-Latn-ME"/>
        </w:rPr>
        <w:t>Kako bi se poboljšala sledljivost bioloških ljekova, zaštićeno ime i broj serije primijenjenog lijeka treba jasno evidentirati.</w:t>
      </w:r>
    </w:p>
    <w:p w14:paraId="11BF8DA8" w14:textId="77777777" w:rsidR="00D123D4" w:rsidRPr="00D123D4" w:rsidRDefault="00D123D4" w:rsidP="00D123D4">
      <w:pPr>
        <w:widowControl w:val="0"/>
        <w:jc w:val="both"/>
        <w:rPr>
          <w:sz w:val="22"/>
          <w:szCs w:val="22"/>
          <w:lang w:val="sr-Latn-ME"/>
        </w:rPr>
      </w:pPr>
    </w:p>
    <w:p w14:paraId="7CAA2FD5" w14:textId="77777777" w:rsidR="00D123D4" w:rsidRPr="00D123D4" w:rsidRDefault="00D123D4" w:rsidP="00D123D4">
      <w:pPr>
        <w:widowControl w:val="0"/>
        <w:jc w:val="both"/>
        <w:rPr>
          <w:sz w:val="22"/>
          <w:szCs w:val="22"/>
          <w:u w:val="single"/>
          <w:lang w:val="sr-Latn-ME"/>
        </w:rPr>
      </w:pPr>
      <w:r w:rsidRPr="00D123D4">
        <w:rPr>
          <w:sz w:val="22"/>
          <w:szCs w:val="22"/>
          <w:u w:val="single"/>
          <w:lang w:val="sr-Latn-ME"/>
        </w:rPr>
        <w:t xml:space="preserve">Reakcije na infuziju </w:t>
      </w:r>
    </w:p>
    <w:p w14:paraId="27F9FB5C" w14:textId="77777777" w:rsidR="00D123D4" w:rsidRPr="00D123D4" w:rsidRDefault="00D123D4" w:rsidP="00D123D4">
      <w:pPr>
        <w:widowControl w:val="0"/>
        <w:jc w:val="both"/>
        <w:rPr>
          <w:sz w:val="22"/>
          <w:szCs w:val="22"/>
          <w:lang w:val="sr-Latn-ME"/>
        </w:rPr>
      </w:pPr>
    </w:p>
    <w:p w14:paraId="3C2CD15D" w14:textId="77777777" w:rsidR="00D123D4" w:rsidRPr="00D123D4" w:rsidRDefault="00D123D4" w:rsidP="00D123D4">
      <w:pPr>
        <w:widowControl w:val="0"/>
        <w:jc w:val="both"/>
        <w:rPr>
          <w:sz w:val="22"/>
          <w:szCs w:val="22"/>
          <w:lang w:val="sr-Latn-ME"/>
        </w:rPr>
      </w:pPr>
      <w:r w:rsidRPr="00D123D4">
        <w:rPr>
          <w:sz w:val="22"/>
          <w:szCs w:val="22"/>
          <w:lang w:val="sr-Latn-ME"/>
        </w:rPr>
        <w:t xml:space="preserve">Okrelizumab je povezan sa reakcijama na infuziju, koje mogu biti povezane sa otpuštanjem citokina i/ili </w:t>
      </w:r>
      <w:r w:rsidRPr="00D123D4">
        <w:rPr>
          <w:sz w:val="22"/>
          <w:szCs w:val="22"/>
          <w:lang w:val="sr-Latn-ME"/>
        </w:rPr>
        <w:lastRenderedPageBreak/>
        <w:t xml:space="preserve">drugih hemijskih posrednika. </w:t>
      </w:r>
    </w:p>
    <w:p w14:paraId="1E68A791" w14:textId="77777777" w:rsidR="00D123D4" w:rsidRPr="00D123D4" w:rsidRDefault="00D123D4" w:rsidP="00D123D4">
      <w:pPr>
        <w:widowControl w:val="0"/>
        <w:jc w:val="both"/>
        <w:rPr>
          <w:sz w:val="22"/>
          <w:szCs w:val="22"/>
          <w:lang w:val="sr-Latn-ME"/>
        </w:rPr>
      </w:pPr>
    </w:p>
    <w:p w14:paraId="0B98DF75" w14:textId="3A86891D" w:rsidR="00D123D4" w:rsidRPr="00D123D4" w:rsidRDefault="00D123D4" w:rsidP="00D123D4">
      <w:pPr>
        <w:widowControl w:val="0"/>
        <w:jc w:val="both"/>
        <w:rPr>
          <w:sz w:val="22"/>
          <w:szCs w:val="22"/>
          <w:lang w:val="sr-Latn-ME"/>
        </w:rPr>
      </w:pPr>
      <w:r w:rsidRPr="00D123D4">
        <w:rPr>
          <w:sz w:val="22"/>
          <w:szCs w:val="22"/>
          <w:lang w:val="sr-Latn-ME"/>
        </w:rPr>
        <w:t>Simptomi reakcija na infuziju mogu da se jave tokom bilo koje infuzije okrelizumaba, ali češće su prijavljeni tokom prve infuzije. Reakcije na infuziju mogu da nastupe u roku od 24 sata od infuzije (vidjeti dio 4.8). Mogu se manifestovati kao pruritus, osip, urtikarija, eritem, nadraženost grla, orofaringealna bol, dispneja, edem ždrijela ili grkljana, navale vrućine, hipotenzija, pireksija, umor,</w:t>
      </w:r>
      <w:r>
        <w:rPr>
          <w:sz w:val="22"/>
          <w:szCs w:val="22"/>
          <w:lang w:val="sr-Latn-ME"/>
        </w:rPr>
        <w:t xml:space="preserve"> </w:t>
      </w:r>
      <w:r w:rsidRPr="00D123D4">
        <w:rPr>
          <w:sz w:val="22"/>
          <w:szCs w:val="22"/>
          <w:lang w:val="sr-Latn-ME"/>
        </w:rPr>
        <w:t xml:space="preserve">glavobolja, vrtoglavica, mučnina, tahikardija i anafilaksa.   </w:t>
      </w:r>
    </w:p>
    <w:p w14:paraId="02C145A7" w14:textId="77777777" w:rsidR="00D123D4" w:rsidRPr="00D123D4" w:rsidRDefault="00D123D4" w:rsidP="00D123D4">
      <w:pPr>
        <w:widowControl w:val="0"/>
        <w:jc w:val="both"/>
        <w:rPr>
          <w:sz w:val="22"/>
          <w:szCs w:val="22"/>
          <w:lang w:val="sr-Latn-ME"/>
        </w:rPr>
      </w:pPr>
    </w:p>
    <w:p w14:paraId="4B99C958" w14:textId="77777777" w:rsidR="00D123D4" w:rsidRPr="00D123D4" w:rsidRDefault="00D123D4" w:rsidP="00D123D4">
      <w:pPr>
        <w:widowControl w:val="0"/>
        <w:jc w:val="both"/>
        <w:rPr>
          <w:sz w:val="22"/>
          <w:szCs w:val="22"/>
          <w:lang w:val="sr-Latn-ME"/>
        </w:rPr>
      </w:pPr>
      <w:r w:rsidRPr="00D123D4">
        <w:rPr>
          <w:sz w:val="22"/>
          <w:szCs w:val="22"/>
          <w:lang w:val="sr-Latn-ME"/>
        </w:rPr>
        <w:t>Prije infuzije</w:t>
      </w:r>
    </w:p>
    <w:p w14:paraId="65CE1F38" w14:textId="77777777" w:rsidR="00D123D4" w:rsidRPr="00D123D4" w:rsidRDefault="00D123D4" w:rsidP="00D123D4">
      <w:pPr>
        <w:widowControl w:val="0"/>
        <w:jc w:val="both"/>
        <w:rPr>
          <w:sz w:val="22"/>
          <w:szCs w:val="22"/>
          <w:lang w:val="sr-Latn-ME"/>
        </w:rPr>
      </w:pPr>
    </w:p>
    <w:p w14:paraId="2F90878E" w14:textId="77777777" w:rsidR="00D123D4" w:rsidRPr="00D123D4" w:rsidRDefault="00D123D4" w:rsidP="00D123D4">
      <w:pPr>
        <w:widowControl w:val="0"/>
        <w:jc w:val="both"/>
        <w:rPr>
          <w:sz w:val="22"/>
          <w:szCs w:val="22"/>
          <w:u w:val="single"/>
          <w:lang w:val="sr-Latn-ME"/>
        </w:rPr>
      </w:pPr>
      <w:r w:rsidRPr="00D123D4">
        <w:rPr>
          <w:i/>
          <w:sz w:val="22"/>
          <w:szCs w:val="22"/>
          <w:u w:val="single"/>
          <w:lang w:val="sr-Latn-ME"/>
        </w:rPr>
        <w:t>Zbrinjavanje teških reakcija</w:t>
      </w:r>
      <w:r w:rsidRPr="00D123D4">
        <w:rPr>
          <w:sz w:val="22"/>
          <w:szCs w:val="22"/>
          <w:u w:val="single"/>
          <w:lang w:val="sr-Latn-ME"/>
        </w:rPr>
        <w:t xml:space="preserve"> </w:t>
      </w:r>
    </w:p>
    <w:p w14:paraId="56AD0EC1" w14:textId="77777777" w:rsidR="00D123D4" w:rsidRPr="00D123D4" w:rsidRDefault="00D123D4" w:rsidP="00D123D4">
      <w:pPr>
        <w:widowControl w:val="0"/>
        <w:jc w:val="both"/>
        <w:rPr>
          <w:sz w:val="22"/>
          <w:szCs w:val="22"/>
          <w:lang w:val="sr-Latn-ME"/>
        </w:rPr>
      </w:pPr>
      <w:r w:rsidRPr="00D123D4">
        <w:rPr>
          <w:sz w:val="22"/>
          <w:szCs w:val="22"/>
          <w:lang w:val="sr-Latn-ME"/>
        </w:rPr>
        <w:t>Moraju biti dostupni odgovarajući resursi za zbrinjavanje teških reakcija kao što su ozbiljne reakcije na infuziju, reakcije preosjetljivosti i/ili anafilaktičke reakcije.</w:t>
      </w:r>
    </w:p>
    <w:p w14:paraId="481BD67B" w14:textId="77777777" w:rsidR="00D123D4" w:rsidRPr="00D123D4" w:rsidRDefault="00D123D4" w:rsidP="00D123D4">
      <w:pPr>
        <w:widowControl w:val="0"/>
        <w:jc w:val="both"/>
        <w:rPr>
          <w:sz w:val="22"/>
          <w:szCs w:val="22"/>
          <w:lang w:val="sr-Latn-ME"/>
        </w:rPr>
      </w:pPr>
    </w:p>
    <w:p w14:paraId="6F001AC0" w14:textId="77777777" w:rsidR="00D123D4" w:rsidRPr="00D123D4" w:rsidRDefault="00D123D4" w:rsidP="00D123D4">
      <w:pPr>
        <w:widowControl w:val="0"/>
        <w:jc w:val="both"/>
        <w:rPr>
          <w:i/>
          <w:sz w:val="22"/>
          <w:szCs w:val="22"/>
          <w:u w:val="single"/>
          <w:lang w:val="sr-Latn-ME"/>
        </w:rPr>
      </w:pPr>
      <w:r w:rsidRPr="00D123D4">
        <w:rPr>
          <w:i/>
          <w:sz w:val="22"/>
          <w:szCs w:val="22"/>
          <w:u w:val="single"/>
          <w:lang w:val="sr-Latn-ME"/>
        </w:rPr>
        <w:t>Hipotenzija</w:t>
      </w:r>
    </w:p>
    <w:p w14:paraId="720F316E" w14:textId="77777777" w:rsidR="00D123D4" w:rsidRPr="00D123D4" w:rsidRDefault="00D123D4" w:rsidP="00D123D4">
      <w:pPr>
        <w:widowControl w:val="0"/>
        <w:jc w:val="both"/>
        <w:rPr>
          <w:sz w:val="22"/>
          <w:szCs w:val="22"/>
          <w:lang w:val="sr-Latn-ME"/>
        </w:rPr>
      </w:pPr>
      <w:r w:rsidRPr="00D123D4">
        <w:rPr>
          <w:sz w:val="22"/>
          <w:szCs w:val="22"/>
          <w:lang w:val="sr-Latn-ME"/>
        </w:rPr>
        <w:t xml:space="preserve">Tokom infuzija može da se pojavi hipotenzija kao simptom reakcije na infuziju. Zbog toga treba da se razmotri odlaganje primjene antihipertenziva 12 sati prije i tokom svake infuzije. Pacijenti sa kongestivnim srčanom insuficijencijom NYHA kategorije III i IV (eng. </w:t>
      </w:r>
      <w:r w:rsidRPr="00D123D4">
        <w:rPr>
          <w:rStyle w:val="markedcontent"/>
          <w:i/>
          <w:lang w:val="sr-Latn-ME"/>
        </w:rPr>
        <w:t>New York Heart Association</w:t>
      </w:r>
      <w:r w:rsidRPr="00D123D4">
        <w:rPr>
          <w:rStyle w:val="markedcontent"/>
          <w:lang w:val="sr-Latn-ME"/>
        </w:rPr>
        <w:t xml:space="preserve">) </w:t>
      </w:r>
      <w:r w:rsidRPr="00D123D4">
        <w:rPr>
          <w:sz w:val="22"/>
          <w:szCs w:val="22"/>
          <w:lang w:val="sr-Latn-ME"/>
        </w:rPr>
        <w:t xml:space="preserve">nijesu se ispitivali. </w:t>
      </w:r>
    </w:p>
    <w:p w14:paraId="4BE84890" w14:textId="77777777" w:rsidR="00D123D4" w:rsidRPr="00D123D4" w:rsidRDefault="00D123D4" w:rsidP="00D123D4">
      <w:pPr>
        <w:widowControl w:val="0"/>
        <w:jc w:val="both"/>
        <w:rPr>
          <w:sz w:val="22"/>
          <w:szCs w:val="22"/>
          <w:lang w:val="sr-Latn-ME"/>
        </w:rPr>
      </w:pPr>
    </w:p>
    <w:p w14:paraId="2934A30A" w14:textId="77777777" w:rsidR="00D123D4" w:rsidRPr="00D123D4" w:rsidRDefault="00D123D4" w:rsidP="00D123D4">
      <w:pPr>
        <w:widowControl w:val="0"/>
        <w:jc w:val="both"/>
        <w:rPr>
          <w:sz w:val="22"/>
          <w:szCs w:val="22"/>
          <w:u w:val="single"/>
          <w:lang w:val="sr-Latn-ME"/>
        </w:rPr>
      </w:pPr>
      <w:r w:rsidRPr="00D123D4">
        <w:rPr>
          <w:i/>
          <w:sz w:val="22"/>
          <w:szCs w:val="22"/>
          <w:u w:val="single"/>
          <w:lang w:val="sr-Latn-ME"/>
        </w:rPr>
        <w:t>Premedikacija</w:t>
      </w:r>
      <w:r w:rsidRPr="00D123D4">
        <w:rPr>
          <w:sz w:val="22"/>
          <w:szCs w:val="22"/>
          <w:u w:val="single"/>
          <w:lang w:val="sr-Latn-ME"/>
        </w:rPr>
        <w:t xml:space="preserve"> </w:t>
      </w:r>
    </w:p>
    <w:p w14:paraId="635F9198" w14:textId="77777777" w:rsidR="00D123D4" w:rsidRPr="00D123D4" w:rsidRDefault="00D123D4" w:rsidP="00D123D4">
      <w:pPr>
        <w:widowControl w:val="0"/>
        <w:jc w:val="both"/>
        <w:rPr>
          <w:sz w:val="22"/>
          <w:szCs w:val="22"/>
          <w:lang w:val="sr-Latn-ME"/>
        </w:rPr>
      </w:pPr>
      <w:r w:rsidRPr="00D123D4">
        <w:rPr>
          <w:sz w:val="22"/>
          <w:szCs w:val="22"/>
          <w:lang w:val="sr-Latn-ME"/>
        </w:rPr>
        <w:t>Pacijenti moraju da prime premedikaciju radi smanjenja učestalosti i težine reakcija na infuziju (vidjeti dio 4.2).</w:t>
      </w:r>
    </w:p>
    <w:p w14:paraId="646161B0" w14:textId="77777777" w:rsidR="00D123D4" w:rsidRPr="00D123D4" w:rsidRDefault="00D123D4" w:rsidP="00D123D4">
      <w:pPr>
        <w:widowControl w:val="0"/>
        <w:jc w:val="both"/>
        <w:rPr>
          <w:sz w:val="22"/>
          <w:szCs w:val="22"/>
          <w:lang w:val="sr-Latn-ME"/>
        </w:rPr>
      </w:pPr>
    </w:p>
    <w:p w14:paraId="06ED853E" w14:textId="77777777" w:rsidR="00D123D4" w:rsidRPr="00D123D4" w:rsidRDefault="00D123D4" w:rsidP="00D123D4">
      <w:pPr>
        <w:widowControl w:val="0"/>
        <w:jc w:val="both"/>
        <w:rPr>
          <w:sz w:val="22"/>
          <w:szCs w:val="22"/>
          <w:lang w:val="sr-Latn-ME"/>
        </w:rPr>
      </w:pPr>
      <w:r w:rsidRPr="00D123D4">
        <w:rPr>
          <w:sz w:val="22"/>
          <w:szCs w:val="22"/>
          <w:lang w:val="sr-Latn-ME"/>
        </w:rPr>
        <w:t>Tokom infuzije</w:t>
      </w:r>
    </w:p>
    <w:p w14:paraId="611D4901" w14:textId="77777777" w:rsidR="00D123D4" w:rsidRPr="00D123D4" w:rsidRDefault="00D123D4" w:rsidP="00D123D4">
      <w:pPr>
        <w:widowControl w:val="0"/>
        <w:jc w:val="both"/>
        <w:rPr>
          <w:sz w:val="22"/>
          <w:szCs w:val="22"/>
          <w:lang w:val="sr-Latn-ME"/>
        </w:rPr>
      </w:pPr>
      <w:r w:rsidRPr="00D123D4">
        <w:rPr>
          <w:sz w:val="22"/>
          <w:szCs w:val="22"/>
          <w:lang w:val="sr-Latn-ME"/>
        </w:rPr>
        <w:t>Kod pacijenata kod kojih se jave teški plućni simptomi, kao što su bronhospazam ili egzacerbacija astme, potrebno je preduzeti sljedeće mjere:</w:t>
      </w:r>
    </w:p>
    <w:p w14:paraId="3B868F05" w14:textId="77777777" w:rsidR="00D123D4" w:rsidRPr="00D123D4" w:rsidRDefault="00D123D4" w:rsidP="00D123D4">
      <w:pPr>
        <w:widowControl w:val="0"/>
        <w:jc w:val="both"/>
        <w:rPr>
          <w:sz w:val="22"/>
          <w:szCs w:val="22"/>
          <w:lang w:val="sr-Latn-ME"/>
        </w:rPr>
      </w:pPr>
      <w:r w:rsidRPr="00D123D4">
        <w:rPr>
          <w:sz w:val="22"/>
          <w:szCs w:val="22"/>
          <w:lang w:val="sr-Latn-ME"/>
        </w:rPr>
        <w:t>-</w:t>
      </w:r>
      <w:r w:rsidRPr="00D123D4">
        <w:rPr>
          <w:sz w:val="22"/>
          <w:szCs w:val="22"/>
          <w:lang w:val="sr-Latn-ME"/>
        </w:rPr>
        <w:tab/>
        <w:t xml:space="preserve">primjena infuzije mora se odmah i trajno obustaviti </w:t>
      </w:r>
    </w:p>
    <w:p w14:paraId="34297C9F" w14:textId="77777777" w:rsidR="00D123D4" w:rsidRPr="00D123D4" w:rsidRDefault="00D123D4" w:rsidP="00D123D4">
      <w:pPr>
        <w:widowControl w:val="0"/>
        <w:jc w:val="both"/>
        <w:rPr>
          <w:sz w:val="22"/>
          <w:szCs w:val="22"/>
          <w:lang w:val="sr-Latn-ME"/>
        </w:rPr>
      </w:pPr>
      <w:r w:rsidRPr="00D123D4">
        <w:rPr>
          <w:sz w:val="22"/>
          <w:szCs w:val="22"/>
          <w:lang w:val="sr-Latn-ME"/>
        </w:rPr>
        <w:t>-</w:t>
      </w:r>
      <w:r w:rsidRPr="00D123D4">
        <w:rPr>
          <w:sz w:val="22"/>
          <w:szCs w:val="22"/>
          <w:lang w:val="sr-Latn-ME"/>
        </w:rPr>
        <w:tab/>
        <w:t>mora se primijeniti simptomatsko liječenje</w:t>
      </w:r>
    </w:p>
    <w:p w14:paraId="369EB661" w14:textId="77777777" w:rsidR="00D123D4" w:rsidRPr="00D123D4" w:rsidRDefault="00D123D4" w:rsidP="00D123D4">
      <w:pPr>
        <w:widowControl w:val="0"/>
        <w:jc w:val="both"/>
        <w:rPr>
          <w:sz w:val="22"/>
          <w:szCs w:val="22"/>
          <w:lang w:val="sr-Latn-ME"/>
        </w:rPr>
      </w:pPr>
      <w:r w:rsidRPr="00D123D4">
        <w:rPr>
          <w:sz w:val="22"/>
          <w:szCs w:val="22"/>
          <w:lang w:val="sr-Latn-ME"/>
        </w:rPr>
        <w:t>-</w:t>
      </w:r>
      <w:r w:rsidRPr="00D123D4">
        <w:rPr>
          <w:sz w:val="22"/>
          <w:szCs w:val="22"/>
          <w:lang w:val="sr-Latn-ME"/>
        </w:rPr>
        <w:tab/>
        <w:t>Pacijent se mora nadgledati sve dok se plućni simptomi ne povuku, jer nakon početnog poboljšanja kliničkih simptoma može uslijediti njihovo pogoršanje</w:t>
      </w:r>
    </w:p>
    <w:p w14:paraId="01C7802F" w14:textId="77777777" w:rsidR="00D123D4" w:rsidRPr="00D123D4" w:rsidRDefault="00D123D4" w:rsidP="00D123D4">
      <w:pPr>
        <w:widowControl w:val="0"/>
        <w:jc w:val="both"/>
        <w:rPr>
          <w:sz w:val="22"/>
          <w:szCs w:val="22"/>
          <w:lang w:val="sr-Latn-ME"/>
        </w:rPr>
      </w:pPr>
      <w:r w:rsidRPr="00D123D4">
        <w:rPr>
          <w:sz w:val="22"/>
          <w:szCs w:val="22"/>
          <w:lang w:val="sr-Latn-ME"/>
        </w:rPr>
        <w:t xml:space="preserve">Simptomi  preosjetljivosti se mogu teško klinički razlikovati od simptoma reakcije na infuziju. Ako se tokom infuzije posumnja na reakciju preosjetljivosti, infuzija se mora odmah i trajno obustaviti (vidjeti dio „Reakcije preosjetljivosti“ u nastavku).  </w:t>
      </w:r>
    </w:p>
    <w:p w14:paraId="5D8D2F7D" w14:textId="77777777" w:rsidR="00D123D4" w:rsidRPr="00D123D4" w:rsidRDefault="00D123D4" w:rsidP="00D123D4">
      <w:pPr>
        <w:widowControl w:val="0"/>
        <w:jc w:val="both"/>
        <w:rPr>
          <w:sz w:val="22"/>
          <w:szCs w:val="22"/>
          <w:lang w:val="sr-Latn-ME"/>
        </w:rPr>
      </w:pPr>
    </w:p>
    <w:p w14:paraId="0C63B2E5" w14:textId="77777777" w:rsidR="00D123D4" w:rsidRPr="00D123D4" w:rsidRDefault="00D123D4" w:rsidP="00D123D4">
      <w:pPr>
        <w:widowControl w:val="0"/>
        <w:jc w:val="both"/>
        <w:rPr>
          <w:sz w:val="22"/>
          <w:szCs w:val="22"/>
          <w:lang w:val="sr-Latn-ME"/>
        </w:rPr>
      </w:pPr>
      <w:r w:rsidRPr="00D123D4">
        <w:rPr>
          <w:sz w:val="22"/>
          <w:szCs w:val="22"/>
          <w:lang w:val="sr-Latn-ME"/>
        </w:rPr>
        <w:t xml:space="preserve">Nakon infuzije </w:t>
      </w:r>
    </w:p>
    <w:p w14:paraId="67D2B58F" w14:textId="77777777" w:rsidR="00D123D4" w:rsidRPr="00D123D4" w:rsidRDefault="00D123D4" w:rsidP="00D123D4">
      <w:pPr>
        <w:widowControl w:val="0"/>
        <w:jc w:val="both"/>
        <w:rPr>
          <w:sz w:val="22"/>
          <w:szCs w:val="22"/>
          <w:lang w:val="sr-Latn-ME"/>
        </w:rPr>
      </w:pPr>
      <w:r w:rsidRPr="00D123D4">
        <w:rPr>
          <w:sz w:val="22"/>
          <w:szCs w:val="22"/>
          <w:lang w:val="sr-Latn-ME"/>
        </w:rPr>
        <w:t xml:space="preserve">Pacijente treba nadgledati najmanje jedan sat nakon završetka infuzije kako bi se uočili mogući simptomi reakcije na infuziju. </w:t>
      </w:r>
    </w:p>
    <w:p w14:paraId="198C1BE6" w14:textId="77777777" w:rsidR="00D123D4" w:rsidRPr="00D123D4" w:rsidRDefault="00D123D4" w:rsidP="00D123D4">
      <w:pPr>
        <w:widowControl w:val="0"/>
        <w:jc w:val="both"/>
        <w:rPr>
          <w:sz w:val="22"/>
          <w:szCs w:val="22"/>
          <w:lang w:val="sr-Latn-ME"/>
        </w:rPr>
      </w:pPr>
      <w:r w:rsidRPr="00D123D4">
        <w:rPr>
          <w:sz w:val="22"/>
          <w:szCs w:val="22"/>
          <w:lang w:val="sr-Latn-ME"/>
        </w:rPr>
        <w:t>Ljekari moraju da upozore pacijente da se reakcija na infuziju može pojaviti u roku od 24 sata nakon infuzije.</w:t>
      </w:r>
    </w:p>
    <w:p w14:paraId="2F16FE14" w14:textId="77777777" w:rsidR="00D123D4" w:rsidRPr="00D123D4" w:rsidRDefault="00D123D4" w:rsidP="00D123D4">
      <w:pPr>
        <w:widowControl w:val="0"/>
        <w:jc w:val="both"/>
        <w:rPr>
          <w:sz w:val="22"/>
          <w:szCs w:val="22"/>
          <w:lang w:val="sr-Latn-ME"/>
        </w:rPr>
      </w:pPr>
    </w:p>
    <w:p w14:paraId="201E0F99" w14:textId="77777777" w:rsidR="00D123D4" w:rsidRPr="00D123D4" w:rsidRDefault="00D123D4" w:rsidP="00D123D4">
      <w:pPr>
        <w:widowControl w:val="0"/>
        <w:jc w:val="both"/>
        <w:rPr>
          <w:sz w:val="22"/>
          <w:szCs w:val="22"/>
          <w:lang w:val="sr-Latn-ME"/>
        </w:rPr>
      </w:pPr>
      <w:r w:rsidRPr="00D123D4">
        <w:rPr>
          <w:sz w:val="22"/>
          <w:szCs w:val="22"/>
          <w:lang w:val="sr-Latn-ME"/>
        </w:rPr>
        <w:t>Za smjernice o prilagođavanju infuzije u slučaju reakcije na infuziju vidjeti dio 4.2.</w:t>
      </w:r>
    </w:p>
    <w:p w14:paraId="3C491B40" w14:textId="77777777" w:rsidR="00D123D4" w:rsidRPr="00D123D4" w:rsidRDefault="00D123D4" w:rsidP="00D123D4">
      <w:pPr>
        <w:widowControl w:val="0"/>
        <w:jc w:val="both"/>
        <w:rPr>
          <w:sz w:val="22"/>
          <w:szCs w:val="22"/>
          <w:u w:val="single"/>
          <w:lang w:val="sr-Latn-ME"/>
        </w:rPr>
      </w:pPr>
    </w:p>
    <w:p w14:paraId="5BA748B4" w14:textId="77777777" w:rsidR="00D123D4" w:rsidRPr="00D123D4" w:rsidRDefault="00D123D4" w:rsidP="00D123D4">
      <w:pPr>
        <w:widowControl w:val="0"/>
        <w:jc w:val="both"/>
        <w:rPr>
          <w:sz w:val="22"/>
          <w:szCs w:val="22"/>
          <w:u w:val="single"/>
          <w:lang w:val="sr-Latn-ME"/>
        </w:rPr>
      </w:pPr>
      <w:r w:rsidRPr="00D123D4">
        <w:rPr>
          <w:sz w:val="22"/>
          <w:szCs w:val="22"/>
          <w:u w:val="single"/>
          <w:lang w:val="sr-Latn-ME"/>
        </w:rPr>
        <w:t xml:space="preserve">Reakcije preosjetljivosti  </w:t>
      </w:r>
    </w:p>
    <w:p w14:paraId="3B9D1528" w14:textId="77777777" w:rsidR="00D123D4" w:rsidRPr="00D123D4" w:rsidRDefault="00D123D4" w:rsidP="00D123D4">
      <w:pPr>
        <w:widowControl w:val="0"/>
        <w:jc w:val="both"/>
        <w:rPr>
          <w:sz w:val="22"/>
          <w:szCs w:val="22"/>
          <w:lang w:val="sr-Latn-ME"/>
        </w:rPr>
      </w:pPr>
    </w:p>
    <w:p w14:paraId="14416B5D" w14:textId="77777777" w:rsidR="00D123D4" w:rsidRPr="00D123D4" w:rsidRDefault="00D123D4" w:rsidP="00D123D4">
      <w:pPr>
        <w:widowControl w:val="0"/>
        <w:jc w:val="both"/>
        <w:rPr>
          <w:sz w:val="22"/>
          <w:szCs w:val="22"/>
          <w:lang w:val="sr-Latn-ME"/>
        </w:rPr>
      </w:pPr>
      <w:r w:rsidRPr="00D123D4">
        <w:rPr>
          <w:sz w:val="22"/>
          <w:szCs w:val="22"/>
          <w:lang w:val="sr-Latn-ME"/>
        </w:rPr>
        <w:t>Može da se javi i reakcija preosjetljivosti (akutna alergijska reakcija na lijek). Akutne reakcije preosjetljivosti tipa 1 (u kojima posreduje IgE) mogu biti klinički neraspoznatljive od simptoma reakcije na infuziju.</w:t>
      </w:r>
    </w:p>
    <w:p w14:paraId="2CC07B5E" w14:textId="77777777" w:rsidR="00D123D4" w:rsidRPr="00D123D4" w:rsidRDefault="00D123D4" w:rsidP="00D123D4">
      <w:pPr>
        <w:widowControl w:val="0"/>
        <w:jc w:val="both"/>
        <w:rPr>
          <w:sz w:val="22"/>
          <w:szCs w:val="22"/>
          <w:u w:val="single"/>
          <w:lang w:val="sr-Latn-ME"/>
        </w:rPr>
      </w:pPr>
      <w:r w:rsidRPr="00D123D4">
        <w:rPr>
          <w:sz w:val="22"/>
          <w:szCs w:val="22"/>
          <w:lang w:val="sr-Latn-ME"/>
        </w:rPr>
        <w:t xml:space="preserve">Reakcija preosjetljivosti može da nastupi tokom bilo koje primjene, ali obično se neće javiti tokom prve primjene. Ako se kod sljedećih primjena pojave simptomi koji su teži od prethodnih ili ako se razviju novi teški simptomi, potrebno je odmah razmotriti mogućnost reakcije preosjetljivosti. </w:t>
      </w:r>
    </w:p>
    <w:p w14:paraId="6F49A1E8" w14:textId="77777777" w:rsidR="00D123D4" w:rsidRPr="00D123D4" w:rsidRDefault="00D123D4" w:rsidP="00D123D4">
      <w:pPr>
        <w:widowControl w:val="0"/>
        <w:jc w:val="both"/>
        <w:rPr>
          <w:sz w:val="22"/>
          <w:szCs w:val="22"/>
          <w:lang w:val="sr-Latn-ME"/>
        </w:rPr>
      </w:pPr>
      <w:r w:rsidRPr="00D123D4">
        <w:rPr>
          <w:sz w:val="22"/>
          <w:szCs w:val="22"/>
          <w:lang w:val="sr-Latn-ME"/>
        </w:rPr>
        <w:t xml:space="preserve">Pacijenti sa poznatom preosjetljivošću na okrelizumab u kojoj posreduje IgE ili neku od pomoćnih supstanci ne smiju se liječiti ovim lijekom (vidjeti dio 4.3). </w:t>
      </w:r>
    </w:p>
    <w:p w14:paraId="76D53C89" w14:textId="77777777" w:rsidR="00D123D4" w:rsidRPr="00D123D4" w:rsidRDefault="00D123D4" w:rsidP="00D123D4">
      <w:pPr>
        <w:widowControl w:val="0"/>
        <w:jc w:val="both"/>
        <w:rPr>
          <w:sz w:val="22"/>
          <w:szCs w:val="22"/>
          <w:lang w:val="sr-Latn-ME"/>
        </w:rPr>
      </w:pPr>
    </w:p>
    <w:p w14:paraId="6D804C54" w14:textId="77777777" w:rsidR="00D123D4" w:rsidRPr="00D123D4" w:rsidRDefault="00D123D4" w:rsidP="00D123D4">
      <w:pPr>
        <w:widowControl w:val="0"/>
        <w:jc w:val="both"/>
        <w:rPr>
          <w:sz w:val="22"/>
          <w:szCs w:val="22"/>
          <w:u w:val="single"/>
          <w:lang w:val="sr-Latn-ME"/>
        </w:rPr>
      </w:pPr>
      <w:r w:rsidRPr="00D123D4">
        <w:rPr>
          <w:sz w:val="22"/>
          <w:szCs w:val="22"/>
          <w:u w:val="single"/>
          <w:lang w:val="sr-Latn-ME"/>
        </w:rPr>
        <w:t xml:space="preserve">Infekcija </w:t>
      </w:r>
    </w:p>
    <w:p w14:paraId="6DFD1664" w14:textId="77777777" w:rsidR="00D123D4" w:rsidRPr="00D123D4" w:rsidRDefault="00D123D4" w:rsidP="00D123D4">
      <w:pPr>
        <w:widowControl w:val="0"/>
        <w:jc w:val="both"/>
        <w:rPr>
          <w:sz w:val="22"/>
          <w:szCs w:val="22"/>
          <w:lang w:val="sr-Latn-ME"/>
        </w:rPr>
      </w:pPr>
    </w:p>
    <w:p w14:paraId="2150FF7A" w14:textId="77777777" w:rsidR="00D123D4" w:rsidRPr="00D123D4" w:rsidRDefault="00D123D4" w:rsidP="00D123D4">
      <w:pPr>
        <w:widowControl w:val="0"/>
        <w:jc w:val="both"/>
        <w:rPr>
          <w:sz w:val="22"/>
          <w:szCs w:val="22"/>
          <w:lang w:val="sr-Latn-ME"/>
        </w:rPr>
      </w:pPr>
      <w:r w:rsidRPr="00D123D4">
        <w:rPr>
          <w:sz w:val="22"/>
          <w:szCs w:val="22"/>
          <w:lang w:val="sr-Latn-ME"/>
        </w:rPr>
        <w:t>Primjena okrelizumaba mora da se odloži kod pacijenata koji imaju aktivnu infekciju, sve dok se ona ne povuče.</w:t>
      </w:r>
    </w:p>
    <w:p w14:paraId="3B65BC9E" w14:textId="77777777" w:rsidR="00D123D4" w:rsidRPr="00D123D4" w:rsidRDefault="00D123D4" w:rsidP="00D123D4">
      <w:pPr>
        <w:widowControl w:val="0"/>
        <w:jc w:val="both"/>
        <w:rPr>
          <w:sz w:val="22"/>
          <w:szCs w:val="22"/>
          <w:lang w:val="sr-Latn-ME"/>
        </w:rPr>
      </w:pPr>
    </w:p>
    <w:p w14:paraId="4901D64F" w14:textId="77777777" w:rsidR="00D123D4" w:rsidRPr="00D123D4" w:rsidRDefault="00D123D4" w:rsidP="00D123D4">
      <w:pPr>
        <w:widowControl w:val="0"/>
        <w:jc w:val="both"/>
        <w:rPr>
          <w:sz w:val="22"/>
          <w:szCs w:val="22"/>
          <w:lang w:val="sr-Latn-ME"/>
        </w:rPr>
      </w:pPr>
      <w:r w:rsidRPr="00D123D4">
        <w:rPr>
          <w:sz w:val="22"/>
          <w:szCs w:val="22"/>
          <w:lang w:val="sr-Latn-ME"/>
        </w:rPr>
        <w:lastRenderedPageBreak/>
        <w:t xml:space="preserve">Preporučuje se prije primjene da se utvrdi imunološki status pacijenta jer teško imunokompromitovani pacijenti (npr. oni sa limfopenijom, neutropenijom ili hipogamaglobulinemijom) se ne smije liječiti (vidjeti djelove 4.3 i 4.8). </w:t>
      </w:r>
    </w:p>
    <w:p w14:paraId="66877787" w14:textId="77777777" w:rsidR="00D123D4" w:rsidRPr="00D123D4" w:rsidRDefault="00D123D4" w:rsidP="00D123D4">
      <w:pPr>
        <w:widowControl w:val="0"/>
        <w:jc w:val="both"/>
        <w:rPr>
          <w:sz w:val="22"/>
          <w:szCs w:val="22"/>
          <w:lang w:val="sr-Latn-ME"/>
        </w:rPr>
      </w:pPr>
    </w:p>
    <w:p w14:paraId="089A558D" w14:textId="76016648" w:rsidR="00D123D4" w:rsidRPr="00D123D4" w:rsidRDefault="00D123D4" w:rsidP="00D123D4">
      <w:pPr>
        <w:widowControl w:val="0"/>
        <w:jc w:val="both"/>
        <w:rPr>
          <w:sz w:val="22"/>
          <w:szCs w:val="22"/>
          <w:lang w:val="sr-Latn-ME"/>
        </w:rPr>
      </w:pPr>
      <w:r w:rsidRPr="00D123D4">
        <w:rPr>
          <w:sz w:val="22"/>
          <w:szCs w:val="22"/>
          <w:lang w:val="sr-Latn-ME"/>
        </w:rPr>
        <w:t>Ukupan udio pacijenata kod kojih se javila ozbiljna infekcija bio je sličan onom kod primjene uporednih ljekova (vidjeti dio 4.8). Učestalost infekcija 4. stepena (opasnih po život) i 5. stepena (smrtonosnih) bila je niska u svim liječenim grupama, ali je kod PPMS- a među pacijentima liječenima okrelizumabom u odnosu na one koji su primali placebo, zabilježena viša stopa po život opasnih (1,6% u odnosu na 0,4%) i smrtonosnih infekcija (0,6% u odnosu na 0%). Sve po život opasne infekcije povukle su se bez prekida liječenja okrelizumabom.</w:t>
      </w:r>
    </w:p>
    <w:p w14:paraId="23D0A691" w14:textId="77777777" w:rsidR="00D123D4" w:rsidRPr="00D123D4" w:rsidRDefault="00D123D4" w:rsidP="00D123D4">
      <w:pPr>
        <w:widowControl w:val="0"/>
        <w:jc w:val="both"/>
        <w:rPr>
          <w:sz w:val="22"/>
          <w:szCs w:val="22"/>
          <w:lang w:val="sr-Latn-ME"/>
        </w:rPr>
      </w:pPr>
    </w:p>
    <w:p w14:paraId="1692BFD3" w14:textId="77777777" w:rsidR="00D123D4" w:rsidRPr="00D123D4" w:rsidRDefault="00D123D4" w:rsidP="00D123D4">
      <w:pPr>
        <w:widowControl w:val="0"/>
        <w:jc w:val="both"/>
        <w:rPr>
          <w:sz w:val="22"/>
          <w:szCs w:val="22"/>
          <w:lang w:val="sr-Latn-ME"/>
        </w:rPr>
      </w:pPr>
      <w:r w:rsidRPr="00D123D4">
        <w:rPr>
          <w:sz w:val="22"/>
          <w:szCs w:val="22"/>
          <w:lang w:val="sr-Latn-ME"/>
        </w:rPr>
        <w:t>Pacijenti sa PPMS-om koji otežano gutaju imaju veći rizik od aspiracijske pneumonije. Liječenje okrelizumabom može dodatno da poveća rizik od teške pneumonije kod tih pacijenata. Ljekari treba da odmah preduzmu odgovarajuće mjere kod pacijenata koji pokazuju znake pneumonije.</w:t>
      </w:r>
    </w:p>
    <w:p w14:paraId="16D5CF81" w14:textId="77777777" w:rsidR="00D123D4" w:rsidRPr="00D123D4" w:rsidRDefault="00D123D4" w:rsidP="00D123D4">
      <w:pPr>
        <w:widowControl w:val="0"/>
        <w:jc w:val="both"/>
        <w:rPr>
          <w:i/>
          <w:sz w:val="22"/>
          <w:szCs w:val="22"/>
          <w:lang w:val="sr-Latn-ME"/>
        </w:rPr>
      </w:pPr>
    </w:p>
    <w:p w14:paraId="23865724" w14:textId="77777777" w:rsidR="00D123D4" w:rsidRPr="00D123D4" w:rsidRDefault="00D123D4" w:rsidP="00D123D4">
      <w:pPr>
        <w:widowControl w:val="0"/>
        <w:jc w:val="both"/>
        <w:rPr>
          <w:i/>
          <w:sz w:val="22"/>
          <w:szCs w:val="22"/>
          <w:lang w:val="sr-Latn-ME"/>
        </w:rPr>
      </w:pPr>
      <w:r w:rsidRPr="00D123D4">
        <w:rPr>
          <w:i/>
          <w:sz w:val="22"/>
          <w:szCs w:val="22"/>
          <w:lang w:val="sr-Latn-ME"/>
        </w:rPr>
        <w:t>Progresivna multifokalna leukoencefalopatija (PML)</w:t>
      </w:r>
    </w:p>
    <w:p w14:paraId="73C9BA4B" w14:textId="77777777" w:rsidR="00D123D4" w:rsidRPr="00D123D4" w:rsidRDefault="00D123D4" w:rsidP="00D123D4">
      <w:pPr>
        <w:widowControl w:val="0"/>
        <w:jc w:val="both"/>
        <w:rPr>
          <w:sz w:val="22"/>
          <w:szCs w:val="22"/>
          <w:lang w:val="sr-Latn-ME"/>
        </w:rPr>
      </w:pPr>
    </w:p>
    <w:p w14:paraId="1CFCD49F" w14:textId="77777777" w:rsidR="00D123D4" w:rsidRPr="00D123D4" w:rsidRDefault="00D123D4" w:rsidP="00D123D4">
      <w:pPr>
        <w:widowControl w:val="0"/>
        <w:jc w:val="both"/>
        <w:rPr>
          <w:sz w:val="22"/>
          <w:szCs w:val="22"/>
          <w:lang w:val="sr-Latn-ME"/>
        </w:rPr>
      </w:pPr>
      <w:r w:rsidRPr="00D123D4">
        <w:rPr>
          <w:sz w:val="22"/>
          <w:szCs w:val="22"/>
          <w:lang w:val="sr-Latn-ME"/>
        </w:rPr>
        <w:t xml:space="preserve">Kod pacijenata liječenih anti-CD20 antitijelima, uključujući okrelizumab, vrlo rijetko su primijećeni slučajevi PML-a prouzrokovani infekcijom John Cunningham virusom (JCV) i većinom su bili povezani sa određenim faktorima rizika (populacija pacijenata npr. sa limfopenijom, starije životne dobi, politerapija imunosupresivima). </w:t>
      </w:r>
    </w:p>
    <w:p w14:paraId="2A759787" w14:textId="77777777" w:rsidR="00D123D4" w:rsidRPr="00D123D4" w:rsidRDefault="00D123D4" w:rsidP="00D123D4">
      <w:pPr>
        <w:widowControl w:val="0"/>
        <w:jc w:val="both"/>
        <w:rPr>
          <w:sz w:val="22"/>
          <w:szCs w:val="22"/>
          <w:lang w:val="sr-Latn-ME"/>
        </w:rPr>
      </w:pPr>
      <w:r w:rsidRPr="00D123D4">
        <w:rPr>
          <w:sz w:val="22"/>
          <w:szCs w:val="22"/>
          <w:lang w:val="sr-Latn-ME"/>
        </w:rPr>
        <w:t>Ljekari moraju da pripaze na rane znakove i simptome PML-a, koji mogu da uključuju pojavu ili pogoršanje neuroloških znakova ili simptoma, jer oni mogu da liče na MS.</w:t>
      </w:r>
    </w:p>
    <w:p w14:paraId="7C42DF9F" w14:textId="77777777" w:rsidR="00D123D4" w:rsidRPr="00D123D4" w:rsidRDefault="00D123D4" w:rsidP="00D123D4">
      <w:pPr>
        <w:widowControl w:val="0"/>
        <w:jc w:val="both"/>
        <w:rPr>
          <w:sz w:val="22"/>
          <w:szCs w:val="22"/>
          <w:lang w:val="sr-Latn-ME"/>
        </w:rPr>
      </w:pPr>
    </w:p>
    <w:p w14:paraId="2C89BED7" w14:textId="77777777" w:rsidR="00D123D4" w:rsidRPr="00D123D4" w:rsidRDefault="00D123D4" w:rsidP="00D123D4">
      <w:pPr>
        <w:widowControl w:val="0"/>
        <w:jc w:val="both"/>
        <w:rPr>
          <w:sz w:val="22"/>
          <w:szCs w:val="22"/>
          <w:lang w:val="sr-Latn-ME"/>
        </w:rPr>
      </w:pPr>
      <w:r w:rsidRPr="00D123D4">
        <w:rPr>
          <w:sz w:val="22"/>
          <w:szCs w:val="22"/>
          <w:lang w:val="sr-Latn-ME"/>
        </w:rPr>
        <w:t>Ako se posumnja na PML, primjena okrelizumaba mora da se odloži. Treba da se razmotri obrada koja uključuje snimanje magnetnom rezonancom (MR), po mogućnosti sa kontrastnim sredstvom (snimak treba da se uporedi sa nalazima MR snimanja sprovedenog prije početka liječenja), testiranje cerebrospinalne tečnosti radi potvrde prisustva dezoksiribonukleinske kiseline (DNK) JCV-a  i ponovljene neurološke procjene. Ako se PML potvrdi, liječenje se mora trajno obustaviti.</w:t>
      </w:r>
    </w:p>
    <w:p w14:paraId="3B6AFD1F" w14:textId="77777777" w:rsidR="00D123D4" w:rsidRPr="00D123D4" w:rsidRDefault="00D123D4" w:rsidP="00D123D4">
      <w:pPr>
        <w:widowControl w:val="0"/>
        <w:jc w:val="both"/>
        <w:rPr>
          <w:sz w:val="22"/>
          <w:szCs w:val="22"/>
          <w:lang w:val="sr-Latn-ME"/>
        </w:rPr>
      </w:pPr>
    </w:p>
    <w:p w14:paraId="127D5EE3" w14:textId="77777777" w:rsidR="00D123D4" w:rsidRPr="00D123D4" w:rsidRDefault="00D123D4" w:rsidP="00D123D4">
      <w:pPr>
        <w:widowControl w:val="0"/>
        <w:jc w:val="both"/>
        <w:rPr>
          <w:i/>
          <w:sz w:val="22"/>
          <w:szCs w:val="22"/>
          <w:lang w:val="sr-Latn-ME"/>
        </w:rPr>
      </w:pPr>
      <w:r w:rsidRPr="00D123D4">
        <w:rPr>
          <w:i/>
          <w:sz w:val="22"/>
          <w:szCs w:val="22"/>
          <w:lang w:val="sr-Latn-ME"/>
        </w:rPr>
        <w:t>Reaktivacija virusa hepatitisa B</w:t>
      </w:r>
    </w:p>
    <w:p w14:paraId="6EADEF06" w14:textId="77777777" w:rsidR="00D123D4" w:rsidRPr="00D123D4" w:rsidRDefault="00D123D4" w:rsidP="00D123D4">
      <w:pPr>
        <w:widowControl w:val="0"/>
        <w:jc w:val="both"/>
        <w:rPr>
          <w:sz w:val="22"/>
          <w:szCs w:val="22"/>
          <w:lang w:val="sr-Latn-ME"/>
        </w:rPr>
      </w:pPr>
    </w:p>
    <w:p w14:paraId="21B79ABD" w14:textId="77777777" w:rsidR="00D123D4" w:rsidRPr="00D123D4" w:rsidRDefault="00D123D4" w:rsidP="00D123D4">
      <w:pPr>
        <w:widowControl w:val="0"/>
        <w:jc w:val="both"/>
        <w:rPr>
          <w:sz w:val="22"/>
          <w:szCs w:val="22"/>
          <w:lang w:val="sr-Latn-ME"/>
        </w:rPr>
      </w:pPr>
      <w:r w:rsidRPr="00D123D4">
        <w:rPr>
          <w:sz w:val="22"/>
          <w:szCs w:val="22"/>
          <w:lang w:val="sr-Latn-ME"/>
        </w:rPr>
        <w:t xml:space="preserve">Kod pacijenata liječenih anti-CD20 antitijelima prijavljena je reaktivacija virusa hepatitisa B (HBV), koja u nekim slučajevima može da prouzrokuje fulminantni hepatitis, insuficijenciju jetre i smrt. </w:t>
      </w:r>
    </w:p>
    <w:p w14:paraId="1BB80B52" w14:textId="77777777" w:rsidR="00D123D4" w:rsidRPr="00D123D4" w:rsidRDefault="00D123D4" w:rsidP="00D123D4">
      <w:pPr>
        <w:widowControl w:val="0"/>
        <w:jc w:val="both"/>
        <w:rPr>
          <w:sz w:val="22"/>
          <w:szCs w:val="22"/>
          <w:lang w:val="sr-Latn-ME"/>
        </w:rPr>
      </w:pPr>
    </w:p>
    <w:p w14:paraId="7E970747" w14:textId="77777777" w:rsidR="00D123D4" w:rsidRPr="00D123D4" w:rsidRDefault="00D123D4" w:rsidP="00D123D4">
      <w:pPr>
        <w:widowControl w:val="0"/>
        <w:jc w:val="both"/>
        <w:rPr>
          <w:sz w:val="22"/>
          <w:szCs w:val="22"/>
          <w:lang w:val="sr-Latn-ME"/>
        </w:rPr>
      </w:pPr>
      <w:r w:rsidRPr="00D123D4">
        <w:rPr>
          <w:sz w:val="22"/>
          <w:szCs w:val="22"/>
          <w:lang w:val="sr-Latn-ME"/>
        </w:rPr>
        <w:t>Skrining na HBV treba sprovesti kod svih pacijenata prije početka liječenja , u skladu sa lokalnim smjernicama. Pacijenti sa aktivnom infekcijom HBV-om (tj. aktivnom infekcijom potvrđenom pozitivnim nalazima testova na HBsAg i anti HBc antitijela) ne smiju da se liječe okrelizumabom (vidjeti dio 4.3). Pacijenti sa pozitivnim serološkim nalazom (tj. pacijenti sa negativnim nalazom na HBsAg i pozitivnim nalazom na antitijelo na jezgreni antigen HBV-a [HBcAb+] i nosioci HBV-a [pozitivan nalaz na površinski antigen, HBsAg+]) treba da se konsultuju sa stručnjacima za bolesti jetre prije početka liječenja te ih treba nadgledati i liječiti u skladu sa lokalnim medicinskim standardima kako bi se spriječila reaktivacija virusa hepatitisa B.</w:t>
      </w:r>
    </w:p>
    <w:p w14:paraId="02FF1B5E" w14:textId="77777777" w:rsidR="00D123D4" w:rsidRPr="00D123D4" w:rsidRDefault="00D123D4" w:rsidP="00D123D4">
      <w:pPr>
        <w:widowControl w:val="0"/>
        <w:jc w:val="both"/>
        <w:rPr>
          <w:sz w:val="22"/>
          <w:szCs w:val="22"/>
          <w:lang w:val="sr-Latn-ME"/>
        </w:rPr>
      </w:pPr>
    </w:p>
    <w:p w14:paraId="0FC9A045" w14:textId="77777777" w:rsidR="00D123D4" w:rsidRPr="00D123D4" w:rsidRDefault="00D123D4" w:rsidP="00D123D4">
      <w:pPr>
        <w:widowControl w:val="0"/>
        <w:jc w:val="both"/>
        <w:rPr>
          <w:i/>
          <w:iCs/>
          <w:szCs w:val="20"/>
          <w:lang w:val="sr-Latn-ME"/>
        </w:rPr>
      </w:pPr>
      <w:r w:rsidRPr="00D123D4">
        <w:rPr>
          <w:i/>
          <w:sz w:val="22"/>
          <w:szCs w:val="22"/>
          <w:lang w:val="sr-Latn-ME"/>
        </w:rPr>
        <w:t>Kasna neutropenija</w:t>
      </w:r>
    </w:p>
    <w:p w14:paraId="4516369C" w14:textId="77777777" w:rsidR="00D123D4" w:rsidRPr="00D123D4" w:rsidRDefault="00D123D4" w:rsidP="00D123D4">
      <w:pPr>
        <w:widowControl w:val="0"/>
        <w:jc w:val="both"/>
        <w:rPr>
          <w:lang w:val="sr-Latn-ME"/>
        </w:rPr>
      </w:pPr>
    </w:p>
    <w:p w14:paraId="0039CA5B" w14:textId="77777777" w:rsidR="00D123D4" w:rsidRPr="00D123D4" w:rsidRDefault="00D123D4" w:rsidP="00D123D4">
      <w:pPr>
        <w:widowControl w:val="0"/>
        <w:jc w:val="both"/>
        <w:rPr>
          <w:sz w:val="22"/>
          <w:szCs w:val="22"/>
          <w:lang w:val="sr-Latn-ME"/>
        </w:rPr>
      </w:pPr>
      <w:r w:rsidRPr="00D123D4">
        <w:rPr>
          <w:sz w:val="22"/>
          <w:szCs w:val="22"/>
          <w:lang w:val="sr-Latn-ME"/>
        </w:rPr>
        <w:t>Prijavljeni su slučajevi kasne pojave neutropenije najmanje 4 nedjelje nakon posljednje infuzije okrelizumaba (vidjeti dio 4.8). Iako su neki slučajevi bili 3. ili 4. stepena težine, većina je bila 1. ili 2. stepena. Preporučuje se određivanje broja neutrofila u krvi pacijenata koji pokazuju znake i simptome infekcije.</w:t>
      </w:r>
    </w:p>
    <w:p w14:paraId="4414A3B4" w14:textId="77777777" w:rsidR="00D123D4" w:rsidRPr="00D123D4" w:rsidRDefault="00D123D4" w:rsidP="00D123D4">
      <w:pPr>
        <w:widowControl w:val="0"/>
        <w:jc w:val="both"/>
        <w:rPr>
          <w:sz w:val="22"/>
          <w:szCs w:val="22"/>
          <w:lang w:val="sr-Latn-ME"/>
        </w:rPr>
      </w:pPr>
    </w:p>
    <w:p w14:paraId="66D91565" w14:textId="77777777" w:rsidR="00D123D4" w:rsidRPr="00D123D4" w:rsidRDefault="00D123D4" w:rsidP="00D123D4">
      <w:pPr>
        <w:widowControl w:val="0"/>
        <w:jc w:val="both"/>
        <w:rPr>
          <w:sz w:val="22"/>
          <w:szCs w:val="22"/>
          <w:u w:val="single"/>
          <w:lang w:val="sr-Latn-ME"/>
        </w:rPr>
      </w:pPr>
      <w:r w:rsidRPr="00D123D4">
        <w:rPr>
          <w:sz w:val="22"/>
          <w:szCs w:val="22"/>
          <w:u w:val="single"/>
          <w:lang w:val="sr-Latn-ME"/>
        </w:rPr>
        <w:t>Maligne bolesti</w:t>
      </w:r>
    </w:p>
    <w:p w14:paraId="3116A639" w14:textId="77777777" w:rsidR="00D123D4" w:rsidRPr="00D123D4" w:rsidRDefault="00D123D4" w:rsidP="00D123D4">
      <w:pPr>
        <w:widowControl w:val="0"/>
        <w:jc w:val="both"/>
        <w:rPr>
          <w:sz w:val="22"/>
          <w:szCs w:val="22"/>
          <w:lang w:val="sr-Latn-ME"/>
        </w:rPr>
      </w:pPr>
    </w:p>
    <w:p w14:paraId="4CF3AD13" w14:textId="77777777" w:rsidR="00D123D4" w:rsidRPr="00D123D4" w:rsidRDefault="00D123D4" w:rsidP="00D123D4">
      <w:pPr>
        <w:widowControl w:val="0"/>
        <w:jc w:val="both"/>
        <w:rPr>
          <w:sz w:val="22"/>
          <w:szCs w:val="22"/>
          <w:lang w:val="sr-Latn-ME"/>
        </w:rPr>
      </w:pPr>
      <w:r w:rsidRPr="00D123D4">
        <w:rPr>
          <w:sz w:val="22"/>
          <w:szCs w:val="22"/>
          <w:lang w:val="sr-Latn-ME"/>
        </w:rPr>
        <w:t xml:space="preserve">U kontrolisanom periodu pivotalnih kliničkih ispitivanja kod pacijenata liječenih okrelizumabom zapažen je povećan broj slučajeva malignih bolesti (uključujući rak dojke) u odnosu na kontrolne grupe. Njihova učestalost je bila u okviru osnovnog stepena koja se očekuje u populaciji pacijenata sa MS-om. </w:t>
      </w:r>
      <w:r w:rsidRPr="00D123D4">
        <w:rPr>
          <w:sz w:val="22"/>
          <w:lang w:val="sr-Latn-ME"/>
        </w:rPr>
        <w:t xml:space="preserve">Nakon približno 10 godina kontinuirane primjene okrelizumaba u okviru kontrolisanog perioda i otvorenog produžetka pivotalnih kliničkih ispitivanja incidenca malignih bolesti je bila u okviru osnovne stope koja se očekuje u populaciji pacijenata sa MS. </w:t>
      </w:r>
      <w:r w:rsidRPr="00D123D4">
        <w:rPr>
          <w:sz w:val="22"/>
          <w:szCs w:val="22"/>
          <w:lang w:val="sr-Latn-ME"/>
        </w:rPr>
        <w:t xml:space="preserve">Pacijenti sa poznatom aktivnom malignom </w:t>
      </w:r>
      <w:r w:rsidRPr="00D123D4">
        <w:rPr>
          <w:sz w:val="22"/>
          <w:szCs w:val="22"/>
          <w:lang w:val="sr-Latn-ME"/>
        </w:rPr>
        <w:lastRenderedPageBreak/>
        <w:t xml:space="preserve">bolešću ne smiju da se liječe okrelizumabom (vidjeti dio 4.3). Kod pacijenata sa poznatim faktorima rizika za maligne bolesti i onih koje se aktivno nadgledaju zbog mogućeg povrata relapsa maligne bolesti treba da se razmotri individualni odnos koristi i rizika. Pacijente treba podvrgnuti standardnom skriningu za rak dojke u skladu sa lokalnim smjernicama. </w:t>
      </w:r>
    </w:p>
    <w:p w14:paraId="3B439FF9" w14:textId="77777777" w:rsidR="00D123D4" w:rsidRPr="00D123D4" w:rsidRDefault="00D123D4" w:rsidP="00D123D4">
      <w:pPr>
        <w:widowControl w:val="0"/>
        <w:jc w:val="both"/>
        <w:rPr>
          <w:sz w:val="22"/>
          <w:szCs w:val="22"/>
          <w:lang w:val="sr-Latn-ME"/>
        </w:rPr>
      </w:pPr>
    </w:p>
    <w:p w14:paraId="7027AF7B" w14:textId="0FB4DF32" w:rsidR="00D123D4" w:rsidRPr="00D123D4" w:rsidRDefault="00D123D4" w:rsidP="00D123D4">
      <w:pPr>
        <w:widowControl w:val="0"/>
        <w:jc w:val="both"/>
        <w:rPr>
          <w:sz w:val="22"/>
          <w:szCs w:val="22"/>
          <w:lang w:val="sr-Latn-ME"/>
        </w:rPr>
      </w:pPr>
      <w:r w:rsidRPr="00D123D4">
        <w:rPr>
          <w:sz w:val="22"/>
          <w:szCs w:val="22"/>
          <w:lang w:val="sr-Latn-ME"/>
        </w:rPr>
        <w:t>Učestalost nemelanomskih oblika raka kože u kontrolisanom razdoblju kliničkih ispitivanja bila je niska i nije bilo nesrazmjera među liječenim grupama. Između 3. i 4. godine zapažen je porast učestalosti zbog karcinoma bazalnih ćelija, koji nije primijećen u godinama nakon toga. Učestalost je bila u okviru osnovnog stepena koji se očekuje u populaciji pacijenata sa MS- om.</w:t>
      </w:r>
    </w:p>
    <w:p w14:paraId="3D83FE5D" w14:textId="77777777" w:rsidR="00D123D4" w:rsidRPr="00D123D4" w:rsidRDefault="00D123D4" w:rsidP="00D123D4">
      <w:pPr>
        <w:widowControl w:val="0"/>
        <w:jc w:val="both"/>
        <w:rPr>
          <w:sz w:val="22"/>
          <w:szCs w:val="22"/>
          <w:lang w:val="sr-Latn-ME"/>
        </w:rPr>
      </w:pPr>
    </w:p>
    <w:p w14:paraId="0BC21938" w14:textId="77777777" w:rsidR="00D123D4" w:rsidRPr="00D123D4" w:rsidRDefault="00D123D4" w:rsidP="00D123D4">
      <w:pPr>
        <w:widowControl w:val="0"/>
        <w:jc w:val="both"/>
        <w:rPr>
          <w:sz w:val="22"/>
          <w:szCs w:val="22"/>
          <w:u w:val="single"/>
          <w:lang w:val="sr-Latn-ME"/>
        </w:rPr>
      </w:pPr>
      <w:r w:rsidRPr="00D123D4">
        <w:rPr>
          <w:sz w:val="22"/>
          <w:szCs w:val="22"/>
          <w:u w:val="single"/>
          <w:lang w:val="sr-Latn-ME"/>
        </w:rPr>
        <w:t>Liječenje teško imunokompromitovanih pacijenata</w:t>
      </w:r>
    </w:p>
    <w:p w14:paraId="304E2E3F" w14:textId="77777777" w:rsidR="00D123D4" w:rsidRPr="00D123D4" w:rsidRDefault="00D123D4" w:rsidP="00D123D4">
      <w:pPr>
        <w:widowControl w:val="0"/>
        <w:jc w:val="both"/>
        <w:rPr>
          <w:sz w:val="22"/>
          <w:szCs w:val="22"/>
          <w:lang w:val="sr-Latn-ME"/>
        </w:rPr>
      </w:pPr>
    </w:p>
    <w:p w14:paraId="4250E381" w14:textId="77777777" w:rsidR="00D123D4" w:rsidRPr="00D123D4" w:rsidRDefault="00D123D4" w:rsidP="00D123D4">
      <w:pPr>
        <w:widowControl w:val="0"/>
        <w:jc w:val="both"/>
        <w:rPr>
          <w:sz w:val="22"/>
          <w:szCs w:val="22"/>
          <w:lang w:val="sr-Latn-ME"/>
        </w:rPr>
      </w:pPr>
      <w:r w:rsidRPr="00D123D4">
        <w:rPr>
          <w:sz w:val="22"/>
          <w:szCs w:val="22"/>
          <w:lang w:val="sr-Latn-ME"/>
        </w:rPr>
        <w:t>Teško imunokompromitovani pacijenti ne smiju da prime liječenje dok im se zdravstveno stanje ne popravi (vidjeti dio 4.3).</w:t>
      </w:r>
    </w:p>
    <w:p w14:paraId="3434A3AE" w14:textId="77777777" w:rsidR="00D123D4" w:rsidRPr="00D123D4" w:rsidRDefault="00D123D4" w:rsidP="00D123D4">
      <w:pPr>
        <w:widowControl w:val="0"/>
        <w:jc w:val="both"/>
        <w:rPr>
          <w:sz w:val="22"/>
          <w:szCs w:val="22"/>
          <w:lang w:val="sr-Latn-ME"/>
        </w:rPr>
      </w:pPr>
    </w:p>
    <w:p w14:paraId="62781F8D" w14:textId="77777777" w:rsidR="00D123D4" w:rsidRPr="00D123D4" w:rsidRDefault="00D123D4" w:rsidP="00D123D4">
      <w:pPr>
        <w:widowControl w:val="0"/>
        <w:jc w:val="both"/>
        <w:rPr>
          <w:sz w:val="22"/>
          <w:szCs w:val="22"/>
          <w:lang w:val="sr-Latn-ME"/>
        </w:rPr>
      </w:pPr>
      <w:r w:rsidRPr="00D123D4">
        <w:rPr>
          <w:sz w:val="22"/>
          <w:szCs w:val="22"/>
          <w:lang w:val="sr-Latn-ME"/>
        </w:rPr>
        <w:t xml:space="preserve">Kod drugih autoimunih bolesti primjena okrelizumaba je istovremeno sa imunosupresivima  (na primjer, hronično liječenje kortikosteroidima, nebiološki i biološki antireumatici koji modifikuju tok bolesti [engl. </w:t>
      </w:r>
      <w:r w:rsidRPr="00D123D4">
        <w:rPr>
          <w:i/>
          <w:sz w:val="22"/>
          <w:szCs w:val="22"/>
          <w:lang w:val="sr-Latn-ME"/>
        </w:rPr>
        <w:t>disease-modifying antirheumatic drugs</w:t>
      </w:r>
      <w:r w:rsidRPr="00D123D4">
        <w:rPr>
          <w:sz w:val="22"/>
          <w:szCs w:val="22"/>
          <w:lang w:val="sr-Latn-ME"/>
        </w:rPr>
        <w:t xml:space="preserve">, DMARD], mikofenolat mofetil, ciklofosfamid, azatioprin) dovela do porasta stepena ozbiljnih infekcija, uključujući oportunističke infekcije. Infekcije su (između ostaloga) uključivale atipičnu pneumoniju i pneumoniju prouzrokovanu gljivicom </w:t>
      </w:r>
      <w:r w:rsidRPr="00D123D4">
        <w:rPr>
          <w:i/>
          <w:sz w:val="22"/>
          <w:szCs w:val="22"/>
          <w:lang w:val="sr-Latn-ME"/>
        </w:rPr>
        <w:t>Pneumocystis jirovecii</w:t>
      </w:r>
      <w:r w:rsidRPr="00D123D4">
        <w:rPr>
          <w:sz w:val="22"/>
          <w:szCs w:val="22"/>
          <w:lang w:val="sr-Latn-ME"/>
        </w:rPr>
        <w:t>, varičeloznu pneumoniju, tuberkulozu i histoplazmozu. U rijetkim  slučajevima su neke od tih infekcija imale smrtni ishod. U eksploratornoj analizi utvrđeni su sljedeći faktori povezani sa rizikom od ozbiljnih infekcija: više doze okrelizumaba od onih preporučenih za MS, druge propratne bolesti i hronična primjena imunosupresiva/kortikosteroida.</w:t>
      </w:r>
    </w:p>
    <w:p w14:paraId="355F6028" w14:textId="77777777" w:rsidR="00D123D4" w:rsidRPr="00D123D4" w:rsidRDefault="00D123D4" w:rsidP="00D123D4">
      <w:pPr>
        <w:widowControl w:val="0"/>
        <w:jc w:val="both"/>
        <w:rPr>
          <w:sz w:val="22"/>
          <w:szCs w:val="22"/>
          <w:lang w:val="sr-Latn-ME"/>
        </w:rPr>
      </w:pPr>
    </w:p>
    <w:p w14:paraId="26F8A2A5" w14:textId="77777777" w:rsidR="00D123D4" w:rsidRPr="00D123D4" w:rsidRDefault="00D123D4" w:rsidP="00D123D4">
      <w:pPr>
        <w:widowControl w:val="0"/>
        <w:jc w:val="both"/>
        <w:rPr>
          <w:sz w:val="22"/>
          <w:szCs w:val="22"/>
          <w:lang w:val="sr-Latn-ME"/>
        </w:rPr>
      </w:pPr>
      <w:r w:rsidRPr="00D123D4">
        <w:rPr>
          <w:sz w:val="22"/>
          <w:szCs w:val="22"/>
          <w:lang w:val="sr-Latn-ME"/>
        </w:rPr>
        <w:t>Ne preporučuje se istovremena primjena okrelizumaba i drugih imunosupresiva, osim kortikosteroida za simptomatsko liječenje relapsa. Postoji ograničeno znanje o tome da li je istovremena primjena steroida za simptomatsko liječenje relapsa povezana sa povećanim rizikom od infekcija u kliničkoj praksi. U pivotalnim ispitivanjima primjene okrelizumaba kod MS- a primjena kortikosteroida za liječenje relapsa nije bila povezana sa povećanim rizikom od ozbiljne infekcije.</w:t>
      </w:r>
    </w:p>
    <w:p w14:paraId="2B844BB1" w14:textId="77777777" w:rsidR="00D123D4" w:rsidRPr="00D123D4" w:rsidRDefault="00D123D4" w:rsidP="00D123D4">
      <w:pPr>
        <w:widowControl w:val="0"/>
        <w:jc w:val="both"/>
        <w:rPr>
          <w:sz w:val="22"/>
          <w:szCs w:val="22"/>
          <w:lang w:val="sr-Latn-ME"/>
        </w:rPr>
      </w:pPr>
    </w:p>
    <w:p w14:paraId="0D587E2D" w14:textId="77777777" w:rsidR="00D123D4" w:rsidRPr="00D123D4" w:rsidRDefault="00D123D4" w:rsidP="00D123D4">
      <w:pPr>
        <w:widowControl w:val="0"/>
        <w:jc w:val="both"/>
        <w:rPr>
          <w:sz w:val="22"/>
          <w:szCs w:val="22"/>
          <w:lang w:val="sr-Latn-ME"/>
        </w:rPr>
      </w:pPr>
      <w:r w:rsidRPr="00D123D4">
        <w:rPr>
          <w:sz w:val="22"/>
          <w:szCs w:val="22"/>
          <w:lang w:val="sr-Latn-ME"/>
        </w:rPr>
        <w:t xml:space="preserve">Pri uvođenju okrelizumaba nakon imunosupresivne terapije ili uvođenju imunosupresivne terapije nakon okrelizumaba, treba uzeti u obzir moguće preklapajuća farmakodinamička dejstva (vidjeti dio 5.1). Pri propisivanju okrelizumaba treba biti oprezan i uzeti u obzir farmakodinamička svojstva drugih ljekova za MS koji modifikuju tok bolesti. </w:t>
      </w:r>
    </w:p>
    <w:p w14:paraId="16ED32A8" w14:textId="77777777" w:rsidR="00D123D4" w:rsidRPr="00D123D4" w:rsidRDefault="00D123D4" w:rsidP="00D123D4">
      <w:pPr>
        <w:widowControl w:val="0"/>
        <w:jc w:val="both"/>
        <w:rPr>
          <w:sz w:val="22"/>
          <w:szCs w:val="22"/>
          <w:lang w:val="sr-Latn-ME"/>
        </w:rPr>
      </w:pPr>
    </w:p>
    <w:p w14:paraId="24BD1440" w14:textId="77777777" w:rsidR="00D123D4" w:rsidRPr="00D123D4" w:rsidRDefault="00D123D4" w:rsidP="00D123D4">
      <w:pPr>
        <w:widowControl w:val="0"/>
        <w:jc w:val="both"/>
        <w:rPr>
          <w:sz w:val="22"/>
          <w:szCs w:val="22"/>
          <w:u w:val="single"/>
          <w:lang w:val="sr-Latn-ME"/>
        </w:rPr>
      </w:pPr>
      <w:r w:rsidRPr="00D123D4">
        <w:rPr>
          <w:sz w:val="22"/>
          <w:szCs w:val="22"/>
          <w:u w:val="single"/>
          <w:lang w:val="sr-Latn-ME"/>
        </w:rPr>
        <w:t>Vakcinisanje</w:t>
      </w:r>
    </w:p>
    <w:p w14:paraId="04BE9E17" w14:textId="77777777" w:rsidR="00D123D4" w:rsidRPr="00D123D4" w:rsidRDefault="00D123D4" w:rsidP="00D123D4">
      <w:pPr>
        <w:widowControl w:val="0"/>
        <w:jc w:val="both"/>
        <w:rPr>
          <w:sz w:val="22"/>
          <w:szCs w:val="22"/>
          <w:lang w:val="sr-Latn-ME"/>
        </w:rPr>
      </w:pPr>
    </w:p>
    <w:p w14:paraId="1FC38CBC" w14:textId="5289C09A" w:rsidR="00D123D4" w:rsidRPr="00D123D4" w:rsidRDefault="00D123D4" w:rsidP="00D123D4">
      <w:pPr>
        <w:widowControl w:val="0"/>
        <w:jc w:val="both"/>
        <w:rPr>
          <w:sz w:val="22"/>
          <w:szCs w:val="22"/>
          <w:lang w:val="sr-Latn-ME"/>
        </w:rPr>
      </w:pPr>
      <w:r w:rsidRPr="00D123D4">
        <w:rPr>
          <w:sz w:val="22"/>
          <w:szCs w:val="22"/>
          <w:lang w:val="sr-Latn-ME"/>
        </w:rPr>
        <w:t>Budući da se nije ispitivala bezbjednost imunizacije živim ili živim atenuisanim vakcinama nakon liječenja,</w:t>
      </w:r>
      <w:r w:rsidR="002961A0">
        <w:rPr>
          <w:sz w:val="22"/>
          <w:szCs w:val="22"/>
          <w:lang w:val="sr-Latn-ME"/>
        </w:rPr>
        <w:t xml:space="preserve"> </w:t>
      </w:r>
      <w:r w:rsidRPr="00D123D4">
        <w:rPr>
          <w:sz w:val="22"/>
          <w:szCs w:val="22"/>
          <w:lang w:val="sr-Latn-ME"/>
        </w:rPr>
        <w:t>preporučuje se da se vakcinisanje živim ili živim atenuisanim vakcinama ne sprovodi tokom liječenja okrelizumabom kao ni prije nego dođe do oporavka broja B ćelija. U kliničkim ispitivanjima je medijana vremena do oporavka broja B ćelija iznosila 72 nedjelje (vidjeti dio 5.1).</w:t>
      </w:r>
    </w:p>
    <w:p w14:paraId="2BFABA80" w14:textId="77777777" w:rsidR="00D123D4" w:rsidRPr="00D123D4" w:rsidRDefault="00D123D4" w:rsidP="00D123D4">
      <w:pPr>
        <w:widowControl w:val="0"/>
        <w:jc w:val="both"/>
        <w:rPr>
          <w:sz w:val="22"/>
          <w:szCs w:val="22"/>
          <w:lang w:val="sr-Latn-ME"/>
        </w:rPr>
      </w:pPr>
    </w:p>
    <w:p w14:paraId="4CD18ECD" w14:textId="77777777" w:rsidR="00D123D4" w:rsidRPr="00D123D4" w:rsidRDefault="00D123D4" w:rsidP="00D123D4">
      <w:pPr>
        <w:widowControl w:val="0"/>
        <w:jc w:val="both"/>
        <w:rPr>
          <w:sz w:val="22"/>
          <w:szCs w:val="22"/>
          <w:lang w:val="sr-Latn-ME"/>
        </w:rPr>
      </w:pPr>
      <w:r w:rsidRPr="00D123D4">
        <w:rPr>
          <w:sz w:val="22"/>
          <w:szCs w:val="22"/>
          <w:lang w:val="sr-Latn-ME"/>
        </w:rPr>
        <w:t>U randomizovanoj studiji otvorenog tipa, pacijenti sa RMS-om su, iako su odgovori bili smanjeni, bili u stanju da pokrenu humoralni imunski odgovor, na tetanusni toksoid 23-valentnu pneumokoknu polisaharidnu vakcinu sa ili bez bustera, Keyhole Limpet Haemocyanin (KLH) neoantigen i sezonske vakcine protiv gripa (vidjeti dijelove 4.5 i 5.1).</w:t>
      </w:r>
    </w:p>
    <w:p w14:paraId="1E602132" w14:textId="77777777" w:rsidR="00D123D4" w:rsidRPr="00D123D4" w:rsidRDefault="00D123D4" w:rsidP="00D123D4">
      <w:pPr>
        <w:widowControl w:val="0"/>
        <w:jc w:val="both"/>
        <w:rPr>
          <w:sz w:val="22"/>
          <w:szCs w:val="22"/>
          <w:lang w:val="sr-Latn-ME"/>
        </w:rPr>
      </w:pPr>
    </w:p>
    <w:p w14:paraId="68E64305" w14:textId="77777777" w:rsidR="00D123D4" w:rsidRPr="00D123D4" w:rsidRDefault="00D123D4" w:rsidP="00D123D4">
      <w:pPr>
        <w:widowControl w:val="0"/>
        <w:jc w:val="both"/>
        <w:rPr>
          <w:sz w:val="22"/>
          <w:szCs w:val="22"/>
          <w:lang w:val="sr-Latn-ME"/>
        </w:rPr>
      </w:pPr>
      <w:r w:rsidRPr="00D123D4">
        <w:rPr>
          <w:sz w:val="22"/>
          <w:szCs w:val="22"/>
          <w:lang w:val="sr-Latn-ME"/>
        </w:rPr>
        <w:t>Preporuka je da se prilikom vakcinacije pacijenata koji se liječe okrelizumabom koriste sezonske vakcine protiv gripa koje su inaktivisane.</w:t>
      </w:r>
    </w:p>
    <w:p w14:paraId="64A5F812" w14:textId="77777777" w:rsidR="00D123D4" w:rsidRPr="00D123D4" w:rsidRDefault="00D123D4" w:rsidP="00D123D4">
      <w:pPr>
        <w:widowControl w:val="0"/>
        <w:jc w:val="both"/>
        <w:rPr>
          <w:sz w:val="22"/>
          <w:szCs w:val="22"/>
          <w:lang w:val="sr-Latn-ME"/>
        </w:rPr>
      </w:pPr>
    </w:p>
    <w:p w14:paraId="4E2AC1E6" w14:textId="77777777" w:rsidR="00D123D4" w:rsidRPr="00D123D4" w:rsidRDefault="00D123D4" w:rsidP="00D123D4">
      <w:pPr>
        <w:widowControl w:val="0"/>
        <w:jc w:val="both"/>
        <w:rPr>
          <w:sz w:val="22"/>
          <w:szCs w:val="22"/>
          <w:lang w:val="sr-Latn-ME"/>
        </w:rPr>
      </w:pPr>
      <w:r w:rsidRPr="00D123D4">
        <w:rPr>
          <w:sz w:val="22"/>
          <w:szCs w:val="22"/>
          <w:lang w:val="sr-Latn-ME"/>
        </w:rPr>
        <w:t>Ljekari treba da ocijene imunizacijski status pacijenta kod kojih se razmatra liječenje okrelizumabom. Pacijenti kojima je potrebno vakcinisanje treba da dovrše imunizaciju najmanje 6 nedjelja prije početka liječenja.</w:t>
      </w:r>
    </w:p>
    <w:p w14:paraId="595D7BF4" w14:textId="77777777" w:rsidR="00D123D4" w:rsidRPr="00D123D4" w:rsidRDefault="00D123D4" w:rsidP="00D123D4">
      <w:pPr>
        <w:widowControl w:val="0"/>
        <w:jc w:val="both"/>
        <w:rPr>
          <w:sz w:val="22"/>
          <w:szCs w:val="22"/>
          <w:lang w:val="sr-Latn-ME"/>
        </w:rPr>
      </w:pPr>
    </w:p>
    <w:p w14:paraId="726932F4" w14:textId="77777777" w:rsidR="00D123D4" w:rsidRPr="00D123D4" w:rsidRDefault="00D123D4" w:rsidP="00D123D4">
      <w:pPr>
        <w:widowControl w:val="0"/>
        <w:jc w:val="both"/>
        <w:rPr>
          <w:i/>
          <w:sz w:val="22"/>
          <w:szCs w:val="22"/>
          <w:lang w:val="sr-Latn-ME"/>
        </w:rPr>
      </w:pPr>
      <w:r w:rsidRPr="00D123D4">
        <w:rPr>
          <w:i/>
          <w:sz w:val="22"/>
          <w:szCs w:val="22"/>
          <w:lang w:val="sr-Latn-ME"/>
        </w:rPr>
        <w:t>Izloženost okrelizumabu in utero i vakcinacija novorođenčadi i odojčadi živim ili živim atenuisanim vakcinama</w:t>
      </w:r>
    </w:p>
    <w:p w14:paraId="48D4A962" w14:textId="77777777" w:rsidR="00D123D4" w:rsidRPr="00D123D4" w:rsidRDefault="00D123D4" w:rsidP="00D123D4">
      <w:pPr>
        <w:widowControl w:val="0"/>
        <w:jc w:val="both"/>
        <w:rPr>
          <w:sz w:val="22"/>
          <w:szCs w:val="22"/>
          <w:lang w:val="sr-Latn-ME"/>
        </w:rPr>
      </w:pPr>
    </w:p>
    <w:p w14:paraId="2173006D" w14:textId="77777777" w:rsidR="00D123D4" w:rsidRPr="00D123D4" w:rsidRDefault="00D123D4" w:rsidP="00D123D4">
      <w:pPr>
        <w:widowControl w:val="0"/>
        <w:jc w:val="both"/>
        <w:rPr>
          <w:sz w:val="22"/>
          <w:szCs w:val="22"/>
          <w:lang w:val="sr-Latn-ME"/>
        </w:rPr>
      </w:pPr>
      <w:r w:rsidRPr="00D123D4">
        <w:rPr>
          <w:sz w:val="22"/>
          <w:szCs w:val="22"/>
          <w:lang w:val="sr-Latn-ME"/>
        </w:rPr>
        <w:t xml:space="preserve">Zbog moguće deplecije B ćelija kod odojčadi čije su majke bile izložene okrelizumabu u trudnoći, </w:t>
      </w:r>
      <w:r w:rsidRPr="00D123D4">
        <w:rPr>
          <w:sz w:val="22"/>
          <w:szCs w:val="22"/>
          <w:lang w:val="sr-Latn-ME"/>
        </w:rPr>
        <w:lastRenderedPageBreak/>
        <w:t>neophodno je da vakcinacija živim ili živim atenuisanim vakcinama bude odložena sve dok se broj B ćelija ne obnovi; stoga, preporuka je da se prije vakcinacije izmjeri nivo CD19 pozitivnih B ćelija kod novorođenčadi i odojčadi.</w:t>
      </w:r>
    </w:p>
    <w:p w14:paraId="53E417AF" w14:textId="77777777" w:rsidR="00D123D4" w:rsidRPr="00D123D4" w:rsidRDefault="00D123D4" w:rsidP="00D123D4">
      <w:pPr>
        <w:widowControl w:val="0"/>
        <w:jc w:val="both"/>
        <w:rPr>
          <w:sz w:val="22"/>
          <w:szCs w:val="22"/>
          <w:lang w:val="sr-Latn-ME"/>
        </w:rPr>
      </w:pPr>
    </w:p>
    <w:p w14:paraId="53FC4932" w14:textId="706D765A" w:rsidR="00D123D4" w:rsidRPr="00D123D4" w:rsidRDefault="00D123D4" w:rsidP="00D123D4">
      <w:pPr>
        <w:widowControl w:val="0"/>
        <w:jc w:val="both"/>
        <w:rPr>
          <w:sz w:val="22"/>
          <w:szCs w:val="22"/>
          <w:lang w:val="sr-Latn-ME"/>
        </w:rPr>
      </w:pPr>
      <w:r w:rsidRPr="00D123D4">
        <w:rPr>
          <w:sz w:val="22"/>
          <w:szCs w:val="22"/>
          <w:lang w:val="sr-Latn-ME"/>
        </w:rPr>
        <w:t xml:space="preserve">Preporuka je da sve vakcinacije osim živih ili živih atenuisanih treba da prate lokalno propisani raspored imunizacije i da se razmotri mjerenje vakcinama indukovanog odgovora putem titra kako bi se provjerilo da li su pojedinci postigli protektivni imunski odgovor, zbog mogućnosti smanjivanja efikasnosti vakcina. </w:t>
      </w:r>
    </w:p>
    <w:p w14:paraId="1090EDB7" w14:textId="77777777" w:rsidR="00D123D4" w:rsidRPr="00D123D4" w:rsidRDefault="00D123D4" w:rsidP="00D123D4">
      <w:pPr>
        <w:widowControl w:val="0"/>
        <w:jc w:val="both"/>
        <w:rPr>
          <w:sz w:val="22"/>
          <w:szCs w:val="22"/>
          <w:lang w:val="sr-Latn-ME"/>
        </w:rPr>
      </w:pPr>
    </w:p>
    <w:p w14:paraId="22FC4433" w14:textId="77777777" w:rsidR="00D123D4" w:rsidRPr="00D123D4" w:rsidRDefault="00D123D4" w:rsidP="00D123D4">
      <w:pPr>
        <w:widowControl w:val="0"/>
        <w:jc w:val="both"/>
        <w:rPr>
          <w:sz w:val="22"/>
          <w:szCs w:val="22"/>
          <w:lang w:val="sr-Latn-ME"/>
        </w:rPr>
      </w:pPr>
      <w:r w:rsidRPr="00D123D4">
        <w:rPr>
          <w:sz w:val="22"/>
          <w:szCs w:val="22"/>
          <w:lang w:val="sr-Latn-ME"/>
        </w:rPr>
        <w:t>O bezbjednosti i vremenu vakcinacije djeteta treba pričati sa njegovim ljekarom (vidjeti dio 4.6).</w:t>
      </w:r>
      <w:r w:rsidRPr="00D123D4" w:rsidDel="007046EF">
        <w:rPr>
          <w:sz w:val="22"/>
          <w:szCs w:val="22"/>
          <w:lang w:val="sr-Latn-ME"/>
        </w:rPr>
        <w:t xml:space="preserve"> </w:t>
      </w:r>
    </w:p>
    <w:p w14:paraId="42D10D47" w14:textId="77777777" w:rsidR="00D123D4" w:rsidRPr="00D123D4" w:rsidRDefault="00D123D4" w:rsidP="00D123D4">
      <w:pPr>
        <w:widowControl w:val="0"/>
        <w:jc w:val="both"/>
        <w:rPr>
          <w:sz w:val="22"/>
          <w:szCs w:val="22"/>
          <w:lang w:val="sr-Latn-ME"/>
        </w:rPr>
      </w:pPr>
    </w:p>
    <w:p w14:paraId="68F731D6" w14:textId="77777777" w:rsidR="00D123D4" w:rsidRPr="00D123D4" w:rsidRDefault="00D123D4" w:rsidP="00D123D4">
      <w:pPr>
        <w:widowControl w:val="0"/>
        <w:jc w:val="both"/>
        <w:rPr>
          <w:sz w:val="22"/>
          <w:szCs w:val="22"/>
          <w:u w:val="single"/>
          <w:lang w:val="sr-Latn-ME"/>
        </w:rPr>
      </w:pPr>
      <w:r w:rsidRPr="00D123D4">
        <w:rPr>
          <w:sz w:val="22"/>
          <w:szCs w:val="22"/>
          <w:u w:val="single"/>
          <w:lang w:val="sr-Latn-ME"/>
        </w:rPr>
        <w:t>Natrijum</w:t>
      </w:r>
    </w:p>
    <w:p w14:paraId="6E3FBECC" w14:textId="77777777" w:rsidR="00D123D4" w:rsidRPr="00D123D4" w:rsidRDefault="00D123D4" w:rsidP="00D123D4">
      <w:pPr>
        <w:widowControl w:val="0"/>
        <w:jc w:val="both"/>
        <w:rPr>
          <w:sz w:val="22"/>
          <w:szCs w:val="22"/>
          <w:lang w:val="sr-Latn-ME"/>
        </w:rPr>
      </w:pPr>
    </w:p>
    <w:p w14:paraId="1E879312" w14:textId="77777777" w:rsidR="00D123D4" w:rsidRPr="00D123D4" w:rsidRDefault="00D123D4" w:rsidP="00D123D4">
      <w:pPr>
        <w:widowControl w:val="0"/>
        <w:jc w:val="both"/>
        <w:rPr>
          <w:sz w:val="22"/>
          <w:szCs w:val="22"/>
          <w:lang w:val="sr-Latn-ME"/>
        </w:rPr>
      </w:pPr>
      <w:r w:rsidRPr="00D123D4">
        <w:rPr>
          <w:sz w:val="22"/>
          <w:szCs w:val="22"/>
          <w:lang w:val="sr-Latn-ME"/>
        </w:rPr>
        <w:t xml:space="preserve">Ovaj lijek sadrži manje od 1 mmol natrijuma (23 mg) po dozi, tj. zanemarljive količine natrijuma. </w:t>
      </w:r>
    </w:p>
    <w:p w14:paraId="19F88EBC" w14:textId="77777777" w:rsidR="00D123D4" w:rsidRDefault="00D123D4" w:rsidP="00D123D4">
      <w:pPr>
        <w:widowControl w:val="0"/>
        <w:tabs>
          <w:tab w:val="left" w:pos="540"/>
          <w:tab w:val="left" w:pos="569"/>
        </w:tabs>
        <w:rPr>
          <w:b/>
          <w:bCs/>
          <w:sz w:val="22"/>
          <w:szCs w:val="22"/>
          <w:lang w:val="sr-Latn-ME"/>
        </w:rPr>
      </w:pPr>
    </w:p>
    <w:p w14:paraId="4C6F1AA5" w14:textId="68C64957" w:rsidR="00411B4B" w:rsidRPr="00D123D4" w:rsidRDefault="00411B4B" w:rsidP="00D123D4">
      <w:pPr>
        <w:widowControl w:val="0"/>
        <w:tabs>
          <w:tab w:val="left" w:pos="540"/>
          <w:tab w:val="left" w:pos="569"/>
        </w:tabs>
        <w:rPr>
          <w:b/>
          <w:bCs/>
          <w:sz w:val="22"/>
          <w:szCs w:val="22"/>
          <w:lang w:val="sr-Latn-ME"/>
        </w:rPr>
      </w:pPr>
      <w:r w:rsidRPr="00D123D4">
        <w:rPr>
          <w:b/>
          <w:bCs/>
          <w:sz w:val="22"/>
          <w:szCs w:val="22"/>
          <w:lang w:val="sr-Latn-ME"/>
        </w:rPr>
        <w:t>4.5.</w:t>
      </w:r>
      <w:r w:rsidR="000D60CC" w:rsidRPr="00D123D4">
        <w:rPr>
          <w:b/>
          <w:bCs/>
          <w:sz w:val="22"/>
          <w:szCs w:val="22"/>
          <w:lang w:val="sr-Latn-ME"/>
        </w:rPr>
        <w:tab/>
      </w:r>
      <w:r w:rsidRPr="00D123D4">
        <w:rPr>
          <w:b/>
          <w:bCs/>
          <w:sz w:val="22"/>
          <w:szCs w:val="22"/>
          <w:lang w:val="sr-Latn-ME"/>
        </w:rPr>
        <w:t>Interakcije sa drugim ljekovima i druge vrste interakcija</w:t>
      </w:r>
    </w:p>
    <w:p w14:paraId="4C6F1AA6" w14:textId="3957B72F" w:rsidR="0072020E" w:rsidRPr="00D123D4" w:rsidRDefault="0072020E" w:rsidP="00D123D4">
      <w:pPr>
        <w:widowControl w:val="0"/>
        <w:tabs>
          <w:tab w:val="left" w:pos="540"/>
          <w:tab w:val="left" w:pos="569"/>
        </w:tabs>
        <w:rPr>
          <w:bCs/>
          <w:sz w:val="22"/>
          <w:szCs w:val="22"/>
          <w:lang w:val="sr-Latn-ME"/>
        </w:rPr>
      </w:pPr>
    </w:p>
    <w:p w14:paraId="6E4415DC" w14:textId="5645108E" w:rsidR="00DD6A9C" w:rsidRPr="00D123D4" w:rsidRDefault="00DD6A9C" w:rsidP="00D123D4">
      <w:pPr>
        <w:widowControl w:val="0"/>
        <w:jc w:val="both"/>
        <w:rPr>
          <w:sz w:val="22"/>
          <w:szCs w:val="22"/>
          <w:lang w:val="sr-Latn-ME"/>
        </w:rPr>
      </w:pPr>
      <w:r w:rsidRPr="00D123D4">
        <w:rPr>
          <w:sz w:val="22"/>
          <w:szCs w:val="22"/>
          <w:lang w:val="sr-Latn-ME"/>
        </w:rPr>
        <w:t xml:space="preserve">Nijesu sprovedena ispitivanja interakcija jer se ne očekuju interakcije putem enzima citohroma P450, drugih metaboličkih enzima ni prenosnika. </w:t>
      </w:r>
    </w:p>
    <w:p w14:paraId="45079CB9" w14:textId="77777777" w:rsidR="00DD6A9C" w:rsidRPr="00D123D4" w:rsidRDefault="00DD6A9C" w:rsidP="00D123D4">
      <w:pPr>
        <w:widowControl w:val="0"/>
        <w:jc w:val="both"/>
        <w:rPr>
          <w:sz w:val="22"/>
          <w:szCs w:val="22"/>
          <w:lang w:val="sr-Latn-ME"/>
        </w:rPr>
      </w:pPr>
    </w:p>
    <w:p w14:paraId="50142C2A" w14:textId="77777777" w:rsidR="00DD6A9C" w:rsidRPr="00D123D4" w:rsidRDefault="00DD6A9C" w:rsidP="00D123D4">
      <w:pPr>
        <w:widowControl w:val="0"/>
        <w:jc w:val="both"/>
        <w:rPr>
          <w:sz w:val="22"/>
          <w:szCs w:val="22"/>
          <w:u w:val="single"/>
          <w:lang w:val="sr-Latn-ME"/>
        </w:rPr>
      </w:pPr>
      <w:r w:rsidRPr="00D123D4">
        <w:rPr>
          <w:sz w:val="22"/>
          <w:szCs w:val="22"/>
          <w:u w:val="single"/>
          <w:lang w:val="sr-Latn-ME"/>
        </w:rPr>
        <w:t>Vakcinacija</w:t>
      </w:r>
    </w:p>
    <w:p w14:paraId="30EF219F" w14:textId="77777777" w:rsidR="00DD6A9C" w:rsidRPr="00D123D4" w:rsidRDefault="00DD6A9C" w:rsidP="00D123D4">
      <w:pPr>
        <w:widowControl w:val="0"/>
        <w:jc w:val="both"/>
        <w:rPr>
          <w:sz w:val="22"/>
          <w:szCs w:val="22"/>
          <w:lang w:val="sr-Latn-ME"/>
        </w:rPr>
      </w:pPr>
    </w:p>
    <w:p w14:paraId="60E9ACD9" w14:textId="3298FAB8" w:rsidR="00DD6A9C" w:rsidRPr="00D123D4" w:rsidRDefault="00DD6A9C" w:rsidP="00D123D4">
      <w:pPr>
        <w:widowControl w:val="0"/>
        <w:jc w:val="both"/>
        <w:rPr>
          <w:sz w:val="22"/>
          <w:szCs w:val="22"/>
          <w:lang w:val="sr-Latn-ME"/>
        </w:rPr>
      </w:pPr>
      <w:r w:rsidRPr="00D123D4">
        <w:rPr>
          <w:sz w:val="22"/>
          <w:szCs w:val="22"/>
          <w:lang w:val="sr-Latn-ME"/>
        </w:rPr>
        <w:t xml:space="preserve">Nije se ispitivala bezbjednost vakcinacije živim ili živim atenuisanim virusnim vakcinama nakon liječenja </w:t>
      </w:r>
      <w:r w:rsidR="00416F4C" w:rsidRPr="00D123D4">
        <w:rPr>
          <w:sz w:val="22"/>
          <w:szCs w:val="22"/>
          <w:lang w:val="sr-Latn-ME"/>
        </w:rPr>
        <w:t>okrelizumabom</w:t>
      </w:r>
      <w:r w:rsidRPr="00D123D4">
        <w:rPr>
          <w:sz w:val="22"/>
          <w:szCs w:val="22"/>
          <w:lang w:val="sr-Latn-ME"/>
        </w:rPr>
        <w:t>.</w:t>
      </w:r>
    </w:p>
    <w:p w14:paraId="7F98E3BC" w14:textId="77777777" w:rsidR="00DD6A9C" w:rsidRPr="00D123D4" w:rsidRDefault="00DD6A9C" w:rsidP="00D123D4">
      <w:pPr>
        <w:widowControl w:val="0"/>
        <w:jc w:val="both"/>
        <w:rPr>
          <w:sz w:val="22"/>
          <w:szCs w:val="22"/>
          <w:lang w:val="sr-Latn-ME"/>
        </w:rPr>
      </w:pPr>
    </w:p>
    <w:p w14:paraId="26D4C45F" w14:textId="31D7243C" w:rsidR="00EE13AF" w:rsidRPr="00D123D4" w:rsidRDefault="00DD6A9C" w:rsidP="00D123D4">
      <w:pPr>
        <w:widowControl w:val="0"/>
        <w:jc w:val="both"/>
        <w:rPr>
          <w:sz w:val="22"/>
          <w:szCs w:val="22"/>
          <w:lang w:val="sr-Latn-ME"/>
        </w:rPr>
      </w:pPr>
      <w:r w:rsidRPr="00D123D4">
        <w:rPr>
          <w:sz w:val="22"/>
          <w:szCs w:val="22"/>
          <w:lang w:val="sr-Latn-ME"/>
        </w:rPr>
        <w:t xml:space="preserve">Dostupni su podaci o efektima tetanusnog toksoida, 23-valentne pneumokokne polisaharidne vakcine, Keyhole Limpet Haemocyanin (KLH) neoantigena i sezonskim vakcinama protiv gripa kod pacijenata koji primaju </w:t>
      </w:r>
      <w:r w:rsidR="00EE13AF" w:rsidRPr="00D123D4">
        <w:rPr>
          <w:sz w:val="22"/>
          <w:szCs w:val="22"/>
          <w:lang w:val="sr-Latn-ME"/>
        </w:rPr>
        <w:t>okrelizumab (vidjeti dijelove 4.4. i 5.1)</w:t>
      </w:r>
      <w:r w:rsidRPr="00D123D4">
        <w:rPr>
          <w:sz w:val="22"/>
          <w:szCs w:val="22"/>
          <w:lang w:val="sr-Latn-ME"/>
        </w:rPr>
        <w:t>.</w:t>
      </w:r>
    </w:p>
    <w:p w14:paraId="27659A82" w14:textId="4696EB7C" w:rsidR="00DD6A9C" w:rsidRPr="00D123D4" w:rsidRDefault="00DD6A9C" w:rsidP="00D123D4">
      <w:pPr>
        <w:widowControl w:val="0"/>
        <w:jc w:val="both"/>
        <w:rPr>
          <w:sz w:val="22"/>
          <w:szCs w:val="22"/>
          <w:lang w:val="sr-Latn-ME"/>
        </w:rPr>
      </w:pPr>
      <w:r w:rsidRPr="00D123D4">
        <w:rPr>
          <w:sz w:val="22"/>
          <w:szCs w:val="22"/>
          <w:lang w:val="sr-Latn-ME"/>
        </w:rPr>
        <w:t xml:space="preserve"> </w:t>
      </w:r>
    </w:p>
    <w:p w14:paraId="7FE546C3" w14:textId="0194F3E0" w:rsidR="00DD6A9C" w:rsidRPr="00D123D4" w:rsidRDefault="00DD6A9C" w:rsidP="00D123D4">
      <w:pPr>
        <w:widowControl w:val="0"/>
        <w:jc w:val="both"/>
        <w:rPr>
          <w:sz w:val="22"/>
          <w:szCs w:val="22"/>
          <w:lang w:val="sr-Latn-ME"/>
        </w:rPr>
      </w:pPr>
      <w:r w:rsidRPr="00D123D4">
        <w:rPr>
          <w:sz w:val="22"/>
          <w:szCs w:val="22"/>
          <w:lang w:val="sr-Latn-ME"/>
        </w:rPr>
        <w:t xml:space="preserve">Nakon liječenja tokom više od 2 godine, udio pacijenata sa pozitivnim titrima antitijela na </w:t>
      </w:r>
      <w:r w:rsidRPr="00D123D4">
        <w:rPr>
          <w:i/>
          <w:sz w:val="22"/>
          <w:szCs w:val="22"/>
          <w:lang w:val="sr-Latn-ME"/>
        </w:rPr>
        <w:t>S. pneumoniae</w:t>
      </w:r>
      <w:r w:rsidRPr="00D123D4">
        <w:rPr>
          <w:sz w:val="22"/>
          <w:szCs w:val="22"/>
          <w:lang w:val="sr-Latn-ME"/>
        </w:rPr>
        <w:t>, zauške, rubeolu i varičelu u principu je bio sličan udjelima zabilježenim na početku liječenja.</w:t>
      </w:r>
    </w:p>
    <w:p w14:paraId="19D8A95E" w14:textId="77777777" w:rsidR="00DD6A9C" w:rsidRPr="00D123D4" w:rsidRDefault="00DD6A9C" w:rsidP="00D123D4">
      <w:pPr>
        <w:widowControl w:val="0"/>
        <w:jc w:val="both"/>
        <w:rPr>
          <w:sz w:val="22"/>
          <w:szCs w:val="22"/>
          <w:lang w:val="sr-Latn-ME"/>
        </w:rPr>
      </w:pPr>
    </w:p>
    <w:p w14:paraId="27E63ECF" w14:textId="77777777" w:rsidR="00DD6A9C" w:rsidRPr="00D123D4" w:rsidRDefault="00DD6A9C" w:rsidP="00D123D4">
      <w:pPr>
        <w:widowControl w:val="0"/>
        <w:jc w:val="both"/>
        <w:rPr>
          <w:sz w:val="22"/>
          <w:szCs w:val="22"/>
          <w:u w:val="single"/>
          <w:lang w:val="sr-Latn-ME"/>
        </w:rPr>
      </w:pPr>
      <w:r w:rsidRPr="00D123D4">
        <w:rPr>
          <w:sz w:val="22"/>
          <w:szCs w:val="22"/>
          <w:u w:val="single"/>
          <w:lang w:val="sr-Latn-ME"/>
        </w:rPr>
        <w:t>Imunosupresivi</w:t>
      </w:r>
    </w:p>
    <w:p w14:paraId="470465DD" w14:textId="77777777" w:rsidR="00DD6A9C" w:rsidRPr="00D123D4" w:rsidRDefault="00DD6A9C" w:rsidP="00D123D4">
      <w:pPr>
        <w:widowControl w:val="0"/>
        <w:jc w:val="both"/>
        <w:rPr>
          <w:sz w:val="22"/>
          <w:szCs w:val="22"/>
          <w:lang w:val="sr-Latn-ME"/>
        </w:rPr>
      </w:pPr>
    </w:p>
    <w:p w14:paraId="0EC4A0E3" w14:textId="4A5C9571" w:rsidR="00DD6A9C" w:rsidRPr="00D123D4" w:rsidRDefault="00DD6A9C" w:rsidP="00D123D4">
      <w:pPr>
        <w:widowControl w:val="0"/>
        <w:jc w:val="both"/>
        <w:rPr>
          <w:sz w:val="22"/>
          <w:szCs w:val="22"/>
          <w:lang w:val="sr-Latn-ME"/>
        </w:rPr>
      </w:pPr>
      <w:r w:rsidRPr="00D123D4">
        <w:rPr>
          <w:sz w:val="22"/>
          <w:szCs w:val="22"/>
          <w:lang w:val="sr-Latn-ME"/>
        </w:rPr>
        <w:t xml:space="preserve">Ne preporučuje se da se koriste drugi imunosupresivi istovremeno sa </w:t>
      </w:r>
      <w:r w:rsidR="00416F4C" w:rsidRPr="00D123D4">
        <w:rPr>
          <w:sz w:val="22"/>
          <w:szCs w:val="22"/>
          <w:lang w:val="sr-Latn-ME"/>
        </w:rPr>
        <w:t>okrelizumabom</w:t>
      </w:r>
      <w:r w:rsidRPr="00D123D4">
        <w:rPr>
          <w:sz w:val="22"/>
          <w:szCs w:val="22"/>
          <w:lang w:val="sr-Latn-ME"/>
        </w:rPr>
        <w:t>, osim kortikosteroida za simptomatsko liječenje relapsa</w:t>
      </w:r>
      <w:r w:rsidR="00EE13AF" w:rsidRPr="00D123D4">
        <w:rPr>
          <w:sz w:val="22"/>
          <w:szCs w:val="22"/>
          <w:lang w:val="sr-Latn-ME"/>
        </w:rPr>
        <w:t xml:space="preserve"> (vidjeti dio 4.4)</w:t>
      </w:r>
      <w:r w:rsidRPr="00D123D4">
        <w:rPr>
          <w:sz w:val="22"/>
          <w:szCs w:val="22"/>
          <w:lang w:val="sr-Latn-ME"/>
        </w:rPr>
        <w:t>.</w:t>
      </w:r>
    </w:p>
    <w:p w14:paraId="751B5D83" w14:textId="77777777" w:rsidR="00DD6A9C" w:rsidRPr="00D123D4" w:rsidRDefault="00DD6A9C" w:rsidP="00D123D4">
      <w:pPr>
        <w:widowControl w:val="0"/>
        <w:tabs>
          <w:tab w:val="left" w:pos="540"/>
          <w:tab w:val="left" w:pos="569"/>
        </w:tabs>
        <w:rPr>
          <w:bCs/>
          <w:sz w:val="22"/>
          <w:szCs w:val="22"/>
          <w:lang w:val="sr-Latn-ME"/>
        </w:rPr>
      </w:pPr>
    </w:p>
    <w:p w14:paraId="4C6F1AA7" w14:textId="77777777" w:rsidR="0072020E" w:rsidRPr="00D123D4" w:rsidRDefault="0072020E" w:rsidP="00D123D4">
      <w:pPr>
        <w:widowControl w:val="0"/>
        <w:tabs>
          <w:tab w:val="left" w:pos="540"/>
          <w:tab w:val="left" w:pos="569"/>
        </w:tabs>
        <w:rPr>
          <w:b/>
          <w:sz w:val="22"/>
          <w:szCs w:val="22"/>
          <w:lang w:val="sr-Latn-ME"/>
        </w:rPr>
      </w:pPr>
      <w:r w:rsidRPr="00D123D4">
        <w:rPr>
          <w:b/>
          <w:bCs/>
          <w:sz w:val="22"/>
          <w:szCs w:val="22"/>
          <w:lang w:val="sr-Latn-ME"/>
        </w:rPr>
        <w:t xml:space="preserve">4.6. </w:t>
      </w:r>
      <w:r w:rsidR="00480FB1" w:rsidRPr="00D123D4">
        <w:rPr>
          <w:b/>
          <w:bCs/>
          <w:sz w:val="22"/>
          <w:szCs w:val="22"/>
          <w:lang w:val="sr-Latn-ME"/>
        </w:rPr>
        <w:tab/>
      </w:r>
      <w:r w:rsidR="006D20A5" w:rsidRPr="00D123D4">
        <w:rPr>
          <w:b/>
          <w:sz w:val="22"/>
          <w:szCs w:val="22"/>
          <w:lang w:val="sr-Latn-ME"/>
        </w:rPr>
        <w:t>Plodnost, trudnoća i dojenje</w:t>
      </w:r>
    </w:p>
    <w:p w14:paraId="4F647B13" w14:textId="530444B9" w:rsidR="00DD6A9C" w:rsidRPr="00D123D4" w:rsidRDefault="00DD6A9C" w:rsidP="00D123D4">
      <w:pPr>
        <w:widowControl w:val="0"/>
        <w:tabs>
          <w:tab w:val="left" w:pos="540"/>
          <w:tab w:val="left" w:pos="569"/>
        </w:tabs>
        <w:rPr>
          <w:sz w:val="22"/>
          <w:szCs w:val="22"/>
          <w:u w:val="single"/>
          <w:lang w:val="sr-Latn-ME"/>
        </w:rPr>
      </w:pPr>
    </w:p>
    <w:p w14:paraId="41E61298" w14:textId="77777777" w:rsidR="00DD6A9C" w:rsidRPr="00D123D4" w:rsidRDefault="00DD6A9C" w:rsidP="00D123D4">
      <w:pPr>
        <w:widowControl w:val="0"/>
        <w:jc w:val="both"/>
        <w:rPr>
          <w:sz w:val="22"/>
          <w:szCs w:val="22"/>
          <w:u w:val="single"/>
          <w:lang w:val="sr-Latn-ME"/>
        </w:rPr>
      </w:pPr>
      <w:r w:rsidRPr="00D123D4">
        <w:rPr>
          <w:sz w:val="22"/>
          <w:szCs w:val="22"/>
          <w:u w:val="single"/>
          <w:lang w:val="sr-Latn-ME"/>
        </w:rPr>
        <w:t>Žene u reproduktivnom periodu</w:t>
      </w:r>
    </w:p>
    <w:p w14:paraId="326431E1" w14:textId="77777777" w:rsidR="00DD6A9C" w:rsidRPr="00D123D4" w:rsidRDefault="00DD6A9C" w:rsidP="00D123D4">
      <w:pPr>
        <w:widowControl w:val="0"/>
        <w:jc w:val="both"/>
        <w:rPr>
          <w:sz w:val="22"/>
          <w:szCs w:val="22"/>
          <w:lang w:val="sr-Latn-ME"/>
        </w:rPr>
      </w:pPr>
    </w:p>
    <w:p w14:paraId="48DA445A" w14:textId="3A386E4D" w:rsidR="00DD6A9C" w:rsidRPr="00D123D4" w:rsidRDefault="00DD6A9C" w:rsidP="00D123D4">
      <w:pPr>
        <w:widowControl w:val="0"/>
        <w:jc w:val="both"/>
        <w:rPr>
          <w:sz w:val="22"/>
          <w:szCs w:val="22"/>
          <w:lang w:val="sr-Latn-ME"/>
        </w:rPr>
      </w:pPr>
      <w:r w:rsidRPr="00D123D4">
        <w:rPr>
          <w:sz w:val="22"/>
          <w:szCs w:val="22"/>
          <w:lang w:val="sr-Latn-ME"/>
        </w:rPr>
        <w:t xml:space="preserve">Žene u reproduktivnom periodu moraju da koriste kontracepciju tokom liječenja </w:t>
      </w:r>
      <w:r w:rsidR="00416F4C" w:rsidRPr="00D123D4">
        <w:rPr>
          <w:sz w:val="22"/>
          <w:szCs w:val="22"/>
          <w:lang w:val="sr-Latn-ME"/>
        </w:rPr>
        <w:t>okrelizumabom</w:t>
      </w:r>
      <w:r w:rsidRPr="00D123D4">
        <w:rPr>
          <w:sz w:val="22"/>
          <w:szCs w:val="22"/>
          <w:lang w:val="sr-Latn-ME"/>
        </w:rPr>
        <w:t xml:space="preserve"> i još </w:t>
      </w:r>
      <w:r w:rsidR="00DB28A7" w:rsidRPr="00D123D4">
        <w:rPr>
          <w:sz w:val="22"/>
          <w:szCs w:val="22"/>
          <w:lang w:val="sr-Latn-ME"/>
        </w:rPr>
        <w:t>4</w:t>
      </w:r>
      <w:r w:rsidRPr="00D123D4">
        <w:rPr>
          <w:sz w:val="22"/>
          <w:szCs w:val="22"/>
          <w:lang w:val="sr-Latn-ME"/>
        </w:rPr>
        <w:t xml:space="preserve"> mjesec</w:t>
      </w:r>
      <w:r w:rsidR="00DB28A7" w:rsidRPr="00D123D4">
        <w:rPr>
          <w:sz w:val="22"/>
          <w:szCs w:val="22"/>
          <w:lang w:val="sr-Latn-ME"/>
        </w:rPr>
        <w:t>a</w:t>
      </w:r>
      <w:r w:rsidRPr="00D123D4">
        <w:rPr>
          <w:sz w:val="22"/>
          <w:szCs w:val="22"/>
          <w:lang w:val="sr-Latn-ME"/>
        </w:rPr>
        <w:t xml:space="preserve"> nakon posljednje </w:t>
      </w:r>
      <w:r w:rsidR="00256986" w:rsidRPr="00D123D4">
        <w:rPr>
          <w:sz w:val="22"/>
          <w:szCs w:val="22"/>
          <w:lang w:val="sr-Latn-ME"/>
        </w:rPr>
        <w:t>prim</w:t>
      </w:r>
      <w:r w:rsidR="0059549A" w:rsidRPr="00D123D4">
        <w:rPr>
          <w:sz w:val="22"/>
          <w:szCs w:val="22"/>
          <w:lang w:val="sr-Latn-ME"/>
        </w:rPr>
        <w:t>i</w:t>
      </w:r>
      <w:r w:rsidR="00256986" w:rsidRPr="00D123D4">
        <w:rPr>
          <w:sz w:val="22"/>
          <w:szCs w:val="22"/>
          <w:lang w:val="sr-Latn-ME"/>
        </w:rPr>
        <w:t>jenjen</w:t>
      </w:r>
      <w:r w:rsidR="001A0CF2" w:rsidRPr="00D123D4">
        <w:rPr>
          <w:sz w:val="22"/>
          <w:szCs w:val="22"/>
          <w:lang w:val="sr-Latn-ME"/>
        </w:rPr>
        <w:t>e</w:t>
      </w:r>
      <w:r w:rsidR="00256986" w:rsidRPr="00D123D4">
        <w:rPr>
          <w:sz w:val="22"/>
          <w:szCs w:val="22"/>
          <w:lang w:val="sr-Latn-ME"/>
        </w:rPr>
        <w:t xml:space="preserve"> doze</w:t>
      </w:r>
      <w:r w:rsidRPr="00D123D4">
        <w:rPr>
          <w:sz w:val="22"/>
          <w:szCs w:val="22"/>
          <w:lang w:val="sr-Latn-ME"/>
        </w:rPr>
        <w:t xml:space="preserve"> </w:t>
      </w:r>
      <w:r w:rsidR="00416F4C" w:rsidRPr="00D123D4">
        <w:rPr>
          <w:sz w:val="22"/>
          <w:szCs w:val="22"/>
          <w:lang w:val="sr-Latn-ME"/>
        </w:rPr>
        <w:t>okrelizumaba</w:t>
      </w:r>
      <w:r w:rsidR="00EE13AF" w:rsidRPr="00D123D4">
        <w:rPr>
          <w:sz w:val="22"/>
          <w:szCs w:val="22"/>
          <w:lang w:val="sr-Latn-ME"/>
        </w:rPr>
        <w:t>.</w:t>
      </w:r>
    </w:p>
    <w:p w14:paraId="4C6F1AAA" w14:textId="77777777" w:rsidR="002031B3" w:rsidRPr="00D123D4" w:rsidRDefault="002031B3" w:rsidP="00D123D4">
      <w:pPr>
        <w:widowControl w:val="0"/>
        <w:tabs>
          <w:tab w:val="left" w:pos="540"/>
          <w:tab w:val="left" w:pos="569"/>
        </w:tabs>
        <w:rPr>
          <w:sz w:val="22"/>
          <w:szCs w:val="22"/>
          <w:u w:val="single"/>
          <w:lang w:val="sr-Latn-ME"/>
        </w:rPr>
      </w:pPr>
    </w:p>
    <w:p w14:paraId="4C6F1AAB" w14:textId="77777777" w:rsidR="007A3ECB" w:rsidRPr="00D123D4" w:rsidRDefault="007A3ECB" w:rsidP="00D123D4">
      <w:pPr>
        <w:widowControl w:val="0"/>
        <w:tabs>
          <w:tab w:val="left" w:pos="540"/>
          <w:tab w:val="left" w:pos="569"/>
        </w:tabs>
        <w:rPr>
          <w:sz w:val="22"/>
          <w:szCs w:val="22"/>
          <w:u w:val="single"/>
          <w:lang w:val="sr-Latn-ME"/>
        </w:rPr>
      </w:pPr>
      <w:r w:rsidRPr="00D123D4">
        <w:rPr>
          <w:sz w:val="22"/>
          <w:szCs w:val="22"/>
          <w:u w:val="single"/>
          <w:lang w:val="sr-Latn-ME"/>
        </w:rPr>
        <w:t>Trudnoća</w:t>
      </w:r>
    </w:p>
    <w:p w14:paraId="5DF36ABE" w14:textId="77777777" w:rsidR="00DD6A9C" w:rsidRPr="00D123D4" w:rsidRDefault="00DD6A9C" w:rsidP="00D123D4">
      <w:pPr>
        <w:widowControl w:val="0"/>
        <w:jc w:val="both"/>
        <w:rPr>
          <w:sz w:val="22"/>
          <w:szCs w:val="22"/>
          <w:lang w:val="sr-Latn-ME"/>
        </w:rPr>
      </w:pPr>
    </w:p>
    <w:p w14:paraId="5E52E56C" w14:textId="3FB3A941" w:rsidR="00DD6A9C" w:rsidRPr="00D123D4" w:rsidRDefault="00DD6A9C" w:rsidP="00D123D4">
      <w:pPr>
        <w:widowControl w:val="0"/>
        <w:jc w:val="both"/>
        <w:rPr>
          <w:sz w:val="22"/>
          <w:szCs w:val="22"/>
          <w:lang w:val="sr-Latn-ME"/>
        </w:rPr>
      </w:pPr>
      <w:r w:rsidRPr="00D123D4">
        <w:rPr>
          <w:sz w:val="22"/>
          <w:szCs w:val="22"/>
          <w:lang w:val="sr-Latn-ME"/>
        </w:rPr>
        <w:t xml:space="preserve">Količina podataka o primjeni </w:t>
      </w:r>
      <w:r w:rsidR="00416F4C" w:rsidRPr="00D123D4">
        <w:rPr>
          <w:sz w:val="22"/>
          <w:szCs w:val="22"/>
          <w:lang w:val="sr-Latn-ME"/>
        </w:rPr>
        <w:t>okrelizumaba</w:t>
      </w:r>
      <w:r w:rsidR="00EE13AF" w:rsidRPr="00D123D4">
        <w:rPr>
          <w:sz w:val="22"/>
          <w:szCs w:val="22"/>
          <w:lang w:val="sr-Latn-ME"/>
        </w:rPr>
        <w:t xml:space="preserve"> </w:t>
      </w:r>
      <w:r w:rsidRPr="00D123D4">
        <w:rPr>
          <w:sz w:val="22"/>
          <w:szCs w:val="22"/>
          <w:lang w:val="sr-Latn-ME"/>
        </w:rPr>
        <w:t xml:space="preserve">kod trudnica je ograničena. </w:t>
      </w:r>
      <w:r w:rsidR="00EE13AF" w:rsidRPr="00D123D4">
        <w:rPr>
          <w:sz w:val="22"/>
          <w:szCs w:val="22"/>
          <w:lang w:val="sr-Latn-ME"/>
        </w:rPr>
        <w:t xml:space="preserve">Okrelizumab je imunoglobulin G (IgG). Poznato je da IgG prolazi kroz posteljičnu barijeru. </w:t>
      </w:r>
      <w:r w:rsidRPr="00D123D4">
        <w:rPr>
          <w:sz w:val="22"/>
          <w:szCs w:val="22"/>
          <w:lang w:val="sr-Latn-ME"/>
        </w:rPr>
        <w:t xml:space="preserve">Treba razmotriti odlaganje vakcinacije živim ili živim atenuisanim vakcinama kod novorođenčadi i djece koje su rodile majke izložene </w:t>
      </w:r>
      <w:r w:rsidR="00EE13AF" w:rsidRPr="00D123D4">
        <w:rPr>
          <w:sz w:val="22"/>
          <w:szCs w:val="22"/>
          <w:lang w:val="sr-Latn-ME"/>
        </w:rPr>
        <w:t>okrelizumabu</w:t>
      </w:r>
      <w:r w:rsidRPr="00D123D4">
        <w:rPr>
          <w:sz w:val="22"/>
          <w:szCs w:val="22"/>
          <w:lang w:val="sr-Latn-ME"/>
        </w:rPr>
        <w:t xml:space="preserve"> </w:t>
      </w:r>
      <w:r w:rsidRPr="00D123D4">
        <w:rPr>
          <w:i/>
          <w:sz w:val="22"/>
          <w:szCs w:val="22"/>
          <w:lang w:val="sr-Latn-ME"/>
        </w:rPr>
        <w:t>in utero</w:t>
      </w:r>
      <w:r w:rsidRPr="00D123D4">
        <w:rPr>
          <w:sz w:val="22"/>
          <w:szCs w:val="22"/>
          <w:lang w:val="sr-Latn-ME"/>
        </w:rPr>
        <w:t xml:space="preserve">. Nisu prikupljani podaci o B-ćelijama kod novorođenčadi i djece izložene okrelizumabu, te nije poznato potencijalno trajanje deplecije B-ćelija kod novorođenčadi i djece (vidjeti dio 4.4). </w:t>
      </w:r>
    </w:p>
    <w:p w14:paraId="2D383761" w14:textId="77777777" w:rsidR="00DD6A9C" w:rsidRPr="00D123D4" w:rsidRDefault="00DD6A9C" w:rsidP="00D123D4">
      <w:pPr>
        <w:widowControl w:val="0"/>
        <w:jc w:val="both"/>
        <w:rPr>
          <w:sz w:val="22"/>
          <w:szCs w:val="22"/>
          <w:lang w:val="sr-Latn-ME"/>
        </w:rPr>
      </w:pPr>
    </w:p>
    <w:p w14:paraId="60B1413A" w14:textId="2D059A4C" w:rsidR="00DD6A9C" w:rsidRPr="00D123D4" w:rsidRDefault="00DD6A9C" w:rsidP="00D123D4">
      <w:pPr>
        <w:widowControl w:val="0"/>
        <w:jc w:val="both"/>
        <w:rPr>
          <w:sz w:val="22"/>
          <w:szCs w:val="22"/>
          <w:lang w:val="sr-Latn-ME"/>
        </w:rPr>
      </w:pPr>
      <w:r w:rsidRPr="00D123D4">
        <w:rPr>
          <w:sz w:val="22"/>
          <w:szCs w:val="22"/>
          <w:lang w:val="sr-Latn-ME"/>
        </w:rPr>
        <w:t>Kod novorođenčadi majki izloženih drugim anti-CD20 antitijelima tokom trudnoće prijavljene su prolazna deplecija B ćelija u perifernoj krvi i limfocitopenija.</w:t>
      </w:r>
      <w:r w:rsidR="00256986" w:rsidRPr="00D123D4">
        <w:rPr>
          <w:sz w:val="22"/>
          <w:szCs w:val="22"/>
          <w:lang w:val="sr-Latn-ME"/>
        </w:rPr>
        <w:t xml:space="preserve"> </w:t>
      </w:r>
      <w:r w:rsidR="00256986" w:rsidRPr="00D123D4">
        <w:rPr>
          <w:i/>
          <w:iCs/>
          <w:sz w:val="22"/>
          <w:szCs w:val="22"/>
          <w:lang w:val="sr-Latn-ME"/>
        </w:rPr>
        <w:t>In utero</w:t>
      </w:r>
      <w:r w:rsidR="00256986" w:rsidRPr="00D123D4">
        <w:rPr>
          <w:sz w:val="22"/>
          <w:szCs w:val="22"/>
          <w:lang w:val="sr-Latn-ME"/>
        </w:rPr>
        <w:t xml:space="preserve"> </w:t>
      </w:r>
      <w:r w:rsidR="00256986" w:rsidRPr="00D123D4">
        <w:rPr>
          <w:sz w:val="22"/>
          <w:szCs w:val="22"/>
          <w:lang w:val="sr-Latn-ME" w:eastAsia="ja-JP"/>
        </w:rPr>
        <w:t>deplecija B</w:t>
      </w:r>
      <w:r w:rsidR="00256986" w:rsidRPr="00D123D4">
        <w:rPr>
          <w:sz w:val="22"/>
          <w:szCs w:val="22"/>
          <w:lang w:val="sr-Latn-ME" w:eastAsia="ja-JP"/>
        </w:rPr>
        <w:noBreakHyphen/>
        <w:t xml:space="preserve">ćelija </w:t>
      </w:r>
      <w:r w:rsidR="00E90759" w:rsidRPr="00D123D4">
        <w:rPr>
          <w:sz w:val="22"/>
          <w:szCs w:val="22"/>
          <w:lang w:val="sr-Latn-ME" w:eastAsia="ja-JP"/>
        </w:rPr>
        <w:t>zabilježena</w:t>
      </w:r>
      <w:r w:rsidR="00256986" w:rsidRPr="00D123D4">
        <w:rPr>
          <w:sz w:val="22"/>
          <w:szCs w:val="22"/>
          <w:lang w:val="sr-Latn-ME" w:eastAsia="ja-JP"/>
        </w:rPr>
        <w:t xml:space="preserve"> je i u ispitivanjima na životinjama.</w:t>
      </w:r>
    </w:p>
    <w:p w14:paraId="0B2048BB" w14:textId="77777777" w:rsidR="00DD6A9C" w:rsidRPr="00D123D4" w:rsidRDefault="00DD6A9C" w:rsidP="00D123D4">
      <w:pPr>
        <w:widowControl w:val="0"/>
        <w:jc w:val="both"/>
        <w:rPr>
          <w:sz w:val="22"/>
          <w:szCs w:val="22"/>
          <w:lang w:val="sr-Latn-ME"/>
        </w:rPr>
      </w:pPr>
    </w:p>
    <w:p w14:paraId="7092EEAB" w14:textId="7BB421D6" w:rsidR="00DD6A9C" w:rsidRPr="00D123D4" w:rsidRDefault="00DD6A9C" w:rsidP="00D123D4">
      <w:pPr>
        <w:widowControl w:val="0"/>
        <w:jc w:val="both"/>
        <w:rPr>
          <w:sz w:val="22"/>
          <w:szCs w:val="22"/>
          <w:lang w:val="sr-Latn-ME"/>
        </w:rPr>
      </w:pPr>
      <w:r w:rsidRPr="00D123D4">
        <w:rPr>
          <w:sz w:val="22"/>
          <w:szCs w:val="22"/>
          <w:lang w:val="sr-Latn-ME"/>
        </w:rPr>
        <w:t xml:space="preserve">Ispitivanja na životinjama (embriofetalna toksičnost) ne ukazuju na teratogene efekte. U ispitivanjima </w:t>
      </w:r>
      <w:r w:rsidRPr="00D123D4">
        <w:rPr>
          <w:sz w:val="22"/>
          <w:szCs w:val="22"/>
          <w:lang w:val="sr-Latn-ME"/>
        </w:rPr>
        <w:lastRenderedPageBreak/>
        <w:t xml:space="preserve">prenatalnog i postnatalnog razvoja utvrđena je reproduktivna toksičnost (vidjeti dio 5.3). </w:t>
      </w:r>
    </w:p>
    <w:p w14:paraId="4FDB13ED" w14:textId="77777777" w:rsidR="00DD6A9C" w:rsidRPr="00D123D4" w:rsidRDefault="00DD6A9C" w:rsidP="00D123D4">
      <w:pPr>
        <w:widowControl w:val="0"/>
        <w:jc w:val="both"/>
        <w:rPr>
          <w:sz w:val="22"/>
          <w:szCs w:val="22"/>
          <w:lang w:val="sr-Latn-ME"/>
        </w:rPr>
      </w:pPr>
    </w:p>
    <w:p w14:paraId="2298440A" w14:textId="7901E4FB" w:rsidR="00DD6A9C" w:rsidRPr="00D123D4" w:rsidRDefault="00DD6A9C" w:rsidP="00D123D4">
      <w:pPr>
        <w:widowControl w:val="0"/>
        <w:jc w:val="both"/>
        <w:rPr>
          <w:sz w:val="22"/>
          <w:szCs w:val="22"/>
          <w:lang w:val="sr-Latn-ME"/>
        </w:rPr>
      </w:pPr>
      <w:r w:rsidRPr="00D123D4">
        <w:rPr>
          <w:sz w:val="22"/>
          <w:szCs w:val="22"/>
          <w:lang w:val="sr-Latn-ME"/>
        </w:rPr>
        <w:t xml:space="preserve">Primjenu </w:t>
      </w:r>
      <w:r w:rsidR="00416F4C" w:rsidRPr="00D123D4">
        <w:rPr>
          <w:sz w:val="22"/>
          <w:szCs w:val="22"/>
          <w:lang w:val="sr-Latn-ME"/>
        </w:rPr>
        <w:t>okrelizumaba</w:t>
      </w:r>
      <w:r w:rsidR="0023225D" w:rsidRPr="00D123D4">
        <w:rPr>
          <w:sz w:val="22"/>
          <w:szCs w:val="22"/>
          <w:lang w:val="sr-Latn-ME"/>
        </w:rPr>
        <w:t xml:space="preserve"> </w:t>
      </w:r>
      <w:r w:rsidRPr="00D123D4">
        <w:rPr>
          <w:sz w:val="22"/>
          <w:szCs w:val="22"/>
          <w:lang w:val="sr-Latn-ME"/>
        </w:rPr>
        <w:t>treba izbjegavati tokom trudnoće, osim u slučajevima kada moguća korist liječenja za majku opravdava mogući rizik za plod.</w:t>
      </w:r>
    </w:p>
    <w:p w14:paraId="157C62FE" w14:textId="77777777" w:rsidR="00DD6A9C" w:rsidRPr="00D123D4" w:rsidRDefault="00DD6A9C" w:rsidP="00D123D4">
      <w:pPr>
        <w:widowControl w:val="0"/>
        <w:tabs>
          <w:tab w:val="left" w:pos="540"/>
          <w:tab w:val="left" w:pos="569"/>
        </w:tabs>
        <w:rPr>
          <w:sz w:val="22"/>
          <w:szCs w:val="22"/>
          <w:u w:val="single"/>
          <w:lang w:val="sr-Latn-ME"/>
        </w:rPr>
      </w:pPr>
    </w:p>
    <w:p w14:paraId="4C6F1AAD" w14:textId="3928822A" w:rsidR="0072020E" w:rsidRPr="00D123D4" w:rsidRDefault="007A3ECB" w:rsidP="00D123D4">
      <w:pPr>
        <w:widowControl w:val="0"/>
        <w:tabs>
          <w:tab w:val="left" w:pos="540"/>
          <w:tab w:val="left" w:pos="569"/>
        </w:tabs>
        <w:rPr>
          <w:sz w:val="22"/>
          <w:szCs w:val="22"/>
          <w:u w:val="single"/>
          <w:lang w:val="sr-Latn-ME"/>
        </w:rPr>
      </w:pPr>
      <w:r w:rsidRPr="00D123D4">
        <w:rPr>
          <w:sz w:val="22"/>
          <w:szCs w:val="22"/>
          <w:u w:val="single"/>
          <w:lang w:val="sr-Latn-ME"/>
        </w:rPr>
        <w:t xml:space="preserve">Dojenje </w:t>
      </w:r>
    </w:p>
    <w:p w14:paraId="62165581" w14:textId="77777777" w:rsidR="00DD6A9C" w:rsidRPr="00D123D4" w:rsidRDefault="00DD6A9C" w:rsidP="00D123D4">
      <w:pPr>
        <w:widowControl w:val="0"/>
        <w:tabs>
          <w:tab w:val="left" w:pos="540"/>
          <w:tab w:val="left" w:pos="569"/>
        </w:tabs>
        <w:rPr>
          <w:b/>
          <w:bCs/>
          <w:sz w:val="22"/>
          <w:szCs w:val="22"/>
          <w:lang w:val="sr-Latn-ME"/>
        </w:rPr>
      </w:pPr>
    </w:p>
    <w:p w14:paraId="4363C205" w14:textId="40E14AD2" w:rsidR="00F1252B" w:rsidRDefault="00F1252B" w:rsidP="00F1252B">
      <w:pPr>
        <w:jc w:val="both"/>
        <w:rPr>
          <w:sz w:val="22"/>
          <w:szCs w:val="22"/>
        </w:rPr>
      </w:pPr>
      <w:r w:rsidRPr="00252F58">
        <w:rPr>
          <w:sz w:val="22"/>
          <w:szCs w:val="22"/>
        </w:rPr>
        <w:t>Poznato je da se ljudska IgG antit</w:t>
      </w:r>
      <w:r>
        <w:rPr>
          <w:sz w:val="22"/>
          <w:szCs w:val="22"/>
        </w:rPr>
        <w:t>ij</w:t>
      </w:r>
      <w:r w:rsidRPr="00252F58">
        <w:rPr>
          <w:sz w:val="22"/>
          <w:szCs w:val="22"/>
        </w:rPr>
        <w:t>ela izlučuju u majčino ml</w:t>
      </w:r>
      <w:r>
        <w:rPr>
          <w:sz w:val="22"/>
          <w:szCs w:val="22"/>
        </w:rPr>
        <w:t>ij</w:t>
      </w:r>
      <w:r w:rsidRPr="00252F58">
        <w:rPr>
          <w:sz w:val="22"/>
          <w:szCs w:val="22"/>
        </w:rPr>
        <w:t>eko u prvih nekoliko dana nakon porođaja (razdoblje proizvodnje kolostruma) i da njihova koncentracija ubrzo nakon toga pada na nisku vr</w:t>
      </w:r>
      <w:r>
        <w:rPr>
          <w:sz w:val="22"/>
          <w:szCs w:val="22"/>
        </w:rPr>
        <w:t>ij</w:t>
      </w:r>
      <w:r w:rsidRPr="00252F58">
        <w:rPr>
          <w:sz w:val="22"/>
          <w:szCs w:val="22"/>
        </w:rPr>
        <w:t>ednost.</w:t>
      </w:r>
    </w:p>
    <w:p w14:paraId="651705CB" w14:textId="5890A7F4" w:rsidR="00F1252B" w:rsidRPr="00252F58" w:rsidRDefault="00F1252B" w:rsidP="00F1252B">
      <w:pPr>
        <w:outlineLvl w:val="0"/>
        <w:rPr>
          <w:color w:val="000000"/>
          <w:sz w:val="22"/>
          <w:szCs w:val="22"/>
        </w:rPr>
      </w:pPr>
      <w:r w:rsidRPr="00252F58">
        <w:rPr>
          <w:sz w:val="22"/>
          <w:szCs w:val="22"/>
        </w:rPr>
        <w:t xml:space="preserve">U prospektivnoj, multicentričnoj, otvorenoj studiji MN42989 (SOPRANINO), 13 dojilja je primalo okrelizumab </w:t>
      </w:r>
      <w:r w:rsidR="00920BA0">
        <w:rPr>
          <w:sz w:val="22"/>
          <w:szCs w:val="22"/>
        </w:rPr>
        <w:t>sa medijanom vrijemena</w:t>
      </w:r>
      <w:r w:rsidRPr="00252F58">
        <w:rPr>
          <w:sz w:val="22"/>
          <w:szCs w:val="22"/>
        </w:rPr>
        <w:t xml:space="preserve"> od 2.0 m</w:t>
      </w:r>
      <w:r>
        <w:rPr>
          <w:sz w:val="22"/>
          <w:szCs w:val="22"/>
        </w:rPr>
        <w:t>j</w:t>
      </w:r>
      <w:r w:rsidRPr="00252F58">
        <w:rPr>
          <w:sz w:val="22"/>
          <w:szCs w:val="22"/>
        </w:rPr>
        <w:t xml:space="preserve">eseca nakon porođaja (raspon: 0.5 </w:t>
      </w:r>
      <w:r w:rsidRPr="00252F58">
        <w:rPr>
          <w:color w:val="000000"/>
          <w:sz w:val="22"/>
          <w:szCs w:val="22"/>
        </w:rPr>
        <w:t>–</w:t>
      </w:r>
      <w:r w:rsidRPr="00252F58">
        <w:rPr>
          <w:sz w:val="22"/>
          <w:szCs w:val="22"/>
        </w:rPr>
        <w:t xml:space="preserve"> 5.0 meseci). Utvrđene su niske koncentracije okrelizumaba u majčinom ml</w:t>
      </w:r>
      <w:r>
        <w:rPr>
          <w:sz w:val="22"/>
          <w:szCs w:val="22"/>
        </w:rPr>
        <w:t>ij</w:t>
      </w:r>
      <w:r w:rsidRPr="00252F58">
        <w:rPr>
          <w:sz w:val="22"/>
          <w:szCs w:val="22"/>
        </w:rPr>
        <w:t>eku tokom 60 dana od prve infuzije koju je majka primila posle porođaja (medijana relativne doze kod odoj</w:t>
      </w:r>
      <w:r w:rsidRPr="00252F58">
        <w:rPr>
          <w:sz w:val="22"/>
          <w:szCs w:val="22"/>
          <w:lang w:val="sr-Latn-RS"/>
        </w:rPr>
        <w:t>četa</w:t>
      </w:r>
      <w:r w:rsidRPr="00252F58">
        <w:rPr>
          <w:sz w:val="22"/>
          <w:szCs w:val="22"/>
        </w:rPr>
        <w:t xml:space="preserve"> od 0,27% </w:t>
      </w:r>
      <w:r w:rsidRPr="00252F58">
        <w:rPr>
          <w:color w:val="000000"/>
          <w:sz w:val="22"/>
          <w:szCs w:val="22"/>
        </w:rPr>
        <w:t xml:space="preserve">[raspon: 0,0 – 1,8%]), što ukazuje na minimalan </w:t>
      </w:r>
      <w:r w:rsidR="00920BA0">
        <w:rPr>
          <w:color w:val="000000"/>
          <w:sz w:val="22"/>
          <w:szCs w:val="22"/>
        </w:rPr>
        <w:t>prenos</w:t>
      </w:r>
      <w:r w:rsidRPr="00252F58">
        <w:rPr>
          <w:color w:val="000000"/>
          <w:sz w:val="22"/>
          <w:szCs w:val="22"/>
        </w:rPr>
        <w:t xml:space="preserve"> okrelizumaba u majčino ml</w:t>
      </w:r>
      <w:r>
        <w:rPr>
          <w:color w:val="000000"/>
          <w:sz w:val="22"/>
          <w:szCs w:val="22"/>
        </w:rPr>
        <w:t>ij</w:t>
      </w:r>
      <w:r w:rsidRPr="00252F58">
        <w:rPr>
          <w:color w:val="000000"/>
          <w:sz w:val="22"/>
          <w:szCs w:val="22"/>
        </w:rPr>
        <w:t xml:space="preserve">eko. Nakon 30 dana od prve infuzije koju je majka primila posle porođaja, </w:t>
      </w:r>
      <w:r w:rsidR="00920BA0">
        <w:rPr>
          <w:color w:val="000000"/>
          <w:sz w:val="22"/>
          <w:szCs w:val="22"/>
        </w:rPr>
        <w:t>prisustvo</w:t>
      </w:r>
      <w:r w:rsidRPr="00252F58">
        <w:rPr>
          <w:color w:val="000000"/>
          <w:sz w:val="22"/>
          <w:szCs w:val="22"/>
        </w:rPr>
        <w:t xml:space="preserve"> okrelizumaba se nije mogla utvrditi u svim dostupnim uzorcima seruma odojčadi (n=9), a vr</w:t>
      </w:r>
      <w:r>
        <w:rPr>
          <w:color w:val="000000"/>
          <w:sz w:val="22"/>
          <w:szCs w:val="22"/>
        </w:rPr>
        <w:t>ij</w:t>
      </w:r>
      <w:r w:rsidRPr="00252F58">
        <w:rPr>
          <w:color w:val="000000"/>
          <w:sz w:val="22"/>
          <w:szCs w:val="22"/>
        </w:rPr>
        <w:t>ednosti B ćelija kod odojčadi su bile unutar normalnog raspona u svim dostupnim uzorcima krvi (n=10). Ni</w:t>
      </w:r>
      <w:r>
        <w:rPr>
          <w:color w:val="000000"/>
          <w:sz w:val="22"/>
          <w:szCs w:val="22"/>
        </w:rPr>
        <w:t>je</w:t>
      </w:r>
      <w:r w:rsidRPr="00252F58">
        <w:rPr>
          <w:color w:val="000000"/>
          <w:sz w:val="22"/>
          <w:szCs w:val="22"/>
        </w:rPr>
        <w:t>su uočeni efekti okrelizumaba na zdravlje, rast i razvoj odojčadi tokom perioda praćenja od 44.6 ned</w:t>
      </w:r>
      <w:r>
        <w:rPr>
          <w:color w:val="000000"/>
          <w:sz w:val="22"/>
          <w:szCs w:val="22"/>
        </w:rPr>
        <w:t>j</w:t>
      </w:r>
      <w:r w:rsidRPr="00252F58">
        <w:rPr>
          <w:color w:val="000000"/>
          <w:sz w:val="22"/>
          <w:szCs w:val="22"/>
        </w:rPr>
        <w:t>elja (raspon: 8.6 – 62.7 ned</w:t>
      </w:r>
      <w:r>
        <w:rPr>
          <w:color w:val="000000"/>
          <w:sz w:val="22"/>
          <w:szCs w:val="22"/>
        </w:rPr>
        <w:t>j</w:t>
      </w:r>
      <w:r w:rsidRPr="00252F58">
        <w:rPr>
          <w:color w:val="000000"/>
          <w:sz w:val="22"/>
          <w:szCs w:val="22"/>
        </w:rPr>
        <w:t>elja).</w:t>
      </w:r>
    </w:p>
    <w:p w14:paraId="3F461DA1" w14:textId="77777777" w:rsidR="00F1252B" w:rsidRPr="00252F58" w:rsidRDefault="00F1252B" w:rsidP="00F1252B">
      <w:pPr>
        <w:outlineLvl w:val="0"/>
        <w:rPr>
          <w:color w:val="000000"/>
          <w:sz w:val="22"/>
          <w:szCs w:val="22"/>
        </w:rPr>
      </w:pPr>
    </w:p>
    <w:p w14:paraId="7FEB7E01" w14:textId="6DB74E28" w:rsidR="00F1252B" w:rsidRPr="00252F58" w:rsidRDefault="00F1252B" w:rsidP="00F1252B">
      <w:pPr>
        <w:outlineLvl w:val="0"/>
        <w:rPr>
          <w:color w:val="000000"/>
          <w:sz w:val="22"/>
          <w:szCs w:val="22"/>
        </w:rPr>
      </w:pPr>
      <w:r w:rsidRPr="00252F58">
        <w:rPr>
          <w:color w:val="000000"/>
          <w:sz w:val="22"/>
          <w:szCs w:val="22"/>
        </w:rPr>
        <w:t>Iako ni</w:t>
      </w:r>
      <w:r>
        <w:rPr>
          <w:color w:val="000000"/>
          <w:sz w:val="22"/>
          <w:szCs w:val="22"/>
        </w:rPr>
        <w:t>je</w:t>
      </w:r>
      <w:r w:rsidRPr="00252F58">
        <w:rPr>
          <w:color w:val="000000"/>
          <w:sz w:val="22"/>
          <w:szCs w:val="22"/>
        </w:rPr>
        <w:t>su dostupni klinički podaci o prim</w:t>
      </w:r>
      <w:r>
        <w:rPr>
          <w:color w:val="000000"/>
          <w:sz w:val="22"/>
          <w:szCs w:val="22"/>
        </w:rPr>
        <w:t>j</w:t>
      </w:r>
      <w:r w:rsidRPr="00252F58">
        <w:rPr>
          <w:color w:val="000000"/>
          <w:sz w:val="22"/>
          <w:szCs w:val="22"/>
        </w:rPr>
        <w:t>eni živih ili živih atenuisanih vakcina kod odojčadi koja je potencijalno izložena okrelizumabu putem majčinog ml</w:t>
      </w:r>
      <w:r>
        <w:rPr>
          <w:color w:val="000000"/>
          <w:sz w:val="22"/>
          <w:szCs w:val="22"/>
        </w:rPr>
        <w:t>ij</w:t>
      </w:r>
      <w:r w:rsidRPr="00252F58">
        <w:rPr>
          <w:color w:val="000000"/>
          <w:sz w:val="22"/>
          <w:szCs w:val="22"/>
        </w:rPr>
        <w:t>eka, zbog normalnih vr</w:t>
      </w:r>
      <w:r>
        <w:rPr>
          <w:color w:val="000000"/>
          <w:sz w:val="22"/>
          <w:szCs w:val="22"/>
        </w:rPr>
        <w:t>ij</w:t>
      </w:r>
      <w:r w:rsidRPr="00252F58">
        <w:rPr>
          <w:color w:val="000000"/>
          <w:sz w:val="22"/>
          <w:szCs w:val="22"/>
        </w:rPr>
        <w:t>ednosti B ćelija i nem</w:t>
      </w:r>
      <w:r w:rsidR="00920BA0">
        <w:rPr>
          <w:color w:val="000000"/>
          <w:sz w:val="22"/>
          <w:szCs w:val="22"/>
        </w:rPr>
        <w:t>j</w:t>
      </w:r>
      <w:r w:rsidRPr="00252F58">
        <w:rPr>
          <w:color w:val="000000"/>
          <w:sz w:val="22"/>
          <w:szCs w:val="22"/>
        </w:rPr>
        <w:t>erljive vr</w:t>
      </w:r>
      <w:r>
        <w:rPr>
          <w:color w:val="000000"/>
          <w:sz w:val="22"/>
          <w:szCs w:val="22"/>
        </w:rPr>
        <w:t>ij</w:t>
      </w:r>
      <w:r w:rsidRPr="00252F58">
        <w:rPr>
          <w:color w:val="000000"/>
          <w:sz w:val="22"/>
          <w:szCs w:val="22"/>
        </w:rPr>
        <w:t>ednosti okrelizumaba u serumu te odojčadi, ne očekuje se rizik.</w:t>
      </w:r>
    </w:p>
    <w:p w14:paraId="084DE860" w14:textId="77777777" w:rsidR="00F1252B" w:rsidRPr="00252F58" w:rsidRDefault="00F1252B" w:rsidP="00F1252B">
      <w:pPr>
        <w:outlineLvl w:val="0"/>
        <w:rPr>
          <w:color w:val="000000"/>
          <w:sz w:val="22"/>
          <w:szCs w:val="22"/>
        </w:rPr>
      </w:pPr>
    </w:p>
    <w:p w14:paraId="2FD84FAB" w14:textId="47926A3C" w:rsidR="00F1252B" w:rsidRPr="00252F58" w:rsidRDefault="00F1252B" w:rsidP="00F1252B">
      <w:pPr>
        <w:outlineLvl w:val="0"/>
        <w:rPr>
          <w:color w:val="000000"/>
          <w:sz w:val="22"/>
          <w:szCs w:val="22"/>
        </w:rPr>
      </w:pPr>
      <w:r w:rsidRPr="00252F58">
        <w:rPr>
          <w:color w:val="000000"/>
          <w:sz w:val="22"/>
          <w:szCs w:val="22"/>
          <w:lang w:val="pt-BR"/>
        </w:rPr>
        <w:t xml:space="preserve">U odvojenoj prospektivnoj kliničkoj studiji, kod 29 dojilja koje su primale okrelizumab </w:t>
      </w:r>
      <w:r w:rsidR="00920BA0">
        <w:rPr>
          <w:color w:val="000000"/>
          <w:sz w:val="22"/>
          <w:szCs w:val="22"/>
          <w:lang w:val="pt-BR"/>
        </w:rPr>
        <w:t>sa medijanom vrijemena</w:t>
      </w:r>
      <w:r w:rsidRPr="00252F58">
        <w:rPr>
          <w:color w:val="000000"/>
          <w:sz w:val="22"/>
          <w:szCs w:val="22"/>
          <w:lang w:val="pt-BR"/>
        </w:rPr>
        <w:t xml:space="preserve"> od 4.3 m</w:t>
      </w:r>
      <w:r>
        <w:rPr>
          <w:color w:val="000000"/>
          <w:sz w:val="22"/>
          <w:szCs w:val="22"/>
          <w:lang w:val="pt-BR"/>
        </w:rPr>
        <w:t>j</w:t>
      </w:r>
      <w:r w:rsidRPr="00252F58">
        <w:rPr>
          <w:color w:val="000000"/>
          <w:sz w:val="22"/>
          <w:szCs w:val="22"/>
          <w:lang w:val="pt-BR"/>
        </w:rPr>
        <w:t xml:space="preserve">eseca nakon porođaja (raspon: 0.1 </w:t>
      </w:r>
      <w:r w:rsidRPr="00252F58">
        <w:rPr>
          <w:color w:val="000000"/>
          <w:sz w:val="22"/>
          <w:szCs w:val="22"/>
        </w:rPr>
        <w:t>– 36 m</w:t>
      </w:r>
      <w:r>
        <w:rPr>
          <w:color w:val="000000"/>
          <w:sz w:val="22"/>
          <w:szCs w:val="22"/>
        </w:rPr>
        <w:t>j</w:t>
      </w:r>
      <w:r w:rsidRPr="00252F58">
        <w:rPr>
          <w:color w:val="000000"/>
          <w:sz w:val="22"/>
          <w:szCs w:val="22"/>
        </w:rPr>
        <w:t>eseci), prim</w:t>
      </w:r>
      <w:r>
        <w:rPr>
          <w:color w:val="000000"/>
          <w:sz w:val="22"/>
          <w:szCs w:val="22"/>
        </w:rPr>
        <w:t>ij</w:t>
      </w:r>
      <w:r w:rsidRPr="00252F58">
        <w:rPr>
          <w:color w:val="000000"/>
          <w:sz w:val="22"/>
          <w:szCs w:val="22"/>
        </w:rPr>
        <w:t>ećene su niske koncentracije okrelizumaba u majčinom ml</w:t>
      </w:r>
      <w:r>
        <w:rPr>
          <w:color w:val="000000"/>
          <w:sz w:val="22"/>
          <w:szCs w:val="22"/>
        </w:rPr>
        <w:t>ij</w:t>
      </w:r>
      <w:r w:rsidRPr="00252F58">
        <w:rPr>
          <w:color w:val="000000"/>
          <w:sz w:val="22"/>
          <w:szCs w:val="22"/>
        </w:rPr>
        <w:t>eku (medijana relativne doze kod odojčeta od 0,1% [raspon: 0,07 - 0,7%]) tokom 90 dana od prve infuzije koju je majka primila posle porođaja. Praćenje 21 odojčeta, koje je dojeno najmanje 2 ned</w:t>
      </w:r>
      <w:r>
        <w:rPr>
          <w:color w:val="000000"/>
          <w:sz w:val="22"/>
          <w:szCs w:val="22"/>
        </w:rPr>
        <w:t>j</w:t>
      </w:r>
      <w:r w:rsidRPr="00252F58">
        <w:rPr>
          <w:color w:val="000000"/>
          <w:sz w:val="22"/>
          <w:szCs w:val="22"/>
        </w:rPr>
        <w:t>elje, pokazalo je normalan rast i razvoj do 1 godine.</w:t>
      </w:r>
    </w:p>
    <w:p w14:paraId="18750DB8" w14:textId="77777777" w:rsidR="00F1252B" w:rsidRPr="00252F58" w:rsidRDefault="00F1252B" w:rsidP="00F1252B">
      <w:pPr>
        <w:outlineLvl w:val="0"/>
        <w:rPr>
          <w:color w:val="000000"/>
          <w:sz w:val="22"/>
          <w:szCs w:val="22"/>
        </w:rPr>
      </w:pPr>
    </w:p>
    <w:p w14:paraId="5D9C00F7" w14:textId="4561CCBC" w:rsidR="00F1252B" w:rsidRPr="00252F58" w:rsidRDefault="00F1252B" w:rsidP="00F1252B">
      <w:pPr>
        <w:outlineLvl w:val="0"/>
        <w:rPr>
          <w:color w:val="000000"/>
          <w:sz w:val="22"/>
          <w:szCs w:val="22"/>
          <w:lang w:val="pt-BR"/>
        </w:rPr>
      </w:pPr>
      <w:r w:rsidRPr="00252F58">
        <w:rPr>
          <w:color w:val="000000"/>
          <w:sz w:val="22"/>
          <w:szCs w:val="22"/>
        </w:rPr>
        <w:t>Okrelizumab se može prim</w:t>
      </w:r>
      <w:r w:rsidR="00EA79AA">
        <w:rPr>
          <w:color w:val="000000"/>
          <w:sz w:val="22"/>
          <w:szCs w:val="22"/>
        </w:rPr>
        <w:t>j</w:t>
      </w:r>
      <w:r w:rsidRPr="00252F58">
        <w:rPr>
          <w:color w:val="000000"/>
          <w:sz w:val="22"/>
          <w:szCs w:val="22"/>
        </w:rPr>
        <w:t>enjivati tokom dojenja, počevši nekoliko dana nakon porođaja.</w:t>
      </w:r>
    </w:p>
    <w:p w14:paraId="5FC5C9DB" w14:textId="77777777" w:rsidR="00F1252B" w:rsidRPr="00D123D4" w:rsidRDefault="00F1252B" w:rsidP="00D123D4">
      <w:pPr>
        <w:widowControl w:val="0"/>
        <w:jc w:val="both"/>
        <w:rPr>
          <w:sz w:val="22"/>
          <w:szCs w:val="22"/>
          <w:lang w:val="sr-Latn-ME"/>
        </w:rPr>
      </w:pPr>
    </w:p>
    <w:p w14:paraId="4C6F1AAE" w14:textId="77777777" w:rsidR="00227BDB" w:rsidRPr="00D123D4" w:rsidRDefault="00227BDB" w:rsidP="00D123D4">
      <w:pPr>
        <w:widowControl w:val="0"/>
        <w:tabs>
          <w:tab w:val="left" w:pos="540"/>
          <w:tab w:val="left" w:pos="569"/>
        </w:tabs>
        <w:rPr>
          <w:b/>
          <w:bCs/>
          <w:sz w:val="22"/>
          <w:szCs w:val="22"/>
          <w:lang w:val="sr-Latn-ME"/>
        </w:rPr>
      </w:pPr>
    </w:p>
    <w:p w14:paraId="4C6F1AAF" w14:textId="77777777" w:rsidR="0072020E" w:rsidRPr="00D123D4" w:rsidRDefault="0072020E" w:rsidP="00D123D4">
      <w:pPr>
        <w:widowControl w:val="0"/>
        <w:tabs>
          <w:tab w:val="left" w:pos="540"/>
          <w:tab w:val="left" w:pos="569"/>
        </w:tabs>
        <w:rPr>
          <w:b/>
          <w:bCs/>
          <w:sz w:val="22"/>
          <w:szCs w:val="22"/>
          <w:lang w:val="sr-Latn-ME"/>
        </w:rPr>
      </w:pPr>
      <w:r w:rsidRPr="00D123D4">
        <w:rPr>
          <w:b/>
          <w:bCs/>
          <w:sz w:val="22"/>
          <w:szCs w:val="22"/>
          <w:lang w:val="sr-Latn-ME"/>
        </w:rPr>
        <w:t xml:space="preserve">4.7. </w:t>
      </w:r>
      <w:r w:rsidR="00480FB1" w:rsidRPr="00D123D4">
        <w:rPr>
          <w:b/>
          <w:bCs/>
          <w:sz w:val="22"/>
          <w:szCs w:val="22"/>
          <w:lang w:val="sr-Latn-ME"/>
        </w:rPr>
        <w:tab/>
      </w:r>
      <w:r w:rsidRPr="00D123D4">
        <w:rPr>
          <w:b/>
          <w:bCs/>
          <w:sz w:val="22"/>
          <w:szCs w:val="22"/>
          <w:lang w:val="sr-Latn-ME"/>
        </w:rPr>
        <w:t xml:space="preserve">Uticaj na </w:t>
      </w:r>
      <w:r w:rsidR="002031B3" w:rsidRPr="00D123D4">
        <w:rPr>
          <w:b/>
          <w:bCs/>
          <w:sz w:val="22"/>
          <w:szCs w:val="22"/>
          <w:lang w:val="sr-Latn-ME"/>
        </w:rPr>
        <w:t xml:space="preserve">sposobnost </w:t>
      </w:r>
      <w:r w:rsidR="00F34554" w:rsidRPr="00D123D4">
        <w:rPr>
          <w:b/>
          <w:bCs/>
          <w:sz w:val="22"/>
          <w:szCs w:val="22"/>
          <w:lang w:val="sr-Latn-ME"/>
        </w:rPr>
        <w:t>upravljanja vozili</w:t>
      </w:r>
      <w:r w:rsidRPr="00D123D4">
        <w:rPr>
          <w:b/>
          <w:bCs/>
          <w:sz w:val="22"/>
          <w:szCs w:val="22"/>
          <w:lang w:val="sr-Latn-ME"/>
        </w:rPr>
        <w:t>m</w:t>
      </w:r>
      <w:r w:rsidR="00F34554" w:rsidRPr="00D123D4">
        <w:rPr>
          <w:b/>
          <w:bCs/>
          <w:sz w:val="22"/>
          <w:szCs w:val="22"/>
          <w:lang w:val="sr-Latn-ME"/>
        </w:rPr>
        <w:t>a</w:t>
      </w:r>
      <w:r w:rsidRPr="00D123D4">
        <w:rPr>
          <w:b/>
          <w:bCs/>
          <w:sz w:val="22"/>
          <w:szCs w:val="22"/>
          <w:lang w:val="sr-Latn-ME"/>
        </w:rPr>
        <w:t xml:space="preserve"> i </w:t>
      </w:r>
      <w:r w:rsidR="000D3449" w:rsidRPr="00D123D4">
        <w:rPr>
          <w:b/>
          <w:bCs/>
          <w:sz w:val="22"/>
          <w:szCs w:val="22"/>
          <w:lang w:val="sr-Latn-ME"/>
        </w:rPr>
        <w:t xml:space="preserve">rukovanje </w:t>
      </w:r>
      <w:r w:rsidRPr="00D123D4">
        <w:rPr>
          <w:b/>
          <w:bCs/>
          <w:sz w:val="22"/>
          <w:szCs w:val="22"/>
          <w:lang w:val="sr-Latn-ME"/>
        </w:rPr>
        <w:t>mašinama</w:t>
      </w:r>
    </w:p>
    <w:p w14:paraId="4C6F1AB0" w14:textId="42AD4386" w:rsidR="0072020E" w:rsidRPr="00D123D4" w:rsidRDefault="0072020E" w:rsidP="00D123D4">
      <w:pPr>
        <w:widowControl w:val="0"/>
        <w:tabs>
          <w:tab w:val="left" w:pos="540"/>
          <w:tab w:val="left" w:pos="569"/>
        </w:tabs>
        <w:rPr>
          <w:b/>
          <w:bCs/>
          <w:sz w:val="22"/>
          <w:szCs w:val="22"/>
          <w:lang w:val="sr-Latn-ME"/>
        </w:rPr>
      </w:pPr>
    </w:p>
    <w:p w14:paraId="23196201" w14:textId="77777777" w:rsidR="00DD6A9C" w:rsidRPr="00D123D4" w:rsidRDefault="00DD6A9C" w:rsidP="00E0624C">
      <w:pPr>
        <w:widowControl w:val="0"/>
        <w:jc w:val="both"/>
        <w:rPr>
          <w:sz w:val="22"/>
          <w:szCs w:val="22"/>
          <w:lang w:val="sr-Latn-ME"/>
        </w:rPr>
      </w:pPr>
      <w:r w:rsidRPr="00D123D4">
        <w:rPr>
          <w:sz w:val="22"/>
          <w:szCs w:val="22"/>
          <w:lang w:val="sr-Latn-ME"/>
        </w:rPr>
        <w:t>Lijek Ocrevus ne utiče ili zanemarljivo utiče na sposobnost upravljanja motornim vozilima i rukovanja mašinama.</w:t>
      </w:r>
    </w:p>
    <w:p w14:paraId="0C044A78" w14:textId="77777777" w:rsidR="00DD6A9C" w:rsidRPr="00D123D4" w:rsidRDefault="00DD6A9C" w:rsidP="00E0624C">
      <w:pPr>
        <w:widowControl w:val="0"/>
        <w:tabs>
          <w:tab w:val="left" w:pos="540"/>
          <w:tab w:val="left" w:pos="569"/>
        </w:tabs>
        <w:jc w:val="both"/>
        <w:rPr>
          <w:b/>
          <w:bCs/>
          <w:sz w:val="22"/>
          <w:szCs w:val="22"/>
          <w:lang w:val="sr-Latn-ME"/>
        </w:rPr>
      </w:pPr>
    </w:p>
    <w:p w14:paraId="4C6F1AB1" w14:textId="3AE02A6B" w:rsidR="0072020E" w:rsidRPr="00D123D4" w:rsidRDefault="0072020E" w:rsidP="00E0624C">
      <w:pPr>
        <w:widowControl w:val="0"/>
        <w:tabs>
          <w:tab w:val="left" w:pos="540"/>
          <w:tab w:val="left" w:pos="569"/>
        </w:tabs>
        <w:jc w:val="both"/>
        <w:rPr>
          <w:b/>
          <w:bCs/>
          <w:sz w:val="22"/>
          <w:szCs w:val="22"/>
          <w:lang w:val="sr-Latn-ME"/>
        </w:rPr>
      </w:pPr>
      <w:r w:rsidRPr="00D123D4">
        <w:rPr>
          <w:b/>
          <w:bCs/>
          <w:sz w:val="22"/>
          <w:szCs w:val="22"/>
          <w:lang w:val="sr-Latn-ME"/>
        </w:rPr>
        <w:t xml:space="preserve">4.8. </w:t>
      </w:r>
      <w:r w:rsidR="00480FB1" w:rsidRPr="00D123D4">
        <w:rPr>
          <w:b/>
          <w:bCs/>
          <w:sz w:val="22"/>
          <w:szCs w:val="22"/>
          <w:lang w:val="sr-Latn-ME"/>
        </w:rPr>
        <w:tab/>
      </w:r>
      <w:r w:rsidRPr="00D123D4">
        <w:rPr>
          <w:b/>
          <w:bCs/>
          <w:sz w:val="22"/>
          <w:szCs w:val="22"/>
          <w:lang w:val="sr-Latn-ME"/>
        </w:rPr>
        <w:t>Neželjena dejstva</w:t>
      </w:r>
    </w:p>
    <w:p w14:paraId="44C82C81" w14:textId="366F8BAE" w:rsidR="00DD6A9C" w:rsidRPr="00D123D4" w:rsidRDefault="00DD6A9C" w:rsidP="00E0624C">
      <w:pPr>
        <w:widowControl w:val="0"/>
        <w:tabs>
          <w:tab w:val="left" w:pos="540"/>
          <w:tab w:val="left" w:pos="569"/>
        </w:tabs>
        <w:jc w:val="both"/>
        <w:rPr>
          <w:b/>
          <w:bCs/>
          <w:sz w:val="22"/>
          <w:szCs w:val="22"/>
          <w:lang w:val="sr-Latn-ME"/>
        </w:rPr>
      </w:pPr>
    </w:p>
    <w:p w14:paraId="05E4F5B9" w14:textId="77777777" w:rsidR="00DD6A9C" w:rsidRPr="00D123D4" w:rsidRDefault="00DD6A9C" w:rsidP="00E0624C">
      <w:pPr>
        <w:widowControl w:val="0"/>
        <w:jc w:val="both"/>
        <w:rPr>
          <w:sz w:val="22"/>
          <w:szCs w:val="22"/>
          <w:u w:val="single"/>
          <w:lang w:val="sr-Latn-ME" w:eastAsia="ja-JP"/>
        </w:rPr>
      </w:pPr>
      <w:r w:rsidRPr="00D123D4">
        <w:rPr>
          <w:sz w:val="22"/>
          <w:szCs w:val="22"/>
          <w:u w:val="single"/>
          <w:lang w:val="sr-Latn-ME" w:eastAsia="ja-JP"/>
        </w:rPr>
        <w:t xml:space="preserve">Sažetak bezbjednosnog profila </w:t>
      </w:r>
    </w:p>
    <w:p w14:paraId="3BB36EF5" w14:textId="77777777" w:rsidR="00DD6A9C" w:rsidRPr="00D123D4" w:rsidRDefault="00DD6A9C" w:rsidP="00E0624C">
      <w:pPr>
        <w:widowControl w:val="0"/>
        <w:jc w:val="both"/>
        <w:rPr>
          <w:sz w:val="22"/>
          <w:szCs w:val="22"/>
          <w:lang w:val="sr-Latn-ME" w:eastAsia="ja-JP"/>
        </w:rPr>
      </w:pPr>
    </w:p>
    <w:p w14:paraId="6DB4820C" w14:textId="48830FFE" w:rsidR="00DD6A9C" w:rsidRPr="00D123D4" w:rsidRDefault="007B6128" w:rsidP="00E0624C">
      <w:pPr>
        <w:widowControl w:val="0"/>
        <w:jc w:val="both"/>
        <w:rPr>
          <w:sz w:val="22"/>
          <w:szCs w:val="22"/>
          <w:lang w:val="sr-Latn-ME" w:eastAsia="ja-JP"/>
        </w:rPr>
      </w:pPr>
      <w:r w:rsidRPr="00D123D4">
        <w:rPr>
          <w:sz w:val="22"/>
          <w:lang w:val="sr-Latn-ME"/>
        </w:rPr>
        <w:t xml:space="preserve">U kontrolisanom periodu pivotalnih kliničkih ispitivanja </w:t>
      </w:r>
      <w:r w:rsidRPr="00D123D4">
        <w:rPr>
          <w:sz w:val="22"/>
          <w:szCs w:val="22"/>
          <w:lang w:val="sr-Latn-ME" w:eastAsia="ja-JP"/>
        </w:rPr>
        <w:t xml:space="preserve">najvažnija </w:t>
      </w:r>
      <w:r w:rsidR="00DD6A9C" w:rsidRPr="00D123D4">
        <w:rPr>
          <w:sz w:val="22"/>
          <w:szCs w:val="22"/>
          <w:lang w:val="sr-Latn-ME" w:eastAsia="ja-JP"/>
        </w:rPr>
        <w:t>i najčešće prijavljivana neželjena dejstva bile su reakcije na infuziju</w:t>
      </w:r>
      <w:r w:rsidR="00EE13AF" w:rsidRPr="00D123D4">
        <w:rPr>
          <w:sz w:val="22"/>
          <w:szCs w:val="22"/>
          <w:lang w:val="sr-Latn-ME" w:eastAsia="ja-JP"/>
        </w:rPr>
        <w:t xml:space="preserve"> (34,3% kod RMS</w:t>
      </w:r>
      <w:r w:rsidR="00EE13AF" w:rsidRPr="00D123D4">
        <w:rPr>
          <w:sz w:val="22"/>
          <w:szCs w:val="22"/>
          <w:lang w:val="sr-Latn-ME" w:eastAsia="ja-JP"/>
        </w:rPr>
        <w:noBreakHyphen/>
        <w:t>a odnosno 40,1% kod PPMS</w:t>
      </w:r>
      <w:r w:rsidR="00EE13AF" w:rsidRPr="00D123D4">
        <w:rPr>
          <w:sz w:val="22"/>
          <w:szCs w:val="22"/>
          <w:lang w:val="sr-Latn-ME" w:eastAsia="ja-JP"/>
        </w:rPr>
        <w:noBreakHyphen/>
        <w:t>a)</w:t>
      </w:r>
      <w:r w:rsidR="00DD6A9C" w:rsidRPr="00D123D4">
        <w:rPr>
          <w:sz w:val="22"/>
          <w:szCs w:val="22"/>
          <w:lang w:val="sr-Latn-ME" w:eastAsia="ja-JP"/>
        </w:rPr>
        <w:t xml:space="preserve"> i infekcije</w:t>
      </w:r>
      <w:r w:rsidR="00EE13AF" w:rsidRPr="00D123D4">
        <w:rPr>
          <w:sz w:val="22"/>
          <w:szCs w:val="22"/>
          <w:lang w:val="sr-Latn-ME" w:eastAsia="ja-JP"/>
        </w:rPr>
        <w:t xml:space="preserve"> (58,5% kod RMS</w:t>
      </w:r>
      <w:r w:rsidR="00EE13AF" w:rsidRPr="00D123D4">
        <w:rPr>
          <w:sz w:val="22"/>
          <w:szCs w:val="22"/>
          <w:lang w:val="sr-Latn-ME" w:eastAsia="ja-JP"/>
        </w:rPr>
        <w:noBreakHyphen/>
        <w:t>a odnosno 72,2% kod PPMS</w:t>
      </w:r>
      <w:r w:rsidR="00EE13AF" w:rsidRPr="00D123D4">
        <w:rPr>
          <w:sz w:val="22"/>
          <w:szCs w:val="22"/>
          <w:lang w:val="sr-Latn-ME" w:eastAsia="ja-JP"/>
        </w:rPr>
        <w:noBreakHyphen/>
        <w:t>a)</w:t>
      </w:r>
      <w:r w:rsidR="00DD6A9C" w:rsidRPr="00D123D4">
        <w:rPr>
          <w:sz w:val="22"/>
          <w:szCs w:val="22"/>
          <w:lang w:val="sr-Latn-ME" w:eastAsia="ja-JP"/>
        </w:rPr>
        <w:t xml:space="preserve"> </w:t>
      </w:r>
      <w:r w:rsidR="00EE13AF" w:rsidRPr="00D123D4">
        <w:rPr>
          <w:sz w:val="22"/>
          <w:szCs w:val="22"/>
          <w:lang w:val="sr-Latn-ME" w:eastAsia="ja-JP"/>
        </w:rPr>
        <w:t>(</w:t>
      </w:r>
      <w:r w:rsidR="00DD6A9C" w:rsidRPr="00D123D4">
        <w:rPr>
          <w:sz w:val="22"/>
          <w:szCs w:val="22"/>
          <w:lang w:val="sr-Latn-ME" w:eastAsia="ja-JP"/>
        </w:rPr>
        <w:t>vidjeti d</w:t>
      </w:r>
      <w:r w:rsidR="00EE13AF" w:rsidRPr="00D123D4">
        <w:rPr>
          <w:sz w:val="22"/>
          <w:szCs w:val="22"/>
          <w:lang w:val="sr-Latn-ME" w:eastAsia="ja-JP"/>
        </w:rPr>
        <w:t>io</w:t>
      </w:r>
      <w:r w:rsidR="00DD6A9C" w:rsidRPr="00D123D4">
        <w:rPr>
          <w:sz w:val="22"/>
          <w:szCs w:val="22"/>
          <w:lang w:val="sr-Latn-ME" w:eastAsia="ja-JP"/>
        </w:rPr>
        <w:t xml:space="preserve"> 4.4</w:t>
      </w:r>
      <w:r w:rsidR="00EE13AF" w:rsidRPr="00D123D4">
        <w:rPr>
          <w:sz w:val="22"/>
          <w:szCs w:val="22"/>
          <w:lang w:val="sr-Latn-ME" w:eastAsia="ja-JP"/>
        </w:rPr>
        <w:t>)</w:t>
      </w:r>
      <w:r w:rsidR="00DD6A9C" w:rsidRPr="00D123D4">
        <w:rPr>
          <w:sz w:val="22"/>
          <w:szCs w:val="22"/>
          <w:lang w:val="sr-Latn-ME" w:eastAsia="ja-JP"/>
        </w:rPr>
        <w:t>.</w:t>
      </w:r>
    </w:p>
    <w:p w14:paraId="7CDBEDB8" w14:textId="670969D9" w:rsidR="007B6128" w:rsidRPr="00D123D4" w:rsidRDefault="007B6128" w:rsidP="00E0624C">
      <w:pPr>
        <w:widowControl w:val="0"/>
        <w:autoSpaceDE w:val="0"/>
        <w:autoSpaceDN w:val="0"/>
        <w:adjustRightInd w:val="0"/>
        <w:jc w:val="both"/>
        <w:rPr>
          <w:sz w:val="22"/>
          <w:szCs w:val="22"/>
          <w:lang w:val="sr-Latn-ME"/>
        </w:rPr>
      </w:pPr>
      <w:r w:rsidRPr="00D123D4">
        <w:rPr>
          <w:sz w:val="22"/>
          <w:szCs w:val="22"/>
          <w:lang w:val="sr-Latn-ME"/>
        </w:rPr>
        <w:t>U kontrolisani period pivotalnih kliničkih ispitivanja uključeno je ukupno 2376 pacijenata. Među njima, 1852 pacijenta su ušla u fazu otvorenog produžetka ispitivanja. Svi pacijenti su u fazi otvorenog produžetka ispitivanja prešli na l</w:t>
      </w:r>
      <w:r w:rsidR="001110A7" w:rsidRPr="00D123D4">
        <w:rPr>
          <w:sz w:val="22"/>
          <w:szCs w:val="22"/>
          <w:lang w:val="sr-Latn-ME"/>
        </w:rPr>
        <w:t>ij</w:t>
      </w:r>
      <w:r w:rsidRPr="00D123D4">
        <w:rPr>
          <w:sz w:val="22"/>
          <w:szCs w:val="22"/>
          <w:lang w:val="sr-Latn-ME"/>
        </w:rPr>
        <w:t>ečenje okrelizumabom. Otvoreni produžetak ispitivanja završilo je 1155 pacijenata, čime je ostvareno približno 10 godina kontinuiranog l</w:t>
      </w:r>
      <w:r w:rsidR="001110A7" w:rsidRPr="00D123D4">
        <w:rPr>
          <w:sz w:val="22"/>
          <w:szCs w:val="22"/>
          <w:lang w:val="sr-Latn-ME"/>
        </w:rPr>
        <w:t>ij</w:t>
      </w:r>
      <w:r w:rsidRPr="00D123D4">
        <w:rPr>
          <w:sz w:val="22"/>
          <w:szCs w:val="22"/>
          <w:lang w:val="sr-Latn-ME"/>
        </w:rPr>
        <w:t>ečenja okrelizumabom (15 515 pacijent</w:t>
      </w:r>
      <w:r w:rsidRPr="00D123D4">
        <w:rPr>
          <w:sz w:val="22"/>
          <w:szCs w:val="22"/>
          <w:lang w:val="sr-Latn-ME"/>
        </w:rPr>
        <w:noBreakHyphen/>
        <w:t>godine izloženosti) u okviru kontrolisanog perioda i otvorenih produžetaka ispitivanja. Sveukupni bezb</w:t>
      </w:r>
      <w:r w:rsidR="001110A7" w:rsidRPr="00D123D4">
        <w:rPr>
          <w:sz w:val="22"/>
          <w:szCs w:val="22"/>
          <w:lang w:val="sr-Latn-ME"/>
        </w:rPr>
        <w:t>j</w:t>
      </w:r>
      <w:r w:rsidRPr="00D123D4">
        <w:rPr>
          <w:sz w:val="22"/>
          <w:szCs w:val="22"/>
          <w:lang w:val="sr-Latn-ME"/>
        </w:rPr>
        <w:t>ednosni profil zapažen tokom kontrolisanog perioda i otvorenih produžetaka ispitivanja i dalje je u skladu s onim zab</w:t>
      </w:r>
      <w:r w:rsidR="0059549A" w:rsidRPr="00D123D4">
        <w:rPr>
          <w:sz w:val="22"/>
          <w:szCs w:val="22"/>
          <w:lang w:val="sr-Latn-ME"/>
        </w:rPr>
        <w:t>i</w:t>
      </w:r>
      <w:r w:rsidRPr="00D123D4">
        <w:rPr>
          <w:sz w:val="22"/>
          <w:szCs w:val="22"/>
          <w:lang w:val="sr-Latn-ME"/>
        </w:rPr>
        <w:t>l</w:t>
      </w:r>
      <w:r w:rsidR="001110A7" w:rsidRPr="00D123D4">
        <w:rPr>
          <w:sz w:val="22"/>
          <w:szCs w:val="22"/>
          <w:lang w:val="sr-Latn-ME"/>
        </w:rPr>
        <w:t>j</w:t>
      </w:r>
      <w:r w:rsidRPr="00D123D4">
        <w:rPr>
          <w:sz w:val="22"/>
          <w:szCs w:val="22"/>
          <w:lang w:val="sr-Latn-ME"/>
        </w:rPr>
        <w:t>eženim tokom kontrolisanog perioda.</w:t>
      </w:r>
    </w:p>
    <w:p w14:paraId="40EDE66B" w14:textId="77777777" w:rsidR="00DD6A9C" w:rsidRPr="00D123D4" w:rsidRDefault="00DD6A9C" w:rsidP="00E0624C">
      <w:pPr>
        <w:widowControl w:val="0"/>
        <w:jc w:val="both"/>
        <w:rPr>
          <w:sz w:val="22"/>
          <w:szCs w:val="22"/>
          <w:lang w:val="sr-Latn-ME" w:eastAsia="ja-JP"/>
        </w:rPr>
      </w:pPr>
    </w:p>
    <w:p w14:paraId="01AD6B9E" w14:textId="77777777" w:rsidR="00DD6A9C" w:rsidRPr="00D123D4" w:rsidRDefault="00DD6A9C" w:rsidP="00E0624C">
      <w:pPr>
        <w:widowControl w:val="0"/>
        <w:jc w:val="both"/>
        <w:rPr>
          <w:sz w:val="22"/>
          <w:szCs w:val="22"/>
          <w:u w:val="single"/>
          <w:lang w:val="sr-Latn-ME" w:eastAsia="ja-JP"/>
        </w:rPr>
      </w:pPr>
      <w:r w:rsidRPr="00D123D4">
        <w:rPr>
          <w:sz w:val="22"/>
          <w:szCs w:val="22"/>
          <w:u w:val="single"/>
          <w:lang w:val="sr-Latn-ME" w:eastAsia="ja-JP"/>
        </w:rPr>
        <w:t xml:space="preserve">Tabelarni prikaz neželjenih dejstava </w:t>
      </w:r>
    </w:p>
    <w:p w14:paraId="1EAE2C72" w14:textId="77777777" w:rsidR="00DD6A9C" w:rsidRPr="00D123D4" w:rsidRDefault="00DD6A9C">
      <w:pPr>
        <w:widowControl w:val="0"/>
        <w:jc w:val="both"/>
        <w:rPr>
          <w:sz w:val="22"/>
          <w:szCs w:val="22"/>
          <w:lang w:val="sr-Latn-ME" w:eastAsia="ja-JP"/>
        </w:rPr>
      </w:pPr>
    </w:p>
    <w:p w14:paraId="1AEBCD82" w14:textId="6A52630E" w:rsidR="00DD6A9C" w:rsidRPr="00D123D4" w:rsidRDefault="00EE13AF">
      <w:pPr>
        <w:widowControl w:val="0"/>
        <w:jc w:val="both"/>
        <w:rPr>
          <w:sz w:val="22"/>
          <w:szCs w:val="22"/>
          <w:lang w:val="sr-Latn-ME" w:eastAsia="ja-JP"/>
        </w:rPr>
      </w:pPr>
      <w:r w:rsidRPr="00D123D4">
        <w:rPr>
          <w:sz w:val="22"/>
          <w:szCs w:val="22"/>
          <w:lang w:val="sr-Latn-ME" w:eastAsia="ja-JP"/>
        </w:rPr>
        <w:t xml:space="preserve">Neželjena dejstva prijavljena u </w:t>
      </w:r>
      <w:r w:rsidR="007B6128" w:rsidRPr="00D123D4">
        <w:rPr>
          <w:sz w:val="22"/>
          <w:szCs w:val="22"/>
          <w:lang w:val="sr-Latn-ME"/>
        </w:rPr>
        <w:t>kontrolisanom periodu pivotalnih</w:t>
      </w:r>
      <w:r w:rsidR="007B6128" w:rsidRPr="00D123D4">
        <w:rPr>
          <w:lang w:val="sr-Latn-ME"/>
        </w:rPr>
        <w:t xml:space="preserve"> </w:t>
      </w:r>
      <w:r w:rsidR="007B6128" w:rsidRPr="00D123D4">
        <w:rPr>
          <w:sz w:val="22"/>
          <w:szCs w:val="22"/>
          <w:lang w:val="sr-Latn-ME" w:eastAsia="ja-JP"/>
        </w:rPr>
        <w:t xml:space="preserve">kliničkih </w:t>
      </w:r>
      <w:r w:rsidRPr="00D123D4">
        <w:rPr>
          <w:sz w:val="22"/>
          <w:szCs w:val="22"/>
          <w:lang w:val="sr-Latn-ME" w:eastAsia="ja-JP"/>
        </w:rPr>
        <w:t xml:space="preserve">ispitivanja i prikupljena </w:t>
      </w:r>
      <w:r w:rsidR="00FA4E81" w:rsidRPr="00D123D4">
        <w:rPr>
          <w:sz w:val="22"/>
          <w:szCs w:val="22"/>
          <w:lang w:val="sr-Latn-ME" w:eastAsia="ja-JP"/>
        </w:rPr>
        <w:t xml:space="preserve">iz </w:t>
      </w:r>
      <w:r w:rsidRPr="00D123D4">
        <w:rPr>
          <w:sz w:val="22"/>
          <w:szCs w:val="22"/>
          <w:lang w:val="sr-Latn-ME" w:eastAsia="ja-JP"/>
        </w:rPr>
        <w:t>spontani</w:t>
      </w:r>
      <w:r w:rsidR="00FA4E81" w:rsidRPr="00D123D4">
        <w:rPr>
          <w:sz w:val="22"/>
          <w:szCs w:val="22"/>
          <w:lang w:val="sr-Latn-ME" w:eastAsia="ja-JP"/>
        </w:rPr>
        <w:t>h</w:t>
      </w:r>
      <w:r w:rsidRPr="00D123D4">
        <w:rPr>
          <w:sz w:val="22"/>
          <w:szCs w:val="22"/>
          <w:lang w:val="sr-Latn-ME" w:eastAsia="ja-JP"/>
        </w:rPr>
        <w:t xml:space="preserve"> prijavljivanj</w:t>
      </w:r>
      <w:r w:rsidR="00FA4E81" w:rsidRPr="00D123D4">
        <w:rPr>
          <w:sz w:val="22"/>
          <w:szCs w:val="22"/>
          <w:lang w:val="sr-Latn-ME" w:eastAsia="ja-JP"/>
        </w:rPr>
        <w:t>a</w:t>
      </w:r>
      <w:r w:rsidRPr="00D123D4">
        <w:rPr>
          <w:sz w:val="22"/>
          <w:szCs w:val="22"/>
          <w:lang w:val="sr-Latn-ME" w:eastAsia="ja-JP"/>
        </w:rPr>
        <w:t xml:space="preserve"> navedena su u Tabeli 2 u nastavku. Neželjena dejstva su prikazana prema MedDRA klasifikaciji organskih sistema i kategorijama učestalosti. </w:t>
      </w:r>
      <w:r w:rsidR="00DD6A9C" w:rsidRPr="00D123D4">
        <w:rPr>
          <w:sz w:val="22"/>
          <w:szCs w:val="22"/>
          <w:lang w:val="sr-Latn-ME" w:eastAsia="ja-JP"/>
        </w:rPr>
        <w:t xml:space="preserve">Za određivanje učestalosti ispoljavanja neželjenih dejstava korišćene su sljedeće kategorije: veoma često (≥ 1/10); često (≥ 1/100 i </w:t>
      </w:r>
      <w:r w:rsidR="00DD6A9C" w:rsidRPr="00D123D4">
        <w:rPr>
          <w:sz w:val="22"/>
          <w:szCs w:val="22"/>
          <w:lang w:val="sr-Latn-ME" w:eastAsia="ja-JP"/>
        </w:rPr>
        <w:lastRenderedPageBreak/>
        <w:t>&lt; 1/10); povremeno (≥ 1/1000 i &lt; 1/100); rijetko (≥ 1/10 000 i &lt; 1/1000)</w:t>
      </w:r>
      <w:r w:rsidR="00C070E1" w:rsidRPr="00D123D4">
        <w:rPr>
          <w:sz w:val="22"/>
          <w:szCs w:val="22"/>
          <w:lang w:val="sr-Latn-ME" w:eastAsia="ja-JP"/>
        </w:rPr>
        <w:t>,</w:t>
      </w:r>
      <w:r w:rsidR="00DD6A9C" w:rsidRPr="00D123D4">
        <w:rPr>
          <w:sz w:val="22"/>
          <w:szCs w:val="22"/>
          <w:lang w:val="sr-Latn-ME" w:eastAsia="ja-JP"/>
        </w:rPr>
        <w:t xml:space="preserve"> veoma rijetko (&lt; 1/10 000)</w:t>
      </w:r>
      <w:r w:rsidR="00C070E1" w:rsidRPr="00D123D4">
        <w:rPr>
          <w:sz w:val="22"/>
          <w:szCs w:val="22"/>
          <w:lang w:val="sr-Latn-ME" w:eastAsia="ja-JP"/>
        </w:rPr>
        <w:t xml:space="preserve"> i nepoznato (ne može se utvrditi na osnovu dostupnih podataka)</w:t>
      </w:r>
      <w:r w:rsidR="00DD6A9C" w:rsidRPr="00D123D4">
        <w:rPr>
          <w:sz w:val="22"/>
          <w:szCs w:val="22"/>
          <w:lang w:val="sr-Latn-ME" w:eastAsia="ja-JP"/>
        </w:rPr>
        <w:t>. U okviru svakog sistema organa, neželjena dejstva su navedena prema opadajućoj učestalosti.</w:t>
      </w:r>
    </w:p>
    <w:p w14:paraId="446E472C" w14:textId="77777777" w:rsidR="0075619E" w:rsidRPr="00D123D4" w:rsidRDefault="0075619E" w:rsidP="00D123D4">
      <w:pPr>
        <w:widowControl w:val="0"/>
        <w:rPr>
          <w:b/>
          <w:sz w:val="22"/>
          <w:szCs w:val="22"/>
          <w:lang w:val="sr-Latn-ME" w:eastAsia="ja-JP"/>
        </w:rPr>
      </w:pPr>
    </w:p>
    <w:p w14:paraId="01CE3B60" w14:textId="404F7CA9" w:rsidR="00DD6A9C" w:rsidRPr="00D123D4" w:rsidRDefault="00DD6A9C" w:rsidP="00D123D4">
      <w:pPr>
        <w:widowControl w:val="0"/>
        <w:rPr>
          <w:sz w:val="22"/>
          <w:szCs w:val="22"/>
          <w:lang w:val="sr-Latn-ME" w:eastAsia="ja-JP"/>
        </w:rPr>
      </w:pPr>
      <w:r w:rsidRPr="00D123D4">
        <w:rPr>
          <w:b/>
          <w:sz w:val="22"/>
          <w:szCs w:val="22"/>
          <w:lang w:val="sr-Latn-ME" w:eastAsia="ja-JP"/>
        </w:rPr>
        <w:t xml:space="preserve">Tabela 2 Neželjena dejstva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262"/>
        <w:gridCol w:w="2269"/>
        <w:gridCol w:w="3118"/>
        <w:gridCol w:w="1414"/>
      </w:tblGrid>
      <w:tr w:rsidR="00C070E1" w:rsidRPr="00D123D4" w14:paraId="3A9F24FE" w14:textId="11AF66B4" w:rsidTr="00E0624C">
        <w:trPr>
          <w:jc w:val="center"/>
        </w:trPr>
        <w:tc>
          <w:tcPr>
            <w:tcW w:w="1248" w:type="pct"/>
            <w:tcBorders>
              <w:top w:val="single" w:sz="4" w:space="0" w:color="auto"/>
              <w:left w:val="single" w:sz="4" w:space="0" w:color="auto"/>
              <w:bottom w:val="single" w:sz="4" w:space="0" w:color="auto"/>
              <w:right w:val="single" w:sz="4" w:space="0" w:color="auto"/>
            </w:tcBorders>
            <w:shd w:val="clear" w:color="auto" w:fill="FFFFFF"/>
            <w:vAlign w:val="center"/>
          </w:tcPr>
          <w:p w14:paraId="2B239A33" w14:textId="77777777" w:rsidR="00C070E1" w:rsidRPr="00D123D4" w:rsidRDefault="00C070E1" w:rsidP="00D123D4">
            <w:pPr>
              <w:widowControl w:val="0"/>
              <w:shd w:val="clear" w:color="auto" w:fill="FFFFFF"/>
              <w:spacing w:line="259" w:lineRule="auto"/>
              <w:jc w:val="center"/>
              <w:rPr>
                <w:rFonts w:eastAsiaTheme="minorHAnsi"/>
                <w:b/>
                <w:bCs/>
                <w:sz w:val="22"/>
                <w:szCs w:val="22"/>
                <w:lang w:val="sr-Latn-ME"/>
              </w:rPr>
            </w:pPr>
            <w:r w:rsidRPr="00D123D4">
              <w:rPr>
                <w:rFonts w:eastAsiaTheme="minorHAnsi"/>
                <w:b/>
                <w:bCs/>
                <w:sz w:val="22"/>
                <w:szCs w:val="22"/>
                <w:lang w:val="sr-Latn-ME"/>
              </w:rPr>
              <w:t>MedDRA</w:t>
            </w:r>
          </w:p>
          <w:p w14:paraId="1083065F" w14:textId="09AEC0AB" w:rsidR="00C070E1" w:rsidRPr="00D123D4" w:rsidRDefault="00C070E1">
            <w:pPr>
              <w:widowControl w:val="0"/>
              <w:shd w:val="clear" w:color="auto" w:fill="FFFFFF"/>
              <w:spacing w:line="259" w:lineRule="auto"/>
              <w:jc w:val="center"/>
              <w:rPr>
                <w:rFonts w:eastAsiaTheme="minorHAnsi"/>
                <w:sz w:val="22"/>
                <w:szCs w:val="22"/>
                <w:lang w:val="sr-Latn-ME"/>
              </w:rPr>
            </w:pPr>
            <w:r w:rsidRPr="00D123D4">
              <w:rPr>
                <w:rFonts w:eastAsiaTheme="minorHAnsi"/>
                <w:b/>
                <w:bCs/>
                <w:sz w:val="22"/>
                <w:szCs w:val="22"/>
                <w:lang w:val="sr-Latn-ME"/>
              </w:rPr>
              <w:t>Klasifikacija organskih sistema</w:t>
            </w:r>
          </w:p>
        </w:tc>
        <w:tc>
          <w:tcPr>
            <w:tcW w:w="125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9823D6" w14:textId="45BDCB56" w:rsidR="00C070E1" w:rsidRPr="00D123D4" w:rsidRDefault="00C070E1" w:rsidP="00D123D4">
            <w:pPr>
              <w:widowControl w:val="0"/>
              <w:shd w:val="clear" w:color="auto" w:fill="FFFFFF"/>
              <w:spacing w:line="259" w:lineRule="auto"/>
              <w:jc w:val="center"/>
              <w:rPr>
                <w:rFonts w:eastAsiaTheme="minorHAnsi"/>
                <w:sz w:val="22"/>
                <w:szCs w:val="22"/>
                <w:lang w:val="sr-Latn-ME"/>
              </w:rPr>
            </w:pPr>
            <w:r w:rsidRPr="00D123D4">
              <w:rPr>
                <w:rFonts w:eastAsiaTheme="minorHAnsi"/>
                <w:b/>
                <w:sz w:val="22"/>
                <w:szCs w:val="22"/>
                <w:lang w:val="sr-Latn-ME"/>
              </w:rPr>
              <w:t>Veoma često</w:t>
            </w:r>
          </w:p>
        </w:tc>
        <w:tc>
          <w:tcPr>
            <w:tcW w:w="1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A37A7F" w14:textId="77777777" w:rsidR="00C070E1" w:rsidRPr="00D123D4" w:rsidRDefault="00C070E1" w:rsidP="00D123D4">
            <w:pPr>
              <w:widowControl w:val="0"/>
              <w:shd w:val="clear" w:color="auto" w:fill="FFFFFF"/>
              <w:spacing w:line="259" w:lineRule="auto"/>
              <w:jc w:val="center"/>
              <w:rPr>
                <w:rFonts w:eastAsiaTheme="minorHAnsi"/>
                <w:b/>
                <w:sz w:val="22"/>
                <w:szCs w:val="22"/>
                <w:lang w:val="sr-Latn-ME"/>
              </w:rPr>
            </w:pPr>
            <w:r w:rsidRPr="00D123D4">
              <w:rPr>
                <w:rFonts w:eastAsiaTheme="minorHAnsi"/>
                <w:b/>
                <w:sz w:val="22"/>
                <w:szCs w:val="22"/>
                <w:lang w:val="sr-Latn-ME"/>
              </w:rPr>
              <w:t>Često</w:t>
            </w:r>
          </w:p>
        </w:tc>
        <w:tc>
          <w:tcPr>
            <w:tcW w:w="780" w:type="pct"/>
            <w:tcBorders>
              <w:top w:val="single" w:sz="4" w:space="0" w:color="auto"/>
              <w:left w:val="single" w:sz="4" w:space="0" w:color="auto"/>
              <w:bottom w:val="single" w:sz="4" w:space="0" w:color="auto"/>
              <w:right w:val="single" w:sz="4" w:space="0" w:color="auto"/>
            </w:tcBorders>
            <w:shd w:val="clear" w:color="auto" w:fill="FFFFFF"/>
            <w:vAlign w:val="center"/>
          </w:tcPr>
          <w:p w14:paraId="1103CE33" w14:textId="17038497" w:rsidR="00C070E1" w:rsidRPr="00D123D4" w:rsidRDefault="00C070E1" w:rsidP="00D123D4">
            <w:pPr>
              <w:widowControl w:val="0"/>
              <w:shd w:val="clear" w:color="auto" w:fill="FFFFFF"/>
              <w:spacing w:line="259" w:lineRule="auto"/>
              <w:jc w:val="center"/>
              <w:rPr>
                <w:rFonts w:eastAsiaTheme="minorHAnsi"/>
                <w:b/>
                <w:sz w:val="22"/>
                <w:szCs w:val="22"/>
                <w:lang w:val="sr-Latn-ME"/>
              </w:rPr>
            </w:pPr>
            <w:r w:rsidRPr="00D123D4">
              <w:rPr>
                <w:rFonts w:eastAsiaTheme="minorHAnsi"/>
                <w:b/>
                <w:sz w:val="22"/>
                <w:szCs w:val="22"/>
                <w:lang w:val="sr-Latn-ME"/>
              </w:rPr>
              <w:t>Nepoznato</w:t>
            </w:r>
            <w:r w:rsidRPr="00D123D4">
              <w:rPr>
                <w:rFonts w:eastAsiaTheme="minorHAnsi"/>
                <w:b/>
                <w:sz w:val="22"/>
                <w:szCs w:val="22"/>
                <w:vertAlign w:val="superscript"/>
                <w:lang w:val="sr-Latn-ME"/>
              </w:rPr>
              <w:t>2</w:t>
            </w:r>
          </w:p>
        </w:tc>
      </w:tr>
      <w:tr w:rsidR="00C070E1" w:rsidRPr="00D123D4" w14:paraId="50461CC4" w14:textId="5A0A46F4" w:rsidTr="00E0624C">
        <w:trPr>
          <w:jc w:val="center"/>
        </w:trPr>
        <w:tc>
          <w:tcPr>
            <w:tcW w:w="1248" w:type="pct"/>
            <w:tcBorders>
              <w:top w:val="single" w:sz="4" w:space="0" w:color="auto"/>
              <w:left w:val="single" w:sz="4" w:space="0" w:color="auto"/>
              <w:bottom w:val="single" w:sz="4" w:space="0" w:color="auto"/>
              <w:right w:val="single" w:sz="4" w:space="0" w:color="auto"/>
            </w:tcBorders>
            <w:shd w:val="clear" w:color="auto" w:fill="FFFFFF"/>
          </w:tcPr>
          <w:p w14:paraId="065AE95C" w14:textId="77777777" w:rsidR="00C070E1" w:rsidRPr="00D123D4" w:rsidRDefault="00C070E1" w:rsidP="00D123D4">
            <w:pPr>
              <w:widowControl w:val="0"/>
              <w:shd w:val="clear" w:color="auto" w:fill="FFFFFF"/>
              <w:spacing w:line="259" w:lineRule="auto"/>
              <w:rPr>
                <w:rFonts w:eastAsiaTheme="minorHAnsi"/>
                <w:b/>
                <w:sz w:val="22"/>
                <w:szCs w:val="22"/>
                <w:lang w:val="sr-Latn-ME"/>
              </w:rPr>
            </w:pPr>
            <w:r w:rsidRPr="00D123D4">
              <w:rPr>
                <w:rFonts w:eastAsiaTheme="minorHAnsi"/>
                <w:b/>
                <w:sz w:val="22"/>
                <w:szCs w:val="22"/>
                <w:lang w:val="sr-Latn-ME"/>
              </w:rPr>
              <w:t>Infekcije i infestacije</w:t>
            </w:r>
          </w:p>
          <w:p w14:paraId="68B73407" w14:textId="77777777" w:rsidR="00C070E1" w:rsidRPr="00D123D4" w:rsidRDefault="00C070E1" w:rsidP="00D123D4">
            <w:pPr>
              <w:widowControl w:val="0"/>
              <w:shd w:val="clear" w:color="auto" w:fill="FFFFFF"/>
              <w:spacing w:line="259" w:lineRule="auto"/>
              <w:rPr>
                <w:rFonts w:eastAsiaTheme="minorHAnsi"/>
                <w:sz w:val="22"/>
                <w:szCs w:val="22"/>
                <w:lang w:val="sr-Latn-ME"/>
              </w:rPr>
            </w:pPr>
          </w:p>
        </w:tc>
        <w:tc>
          <w:tcPr>
            <w:tcW w:w="1252" w:type="pct"/>
            <w:tcBorders>
              <w:top w:val="single" w:sz="4" w:space="0" w:color="auto"/>
              <w:left w:val="single" w:sz="4" w:space="0" w:color="auto"/>
              <w:bottom w:val="single" w:sz="4" w:space="0" w:color="auto"/>
              <w:right w:val="single" w:sz="4" w:space="0" w:color="auto"/>
            </w:tcBorders>
            <w:shd w:val="clear" w:color="auto" w:fill="FFFFFF"/>
          </w:tcPr>
          <w:p w14:paraId="5753E6EE" w14:textId="77777777" w:rsidR="00C070E1" w:rsidRPr="00D123D4" w:rsidRDefault="00C070E1" w:rsidP="00D123D4">
            <w:pPr>
              <w:widowControl w:val="0"/>
              <w:shd w:val="clear" w:color="auto" w:fill="FFFFFF"/>
              <w:spacing w:line="259" w:lineRule="auto"/>
              <w:rPr>
                <w:rFonts w:eastAsiaTheme="minorHAnsi"/>
                <w:sz w:val="22"/>
                <w:szCs w:val="22"/>
                <w:lang w:val="sr-Latn-ME"/>
              </w:rPr>
            </w:pPr>
            <w:r w:rsidRPr="00D123D4">
              <w:rPr>
                <w:rFonts w:eastAsiaTheme="minorHAnsi"/>
                <w:sz w:val="22"/>
                <w:szCs w:val="22"/>
                <w:lang w:val="sr-Latn-ME"/>
              </w:rPr>
              <w:t>infekcija gornjih disajnih puteva, nazofaringitis, grip</w:t>
            </w:r>
          </w:p>
          <w:p w14:paraId="48CF1200" w14:textId="77777777" w:rsidR="00C070E1" w:rsidRPr="00D123D4" w:rsidRDefault="00C070E1" w:rsidP="00D123D4">
            <w:pPr>
              <w:widowControl w:val="0"/>
              <w:shd w:val="clear" w:color="auto" w:fill="FFFFFF"/>
              <w:spacing w:line="259" w:lineRule="auto"/>
              <w:rPr>
                <w:rFonts w:eastAsiaTheme="minorHAnsi"/>
                <w:sz w:val="22"/>
                <w:szCs w:val="22"/>
                <w:lang w:val="sr-Latn-ME"/>
              </w:rPr>
            </w:pPr>
          </w:p>
        </w:tc>
        <w:tc>
          <w:tcPr>
            <w:tcW w:w="1720" w:type="pct"/>
            <w:tcBorders>
              <w:top w:val="single" w:sz="4" w:space="0" w:color="auto"/>
              <w:left w:val="single" w:sz="4" w:space="0" w:color="auto"/>
              <w:bottom w:val="single" w:sz="4" w:space="0" w:color="auto"/>
              <w:right w:val="single" w:sz="4" w:space="0" w:color="auto"/>
            </w:tcBorders>
            <w:shd w:val="clear" w:color="auto" w:fill="FFFFFF"/>
          </w:tcPr>
          <w:p w14:paraId="4AF26629" w14:textId="77777777" w:rsidR="00C070E1" w:rsidRPr="00D123D4" w:rsidRDefault="00C070E1" w:rsidP="00D123D4">
            <w:pPr>
              <w:widowControl w:val="0"/>
              <w:shd w:val="clear" w:color="auto" w:fill="FFFFFF"/>
              <w:spacing w:line="259" w:lineRule="auto"/>
              <w:rPr>
                <w:rFonts w:eastAsiaTheme="minorHAnsi"/>
                <w:sz w:val="22"/>
                <w:szCs w:val="22"/>
                <w:lang w:val="sr-Latn-ME"/>
              </w:rPr>
            </w:pPr>
            <w:r w:rsidRPr="00D123D4">
              <w:rPr>
                <w:rFonts w:eastAsiaTheme="minorHAnsi"/>
                <w:sz w:val="22"/>
                <w:szCs w:val="22"/>
                <w:lang w:val="sr-Latn-ME"/>
              </w:rPr>
              <w:t>sinusitis, bronhitis, oralni herpes, gastroenteritis, infekcija gornjih disajnih  puteva, virusna infekcija, herpes zoster, konjunktivitis, celulitis</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5750E2F8" w14:textId="77777777" w:rsidR="00C070E1" w:rsidRPr="00D123D4" w:rsidRDefault="00C070E1" w:rsidP="00D123D4">
            <w:pPr>
              <w:widowControl w:val="0"/>
              <w:shd w:val="clear" w:color="auto" w:fill="FFFFFF"/>
              <w:spacing w:line="259" w:lineRule="auto"/>
              <w:rPr>
                <w:rFonts w:eastAsiaTheme="minorHAnsi"/>
                <w:sz w:val="22"/>
                <w:szCs w:val="22"/>
                <w:lang w:val="sr-Latn-ME"/>
              </w:rPr>
            </w:pPr>
          </w:p>
        </w:tc>
      </w:tr>
      <w:tr w:rsidR="00EE13AF" w:rsidRPr="00D123D4" w14:paraId="2CB35060" w14:textId="77777777" w:rsidTr="00E0624C">
        <w:trPr>
          <w:jc w:val="center"/>
        </w:trPr>
        <w:tc>
          <w:tcPr>
            <w:tcW w:w="1248" w:type="pct"/>
            <w:tcBorders>
              <w:top w:val="single" w:sz="4" w:space="0" w:color="auto"/>
              <w:left w:val="single" w:sz="4" w:space="0" w:color="auto"/>
              <w:bottom w:val="single" w:sz="4" w:space="0" w:color="auto"/>
              <w:right w:val="single" w:sz="4" w:space="0" w:color="auto"/>
            </w:tcBorders>
            <w:shd w:val="clear" w:color="auto" w:fill="FFFFFF"/>
          </w:tcPr>
          <w:p w14:paraId="13D25175" w14:textId="514FD844" w:rsidR="00EE13AF" w:rsidRPr="00D123D4" w:rsidRDefault="00EE13AF" w:rsidP="00D123D4">
            <w:pPr>
              <w:widowControl w:val="0"/>
              <w:shd w:val="clear" w:color="auto" w:fill="FFFFFF"/>
              <w:spacing w:line="259" w:lineRule="auto"/>
              <w:rPr>
                <w:rFonts w:eastAsiaTheme="minorHAnsi"/>
                <w:b/>
                <w:sz w:val="22"/>
                <w:szCs w:val="22"/>
                <w:lang w:val="sr-Latn-ME"/>
              </w:rPr>
            </w:pPr>
            <w:r w:rsidRPr="00D123D4">
              <w:rPr>
                <w:rFonts w:eastAsiaTheme="minorHAnsi"/>
                <w:b/>
                <w:sz w:val="22"/>
                <w:szCs w:val="22"/>
                <w:lang w:val="sr-Latn-ME"/>
              </w:rPr>
              <w:t>Poremećaji krvi i limfnog sistema</w:t>
            </w:r>
          </w:p>
        </w:tc>
        <w:tc>
          <w:tcPr>
            <w:tcW w:w="1252" w:type="pct"/>
            <w:tcBorders>
              <w:top w:val="single" w:sz="4" w:space="0" w:color="auto"/>
              <w:left w:val="single" w:sz="4" w:space="0" w:color="auto"/>
              <w:bottom w:val="single" w:sz="4" w:space="0" w:color="auto"/>
              <w:right w:val="single" w:sz="4" w:space="0" w:color="auto"/>
            </w:tcBorders>
            <w:shd w:val="clear" w:color="auto" w:fill="FFFFFF"/>
          </w:tcPr>
          <w:p w14:paraId="068BC096" w14:textId="77777777" w:rsidR="00EE13AF" w:rsidRPr="00D123D4" w:rsidRDefault="00EE13AF" w:rsidP="00D123D4">
            <w:pPr>
              <w:widowControl w:val="0"/>
              <w:shd w:val="clear" w:color="auto" w:fill="FFFFFF"/>
              <w:spacing w:line="259" w:lineRule="auto"/>
              <w:jc w:val="center"/>
              <w:rPr>
                <w:rFonts w:eastAsiaTheme="minorHAnsi"/>
                <w:sz w:val="22"/>
                <w:szCs w:val="22"/>
                <w:lang w:val="sr-Latn-ME"/>
              </w:rPr>
            </w:pPr>
          </w:p>
        </w:tc>
        <w:tc>
          <w:tcPr>
            <w:tcW w:w="1720" w:type="pct"/>
            <w:tcBorders>
              <w:top w:val="single" w:sz="4" w:space="0" w:color="auto"/>
              <w:left w:val="single" w:sz="4" w:space="0" w:color="auto"/>
              <w:bottom w:val="single" w:sz="4" w:space="0" w:color="auto"/>
              <w:right w:val="single" w:sz="4" w:space="0" w:color="auto"/>
            </w:tcBorders>
            <w:shd w:val="clear" w:color="auto" w:fill="FFFFFF"/>
          </w:tcPr>
          <w:p w14:paraId="3A67EE1E" w14:textId="21AB77ED" w:rsidR="00EE13AF" w:rsidRPr="00D123D4" w:rsidRDefault="00EE13AF" w:rsidP="00D123D4">
            <w:pPr>
              <w:widowControl w:val="0"/>
              <w:shd w:val="clear" w:color="auto" w:fill="FFFFFF"/>
              <w:spacing w:line="259" w:lineRule="auto"/>
              <w:rPr>
                <w:rFonts w:eastAsiaTheme="minorHAnsi"/>
                <w:sz w:val="22"/>
                <w:szCs w:val="22"/>
                <w:lang w:val="sr-Latn-ME"/>
              </w:rPr>
            </w:pPr>
            <w:r w:rsidRPr="00D123D4">
              <w:rPr>
                <w:rFonts w:eastAsiaTheme="minorHAnsi"/>
                <w:sz w:val="22"/>
                <w:szCs w:val="22"/>
                <w:lang w:val="sr-Latn-ME"/>
              </w:rPr>
              <w:t>neutropenija</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4026D482" w14:textId="7F79935C" w:rsidR="00EE13AF" w:rsidRPr="00D123D4" w:rsidRDefault="00EE13AF" w:rsidP="00D123D4">
            <w:pPr>
              <w:widowControl w:val="0"/>
              <w:shd w:val="clear" w:color="auto" w:fill="FFFFFF"/>
              <w:spacing w:line="259" w:lineRule="auto"/>
              <w:rPr>
                <w:rFonts w:eastAsiaTheme="minorHAnsi"/>
                <w:sz w:val="22"/>
                <w:szCs w:val="22"/>
                <w:lang w:val="sr-Latn-ME"/>
              </w:rPr>
            </w:pPr>
            <w:r w:rsidRPr="00D123D4">
              <w:rPr>
                <w:rFonts w:eastAsiaTheme="minorHAnsi"/>
                <w:sz w:val="22"/>
                <w:szCs w:val="22"/>
                <w:lang w:val="sr-Latn-ME"/>
              </w:rPr>
              <w:t>Kasna pojava neutropenije</w:t>
            </w:r>
            <w:r w:rsidRPr="00D123D4">
              <w:rPr>
                <w:rFonts w:eastAsiaTheme="minorHAnsi"/>
                <w:sz w:val="22"/>
                <w:szCs w:val="22"/>
                <w:vertAlign w:val="superscript"/>
                <w:lang w:val="sr-Latn-ME"/>
              </w:rPr>
              <w:t>2</w:t>
            </w:r>
          </w:p>
        </w:tc>
      </w:tr>
      <w:tr w:rsidR="00C070E1" w:rsidRPr="00D123D4" w14:paraId="1A947B98" w14:textId="55202640" w:rsidTr="00E0624C">
        <w:trPr>
          <w:jc w:val="center"/>
        </w:trPr>
        <w:tc>
          <w:tcPr>
            <w:tcW w:w="1248" w:type="pct"/>
            <w:tcBorders>
              <w:top w:val="single" w:sz="4" w:space="0" w:color="auto"/>
              <w:left w:val="single" w:sz="4" w:space="0" w:color="auto"/>
              <w:bottom w:val="single" w:sz="4" w:space="0" w:color="auto"/>
              <w:right w:val="single" w:sz="4" w:space="0" w:color="auto"/>
            </w:tcBorders>
            <w:shd w:val="clear" w:color="auto" w:fill="FFFFFF"/>
            <w:hideMark/>
          </w:tcPr>
          <w:p w14:paraId="2CCA7E4B" w14:textId="77777777" w:rsidR="00C070E1" w:rsidRPr="00D123D4" w:rsidRDefault="00C070E1" w:rsidP="00D123D4">
            <w:pPr>
              <w:widowControl w:val="0"/>
              <w:shd w:val="clear" w:color="auto" w:fill="FFFFFF"/>
              <w:spacing w:line="259" w:lineRule="auto"/>
              <w:rPr>
                <w:rFonts w:eastAsiaTheme="minorHAnsi"/>
                <w:sz w:val="22"/>
                <w:szCs w:val="22"/>
                <w:lang w:val="sr-Latn-ME"/>
              </w:rPr>
            </w:pPr>
            <w:r w:rsidRPr="00D123D4">
              <w:rPr>
                <w:rFonts w:eastAsiaTheme="minorHAnsi"/>
                <w:b/>
                <w:sz w:val="22"/>
                <w:szCs w:val="22"/>
                <w:lang w:val="sr-Latn-ME"/>
              </w:rPr>
              <w:t>Respiratorni, torakalni i medijastinalni poremećaji</w:t>
            </w:r>
          </w:p>
        </w:tc>
        <w:tc>
          <w:tcPr>
            <w:tcW w:w="1252" w:type="pct"/>
            <w:tcBorders>
              <w:top w:val="single" w:sz="4" w:space="0" w:color="auto"/>
              <w:left w:val="single" w:sz="4" w:space="0" w:color="auto"/>
              <w:bottom w:val="single" w:sz="4" w:space="0" w:color="auto"/>
              <w:right w:val="single" w:sz="4" w:space="0" w:color="auto"/>
            </w:tcBorders>
            <w:shd w:val="clear" w:color="auto" w:fill="FFFFFF"/>
          </w:tcPr>
          <w:p w14:paraId="6F5BDD15" w14:textId="77777777" w:rsidR="00C070E1" w:rsidRPr="00D123D4" w:rsidRDefault="00C070E1" w:rsidP="00D123D4">
            <w:pPr>
              <w:widowControl w:val="0"/>
              <w:shd w:val="clear" w:color="auto" w:fill="FFFFFF"/>
              <w:spacing w:line="259" w:lineRule="auto"/>
              <w:jc w:val="center"/>
              <w:rPr>
                <w:rFonts w:eastAsiaTheme="minorHAnsi"/>
                <w:sz w:val="22"/>
                <w:szCs w:val="22"/>
                <w:lang w:val="sr-Latn-ME"/>
              </w:rPr>
            </w:pPr>
          </w:p>
        </w:tc>
        <w:tc>
          <w:tcPr>
            <w:tcW w:w="1720" w:type="pct"/>
            <w:tcBorders>
              <w:top w:val="single" w:sz="4" w:space="0" w:color="auto"/>
              <w:left w:val="single" w:sz="4" w:space="0" w:color="auto"/>
              <w:bottom w:val="single" w:sz="4" w:space="0" w:color="auto"/>
              <w:right w:val="single" w:sz="4" w:space="0" w:color="auto"/>
            </w:tcBorders>
            <w:shd w:val="clear" w:color="auto" w:fill="FFFFFF"/>
          </w:tcPr>
          <w:p w14:paraId="323D66AA" w14:textId="77777777" w:rsidR="00C070E1" w:rsidRPr="00D123D4" w:rsidRDefault="00C070E1" w:rsidP="00D123D4">
            <w:pPr>
              <w:widowControl w:val="0"/>
              <w:shd w:val="clear" w:color="auto" w:fill="FFFFFF"/>
              <w:spacing w:line="259" w:lineRule="auto"/>
              <w:rPr>
                <w:rFonts w:eastAsiaTheme="minorHAnsi"/>
                <w:sz w:val="22"/>
                <w:szCs w:val="22"/>
                <w:lang w:val="sr-Latn-ME"/>
              </w:rPr>
            </w:pPr>
            <w:r w:rsidRPr="00D123D4">
              <w:rPr>
                <w:rFonts w:eastAsiaTheme="minorHAnsi"/>
                <w:sz w:val="22"/>
                <w:szCs w:val="22"/>
                <w:lang w:val="sr-Latn-ME"/>
              </w:rPr>
              <w:t>kašalj, katar</w:t>
            </w:r>
          </w:p>
          <w:p w14:paraId="7898614B" w14:textId="77777777" w:rsidR="00C070E1" w:rsidRPr="00D123D4" w:rsidRDefault="00C070E1" w:rsidP="00D123D4">
            <w:pPr>
              <w:widowControl w:val="0"/>
              <w:shd w:val="clear" w:color="auto" w:fill="FFFFFF"/>
              <w:spacing w:line="259" w:lineRule="auto"/>
              <w:rPr>
                <w:rFonts w:eastAsiaTheme="minorHAnsi"/>
                <w:sz w:val="22"/>
                <w:szCs w:val="22"/>
                <w:lang w:val="sr-Latn-ME"/>
              </w:rPr>
            </w:pPr>
          </w:p>
          <w:p w14:paraId="08D97CC6" w14:textId="77777777" w:rsidR="00C070E1" w:rsidRPr="00D123D4" w:rsidRDefault="00C070E1" w:rsidP="00D123D4">
            <w:pPr>
              <w:widowControl w:val="0"/>
              <w:shd w:val="clear" w:color="auto" w:fill="FFFFFF"/>
              <w:spacing w:line="259" w:lineRule="auto"/>
              <w:rPr>
                <w:rFonts w:eastAsiaTheme="minorHAnsi"/>
                <w:sz w:val="22"/>
                <w:szCs w:val="22"/>
                <w:lang w:val="sr-Latn-ME"/>
              </w:rPr>
            </w:pP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4D683D24" w14:textId="77777777" w:rsidR="00C070E1" w:rsidRPr="00D123D4" w:rsidRDefault="00C070E1" w:rsidP="00D123D4">
            <w:pPr>
              <w:widowControl w:val="0"/>
              <w:shd w:val="clear" w:color="auto" w:fill="FFFFFF"/>
              <w:spacing w:line="259" w:lineRule="auto"/>
              <w:rPr>
                <w:rFonts w:eastAsiaTheme="minorHAnsi"/>
                <w:sz w:val="22"/>
                <w:szCs w:val="22"/>
                <w:lang w:val="sr-Latn-ME"/>
              </w:rPr>
            </w:pPr>
          </w:p>
        </w:tc>
      </w:tr>
      <w:tr w:rsidR="00C070E1" w:rsidRPr="00D123D4" w14:paraId="622306A2" w14:textId="32FE6A64" w:rsidTr="00E0624C">
        <w:trPr>
          <w:jc w:val="center"/>
        </w:trPr>
        <w:tc>
          <w:tcPr>
            <w:tcW w:w="1248" w:type="pct"/>
            <w:tcBorders>
              <w:top w:val="single" w:sz="4" w:space="0" w:color="auto"/>
              <w:left w:val="single" w:sz="4" w:space="0" w:color="auto"/>
              <w:bottom w:val="single" w:sz="4" w:space="0" w:color="auto"/>
              <w:right w:val="single" w:sz="4" w:space="0" w:color="auto"/>
            </w:tcBorders>
            <w:shd w:val="clear" w:color="auto" w:fill="FFFFFF"/>
            <w:hideMark/>
          </w:tcPr>
          <w:p w14:paraId="4D562A85" w14:textId="77777777" w:rsidR="00C070E1" w:rsidRPr="00D123D4" w:rsidRDefault="00C070E1" w:rsidP="00D123D4">
            <w:pPr>
              <w:widowControl w:val="0"/>
              <w:shd w:val="clear" w:color="auto" w:fill="FFFFFF"/>
              <w:spacing w:line="259" w:lineRule="auto"/>
              <w:rPr>
                <w:rFonts w:eastAsiaTheme="minorHAnsi"/>
                <w:b/>
                <w:sz w:val="22"/>
                <w:szCs w:val="22"/>
                <w:lang w:val="sr-Latn-ME"/>
              </w:rPr>
            </w:pPr>
            <w:r w:rsidRPr="00D123D4">
              <w:rPr>
                <w:rFonts w:eastAsiaTheme="minorHAnsi"/>
                <w:b/>
                <w:sz w:val="22"/>
                <w:szCs w:val="22"/>
                <w:shd w:val="clear" w:color="auto" w:fill="FFFFFF"/>
                <w:lang w:val="sr-Latn-ME"/>
              </w:rPr>
              <w:t>Nalazi</w:t>
            </w:r>
          </w:p>
        </w:tc>
        <w:tc>
          <w:tcPr>
            <w:tcW w:w="1252" w:type="pct"/>
            <w:tcBorders>
              <w:top w:val="single" w:sz="4" w:space="0" w:color="auto"/>
              <w:left w:val="single" w:sz="4" w:space="0" w:color="auto"/>
              <w:bottom w:val="single" w:sz="4" w:space="0" w:color="auto"/>
              <w:right w:val="single" w:sz="4" w:space="0" w:color="auto"/>
            </w:tcBorders>
            <w:shd w:val="clear" w:color="auto" w:fill="FFFFFF"/>
          </w:tcPr>
          <w:p w14:paraId="7E18406D" w14:textId="1022291B" w:rsidR="00C070E1" w:rsidRPr="00D123D4" w:rsidRDefault="00C070E1" w:rsidP="00D123D4">
            <w:pPr>
              <w:widowControl w:val="0"/>
              <w:shd w:val="clear" w:color="auto" w:fill="FFFFFF"/>
              <w:spacing w:line="259" w:lineRule="auto"/>
              <w:rPr>
                <w:rFonts w:eastAsiaTheme="minorHAnsi"/>
                <w:sz w:val="22"/>
                <w:szCs w:val="22"/>
                <w:lang w:val="sr-Latn-ME"/>
              </w:rPr>
            </w:pPr>
            <w:r w:rsidRPr="00D123D4">
              <w:rPr>
                <w:rFonts w:eastAsiaTheme="minorHAnsi"/>
                <w:sz w:val="22"/>
                <w:szCs w:val="22"/>
                <w:lang w:val="sr-Latn-ME"/>
              </w:rPr>
              <w:t>snižena vrijednost imunoglobulina M u krvi</w:t>
            </w:r>
          </w:p>
        </w:tc>
        <w:tc>
          <w:tcPr>
            <w:tcW w:w="1720" w:type="pct"/>
            <w:tcBorders>
              <w:top w:val="single" w:sz="4" w:space="0" w:color="auto"/>
              <w:left w:val="single" w:sz="4" w:space="0" w:color="auto"/>
              <w:bottom w:val="single" w:sz="4" w:space="0" w:color="auto"/>
              <w:right w:val="single" w:sz="4" w:space="0" w:color="auto"/>
            </w:tcBorders>
            <w:shd w:val="clear" w:color="auto" w:fill="FFFFFF"/>
          </w:tcPr>
          <w:p w14:paraId="036C8E50" w14:textId="77777777" w:rsidR="00C070E1" w:rsidRPr="00D123D4" w:rsidRDefault="00C070E1" w:rsidP="00D123D4">
            <w:pPr>
              <w:widowControl w:val="0"/>
              <w:shd w:val="clear" w:color="auto" w:fill="FFFFFF"/>
              <w:spacing w:line="259" w:lineRule="auto"/>
              <w:rPr>
                <w:rFonts w:eastAsiaTheme="minorHAnsi"/>
                <w:sz w:val="22"/>
                <w:szCs w:val="22"/>
                <w:lang w:val="sr-Latn-ME"/>
              </w:rPr>
            </w:pPr>
            <w:r w:rsidRPr="00D123D4">
              <w:rPr>
                <w:rFonts w:eastAsiaTheme="minorHAnsi"/>
                <w:sz w:val="22"/>
                <w:szCs w:val="22"/>
                <w:lang w:val="sr-Latn-ME"/>
              </w:rPr>
              <w:t>snižena vrijednost imunoglobulina G u krvi</w:t>
            </w:r>
          </w:p>
          <w:p w14:paraId="769C3826" w14:textId="77777777" w:rsidR="00C070E1" w:rsidRPr="00D123D4" w:rsidRDefault="00C070E1" w:rsidP="00D123D4">
            <w:pPr>
              <w:widowControl w:val="0"/>
              <w:shd w:val="clear" w:color="auto" w:fill="FFFFFF"/>
              <w:spacing w:line="259" w:lineRule="auto"/>
              <w:rPr>
                <w:rFonts w:eastAsiaTheme="minorHAnsi"/>
                <w:sz w:val="22"/>
                <w:szCs w:val="22"/>
                <w:lang w:val="sr-Latn-ME"/>
              </w:rPr>
            </w:pP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65444FC6" w14:textId="77777777" w:rsidR="00C070E1" w:rsidRPr="00D123D4" w:rsidRDefault="00C070E1" w:rsidP="00D123D4">
            <w:pPr>
              <w:widowControl w:val="0"/>
              <w:shd w:val="clear" w:color="auto" w:fill="FFFFFF"/>
              <w:spacing w:line="259" w:lineRule="auto"/>
              <w:rPr>
                <w:rFonts w:eastAsiaTheme="minorHAnsi"/>
                <w:sz w:val="22"/>
                <w:szCs w:val="22"/>
                <w:lang w:val="sr-Latn-ME"/>
              </w:rPr>
            </w:pPr>
          </w:p>
        </w:tc>
      </w:tr>
      <w:tr w:rsidR="00C070E1" w:rsidRPr="00D123D4" w14:paraId="2204A209" w14:textId="737275BA" w:rsidTr="00E0624C">
        <w:trPr>
          <w:jc w:val="center"/>
        </w:trPr>
        <w:tc>
          <w:tcPr>
            <w:tcW w:w="1248" w:type="pct"/>
            <w:tcBorders>
              <w:top w:val="single" w:sz="4" w:space="0" w:color="auto"/>
              <w:left w:val="single" w:sz="4" w:space="0" w:color="auto"/>
              <w:bottom w:val="single" w:sz="4" w:space="0" w:color="auto"/>
              <w:right w:val="single" w:sz="4" w:space="0" w:color="auto"/>
            </w:tcBorders>
            <w:shd w:val="clear" w:color="auto" w:fill="FFFFFF"/>
          </w:tcPr>
          <w:p w14:paraId="792A01B5" w14:textId="098FA124" w:rsidR="00C070E1" w:rsidRPr="00D123D4" w:rsidRDefault="00C070E1" w:rsidP="00D123D4">
            <w:pPr>
              <w:widowControl w:val="0"/>
              <w:shd w:val="clear" w:color="auto" w:fill="FFFFFF"/>
              <w:spacing w:line="259" w:lineRule="auto"/>
              <w:rPr>
                <w:rFonts w:eastAsiaTheme="minorHAnsi"/>
                <w:b/>
                <w:sz w:val="22"/>
                <w:szCs w:val="22"/>
                <w:lang w:val="sr-Latn-ME"/>
              </w:rPr>
            </w:pPr>
            <w:r w:rsidRPr="00D123D4">
              <w:rPr>
                <w:rFonts w:eastAsiaTheme="minorHAnsi"/>
                <w:b/>
                <w:sz w:val="22"/>
                <w:szCs w:val="22"/>
                <w:lang w:val="sr-Latn-ME"/>
              </w:rPr>
              <w:t xml:space="preserve">Povrede, trovanja i proceduralne komplikacije </w:t>
            </w:r>
          </w:p>
        </w:tc>
        <w:tc>
          <w:tcPr>
            <w:tcW w:w="1252" w:type="pct"/>
            <w:tcBorders>
              <w:top w:val="single" w:sz="4" w:space="0" w:color="auto"/>
              <w:left w:val="single" w:sz="4" w:space="0" w:color="auto"/>
              <w:bottom w:val="single" w:sz="4" w:space="0" w:color="auto"/>
              <w:right w:val="single" w:sz="4" w:space="0" w:color="auto"/>
            </w:tcBorders>
            <w:shd w:val="clear" w:color="auto" w:fill="FFFFFF"/>
            <w:hideMark/>
          </w:tcPr>
          <w:p w14:paraId="5B906713" w14:textId="77777777" w:rsidR="00C070E1" w:rsidRPr="00D123D4" w:rsidRDefault="00C070E1" w:rsidP="00D123D4">
            <w:pPr>
              <w:widowControl w:val="0"/>
              <w:shd w:val="clear" w:color="auto" w:fill="FFFFFF"/>
              <w:tabs>
                <w:tab w:val="left" w:pos="56"/>
              </w:tabs>
              <w:spacing w:line="259" w:lineRule="auto"/>
              <w:rPr>
                <w:rFonts w:eastAsiaTheme="minorHAnsi"/>
                <w:sz w:val="22"/>
                <w:szCs w:val="22"/>
                <w:lang w:val="sr-Latn-ME"/>
              </w:rPr>
            </w:pPr>
            <w:r w:rsidRPr="00D123D4">
              <w:rPr>
                <w:rFonts w:eastAsiaTheme="minorHAnsi"/>
                <w:sz w:val="22"/>
                <w:szCs w:val="22"/>
                <w:lang w:val="sr-Latn-ME"/>
              </w:rPr>
              <w:t>reakcija na infuziju</w:t>
            </w:r>
            <w:r w:rsidRPr="00D123D4">
              <w:rPr>
                <w:rFonts w:eastAsiaTheme="minorHAnsi"/>
                <w:sz w:val="22"/>
                <w:szCs w:val="22"/>
                <w:vertAlign w:val="superscript"/>
                <w:lang w:val="sr-Latn-ME"/>
              </w:rPr>
              <w:t>1</w:t>
            </w:r>
            <w:r w:rsidRPr="00D123D4">
              <w:rPr>
                <w:rFonts w:eastAsiaTheme="minorHAnsi"/>
                <w:sz w:val="22"/>
                <w:szCs w:val="22"/>
                <w:lang w:val="sr-Latn-ME"/>
              </w:rPr>
              <w:t xml:space="preserve"> </w:t>
            </w:r>
          </w:p>
        </w:tc>
        <w:tc>
          <w:tcPr>
            <w:tcW w:w="1720" w:type="pct"/>
            <w:tcBorders>
              <w:top w:val="single" w:sz="4" w:space="0" w:color="auto"/>
              <w:left w:val="single" w:sz="4" w:space="0" w:color="auto"/>
              <w:bottom w:val="single" w:sz="4" w:space="0" w:color="auto"/>
              <w:right w:val="single" w:sz="4" w:space="0" w:color="auto"/>
            </w:tcBorders>
            <w:shd w:val="clear" w:color="auto" w:fill="FFFFFF"/>
          </w:tcPr>
          <w:p w14:paraId="4DCF3A83" w14:textId="77777777" w:rsidR="00C070E1" w:rsidRPr="00D123D4" w:rsidRDefault="00C070E1" w:rsidP="00D123D4">
            <w:pPr>
              <w:widowControl w:val="0"/>
              <w:shd w:val="clear" w:color="auto" w:fill="FFFFFF"/>
              <w:spacing w:line="259" w:lineRule="auto"/>
              <w:rPr>
                <w:rFonts w:eastAsiaTheme="minorHAnsi"/>
                <w:sz w:val="22"/>
                <w:szCs w:val="22"/>
                <w:lang w:val="sr-Latn-ME"/>
              </w:rPr>
            </w:pP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091B5D7B" w14:textId="77777777" w:rsidR="00C070E1" w:rsidRPr="00D123D4" w:rsidRDefault="00C070E1" w:rsidP="00D123D4">
            <w:pPr>
              <w:widowControl w:val="0"/>
              <w:shd w:val="clear" w:color="auto" w:fill="FFFFFF"/>
              <w:spacing w:line="259" w:lineRule="auto"/>
              <w:rPr>
                <w:rFonts w:eastAsiaTheme="minorHAnsi"/>
                <w:sz w:val="22"/>
                <w:szCs w:val="22"/>
                <w:lang w:val="sr-Latn-ME"/>
              </w:rPr>
            </w:pPr>
          </w:p>
        </w:tc>
      </w:tr>
    </w:tbl>
    <w:p w14:paraId="08878E2D" w14:textId="47546A17" w:rsidR="00DD6A9C" w:rsidRPr="00D123D4" w:rsidRDefault="00DD6A9C" w:rsidP="00E0624C">
      <w:pPr>
        <w:widowControl w:val="0"/>
        <w:spacing w:line="259" w:lineRule="auto"/>
        <w:rPr>
          <w:sz w:val="20"/>
          <w:szCs w:val="20"/>
          <w:lang w:val="sr-Latn-ME"/>
        </w:rPr>
      </w:pPr>
      <w:r w:rsidRPr="00D123D4">
        <w:rPr>
          <w:sz w:val="20"/>
          <w:szCs w:val="20"/>
          <w:vertAlign w:val="superscript"/>
          <w:lang w:val="sr-Latn-ME"/>
        </w:rPr>
        <w:t xml:space="preserve">1 </w:t>
      </w:r>
      <w:r w:rsidR="00EE13AF" w:rsidRPr="00D123D4">
        <w:rPr>
          <w:sz w:val="20"/>
          <w:szCs w:val="20"/>
          <w:lang w:val="sr-Latn-ME"/>
        </w:rPr>
        <w:t>Vidjeti opis odabranih neželjenih dejstava</w:t>
      </w:r>
    </w:p>
    <w:p w14:paraId="11BEB737" w14:textId="75AEF7B5" w:rsidR="00C070E1" w:rsidRPr="00D123D4" w:rsidRDefault="00C070E1">
      <w:pPr>
        <w:widowControl w:val="0"/>
        <w:rPr>
          <w:sz w:val="20"/>
          <w:szCs w:val="20"/>
          <w:lang w:val="sr-Latn-ME"/>
        </w:rPr>
      </w:pPr>
      <w:r w:rsidRPr="00D123D4">
        <w:rPr>
          <w:sz w:val="20"/>
          <w:szCs w:val="20"/>
          <w:vertAlign w:val="superscript"/>
          <w:lang w:val="sr-Latn-ME"/>
        </w:rPr>
        <w:t xml:space="preserve">2 </w:t>
      </w:r>
      <w:r w:rsidRPr="00D123D4">
        <w:rPr>
          <w:sz w:val="20"/>
          <w:szCs w:val="20"/>
          <w:lang w:val="sr-Latn-ME"/>
        </w:rPr>
        <w:t>Uočeno nakon stavljanja lijeka u promet</w:t>
      </w:r>
      <w:r w:rsidR="00256986" w:rsidRPr="00D123D4">
        <w:rPr>
          <w:sz w:val="20"/>
          <w:szCs w:val="20"/>
          <w:lang w:val="sr-Latn-ME"/>
        </w:rPr>
        <w:t>.</w:t>
      </w:r>
    </w:p>
    <w:p w14:paraId="53661682" w14:textId="77777777" w:rsidR="00DD6A9C" w:rsidRPr="00D123D4" w:rsidRDefault="00DD6A9C" w:rsidP="00D123D4">
      <w:pPr>
        <w:widowControl w:val="0"/>
        <w:rPr>
          <w:sz w:val="22"/>
          <w:szCs w:val="22"/>
          <w:lang w:val="sr-Latn-ME"/>
        </w:rPr>
      </w:pPr>
    </w:p>
    <w:p w14:paraId="0E7A61FB" w14:textId="77777777" w:rsidR="00DD6A9C" w:rsidRPr="00D123D4" w:rsidRDefault="00DD6A9C" w:rsidP="00D123D4">
      <w:pPr>
        <w:widowControl w:val="0"/>
        <w:rPr>
          <w:sz w:val="22"/>
          <w:szCs w:val="22"/>
          <w:u w:val="single"/>
          <w:lang w:val="sr-Latn-ME"/>
        </w:rPr>
      </w:pPr>
      <w:r w:rsidRPr="00D123D4">
        <w:rPr>
          <w:sz w:val="22"/>
          <w:szCs w:val="22"/>
          <w:u w:val="single"/>
          <w:lang w:val="sr-Latn-ME"/>
        </w:rPr>
        <w:t>Opis odabranih neželjenih dejstava</w:t>
      </w:r>
    </w:p>
    <w:p w14:paraId="080D8B1E" w14:textId="77777777" w:rsidR="00DD6A9C" w:rsidRPr="00D123D4" w:rsidRDefault="00DD6A9C" w:rsidP="00D123D4">
      <w:pPr>
        <w:widowControl w:val="0"/>
        <w:rPr>
          <w:sz w:val="22"/>
          <w:szCs w:val="22"/>
          <w:lang w:val="sr-Latn-ME"/>
        </w:rPr>
      </w:pPr>
    </w:p>
    <w:p w14:paraId="0A9EA278" w14:textId="77777777" w:rsidR="00DD6A9C" w:rsidRPr="00D123D4" w:rsidRDefault="00DD6A9C" w:rsidP="00D123D4">
      <w:pPr>
        <w:widowControl w:val="0"/>
        <w:jc w:val="both"/>
        <w:rPr>
          <w:i/>
          <w:sz w:val="22"/>
          <w:szCs w:val="22"/>
          <w:lang w:val="sr-Latn-ME"/>
        </w:rPr>
      </w:pPr>
      <w:r w:rsidRPr="00D123D4">
        <w:rPr>
          <w:i/>
          <w:sz w:val="22"/>
          <w:szCs w:val="22"/>
          <w:lang w:val="sr-Latn-ME"/>
        </w:rPr>
        <w:t>Reakcije na infuziju</w:t>
      </w:r>
    </w:p>
    <w:p w14:paraId="02CB7B49" w14:textId="77777777" w:rsidR="00DD6A9C" w:rsidRPr="00D123D4" w:rsidRDefault="00DD6A9C" w:rsidP="00D123D4">
      <w:pPr>
        <w:widowControl w:val="0"/>
        <w:jc w:val="both"/>
        <w:rPr>
          <w:sz w:val="22"/>
          <w:szCs w:val="22"/>
          <w:lang w:val="sr-Latn-ME"/>
        </w:rPr>
      </w:pPr>
    </w:p>
    <w:p w14:paraId="53456102" w14:textId="335C88B8" w:rsidR="00DD6A9C" w:rsidRPr="00D123D4" w:rsidRDefault="00DD6A9C" w:rsidP="00D123D4">
      <w:pPr>
        <w:widowControl w:val="0"/>
        <w:jc w:val="both"/>
        <w:rPr>
          <w:sz w:val="22"/>
          <w:szCs w:val="22"/>
          <w:lang w:val="sr-Latn-ME"/>
        </w:rPr>
      </w:pPr>
      <w:r w:rsidRPr="00D123D4">
        <w:rPr>
          <w:sz w:val="22"/>
          <w:szCs w:val="22"/>
          <w:lang w:val="sr-Latn-ME"/>
        </w:rPr>
        <w:t>U studijama primjene kod RMS-a i PPMS-a, simptomi povezani sa reakcijama na infuziju uključivali su, između ostalih: pruritus, osip, urtikariju, eritem, navale vrućine, hipotenziju, pireksiju, umor, glavobolju, vrtoglavicu, nadraženost grla, orofaringealnu bol, dispneju, edem ždrijela ili grkljana, mučninu, tahikardiju. U kontrolisanim studijama nije bilo reakcija</w:t>
      </w:r>
      <w:r w:rsidR="006509FA" w:rsidRPr="00D123D4">
        <w:rPr>
          <w:sz w:val="22"/>
          <w:szCs w:val="22"/>
          <w:lang w:val="sr-Latn-ME"/>
        </w:rPr>
        <w:t xml:space="preserve"> </w:t>
      </w:r>
      <w:r w:rsidRPr="00D123D4">
        <w:rPr>
          <w:sz w:val="22"/>
          <w:szCs w:val="22"/>
          <w:lang w:val="sr-Latn-ME"/>
        </w:rPr>
        <w:t>na infuziju</w:t>
      </w:r>
      <w:r w:rsidR="006509FA" w:rsidRPr="00D123D4">
        <w:rPr>
          <w:sz w:val="22"/>
          <w:szCs w:val="22"/>
          <w:lang w:val="sr-Latn-ME"/>
        </w:rPr>
        <w:t xml:space="preserve"> sa smrtnim ishodom. Dodatno, nakon stavljanja lijeka u promet, simptomi reakcije na infuziju uključivali su anafilaksu.</w:t>
      </w:r>
    </w:p>
    <w:p w14:paraId="27A75A21" w14:textId="77777777" w:rsidR="00DD6A9C" w:rsidRPr="00D123D4" w:rsidRDefault="00DD6A9C" w:rsidP="00D123D4">
      <w:pPr>
        <w:widowControl w:val="0"/>
        <w:jc w:val="both"/>
        <w:rPr>
          <w:sz w:val="22"/>
          <w:szCs w:val="22"/>
          <w:lang w:val="sr-Latn-ME"/>
        </w:rPr>
      </w:pPr>
    </w:p>
    <w:p w14:paraId="5A396AA5" w14:textId="4A4D4CFD" w:rsidR="00DD6A9C" w:rsidRPr="00D123D4" w:rsidRDefault="00DD6A9C" w:rsidP="00D123D4">
      <w:pPr>
        <w:widowControl w:val="0"/>
        <w:jc w:val="both"/>
        <w:rPr>
          <w:sz w:val="22"/>
          <w:szCs w:val="22"/>
          <w:lang w:val="sr-Latn-ME"/>
        </w:rPr>
      </w:pPr>
      <w:r w:rsidRPr="00D123D4">
        <w:rPr>
          <w:sz w:val="22"/>
          <w:szCs w:val="22"/>
          <w:lang w:val="sr-Latn-ME"/>
        </w:rPr>
        <w:t xml:space="preserve">U kliničkim studijama kontrolisanim aktivnim lijekom (RMS) reakcija na infuziju bila je najčešće neželjeno dejstvo </w:t>
      </w:r>
      <w:r w:rsidR="00EE13AF" w:rsidRPr="00D123D4">
        <w:rPr>
          <w:sz w:val="22"/>
          <w:szCs w:val="22"/>
          <w:lang w:val="sr-Latn-ME"/>
        </w:rPr>
        <w:t>u grupi liječenoj</w:t>
      </w:r>
      <w:r w:rsidR="00572E8D" w:rsidRPr="00D123D4">
        <w:rPr>
          <w:sz w:val="22"/>
          <w:szCs w:val="22"/>
          <w:lang w:val="sr-Latn-ME"/>
        </w:rPr>
        <w:t xml:space="preserve"> </w:t>
      </w:r>
      <w:r w:rsidR="00416F4C" w:rsidRPr="00D123D4">
        <w:rPr>
          <w:sz w:val="22"/>
          <w:szCs w:val="22"/>
          <w:lang w:val="sr-Latn-ME"/>
        </w:rPr>
        <w:t>okrelizumabom</w:t>
      </w:r>
      <w:r w:rsidRPr="00D123D4">
        <w:rPr>
          <w:sz w:val="22"/>
          <w:szCs w:val="22"/>
          <w:lang w:val="sr-Latn-ME"/>
        </w:rPr>
        <w:t xml:space="preserve">, sa ukupnom učestalošću od 34,3% u poređenju sa 9,9% u grupi koja je primala interferon beta- 1a (infuzija placeba). Učestalost reakcija na infuziju bila je najviša tokom 1. infuzije 1. doze (27,5%), a sa vremenom je pala na &lt; 10% pri 4. dozi. U obje grupe većina reakcija na infuziju je bila blage do umjerene težine. Blage i umjerene reakcije na infuziju javile su se kod 21,7% odnosno 10,1% pacijenata liječenih </w:t>
      </w:r>
      <w:r w:rsidR="00416F4C" w:rsidRPr="00D123D4">
        <w:rPr>
          <w:sz w:val="22"/>
          <w:szCs w:val="22"/>
          <w:lang w:val="sr-Latn-ME"/>
        </w:rPr>
        <w:t>okrelizumabom</w:t>
      </w:r>
      <w:r w:rsidR="007B6128" w:rsidRPr="00D123D4">
        <w:rPr>
          <w:sz w:val="22"/>
          <w:szCs w:val="22"/>
          <w:lang w:val="sr-Latn-ME"/>
        </w:rPr>
        <w:t xml:space="preserve">. Teške </w:t>
      </w:r>
      <w:r w:rsidRPr="00D123D4">
        <w:rPr>
          <w:sz w:val="22"/>
          <w:szCs w:val="22"/>
          <w:lang w:val="sr-Latn-ME"/>
        </w:rPr>
        <w:t xml:space="preserve">reakcije na infuziju javile su se kod 2,4% tih pacijenata, dok su po život opasne reakcije na infuziju zabilježene kod 0,1% pacijenata. </w:t>
      </w:r>
    </w:p>
    <w:p w14:paraId="67BD20CB" w14:textId="77777777" w:rsidR="00DD6A9C" w:rsidRPr="00D123D4" w:rsidRDefault="00DD6A9C" w:rsidP="00D123D4">
      <w:pPr>
        <w:widowControl w:val="0"/>
        <w:jc w:val="both"/>
        <w:rPr>
          <w:sz w:val="22"/>
          <w:szCs w:val="22"/>
          <w:lang w:val="sr-Latn-ME"/>
        </w:rPr>
      </w:pPr>
    </w:p>
    <w:p w14:paraId="5E81891B" w14:textId="77777777" w:rsidR="007B6128" w:rsidRPr="00D123D4" w:rsidRDefault="00DD6A9C" w:rsidP="007C29E4">
      <w:pPr>
        <w:widowControl w:val="0"/>
        <w:rPr>
          <w:lang w:val="sr-Latn-ME"/>
        </w:rPr>
      </w:pPr>
      <w:r w:rsidRPr="00D123D4">
        <w:rPr>
          <w:sz w:val="22"/>
          <w:szCs w:val="22"/>
          <w:lang w:val="sr-Latn-ME"/>
        </w:rPr>
        <w:t xml:space="preserve">U placebom kontrolisanoj kliničkoj studiji (PPMS) reakcija na infuziju bila je najčešći štetni događaj </w:t>
      </w:r>
      <w:r w:rsidR="00EE13AF" w:rsidRPr="00D123D4">
        <w:rPr>
          <w:sz w:val="22"/>
          <w:szCs w:val="22"/>
          <w:lang w:val="sr-Latn-ME"/>
        </w:rPr>
        <w:t>u grupi</w:t>
      </w:r>
      <w:r w:rsidRPr="00D123D4">
        <w:rPr>
          <w:sz w:val="22"/>
          <w:szCs w:val="22"/>
          <w:lang w:val="sr-Latn-ME"/>
        </w:rPr>
        <w:t xml:space="preserve"> pacijenata liječenih </w:t>
      </w:r>
      <w:r w:rsidR="00416F4C" w:rsidRPr="00D123D4">
        <w:rPr>
          <w:sz w:val="22"/>
          <w:szCs w:val="22"/>
          <w:lang w:val="sr-Latn-ME"/>
        </w:rPr>
        <w:t>okrelizumabom</w:t>
      </w:r>
      <w:r w:rsidRPr="00D123D4">
        <w:rPr>
          <w:sz w:val="22"/>
          <w:szCs w:val="22"/>
          <w:lang w:val="sr-Latn-ME"/>
        </w:rPr>
        <w:t xml:space="preserve">, sa ukupnom učestalošću od 40,1%, u poređenju sa 25,5% u grupi koja je primala placebo. Učestalost reakcija na infuziju bila je najviša tokom 1. infuzije 1. doze (27,4%), a sa daljim dozama je pala na &lt; 10% pri 4. dozi. U obje grupe je veći udio pacijenata doživio reakciju na infuziju kod prve infuzije pojedine doze nego kod druge infuzije te doze. Većina reakcija na infuziju bila je blage do umjerene težine. Blage i umjerene reakcije na infuziju javile su se kod 26,7% odnosno 11,9% pacijenata liječenih </w:t>
      </w:r>
      <w:r w:rsidR="00416F4C" w:rsidRPr="00D123D4">
        <w:rPr>
          <w:sz w:val="22"/>
          <w:szCs w:val="22"/>
          <w:lang w:val="sr-Latn-ME"/>
        </w:rPr>
        <w:t>okrelizumabom</w:t>
      </w:r>
      <w:r w:rsidRPr="00D123D4">
        <w:rPr>
          <w:sz w:val="22"/>
          <w:szCs w:val="22"/>
          <w:lang w:val="sr-Latn-ME"/>
        </w:rPr>
        <w:t>, dok su se teške reakcije na infuziju javile kod njih 1,4%. Nije bilo reakcija na infuziju opasnih po život. Vidjeti dio 4.4.</w:t>
      </w:r>
      <w:r w:rsidR="007B6128" w:rsidRPr="00D123D4">
        <w:rPr>
          <w:sz w:val="22"/>
          <w:szCs w:val="22"/>
          <w:lang w:val="sr-Latn-ME"/>
        </w:rPr>
        <w:br/>
      </w:r>
    </w:p>
    <w:p w14:paraId="2A75C792" w14:textId="31A441BB" w:rsidR="007B6128" w:rsidRPr="00D123D4" w:rsidRDefault="007B6128" w:rsidP="00E0624C">
      <w:pPr>
        <w:widowControl w:val="0"/>
        <w:jc w:val="both"/>
        <w:rPr>
          <w:sz w:val="22"/>
          <w:szCs w:val="22"/>
          <w:lang w:val="sr-Latn-ME"/>
        </w:rPr>
      </w:pPr>
      <w:r w:rsidRPr="00D123D4">
        <w:rPr>
          <w:sz w:val="22"/>
          <w:szCs w:val="22"/>
          <w:lang w:val="sr-Latn-ME"/>
        </w:rPr>
        <w:t xml:space="preserve">Tokom kontrolisanog perioda i faze otvorenog produžetka kliničkih ispitivanja za RMS i PPMS </w:t>
      </w:r>
      <w:r w:rsidRPr="00D123D4">
        <w:rPr>
          <w:sz w:val="22"/>
          <w:szCs w:val="22"/>
          <w:lang w:val="sr-Latn-ME"/>
        </w:rPr>
        <w:lastRenderedPageBreak/>
        <w:t>pacijenti su primili približno 20 doza okrelizumaba. Incidenca reakcija na infuziju smanjila se na &lt; 4% do 4. doze u otvorenom produžetku ispitivanja kod pacijenata sa RMS odnosno na &lt; 5% do 5. doze u otvorenom produžetku ispitivanja kod pacijenata sa PPMS. Kod primjene sljedećih doza tokom otvorenog produžetka ispitivanja incidenca reakcija na infuziju ostala je niska. Tokom otvorenog produžetka ispitivanja većina reakcija na infuziju bila je blaga.</w:t>
      </w:r>
    </w:p>
    <w:p w14:paraId="27F050F0" w14:textId="411CC784" w:rsidR="0021487C" w:rsidRPr="00D123D4" w:rsidRDefault="0021487C" w:rsidP="00D123D4">
      <w:pPr>
        <w:widowControl w:val="0"/>
        <w:jc w:val="both"/>
        <w:rPr>
          <w:sz w:val="22"/>
          <w:szCs w:val="22"/>
          <w:lang w:val="sr-Latn-ME"/>
        </w:rPr>
      </w:pPr>
    </w:p>
    <w:p w14:paraId="0065ABFD" w14:textId="3E071808" w:rsidR="0021487C" w:rsidRPr="00D123D4" w:rsidRDefault="00EE13AF" w:rsidP="00D123D4">
      <w:pPr>
        <w:widowControl w:val="0"/>
        <w:rPr>
          <w:i/>
          <w:sz w:val="22"/>
          <w:szCs w:val="20"/>
          <w:lang w:val="sr-Latn-ME" w:eastAsia="ja-JP"/>
        </w:rPr>
      </w:pPr>
      <w:r w:rsidRPr="00D123D4">
        <w:rPr>
          <w:i/>
          <w:sz w:val="22"/>
          <w:szCs w:val="20"/>
          <w:lang w:val="sr-Latn-ME" w:eastAsia="ja-JP"/>
        </w:rPr>
        <w:t xml:space="preserve">Mogućnost </w:t>
      </w:r>
      <w:r w:rsidR="0021487C" w:rsidRPr="00D123D4">
        <w:rPr>
          <w:i/>
          <w:sz w:val="22"/>
          <w:szCs w:val="20"/>
          <w:lang w:val="sr-Latn-ME" w:eastAsia="ja-JP"/>
        </w:rPr>
        <w:t>infuzij</w:t>
      </w:r>
      <w:r w:rsidRPr="00D123D4">
        <w:rPr>
          <w:i/>
          <w:sz w:val="22"/>
          <w:szCs w:val="20"/>
          <w:lang w:val="sr-Latn-ME" w:eastAsia="ja-JP"/>
        </w:rPr>
        <w:t>e kraćeg vremena primjene kod</w:t>
      </w:r>
      <w:r w:rsidR="0021487C" w:rsidRPr="00D123D4">
        <w:rPr>
          <w:i/>
          <w:sz w:val="22"/>
          <w:szCs w:val="20"/>
          <w:lang w:val="sr-Latn-ME" w:eastAsia="ja-JP"/>
        </w:rPr>
        <w:t xml:space="preserve"> sljedećih doza</w:t>
      </w:r>
    </w:p>
    <w:p w14:paraId="5783B963" w14:textId="77777777" w:rsidR="0021487C" w:rsidRPr="00D123D4" w:rsidRDefault="0021487C" w:rsidP="00D123D4">
      <w:pPr>
        <w:widowControl w:val="0"/>
        <w:rPr>
          <w:i/>
          <w:sz w:val="22"/>
          <w:szCs w:val="20"/>
          <w:lang w:val="sr-Latn-ME" w:eastAsia="en-GB"/>
        </w:rPr>
      </w:pPr>
    </w:p>
    <w:p w14:paraId="081EE72D" w14:textId="5137693F" w:rsidR="0021487C" w:rsidRPr="00D123D4" w:rsidRDefault="0021487C" w:rsidP="00D123D4">
      <w:pPr>
        <w:widowControl w:val="0"/>
        <w:jc w:val="both"/>
        <w:rPr>
          <w:sz w:val="22"/>
          <w:szCs w:val="20"/>
          <w:lang w:val="sr-Latn-ME" w:eastAsia="en-GB"/>
        </w:rPr>
      </w:pPr>
      <w:r w:rsidRPr="00D123D4">
        <w:rPr>
          <w:sz w:val="22"/>
          <w:szCs w:val="20"/>
          <w:lang w:val="sr-Latn-ME" w:eastAsia="ja-JP"/>
        </w:rPr>
        <w:t xml:space="preserve">U jednoj </w:t>
      </w:r>
      <w:r w:rsidR="00E54AFF" w:rsidRPr="00D123D4">
        <w:rPr>
          <w:sz w:val="22"/>
          <w:szCs w:val="20"/>
          <w:lang w:val="sr-Latn-ME" w:eastAsia="ja-JP"/>
        </w:rPr>
        <w:t>klinič</w:t>
      </w:r>
      <w:r w:rsidRPr="00D123D4">
        <w:rPr>
          <w:sz w:val="22"/>
          <w:szCs w:val="20"/>
          <w:lang w:val="sr-Latn-ME" w:eastAsia="ja-JP"/>
        </w:rPr>
        <w:t>koj studiji (pod</w:t>
      </w:r>
      <w:r w:rsidR="00E54AFF" w:rsidRPr="00D123D4">
        <w:rPr>
          <w:sz w:val="22"/>
          <w:szCs w:val="20"/>
          <w:lang w:val="sr-Latn-ME" w:eastAsia="ja-JP"/>
        </w:rPr>
        <w:t>studija</w:t>
      </w:r>
      <w:r w:rsidRPr="00D123D4">
        <w:rPr>
          <w:sz w:val="22"/>
          <w:szCs w:val="20"/>
          <w:lang w:val="sr-Latn-ME" w:eastAsia="ja-JP"/>
        </w:rPr>
        <w:t xml:space="preserve"> kraće infuzije u sklopu </w:t>
      </w:r>
      <w:r w:rsidR="00E54AFF" w:rsidRPr="00D123D4">
        <w:rPr>
          <w:sz w:val="22"/>
          <w:szCs w:val="20"/>
          <w:lang w:val="sr-Latn-ME" w:eastAsia="ja-JP"/>
        </w:rPr>
        <w:t>studije</w:t>
      </w:r>
      <w:r w:rsidRPr="00D123D4">
        <w:rPr>
          <w:sz w:val="22"/>
          <w:szCs w:val="20"/>
          <w:lang w:val="sr-Latn-ME" w:eastAsia="ja-JP"/>
        </w:rPr>
        <w:t xml:space="preserve"> MA30143) dizajnirano</w:t>
      </w:r>
      <w:r w:rsidR="00E54AFF" w:rsidRPr="00D123D4">
        <w:rPr>
          <w:sz w:val="22"/>
          <w:szCs w:val="20"/>
          <w:lang w:val="sr-Latn-ME" w:eastAsia="ja-JP"/>
        </w:rPr>
        <w:t>j</w:t>
      </w:r>
      <w:r w:rsidRPr="00D123D4">
        <w:rPr>
          <w:sz w:val="22"/>
          <w:szCs w:val="20"/>
          <w:lang w:val="sr-Latn-ME" w:eastAsia="ja-JP"/>
        </w:rPr>
        <w:t xml:space="preserve"> da se okarakteri</w:t>
      </w:r>
      <w:r w:rsidR="00E54AFF" w:rsidRPr="00D123D4">
        <w:rPr>
          <w:sz w:val="22"/>
          <w:szCs w:val="20"/>
          <w:lang w:val="sr-Latn-ME" w:eastAsia="ja-JP"/>
        </w:rPr>
        <w:t>še</w:t>
      </w:r>
      <w:r w:rsidRPr="00D123D4">
        <w:rPr>
          <w:sz w:val="22"/>
          <w:szCs w:val="20"/>
          <w:lang w:val="sr-Latn-ME" w:eastAsia="ja-JP"/>
        </w:rPr>
        <w:t xml:space="preserve"> sigurnosni profil kraće (2</w:t>
      </w:r>
      <w:r w:rsidRPr="00D123D4">
        <w:rPr>
          <w:sz w:val="22"/>
          <w:szCs w:val="20"/>
          <w:lang w:val="sr-Latn-ME" w:eastAsia="ja-JP"/>
        </w:rPr>
        <w:noBreakHyphen/>
        <w:t xml:space="preserve">satne) primjene infuzije </w:t>
      </w:r>
      <w:r w:rsidR="00416F4C" w:rsidRPr="00D123D4">
        <w:rPr>
          <w:sz w:val="22"/>
          <w:szCs w:val="20"/>
          <w:lang w:val="sr-Latn-ME" w:eastAsia="ja-JP"/>
        </w:rPr>
        <w:t>okrelizumaba</w:t>
      </w:r>
      <w:r w:rsidR="00EE13AF" w:rsidRPr="00D123D4">
        <w:rPr>
          <w:sz w:val="22"/>
          <w:szCs w:val="20"/>
          <w:lang w:val="sr-Latn-ME" w:eastAsia="ja-JP"/>
        </w:rPr>
        <w:t xml:space="preserve"> </w:t>
      </w:r>
      <w:r w:rsidR="00E54AFF" w:rsidRPr="00D123D4">
        <w:rPr>
          <w:sz w:val="22"/>
          <w:szCs w:val="20"/>
          <w:lang w:val="sr-Latn-ME" w:eastAsia="ja-JP"/>
        </w:rPr>
        <w:t>kod pacijenata</w:t>
      </w:r>
      <w:r w:rsidRPr="00D123D4">
        <w:rPr>
          <w:sz w:val="22"/>
          <w:szCs w:val="20"/>
          <w:lang w:val="sr-Latn-ME" w:eastAsia="ja-JP"/>
        </w:rPr>
        <w:t xml:space="preserve"> s</w:t>
      </w:r>
      <w:r w:rsidR="00E54AFF" w:rsidRPr="00D123D4">
        <w:rPr>
          <w:sz w:val="22"/>
          <w:szCs w:val="20"/>
          <w:lang w:val="sr-Latn-ME" w:eastAsia="ja-JP"/>
        </w:rPr>
        <w:t>a</w:t>
      </w:r>
      <w:r w:rsidRPr="00D123D4">
        <w:rPr>
          <w:sz w:val="22"/>
          <w:szCs w:val="20"/>
          <w:lang w:val="sr-Latn-ME" w:eastAsia="ja-JP"/>
        </w:rPr>
        <w:t xml:space="preserve"> relapsno</w:t>
      </w:r>
      <w:r w:rsidRPr="00D123D4">
        <w:rPr>
          <w:sz w:val="22"/>
          <w:szCs w:val="20"/>
          <w:lang w:val="sr-Latn-ME" w:eastAsia="ja-JP"/>
        </w:rPr>
        <w:noBreakHyphen/>
        <w:t>remitirajućom multiplom sklerozom, incidenca, intenzitet i vrste simptoma reakcija na infuziju bili su u skladu s onima primijećenima kod primjene infuzija t</w:t>
      </w:r>
      <w:r w:rsidR="00E54AFF" w:rsidRPr="00D123D4">
        <w:rPr>
          <w:sz w:val="22"/>
          <w:szCs w:val="20"/>
          <w:lang w:val="sr-Latn-ME" w:eastAsia="ja-JP"/>
        </w:rPr>
        <w:t>ok</w:t>
      </w:r>
      <w:r w:rsidRPr="00D123D4">
        <w:rPr>
          <w:sz w:val="22"/>
          <w:szCs w:val="20"/>
          <w:lang w:val="sr-Latn-ME" w:eastAsia="ja-JP"/>
        </w:rPr>
        <w:t xml:space="preserve">om </w:t>
      </w:r>
      <w:r w:rsidR="00E54AFF" w:rsidRPr="00D123D4">
        <w:rPr>
          <w:sz w:val="22"/>
          <w:szCs w:val="20"/>
          <w:lang w:val="sr-Latn-ME" w:eastAsia="ja-JP"/>
        </w:rPr>
        <w:t>perioda</w:t>
      </w:r>
      <w:r w:rsidRPr="00D123D4">
        <w:rPr>
          <w:sz w:val="22"/>
          <w:szCs w:val="20"/>
          <w:lang w:val="sr-Latn-ME" w:eastAsia="ja-JP"/>
        </w:rPr>
        <w:t xml:space="preserve"> od 3,5 sati (vidjeti dio 5.1). Ukupan broj potrebnih intervencija bio je nizak u obje </w:t>
      </w:r>
      <w:r w:rsidR="00E54AFF" w:rsidRPr="00D123D4">
        <w:rPr>
          <w:sz w:val="22"/>
          <w:szCs w:val="20"/>
          <w:lang w:val="sr-Latn-ME" w:eastAsia="ja-JP"/>
        </w:rPr>
        <w:t>grupe</w:t>
      </w:r>
      <w:r w:rsidR="00F40DBA" w:rsidRPr="00D123D4">
        <w:rPr>
          <w:sz w:val="22"/>
          <w:szCs w:val="20"/>
          <w:lang w:val="sr-Latn-ME" w:eastAsia="ja-JP"/>
        </w:rPr>
        <w:t xml:space="preserve"> za infuziju, m</w:t>
      </w:r>
      <w:r w:rsidRPr="00D123D4">
        <w:rPr>
          <w:sz w:val="22"/>
          <w:szCs w:val="20"/>
          <w:lang w:val="sr-Latn-ME" w:eastAsia="ja-JP"/>
        </w:rPr>
        <w:t xml:space="preserve">eđutim, bilo je potrebno više intervencija za zbrinjavanje reakcija na infuziju (usporavanje primjene ili privremeni prekid) u </w:t>
      </w:r>
      <w:r w:rsidR="00E54AFF" w:rsidRPr="00D123D4">
        <w:rPr>
          <w:sz w:val="22"/>
          <w:szCs w:val="20"/>
          <w:lang w:val="sr-Latn-ME" w:eastAsia="ja-JP"/>
        </w:rPr>
        <w:t>grupi</w:t>
      </w:r>
      <w:r w:rsidRPr="00D123D4">
        <w:rPr>
          <w:sz w:val="22"/>
          <w:szCs w:val="20"/>
          <w:lang w:val="sr-Latn-ME" w:eastAsia="ja-JP"/>
        </w:rPr>
        <w:t xml:space="preserve"> koja je primala kraće (2-satne) infuzije (8,7% </w:t>
      </w:r>
      <w:r w:rsidR="00E54AFF" w:rsidRPr="00D123D4">
        <w:rPr>
          <w:sz w:val="22"/>
          <w:szCs w:val="20"/>
          <w:lang w:val="sr-Latn-ME" w:eastAsia="ja-JP"/>
        </w:rPr>
        <w:t>pacijenata</w:t>
      </w:r>
      <w:r w:rsidRPr="00D123D4">
        <w:rPr>
          <w:sz w:val="22"/>
          <w:szCs w:val="20"/>
          <w:lang w:val="sr-Latn-ME" w:eastAsia="ja-JP"/>
        </w:rPr>
        <w:t xml:space="preserve">) u odnosu na </w:t>
      </w:r>
      <w:r w:rsidR="00E54AFF" w:rsidRPr="00D123D4">
        <w:rPr>
          <w:sz w:val="22"/>
          <w:szCs w:val="20"/>
          <w:lang w:val="sr-Latn-ME" w:eastAsia="ja-JP"/>
        </w:rPr>
        <w:t>grupu</w:t>
      </w:r>
      <w:r w:rsidRPr="00D123D4">
        <w:rPr>
          <w:sz w:val="22"/>
          <w:szCs w:val="20"/>
          <w:lang w:val="sr-Latn-ME" w:eastAsia="ja-JP"/>
        </w:rPr>
        <w:t xml:space="preserve"> koja je primala infuziju t</w:t>
      </w:r>
      <w:r w:rsidR="00E54AFF" w:rsidRPr="00D123D4">
        <w:rPr>
          <w:sz w:val="22"/>
          <w:szCs w:val="20"/>
          <w:lang w:val="sr-Latn-ME" w:eastAsia="ja-JP"/>
        </w:rPr>
        <w:t>o</w:t>
      </w:r>
      <w:r w:rsidRPr="00D123D4">
        <w:rPr>
          <w:sz w:val="22"/>
          <w:szCs w:val="20"/>
          <w:lang w:val="sr-Latn-ME" w:eastAsia="ja-JP"/>
        </w:rPr>
        <w:t xml:space="preserve">kom </w:t>
      </w:r>
      <w:r w:rsidR="00E54AFF" w:rsidRPr="00D123D4">
        <w:rPr>
          <w:sz w:val="22"/>
          <w:szCs w:val="20"/>
          <w:lang w:val="sr-Latn-ME" w:eastAsia="ja-JP"/>
        </w:rPr>
        <w:t>perioda</w:t>
      </w:r>
      <w:r w:rsidRPr="00D123D4">
        <w:rPr>
          <w:sz w:val="22"/>
          <w:szCs w:val="20"/>
          <w:lang w:val="sr-Latn-ME" w:eastAsia="ja-JP"/>
        </w:rPr>
        <w:t xml:space="preserve"> od 3,5 sati (4,8% </w:t>
      </w:r>
      <w:r w:rsidR="00E54AFF" w:rsidRPr="00D123D4">
        <w:rPr>
          <w:sz w:val="22"/>
          <w:szCs w:val="20"/>
          <w:lang w:val="sr-Latn-ME" w:eastAsia="ja-JP"/>
        </w:rPr>
        <w:t>pacijenata</w:t>
      </w:r>
      <w:r w:rsidRPr="00D123D4">
        <w:rPr>
          <w:sz w:val="22"/>
          <w:szCs w:val="20"/>
          <w:lang w:val="sr-Latn-ME" w:eastAsia="ja-JP"/>
        </w:rPr>
        <w:t>).</w:t>
      </w:r>
    </w:p>
    <w:p w14:paraId="5D061CD5" w14:textId="77777777" w:rsidR="00DD6A9C" w:rsidRPr="00D123D4" w:rsidRDefault="00DD6A9C" w:rsidP="00D123D4">
      <w:pPr>
        <w:widowControl w:val="0"/>
        <w:jc w:val="both"/>
        <w:rPr>
          <w:sz w:val="22"/>
          <w:szCs w:val="22"/>
          <w:lang w:val="sr-Latn-ME"/>
        </w:rPr>
      </w:pPr>
    </w:p>
    <w:p w14:paraId="4E8CF650" w14:textId="77777777" w:rsidR="00DD6A9C" w:rsidRPr="00D123D4" w:rsidRDefault="00DD6A9C" w:rsidP="00D123D4">
      <w:pPr>
        <w:widowControl w:val="0"/>
        <w:jc w:val="both"/>
        <w:rPr>
          <w:i/>
          <w:sz w:val="22"/>
          <w:szCs w:val="22"/>
          <w:lang w:val="sr-Latn-ME"/>
        </w:rPr>
      </w:pPr>
      <w:r w:rsidRPr="00D123D4">
        <w:rPr>
          <w:i/>
          <w:sz w:val="22"/>
          <w:szCs w:val="22"/>
          <w:lang w:val="sr-Latn-ME"/>
        </w:rPr>
        <w:t>Infekcija</w:t>
      </w:r>
    </w:p>
    <w:p w14:paraId="10D23A3A" w14:textId="77777777" w:rsidR="00DD6A9C" w:rsidRPr="00D123D4" w:rsidRDefault="00DD6A9C" w:rsidP="00D123D4">
      <w:pPr>
        <w:widowControl w:val="0"/>
        <w:jc w:val="both"/>
        <w:rPr>
          <w:sz w:val="22"/>
          <w:szCs w:val="22"/>
          <w:lang w:val="sr-Latn-ME"/>
        </w:rPr>
      </w:pPr>
    </w:p>
    <w:p w14:paraId="50E25D0B" w14:textId="66259B9F" w:rsidR="00FC4860" w:rsidRPr="00D123D4" w:rsidRDefault="00DD6A9C" w:rsidP="00E0624C">
      <w:pPr>
        <w:widowControl w:val="0"/>
        <w:jc w:val="both"/>
        <w:rPr>
          <w:sz w:val="22"/>
          <w:lang w:val="sr-Latn-ME"/>
        </w:rPr>
      </w:pPr>
      <w:r w:rsidRPr="00D123D4">
        <w:rPr>
          <w:sz w:val="22"/>
          <w:szCs w:val="22"/>
          <w:lang w:val="sr-Latn-ME"/>
        </w:rPr>
        <w:t xml:space="preserve">U aktivnim lijekom kontrolisanim studijama primjene kod RMS- a, infekcije su se javile kod 58,5% pacijenata koji su primali </w:t>
      </w:r>
      <w:r w:rsidR="00EE13AF" w:rsidRPr="00D123D4">
        <w:rPr>
          <w:sz w:val="22"/>
          <w:szCs w:val="22"/>
          <w:lang w:val="sr-Latn-ME"/>
        </w:rPr>
        <w:t xml:space="preserve">okrelizumab </w:t>
      </w:r>
      <w:r w:rsidRPr="00D123D4">
        <w:rPr>
          <w:sz w:val="22"/>
          <w:szCs w:val="22"/>
          <w:lang w:val="sr-Latn-ME"/>
        </w:rPr>
        <w:t xml:space="preserve">i 52,5% onih koji su primali interferon beta-1a. Ozbiljne infekcije javile su se kod 1,3% pacijenata koji su primali </w:t>
      </w:r>
      <w:r w:rsidR="00EE13AF" w:rsidRPr="00D123D4">
        <w:rPr>
          <w:sz w:val="22"/>
          <w:szCs w:val="22"/>
          <w:lang w:val="sr-Latn-ME"/>
        </w:rPr>
        <w:t xml:space="preserve">okrelizumab </w:t>
      </w:r>
      <w:r w:rsidRPr="00D123D4">
        <w:rPr>
          <w:sz w:val="22"/>
          <w:szCs w:val="22"/>
          <w:lang w:val="sr-Latn-ME"/>
        </w:rPr>
        <w:t>i 2,9% onih koji su primali interferon beta</w:t>
      </w:r>
      <w:r w:rsidR="00ED4AD5" w:rsidRPr="00D123D4">
        <w:rPr>
          <w:sz w:val="22"/>
          <w:szCs w:val="22"/>
          <w:lang w:val="sr-Latn-ME"/>
        </w:rPr>
        <w:t>-</w:t>
      </w:r>
      <w:r w:rsidRPr="00D123D4">
        <w:rPr>
          <w:sz w:val="22"/>
          <w:szCs w:val="22"/>
          <w:lang w:val="sr-Latn-ME"/>
        </w:rPr>
        <w:t xml:space="preserve">1a. U placebom kontrolisanoj studiji primjene kod PPMS- a infekcije su se javile kod 72,2% pacijenata koji su primali </w:t>
      </w:r>
      <w:r w:rsidR="00EE13AF" w:rsidRPr="00D123D4">
        <w:rPr>
          <w:sz w:val="22"/>
          <w:szCs w:val="22"/>
          <w:lang w:val="sr-Latn-ME"/>
        </w:rPr>
        <w:t xml:space="preserve">okrelizumab </w:t>
      </w:r>
      <w:r w:rsidRPr="00D123D4">
        <w:rPr>
          <w:sz w:val="22"/>
          <w:szCs w:val="22"/>
          <w:lang w:val="sr-Latn-ME"/>
        </w:rPr>
        <w:t xml:space="preserve">i 69,9% onih koji su primali placebo. Ozbiljne infekcije javile su se kod 6,2% pacijenata koji su primali </w:t>
      </w:r>
      <w:r w:rsidR="00EE13AF" w:rsidRPr="00D123D4">
        <w:rPr>
          <w:sz w:val="22"/>
          <w:szCs w:val="22"/>
          <w:lang w:val="sr-Latn-ME"/>
        </w:rPr>
        <w:t xml:space="preserve">okrelizumab </w:t>
      </w:r>
      <w:r w:rsidRPr="00D123D4">
        <w:rPr>
          <w:sz w:val="22"/>
          <w:szCs w:val="22"/>
          <w:lang w:val="sr-Latn-ME"/>
        </w:rPr>
        <w:t xml:space="preserve">i 6,7% onih koji su primali placebo. </w:t>
      </w:r>
      <w:r w:rsidR="00FC4860" w:rsidRPr="00D123D4">
        <w:rPr>
          <w:sz w:val="22"/>
          <w:szCs w:val="22"/>
          <w:lang w:val="sr-Latn-ME"/>
        </w:rPr>
        <w:br/>
      </w:r>
      <w:r w:rsidR="00EE13AF" w:rsidRPr="00D123D4">
        <w:rPr>
          <w:sz w:val="22"/>
          <w:szCs w:val="22"/>
          <w:lang w:val="sr-Latn-ME"/>
        </w:rPr>
        <w:t xml:space="preserve">Svi pacijenti su prešli na </w:t>
      </w:r>
      <w:r w:rsidR="00FC4860" w:rsidRPr="00D123D4">
        <w:rPr>
          <w:sz w:val="22"/>
          <w:szCs w:val="22"/>
          <w:lang w:val="sr-Latn-ME"/>
        </w:rPr>
        <w:t xml:space="preserve">liječenje </w:t>
      </w:r>
      <w:r w:rsidR="00EE13AF" w:rsidRPr="00D123D4">
        <w:rPr>
          <w:sz w:val="22"/>
          <w:szCs w:val="22"/>
          <w:lang w:val="sr-Latn-ME"/>
        </w:rPr>
        <w:t>okrelizumab</w:t>
      </w:r>
      <w:r w:rsidR="00FC4860" w:rsidRPr="00D123D4">
        <w:rPr>
          <w:sz w:val="22"/>
          <w:szCs w:val="22"/>
          <w:lang w:val="sr-Latn-ME"/>
        </w:rPr>
        <w:t>om</w:t>
      </w:r>
      <w:r w:rsidR="00EE13AF" w:rsidRPr="00D123D4">
        <w:rPr>
          <w:sz w:val="22"/>
          <w:szCs w:val="22"/>
          <w:lang w:val="sr-Latn-ME"/>
        </w:rPr>
        <w:t xml:space="preserve"> tokom</w:t>
      </w:r>
      <w:r w:rsidR="00DD41A0">
        <w:rPr>
          <w:sz w:val="22"/>
          <w:szCs w:val="22"/>
          <w:lang w:val="sr-Latn-ME"/>
        </w:rPr>
        <w:t xml:space="preserve"> </w:t>
      </w:r>
      <w:r w:rsidR="00FC4860" w:rsidRPr="00D123D4">
        <w:rPr>
          <w:sz w:val="22"/>
          <w:szCs w:val="22"/>
          <w:lang w:val="sr-Latn-ME"/>
        </w:rPr>
        <w:t xml:space="preserve">otvorenog produžetka </w:t>
      </w:r>
      <w:r w:rsidR="00EE13AF" w:rsidRPr="00D123D4">
        <w:rPr>
          <w:sz w:val="22"/>
          <w:szCs w:val="22"/>
          <w:lang w:val="sr-Latn-ME"/>
        </w:rPr>
        <w:t xml:space="preserve">u ispitivanjima RMS-a i PPMS-a. </w:t>
      </w:r>
      <w:r w:rsidR="00FC4860" w:rsidRPr="00D123D4">
        <w:rPr>
          <w:sz w:val="22"/>
          <w:lang w:val="sr-Latn-ME"/>
        </w:rPr>
        <w:t>Tokom otvorenog produžetka ispitivanja kod pacijenata s RMS i PPMS, ukupan rizik od ozbiljnih infekcija nije porastao u odnosu na onaj zab</w:t>
      </w:r>
      <w:r w:rsidR="0059549A" w:rsidRPr="00D123D4">
        <w:rPr>
          <w:sz w:val="22"/>
          <w:lang w:val="sr-Latn-ME"/>
        </w:rPr>
        <w:t>i</w:t>
      </w:r>
      <w:r w:rsidR="00FC4860" w:rsidRPr="00D123D4">
        <w:rPr>
          <w:sz w:val="22"/>
          <w:lang w:val="sr-Latn-ME"/>
        </w:rPr>
        <w:t>l</w:t>
      </w:r>
      <w:r w:rsidR="0059549A" w:rsidRPr="00D123D4">
        <w:rPr>
          <w:sz w:val="22"/>
          <w:lang w:val="sr-Latn-ME"/>
        </w:rPr>
        <w:t>j</w:t>
      </w:r>
      <w:r w:rsidR="00FC4860" w:rsidRPr="00D123D4">
        <w:rPr>
          <w:sz w:val="22"/>
          <w:lang w:val="sr-Latn-ME"/>
        </w:rPr>
        <w:t>ežen tokom kontrolisanog perioda. Kao što je zab</w:t>
      </w:r>
      <w:r w:rsidR="0059549A" w:rsidRPr="00D123D4">
        <w:rPr>
          <w:sz w:val="22"/>
          <w:lang w:val="sr-Latn-ME"/>
        </w:rPr>
        <w:t>i</w:t>
      </w:r>
      <w:r w:rsidR="00FC4860" w:rsidRPr="00D123D4">
        <w:rPr>
          <w:sz w:val="22"/>
          <w:lang w:val="sr-Latn-ME"/>
        </w:rPr>
        <w:t>lježeno i tokom kontrolisanog perioda, stopa ozbiljnih infekcija kod pacijenata sa PPMS i dalje je bila viša od one kod pacijenata sa RMS.</w:t>
      </w:r>
    </w:p>
    <w:p w14:paraId="6C106A68" w14:textId="4BD00FC8" w:rsidR="00DD6A9C" w:rsidRPr="00D123D4" w:rsidRDefault="00FC4860" w:rsidP="00D123D4">
      <w:pPr>
        <w:widowControl w:val="0"/>
        <w:jc w:val="both"/>
        <w:rPr>
          <w:sz w:val="22"/>
          <w:szCs w:val="22"/>
          <w:lang w:val="sr-Latn-ME"/>
        </w:rPr>
      </w:pPr>
      <w:r w:rsidRPr="00D123D4">
        <w:rPr>
          <w:sz w:val="22"/>
          <w:szCs w:val="22"/>
          <w:lang w:val="sr-Latn-ME"/>
        </w:rPr>
        <w:br/>
        <w:t xml:space="preserve">U skladu sa prethodnom analizom faktora rizika za ozbiljne infekcije kod drugih autoimunih bolesti osim MS (videti dio 4.4), sprovedena je multivarijantna analiza faktora rizika za ozbiljne infekcije na osnovu podataka o približno 10-godišnjoj kumulativnoj izloženosti u kontrolisanom periodu i fazi otvorenog produžetka pivotalnih kliničkih ispitivanja. Faktori rizika za ozbiljne infekcije kod pacijenata sa RMS uključuju prisutnost najmanje jednog komorbiditeta, nedavni klinički relaps i EDSS (engl. </w:t>
      </w:r>
      <w:r w:rsidRPr="00D123D4">
        <w:rPr>
          <w:i/>
          <w:sz w:val="22"/>
          <w:szCs w:val="22"/>
          <w:lang w:val="sr-Latn-ME"/>
        </w:rPr>
        <w:t>Expanded Disability Status Scale</w:t>
      </w:r>
      <w:r w:rsidRPr="00D123D4">
        <w:rPr>
          <w:sz w:val="22"/>
          <w:szCs w:val="22"/>
          <w:lang w:val="sr-Latn-ME"/>
        </w:rPr>
        <w:t>) rezultat ≥ 6,0. Faktori rizika za ozbiljne infekcije kod pacijenata sa PPMS uključuju indeks tjelesne mase veći od 25 kg/m</w:t>
      </w:r>
      <w:r w:rsidRPr="00D123D4">
        <w:rPr>
          <w:sz w:val="22"/>
          <w:szCs w:val="22"/>
          <w:vertAlign w:val="superscript"/>
          <w:lang w:val="sr-Latn-ME"/>
        </w:rPr>
        <w:t>2</w:t>
      </w:r>
      <w:r w:rsidRPr="00D123D4">
        <w:rPr>
          <w:sz w:val="22"/>
          <w:szCs w:val="22"/>
          <w:lang w:val="sr-Latn-ME"/>
        </w:rPr>
        <w:t>, prisutnost najmanje dva komorbiditeta, EDSS skor ≥ 6,0 i vrijednost IgM</w:t>
      </w:r>
      <w:r w:rsidRPr="00D123D4">
        <w:rPr>
          <w:sz w:val="22"/>
          <w:szCs w:val="22"/>
          <w:lang w:val="sr-Latn-ME"/>
        </w:rPr>
        <w:noBreakHyphen/>
        <w:t xml:space="preserve">a ispod donje granice normale (engl. </w:t>
      </w:r>
      <w:r w:rsidRPr="00D123D4">
        <w:rPr>
          <w:i/>
          <w:sz w:val="22"/>
          <w:szCs w:val="22"/>
          <w:lang w:val="sr-Latn-ME"/>
        </w:rPr>
        <w:t>lower limit of normal</w:t>
      </w:r>
      <w:r w:rsidRPr="00D123D4">
        <w:rPr>
          <w:sz w:val="22"/>
          <w:szCs w:val="22"/>
          <w:lang w:val="sr-Latn-ME"/>
        </w:rPr>
        <w:t>, &lt; LLN). Komorbiditeti su između ostalog uključivali, bolesti kardiovaskularnog sistema, bubrežne bolesti, bolesti mokraćnih puteva, prethodne infekcije i depresiju.</w:t>
      </w:r>
    </w:p>
    <w:p w14:paraId="4CCEFF7B" w14:textId="77777777" w:rsidR="00DD6A9C" w:rsidRPr="00D123D4" w:rsidRDefault="00DD6A9C" w:rsidP="00D123D4">
      <w:pPr>
        <w:widowControl w:val="0"/>
        <w:jc w:val="both"/>
        <w:rPr>
          <w:sz w:val="22"/>
          <w:szCs w:val="22"/>
          <w:u w:val="single"/>
          <w:lang w:val="sr-Latn-ME"/>
        </w:rPr>
      </w:pPr>
    </w:p>
    <w:p w14:paraId="3C2BFA82" w14:textId="77777777" w:rsidR="00DD6A9C" w:rsidRPr="00D123D4" w:rsidRDefault="00DD6A9C" w:rsidP="00D123D4">
      <w:pPr>
        <w:widowControl w:val="0"/>
        <w:jc w:val="both"/>
        <w:rPr>
          <w:i/>
          <w:sz w:val="22"/>
          <w:szCs w:val="22"/>
          <w:u w:val="single"/>
          <w:lang w:val="sr-Latn-ME"/>
        </w:rPr>
      </w:pPr>
      <w:r w:rsidRPr="00D123D4">
        <w:rPr>
          <w:i/>
          <w:sz w:val="22"/>
          <w:szCs w:val="22"/>
          <w:u w:val="single"/>
          <w:lang w:val="sr-Latn-ME"/>
        </w:rPr>
        <w:t xml:space="preserve">Infekcije disajnih puteva    </w:t>
      </w:r>
    </w:p>
    <w:p w14:paraId="7E362B7C" w14:textId="77777777" w:rsidR="00DD6A9C" w:rsidRPr="00D123D4" w:rsidRDefault="00DD6A9C" w:rsidP="00D123D4">
      <w:pPr>
        <w:widowControl w:val="0"/>
        <w:jc w:val="both"/>
        <w:rPr>
          <w:sz w:val="22"/>
          <w:szCs w:val="22"/>
          <w:lang w:val="sr-Latn-ME"/>
        </w:rPr>
      </w:pPr>
    </w:p>
    <w:p w14:paraId="7F2F2137" w14:textId="05CEA0D9" w:rsidR="00DD6A9C" w:rsidRPr="00D123D4" w:rsidRDefault="00DD6A9C" w:rsidP="00D123D4">
      <w:pPr>
        <w:widowControl w:val="0"/>
        <w:jc w:val="both"/>
        <w:rPr>
          <w:sz w:val="22"/>
          <w:szCs w:val="22"/>
          <w:lang w:val="sr-Latn-ME"/>
        </w:rPr>
      </w:pPr>
      <w:r w:rsidRPr="00D123D4">
        <w:rPr>
          <w:sz w:val="22"/>
          <w:szCs w:val="22"/>
          <w:lang w:val="sr-Latn-ME"/>
        </w:rPr>
        <w:t xml:space="preserve">Udio infekcija disajnih  puteva bio je veći među pacijentima liječenim </w:t>
      </w:r>
      <w:r w:rsidR="00416F4C" w:rsidRPr="00D123D4">
        <w:rPr>
          <w:sz w:val="22"/>
          <w:szCs w:val="22"/>
          <w:lang w:val="sr-Latn-ME"/>
        </w:rPr>
        <w:t>okrelizumabom</w:t>
      </w:r>
      <w:r w:rsidRPr="00D123D4">
        <w:rPr>
          <w:sz w:val="22"/>
          <w:szCs w:val="22"/>
          <w:lang w:val="sr-Latn-ME"/>
        </w:rPr>
        <w:t xml:space="preserve"> nego među onima koji su primali interferon beta- 1a i placebo.  </w:t>
      </w:r>
    </w:p>
    <w:p w14:paraId="59CBCF6E" w14:textId="77777777" w:rsidR="00EE13AF" w:rsidRPr="00D123D4" w:rsidRDefault="00EE13AF" w:rsidP="00D123D4">
      <w:pPr>
        <w:widowControl w:val="0"/>
        <w:jc w:val="both"/>
        <w:rPr>
          <w:sz w:val="22"/>
          <w:szCs w:val="22"/>
          <w:lang w:val="sr-Latn-ME"/>
        </w:rPr>
      </w:pPr>
    </w:p>
    <w:p w14:paraId="4E1A2DD8" w14:textId="38379B20" w:rsidR="00DD6A9C" w:rsidRPr="00D123D4" w:rsidRDefault="00DD6A9C" w:rsidP="00D123D4">
      <w:pPr>
        <w:widowControl w:val="0"/>
        <w:jc w:val="both"/>
        <w:rPr>
          <w:sz w:val="22"/>
          <w:szCs w:val="22"/>
          <w:lang w:val="sr-Latn-ME"/>
        </w:rPr>
      </w:pPr>
      <w:r w:rsidRPr="00D123D4">
        <w:rPr>
          <w:sz w:val="22"/>
          <w:szCs w:val="22"/>
          <w:lang w:val="sr-Latn-ME"/>
        </w:rPr>
        <w:t xml:space="preserve">U kliničkim studijama primjene kod RMS-a, 39,9% pacijenata liječenih </w:t>
      </w:r>
      <w:r w:rsidR="00416F4C" w:rsidRPr="00D123D4">
        <w:rPr>
          <w:sz w:val="22"/>
          <w:szCs w:val="22"/>
          <w:lang w:val="sr-Latn-ME"/>
        </w:rPr>
        <w:t>okrelizumabom</w:t>
      </w:r>
      <w:r w:rsidRPr="00D123D4">
        <w:rPr>
          <w:sz w:val="22"/>
          <w:szCs w:val="22"/>
          <w:lang w:val="sr-Latn-ME"/>
        </w:rPr>
        <w:t xml:space="preserve"> i 33,2% onih koji su primali interferon beta-1a je doživjelo infekciju gornjih disajnih puteva, dok se infekcija donjih disajnih puteva javila kod 7,5% pacijenata liječenih </w:t>
      </w:r>
      <w:r w:rsidR="00416F4C" w:rsidRPr="00D123D4">
        <w:rPr>
          <w:sz w:val="22"/>
          <w:szCs w:val="22"/>
          <w:lang w:val="sr-Latn-ME"/>
        </w:rPr>
        <w:t>okrelizumabom</w:t>
      </w:r>
      <w:r w:rsidRPr="00D123D4">
        <w:rPr>
          <w:sz w:val="22"/>
          <w:szCs w:val="22"/>
          <w:lang w:val="sr-Latn-ME"/>
        </w:rPr>
        <w:t xml:space="preserve"> i 5,2% onih koji su primali interferon beta-1a. </w:t>
      </w:r>
    </w:p>
    <w:p w14:paraId="6FDB5E23" w14:textId="77777777" w:rsidR="00EE13AF" w:rsidRPr="00D123D4" w:rsidRDefault="00EE13AF" w:rsidP="00D123D4">
      <w:pPr>
        <w:widowControl w:val="0"/>
        <w:jc w:val="both"/>
        <w:rPr>
          <w:sz w:val="22"/>
          <w:szCs w:val="22"/>
          <w:lang w:val="sr-Latn-ME"/>
        </w:rPr>
      </w:pPr>
    </w:p>
    <w:p w14:paraId="5D5DA2D7" w14:textId="4846E94D" w:rsidR="00DD6A9C" w:rsidRPr="00D123D4" w:rsidRDefault="00DD6A9C" w:rsidP="00D123D4">
      <w:pPr>
        <w:widowControl w:val="0"/>
        <w:jc w:val="both"/>
        <w:rPr>
          <w:sz w:val="22"/>
          <w:szCs w:val="22"/>
          <w:lang w:val="sr-Latn-ME"/>
        </w:rPr>
      </w:pPr>
      <w:r w:rsidRPr="00D123D4">
        <w:rPr>
          <w:sz w:val="22"/>
          <w:szCs w:val="22"/>
          <w:lang w:val="sr-Latn-ME"/>
        </w:rPr>
        <w:t xml:space="preserve">U kliničkom studijama primjene kod PPMS-a, 48,8% pacijenata liječenih </w:t>
      </w:r>
      <w:r w:rsidR="00416F4C" w:rsidRPr="00D123D4">
        <w:rPr>
          <w:sz w:val="22"/>
          <w:szCs w:val="22"/>
          <w:lang w:val="sr-Latn-ME"/>
        </w:rPr>
        <w:t>okrelizumabom</w:t>
      </w:r>
      <w:r w:rsidRPr="00D123D4">
        <w:rPr>
          <w:sz w:val="22"/>
          <w:szCs w:val="22"/>
          <w:lang w:val="sr-Latn-ME"/>
        </w:rPr>
        <w:t xml:space="preserve"> i 42,7% onih koji su primali placebo doživjelo je infekciju gornjih disajnih puteva, dok se infekcija donjih disajnih puteva javila kod 9,9% pacijenata liječenih </w:t>
      </w:r>
      <w:r w:rsidR="00416F4C" w:rsidRPr="00D123D4">
        <w:rPr>
          <w:sz w:val="22"/>
          <w:szCs w:val="22"/>
          <w:lang w:val="sr-Latn-ME"/>
        </w:rPr>
        <w:t>okrelizumabom</w:t>
      </w:r>
      <w:r w:rsidRPr="00D123D4">
        <w:rPr>
          <w:sz w:val="22"/>
          <w:szCs w:val="22"/>
          <w:lang w:val="sr-Latn-ME"/>
        </w:rPr>
        <w:t xml:space="preserve"> i 9,2% onih koji su primali placebo. </w:t>
      </w:r>
    </w:p>
    <w:p w14:paraId="7FBA4CB4" w14:textId="77777777" w:rsidR="00EE13AF" w:rsidRPr="00D123D4" w:rsidRDefault="00EE13AF" w:rsidP="00D123D4">
      <w:pPr>
        <w:widowControl w:val="0"/>
        <w:jc w:val="both"/>
        <w:rPr>
          <w:sz w:val="22"/>
          <w:szCs w:val="22"/>
          <w:lang w:val="sr-Latn-ME"/>
        </w:rPr>
      </w:pPr>
    </w:p>
    <w:p w14:paraId="6C3CF71B" w14:textId="6370FE2C" w:rsidR="00DD6A9C" w:rsidRPr="00D123D4" w:rsidRDefault="00DD6A9C" w:rsidP="00D123D4">
      <w:pPr>
        <w:widowControl w:val="0"/>
        <w:jc w:val="both"/>
        <w:rPr>
          <w:sz w:val="22"/>
          <w:szCs w:val="22"/>
          <w:lang w:val="sr-Latn-ME"/>
        </w:rPr>
      </w:pPr>
      <w:r w:rsidRPr="00D123D4">
        <w:rPr>
          <w:sz w:val="22"/>
          <w:szCs w:val="22"/>
          <w:lang w:val="sr-Latn-ME"/>
        </w:rPr>
        <w:t xml:space="preserve">Infekcije disajnih puteva prijavljene kod pacijenata liječenih </w:t>
      </w:r>
      <w:r w:rsidR="00416F4C" w:rsidRPr="00D123D4">
        <w:rPr>
          <w:sz w:val="22"/>
          <w:szCs w:val="22"/>
          <w:lang w:val="sr-Latn-ME"/>
        </w:rPr>
        <w:t>okrelizumabom</w:t>
      </w:r>
      <w:r w:rsidRPr="00D123D4">
        <w:rPr>
          <w:sz w:val="22"/>
          <w:szCs w:val="22"/>
          <w:lang w:val="sr-Latn-ME"/>
        </w:rPr>
        <w:t xml:space="preserve"> pretežno su bile blage do umjerene težine (80</w:t>
      </w:r>
      <w:r w:rsidR="00ED4AD5" w:rsidRPr="00D123D4">
        <w:rPr>
          <w:sz w:val="22"/>
          <w:szCs w:val="22"/>
          <w:lang w:val="sr-Latn-ME"/>
        </w:rPr>
        <w:t>-</w:t>
      </w:r>
      <w:r w:rsidRPr="00D123D4">
        <w:rPr>
          <w:sz w:val="22"/>
          <w:szCs w:val="22"/>
          <w:lang w:val="sr-Latn-ME"/>
        </w:rPr>
        <w:t>90%).</w:t>
      </w:r>
    </w:p>
    <w:p w14:paraId="79E0C150" w14:textId="77777777" w:rsidR="00DD6A9C" w:rsidRPr="00D123D4" w:rsidRDefault="00DD6A9C" w:rsidP="00D123D4">
      <w:pPr>
        <w:widowControl w:val="0"/>
        <w:jc w:val="both"/>
        <w:rPr>
          <w:sz w:val="22"/>
          <w:szCs w:val="22"/>
          <w:lang w:val="sr-Latn-ME"/>
        </w:rPr>
      </w:pPr>
    </w:p>
    <w:p w14:paraId="3E6519AA" w14:textId="77777777" w:rsidR="00DD6A9C" w:rsidRPr="00D123D4" w:rsidRDefault="00DD6A9C" w:rsidP="00D123D4">
      <w:pPr>
        <w:widowControl w:val="0"/>
        <w:jc w:val="both"/>
        <w:rPr>
          <w:i/>
          <w:sz w:val="22"/>
          <w:szCs w:val="22"/>
          <w:u w:val="single"/>
          <w:lang w:val="sr-Latn-ME"/>
        </w:rPr>
      </w:pPr>
      <w:r w:rsidRPr="00D123D4">
        <w:rPr>
          <w:i/>
          <w:sz w:val="22"/>
          <w:szCs w:val="22"/>
          <w:u w:val="single"/>
          <w:lang w:val="sr-Latn-ME"/>
        </w:rPr>
        <w:lastRenderedPageBreak/>
        <w:t>Herpes</w:t>
      </w:r>
    </w:p>
    <w:p w14:paraId="4796757C" w14:textId="77777777" w:rsidR="00DD6A9C" w:rsidRPr="00D123D4" w:rsidRDefault="00DD6A9C" w:rsidP="00D123D4">
      <w:pPr>
        <w:widowControl w:val="0"/>
        <w:jc w:val="both"/>
        <w:rPr>
          <w:sz w:val="22"/>
          <w:szCs w:val="22"/>
          <w:lang w:val="sr-Latn-ME"/>
        </w:rPr>
      </w:pPr>
    </w:p>
    <w:p w14:paraId="7225F102" w14:textId="1E88930B" w:rsidR="00DD6A9C" w:rsidRPr="00D123D4" w:rsidRDefault="00DD6A9C" w:rsidP="00D123D4">
      <w:pPr>
        <w:widowControl w:val="0"/>
        <w:jc w:val="both"/>
        <w:rPr>
          <w:sz w:val="22"/>
          <w:szCs w:val="22"/>
          <w:lang w:val="sr-Latn-ME"/>
        </w:rPr>
      </w:pPr>
      <w:r w:rsidRPr="00D123D4">
        <w:rPr>
          <w:sz w:val="22"/>
          <w:szCs w:val="22"/>
          <w:lang w:val="sr-Latn-ME"/>
        </w:rPr>
        <w:t xml:space="preserve">U kliničkim studijama kontrolisanim aktivnim lijekom (RMS) herpesne infekcije češće su prijavljivane kod pacijenata liječenih </w:t>
      </w:r>
      <w:r w:rsidR="00416F4C" w:rsidRPr="00D123D4">
        <w:rPr>
          <w:sz w:val="22"/>
          <w:szCs w:val="22"/>
          <w:lang w:val="sr-Latn-ME"/>
        </w:rPr>
        <w:t>okrelizumabom</w:t>
      </w:r>
      <w:r w:rsidRPr="00D123D4">
        <w:rPr>
          <w:sz w:val="22"/>
          <w:szCs w:val="22"/>
          <w:lang w:val="sr-Latn-ME"/>
        </w:rPr>
        <w:t xml:space="preserve"> nego kod onih koji su primali interferon beta- 1a, a uključivale su herpes zoster (2,1% naspram 1,0%), herpes simpleks (0,7% naspram 0,1%), oralni herpes (3,0% naspram 2,2%), genitalni herpes (0,1% naspram 0%) i infekciju virusom herpesa (0,1% naspram 0%). </w:t>
      </w:r>
      <w:r w:rsidR="00EE13AF" w:rsidRPr="00D123D4">
        <w:rPr>
          <w:sz w:val="22"/>
          <w:szCs w:val="22"/>
          <w:lang w:val="sr-Latn-ME"/>
        </w:rPr>
        <w:t>Sve i</w:t>
      </w:r>
      <w:r w:rsidRPr="00D123D4">
        <w:rPr>
          <w:sz w:val="22"/>
          <w:szCs w:val="22"/>
          <w:lang w:val="sr-Latn-ME"/>
        </w:rPr>
        <w:t xml:space="preserve">nfekcije su bile blage do umjerene težine, </w:t>
      </w:r>
      <w:r w:rsidR="00EE13AF" w:rsidRPr="00D123D4">
        <w:rPr>
          <w:sz w:val="22"/>
          <w:szCs w:val="22"/>
          <w:lang w:val="sr-Latn-ME"/>
        </w:rPr>
        <w:t>o</w:t>
      </w:r>
      <w:r w:rsidR="00387579" w:rsidRPr="00D123D4">
        <w:rPr>
          <w:sz w:val="22"/>
          <w:szCs w:val="22"/>
          <w:lang w:val="sr-Latn-ME"/>
        </w:rPr>
        <w:t>sim jednog događaja 3. stepena</w:t>
      </w:r>
      <w:r w:rsidR="00EE13AF" w:rsidRPr="00D123D4">
        <w:rPr>
          <w:sz w:val="22"/>
          <w:szCs w:val="22"/>
          <w:lang w:val="sr-Latn-ME"/>
        </w:rPr>
        <w:t xml:space="preserve">, </w:t>
      </w:r>
      <w:r w:rsidRPr="00D123D4">
        <w:rPr>
          <w:sz w:val="22"/>
          <w:szCs w:val="22"/>
          <w:lang w:val="sr-Latn-ME"/>
        </w:rPr>
        <w:t xml:space="preserve">a pacijenti su se oporavili uz liječenje standardnim terapijama. </w:t>
      </w:r>
    </w:p>
    <w:p w14:paraId="349BC733" w14:textId="77777777" w:rsidR="00DD6A9C" w:rsidRPr="00D123D4" w:rsidRDefault="00DD6A9C" w:rsidP="00D123D4">
      <w:pPr>
        <w:widowControl w:val="0"/>
        <w:jc w:val="both"/>
        <w:rPr>
          <w:sz w:val="22"/>
          <w:szCs w:val="22"/>
          <w:lang w:val="sr-Latn-ME"/>
        </w:rPr>
      </w:pPr>
    </w:p>
    <w:p w14:paraId="41E8D5F2" w14:textId="111672CA" w:rsidR="00DD6A9C" w:rsidRPr="00D123D4" w:rsidRDefault="00DD6A9C" w:rsidP="00D123D4">
      <w:pPr>
        <w:widowControl w:val="0"/>
        <w:jc w:val="both"/>
        <w:rPr>
          <w:sz w:val="22"/>
          <w:szCs w:val="22"/>
          <w:lang w:val="sr-Latn-ME"/>
        </w:rPr>
      </w:pPr>
      <w:r w:rsidRPr="00D123D4">
        <w:rPr>
          <w:sz w:val="22"/>
          <w:szCs w:val="22"/>
          <w:lang w:val="sr-Latn-ME"/>
        </w:rPr>
        <w:t xml:space="preserve">U placebom kontrolisanoj kliničkoj studiji (PPMS) veći udio pacijenata sa oralnim herpesom zabilježen je u grupi koja je primala </w:t>
      </w:r>
      <w:r w:rsidR="00EE13AF" w:rsidRPr="00D123D4">
        <w:rPr>
          <w:sz w:val="22"/>
          <w:szCs w:val="22"/>
          <w:lang w:val="sr-Latn-ME"/>
        </w:rPr>
        <w:t xml:space="preserve">okrelizumab </w:t>
      </w:r>
      <w:r w:rsidRPr="00D123D4">
        <w:rPr>
          <w:sz w:val="22"/>
          <w:szCs w:val="22"/>
          <w:lang w:val="sr-Latn-ME"/>
        </w:rPr>
        <w:t xml:space="preserve">(2,7% naspram 0,8%). </w:t>
      </w:r>
    </w:p>
    <w:p w14:paraId="1C648473" w14:textId="77777777" w:rsidR="00DD6A9C" w:rsidRPr="00D123D4" w:rsidRDefault="00DD6A9C" w:rsidP="00D123D4">
      <w:pPr>
        <w:widowControl w:val="0"/>
        <w:jc w:val="both"/>
        <w:rPr>
          <w:i/>
          <w:sz w:val="22"/>
          <w:szCs w:val="22"/>
          <w:lang w:val="sr-Latn-ME"/>
        </w:rPr>
      </w:pPr>
      <w:r w:rsidRPr="00D123D4">
        <w:rPr>
          <w:i/>
          <w:sz w:val="22"/>
          <w:szCs w:val="22"/>
          <w:lang w:val="sr-Latn-ME"/>
        </w:rPr>
        <w:t>Odstupanja u laboratorijskim vrijednostima</w:t>
      </w:r>
    </w:p>
    <w:p w14:paraId="5739F9F5" w14:textId="77777777" w:rsidR="00DD6A9C" w:rsidRPr="00D123D4" w:rsidRDefault="00DD6A9C" w:rsidP="00D123D4">
      <w:pPr>
        <w:widowControl w:val="0"/>
        <w:jc w:val="both"/>
        <w:rPr>
          <w:i/>
          <w:sz w:val="22"/>
          <w:szCs w:val="22"/>
          <w:lang w:val="sr-Latn-ME"/>
        </w:rPr>
      </w:pPr>
    </w:p>
    <w:p w14:paraId="6636FF19" w14:textId="77777777" w:rsidR="00DD6A9C" w:rsidRPr="00D123D4" w:rsidRDefault="00DD6A9C" w:rsidP="00D123D4">
      <w:pPr>
        <w:widowControl w:val="0"/>
        <w:jc w:val="both"/>
        <w:rPr>
          <w:i/>
          <w:sz w:val="22"/>
          <w:szCs w:val="22"/>
          <w:u w:val="single"/>
          <w:lang w:val="sr-Latn-ME"/>
        </w:rPr>
      </w:pPr>
      <w:r w:rsidRPr="00D123D4">
        <w:rPr>
          <w:i/>
          <w:sz w:val="22"/>
          <w:szCs w:val="22"/>
          <w:u w:val="single"/>
          <w:lang w:val="sr-Latn-ME"/>
        </w:rPr>
        <w:t xml:space="preserve">Imunoglobulini </w:t>
      </w:r>
    </w:p>
    <w:p w14:paraId="66E54CC7" w14:textId="77777777" w:rsidR="00DD6A9C" w:rsidRPr="00D123D4" w:rsidRDefault="00DD6A9C" w:rsidP="00D123D4">
      <w:pPr>
        <w:widowControl w:val="0"/>
        <w:jc w:val="both"/>
        <w:rPr>
          <w:sz w:val="22"/>
          <w:szCs w:val="22"/>
          <w:lang w:val="sr-Latn-ME"/>
        </w:rPr>
      </w:pPr>
    </w:p>
    <w:p w14:paraId="023BF590" w14:textId="77777777" w:rsidR="00DD41A0" w:rsidRDefault="00DD6A9C" w:rsidP="00D123D4">
      <w:pPr>
        <w:widowControl w:val="0"/>
        <w:jc w:val="both"/>
        <w:rPr>
          <w:sz w:val="22"/>
          <w:szCs w:val="22"/>
          <w:lang w:val="sr-Latn-ME"/>
        </w:rPr>
      </w:pPr>
      <w:r w:rsidRPr="00D123D4">
        <w:rPr>
          <w:sz w:val="22"/>
          <w:szCs w:val="22"/>
          <w:lang w:val="sr-Latn-ME"/>
        </w:rPr>
        <w:t xml:space="preserve">Liječenje </w:t>
      </w:r>
      <w:r w:rsidR="00416F4C" w:rsidRPr="00D123D4">
        <w:rPr>
          <w:sz w:val="22"/>
          <w:szCs w:val="22"/>
          <w:lang w:val="sr-Latn-ME"/>
        </w:rPr>
        <w:t>okrelizumabom</w:t>
      </w:r>
      <w:r w:rsidRPr="00D123D4">
        <w:rPr>
          <w:sz w:val="22"/>
          <w:szCs w:val="22"/>
          <w:lang w:val="sr-Latn-ME"/>
        </w:rPr>
        <w:t xml:space="preserve"> smanjilo je ukupan nivo imunoglobulina tokom kontrolisanog perioda </w:t>
      </w:r>
      <w:r w:rsidR="00FC4860" w:rsidRPr="00D123D4">
        <w:rPr>
          <w:sz w:val="22"/>
          <w:lang w:val="sr-Latn-ME"/>
        </w:rPr>
        <w:t xml:space="preserve">pivotalnih kliničkih </w:t>
      </w:r>
      <w:r w:rsidRPr="00D123D4">
        <w:rPr>
          <w:sz w:val="22"/>
          <w:szCs w:val="22"/>
          <w:lang w:val="sr-Latn-ME"/>
        </w:rPr>
        <w:t xml:space="preserve">ispitivanja, </w:t>
      </w:r>
      <w:r w:rsidR="00EF3717" w:rsidRPr="00D123D4">
        <w:rPr>
          <w:sz w:val="22"/>
          <w:szCs w:val="22"/>
          <w:lang w:val="sr-Latn-ME"/>
        </w:rPr>
        <w:t>ponajviše zbog</w:t>
      </w:r>
      <w:r w:rsidRPr="00D123D4">
        <w:rPr>
          <w:sz w:val="22"/>
          <w:szCs w:val="22"/>
          <w:lang w:val="sr-Latn-ME"/>
        </w:rPr>
        <w:t xml:space="preserve"> sniženja vrijednosti IgM-a. </w:t>
      </w:r>
    </w:p>
    <w:p w14:paraId="534392EE" w14:textId="77777777" w:rsidR="00DD41A0" w:rsidRDefault="00DD41A0" w:rsidP="00D123D4">
      <w:pPr>
        <w:widowControl w:val="0"/>
        <w:jc w:val="both"/>
        <w:rPr>
          <w:sz w:val="22"/>
          <w:szCs w:val="22"/>
          <w:lang w:val="sr-Latn-ME"/>
        </w:rPr>
      </w:pPr>
    </w:p>
    <w:p w14:paraId="05BF6150" w14:textId="6012FB67" w:rsidR="00DD6A9C" w:rsidRPr="00D123D4" w:rsidRDefault="00EF3717" w:rsidP="00D123D4">
      <w:pPr>
        <w:widowControl w:val="0"/>
        <w:jc w:val="both"/>
        <w:rPr>
          <w:sz w:val="22"/>
          <w:szCs w:val="22"/>
          <w:lang w:val="sr-Latn-ME"/>
        </w:rPr>
      </w:pPr>
      <w:r w:rsidRPr="00D123D4">
        <w:rPr>
          <w:sz w:val="22"/>
          <w:szCs w:val="22"/>
          <w:lang w:val="sr-Latn-ME"/>
        </w:rPr>
        <w:t xml:space="preserve">Podaci iz </w:t>
      </w:r>
      <w:r w:rsidR="00FC4860" w:rsidRPr="00D123D4">
        <w:rPr>
          <w:sz w:val="22"/>
          <w:szCs w:val="22"/>
          <w:lang w:val="sr-Latn-ME"/>
        </w:rPr>
        <w:t xml:space="preserve">kontrolisanog perioda i otvorenog produžetka pivotalnih kliničkih ispitivanja </w:t>
      </w:r>
      <w:r w:rsidRPr="00D123D4">
        <w:rPr>
          <w:sz w:val="22"/>
          <w:szCs w:val="22"/>
          <w:lang w:val="sr-Latn-ME"/>
        </w:rPr>
        <w:t xml:space="preserve">ukazuju na </w:t>
      </w:r>
      <w:r w:rsidR="00DD6A9C" w:rsidRPr="00D123D4">
        <w:rPr>
          <w:sz w:val="22"/>
          <w:szCs w:val="22"/>
          <w:lang w:val="sr-Latn-ME"/>
        </w:rPr>
        <w:t xml:space="preserve">povezanost između </w:t>
      </w:r>
      <w:r w:rsidRPr="00D123D4">
        <w:rPr>
          <w:sz w:val="22"/>
          <w:szCs w:val="22"/>
          <w:lang w:val="sr-Latn-ME"/>
        </w:rPr>
        <w:t>smanjenja nivoa</w:t>
      </w:r>
      <w:r w:rsidR="00DD6A9C" w:rsidRPr="00D123D4">
        <w:rPr>
          <w:sz w:val="22"/>
          <w:szCs w:val="22"/>
          <w:lang w:val="sr-Latn-ME"/>
        </w:rPr>
        <w:t xml:space="preserve"> IgG</w:t>
      </w:r>
      <w:r w:rsidR="00B656E4" w:rsidRPr="00D123D4">
        <w:rPr>
          <w:sz w:val="22"/>
          <w:szCs w:val="22"/>
          <w:lang w:val="sr-Latn-ME"/>
        </w:rPr>
        <w:t xml:space="preserve"> </w:t>
      </w:r>
      <w:r w:rsidRPr="00D123D4">
        <w:rPr>
          <w:sz w:val="22"/>
          <w:szCs w:val="22"/>
          <w:lang w:val="sr-Latn-ME"/>
        </w:rPr>
        <w:t>(i u manjoj meri</w:t>
      </w:r>
      <w:r w:rsidR="00DD6A9C" w:rsidRPr="00D123D4">
        <w:rPr>
          <w:sz w:val="22"/>
          <w:szCs w:val="22"/>
          <w:lang w:val="sr-Latn-ME"/>
        </w:rPr>
        <w:t xml:space="preserve"> IgM ili IgA</w:t>
      </w:r>
      <w:r w:rsidRPr="00D123D4">
        <w:rPr>
          <w:sz w:val="22"/>
          <w:szCs w:val="22"/>
          <w:lang w:val="sr-Latn-ME"/>
        </w:rPr>
        <w:t>)</w:t>
      </w:r>
      <w:r w:rsidR="00DD6A9C" w:rsidRPr="00D123D4">
        <w:rPr>
          <w:sz w:val="22"/>
          <w:szCs w:val="22"/>
          <w:lang w:val="sr-Latn-ME"/>
        </w:rPr>
        <w:t xml:space="preserve"> i </w:t>
      </w:r>
      <w:r w:rsidR="00FC4860" w:rsidRPr="00D123D4">
        <w:rPr>
          <w:sz w:val="22"/>
          <w:szCs w:val="22"/>
          <w:lang w:val="sr-Latn-ME"/>
        </w:rPr>
        <w:t xml:space="preserve">povećane stope </w:t>
      </w:r>
      <w:r w:rsidR="00DD6A9C" w:rsidRPr="00D123D4">
        <w:rPr>
          <w:sz w:val="22"/>
          <w:szCs w:val="22"/>
          <w:lang w:val="sr-Latn-ME"/>
        </w:rPr>
        <w:t>ozbiljnih infekcija.</w:t>
      </w:r>
      <w:r w:rsidR="00FC4860" w:rsidRPr="00D123D4">
        <w:rPr>
          <w:sz w:val="22"/>
          <w:szCs w:val="22"/>
          <w:lang w:val="sr-Latn-ME"/>
        </w:rPr>
        <w:t xml:space="preserve"> Ozbiljnu infekciju tokom perioda u kom je vrijednost IgG</w:t>
      </w:r>
      <w:r w:rsidR="00FC4860" w:rsidRPr="00D123D4">
        <w:rPr>
          <w:sz w:val="22"/>
          <w:szCs w:val="22"/>
          <w:lang w:val="sr-Latn-ME"/>
        </w:rPr>
        <w:noBreakHyphen/>
        <w:t>a bila &lt; LLN</w:t>
      </w:r>
      <w:r w:rsidR="00FC4860" w:rsidRPr="00D123D4">
        <w:rPr>
          <w:sz w:val="22"/>
          <w:szCs w:val="22"/>
          <w:lang w:val="sr-Latn-ME"/>
        </w:rPr>
        <w:noBreakHyphen/>
        <w:t>a imalo je 2,1% pacijenata sa RMS, odnosno 2,3% pacijenata sa PPMS. Razlika u stopi ozbiljnih infekcija između pacijenata kojima je IgG &lt; LLN</w:t>
      </w:r>
      <w:r w:rsidR="00FC4860" w:rsidRPr="00D123D4">
        <w:rPr>
          <w:sz w:val="22"/>
          <w:szCs w:val="22"/>
          <w:lang w:val="sr-Latn-ME"/>
        </w:rPr>
        <w:noBreakHyphen/>
        <w:t>a u odnosu na one kojima je IgG ≥ LLN</w:t>
      </w:r>
      <w:r w:rsidR="00FC4860" w:rsidRPr="00D123D4">
        <w:rPr>
          <w:sz w:val="22"/>
          <w:szCs w:val="22"/>
          <w:lang w:val="sr-Latn-ME"/>
        </w:rPr>
        <w:noBreakHyphen/>
        <w:t>a nije se sa vremenom povećavala. Vrsta, težina, latencija, trajanje i ishod ozbiljnih infekcija zab</w:t>
      </w:r>
      <w:r w:rsidR="0059549A" w:rsidRPr="00D123D4">
        <w:rPr>
          <w:sz w:val="22"/>
          <w:szCs w:val="22"/>
          <w:lang w:val="sr-Latn-ME"/>
        </w:rPr>
        <w:t>i</w:t>
      </w:r>
      <w:r w:rsidR="00FC4860" w:rsidRPr="00D123D4">
        <w:rPr>
          <w:sz w:val="22"/>
          <w:szCs w:val="22"/>
          <w:lang w:val="sr-Latn-ME"/>
        </w:rPr>
        <w:t>lježenih tokom epizoda kada su vrijednosti imunoglobulina bile niže od LLN</w:t>
      </w:r>
      <w:r w:rsidR="00FC4860" w:rsidRPr="00D123D4">
        <w:rPr>
          <w:sz w:val="22"/>
          <w:szCs w:val="22"/>
          <w:lang w:val="sr-Latn-ME"/>
        </w:rPr>
        <w:noBreakHyphen/>
        <w:t>a bili su u skladu sa sveukupnim ozbiljnim infekcijama zab</w:t>
      </w:r>
      <w:r w:rsidR="0059549A" w:rsidRPr="00D123D4">
        <w:rPr>
          <w:sz w:val="22"/>
          <w:szCs w:val="22"/>
          <w:lang w:val="sr-Latn-ME"/>
        </w:rPr>
        <w:t>i</w:t>
      </w:r>
      <w:r w:rsidR="00FC4860" w:rsidRPr="00D123D4">
        <w:rPr>
          <w:sz w:val="22"/>
          <w:szCs w:val="22"/>
          <w:lang w:val="sr-Latn-ME"/>
        </w:rPr>
        <w:t>lježenim kod pacijenata liječenih okrelizumabom tokom kontrolisanog perioda i faze otvorenog produžetka ispitivanja. Tokom 10 godina kontinuiranog liječenja okrelizumabom srednje vrijednosti IgG</w:t>
      </w:r>
      <w:r w:rsidR="00FC4860" w:rsidRPr="00D123D4">
        <w:rPr>
          <w:sz w:val="22"/>
          <w:szCs w:val="22"/>
          <w:lang w:val="sr-Latn-ME"/>
        </w:rPr>
        <w:noBreakHyphen/>
        <w:t>a kod pacijenata sa RMS i PPMS održale su se iznad LLN</w:t>
      </w:r>
      <w:r w:rsidR="00FC4860" w:rsidRPr="00D123D4">
        <w:rPr>
          <w:sz w:val="22"/>
          <w:szCs w:val="22"/>
          <w:lang w:val="sr-Latn-ME"/>
        </w:rPr>
        <w:noBreakHyphen/>
        <w:t>a.</w:t>
      </w:r>
    </w:p>
    <w:p w14:paraId="1A04E693" w14:textId="77777777" w:rsidR="00DD6A9C" w:rsidRPr="00D123D4" w:rsidRDefault="00DD6A9C" w:rsidP="00D123D4">
      <w:pPr>
        <w:widowControl w:val="0"/>
        <w:jc w:val="both"/>
        <w:rPr>
          <w:sz w:val="22"/>
          <w:szCs w:val="22"/>
          <w:lang w:val="sr-Latn-ME"/>
        </w:rPr>
      </w:pPr>
    </w:p>
    <w:p w14:paraId="4302E777" w14:textId="77777777" w:rsidR="00DD6A9C" w:rsidRPr="00D123D4" w:rsidRDefault="00DD6A9C" w:rsidP="00D123D4">
      <w:pPr>
        <w:widowControl w:val="0"/>
        <w:jc w:val="both"/>
        <w:rPr>
          <w:i/>
          <w:sz w:val="22"/>
          <w:szCs w:val="22"/>
          <w:u w:val="single"/>
          <w:lang w:val="sr-Latn-ME"/>
        </w:rPr>
      </w:pPr>
      <w:r w:rsidRPr="00D123D4">
        <w:rPr>
          <w:i/>
          <w:sz w:val="22"/>
          <w:szCs w:val="22"/>
          <w:u w:val="single"/>
          <w:lang w:val="sr-Latn-ME"/>
        </w:rPr>
        <w:t>Limfociti</w:t>
      </w:r>
    </w:p>
    <w:p w14:paraId="61768C5B" w14:textId="77777777" w:rsidR="00DD6A9C" w:rsidRPr="00D123D4" w:rsidRDefault="00DD6A9C" w:rsidP="00D123D4">
      <w:pPr>
        <w:widowControl w:val="0"/>
        <w:jc w:val="both"/>
        <w:rPr>
          <w:sz w:val="22"/>
          <w:szCs w:val="22"/>
          <w:lang w:val="sr-Latn-ME"/>
        </w:rPr>
      </w:pPr>
    </w:p>
    <w:p w14:paraId="1BF36DE1" w14:textId="0A7A0F68" w:rsidR="00DD6A9C" w:rsidRPr="00D123D4" w:rsidRDefault="00DD6A9C" w:rsidP="00D123D4">
      <w:pPr>
        <w:widowControl w:val="0"/>
        <w:jc w:val="both"/>
        <w:rPr>
          <w:sz w:val="22"/>
          <w:szCs w:val="22"/>
          <w:lang w:val="sr-Latn-ME"/>
        </w:rPr>
      </w:pPr>
      <w:r w:rsidRPr="00D123D4">
        <w:rPr>
          <w:sz w:val="22"/>
          <w:szCs w:val="22"/>
          <w:lang w:val="sr-Latn-ME"/>
        </w:rPr>
        <w:t xml:space="preserve">Kod RMS-a je primijećen pad broja limfocita </w:t>
      </w:r>
      <w:r w:rsidR="0087233B" w:rsidRPr="00D123D4">
        <w:rPr>
          <w:sz w:val="22"/>
          <w:szCs w:val="22"/>
          <w:lang w:val="sr-Latn-ME"/>
        </w:rPr>
        <w:t>ispod donje granice normale (</w:t>
      </w:r>
      <w:r w:rsidRPr="00D123D4">
        <w:rPr>
          <w:sz w:val="22"/>
          <w:szCs w:val="22"/>
          <w:lang w:val="sr-Latn-ME"/>
        </w:rPr>
        <w:t>&lt; DGN</w:t>
      </w:r>
      <w:r w:rsidR="0087233B" w:rsidRPr="00D123D4">
        <w:rPr>
          <w:sz w:val="22"/>
          <w:szCs w:val="22"/>
          <w:lang w:val="sr-Latn-ME"/>
        </w:rPr>
        <w:t>)</w:t>
      </w:r>
      <w:r w:rsidRPr="00D123D4">
        <w:rPr>
          <w:sz w:val="22"/>
          <w:szCs w:val="22"/>
          <w:lang w:val="sr-Latn-ME"/>
        </w:rPr>
        <w:t xml:space="preserve"> kod 20,7% pacijenata liječenih </w:t>
      </w:r>
      <w:r w:rsidR="00416F4C" w:rsidRPr="00D123D4">
        <w:rPr>
          <w:sz w:val="22"/>
          <w:szCs w:val="22"/>
          <w:lang w:val="sr-Latn-ME"/>
        </w:rPr>
        <w:t>okrelizumabom</w:t>
      </w:r>
      <w:r w:rsidRPr="00D123D4">
        <w:rPr>
          <w:sz w:val="22"/>
          <w:szCs w:val="22"/>
          <w:lang w:val="sr-Latn-ME"/>
        </w:rPr>
        <w:t xml:space="preserve"> u odnosu na 32,6% onih koji su primali interferon beta-1a. Kod PPMS-a je pad broja limfocita &lt; DGN primijećen kod 26,3% pacijenata liječenih </w:t>
      </w:r>
      <w:r w:rsidR="00416F4C" w:rsidRPr="00D123D4">
        <w:rPr>
          <w:sz w:val="22"/>
          <w:szCs w:val="22"/>
          <w:lang w:val="sr-Latn-ME"/>
        </w:rPr>
        <w:t>okrelizumabom</w:t>
      </w:r>
      <w:r w:rsidRPr="00D123D4">
        <w:rPr>
          <w:sz w:val="22"/>
          <w:szCs w:val="22"/>
          <w:lang w:val="sr-Latn-ME"/>
        </w:rPr>
        <w:t xml:space="preserve">, naspram 11,7% onih koji su primali placebo. </w:t>
      </w:r>
    </w:p>
    <w:p w14:paraId="64CB1D03" w14:textId="77777777" w:rsidR="00DD6A9C" w:rsidRPr="00D123D4" w:rsidRDefault="00DD6A9C" w:rsidP="00D123D4">
      <w:pPr>
        <w:widowControl w:val="0"/>
        <w:jc w:val="both"/>
        <w:rPr>
          <w:sz w:val="22"/>
          <w:szCs w:val="22"/>
          <w:lang w:val="sr-Latn-ME"/>
        </w:rPr>
      </w:pPr>
    </w:p>
    <w:p w14:paraId="5F24F8D8" w14:textId="0085A0C7" w:rsidR="00DD6A9C" w:rsidRPr="00D123D4" w:rsidRDefault="00DD6A9C" w:rsidP="00D123D4">
      <w:pPr>
        <w:widowControl w:val="0"/>
        <w:jc w:val="both"/>
        <w:rPr>
          <w:sz w:val="22"/>
          <w:szCs w:val="22"/>
          <w:lang w:val="sr-Latn-ME"/>
        </w:rPr>
      </w:pPr>
      <w:r w:rsidRPr="00D123D4">
        <w:rPr>
          <w:sz w:val="22"/>
          <w:szCs w:val="22"/>
          <w:lang w:val="sr-Latn-ME"/>
        </w:rPr>
        <w:t xml:space="preserve">Ta sniženja vrijednosti prijavljena kod pacijenata liječenih </w:t>
      </w:r>
      <w:r w:rsidR="00416F4C" w:rsidRPr="00D123D4">
        <w:rPr>
          <w:sz w:val="22"/>
          <w:szCs w:val="22"/>
          <w:lang w:val="sr-Latn-ME"/>
        </w:rPr>
        <w:t>okrelizumabom</w:t>
      </w:r>
      <w:r w:rsidRPr="00D123D4">
        <w:rPr>
          <w:sz w:val="22"/>
          <w:szCs w:val="22"/>
          <w:lang w:val="sr-Latn-ME"/>
        </w:rPr>
        <w:t xml:space="preserve"> većinom su bila 1. stepena (&lt; DGN-a - 800 ćelija/mm</w:t>
      </w:r>
      <w:r w:rsidRPr="00D123D4">
        <w:rPr>
          <w:sz w:val="22"/>
          <w:szCs w:val="22"/>
          <w:vertAlign w:val="superscript"/>
          <w:lang w:val="sr-Latn-ME"/>
        </w:rPr>
        <w:t>3</w:t>
      </w:r>
      <w:r w:rsidRPr="00D123D4">
        <w:rPr>
          <w:sz w:val="22"/>
          <w:szCs w:val="22"/>
          <w:lang w:val="sr-Latn-ME"/>
        </w:rPr>
        <w:t>) i 2. stepena (između 500 i 800 ćelija/mm</w:t>
      </w:r>
      <w:r w:rsidRPr="00D123D4">
        <w:rPr>
          <w:sz w:val="22"/>
          <w:szCs w:val="22"/>
          <w:vertAlign w:val="superscript"/>
          <w:lang w:val="sr-Latn-ME"/>
        </w:rPr>
        <w:t>3</w:t>
      </w:r>
      <w:r w:rsidRPr="00D123D4">
        <w:rPr>
          <w:sz w:val="22"/>
          <w:szCs w:val="22"/>
          <w:lang w:val="sr-Latn-ME"/>
        </w:rPr>
        <w:t xml:space="preserve">) težine. Približno 1% pacijenata u grupi liječenoj </w:t>
      </w:r>
      <w:r w:rsidR="00416F4C" w:rsidRPr="00D123D4">
        <w:rPr>
          <w:sz w:val="22"/>
          <w:szCs w:val="22"/>
          <w:lang w:val="sr-Latn-ME"/>
        </w:rPr>
        <w:t>okrelizumabom</w:t>
      </w:r>
      <w:r w:rsidRPr="00D123D4">
        <w:rPr>
          <w:sz w:val="22"/>
          <w:szCs w:val="22"/>
          <w:lang w:val="sr-Latn-ME"/>
        </w:rPr>
        <w:t xml:space="preserve"> imalo je limfopeniju 3. stepena (između 200 i 500 ćelija/mm</w:t>
      </w:r>
      <w:r w:rsidRPr="00D123D4">
        <w:rPr>
          <w:sz w:val="22"/>
          <w:szCs w:val="22"/>
          <w:vertAlign w:val="superscript"/>
          <w:lang w:val="sr-Latn-ME"/>
        </w:rPr>
        <w:t>3</w:t>
      </w:r>
      <w:r w:rsidRPr="00D123D4">
        <w:rPr>
          <w:sz w:val="22"/>
          <w:szCs w:val="22"/>
          <w:lang w:val="sr-Latn-ME"/>
        </w:rPr>
        <w:t>). Ni kod jednog pacijenta nije prijavljena limfopenija 4. stepena (&lt; 200 ćelija/mm</w:t>
      </w:r>
      <w:r w:rsidRPr="00D123D4">
        <w:rPr>
          <w:sz w:val="22"/>
          <w:szCs w:val="22"/>
          <w:vertAlign w:val="superscript"/>
          <w:lang w:val="sr-Latn-ME"/>
        </w:rPr>
        <w:t>3</w:t>
      </w:r>
      <w:r w:rsidRPr="00D123D4">
        <w:rPr>
          <w:sz w:val="22"/>
          <w:szCs w:val="22"/>
          <w:lang w:val="sr-Latn-ME"/>
        </w:rPr>
        <w:t>).</w:t>
      </w:r>
    </w:p>
    <w:p w14:paraId="286B60DE" w14:textId="77777777" w:rsidR="00DD6A9C" w:rsidRPr="00D123D4" w:rsidRDefault="00DD6A9C" w:rsidP="00D123D4">
      <w:pPr>
        <w:widowControl w:val="0"/>
        <w:jc w:val="both"/>
        <w:rPr>
          <w:sz w:val="22"/>
          <w:szCs w:val="22"/>
          <w:lang w:val="sr-Latn-ME"/>
        </w:rPr>
      </w:pPr>
    </w:p>
    <w:p w14:paraId="3A6FFBCA" w14:textId="77777777" w:rsidR="00DD6A9C" w:rsidRPr="00D123D4" w:rsidRDefault="00DD6A9C" w:rsidP="00D123D4">
      <w:pPr>
        <w:widowControl w:val="0"/>
        <w:jc w:val="both"/>
        <w:rPr>
          <w:sz w:val="22"/>
          <w:szCs w:val="22"/>
          <w:lang w:val="sr-Latn-ME"/>
        </w:rPr>
      </w:pPr>
      <w:r w:rsidRPr="00D123D4">
        <w:rPr>
          <w:sz w:val="22"/>
          <w:szCs w:val="22"/>
          <w:lang w:val="sr-Latn-ME"/>
        </w:rPr>
        <w:t xml:space="preserve">Među pacijentima liječenima okrelizumabom zapažen je povećan stepen ozbiljnih infekcija tokom epizoda potvrđenog pada ukupnog broja limfocita. Broj ozbiljnih infekcija bio je previše mali da bi se donijeli definitivni zaključci. </w:t>
      </w:r>
    </w:p>
    <w:p w14:paraId="751B57BC" w14:textId="77777777" w:rsidR="00DD6A9C" w:rsidRPr="00D123D4" w:rsidRDefault="00DD6A9C" w:rsidP="00D123D4">
      <w:pPr>
        <w:widowControl w:val="0"/>
        <w:jc w:val="both"/>
        <w:rPr>
          <w:sz w:val="22"/>
          <w:szCs w:val="22"/>
          <w:lang w:val="sr-Latn-ME"/>
        </w:rPr>
      </w:pPr>
    </w:p>
    <w:p w14:paraId="3501C1F5" w14:textId="77777777" w:rsidR="00DD6A9C" w:rsidRPr="00D123D4" w:rsidRDefault="00DD6A9C" w:rsidP="00D123D4">
      <w:pPr>
        <w:widowControl w:val="0"/>
        <w:jc w:val="both"/>
        <w:rPr>
          <w:i/>
          <w:sz w:val="22"/>
          <w:szCs w:val="22"/>
          <w:u w:val="single"/>
          <w:lang w:val="sr-Latn-ME"/>
        </w:rPr>
      </w:pPr>
      <w:r w:rsidRPr="00D123D4">
        <w:rPr>
          <w:i/>
          <w:sz w:val="22"/>
          <w:szCs w:val="22"/>
          <w:u w:val="single"/>
          <w:lang w:val="sr-Latn-ME"/>
        </w:rPr>
        <w:t>Neutrofili</w:t>
      </w:r>
    </w:p>
    <w:p w14:paraId="1F7A94D2" w14:textId="77777777" w:rsidR="00DD6A9C" w:rsidRPr="00D123D4" w:rsidRDefault="00DD6A9C" w:rsidP="00D123D4">
      <w:pPr>
        <w:widowControl w:val="0"/>
        <w:jc w:val="both"/>
        <w:rPr>
          <w:sz w:val="22"/>
          <w:szCs w:val="22"/>
          <w:lang w:val="sr-Latn-ME"/>
        </w:rPr>
      </w:pPr>
    </w:p>
    <w:p w14:paraId="3CABF456" w14:textId="48947C44" w:rsidR="00DD6A9C" w:rsidRPr="00D123D4" w:rsidRDefault="00DD6A9C" w:rsidP="00D123D4">
      <w:pPr>
        <w:widowControl w:val="0"/>
        <w:jc w:val="both"/>
        <w:rPr>
          <w:sz w:val="22"/>
          <w:szCs w:val="22"/>
          <w:lang w:val="sr-Latn-ME"/>
        </w:rPr>
      </w:pPr>
      <w:r w:rsidRPr="00D123D4">
        <w:rPr>
          <w:sz w:val="22"/>
          <w:szCs w:val="22"/>
          <w:lang w:val="sr-Latn-ME"/>
        </w:rPr>
        <w:t xml:space="preserve">Tokom perioda liječenja kontrolisanog aktivnim lijekom (RMS) primijećen je pad broja neutrofila &lt; DGN a kod 14,7% pacijenata liječenih </w:t>
      </w:r>
      <w:r w:rsidR="00416F4C" w:rsidRPr="00D123D4">
        <w:rPr>
          <w:sz w:val="22"/>
          <w:szCs w:val="22"/>
          <w:lang w:val="sr-Latn-ME"/>
        </w:rPr>
        <w:t>okrelizumabom</w:t>
      </w:r>
      <w:r w:rsidRPr="00D123D4">
        <w:rPr>
          <w:sz w:val="22"/>
          <w:szCs w:val="22"/>
          <w:lang w:val="sr-Latn-ME"/>
        </w:rPr>
        <w:t xml:space="preserve"> i 40,9% onih koji su primali interferon beta- 1a. U placebom kontrolisanim kliničkom studijama (PPMS) udio pacijenata koji su imali snižen broj neutrofila bio je veći među pacijentima liječenima </w:t>
      </w:r>
      <w:r w:rsidR="00416F4C" w:rsidRPr="00D123D4">
        <w:rPr>
          <w:sz w:val="22"/>
          <w:szCs w:val="22"/>
          <w:lang w:val="sr-Latn-ME"/>
        </w:rPr>
        <w:t>okrelizumabom</w:t>
      </w:r>
      <w:r w:rsidRPr="00D123D4">
        <w:rPr>
          <w:sz w:val="22"/>
          <w:szCs w:val="22"/>
          <w:lang w:val="sr-Latn-ME"/>
        </w:rPr>
        <w:t xml:space="preserve"> (12,9%) nego među onima koji su primali placebo (10,0%); među njima se neutropenija 2. ili višeg stepena javila kod više pacijenata u grupi liječenoj </w:t>
      </w:r>
      <w:r w:rsidR="00416F4C" w:rsidRPr="00D123D4">
        <w:rPr>
          <w:sz w:val="22"/>
          <w:szCs w:val="22"/>
          <w:lang w:val="sr-Latn-ME"/>
        </w:rPr>
        <w:t>okrelizumabom</w:t>
      </w:r>
      <w:r w:rsidRPr="00D123D4">
        <w:rPr>
          <w:sz w:val="22"/>
          <w:szCs w:val="22"/>
          <w:lang w:val="sr-Latn-ME"/>
        </w:rPr>
        <w:t xml:space="preserve"> (4,3%) nego onih koji su primali placebo (1,3%). Neutropenija 4. stepena javila se kod približno 1% pacijenata u grupi liječenoj </w:t>
      </w:r>
      <w:r w:rsidR="00416F4C" w:rsidRPr="00D123D4">
        <w:rPr>
          <w:sz w:val="22"/>
          <w:szCs w:val="22"/>
          <w:lang w:val="sr-Latn-ME"/>
        </w:rPr>
        <w:t>okrelizumabom</w:t>
      </w:r>
      <w:r w:rsidRPr="00D123D4">
        <w:rPr>
          <w:sz w:val="22"/>
          <w:szCs w:val="22"/>
          <w:lang w:val="sr-Latn-ME"/>
        </w:rPr>
        <w:t>, naspram 0% onih koji su primali placebo.</w:t>
      </w:r>
    </w:p>
    <w:p w14:paraId="2BC95BFD" w14:textId="77777777" w:rsidR="00DD6A9C" w:rsidRPr="00D123D4" w:rsidRDefault="00DD6A9C" w:rsidP="00D123D4">
      <w:pPr>
        <w:widowControl w:val="0"/>
        <w:jc w:val="both"/>
        <w:rPr>
          <w:sz w:val="22"/>
          <w:szCs w:val="22"/>
          <w:lang w:val="sr-Latn-ME"/>
        </w:rPr>
      </w:pPr>
    </w:p>
    <w:p w14:paraId="709526CB" w14:textId="07ADB392" w:rsidR="00DD6A9C" w:rsidRPr="00D123D4" w:rsidRDefault="00DD6A9C" w:rsidP="00D123D4">
      <w:pPr>
        <w:widowControl w:val="0"/>
        <w:jc w:val="both"/>
        <w:rPr>
          <w:sz w:val="22"/>
          <w:szCs w:val="22"/>
          <w:lang w:val="sr-Latn-ME"/>
        </w:rPr>
      </w:pPr>
      <w:r w:rsidRPr="00D123D4">
        <w:rPr>
          <w:sz w:val="22"/>
          <w:szCs w:val="22"/>
          <w:lang w:val="sr-Latn-ME"/>
        </w:rPr>
        <w:t xml:space="preserve">Pad broja neutrofila u većini slučajeva je bio prolazne prirode (kod svakog pacijenta liječenog </w:t>
      </w:r>
      <w:r w:rsidR="00416F4C" w:rsidRPr="00D123D4">
        <w:rPr>
          <w:sz w:val="22"/>
          <w:szCs w:val="22"/>
          <w:lang w:val="sr-Latn-ME"/>
        </w:rPr>
        <w:t>okrelizumabom</w:t>
      </w:r>
      <w:r w:rsidRPr="00D123D4">
        <w:rPr>
          <w:sz w:val="22"/>
          <w:szCs w:val="22"/>
          <w:lang w:val="sr-Latn-ME"/>
        </w:rPr>
        <w:t xml:space="preserve"> kod kojeg je došlo do takvog pada, on je zabilježen samo jednom) te je bio 1. stepen (</w:t>
      </w:r>
      <w:r w:rsidR="00C070E1" w:rsidRPr="00D123D4">
        <w:rPr>
          <w:sz w:val="22"/>
          <w:szCs w:val="22"/>
          <w:lang w:val="sr-Latn-ME"/>
        </w:rPr>
        <w:t xml:space="preserve">između </w:t>
      </w:r>
      <w:r w:rsidRPr="00D123D4">
        <w:rPr>
          <w:sz w:val="22"/>
          <w:szCs w:val="22"/>
          <w:lang w:val="sr-Latn-ME"/>
        </w:rPr>
        <w:t>&lt;</w:t>
      </w:r>
      <w:r w:rsidR="000532C4" w:rsidRPr="00D123D4">
        <w:rPr>
          <w:sz w:val="22"/>
          <w:szCs w:val="22"/>
          <w:lang w:val="sr-Latn-ME"/>
        </w:rPr>
        <w:t xml:space="preserve"> </w:t>
      </w:r>
      <w:r w:rsidR="00C070E1" w:rsidRPr="00D123D4">
        <w:rPr>
          <w:sz w:val="22"/>
          <w:szCs w:val="22"/>
          <w:lang w:val="sr-Latn-ME"/>
        </w:rPr>
        <w:t>DGN-a i</w:t>
      </w:r>
      <w:r w:rsidRPr="00D123D4">
        <w:rPr>
          <w:sz w:val="22"/>
          <w:szCs w:val="22"/>
          <w:lang w:val="sr-Latn-ME"/>
        </w:rPr>
        <w:t xml:space="preserve"> 1500 ćelija/mm</w:t>
      </w:r>
      <w:r w:rsidRPr="00D123D4">
        <w:rPr>
          <w:sz w:val="22"/>
          <w:szCs w:val="22"/>
          <w:vertAlign w:val="superscript"/>
          <w:lang w:val="sr-Latn-ME"/>
        </w:rPr>
        <w:t>3</w:t>
      </w:r>
      <w:r w:rsidRPr="00D123D4">
        <w:rPr>
          <w:sz w:val="22"/>
          <w:szCs w:val="22"/>
          <w:lang w:val="sr-Latn-ME"/>
        </w:rPr>
        <w:t>) i 2. stepena (između 1000 i 1500 ćelija/mm</w:t>
      </w:r>
      <w:r w:rsidRPr="00D123D4">
        <w:rPr>
          <w:sz w:val="22"/>
          <w:szCs w:val="22"/>
          <w:vertAlign w:val="superscript"/>
          <w:lang w:val="sr-Latn-ME"/>
        </w:rPr>
        <w:t>3</w:t>
      </w:r>
      <w:r w:rsidRPr="00D123D4">
        <w:rPr>
          <w:sz w:val="22"/>
          <w:szCs w:val="22"/>
          <w:lang w:val="sr-Latn-ME"/>
        </w:rPr>
        <w:t xml:space="preserve">) težine. </w:t>
      </w:r>
      <w:r w:rsidR="00EE13AF" w:rsidRPr="00D123D4">
        <w:rPr>
          <w:sz w:val="22"/>
          <w:szCs w:val="22"/>
          <w:lang w:val="sr-Latn-ME"/>
        </w:rPr>
        <w:t xml:space="preserve">Sveukupno </w:t>
      </w:r>
      <w:r w:rsidR="00EE13AF" w:rsidRPr="00D123D4">
        <w:rPr>
          <w:sz w:val="22"/>
          <w:szCs w:val="22"/>
          <w:lang w:val="sr-Latn-ME"/>
        </w:rPr>
        <w:lastRenderedPageBreak/>
        <w:t xml:space="preserve">se neutropenija 3. ili 4. stepena javila kod približno 1% pacijenata u grupi liječenoj okrelizumabom. </w:t>
      </w:r>
      <w:r w:rsidRPr="00D123D4">
        <w:rPr>
          <w:sz w:val="22"/>
          <w:szCs w:val="22"/>
          <w:lang w:val="sr-Latn-ME"/>
        </w:rPr>
        <w:t>Kod jednog pacijenta sa neutropenijom 3. stepena (između 500 i 1000 ćelija/mm</w:t>
      </w:r>
      <w:r w:rsidRPr="00D123D4">
        <w:rPr>
          <w:sz w:val="22"/>
          <w:szCs w:val="22"/>
          <w:vertAlign w:val="superscript"/>
          <w:lang w:val="sr-Latn-ME"/>
        </w:rPr>
        <w:t>3</w:t>
      </w:r>
      <w:r w:rsidRPr="00D123D4">
        <w:rPr>
          <w:sz w:val="22"/>
          <w:szCs w:val="22"/>
          <w:lang w:val="sr-Latn-ME"/>
        </w:rPr>
        <w:t>) i jednog pacijenta sa neutropenijom 4. stepena (&lt; 500 ćelija/mm</w:t>
      </w:r>
      <w:r w:rsidRPr="00D123D4">
        <w:rPr>
          <w:sz w:val="22"/>
          <w:szCs w:val="22"/>
          <w:vertAlign w:val="superscript"/>
          <w:lang w:val="sr-Latn-ME"/>
        </w:rPr>
        <w:t>3</w:t>
      </w:r>
      <w:r w:rsidRPr="00D123D4">
        <w:rPr>
          <w:sz w:val="22"/>
          <w:szCs w:val="22"/>
          <w:lang w:val="sr-Latn-ME"/>
        </w:rPr>
        <w:t xml:space="preserve">) bilo je potrebno specifično liječenje faktorom stimulacije kolonije granulocita, nakon čega su ti pacijenti nastavili liječenje lijekom okrelizumab. </w:t>
      </w:r>
      <w:r w:rsidR="00C070E1" w:rsidRPr="00D123D4">
        <w:rPr>
          <w:sz w:val="22"/>
          <w:szCs w:val="22"/>
          <w:lang w:val="sr-Latn-ME"/>
        </w:rPr>
        <w:t xml:space="preserve">Neutropenija se može javiti nekoliko mjeseci nakon primjene </w:t>
      </w:r>
      <w:r w:rsidR="00416F4C" w:rsidRPr="00D123D4">
        <w:rPr>
          <w:sz w:val="22"/>
          <w:szCs w:val="22"/>
          <w:lang w:val="sr-Latn-ME"/>
        </w:rPr>
        <w:t>okrelizumaba</w:t>
      </w:r>
      <w:r w:rsidR="000532C4" w:rsidRPr="00D123D4">
        <w:rPr>
          <w:sz w:val="22"/>
          <w:szCs w:val="22"/>
          <w:lang w:val="sr-Latn-ME"/>
        </w:rPr>
        <w:t xml:space="preserve"> </w:t>
      </w:r>
      <w:r w:rsidR="00C070E1" w:rsidRPr="00D123D4">
        <w:rPr>
          <w:sz w:val="22"/>
          <w:szCs w:val="22"/>
          <w:lang w:val="sr-Latn-ME"/>
        </w:rPr>
        <w:t>(vidjeti dio 4.4)</w:t>
      </w:r>
    </w:p>
    <w:p w14:paraId="5F5C2273" w14:textId="77777777" w:rsidR="00C070E1" w:rsidRPr="00D123D4" w:rsidRDefault="00C070E1" w:rsidP="00D123D4">
      <w:pPr>
        <w:widowControl w:val="0"/>
        <w:jc w:val="both"/>
        <w:rPr>
          <w:sz w:val="22"/>
          <w:szCs w:val="22"/>
          <w:lang w:val="sr-Latn-ME"/>
        </w:rPr>
      </w:pPr>
    </w:p>
    <w:p w14:paraId="24FE3B39" w14:textId="77777777" w:rsidR="00DD6A9C" w:rsidRPr="00D123D4" w:rsidRDefault="00DD6A9C" w:rsidP="00D123D4">
      <w:pPr>
        <w:widowControl w:val="0"/>
        <w:jc w:val="both"/>
        <w:rPr>
          <w:i/>
          <w:sz w:val="22"/>
          <w:szCs w:val="22"/>
          <w:lang w:val="sr-Latn-ME"/>
        </w:rPr>
      </w:pPr>
      <w:r w:rsidRPr="00D123D4">
        <w:rPr>
          <w:i/>
          <w:sz w:val="22"/>
          <w:szCs w:val="22"/>
          <w:lang w:val="sr-Latn-ME"/>
        </w:rPr>
        <w:t>Ostalo</w:t>
      </w:r>
    </w:p>
    <w:p w14:paraId="4832CEC0" w14:textId="77777777" w:rsidR="00DD6A9C" w:rsidRPr="00D123D4" w:rsidRDefault="00DD6A9C" w:rsidP="00D123D4">
      <w:pPr>
        <w:widowControl w:val="0"/>
        <w:jc w:val="both"/>
        <w:rPr>
          <w:sz w:val="22"/>
          <w:szCs w:val="22"/>
          <w:lang w:val="sr-Latn-ME"/>
        </w:rPr>
      </w:pPr>
    </w:p>
    <w:p w14:paraId="704E6E4C" w14:textId="7762287C" w:rsidR="00DD6A9C" w:rsidRPr="00D123D4" w:rsidRDefault="00DD6A9C" w:rsidP="00D123D4">
      <w:pPr>
        <w:widowControl w:val="0"/>
        <w:tabs>
          <w:tab w:val="left" w:pos="540"/>
          <w:tab w:val="left" w:pos="569"/>
        </w:tabs>
        <w:jc w:val="both"/>
        <w:rPr>
          <w:sz w:val="22"/>
          <w:szCs w:val="22"/>
          <w:lang w:val="sr-Latn-ME"/>
        </w:rPr>
      </w:pPr>
      <w:r w:rsidRPr="00D123D4">
        <w:rPr>
          <w:sz w:val="22"/>
          <w:szCs w:val="22"/>
          <w:lang w:val="sr-Latn-ME"/>
        </w:rPr>
        <w:t xml:space="preserve">Jedan pacijent, koji je primio 2000 mg </w:t>
      </w:r>
      <w:r w:rsidR="00EE13AF" w:rsidRPr="00D123D4">
        <w:rPr>
          <w:sz w:val="22"/>
          <w:szCs w:val="22"/>
          <w:lang w:val="sr-Latn-ME"/>
        </w:rPr>
        <w:t>okrelizumaba</w:t>
      </w:r>
      <w:r w:rsidRPr="00D123D4">
        <w:rPr>
          <w:sz w:val="22"/>
          <w:szCs w:val="22"/>
          <w:lang w:val="sr-Latn-ME"/>
        </w:rPr>
        <w:t xml:space="preserve">, umro je od sindroma sistemskog upalnog odgovora (engl. </w:t>
      </w:r>
      <w:r w:rsidRPr="00D123D4">
        <w:rPr>
          <w:i/>
          <w:sz w:val="22"/>
          <w:szCs w:val="22"/>
          <w:lang w:val="sr-Latn-ME"/>
        </w:rPr>
        <w:t>systemic inflammatory response syndrome</w:t>
      </w:r>
      <w:r w:rsidRPr="00D123D4">
        <w:rPr>
          <w:sz w:val="22"/>
          <w:szCs w:val="22"/>
          <w:lang w:val="sr-Latn-ME"/>
        </w:rPr>
        <w:t>, SIRS) nepoznate etiologije, nakon snimanja magnetnom rezonancom (MR) 12</w:t>
      </w:r>
      <w:r w:rsidR="001A0E05" w:rsidRPr="00D123D4">
        <w:rPr>
          <w:sz w:val="22"/>
          <w:szCs w:val="22"/>
          <w:lang w:val="sr-Latn-ME"/>
        </w:rPr>
        <w:t>.</w:t>
      </w:r>
      <w:r w:rsidRPr="00D123D4">
        <w:rPr>
          <w:sz w:val="22"/>
          <w:szCs w:val="22"/>
          <w:lang w:val="sr-Latn-ME"/>
        </w:rPr>
        <w:t xml:space="preserve"> nedjelja nakon posljednje infuzije; SIRS-u je </w:t>
      </w:r>
      <w:r w:rsidR="00256986" w:rsidRPr="00D123D4">
        <w:rPr>
          <w:sz w:val="22"/>
          <w:szCs w:val="22"/>
          <w:lang w:val="sr-Latn-ME"/>
        </w:rPr>
        <w:t xml:space="preserve">mogla </w:t>
      </w:r>
      <w:r w:rsidRPr="00D123D4">
        <w:rPr>
          <w:sz w:val="22"/>
          <w:szCs w:val="22"/>
          <w:lang w:val="sr-Latn-ME"/>
        </w:rPr>
        <w:t>doprin</w:t>
      </w:r>
      <w:r w:rsidR="00572E8D" w:rsidRPr="00D123D4">
        <w:rPr>
          <w:sz w:val="22"/>
          <w:szCs w:val="22"/>
          <w:lang w:val="sr-Latn-ME"/>
        </w:rPr>
        <w:t>i</w:t>
      </w:r>
      <w:r w:rsidRPr="00D123D4">
        <w:rPr>
          <w:sz w:val="22"/>
          <w:szCs w:val="22"/>
          <w:lang w:val="sr-Latn-ME"/>
        </w:rPr>
        <w:t>je</w:t>
      </w:r>
      <w:r w:rsidR="00256986" w:rsidRPr="00D123D4">
        <w:rPr>
          <w:sz w:val="22"/>
          <w:szCs w:val="22"/>
          <w:lang w:val="sr-Latn-ME"/>
        </w:rPr>
        <w:t>ti</w:t>
      </w:r>
      <w:r w:rsidRPr="00D123D4">
        <w:rPr>
          <w:sz w:val="22"/>
          <w:szCs w:val="22"/>
          <w:lang w:val="sr-Latn-ME"/>
        </w:rPr>
        <w:t xml:space="preserve"> anafilaktička reakcija na gadolinijumsko kontrastno sredstvo koje se koristilo za MR snimanje.</w:t>
      </w:r>
    </w:p>
    <w:p w14:paraId="024AA22F" w14:textId="77777777" w:rsidR="00DD6A9C" w:rsidRPr="00D123D4" w:rsidRDefault="00DD6A9C" w:rsidP="00D123D4">
      <w:pPr>
        <w:widowControl w:val="0"/>
        <w:tabs>
          <w:tab w:val="left" w:pos="540"/>
          <w:tab w:val="left" w:pos="569"/>
        </w:tabs>
        <w:rPr>
          <w:b/>
          <w:bCs/>
          <w:sz w:val="22"/>
          <w:szCs w:val="22"/>
          <w:lang w:val="sr-Latn-ME"/>
        </w:rPr>
      </w:pPr>
    </w:p>
    <w:p w14:paraId="4C6F1AB2" w14:textId="77777777" w:rsidR="005A23D2" w:rsidRPr="00D123D4" w:rsidRDefault="005A23D2" w:rsidP="00D123D4">
      <w:pPr>
        <w:widowControl w:val="0"/>
        <w:spacing w:after="200" w:line="276" w:lineRule="auto"/>
        <w:rPr>
          <w:rFonts w:eastAsia="Calibri"/>
          <w:sz w:val="22"/>
          <w:szCs w:val="22"/>
          <w:u w:val="single"/>
          <w:lang w:val="sr-Latn-ME"/>
        </w:rPr>
      </w:pPr>
      <w:r w:rsidRPr="00D123D4">
        <w:rPr>
          <w:rFonts w:eastAsia="Calibri"/>
          <w:sz w:val="22"/>
          <w:szCs w:val="22"/>
          <w:u w:val="single"/>
          <w:lang w:val="sr-Latn-ME"/>
        </w:rPr>
        <w:t>Prijavljivanje sumnji na neželjena dejstva</w:t>
      </w:r>
    </w:p>
    <w:p w14:paraId="740A950D" w14:textId="5E5FFA7B" w:rsidR="001D337C" w:rsidRPr="00D123D4" w:rsidRDefault="005A23D2" w:rsidP="00D123D4">
      <w:pPr>
        <w:widowControl w:val="0"/>
        <w:spacing w:after="200"/>
        <w:jc w:val="both"/>
        <w:rPr>
          <w:rFonts w:eastAsia="Calibri"/>
          <w:sz w:val="22"/>
          <w:szCs w:val="22"/>
          <w:lang w:val="sr-Latn-ME"/>
        </w:rPr>
      </w:pPr>
      <w:r w:rsidRPr="00D123D4">
        <w:rPr>
          <w:rFonts w:eastAsia="Calibri"/>
          <w:sz w:val="22"/>
          <w:szCs w:val="22"/>
          <w:lang w:val="sr-Latn-ME"/>
        </w:rPr>
        <w:t>Prijavljivanje neželjenih dejstava nakon dobijanja dozvole je od velikog značaja jer obezbjeđuje kont</w:t>
      </w:r>
      <w:r w:rsidR="00EA5765" w:rsidRPr="00D123D4">
        <w:rPr>
          <w:rFonts w:eastAsia="Calibri"/>
          <w:sz w:val="22"/>
          <w:szCs w:val="22"/>
          <w:lang w:val="sr-Latn-ME"/>
        </w:rPr>
        <w:t>inuirano praćenje odnosa korist</w:t>
      </w:r>
      <w:r w:rsidRPr="00D123D4">
        <w:rPr>
          <w:rFonts w:eastAsia="Calibri"/>
          <w:sz w:val="22"/>
          <w:szCs w:val="22"/>
          <w:lang w:val="sr-Latn-ME"/>
        </w:rPr>
        <w:t>/rizik primjene lijeka. Zdravstveni radnici treba da prijave svaku sumnju na neželjeno</w:t>
      </w:r>
      <w:r w:rsidR="009B062A" w:rsidRPr="00D123D4">
        <w:rPr>
          <w:rFonts w:eastAsia="Calibri"/>
          <w:sz w:val="22"/>
          <w:szCs w:val="22"/>
          <w:lang w:val="sr-Latn-ME"/>
        </w:rPr>
        <w:t xml:space="preserve"> </w:t>
      </w:r>
      <w:r w:rsidRPr="00D123D4">
        <w:rPr>
          <w:rFonts w:eastAsia="Calibri"/>
          <w:sz w:val="22"/>
          <w:szCs w:val="22"/>
          <w:lang w:val="sr-Latn-ME"/>
        </w:rPr>
        <w:t xml:space="preserve">dejstvo ovog lijeka </w:t>
      </w:r>
      <w:r w:rsidR="001D337C" w:rsidRPr="00D123D4">
        <w:rPr>
          <w:rFonts w:eastAsia="Calibri"/>
          <w:sz w:val="22"/>
          <w:szCs w:val="22"/>
          <w:lang w:val="sr-Latn-ME"/>
        </w:rPr>
        <w:t>Institutu za ljekove i medicinska sredstva (CInMED):</w:t>
      </w:r>
    </w:p>
    <w:p w14:paraId="5504FD4C" w14:textId="77777777" w:rsidR="001D337C" w:rsidRPr="00D123D4" w:rsidRDefault="001D337C" w:rsidP="00D123D4">
      <w:pPr>
        <w:pStyle w:val="NoSpacing"/>
        <w:widowControl w:val="0"/>
        <w:jc w:val="both"/>
        <w:rPr>
          <w:rFonts w:eastAsia="Calibri"/>
          <w:sz w:val="22"/>
          <w:szCs w:val="22"/>
          <w:lang w:val="sr-Latn-ME"/>
        </w:rPr>
      </w:pPr>
      <w:r w:rsidRPr="00D123D4">
        <w:rPr>
          <w:rFonts w:eastAsia="Calibri"/>
          <w:sz w:val="22"/>
          <w:szCs w:val="22"/>
          <w:lang w:val="sr-Latn-ME"/>
        </w:rPr>
        <w:t xml:space="preserve">Institut za ljekove i medicinska sredstva </w:t>
      </w:r>
    </w:p>
    <w:p w14:paraId="3B7623E7" w14:textId="77777777" w:rsidR="001D337C" w:rsidRPr="00D123D4" w:rsidRDefault="001D337C" w:rsidP="00D123D4">
      <w:pPr>
        <w:pStyle w:val="NoSpacing"/>
        <w:widowControl w:val="0"/>
        <w:jc w:val="both"/>
        <w:rPr>
          <w:rFonts w:eastAsia="Calibri"/>
          <w:sz w:val="22"/>
          <w:szCs w:val="22"/>
          <w:lang w:val="sr-Latn-ME"/>
        </w:rPr>
      </w:pPr>
      <w:r w:rsidRPr="00D123D4">
        <w:rPr>
          <w:rFonts w:eastAsia="Calibri"/>
          <w:sz w:val="22"/>
          <w:szCs w:val="22"/>
          <w:lang w:val="sr-Latn-ME"/>
        </w:rPr>
        <w:t>Odjeljenje za farmakovigilancu</w:t>
      </w:r>
    </w:p>
    <w:p w14:paraId="3E4C1FD9" w14:textId="77777777" w:rsidR="001D337C" w:rsidRPr="00D123D4" w:rsidRDefault="001D337C" w:rsidP="00D123D4">
      <w:pPr>
        <w:pStyle w:val="NoSpacing"/>
        <w:widowControl w:val="0"/>
        <w:jc w:val="both"/>
        <w:rPr>
          <w:rFonts w:eastAsia="Calibri"/>
          <w:sz w:val="22"/>
          <w:szCs w:val="22"/>
          <w:lang w:val="sr-Latn-ME"/>
        </w:rPr>
      </w:pPr>
      <w:r w:rsidRPr="00D123D4">
        <w:rPr>
          <w:rFonts w:eastAsia="Calibri"/>
          <w:sz w:val="22"/>
          <w:szCs w:val="22"/>
          <w:lang w:val="sr-Latn-ME"/>
        </w:rPr>
        <w:t>Bulevar Ivana Crnojevića 64a, 81000 Podgorica</w:t>
      </w:r>
    </w:p>
    <w:p w14:paraId="096E93E3" w14:textId="77777777" w:rsidR="001D337C" w:rsidRPr="00D123D4" w:rsidRDefault="001D337C" w:rsidP="00D123D4">
      <w:pPr>
        <w:pStyle w:val="NoSpacing"/>
        <w:widowControl w:val="0"/>
        <w:rPr>
          <w:rFonts w:eastAsia="Calibri"/>
          <w:sz w:val="22"/>
          <w:szCs w:val="22"/>
          <w:lang w:val="sr-Latn-ME"/>
        </w:rPr>
      </w:pPr>
    </w:p>
    <w:p w14:paraId="722C2CF3" w14:textId="77777777" w:rsidR="001D337C" w:rsidRPr="00D123D4" w:rsidRDefault="001D337C" w:rsidP="00D123D4">
      <w:pPr>
        <w:pStyle w:val="NoSpacing"/>
        <w:widowControl w:val="0"/>
        <w:jc w:val="both"/>
        <w:rPr>
          <w:rFonts w:eastAsia="Calibri"/>
          <w:sz w:val="22"/>
          <w:szCs w:val="22"/>
          <w:lang w:val="sr-Latn-ME"/>
        </w:rPr>
      </w:pPr>
      <w:r w:rsidRPr="00D123D4">
        <w:rPr>
          <w:rFonts w:eastAsia="Calibri"/>
          <w:sz w:val="22"/>
          <w:szCs w:val="22"/>
          <w:lang w:val="sr-Latn-ME"/>
        </w:rPr>
        <w:t>tel: +382 (0) 20 310 280</w:t>
      </w:r>
    </w:p>
    <w:p w14:paraId="23C55D0A" w14:textId="77777777" w:rsidR="001D337C" w:rsidRPr="00D123D4" w:rsidRDefault="001D337C" w:rsidP="00D123D4">
      <w:pPr>
        <w:pStyle w:val="NoSpacing"/>
        <w:widowControl w:val="0"/>
        <w:jc w:val="both"/>
        <w:rPr>
          <w:rFonts w:eastAsia="Calibri"/>
          <w:sz w:val="22"/>
          <w:szCs w:val="22"/>
          <w:lang w:val="sr-Latn-ME"/>
        </w:rPr>
      </w:pPr>
      <w:r w:rsidRPr="00D123D4">
        <w:rPr>
          <w:rFonts w:eastAsia="Calibri"/>
          <w:sz w:val="22"/>
          <w:szCs w:val="22"/>
          <w:lang w:val="sr-Latn-ME"/>
        </w:rPr>
        <w:t>fax: +382 (0) 20 310 581</w:t>
      </w:r>
    </w:p>
    <w:p w14:paraId="658F1EB9" w14:textId="32748CF5" w:rsidR="001D337C" w:rsidRPr="00D123D4" w:rsidRDefault="00874AC3" w:rsidP="00D123D4">
      <w:pPr>
        <w:pStyle w:val="NoSpacing"/>
        <w:widowControl w:val="0"/>
        <w:jc w:val="both"/>
        <w:rPr>
          <w:rFonts w:eastAsia="Calibri"/>
          <w:sz w:val="22"/>
          <w:szCs w:val="22"/>
          <w:lang w:val="sr-Latn-ME"/>
        </w:rPr>
      </w:pPr>
      <w:hyperlink r:id="rId11" w:history="1">
        <w:r w:rsidR="001D337C" w:rsidRPr="00D123D4">
          <w:rPr>
            <w:rStyle w:val="Hyperlink"/>
            <w:rFonts w:eastAsia="Calibri"/>
            <w:sz w:val="22"/>
            <w:szCs w:val="22"/>
            <w:lang w:val="sr-Latn-ME"/>
          </w:rPr>
          <w:t>www.cinmed.me</w:t>
        </w:r>
      </w:hyperlink>
    </w:p>
    <w:p w14:paraId="3E9A9418" w14:textId="3C5052C5" w:rsidR="001D337C" w:rsidRPr="00D123D4" w:rsidRDefault="00874AC3" w:rsidP="00D123D4">
      <w:pPr>
        <w:pStyle w:val="NoSpacing"/>
        <w:widowControl w:val="0"/>
        <w:jc w:val="both"/>
        <w:rPr>
          <w:rFonts w:eastAsia="Calibri"/>
          <w:color w:val="0000FF"/>
          <w:sz w:val="22"/>
          <w:szCs w:val="22"/>
          <w:u w:val="single"/>
          <w:lang w:val="sr-Latn-ME"/>
        </w:rPr>
      </w:pPr>
      <w:hyperlink r:id="rId12" w:history="1">
        <w:r w:rsidR="001D337C" w:rsidRPr="00D123D4">
          <w:rPr>
            <w:rStyle w:val="Hyperlink"/>
            <w:rFonts w:eastAsia="Calibri"/>
            <w:sz w:val="22"/>
            <w:szCs w:val="22"/>
            <w:lang w:val="sr-Latn-ME"/>
          </w:rPr>
          <w:t>nezeljenadejstva@cinmed.me</w:t>
        </w:r>
      </w:hyperlink>
    </w:p>
    <w:p w14:paraId="4B304458" w14:textId="77777777" w:rsidR="001D337C" w:rsidRPr="00D123D4" w:rsidRDefault="001D337C" w:rsidP="00D123D4">
      <w:pPr>
        <w:pStyle w:val="NoSpacing"/>
        <w:widowControl w:val="0"/>
        <w:jc w:val="both"/>
        <w:rPr>
          <w:rFonts w:eastAsia="Calibri"/>
          <w:sz w:val="22"/>
          <w:szCs w:val="22"/>
          <w:lang w:val="sr-Latn-ME"/>
        </w:rPr>
      </w:pPr>
      <w:r w:rsidRPr="00D123D4">
        <w:rPr>
          <w:rFonts w:eastAsia="Calibri"/>
          <w:sz w:val="22"/>
          <w:szCs w:val="22"/>
          <w:lang w:val="sr-Latn-ME"/>
        </w:rPr>
        <w:t>putem IS zdravstvene zaštite</w:t>
      </w:r>
    </w:p>
    <w:p w14:paraId="09208666" w14:textId="77777777" w:rsidR="0087233B" w:rsidRPr="00D123D4" w:rsidRDefault="0087233B" w:rsidP="00D123D4">
      <w:pPr>
        <w:pStyle w:val="NoSpacing"/>
        <w:widowControl w:val="0"/>
        <w:jc w:val="both"/>
        <w:rPr>
          <w:rFonts w:eastAsia="Calibri"/>
          <w:sz w:val="22"/>
          <w:szCs w:val="22"/>
          <w:lang w:val="sr-Latn-ME"/>
        </w:rPr>
      </w:pPr>
      <w:r w:rsidRPr="00D123D4">
        <w:rPr>
          <w:rFonts w:eastAsia="Calibri"/>
          <w:sz w:val="22"/>
          <w:szCs w:val="22"/>
          <w:lang w:val="sr-Latn-ME"/>
        </w:rPr>
        <w:t>QR kod za online prijavu sumnje na neželjeno dejstvo lijeka:</w:t>
      </w:r>
    </w:p>
    <w:p w14:paraId="3FD0B326" w14:textId="77777777" w:rsidR="0087233B" w:rsidRPr="00D123D4" w:rsidRDefault="0087233B" w:rsidP="00D123D4">
      <w:pPr>
        <w:pStyle w:val="NoSpacing"/>
        <w:widowControl w:val="0"/>
        <w:jc w:val="both"/>
        <w:rPr>
          <w:rFonts w:eastAsia="Calibri"/>
          <w:sz w:val="22"/>
          <w:szCs w:val="22"/>
          <w:lang w:val="sr-Latn-ME"/>
        </w:rPr>
      </w:pPr>
    </w:p>
    <w:p w14:paraId="44758635" w14:textId="1921FAD4" w:rsidR="0087233B" w:rsidRPr="00D123D4" w:rsidRDefault="00D123D4" w:rsidP="00D123D4">
      <w:pPr>
        <w:pStyle w:val="NoSpacing"/>
        <w:widowControl w:val="0"/>
        <w:rPr>
          <w:rFonts w:eastAsia="Calibri"/>
          <w:sz w:val="22"/>
          <w:szCs w:val="22"/>
          <w:lang w:val="sr-Latn-ME"/>
        </w:rPr>
      </w:pPr>
      <w:r w:rsidRPr="007F661E">
        <w:rPr>
          <w:b/>
          <w:bCs/>
          <w:noProof/>
          <w:sz w:val="22"/>
          <w:szCs w:val="22"/>
        </w:rPr>
        <w:drawing>
          <wp:inline distT="0" distB="0" distL="0" distR="0" wp14:anchorId="550A0A32" wp14:editId="2EAA7669">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A4A4B69" w14:textId="5033F0F3" w:rsidR="0087233B" w:rsidRPr="00D123D4" w:rsidRDefault="0087233B" w:rsidP="00D123D4">
      <w:pPr>
        <w:widowControl w:val="0"/>
        <w:tabs>
          <w:tab w:val="left" w:pos="540"/>
          <w:tab w:val="left" w:pos="569"/>
        </w:tabs>
        <w:rPr>
          <w:b/>
          <w:bCs/>
          <w:sz w:val="22"/>
          <w:szCs w:val="22"/>
          <w:lang w:val="sr-Latn-ME"/>
        </w:rPr>
      </w:pPr>
    </w:p>
    <w:p w14:paraId="4C6F1ABE" w14:textId="77777777" w:rsidR="00CD6F02" w:rsidRPr="00D123D4" w:rsidRDefault="0072020E" w:rsidP="00D123D4">
      <w:pPr>
        <w:widowControl w:val="0"/>
        <w:tabs>
          <w:tab w:val="left" w:pos="540"/>
          <w:tab w:val="left" w:pos="569"/>
        </w:tabs>
        <w:rPr>
          <w:b/>
          <w:bCs/>
          <w:sz w:val="22"/>
          <w:szCs w:val="22"/>
          <w:lang w:val="sr-Latn-ME"/>
        </w:rPr>
      </w:pPr>
      <w:r w:rsidRPr="00D123D4">
        <w:rPr>
          <w:b/>
          <w:bCs/>
          <w:sz w:val="22"/>
          <w:szCs w:val="22"/>
          <w:lang w:val="sr-Latn-ME"/>
        </w:rPr>
        <w:t xml:space="preserve">4.9. </w:t>
      </w:r>
      <w:r w:rsidR="00480FB1" w:rsidRPr="00D123D4">
        <w:rPr>
          <w:b/>
          <w:bCs/>
          <w:sz w:val="22"/>
          <w:szCs w:val="22"/>
          <w:lang w:val="sr-Latn-ME"/>
        </w:rPr>
        <w:tab/>
      </w:r>
      <w:r w:rsidRPr="00D123D4">
        <w:rPr>
          <w:b/>
          <w:bCs/>
          <w:sz w:val="22"/>
          <w:szCs w:val="22"/>
          <w:lang w:val="sr-Latn-ME"/>
        </w:rPr>
        <w:t>Predoziranje</w:t>
      </w:r>
      <w:r w:rsidR="002846DB" w:rsidRPr="00D123D4">
        <w:rPr>
          <w:b/>
          <w:bCs/>
          <w:sz w:val="22"/>
          <w:szCs w:val="22"/>
          <w:lang w:val="sr-Latn-ME"/>
        </w:rPr>
        <w:t xml:space="preserve"> </w:t>
      </w:r>
    </w:p>
    <w:p w14:paraId="4C6F1ABF" w14:textId="33F1A2A8" w:rsidR="00CD6F02" w:rsidRPr="00D123D4" w:rsidRDefault="00CD6F02" w:rsidP="00D123D4">
      <w:pPr>
        <w:widowControl w:val="0"/>
        <w:tabs>
          <w:tab w:val="left" w:pos="540"/>
          <w:tab w:val="left" w:pos="569"/>
        </w:tabs>
        <w:rPr>
          <w:b/>
          <w:bCs/>
          <w:sz w:val="22"/>
          <w:szCs w:val="22"/>
          <w:lang w:val="sr-Latn-ME"/>
        </w:rPr>
      </w:pPr>
    </w:p>
    <w:p w14:paraId="25BA6621" w14:textId="47C92C12" w:rsidR="00DD6A9C" w:rsidRPr="00D123D4" w:rsidRDefault="00DD6A9C" w:rsidP="00D123D4">
      <w:pPr>
        <w:widowControl w:val="0"/>
        <w:tabs>
          <w:tab w:val="left" w:pos="284"/>
          <w:tab w:val="center" w:pos="4320"/>
          <w:tab w:val="right" w:pos="8640"/>
        </w:tabs>
        <w:jc w:val="both"/>
        <w:rPr>
          <w:sz w:val="22"/>
          <w:szCs w:val="22"/>
          <w:lang w:val="sr-Latn-ME"/>
        </w:rPr>
      </w:pPr>
      <w:r w:rsidRPr="00D123D4">
        <w:rPr>
          <w:sz w:val="22"/>
          <w:szCs w:val="22"/>
          <w:lang w:val="sr-Latn-ME"/>
        </w:rPr>
        <w:t xml:space="preserve">Ograničeno je iskustvo iz kliničkih studija povezano sa primjenom doza </w:t>
      </w:r>
      <w:r w:rsidR="00416F4C" w:rsidRPr="00D123D4">
        <w:rPr>
          <w:sz w:val="22"/>
          <w:szCs w:val="22"/>
          <w:lang w:val="sr-Latn-ME"/>
        </w:rPr>
        <w:t>okrelizumaba</w:t>
      </w:r>
      <w:r w:rsidR="00256986" w:rsidRPr="00D123D4">
        <w:rPr>
          <w:sz w:val="22"/>
          <w:szCs w:val="22"/>
          <w:lang w:val="sr-Latn-ME"/>
        </w:rPr>
        <w:t xml:space="preserve"> </w:t>
      </w:r>
      <w:r w:rsidRPr="00D123D4">
        <w:rPr>
          <w:sz w:val="22"/>
          <w:szCs w:val="22"/>
          <w:lang w:val="sr-Latn-ME"/>
        </w:rPr>
        <w:t>većih od odobrene doze. Najveća dosad ispitana doza kod pacijenata sa MS-om iznosila je 2000 mg, a primijenjena je u dvije intravenske infuzije od 1000 mg u razmaku od 2 nedjelje (ispitivanje faze II radi utvrđivanja doze kod RRMS-a)</w:t>
      </w:r>
      <w:r w:rsidR="00256986" w:rsidRPr="00D123D4">
        <w:rPr>
          <w:sz w:val="22"/>
          <w:szCs w:val="22"/>
          <w:lang w:val="sr-Latn-ME"/>
        </w:rPr>
        <w:t xml:space="preserve"> odnosno doza od 1200 mg prim</w:t>
      </w:r>
      <w:r w:rsidR="0059549A" w:rsidRPr="00D123D4">
        <w:rPr>
          <w:sz w:val="22"/>
          <w:szCs w:val="22"/>
          <w:lang w:val="sr-Latn-ME"/>
        </w:rPr>
        <w:t>i</w:t>
      </w:r>
      <w:r w:rsidR="00256986" w:rsidRPr="00D123D4">
        <w:rPr>
          <w:sz w:val="22"/>
          <w:szCs w:val="22"/>
          <w:lang w:val="sr-Latn-ME"/>
        </w:rPr>
        <w:t>jenjena su</w:t>
      </w:r>
      <w:r w:rsidR="0059549A" w:rsidRPr="00D123D4">
        <w:rPr>
          <w:sz w:val="22"/>
          <w:szCs w:val="22"/>
          <w:lang w:val="sr-Latn-ME"/>
        </w:rPr>
        <w:t>b</w:t>
      </w:r>
      <w:r w:rsidR="00256986" w:rsidRPr="00D123D4">
        <w:rPr>
          <w:sz w:val="22"/>
          <w:szCs w:val="22"/>
          <w:lang w:val="sr-Latn-ME"/>
        </w:rPr>
        <w:t>kutanom injekcijom (</w:t>
      </w:r>
      <w:r w:rsidR="001A0E05" w:rsidRPr="00D123D4">
        <w:rPr>
          <w:sz w:val="22"/>
          <w:szCs w:val="22"/>
          <w:lang w:val="sr-Latn-ME"/>
        </w:rPr>
        <w:t>studija</w:t>
      </w:r>
      <w:r w:rsidR="00256986" w:rsidRPr="00D123D4">
        <w:rPr>
          <w:sz w:val="22"/>
          <w:szCs w:val="22"/>
          <w:lang w:val="sr-Latn-ME"/>
        </w:rPr>
        <w:t xml:space="preserve"> faze Ib za utvrđivanje doze)</w:t>
      </w:r>
      <w:r w:rsidRPr="00D123D4">
        <w:rPr>
          <w:sz w:val="22"/>
          <w:szCs w:val="22"/>
          <w:lang w:val="sr-Latn-ME"/>
        </w:rPr>
        <w:t xml:space="preserve">. Neželjena dejstva su bila u skladu sa bezbjedonosnim profilom iz pivotalnih kliničkih studija. </w:t>
      </w:r>
    </w:p>
    <w:p w14:paraId="7AECBF99" w14:textId="77777777" w:rsidR="00DD6A9C" w:rsidRPr="00D123D4" w:rsidRDefault="00DD6A9C" w:rsidP="00D123D4">
      <w:pPr>
        <w:widowControl w:val="0"/>
        <w:tabs>
          <w:tab w:val="left" w:pos="284"/>
          <w:tab w:val="center" w:pos="4320"/>
          <w:tab w:val="right" w:pos="8640"/>
        </w:tabs>
        <w:jc w:val="both"/>
        <w:rPr>
          <w:sz w:val="22"/>
          <w:szCs w:val="22"/>
          <w:lang w:val="sr-Latn-ME"/>
        </w:rPr>
      </w:pPr>
    </w:p>
    <w:p w14:paraId="57F9D122" w14:textId="33766053" w:rsidR="00DD6A9C" w:rsidRPr="00D123D4" w:rsidRDefault="00DD6A9C" w:rsidP="00D123D4">
      <w:pPr>
        <w:widowControl w:val="0"/>
        <w:tabs>
          <w:tab w:val="left" w:pos="284"/>
          <w:tab w:val="center" w:pos="4320"/>
          <w:tab w:val="right" w:pos="8640"/>
        </w:tabs>
        <w:jc w:val="both"/>
        <w:rPr>
          <w:sz w:val="22"/>
          <w:szCs w:val="22"/>
          <w:lang w:val="sr-Latn-ME"/>
        </w:rPr>
      </w:pPr>
      <w:r w:rsidRPr="00D123D4">
        <w:rPr>
          <w:sz w:val="22"/>
          <w:szCs w:val="22"/>
          <w:lang w:val="sr-Latn-ME"/>
        </w:rPr>
        <w:t xml:space="preserve">Nema specifičnog antidota za predoziranje; potrebno je odmah prekinuti primjenu infuzije i nadgledati pacijenta kako bi se uočile moguće reakcije na infuziju (vidjeti dio 4.4). </w:t>
      </w:r>
    </w:p>
    <w:p w14:paraId="4C6F1AC0" w14:textId="5FE3ADB5" w:rsidR="00227BDB" w:rsidRPr="00D123D4" w:rsidRDefault="00227BDB" w:rsidP="00D123D4">
      <w:pPr>
        <w:widowControl w:val="0"/>
        <w:tabs>
          <w:tab w:val="left" w:pos="540"/>
          <w:tab w:val="left" w:pos="569"/>
        </w:tabs>
        <w:rPr>
          <w:b/>
          <w:bCs/>
          <w:sz w:val="22"/>
          <w:szCs w:val="22"/>
          <w:lang w:val="sr-Latn-ME"/>
        </w:rPr>
      </w:pPr>
    </w:p>
    <w:p w14:paraId="3C8BF1EA" w14:textId="77777777" w:rsidR="00120366" w:rsidRPr="00D123D4" w:rsidRDefault="00120366" w:rsidP="00D123D4">
      <w:pPr>
        <w:widowControl w:val="0"/>
        <w:tabs>
          <w:tab w:val="left" w:pos="540"/>
          <w:tab w:val="left" w:pos="569"/>
        </w:tabs>
        <w:rPr>
          <w:b/>
          <w:bCs/>
          <w:sz w:val="22"/>
          <w:szCs w:val="22"/>
          <w:lang w:val="sr-Latn-ME"/>
        </w:rPr>
      </w:pPr>
    </w:p>
    <w:p w14:paraId="4C6F1AC1" w14:textId="77777777" w:rsidR="0072020E" w:rsidRPr="00D123D4" w:rsidRDefault="0072020E" w:rsidP="00D123D4">
      <w:pPr>
        <w:widowControl w:val="0"/>
        <w:tabs>
          <w:tab w:val="left" w:pos="540"/>
          <w:tab w:val="left" w:pos="569"/>
        </w:tabs>
        <w:rPr>
          <w:b/>
          <w:bCs/>
          <w:sz w:val="22"/>
          <w:szCs w:val="22"/>
          <w:lang w:val="sr-Latn-ME"/>
        </w:rPr>
      </w:pPr>
      <w:r w:rsidRPr="00D123D4">
        <w:rPr>
          <w:b/>
          <w:bCs/>
          <w:sz w:val="22"/>
          <w:szCs w:val="22"/>
          <w:lang w:val="sr-Latn-ME"/>
        </w:rPr>
        <w:t xml:space="preserve">5. </w:t>
      </w:r>
      <w:r w:rsidR="00480FB1" w:rsidRPr="00D123D4">
        <w:rPr>
          <w:b/>
          <w:bCs/>
          <w:sz w:val="22"/>
          <w:szCs w:val="22"/>
          <w:lang w:val="sr-Latn-ME"/>
        </w:rPr>
        <w:tab/>
      </w:r>
      <w:r w:rsidRPr="00D123D4">
        <w:rPr>
          <w:b/>
          <w:bCs/>
          <w:sz w:val="22"/>
          <w:szCs w:val="22"/>
          <w:lang w:val="sr-Latn-ME"/>
        </w:rPr>
        <w:t>FARMAKOLOŠK</w:t>
      </w:r>
      <w:r w:rsidR="000D425A" w:rsidRPr="00D123D4">
        <w:rPr>
          <w:b/>
          <w:bCs/>
          <w:sz w:val="22"/>
          <w:szCs w:val="22"/>
          <w:lang w:val="sr-Latn-ME"/>
        </w:rPr>
        <w:t>I</w:t>
      </w:r>
      <w:r w:rsidRPr="00D123D4">
        <w:rPr>
          <w:b/>
          <w:bCs/>
          <w:sz w:val="22"/>
          <w:szCs w:val="22"/>
          <w:lang w:val="sr-Latn-ME"/>
        </w:rPr>
        <w:t xml:space="preserve"> PODACI</w:t>
      </w:r>
    </w:p>
    <w:p w14:paraId="4C6F1AC2" w14:textId="77777777" w:rsidR="0072020E" w:rsidRPr="00D123D4" w:rsidRDefault="0072020E" w:rsidP="00D123D4">
      <w:pPr>
        <w:widowControl w:val="0"/>
        <w:tabs>
          <w:tab w:val="left" w:pos="540"/>
          <w:tab w:val="left" w:pos="569"/>
        </w:tabs>
        <w:rPr>
          <w:b/>
          <w:bCs/>
          <w:sz w:val="22"/>
          <w:szCs w:val="22"/>
          <w:lang w:val="sr-Latn-ME"/>
        </w:rPr>
      </w:pPr>
    </w:p>
    <w:p w14:paraId="4C6F1AC3" w14:textId="77777777" w:rsidR="0072020E" w:rsidRPr="00D123D4" w:rsidRDefault="0072020E" w:rsidP="00D123D4">
      <w:pPr>
        <w:widowControl w:val="0"/>
        <w:tabs>
          <w:tab w:val="left" w:pos="540"/>
          <w:tab w:val="left" w:pos="569"/>
        </w:tabs>
        <w:rPr>
          <w:b/>
          <w:bCs/>
          <w:sz w:val="22"/>
          <w:szCs w:val="22"/>
          <w:lang w:val="sr-Latn-ME"/>
        </w:rPr>
      </w:pPr>
      <w:r w:rsidRPr="00D123D4">
        <w:rPr>
          <w:b/>
          <w:bCs/>
          <w:sz w:val="22"/>
          <w:szCs w:val="22"/>
          <w:lang w:val="sr-Latn-ME"/>
        </w:rPr>
        <w:t xml:space="preserve">5.1. </w:t>
      </w:r>
      <w:r w:rsidR="00480FB1" w:rsidRPr="00D123D4">
        <w:rPr>
          <w:b/>
          <w:bCs/>
          <w:sz w:val="22"/>
          <w:szCs w:val="22"/>
          <w:lang w:val="sr-Latn-ME"/>
        </w:rPr>
        <w:tab/>
      </w:r>
      <w:r w:rsidRPr="00D123D4">
        <w:rPr>
          <w:b/>
          <w:bCs/>
          <w:sz w:val="22"/>
          <w:szCs w:val="22"/>
          <w:lang w:val="sr-Latn-ME"/>
        </w:rPr>
        <w:t>Farmakodinamski podaci</w:t>
      </w:r>
      <w:r w:rsidR="003A7059" w:rsidRPr="00D123D4">
        <w:rPr>
          <w:b/>
          <w:bCs/>
          <w:sz w:val="22"/>
          <w:szCs w:val="22"/>
          <w:lang w:val="sr-Latn-ME"/>
        </w:rPr>
        <w:t xml:space="preserve"> </w:t>
      </w:r>
    </w:p>
    <w:p w14:paraId="4C6F1AC4" w14:textId="77777777" w:rsidR="00F45F77" w:rsidRPr="00D123D4" w:rsidRDefault="00F45F77" w:rsidP="00D123D4">
      <w:pPr>
        <w:widowControl w:val="0"/>
        <w:tabs>
          <w:tab w:val="left" w:pos="540"/>
          <w:tab w:val="left" w:pos="569"/>
        </w:tabs>
        <w:rPr>
          <w:b/>
          <w:bCs/>
          <w:sz w:val="22"/>
          <w:szCs w:val="22"/>
          <w:lang w:val="sr-Latn-ME"/>
        </w:rPr>
      </w:pPr>
    </w:p>
    <w:p w14:paraId="4C6F1AC5" w14:textId="3024266B" w:rsidR="0072020E" w:rsidRPr="00D123D4" w:rsidRDefault="0072020E" w:rsidP="00D123D4">
      <w:pPr>
        <w:widowControl w:val="0"/>
        <w:tabs>
          <w:tab w:val="left" w:pos="540"/>
          <w:tab w:val="left" w:pos="569"/>
        </w:tabs>
        <w:rPr>
          <w:bCs/>
          <w:sz w:val="22"/>
          <w:szCs w:val="22"/>
          <w:lang w:val="sr-Latn-ME"/>
        </w:rPr>
      </w:pPr>
      <w:r w:rsidRPr="00D123D4">
        <w:rPr>
          <w:bCs/>
          <w:sz w:val="22"/>
          <w:szCs w:val="22"/>
          <w:lang w:val="sr-Latn-ME"/>
        </w:rPr>
        <w:t>Farmakoterapijska grupa:</w:t>
      </w:r>
      <w:r w:rsidR="00DD6A9C" w:rsidRPr="00D123D4">
        <w:rPr>
          <w:bCs/>
          <w:sz w:val="22"/>
          <w:szCs w:val="22"/>
          <w:lang w:val="sr-Latn-ME"/>
        </w:rPr>
        <w:t xml:space="preserve"> </w:t>
      </w:r>
      <w:r w:rsidR="00EE13AF" w:rsidRPr="00D123D4">
        <w:rPr>
          <w:bCs/>
          <w:sz w:val="22"/>
          <w:szCs w:val="22"/>
          <w:lang w:val="sr-Latn-ME"/>
        </w:rPr>
        <w:t>imunosupresivi,</w:t>
      </w:r>
      <w:r w:rsidR="00256986" w:rsidRPr="00D123D4">
        <w:rPr>
          <w:sz w:val="22"/>
          <w:szCs w:val="22"/>
          <w:lang w:val="sr-Latn-ME"/>
        </w:rPr>
        <w:t xml:space="preserve"> monoklonska antitijela</w:t>
      </w:r>
    </w:p>
    <w:p w14:paraId="4C6F1AC6" w14:textId="77777777" w:rsidR="0072020E" w:rsidRPr="00D123D4" w:rsidRDefault="0072020E" w:rsidP="00D123D4">
      <w:pPr>
        <w:widowControl w:val="0"/>
        <w:tabs>
          <w:tab w:val="left" w:pos="540"/>
          <w:tab w:val="left" w:pos="569"/>
        </w:tabs>
        <w:rPr>
          <w:bCs/>
          <w:sz w:val="22"/>
          <w:szCs w:val="22"/>
          <w:lang w:val="sr-Latn-ME"/>
        </w:rPr>
      </w:pPr>
    </w:p>
    <w:p w14:paraId="4C6F1AC7" w14:textId="75E2A3D2" w:rsidR="0072020E" w:rsidRPr="00D123D4" w:rsidRDefault="0072020E" w:rsidP="00D123D4">
      <w:pPr>
        <w:widowControl w:val="0"/>
        <w:tabs>
          <w:tab w:val="left" w:pos="540"/>
          <w:tab w:val="left" w:pos="569"/>
        </w:tabs>
        <w:rPr>
          <w:sz w:val="22"/>
          <w:szCs w:val="22"/>
          <w:lang w:val="sr-Latn-ME"/>
        </w:rPr>
      </w:pPr>
      <w:r w:rsidRPr="00D123D4">
        <w:rPr>
          <w:bCs/>
          <w:sz w:val="22"/>
          <w:szCs w:val="22"/>
          <w:lang w:val="sr-Latn-ME"/>
        </w:rPr>
        <w:t>ATC kod:</w:t>
      </w:r>
      <w:r w:rsidR="00DD6A9C" w:rsidRPr="00D123D4">
        <w:rPr>
          <w:bCs/>
          <w:sz w:val="22"/>
          <w:szCs w:val="22"/>
          <w:lang w:val="sr-Latn-ME"/>
        </w:rPr>
        <w:t xml:space="preserve"> </w:t>
      </w:r>
      <w:r w:rsidR="00256986" w:rsidRPr="00D123D4">
        <w:rPr>
          <w:sz w:val="22"/>
          <w:szCs w:val="22"/>
          <w:lang w:val="sr-Latn-ME"/>
        </w:rPr>
        <w:t>L04AG08</w:t>
      </w:r>
    </w:p>
    <w:p w14:paraId="370EB611" w14:textId="4E5CECB8" w:rsidR="00DD6A9C" w:rsidRPr="00D123D4" w:rsidRDefault="00DD6A9C" w:rsidP="00D123D4">
      <w:pPr>
        <w:widowControl w:val="0"/>
        <w:tabs>
          <w:tab w:val="left" w:pos="540"/>
          <w:tab w:val="left" w:pos="569"/>
        </w:tabs>
        <w:rPr>
          <w:sz w:val="22"/>
          <w:szCs w:val="22"/>
          <w:lang w:val="sr-Latn-ME"/>
        </w:rPr>
      </w:pPr>
    </w:p>
    <w:p w14:paraId="187ABFD7" w14:textId="77777777" w:rsidR="00DD6A9C" w:rsidRPr="00D123D4" w:rsidRDefault="00DD6A9C" w:rsidP="00D123D4">
      <w:pPr>
        <w:widowControl w:val="0"/>
        <w:jc w:val="both"/>
        <w:outlineLvl w:val="0"/>
        <w:rPr>
          <w:sz w:val="22"/>
          <w:szCs w:val="22"/>
          <w:u w:val="single"/>
          <w:lang w:val="sr-Latn-ME"/>
        </w:rPr>
      </w:pPr>
      <w:r w:rsidRPr="00D123D4">
        <w:rPr>
          <w:sz w:val="22"/>
          <w:szCs w:val="22"/>
          <w:u w:val="single"/>
          <w:lang w:val="sr-Latn-ME"/>
        </w:rPr>
        <w:t>Mehanizam djelovanja</w:t>
      </w:r>
    </w:p>
    <w:p w14:paraId="381E5F11" w14:textId="77777777" w:rsidR="00DD6A9C" w:rsidRPr="00D123D4" w:rsidRDefault="00DD6A9C" w:rsidP="00D123D4">
      <w:pPr>
        <w:widowControl w:val="0"/>
        <w:jc w:val="both"/>
        <w:outlineLvl w:val="0"/>
        <w:rPr>
          <w:sz w:val="22"/>
          <w:szCs w:val="22"/>
          <w:lang w:val="sr-Latn-ME"/>
        </w:rPr>
      </w:pPr>
    </w:p>
    <w:p w14:paraId="44E78EF5" w14:textId="77777777" w:rsidR="00D123D4" w:rsidRDefault="00DD6A9C" w:rsidP="00D123D4">
      <w:pPr>
        <w:widowControl w:val="0"/>
        <w:jc w:val="both"/>
        <w:outlineLvl w:val="0"/>
        <w:rPr>
          <w:sz w:val="22"/>
          <w:szCs w:val="22"/>
          <w:lang w:val="sr-Latn-ME"/>
        </w:rPr>
      </w:pPr>
      <w:r w:rsidRPr="00D123D4">
        <w:rPr>
          <w:sz w:val="22"/>
          <w:szCs w:val="22"/>
          <w:lang w:val="sr-Latn-ME"/>
        </w:rPr>
        <w:t xml:space="preserve">Okrelizumab je rekombinantno humanizovano monoklonsko antitijelo koje selektivno i ciljano djeluje na B ćelije koje eksprimiraju CD20. </w:t>
      </w:r>
    </w:p>
    <w:p w14:paraId="75F11BF6" w14:textId="77777777" w:rsidR="00D123D4" w:rsidRDefault="00D123D4" w:rsidP="00D123D4">
      <w:pPr>
        <w:widowControl w:val="0"/>
        <w:jc w:val="both"/>
        <w:outlineLvl w:val="0"/>
        <w:rPr>
          <w:sz w:val="22"/>
          <w:szCs w:val="22"/>
          <w:lang w:val="sr-Latn-ME"/>
        </w:rPr>
      </w:pPr>
    </w:p>
    <w:p w14:paraId="1EFE9561" w14:textId="323D54F5" w:rsidR="00D123D4" w:rsidRPr="00D123D4" w:rsidRDefault="00D123D4" w:rsidP="00D123D4">
      <w:pPr>
        <w:widowControl w:val="0"/>
        <w:jc w:val="both"/>
        <w:outlineLvl w:val="0"/>
        <w:rPr>
          <w:sz w:val="22"/>
          <w:szCs w:val="22"/>
          <w:lang w:val="sr-Latn-ME"/>
        </w:rPr>
      </w:pPr>
      <w:r w:rsidRPr="00D123D4">
        <w:rPr>
          <w:sz w:val="22"/>
          <w:szCs w:val="22"/>
          <w:lang w:val="sr-Latn-ME"/>
        </w:rPr>
        <w:t xml:space="preserve">CD20 je površinski ćelijski antigen koji se nalazi na pre B ćelijama te zrelim i memorijskim B ćelijama, ali se ne eksprimira na limfoidnim matičnim ćelijama ni plazma ćelijama.  </w:t>
      </w:r>
    </w:p>
    <w:p w14:paraId="27B57013" w14:textId="77777777" w:rsidR="00D123D4" w:rsidRPr="00D123D4" w:rsidRDefault="00D123D4" w:rsidP="00D123D4">
      <w:pPr>
        <w:widowControl w:val="0"/>
        <w:jc w:val="both"/>
        <w:outlineLvl w:val="0"/>
        <w:rPr>
          <w:sz w:val="22"/>
          <w:szCs w:val="22"/>
          <w:lang w:val="sr-Latn-ME"/>
        </w:rPr>
      </w:pPr>
    </w:p>
    <w:p w14:paraId="76994777" w14:textId="77777777" w:rsidR="00D123D4" w:rsidRPr="00D123D4" w:rsidRDefault="00D123D4" w:rsidP="00D123D4">
      <w:pPr>
        <w:widowControl w:val="0"/>
        <w:jc w:val="both"/>
        <w:outlineLvl w:val="0"/>
        <w:rPr>
          <w:sz w:val="22"/>
          <w:szCs w:val="22"/>
          <w:lang w:val="sr-Latn-ME"/>
        </w:rPr>
      </w:pPr>
      <w:r w:rsidRPr="00D123D4">
        <w:rPr>
          <w:sz w:val="22"/>
          <w:szCs w:val="22"/>
          <w:lang w:val="sr-Latn-ME"/>
        </w:rPr>
        <w:t xml:space="preserve">Tačan mehanizam kojim okrelizumab ostvaruje svoje terapijske kliničke efekte kod MS- a nije potpuno razjašnjen, ali pretpostavlja se da uključuje imunomodulaciju putem smanjenja broja i funkcije B ćelija koje eksprimiraju CD20. Nakon što se veže za površinu ćelije, okrelizumab selektivno dovodi do deplecije B ćelija koje eksprimiraju CD20 putem ćelijske fagocitoze zavisne od antitijela (engl. </w:t>
      </w:r>
      <w:r w:rsidRPr="00D123D4">
        <w:rPr>
          <w:i/>
          <w:sz w:val="22"/>
          <w:szCs w:val="22"/>
          <w:lang w:val="sr-Latn-ME"/>
        </w:rPr>
        <w:t>antibody-dependent cellular phagocytosis</w:t>
      </w:r>
      <w:r w:rsidRPr="00D123D4">
        <w:rPr>
          <w:sz w:val="22"/>
          <w:szCs w:val="22"/>
          <w:lang w:val="sr-Latn-ME"/>
        </w:rPr>
        <w:t xml:space="preserve">, ADCP), ćelijske citotoksičnosti zavisne od antitijela (engl. </w:t>
      </w:r>
      <w:r w:rsidRPr="00D123D4">
        <w:rPr>
          <w:i/>
          <w:sz w:val="22"/>
          <w:szCs w:val="22"/>
          <w:lang w:val="sr-Latn-ME"/>
        </w:rPr>
        <w:t>antibody-dependent cellular cytotoxicity</w:t>
      </w:r>
      <w:r w:rsidRPr="00D123D4">
        <w:rPr>
          <w:sz w:val="22"/>
          <w:szCs w:val="22"/>
          <w:lang w:val="sr-Latn-ME"/>
        </w:rPr>
        <w:t xml:space="preserve">, ADCC), citotoksičnosti zavisne od komplementa (engl. </w:t>
      </w:r>
      <w:r w:rsidRPr="00D123D4">
        <w:rPr>
          <w:i/>
          <w:sz w:val="22"/>
          <w:szCs w:val="22"/>
          <w:lang w:val="sr-Latn-ME"/>
        </w:rPr>
        <w:t>complement dependent cytotoxicity,</w:t>
      </w:r>
      <w:r w:rsidRPr="00D123D4">
        <w:rPr>
          <w:sz w:val="22"/>
          <w:szCs w:val="22"/>
          <w:lang w:val="sr-Latn-ME"/>
        </w:rPr>
        <w:t xml:space="preserve"> CDC) i apoptoze. Sposobnost rekonstitucije B ćelije i prethodno postojeća humoralna imunost ostaju očuvani. Osim toga, liječenje ne utiče na urođenu imunost niti na ukupan broj T ćelija.</w:t>
      </w:r>
    </w:p>
    <w:p w14:paraId="715793C4" w14:textId="77777777" w:rsidR="00D123D4" w:rsidRPr="00D123D4" w:rsidRDefault="00D123D4" w:rsidP="00D123D4">
      <w:pPr>
        <w:widowControl w:val="0"/>
        <w:jc w:val="both"/>
        <w:outlineLvl w:val="0"/>
        <w:rPr>
          <w:sz w:val="22"/>
          <w:szCs w:val="22"/>
          <w:lang w:val="sr-Latn-ME"/>
        </w:rPr>
      </w:pPr>
    </w:p>
    <w:p w14:paraId="47CCCA00" w14:textId="77777777" w:rsidR="00D123D4" w:rsidRPr="00D123D4" w:rsidRDefault="00D123D4" w:rsidP="00D123D4">
      <w:pPr>
        <w:widowControl w:val="0"/>
        <w:jc w:val="both"/>
        <w:outlineLvl w:val="0"/>
        <w:rPr>
          <w:sz w:val="22"/>
          <w:szCs w:val="22"/>
          <w:u w:val="single"/>
          <w:lang w:val="sr-Latn-ME"/>
        </w:rPr>
      </w:pPr>
      <w:r w:rsidRPr="00D123D4">
        <w:rPr>
          <w:sz w:val="22"/>
          <w:szCs w:val="22"/>
          <w:u w:val="single"/>
          <w:lang w:val="sr-Latn-ME"/>
        </w:rPr>
        <w:t>Farmakodinamički efekti</w:t>
      </w:r>
    </w:p>
    <w:p w14:paraId="166E4F53" w14:textId="77777777" w:rsidR="00D123D4" w:rsidRPr="00D123D4" w:rsidRDefault="00D123D4" w:rsidP="00D123D4">
      <w:pPr>
        <w:widowControl w:val="0"/>
        <w:jc w:val="both"/>
        <w:outlineLvl w:val="0"/>
        <w:rPr>
          <w:sz w:val="22"/>
          <w:szCs w:val="22"/>
          <w:lang w:val="sr-Latn-ME"/>
        </w:rPr>
      </w:pPr>
    </w:p>
    <w:p w14:paraId="20E5D728" w14:textId="77777777" w:rsidR="00D123D4" w:rsidRPr="00D123D4" w:rsidRDefault="00D123D4" w:rsidP="00D123D4">
      <w:pPr>
        <w:widowControl w:val="0"/>
        <w:jc w:val="both"/>
        <w:outlineLvl w:val="0"/>
        <w:rPr>
          <w:sz w:val="22"/>
          <w:szCs w:val="22"/>
          <w:lang w:val="sr-Latn-ME"/>
        </w:rPr>
      </w:pPr>
      <w:r w:rsidRPr="00D123D4">
        <w:rPr>
          <w:sz w:val="22"/>
          <w:szCs w:val="22"/>
          <w:lang w:val="sr-Latn-ME"/>
        </w:rPr>
        <w:t xml:space="preserve">Liječenje okrelizumabom dovodi do brze deplecije CD19+ B ćelija u krvi do 14. dana nakon liječenja (prva vremenska tačka u kojoj je sprovedena ocjena) kao očekivanog farmakološkog efekta. Taj se efekat održao tokom cijelog perioda liječenja. Za određivanje broja B ćelija koristi se CD19 jer prisutnost okrelizumaba ometa prepoznavanje CD20 u testu. </w:t>
      </w:r>
    </w:p>
    <w:p w14:paraId="2C7BCF42" w14:textId="77777777" w:rsidR="00D123D4" w:rsidRPr="00D123D4" w:rsidRDefault="00D123D4" w:rsidP="00D123D4">
      <w:pPr>
        <w:widowControl w:val="0"/>
        <w:jc w:val="both"/>
        <w:outlineLvl w:val="0"/>
        <w:rPr>
          <w:sz w:val="22"/>
          <w:szCs w:val="22"/>
          <w:lang w:val="sr-Latn-ME"/>
        </w:rPr>
      </w:pPr>
    </w:p>
    <w:p w14:paraId="24CAD385" w14:textId="77777777" w:rsidR="00D123D4" w:rsidRPr="00D123D4" w:rsidRDefault="00D123D4" w:rsidP="00D123D4">
      <w:pPr>
        <w:widowControl w:val="0"/>
        <w:jc w:val="both"/>
        <w:outlineLvl w:val="0"/>
        <w:rPr>
          <w:sz w:val="22"/>
          <w:szCs w:val="22"/>
          <w:lang w:val="sr-Latn-ME"/>
        </w:rPr>
      </w:pPr>
      <w:r w:rsidRPr="00D123D4">
        <w:rPr>
          <w:sz w:val="22"/>
          <w:szCs w:val="22"/>
          <w:lang w:val="sr-Latn-ME"/>
        </w:rPr>
        <w:t xml:space="preserve">U studijama faze III, kod do 5% pacijenata utvrđen je oporavak broja B ćelija (donje granice normale [&gt;DGN] ili početna vrijednost) u najmanje jednoj vremenskoj tački između dvije doza okrelizumaba. Opseg i trajanje deplecije B ćelija bili su dosljedni u studijama kod PPMS-a i kod RMS-a.  </w:t>
      </w:r>
    </w:p>
    <w:p w14:paraId="3945AFC4" w14:textId="77777777" w:rsidR="00D123D4" w:rsidRPr="00D123D4" w:rsidRDefault="00D123D4" w:rsidP="00D123D4">
      <w:pPr>
        <w:widowControl w:val="0"/>
        <w:jc w:val="both"/>
        <w:outlineLvl w:val="0"/>
        <w:rPr>
          <w:sz w:val="22"/>
          <w:szCs w:val="22"/>
          <w:lang w:val="sr-Latn-ME"/>
        </w:rPr>
      </w:pPr>
      <w:r w:rsidRPr="00D123D4">
        <w:rPr>
          <w:sz w:val="22"/>
          <w:szCs w:val="22"/>
          <w:lang w:val="sr-Latn-ME"/>
        </w:rPr>
        <w:t xml:space="preserve">Najduži period praćenja nakon posljednje infuzije (studija faze II WA21493, N=51) ukazuje na to da je medijana vremena do oporavka broja B ćelija (povratka na početnu vrijednost/DGN, što god je nastupilo prije) iznosila 72 nedjelje (raspon: 27-175 nedjelja). Kod 90% pacijenata zabilježen je oporavak broja B ćelija do DGN-a ili početne vrijednosti tokom perioda do približno dvije i po godine nakon posljednje infuzije. </w:t>
      </w:r>
    </w:p>
    <w:p w14:paraId="4174BA36" w14:textId="77777777" w:rsidR="00D123D4" w:rsidRPr="00D123D4" w:rsidRDefault="00D123D4" w:rsidP="00D123D4">
      <w:pPr>
        <w:widowControl w:val="0"/>
        <w:jc w:val="both"/>
        <w:outlineLvl w:val="0"/>
        <w:rPr>
          <w:sz w:val="22"/>
          <w:szCs w:val="22"/>
          <w:lang w:val="sr-Latn-ME"/>
        </w:rPr>
      </w:pPr>
    </w:p>
    <w:p w14:paraId="36187273" w14:textId="77777777" w:rsidR="00D123D4" w:rsidRPr="00D123D4" w:rsidRDefault="00D123D4" w:rsidP="00D123D4">
      <w:pPr>
        <w:widowControl w:val="0"/>
        <w:jc w:val="both"/>
        <w:rPr>
          <w:sz w:val="22"/>
          <w:szCs w:val="22"/>
          <w:u w:val="single"/>
          <w:lang w:val="sr-Latn-ME"/>
        </w:rPr>
      </w:pPr>
      <w:r w:rsidRPr="00D123D4">
        <w:rPr>
          <w:sz w:val="22"/>
          <w:szCs w:val="22"/>
          <w:u w:val="single"/>
          <w:lang w:val="sr-Latn-ME"/>
        </w:rPr>
        <w:t>Klinička efikasnost i bezbjednost</w:t>
      </w:r>
    </w:p>
    <w:p w14:paraId="62EB6E88" w14:textId="77777777" w:rsidR="00D123D4" w:rsidRPr="00D123D4" w:rsidRDefault="00D123D4" w:rsidP="00D123D4">
      <w:pPr>
        <w:widowControl w:val="0"/>
        <w:jc w:val="both"/>
        <w:rPr>
          <w:i/>
          <w:sz w:val="22"/>
          <w:szCs w:val="22"/>
          <w:lang w:val="sr-Latn-ME"/>
        </w:rPr>
      </w:pPr>
      <w:r w:rsidRPr="00D123D4">
        <w:rPr>
          <w:i/>
          <w:sz w:val="22"/>
          <w:szCs w:val="22"/>
          <w:lang w:val="sr-Latn-ME"/>
        </w:rPr>
        <w:t xml:space="preserve">Relapsirajući oblici multiple skleroze (RMS) </w:t>
      </w:r>
    </w:p>
    <w:p w14:paraId="7CFC3F8E" w14:textId="77777777" w:rsidR="00D123D4" w:rsidRPr="00D123D4" w:rsidRDefault="00D123D4" w:rsidP="00D123D4">
      <w:pPr>
        <w:widowControl w:val="0"/>
        <w:jc w:val="both"/>
        <w:rPr>
          <w:sz w:val="22"/>
          <w:szCs w:val="22"/>
          <w:lang w:val="sr-Latn-ME"/>
        </w:rPr>
      </w:pPr>
    </w:p>
    <w:p w14:paraId="741F16DB" w14:textId="77777777" w:rsidR="00D123D4" w:rsidRPr="00D123D4" w:rsidRDefault="00D123D4" w:rsidP="00D123D4">
      <w:pPr>
        <w:widowControl w:val="0"/>
        <w:jc w:val="both"/>
        <w:rPr>
          <w:sz w:val="22"/>
          <w:szCs w:val="22"/>
          <w:lang w:val="sr-Latn-ME"/>
        </w:rPr>
      </w:pPr>
      <w:r w:rsidRPr="00D123D4">
        <w:rPr>
          <w:sz w:val="22"/>
          <w:szCs w:val="22"/>
          <w:lang w:val="sr-Latn-ME"/>
        </w:rPr>
        <w:t xml:space="preserve">Efikasnost i bezbjednost okrelizumaba ocjenjivale su se u dvije randomizovane, dvostruko slijepe, dvostruko maskirane kliničke studije kontrolisane aktivnim poredbenim lijekom (WA21092 i WA21093) koje su imale identičan dizajn, a sprovedene su u pacijenata sa relapsirajućim oblicima MS-a (prema McDonaldsovim kriterijima iz 2010.) i dokazima aktivnosti bolesti (koja se definisala kliničkim znacima ili znacima/karakteristikama vidljivim u dijagnostici snimanjem) unutar prethodne dvije godine. Dizajn ispitivanja i početne karakteristike sažeto su prikazane u Tabeli 3. </w:t>
      </w:r>
    </w:p>
    <w:p w14:paraId="67BCBB87" w14:textId="77777777" w:rsidR="00D123D4" w:rsidRPr="00D123D4" w:rsidRDefault="00D123D4" w:rsidP="00D123D4">
      <w:pPr>
        <w:widowControl w:val="0"/>
        <w:jc w:val="both"/>
        <w:rPr>
          <w:sz w:val="22"/>
          <w:szCs w:val="22"/>
          <w:lang w:val="sr-Latn-ME"/>
        </w:rPr>
      </w:pPr>
    </w:p>
    <w:p w14:paraId="4E732081" w14:textId="77777777" w:rsidR="00D123D4" w:rsidRDefault="00D123D4" w:rsidP="00D123D4">
      <w:pPr>
        <w:widowControl w:val="0"/>
        <w:jc w:val="both"/>
        <w:rPr>
          <w:sz w:val="22"/>
          <w:szCs w:val="22"/>
          <w:lang w:val="sr-Latn-ME"/>
        </w:rPr>
      </w:pPr>
      <w:r w:rsidRPr="00D123D4">
        <w:rPr>
          <w:sz w:val="22"/>
          <w:szCs w:val="22"/>
          <w:lang w:val="sr-Latn-ME"/>
        </w:rPr>
        <w:t xml:space="preserve">Demografske i početne karakteristike bile su dobro ujednačene u obje liječene grupe. Pacijenti koji su primali okrelizumab (grupa A) primali su dozu od 600 mg svakih 6 mjeseci (1. doza primijenjena je u obliku 2 intravenske infuzije od 300 mg u razmaku od 2 nedjelje, a sljedeće doze primjenjivale su se kao jedna intravenska infuzija od 600 mg). Pacijenti u grupi B primali su interferon beta-1a u dozi od 44 μg subkutanom injekcijom 3 puta nedjeljno. </w:t>
      </w:r>
    </w:p>
    <w:p w14:paraId="3208B310" w14:textId="77777777" w:rsidR="00EE590E" w:rsidRDefault="00EE590E" w:rsidP="00D123D4">
      <w:pPr>
        <w:widowControl w:val="0"/>
        <w:jc w:val="both"/>
        <w:rPr>
          <w:sz w:val="22"/>
          <w:szCs w:val="22"/>
          <w:lang w:val="sr-Latn-ME"/>
        </w:rPr>
      </w:pPr>
    </w:p>
    <w:p w14:paraId="4F95CD1A" w14:textId="77777777" w:rsidR="00EE590E" w:rsidRDefault="00EE590E" w:rsidP="00D123D4">
      <w:pPr>
        <w:widowControl w:val="0"/>
        <w:jc w:val="both"/>
        <w:rPr>
          <w:sz w:val="22"/>
          <w:szCs w:val="22"/>
          <w:lang w:val="sr-Latn-ME"/>
        </w:rPr>
      </w:pPr>
    </w:p>
    <w:p w14:paraId="44139887" w14:textId="77777777" w:rsidR="00EE590E" w:rsidRDefault="00EE590E" w:rsidP="00D123D4">
      <w:pPr>
        <w:widowControl w:val="0"/>
        <w:jc w:val="both"/>
        <w:rPr>
          <w:sz w:val="22"/>
          <w:szCs w:val="22"/>
          <w:lang w:val="sr-Latn-ME"/>
        </w:rPr>
      </w:pPr>
    </w:p>
    <w:p w14:paraId="1D8E4810" w14:textId="77777777" w:rsidR="00EE590E" w:rsidRDefault="00EE590E" w:rsidP="00D123D4">
      <w:pPr>
        <w:widowControl w:val="0"/>
        <w:jc w:val="both"/>
        <w:rPr>
          <w:sz w:val="22"/>
          <w:szCs w:val="22"/>
          <w:lang w:val="sr-Latn-ME"/>
        </w:rPr>
      </w:pPr>
    </w:p>
    <w:p w14:paraId="4C81B2E7" w14:textId="77777777" w:rsidR="00EE590E" w:rsidRDefault="00EE590E" w:rsidP="00D123D4">
      <w:pPr>
        <w:widowControl w:val="0"/>
        <w:jc w:val="both"/>
        <w:rPr>
          <w:sz w:val="22"/>
          <w:szCs w:val="22"/>
          <w:lang w:val="sr-Latn-ME"/>
        </w:rPr>
      </w:pPr>
    </w:p>
    <w:p w14:paraId="5066ED94" w14:textId="77777777" w:rsidR="00EE590E" w:rsidRPr="00D123D4" w:rsidRDefault="00EE590E" w:rsidP="00D123D4">
      <w:pPr>
        <w:widowControl w:val="0"/>
        <w:jc w:val="both"/>
        <w:rPr>
          <w:sz w:val="22"/>
          <w:szCs w:val="22"/>
          <w:lang w:val="sr-Latn-ME"/>
        </w:rPr>
      </w:pPr>
    </w:p>
    <w:p w14:paraId="0031DF5A" w14:textId="77777777" w:rsidR="00DD6A9C" w:rsidRPr="00D123D4" w:rsidRDefault="00DD6A9C" w:rsidP="00D123D4">
      <w:pPr>
        <w:widowControl w:val="0"/>
        <w:jc w:val="both"/>
        <w:outlineLvl w:val="0"/>
        <w:rPr>
          <w:sz w:val="22"/>
          <w:szCs w:val="22"/>
          <w:lang w:val="sr-Latn-ME"/>
        </w:rPr>
      </w:pPr>
    </w:p>
    <w:tbl>
      <w:tblPr>
        <w:tblW w:w="9214" w:type="dxa"/>
        <w:tblInd w:w="-142" w:type="dxa"/>
        <w:tblLayout w:type="fixed"/>
        <w:tblLook w:val="0000" w:firstRow="0" w:lastRow="0" w:firstColumn="0" w:lastColumn="0" w:noHBand="0" w:noVBand="0"/>
      </w:tblPr>
      <w:tblGrid>
        <w:gridCol w:w="9214"/>
      </w:tblGrid>
      <w:tr w:rsidR="00066A0D" w:rsidRPr="00D123D4" w14:paraId="00FD1C79" w14:textId="77777777" w:rsidTr="00C36A34">
        <w:tc>
          <w:tcPr>
            <w:tcW w:w="9214" w:type="dxa"/>
            <w:vAlign w:val="center"/>
          </w:tcPr>
          <w:p w14:paraId="434674D6" w14:textId="77777777" w:rsidR="00066A0D" w:rsidRPr="00D123D4" w:rsidRDefault="00066A0D" w:rsidP="00D123D4">
            <w:pPr>
              <w:widowControl w:val="0"/>
              <w:rPr>
                <w:b/>
                <w:bCs/>
                <w:sz w:val="22"/>
                <w:szCs w:val="22"/>
                <w:lang w:val="sr-Latn-ME"/>
              </w:rPr>
            </w:pPr>
            <w:r w:rsidRPr="00D123D4">
              <w:rPr>
                <w:b/>
                <w:sz w:val="22"/>
                <w:szCs w:val="22"/>
                <w:lang w:val="sr-Latn-ME"/>
              </w:rPr>
              <w:t>Tabela  3</w:t>
            </w:r>
            <w:r w:rsidRPr="00D123D4">
              <w:rPr>
                <w:b/>
                <w:sz w:val="22"/>
                <w:szCs w:val="22"/>
                <w:lang w:val="sr-Latn-ME"/>
              </w:rPr>
              <w:tab/>
              <w:t>Dizajn studije, demografske i početne karakteristike</w:t>
            </w:r>
          </w:p>
        </w:tc>
      </w:tr>
      <w:tr w:rsidR="00066A0D" w:rsidRPr="00D123D4" w14:paraId="2151FF0F" w14:textId="77777777" w:rsidTr="00C36A34">
        <w:trPr>
          <w:trHeight w:val="1145"/>
        </w:trPr>
        <w:tc>
          <w:tcPr>
            <w:tcW w:w="9214" w:type="dxa"/>
            <w:vAlign w:val="center"/>
          </w:tcPr>
          <w:p w14:paraId="093A028F" w14:textId="77777777" w:rsidR="00066A0D" w:rsidRPr="00D123D4" w:rsidRDefault="00066A0D" w:rsidP="00D123D4">
            <w:pPr>
              <w:widowControl w:val="0"/>
              <w:jc w:val="both"/>
              <w:rPr>
                <w:sz w:val="22"/>
                <w:szCs w:val="22"/>
                <w:lang w:val="sr-Latn-ME"/>
              </w:rPr>
            </w:pPr>
          </w:p>
          <w:tbl>
            <w:tblPr>
              <w:tblW w:w="5000" w:type="pct"/>
              <w:jc w:val="center"/>
              <w:tblLayout w:type="fixed"/>
              <w:tblCellMar>
                <w:left w:w="57" w:type="dxa"/>
                <w:right w:w="57" w:type="dxa"/>
              </w:tblCellMar>
              <w:tblLook w:val="04A0" w:firstRow="1" w:lastRow="0" w:firstColumn="1" w:lastColumn="0" w:noHBand="0" w:noVBand="1"/>
            </w:tblPr>
            <w:tblGrid>
              <w:gridCol w:w="3093"/>
              <w:gridCol w:w="1621"/>
              <w:gridCol w:w="1476"/>
              <w:gridCol w:w="1399"/>
              <w:gridCol w:w="1399"/>
            </w:tblGrid>
            <w:tr w:rsidR="00066A0D" w:rsidRPr="00D123D4" w14:paraId="4F484012" w14:textId="77777777" w:rsidTr="00B656E4">
              <w:trPr>
                <w:cantSplit/>
                <w:jc w:val="center"/>
              </w:trPr>
              <w:tc>
                <w:tcPr>
                  <w:tcW w:w="1721" w:type="pct"/>
                  <w:tcBorders>
                    <w:top w:val="single" w:sz="4" w:space="0" w:color="auto"/>
                    <w:left w:val="single" w:sz="4" w:space="0" w:color="auto"/>
                    <w:bottom w:val="single" w:sz="4" w:space="0" w:color="auto"/>
                    <w:right w:val="single" w:sz="4" w:space="0" w:color="auto"/>
                  </w:tcBorders>
                  <w:vAlign w:val="bottom"/>
                </w:tcPr>
                <w:p w14:paraId="1180EF0F" w14:textId="77777777" w:rsidR="00066A0D" w:rsidRPr="00D123D4" w:rsidRDefault="00066A0D" w:rsidP="00D123D4">
                  <w:pPr>
                    <w:widowControl w:val="0"/>
                    <w:spacing w:line="240" w:lineRule="exact"/>
                    <w:rPr>
                      <w:rFonts w:eastAsiaTheme="minorHAnsi"/>
                      <w:sz w:val="22"/>
                      <w:szCs w:val="22"/>
                      <w:lang w:val="sr-Latn-ME"/>
                    </w:rPr>
                  </w:pPr>
                </w:p>
              </w:tc>
              <w:tc>
                <w:tcPr>
                  <w:tcW w:w="1723" w:type="pct"/>
                  <w:gridSpan w:val="2"/>
                  <w:tcBorders>
                    <w:top w:val="single" w:sz="4" w:space="0" w:color="auto"/>
                    <w:left w:val="single" w:sz="4" w:space="0" w:color="auto"/>
                    <w:bottom w:val="single" w:sz="4" w:space="0" w:color="auto"/>
                    <w:right w:val="single" w:sz="4" w:space="0" w:color="auto"/>
                  </w:tcBorders>
                  <w:vAlign w:val="bottom"/>
                </w:tcPr>
                <w:p w14:paraId="1A5FDFE4" w14:textId="77777777" w:rsidR="00066A0D" w:rsidRPr="00D123D4" w:rsidRDefault="00066A0D" w:rsidP="00D123D4">
                  <w:pPr>
                    <w:widowControl w:val="0"/>
                    <w:spacing w:line="259" w:lineRule="auto"/>
                    <w:jc w:val="center"/>
                    <w:rPr>
                      <w:rFonts w:eastAsiaTheme="minorHAnsi"/>
                      <w:b/>
                      <w:sz w:val="22"/>
                      <w:szCs w:val="22"/>
                      <w:lang w:val="sr-Latn-ME"/>
                    </w:rPr>
                  </w:pPr>
                  <w:r w:rsidRPr="00D123D4">
                    <w:rPr>
                      <w:rFonts w:eastAsiaTheme="minorHAnsi"/>
                      <w:b/>
                      <w:sz w:val="22"/>
                      <w:szCs w:val="22"/>
                      <w:lang w:val="sr-Latn-ME"/>
                    </w:rPr>
                    <w:t>1. studija</w:t>
                  </w:r>
                </w:p>
              </w:tc>
              <w:tc>
                <w:tcPr>
                  <w:tcW w:w="1556" w:type="pct"/>
                  <w:gridSpan w:val="2"/>
                  <w:tcBorders>
                    <w:top w:val="single" w:sz="4" w:space="0" w:color="auto"/>
                    <w:left w:val="single" w:sz="4" w:space="0" w:color="auto"/>
                    <w:bottom w:val="single" w:sz="4" w:space="0" w:color="auto"/>
                    <w:right w:val="single" w:sz="4" w:space="0" w:color="auto"/>
                  </w:tcBorders>
                  <w:vAlign w:val="bottom"/>
                </w:tcPr>
                <w:p w14:paraId="6B1CE9F5" w14:textId="77777777" w:rsidR="00066A0D" w:rsidRPr="00D123D4" w:rsidRDefault="00066A0D" w:rsidP="00D123D4">
                  <w:pPr>
                    <w:widowControl w:val="0"/>
                    <w:spacing w:line="240" w:lineRule="exact"/>
                    <w:jc w:val="center"/>
                    <w:rPr>
                      <w:rFonts w:eastAsiaTheme="minorHAnsi"/>
                      <w:b/>
                      <w:sz w:val="22"/>
                      <w:szCs w:val="22"/>
                      <w:lang w:val="sr-Latn-ME"/>
                    </w:rPr>
                  </w:pPr>
                  <w:r w:rsidRPr="00D123D4">
                    <w:rPr>
                      <w:rFonts w:eastAsiaTheme="minorHAnsi"/>
                      <w:b/>
                      <w:sz w:val="22"/>
                      <w:szCs w:val="22"/>
                      <w:lang w:val="sr-Latn-ME"/>
                    </w:rPr>
                    <w:t>2. studija</w:t>
                  </w:r>
                </w:p>
              </w:tc>
            </w:tr>
            <w:tr w:rsidR="00066A0D" w:rsidRPr="00D123D4" w14:paraId="59678663" w14:textId="77777777" w:rsidTr="00B656E4">
              <w:trPr>
                <w:cantSplit/>
                <w:jc w:val="center"/>
              </w:trPr>
              <w:tc>
                <w:tcPr>
                  <w:tcW w:w="1721" w:type="pct"/>
                  <w:tcBorders>
                    <w:top w:val="single" w:sz="4" w:space="0" w:color="auto"/>
                    <w:left w:val="single" w:sz="4" w:space="0" w:color="auto"/>
                    <w:bottom w:val="single" w:sz="4" w:space="0" w:color="auto"/>
                    <w:right w:val="single" w:sz="4" w:space="0" w:color="auto"/>
                  </w:tcBorders>
                </w:tcPr>
                <w:p w14:paraId="21CECF87" w14:textId="77777777" w:rsidR="00066A0D" w:rsidRPr="00D123D4" w:rsidRDefault="00066A0D" w:rsidP="00D123D4">
                  <w:pPr>
                    <w:widowControl w:val="0"/>
                    <w:rPr>
                      <w:b/>
                      <w:sz w:val="22"/>
                      <w:szCs w:val="22"/>
                      <w:lang w:val="sr-Latn-ME"/>
                    </w:rPr>
                  </w:pPr>
                  <w:r w:rsidRPr="00D123D4">
                    <w:rPr>
                      <w:b/>
                      <w:sz w:val="22"/>
                      <w:szCs w:val="22"/>
                      <w:lang w:val="sr-Latn-ME"/>
                    </w:rPr>
                    <w:t>Naziv studije</w:t>
                  </w:r>
                </w:p>
              </w:tc>
              <w:tc>
                <w:tcPr>
                  <w:tcW w:w="1723" w:type="pct"/>
                  <w:gridSpan w:val="2"/>
                  <w:tcBorders>
                    <w:top w:val="single" w:sz="4" w:space="0" w:color="auto"/>
                    <w:left w:val="single" w:sz="4" w:space="0" w:color="auto"/>
                    <w:bottom w:val="single" w:sz="4" w:space="0" w:color="auto"/>
                    <w:right w:val="single" w:sz="4" w:space="0" w:color="auto"/>
                  </w:tcBorders>
                </w:tcPr>
                <w:p w14:paraId="15FC317B" w14:textId="77777777" w:rsidR="00066A0D" w:rsidRPr="00D123D4" w:rsidRDefault="00066A0D" w:rsidP="00D123D4">
                  <w:pPr>
                    <w:widowControl w:val="0"/>
                    <w:jc w:val="center"/>
                    <w:rPr>
                      <w:b/>
                      <w:sz w:val="22"/>
                      <w:szCs w:val="22"/>
                      <w:lang w:val="sr-Latn-ME"/>
                    </w:rPr>
                  </w:pPr>
                  <w:r w:rsidRPr="00D123D4">
                    <w:rPr>
                      <w:b/>
                      <w:sz w:val="22"/>
                      <w:szCs w:val="22"/>
                      <w:lang w:val="sr-Latn-ME"/>
                    </w:rPr>
                    <w:t xml:space="preserve">WA21092 (OPERA I) </w:t>
                  </w:r>
                </w:p>
                <w:p w14:paraId="07030172" w14:textId="77777777" w:rsidR="00066A0D" w:rsidRPr="00D123D4" w:rsidRDefault="00066A0D" w:rsidP="00D123D4">
                  <w:pPr>
                    <w:widowControl w:val="0"/>
                    <w:jc w:val="center"/>
                    <w:rPr>
                      <w:b/>
                      <w:sz w:val="22"/>
                      <w:szCs w:val="22"/>
                      <w:lang w:val="sr-Latn-ME"/>
                    </w:rPr>
                  </w:pPr>
                  <w:r w:rsidRPr="00D123D4">
                    <w:rPr>
                      <w:b/>
                      <w:sz w:val="22"/>
                      <w:szCs w:val="22"/>
                      <w:lang w:val="sr-Latn-ME"/>
                    </w:rPr>
                    <w:t>(n=821)</w:t>
                  </w:r>
                </w:p>
              </w:tc>
              <w:tc>
                <w:tcPr>
                  <w:tcW w:w="1556" w:type="pct"/>
                  <w:gridSpan w:val="2"/>
                  <w:tcBorders>
                    <w:top w:val="single" w:sz="4" w:space="0" w:color="auto"/>
                    <w:left w:val="single" w:sz="4" w:space="0" w:color="auto"/>
                    <w:bottom w:val="single" w:sz="4" w:space="0" w:color="auto"/>
                    <w:right w:val="single" w:sz="4" w:space="0" w:color="auto"/>
                  </w:tcBorders>
                </w:tcPr>
                <w:p w14:paraId="195B2A03" w14:textId="77777777" w:rsidR="00066A0D" w:rsidRPr="00D123D4" w:rsidRDefault="00066A0D" w:rsidP="00D123D4">
                  <w:pPr>
                    <w:widowControl w:val="0"/>
                    <w:jc w:val="center"/>
                    <w:rPr>
                      <w:b/>
                      <w:sz w:val="22"/>
                      <w:szCs w:val="22"/>
                      <w:lang w:val="sr-Latn-ME"/>
                    </w:rPr>
                  </w:pPr>
                  <w:r w:rsidRPr="00D123D4">
                    <w:rPr>
                      <w:b/>
                      <w:sz w:val="22"/>
                      <w:szCs w:val="22"/>
                      <w:lang w:val="sr-Latn-ME"/>
                    </w:rPr>
                    <w:t>WA21093 (OPERA II) (n=835)</w:t>
                  </w:r>
                </w:p>
              </w:tc>
            </w:tr>
            <w:tr w:rsidR="00066A0D" w:rsidRPr="00D123D4" w14:paraId="2AE05435" w14:textId="77777777" w:rsidTr="00B656E4">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39B60E0" w14:textId="77777777" w:rsidR="00066A0D" w:rsidRPr="00D123D4" w:rsidRDefault="00066A0D" w:rsidP="00D123D4">
                  <w:pPr>
                    <w:widowControl w:val="0"/>
                    <w:jc w:val="center"/>
                    <w:rPr>
                      <w:b/>
                      <w:sz w:val="22"/>
                      <w:szCs w:val="22"/>
                      <w:lang w:val="sr-Latn-ME"/>
                    </w:rPr>
                  </w:pPr>
                  <w:r w:rsidRPr="00D123D4">
                    <w:rPr>
                      <w:b/>
                      <w:sz w:val="22"/>
                      <w:szCs w:val="22"/>
                      <w:lang w:val="sr-Latn-ME"/>
                    </w:rPr>
                    <w:t>Dizajn studije</w:t>
                  </w:r>
                </w:p>
              </w:tc>
            </w:tr>
            <w:tr w:rsidR="00066A0D" w:rsidRPr="00D123D4" w14:paraId="73B2AE0B" w14:textId="77777777" w:rsidTr="00B656E4">
              <w:trPr>
                <w:cantSplit/>
                <w:jc w:val="center"/>
              </w:trPr>
              <w:tc>
                <w:tcPr>
                  <w:tcW w:w="1721" w:type="pct"/>
                  <w:tcBorders>
                    <w:top w:val="single" w:sz="4" w:space="0" w:color="auto"/>
                    <w:left w:val="single" w:sz="4" w:space="0" w:color="auto"/>
                    <w:bottom w:val="single" w:sz="4" w:space="0" w:color="auto"/>
                    <w:right w:val="single" w:sz="4" w:space="0" w:color="auto"/>
                  </w:tcBorders>
                </w:tcPr>
                <w:p w14:paraId="7B0B3F34" w14:textId="77777777" w:rsidR="00066A0D" w:rsidRPr="00D123D4" w:rsidRDefault="00066A0D" w:rsidP="00D123D4">
                  <w:pPr>
                    <w:widowControl w:val="0"/>
                    <w:spacing w:line="240" w:lineRule="exact"/>
                    <w:rPr>
                      <w:sz w:val="22"/>
                      <w:szCs w:val="22"/>
                      <w:lang w:val="sr-Latn-ME"/>
                    </w:rPr>
                  </w:pPr>
                  <w:r w:rsidRPr="00D123D4">
                    <w:rPr>
                      <w:sz w:val="22"/>
                      <w:szCs w:val="22"/>
                      <w:lang w:val="sr-Latn-ME"/>
                    </w:rPr>
                    <w:t>Ispitivana populacija</w:t>
                  </w:r>
                </w:p>
              </w:tc>
              <w:tc>
                <w:tcPr>
                  <w:tcW w:w="3279" w:type="pct"/>
                  <w:gridSpan w:val="4"/>
                  <w:tcBorders>
                    <w:top w:val="single" w:sz="4" w:space="0" w:color="auto"/>
                    <w:left w:val="single" w:sz="4" w:space="0" w:color="auto"/>
                    <w:bottom w:val="single" w:sz="4" w:space="0" w:color="auto"/>
                    <w:right w:val="single" w:sz="4" w:space="0" w:color="auto"/>
                  </w:tcBorders>
                </w:tcPr>
                <w:p w14:paraId="7984B8CE"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Pacijenti sa relapsirajućim oblicima MS</w:t>
                  </w:r>
                  <w:r w:rsidRPr="00D123D4">
                    <w:rPr>
                      <w:sz w:val="22"/>
                      <w:szCs w:val="22"/>
                      <w:lang w:val="sr-Latn-ME"/>
                    </w:rPr>
                    <w:noBreakHyphen/>
                    <w:t>a</w:t>
                  </w:r>
                </w:p>
              </w:tc>
            </w:tr>
            <w:tr w:rsidR="00066A0D" w:rsidRPr="00D123D4" w14:paraId="6F6C5039" w14:textId="77777777" w:rsidTr="00B656E4">
              <w:trPr>
                <w:cantSplit/>
                <w:jc w:val="center"/>
              </w:trPr>
              <w:tc>
                <w:tcPr>
                  <w:tcW w:w="1721" w:type="pct"/>
                  <w:tcBorders>
                    <w:top w:val="single" w:sz="4" w:space="0" w:color="auto"/>
                    <w:left w:val="single" w:sz="4" w:space="0" w:color="auto"/>
                    <w:bottom w:val="single" w:sz="4" w:space="0" w:color="auto"/>
                    <w:right w:val="single" w:sz="4" w:space="0" w:color="auto"/>
                  </w:tcBorders>
                </w:tcPr>
                <w:p w14:paraId="28CBDBE7" w14:textId="77777777" w:rsidR="00066A0D" w:rsidRPr="00D123D4" w:rsidRDefault="00066A0D" w:rsidP="00D123D4">
                  <w:pPr>
                    <w:widowControl w:val="0"/>
                    <w:spacing w:line="240" w:lineRule="exact"/>
                    <w:rPr>
                      <w:sz w:val="22"/>
                      <w:szCs w:val="22"/>
                      <w:lang w:val="sr-Latn-ME"/>
                    </w:rPr>
                  </w:pPr>
                  <w:r w:rsidRPr="00D123D4">
                    <w:rPr>
                      <w:sz w:val="22"/>
                      <w:szCs w:val="22"/>
                      <w:lang w:val="sr-Latn-ME"/>
                    </w:rPr>
                    <w:t>Anamneza pri skriningu</w:t>
                  </w:r>
                </w:p>
              </w:tc>
              <w:tc>
                <w:tcPr>
                  <w:tcW w:w="3279" w:type="pct"/>
                  <w:gridSpan w:val="4"/>
                  <w:tcBorders>
                    <w:top w:val="single" w:sz="4" w:space="0" w:color="auto"/>
                    <w:left w:val="single" w:sz="4" w:space="0" w:color="auto"/>
                    <w:bottom w:val="single" w:sz="4" w:space="0" w:color="auto"/>
                    <w:right w:val="single" w:sz="4" w:space="0" w:color="auto"/>
                  </w:tcBorders>
                </w:tcPr>
                <w:p w14:paraId="2FBFE2CB"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Najmanje dva relapsa unutar prethodne dvije godine ili jedan relaps unutar prethodnih godinu dana; EDSS* između 0 i 5,5 (uključujući te vrijednosti)</w:t>
                  </w:r>
                </w:p>
              </w:tc>
            </w:tr>
            <w:tr w:rsidR="00066A0D" w:rsidRPr="00D123D4" w14:paraId="5A80EFD5" w14:textId="77777777" w:rsidTr="00B656E4">
              <w:trPr>
                <w:cantSplit/>
                <w:jc w:val="center"/>
              </w:trPr>
              <w:tc>
                <w:tcPr>
                  <w:tcW w:w="1721" w:type="pct"/>
                  <w:tcBorders>
                    <w:top w:val="single" w:sz="4" w:space="0" w:color="auto"/>
                    <w:left w:val="single" w:sz="4" w:space="0" w:color="auto"/>
                    <w:bottom w:val="single" w:sz="4" w:space="0" w:color="auto"/>
                    <w:right w:val="single" w:sz="4" w:space="0" w:color="auto"/>
                  </w:tcBorders>
                </w:tcPr>
                <w:p w14:paraId="294E89AD" w14:textId="77777777" w:rsidR="00066A0D" w:rsidRPr="00D123D4" w:rsidRDefault="00066A0D" w:rsidP="00D123D4">
                  <w:pPr>
                    <w:widowControl w:val="0"/>
                    <w:spacing w:line="240" w:lineRule="exact"/>
                    <w:rPr>
                      <w:sz w:val="22"/>
                      <w:szCs w:val="22"/>
                      <w:lang w:val="sr-Latn-ME"/>
                    </w:rPr>
                  </w:pPr>
                  <w:r w:rsidRPr="00D123D4">
                    <w:rPr>
                      <w:sz w:val="22"/>
                      <w:szCs w:val="22"/>
                      <w:lang w:val="sr-Latn-ME"/>
                    </w:rPr>
                    <w:t>Trajanje studije</w:t>
                  </w:r>
                </w:p>
              </w:tc>
              <w:tc>
                <w:tcPr>
                  <w:tcW w:w="3279" w:type="pct"/>
                  <w:gridSpan w:val="4"/>
                  <w:tcBorders>
                    <w:top w:val="single" w:sz="4" w:space="0" w:color="auto"/>
                    <w:left w:val="single" w:sz="4" w:space="0" w:color="auto"/>
                    <w:bottom w:val="single" w:sz="4" w:space="0" w:color="auto"/>
                    <w:right w:val="single" w:sz="4" w:space="0" w:color="auto"/>
                  </w:tcBorders>
                </w:tcPr>
                <w:p w14:paraId="45048C23"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 xml:space="preserve">2 godine </w:t>
                  </w:r>
                </w:p>
              </w:tc>
            </w:tr>
            <w:tr w:rsidR="00066A0D" w:rsidRPr="00D123D4" w14:paraId="6D2C1861" w14:textId="77777777" w:rsidTr="00B656E4">
              <w:trPr>
                <w:cantSplit/>
                <w:jc w:val="center"/>
              </w:trPr>
              <w:tc>
                <w:tcPr>
                  <w:tcW w:w="1721" w:type="pct"/>
                  <w:tcBorders>
                    <w:top w:val="single" w:sz="4" w:space="0" w:color="auto"/>
                    <w:left w:val="single" w:sz="4" w:space="0" w:color="auto"/>
                    <w:bottom w:val="single" w:sz="4" w:space="0" w:color="auto"/>
                    <w:right w:val="single" w:sz="4" w:space="0" w:color="auto"/>
                  </w:tcBorders>
                </w:tcPr>
                <w:p w14:paraId="1F7DA568" w14:textId="77777777" w:rsidR="00066A0D" w:rsidRPr="00D123D4" w:rsidRDefault="00066A0D" w:rsidP="00D123D4">
                  <w:pPr>
                    <w:widowControl w:val="0"/>
                    <w:spacing w:line="240" w:lineRule="exact"/>
                    <w:rPr>
                      <w:sz w:val="22"/>
                      <w:szCs w:val="22"/>
                      <w:lang w:val="sr-Latn-ME"/>
                    </w:rPr>
                  </w:pPr>
                  <w:r w:rsidRPr="00D123D4">
                    <w:rPr>
                      <w:sz w:val="22"/>
                      <w:szCs w:val="22"/>
                      <w:lang w:val="sr-Latn-ME"/>
                    </w:rPr>
                    <w:t>Liječene grupe</w:t>
                  </w:r>
                </w:p>
              </w:tc>
              <w:tc>
                <w:tcPr>
                  <w:tcW w:w="3279" w:type="pct"/>
                  <w:gridSpan w:val="4"/>
                  <w:tcBorders>
                    <w:top w:val="single" w:sz="4" w:space="0" w:color="auto"/>
                    <w:left w:val="single" w:sz="4" w:space="0" w:color="auto"/>
                    <w:bottom w:val="single" w:sz="4" w:space="0" w:color="auto"/>
                    <w:right w:val="single" w:sz="4" w:space="0" w:color="auto"/>
                  </w:tcBorders>
                </w:tcPr>
                <w:p w14:paraId="323F5741" w14:textId="19FB07EC" w:rsidR="00066A0D" w:rsidRPr="00D123D4" w:rsidRDefault="00066A0D" w:rsidP="00D123D4">
                  <w:pPr>
                    <w:widowControl w:val="0"/>
                    <w:spacing w:line="240" w:lineRule="exact"/>
                    <w:jc w:val="center"/>
                    <w:rPr>
                      <w:sz w:val="22"/>
                      <w:szCs w:val="22"/>
                      <w:lang w:val="sr-Latn-ME"/>
                    </w:rPr>
                  </w:pPr>
                  <w:r w:rsidRPr="00D123D4">
                    <w:rPr>
                      <w:sz w:val="22"/>
                      <w:szCs w:val="22"/>
                      <w:lang w:val="sr-Latn-ME"/>
                    </w:rPr>
                    <w:t xml:space="preserve">Grupa A: </w:t>
                  </w:r>
                  <w:r w:rsidR="00EE13AF" w:rsidRPr="00D123D4">
                    <w:rPr>
                      <w:sz w:val="22"/>
                      <w:szCs w:val="22"/>
                      <w:lang w:val="sr-Latn-ME"/>
                    </w:rPr>
                    <w:t xml:space="preserve">okrelizumab </w:t>
                  </w:r>
                  <w:r w:rsidRPr="00D123D4">
                    <w:rPr>
                      <w:sz w:val="22"/>
                      <w:szCs w:val="22"/>
                      <w:lang w:val="sr-Latn-ME"/>
                    </w:rPr>
                    <w:t>600 mg</w:t>
                  </w:r>
                </w:p>
                <w:p w14:paraId="43033599"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Grupa B: interferon beta</w:t>
                  </w:r>
                  <w:r w:rsidRPr="00D123D4">
                    <w:rPr>
                      <w:sz w:val="22"/>
                      <w:szCs w:val="22"/>
                      <w:lang w:val="sr-Latn-ME"/>
                    </w:rPr>
                    <w:noBreakHyphen/>
                    <w:t>1a 44 µg s.c. (IFN)</w:t>
                  </w:r>
                </w:p>
              </w:tc>
            </w:tr>
            <w:tr w:rsidR="00066A0D" w:rsidRPr="00D123D4" w14:paraId="6A356BE8" w14:textId="77777777" w:rsidTr="00B656E4">
              <w:trPr>
                <w:cantSplit/>
                <w:jc w:val="center"/>
              </w:trPr>
              <w:tc>
                <w:tcPr>
                  <w:tcW w:w="1721" w:type="pct"/>
                  <w:tcBorders>
                    <w:top w:val="single" w:sz="4" w:space="0" w:color="auto"/>
                    <w:left w:val="single" w:sz="4" w:space="0" w:color="auto"/>
                    <w:bottom w:val="single" w:sz="4" w:space="0" w:color="auto"/>
                    <w:right w:val="single" w:sz="4" w:space="0" w:color="auto"/>
                  </w:tcBorders>
                </w:tcPr>
                <w:p w14:paraId="4FB02D5C" w14:textId="77777777" w:rsidR="00066A0D" w:rsidRPr="00D123D4" w:rsidRDefault="00066A0D" w:rsidP="00D123D4">
                  <w:pPr>
                    <w:widowControl w:val="0"/>
                    <w:spacing w:line="240" w:lineRule="exact"/>
                    <w:rPr>
                      <w:b/>
                      <w:sz w:val="22"/>
                      <w:szCs w:val="22"/>
                      <w:lang w:val="sr-Latn-ME"/>
                    </w:rPr>
                  </w:pPr>
                  <w:r w:rsidRPr="00D123D4">
                    <w:rPr>
                      <w:b/>
                      <w:sz w:val="22"/>
                      <w:szCs w:val="22"/>
                      <w:lang w:val="sr-Latn-ME"/>
                    </w:rPr>
                    <w:t>Početne karakteristike</w:t>
                  </w:r>
                </w:p>
              </w:tc>
              <w:tc>
                <w:tcPr>
                  <w:tcW w:w="902" w:type="pct"/>
                  <w:tcBorders>
                    <w:top w:val="single" w:sz="4" w:space="0" w:color="auto"/>
                    <w:left w:val="single" w:sz="4" w:space="0" w:color="auto"/>
                    <w:bottom w:val="single" w:sz="4" w:space="0" w:color="auto"/>
                    <w:right w:val="single" w:sz="4" w:space="0" w:color="auto"/>
                  </w:tcBorders>
                </w:tcPr>
                <w:p w14:paraId="34C90075" w14:textId="4E6BA2A7" w:rsidR="00066A0D" w:rsidRPr="00D123D4" w:rsidRDefault="00EE13AF" w:rsidP="00D123D4">
                  <w:pPr>
                    <w:widowControl w:val="0"/>
                    <w:spacing w:line="240" w:lineRule="exact"/>
                    <w:jc w:val="center"/>
                    <w:rPr>
                      <w:sz w:val="22"/>
                      <w:szCs w:val="22"/>
                      <w:lang w:val="sr-Latn-ME"/>
                    </w:rPr>
                  </w:pPr>
                  <w:r w:rsidRPr="00D123D4">
                    <w:rPr>
                      <w:sz w:val="22"/>
                      <w:szCs w:val="22"/>
                      <w:lang w:val="sr-Latn-ME"/>
                    </w:rPr>
                    <w:t>okrelizumab</w:t>
                  </w:r>
                </w:p>
                <w:p w14:paraId="1E2360C6"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600 mg (n=410)</w:t>
                  </w:r>
                </w:p>
              </w:tc>
              <w:tc>
                <w:tcPr>
                  <w:tcW w:w="821" w:type="pct"/>
                  <w:tcBorders>
                    <w:top w:val="single" w:sz="4" w:space="0" w:color="auto"/>
                    <w:left w:val="single" w:sz="4" w:space="0" w:color="auto"/>
                    <w:bottom w:val="single" w:sz="4" w:space="0" w:color="auto"/>
                    <w:right w:val="single" w:sz="4" w:space="0" w:color="auto"/>
                  </w:tcBorders>
                </w:tcPr>
                <w:p w14:paraId="4E443E5B" w14:textId="77777777" w:rsidR="00066A0D" w:rsidRPr="00D123D4" w:rsidRDefault="00066A0D" w:rsidP="00D123D4">
                  <w:pPr>
                    <w:widowControl w:val="0"/>
                    <w:spacing w:line="259" w:lineRule="auto"/>
                    <w:jc w:val="center"/>
                    <w:rPr>
                      <w:sz w:val="22"/>
                      <w:szCs w:val="22"/>
                      <w:lang w:val="sr-Latn-ME"/>
                    </w:rPr>
                  </w:pPr>
                  <w:r w:rsidRPr="00D123D4">
                    <w:rPr>
                      <w:sz w:val="22"/>
                      <w:szCs w:val="22"/>
                      <w:lang w:val="sr-Latn-ME"/>
                    </w:rPr>
                    <w:t xml:space="preserve">IFN </w:t>
                  </w:r>
                </w:p>
                <w:p w14:paraId="2B190C44" w14:textId="77777777" w:rsidR="00066A0D" w:rsidRPr="00D123D4" w:rsidRDefault="00066A0D" w:rsidP="00D123D4">
                  <w:pPr>
                    <w:widowControl w:val="0"/>
                    <w:spacing w:line="259" w:lineRule="auto"/>
                    <w:jc w:val="center"/>
                    <w:rPr>
                      <w:sz w:val="22"/>
                      <w:szCs w:val="22"/>
                      <w:lang w:val="sr-Latn-ME"/>
                    </w:rPr>
                  </w:pPr>
                  <w:r w:rsidRPr="00D123D4">
                    <w:rPr>
                      <w:sz w:val="22"/>
                      <w:szCs w:val="22"/>
                      <w:lang w:val="sr-Latn-ME"/>
                    </w:rPr>
                    <w:t>44 µg</w:t>
                  </w:r>
                </w:p>
                <w:p w14:paraId="7AF8530F"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(n=411)</w:t>
                  </w:r>
                </w:p>
              </w:tc>
              <w:tc>
                <w:tcPr>
                  <w:tcW w:w="778" w:type="pct"/>
                  <w:tcBorders>
                    <w:top w:val="single" w:sz="4" w:space="0" w:color="auto"/>
                    <w:left w:val="single" w:sz="4" w:space="0" w:color="auto"/>
                    <w:bottom w:val="single" w:sz="4" w:space="0" w:color="auto"/>
                    <w:right w:val="single" w:sz="4" w:space="0" w:color="auto"/>
                  </w:tcBorders>
                </w:tcPr>
                <w:p w14:paraId="239755CB" w14:textId="124BCA2C" w:rsidR="00066A0D" w:rsidRPr="00D123D4" w:rsidRDefault="00EE13AF" w:rsidP="00D123D4">
                  <w:pPr>
                    <w:widowControl w:val="0"/>
                    <w:spacing w:line="240" w:lineRule="exact"/>
                    <w:jc w:val="center"/>
                    <w:rPr>
                      <w:sz w:val="22"/>
                      <w:szCs w:val="22"/>
                      <w:lang w:val="sr-Latn-ME"/>
                    </w:rPr>
                  </w:pPr>
                  <w:r w:rsidRPr="00D123D4">
                    <w:rPr>
                      <w:sz w:val="22"/>
                      <w:szCs w:val="22"/>
                      <w:lang w:val="sr-Latn-ME"/>
                    </w:rPr>
                    <w:t>okrelizumab</w:t>
                  </w:r>
                </w:p>
                <w:p w14:paraId="7FC32396"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 xml:space="preserve">600 mg </w:t>
                  </w:r>
                </w:p>
                <w:p w14:paraId="7C391F55"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 xml:space="preserve"> (n=417)</w:t>
                  </w:r>
                </w:p>
              </w:tc>
              <w:tc>
                <w:tcPr>
                  <w:tcW w:w="778" w:type="pct"/>
                  <w:tcBorders>
                    <w:top w:val="single" w:sz="4" w:space="0" w:color="auto"/>
                    <w:left w:val="single" w:sz="4" w:space="0" w:color="auto"/>
                    <w:bottom w:val="single" w:sz="4" w:space="0" w:color="auto"/>
                    <w:right w:val="single" w:sz="4" w:space="0" w:color="auto"/>
                  </w:tcBorders>
                </w:tcPr>
                <w:p w14:paraId="36740B2C" w14:textId="77777777" w:rsidR="00066A0D" w:rsidRPr="00D123D4" w:rsidRDefault="00066A0D" w:rsidP="00D123D4">
                  <w:pPr>
                    <w:widowControl w:val="0"/>
                    <w:spacing w:line="259" w:lineRule="auto"/>
                    <w:jc w:val="center"/>
                    <w:rPr>
                      <w:sz w:val="22"/>
                      <w:szCs w:val="22"/>
                      <w:lang w:val="sr-Latn-ME"/>
                    </w:rPr>
                  </w:pPr>
                  <w:r w:rsidRPr="00D123D4">
                    <w:rPr>
                      <w:sz w:val="22"/>
                      <w:szCs w:val="22"/>
                      <w:lang w:val="sr-Latn-ME"/>
                    </w:rPr>
                    <w:t xml:space="preserve">IFN </w:t>
                  </w:r>
                </w:p>
                <w:p w14:paraId="1CDD643D" w14:textId="77777777" w:rsidR="00066A0D" w:rsidRPr="00D123D4" w:rsidRDefault="00066A0D" w:rsidP="00D123D4">
                  <w:pPr>
                    <w:widowControl w:val="0"/>
                    <w:spacing w:line="259" w:lineRule="auto"/>
                    <w:jc w:val="center"/>
                    <w:rPr>
                      <w:sz w:val="22"/>
                      <w:szCs w:val="22"/>
                      <w:lang w:val="sr-Latn-ME"/>
                    </w:rPr>
                  </w:pPr>
                  <w:r w:rsidRPr="00D123D4">
                    <w:rPr>
                      <w:sz w:val="22"/>
                      <w:szCs w:val="22"/>
                      <w:lang w:val="sr-Latn-ME"/>
                    </w:rPr>
                    <w:t>44 µg</w:t>
                  </w:r>
                </w:p>
                <w:p w14:paraId="745B360C"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(n=418)</w:t>
                  </w:r>
                </w:p>
              </w:tc>
            </w:tr>
            <w:tr w:rsidR="00066A0D" w:rsidRPr="00D123D4" w14:paraId="7E4B35FE" w14:textId="77777777" w:rsidTr="00B656E4">
              <w:trPr>
                <w:cantSplit/>
                <w:jc w:val="center"/>
              </w:trPr>
              <w:tc>
                <w:tcPr>
                  <w:tcW w:w="1721" w:type="pct"/>
                  <w:tcBorders>
                    <w:top w:val="single" w:sz="4" w:space="0" w:color="auto"/>
                    <w:left w:val="single" w:sz="4" w:space="0" w:color="auto"/>
                    <w:bottom w:val="single" w:sz="4" w:space="0" w:color="auto"/>
                    <w:right w:val="single" w:sz="4" w:space="0" w:color="auto"/>
                  </w:tcBorders>
                </w:tcPr>
                <w:p w14:paraId="1E79A5BC" w14:textId="77777777" w:rsidR="00066A0D" w:rsidRPr="00D123D4" w:rsidRDefault="00066A0D" w:rsidP="00D123D4">
                  <w:pPr>
                    <w:widowControl w:val="0"/>
                    <w:spacing w:line="240" w:lineRule="exact"/>
                    <w:rPr>
                      <w:sz w:val="22"/>
                      <w:szCs w:val="22"/>
                      <w:lang w:val="sr-Latn-ME"/>
                    </w:rPr>
                  </w:pPr>
                  <w:r w:rsidRPr="00D123D4">
                    <w:rPr>
                      <w:sz w:val="22"/>
                      <w:szCs w:val="22"/>
                      <w:lang w:val="sr-Latn-ME"/>
                    </w:rPr>
                    <w:t>Srednja vrijednost uzrasta (godine)</w:t>
                  </w:r>
                </w:p>
              </w:tc>
              <w:tc>
                <w:tcPr>
                  <w:tcW w:w="902" w:type="pct"/>
                  <w:tcBorders>
                    <w:top w:val="single" w:sz="4" w:space="0" w:color="auto"/>
                    <w:left w:val="single" w:sz="4" w:space="0" w:color="auto"/>
                    <w:bottom w:val="single" w:sz="4" w:space="0" w:color="auto"/>
                    <w:right w:val="single" w:sz="4" w:space="0" w:color="auto"/>
                  </w:tcBorders>
                </w:tcPr>
                <w:p w14:paraId="3BD7D9D7"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37,1</w:t>
                  </w:r>
                </w:p>
              </w:tc>
              <w:tc>
                <w:tcPr>
                  <w:tcW w:w="821" w:type="pct"/>
                  <w:tcBorders>
                    <w:top w:val="single" w:sz="4" w:space="0" w:color="auto"/>
                    <w:left w:val="single" w:sz="4" w:space="0" w:color="auto"/>
                    <w:bottom w:val="single" w:sz="4" w:space="0" w:color="auto"/>
                    <w:right w:val="single" w:sz="4" w:space="0" w:color="auto"/>
                  </w:tcBorders>
                </w:tcPr>
                <w:p w14:paraId="62CCDDF4"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36,9</w:t>
                  </w:r>
                </w:p>
              </w:tc>
              <w:tc>
                <w:tcPr>
                  <w:tcW w:w="778" w:type="pct"/>
                  <w:tcBorders>
                    <w:top w:val="single" w:sz="4" w:space="0" w:color="auto"/>
                    <w:left w:val="single" w:sz="4" w:space="0" w:color="auto"/>
                    <w:bottom w:val="single" w:sz="4" w:space="0" w:color="auto"/>
                    <w:right w:val="single" w:sz="4" w:space="0" w:color="auto"/>
                  </w:tcBorders>
                </w:tcPr>
                <w:p w14:paraId="686BB31A"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37,2</w:t>
                  </w:r>
                </w:p>
              </w:tc>
              <w:tc>
                <w:tcPr>
                  <w:tcW w:w="778" w:type="pct"/>
                  <w:tcBorders>
                    <w:top w:val="single" w:sz="4" w:space="0" w:color="auto"/>
                    <w:left w:val="single" w:sz="4" w:space="0" w:color="auto"/>
                    <w:bottom w:val="single" w:sz="4" w:space="0" w:color="auto"/>
                    <w:right w:val="single" w:sz="4" w:space="0" w:color="auto"/>
                  </w:tcBorders>
                </w:tcPr>
                <w:p w14:paraId="06C2E802"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37,4</w:t>
                  </w:r>
                </w:p>
              </w:tc>
            </w:tr>
            <w:tr w:rsidR="00066A0D" w:rsidRPr="00D123D4" w14:paraId="50CCA708" w14:textId="77777777" w:rsidTr="00B656E4">
              <w:trPr>
                <w:cantSplit/>
                <w:jc w:val="center"/>
              </w:trPr>
              <w:tc>
                <w:tcPr>
                  <w:tcW w:w="1721" w:type="pct"/>
                  <w:tcBorders>
                    <w:top w:val="single" w:sz="4" w:space="0" w:color="auto"/>
                    <w:left w:val="single" w:sz="4" w:space="0" w:color="auto"/>
                    <w:bottom w:val="single" w:sz="4" w:space="0" w:color="auto"/>
                    <w:right w:val="single" w:sz="4" w:space="0" w:color="auto"/>
                  </w:tcBorders>
                </w:tcPr>
                <w:p w14:paraId="266343FE" w14:textId="77777777" w:rsidR="00066A0D" w:rsidRPr="00D123D4" w:rsidRDefault="00066A0D" w:rsidP="00D123D4">
                  <w:pPr>
                    <w:widowControl w:val="0"/>
                    <w:spacing w:line="240" w:lineRule="exact"/>
                    <w:rPr>
                      <w:sz w:val="22"/>
                      <w:szCs w:val="22"/>
                      <w:lang w:val="sr-Latn-ME"/>
                    </w:rPr>
                  </w:pPr>
                  <w:r w:rsidRPr="00D123D4">
                    <w:rPr>
                      <w:sz w:val="22"/>
                      <w:szCs w:val="22"/>
                      <w:lang w:val="sr-Latn-ME"/>
                    </w:rPr>
                    <w:t>Raspon uzrasta (godine) pri uključivanju u studiju</w:t>
                  </w:r>
                </w:p>
              </w:tc>
              <w:tc>
                <w:tcPr>
                  <w:tcW w:w="902" w:type="pct"/>
                  <w:tcBorders>
                    <w:top w:val="single" w:sz="4" w:space="0" w:color="auto"/>
                    <w:left w:val="single" w:sz="4" w:space="0" w:color="auto"/>
                    <w:bottom w:val="single" w:sz="4" w:space="0" w:color="auto"/>
                    <w:right w:val="single" w:sz="4" w:space="0" w:color="auto"/>
                  </w:tcBorders>
                </w:tcPr>
                <w:p w14:paraId="49341E58"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18 – 56</w:t>
                  </w:r>
                </w:p>
              </w:tc>
              <w:tc>
                <w:tcPr>
                  <w:tcW w:w="821" w:type="pct"/>
                  <w:tcBorders>
                    <w:top w:val="single" w:sz="4" w:space="0" w:color="auto"/>
                    <w:left w:val="single" w:sz="4" w:space="0" w:color="auto"/>
                    <w:bottom w:val="single" w:sz="4" w:space="0" w:color="auto"/>
                    <w:right w:val="single" w:sz="4" w:space="0" w:color="auto"/>
                  </w:tcBorders>
                </w:tcPr>
                <w:p w14:paraId="6F7D0336"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18 – 55</w:t>
                  </w:r>
                </w:p>
              </w:tc>
              <w:tc>
                <w:tcPr>
                  <w:tcW w:w="778" w:type="pct"/>
                  <w:tcBorders>
                    <w:top w:val="single" w:sz="4" w:space="0" w:color="auto"/>
                    <w:left w:val="single" w:sz="4" w:space="0" w:color="auto"/>
                    <w:bottom w:val="single" w:sz="4" w:space="0" w:color="auto"/>
                    <w:right w:val="single" w:sz="4" w:space="0" w:color="auto"/>
                  </w:tcBorders>
                </w:tcPr>
                <w:p w14:paraId="29F12861"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18 – 55</w:t>
                  </w:r>
                </w:p>
              </w:tc>
              <w:tc>
                <w:tcPr>
                  <w:tcW w:w="778" w:type="pct"/>
                  <w:tcBorders>
                    <w:top w:val="single" w:sz="4" w:space="0" w:color="auto"/>
                    <w:left w:val="single" w:sz="4" w:space="0" w:color="auto"/>
                    <w:bottom w:val="single" w:sz="4" w:space="0" w:color="auto"/>
                    <w:right w:val="single" w:sz="4" w:space="0" w:color="auto"/>
                  </w:tcBorders>
                </w:tcPr>
                <w:p w14:paraId="23A6CB29"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18 – 55</w:t>
                  </w:r>
                </w:p>
              </w:tc>
            </w:tr>
            <w:tr w:rsidR="00066A0D" w:rsidRPr="00D123D4" w14:paraId="1F16E0CF" w14:textId="77777777" w:rsidTr="00B656E4">
              <w:trPr>
                <w:cantSplit/>
                <w:jc w:val="center"/>
              </w:trPr>
              <w:tc>
                <w:tcPr>
                  <w:tcW w:w="1721" w:type="pct"/>
                  <w:tcBorders>
                    <w:top w:val="single" w:sz="4" w:space="0" w:color="auto"/>
                    <w:left w:val="single" w:sz="4" w:space="0" w:color="auto"/>
                    <w:bottom w:val="single" w:sz="4" w:space="0" w:color="auto"/>
                    <w:right w:val="single" w:sz="4" w:space="0" w:color="auto"/>
                  </w:tcBorders>
                </w:tcPr>
                <w:p w14:paraId="5630AE27" w14:textId="77777777" w:rsidR="00066A0D" w:rsidRPr="00D123D4" w:rsidRDefault="00066A0D" w:rsidP="00D123D4">
                  <w:pPr>
                    <w:widowControl w:val="0"/>
                    <w:spacing w:line="240" w:lineRule="exact"/>
                    <w:rPr>
                      <w:sz w:val="22"/>
                      <w:szCs w:val="22"/>
                      <w:lang w:val="sr-Latn-ME"/>
                    </w:rPr>
                  </w:pPr>
                  <w:r w:rsidRPr="00D123D4">
                    <w:rPr>
                      <w:sz w:val="22"/>
                      <w:szCs w:val="22"/>
                      <w:lang w:val="sr-Latn-ME"/>
                    </w:rPr>
                    <w:t>Polna podjela (% muškaraca / % žena)</w:t>
                  </w:r>
                </w:p>
              </w:tc>
              <w:tc>
                <w:tcPr>
                  <w:tcW w:w="902" w:type="pct"/>
                  <w:tcBorders>
                    <w:top w:val="single" w:sz="4" w:space="0" w:color="auto"/>
                    <w:left w:val="single" w:sz="4" w:space="0" w:color="auto"/>
                    <w:bottom w:val="single" w:sz="4" w:space="0" w:color="auto"/>
                    <w:right w:val="single" w:sz="4" w:space="0" w:color="auto"/>
                  </w:tcBorders>
                </w:tcPr>
                <w:p w14:paraId="2495FC9D"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34,1/65,9</w:t>
                  </w:r>
                </w:p>
              </w:tc>
              <w:tc>
                <w:tcPr>
                  <w:tcW w:w="821" w:type="pct"/>
                  <w:tcBorders>
                    <w:top w:val="single" w:sz="4" w:space="0" w:color="auto"/>
                    <w:left w:val="single" w:sz="4" w:space="0" w:color="auto"/>
                    <w:bottom w:val="single" w:sz="4" w:space="0" w:color="auto"/>
                    <w:right w:val="single" w:sz="4" w:space="0" w:color="auto"/>
                  </w:tcBorders>
                </w:tcPr>
                <w:p w14:paraId="2908E2D6"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33,8/66,2</w:t>
                  </w:r>
                </w:p>
              </w:tc>
              <w:tc>
                <w:tcPr>
                  <w:tcW w:w="778" w:type="pct"/>
                  <w:tcBorders>
                    <w:top w:val="single" w:sz="4" w:space="0" w:color="auto"/>
                    <w:left w:val="single" w:sz="4" w:space="0" w:color="auto"/>
                    <w:bottom w:val="single" w:sz="4" w:space="0" w:color="auto"/>
                    <w:right w:val="single" w:sz="4" w:space="0" w:color="auto"/>
                  </w:tcBorders>
                </w:tcPr>
                <w:p w14:paraId="54F2F060"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35,0/65,0</w:t>
                  </w:r>
                </w:p>
              </w:tc>
              <w:tc>
                <w:tcPr>
                  <w:tcW w:w="778" w:type="pct"/>
                  <w:tcBorders>
                    <w:top w:val="single" w:sz="4" w:space="0" w:color="auto"/>
                    <w:left w:val="single" w:sz="4" w:space="0" w:color="auto"/>
                    <w:bottom w:val="single" w:sz="4" w:space="0" w:color="auto"/>
                    <w:right w:val="single" w:sz="4" w:space="0" w:color="auto"/>
                  </w:tcBorders>
                </w:tcPr>
                <w:p w14:paraId="06FC7B67"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33,0/67,0</w:t>
                  </w:r>
                </w:p>
              </w:tc>
            </w:tr>
            <w:tr w:rsidR="00066A0D" w:rsidRPr="00D123D4" w14:paraId="74B1F66B" w14:textId="77777777" w:rsidTr="00B656E4">
              <w:trPr>
                <w:cantSplit/>
                <w:jc w:val="center"/>
              </w:trPr>
              <w:tc>
                <w:tcPr>
                  <w:tcW w:w="1721" w:type="pct"/>
                  <w:tcBorders>
                    <w:top w:val="single" w:sz="4" w:space="0" w:color="auto"/>
                    <w:left w:val="single" w:sz="4" w:space="0" w:color="auto"/>
                    <w:bottom w:val="single" w:sz="4" w:space="0" w:color="auto"/>
                    <w:right w:val="single" w:sz="4" w:space="0" w:color="auto"/>
                  </w:tcBorders>
                </w:tcPr>
                <w:p w14:paraId="4BBB1621" w14:textId="77777777" w:rsidR="00066A0D" w:rsidRPr="00D123D4" w:rsidRDefault="00066A0D" w:rsidP="00D123D4">
                  <w:pPr>
                    <w:widowControl w:val="0"/>
                    <w:spacing w:line="240" w:lineRule="exact"/>
                    <w:rPr>
                      <w:sz w:val="22"/>
                      <w:szCs w:val="22"/>
                      <w:lang w:val="sr-Latn-ME"/>
                    </w:rPr>
                  </w:pPr>
                  <w:r w:rsidRPr="00D123D4">
                    <w:rPr>
                      <w:sz w:val="22"/>
                      <w:szCs w:val="22"/>
                      <w:lang w:val="sr-Latn-ME"/>
                    </w:rPr>
                    <w:t>Srednja vrijednost/medijana trajanja bolesti od dijagnoze (godine)</w:t>
                  </w:r>
                </w:p>
              </w:tc>
              <w:tc>
                <w:tcPr>
                  <w:tcW w:w="902" w:type="pct"/>
                  <w:tcBorders>
                    <w:top w:val="single" w:sz="4" w:space="0" w:color="auto"/>
                    <w:left w:val="single" w:sz="4" w:space="0" w:color="auto"/>
                    <w:bottom w:val="single" w:sz="4" w:space="0" w:color="auto"/>
                    <w:right w:val="single" w:sz="4" w:space="0" w:color="auto"/>
                  </w:tcBorders>
                </w:tcPr>
                <w:p w14:paraId="634CBAEA"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3,82/1,53</w:t>
                  </w:r>
                </w:p>
              </w:tc>
              <w:tc>
                <w:tcPr>
                  <w:tcW w:w="821" w:type="pct"/>
                  <w:tcBorders>
                    <w:top w:val="single" w:sz="4" w:space="0" w:color="auto"/>
                    <w:left w:val="single" w:sz="4" w:space="0" w:color="auto"/>
                    <w:bottom w:val="single" w:sz="4" w:space="0" w:color="auto"/>
                    <w:right w:val="single" w:sz="4" w:space="0" w:color="auto"/>
                  </w:tcBorders>
                </w:tcPr>
                <w:p w14:paraId="11AB956D"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3,71/1,57</w:t>
                  </w:r>
                </w:p>
              </w:tc>
              <w:tc>
                <w:tcPr>
                  <w:tcW w:w="778" w:type="pct"/>
                  <w:tcBorders>
                    <w:top w:val="single" w:sz="4" w:space="0" w:color="auto"/>
                    <w:left w:val="single" w:sz="4" w:space="0" w:color="auto"/>
                    <w:bottom w:val="single" w:sz="4" w:space="0" w:color="auto"/>
                    <w:right w:val="single" w:sz="4" w:space="0" w:color="auto"/>
                  </w:tcBorders>
                </w:tcPr>
                <w:p w14:paraId="7E903815"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4,15/2,10</w:t>
                  </w:r>
                </w:p>
              </w:tc>
              <w:tc>
                <w:tcPr>
                  <w:tcW w:w="778" w:type="pct"/>
                  <w:tcBorders>
                    <w:top w:val="single" w:sz="4" w:space="0" w:color="auto"/>
                    <w:left w:val="single" w:sz="4" w:space="0" w:color="auto"/>
                    <w:bottom w:val="single" w:sz="4" w:space="0" w:color="auto"/>
                    <w:right w:val="single" w:sz="4" w:space="0" w:color="auto"/>
                  </w:tcBorders>
                </w:tcPr>
                <w:p w14:paraId="7DC47463"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4,13/1,84</w:t>
                  </w:r>
                </w:p>
              </w:tc>
            </w:tr>
            <w:tr w:rsidR="00066A0D" w:rsidRPr="00D123D4" w14:paraId="2DC7F900" w14:textId="77777777" w:rsidTr="00B656E4">
              <w:trPr>
                <w:cantSplit/>
                <w:jc w:val="center"/>
              </w:trPr>
              <w:tc>
                <w:tcPr>
                  <w:tcW w:w="1721" w:type="pct"/>
                  <w:tcBorders>
                    <w:top w:val="single" w:sz="4" w:space="0" w:color="auto"/>
                    <w:left w:val="single" w:sz="4" w:space="0" w:color="auto"/>
                    <w:bottom w:val="single" w:sz="4" w:space="0" w:color="auto"/>
                    <w:right w:val="single" w:sz="4" w:space="0" w:color="auto"/>
                  </w:tcBorders>
                </w:tcPr>
                <w:p w14:paraId="6A475BD5" w14:textId="77777777" w:rsidR="00066A0D" w:rsidRPr="00D123D4" w:rsidRDefault="00066A0D" w:rsidP="00D123D4">
                  <w:pPr>
                    <w:widowControl w:val="0"/>
                    <w:spacing w:line="240" w:lineRule="exact"/>
                    <w:rPr>
                      <w:sz w:val="22"/>
                      <w:szCs w:val="22"/>
                      <w:lang w:val="sr-Latn-ME"/>
                    </w:rPr>
                  </w:pPr>
                  <w:r w:rsidRPr="00D123D4">
                    <w:rPr>
                      <w:sz w:val="22"/>
                      <w:szCs w:val="22"/>
                      <w:lang w:val="sr-Latn-ME"/>
                    </w:rPr>
                    <w:t>Pacijenti koji prethodno nijesu primali terapiju koja modifikuje tok bolesti (%)**</w:t>
                  </w:r>
                </w:p>
              </w:tc>
              <w:tc>
                <w:tcPr>
                  <w:tcW w:w="902" w:type="pct"/>
                  <w:tcBorders>
                    <w:top w:val="single" w:sz="4" w:space="0" w:color="auto"/>
                    <w:left w:val="single" w:sz="4" w:space="0" w:color="auto"/>
                    <w:bottom w:val="single" w:sz="4" w:space="0" w:color="auto"/>
                    <w:right w:val="single" w:sz="4" w:space="0" w:color="auto"/>
                  </w:tcBorders>
                </w:tcPr>
                <w:p w14:paraId="4E9AE90C"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73,4</w:t>
                  </w:r>
                </w:p>
              </w:tc>
              <w:tc>
                <w:tcPr>
                  <w:tcW w:w="821" w:type="pct"/>
                  <w:tcBorders>
                    <w:top w:val="single" w:sz="4" w:space="0" w:color="auto"/>
                    <w:left w:val="single" w:sz="4" w:space="0" w:color="auto"/>
                    <w:bottom w:val="single" w:sz="4" w:space="0" w:color="auto"/>
                    <w:right w:val="single" w:sz="4" w:space="0" w:color="auto"/>
                  </w:tcBorders>
                </w:tcPr>
                <w:p w14:paraId="27EB5611"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71,0</w:t>
                  </w:r>
                </w:p>
              </w:tc>
              <w:tc>
                <w:tcPr>
                  <w:tcW w:w="778" w:type="pct"/>
                  <w:tcBorders>
                    <w:top w:val="single" w:sz="4" w:space="0" w:color="auto"/>
                    <w:left w:val="single" w:sz="4" w:space="0" w:color="auto"/>
                    <w:bottom w:val="single" w:sz="4" w:space="0" w:color="auto"/>
                    <w:right w:val="single" w:sz="4" w:space="0" w:color="auto"/>
                  </w:tcBorders>
                </w:tcPr>
                <w:p w14:paraId="0A518273"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72,7</w:t>
                  </w:r>
                </w:p>
              </w:tc>
              <w:tc>
                <w:tcPr>
                  <w:tcW w:w="778" w:type="pct"/>
                  <w:tcBorders>
                    <w:top w:val="single" w:sz="4" w:space="0" w:color="auto"/>
                    <w:left w:val="single" w:sz="4" w:space="0" w:color="auto"/>
                    <w:bottom w:val="single" w:sz="4" w:space="0" w:color="auto"/>
                    <w:right w:val="single" w:sz="4" w:space="0" w:color="auto"/>
                  </w:tcBorders>
                </w:tcPr>
                <w:p w14:paraId="7406390F"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74,9</w:t>
                  </w:r>
                </w:p>
              </w:tc>
            </w:tr>
            <w:tr w:rsidR="00066A0D" w:rsidRPr="00D123D4" w14:paraId="74FE686B" w14:textId="77777777" w:rsidTr="00B656E4">
              <w:trPr>
                <w:cantSplit/>
                <w:jc w:val="center"/>
              </w:trPr>
              <w:tc>
                <w:tcPr>
                  <w:tcW w:w="1721" w:type="pct"/>
                  <w:tcBorders>
                    <w:top w:val="single" w:sz="4" w:space="0" w:color="auto"/>
                    <w:left w:val="single" w:sz="4" w:space="0" w:color="auto"/>
                    <w:bottom w:val="single" w:sz="4" w:space="0" w:color="auto"/>
                    <w:right w:val="single" w:sz="4" w:space="0" w:color="auto"/>
                  </w:tcBorders>
                </w:tcPr>
                <w:p w14:paraId="6BA834E9" w14:textId="77777777" w:rsidR="00066A0D" w:rsidRPr="00D123D4" w:rsidRDefault="00066A0D" w:rsidP="00D123D4">
                  <w:pPr>
                    <w:widowControl w:val="0"/>
                    <w:spacing w:line="240" w:lineRule="exact"/>
                    <w:rPr>
                      <w:sz w:val="22"/>
                      <w:szCs w:val="22"/>
                      <w:lang w:val="sr-Latn-ME"/>
                    </w:rPr>
                  </w:pPr>
                  <w:r w:rsidRPr="00D123D4">
                    <w:rPr>
                      <w:sz w:val="22"/>
                      <w:szCs w:val="22"/>
                      <w:lang w:val="sr-Latn-ME"/>
                    </w:rPr>
                    <w:t xml:space="preserve">Srednji broj relapsa u proteklih godinu dana </w:t>
                  </w:r>
                </w:p>
              </w:tc>
              <w:tc>
                <w:tcPr>
                  <w:tcW w:w="902" w:type="pct"/>
                  <w:tcBorders>
                    <w:top w:val="single" w:sz="4" w:space="0" w:color="auto"/>
                    <w:left w:val="single" w:sz="4" w:space="0" w:color="auto"/>
                    <w:bottom w:val="single" w:sz="4" w:space="0" w:color="auto"/>
                    <w:right w:val="single" w:sz="4" w:space="0" w:color="auto"/>
                  </w:tcBorders>
                </w:tcPr>
                <w:p w14:paraId="2F02CC87"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1,31</w:t>
                  </w:r>
                </w:p>
              </w:tc>
              <w:tc>
                <w:tcPr>
                  <w:tcW w:w="821" w:type="pct"/>
                  <w:tcBorders>
                    <w:top w:val="single" w:sz="4" w:space="0" w:color="auto"/>
                    <w:left w:val="single" w:sz="4" w:space="0" w:color="auto"/>
                    <w:bottom w:val="single" w:sz="4" w:space="0" w:color="auto"/>
                    <w:right w:val="single" w:sz="4" w:space="0" w:color="auto"/>
                  </w:tcBorders>
                </w:tcPr>
                <w:p w14:paraId="196D1084"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1,33</w:t>
                  </w:r>
                </w:p>
              </w:tc>
              <w:tc>
                <w:tcPr>
                  <w:tcW w:w="778" w:type="pct"/>
                  <w:tcBorders>
                    <w:top w:val="single" w:sz="4" w:space="0" w:color="auto"/>
                    <w:left w:val="single" w:sz="4" w:space="0" w:color="auto"/>
                    <w:bottom w:val="single" w:sz="4" w:space="0" w:color="auto"/>
                    <w:right w:val="single" w:sz="4" w:space="0" w:color="auto"/>
                  </w:tcBorders>
                </w:tcPr>
                <w:p w14:paraId="081F57A5"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1,32</w:t>
                  </w:r>
                </w:p>
              </w:tc>
              <w:tc>
                <w:tcPr>
                  <w:tcW w:w="778" w:type="pct"/>
                  <w:tcBorders>
                    <w:top w:val="single" w:sz="4" w:space="0" w:color="auto"/>
                    <w:left w:val="single" w:sz="4" w:space="0" w:color="auto"/>
                    <w:bottom w:val="single" w:sz="4" w:space="0" w:color="auto"/>
                    <w:right w:val="single" w:sz="4" w:space="0" w:color="auto"/>
                  </w:tcBorders>
                </w:tcPr>
                <w:p w14:paraId="3572178E"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1,34</w:t>
                  </w:r>
                </w:p>
              </w:tc>
            </w:tr>
            <w:tr w:rsidR="00066A0D" w:rsidRPr="00D123D4" w14:paraId="06632D06" w14:textId="77777777" w:rsidTr="00B656E4">
              <w:trPr>
                <w:cantSplit/>
                <w:trHeight w:val="563"/>
                <w:jc w:val="center"/>
              </w:trPr>
              <w:tc>
                <w:tcPr>
                  <w:tcW w:w="1721" w:type="pct"/>
                  <w:tcBorders>
                    <w:top w:val="single" w:sz="4" w:space="0" w:color="auto"/>
                    <w:left w:val="single" w:sz="4" w:space="0" w:color="auto"/>
                    <w:bottom w:val="single" w:sz="4" w:space="0" w:color="auto"/>
                    <w:right w:val="single" w:sz="4" w:space="0" w:color="auto"/>
                  </w:tcBorders>
                </w:tcPr>
                <w:p w14:paraId="5EF8B5CC" w14:textId="77777777" w:rsidR="00066A0D" w:rsidRPr="00D123D4" w:rsidRDefault="00066A0D" w:rsidP="00D123D4">
                  <w:pPr>
                    <w:widowControl w:val="0"/>
                    <w:spacing w:line="240" w:lineRule="exact"/>
                    <w:rPr>
                      <w:sz w:val="22"/>
                      <w:szCs w:val="22"/>
                      <w:lang w:val="sr-Latn-ME"/>
                    </w:rPr>
                  </w:pPr>
                  <w:r w:rsidRPr="00D123D4">
                    <w:rPr>
                      <w:sz w:val="22"/>
                      <w:szCs w:val="22"/>
                      <w:lang w:val="sr-Latn-ME"/>
                    </w:rPr>
                    <w:t>Udio pacijenata sa T1 lezijama naglašenima gadolinijem (Gd)</w:t>
                  </w:r>
                </w:p>
              </w:tc>
              <w:tc>
                <w:tcPr>
                  <w:tcW w:w="902" w:type="pct"/>
                  <w:tcBorders>
                    <w:top w:val="single" w:sz="4" w:space="0" w:color="auto"/>
                    <w:left w:val="single" w:sz="4" w:space="0" w:color="auto"/>
                    <w:bottom w:val="single" w:sz="4" w:space="0" w:color="auto"/>
                    <w:right w:val="single" w:sz="4" w:space="0" w:color="auto"/>
                  </w:tcBorders>
                </w:tcPr>
                <w:p w14:paraId="066346BA"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42,5</w:t>
                  </w:r>
                </w:p>
              </w:tc>
              <w:tc>
                <w:tcPr>
                  <w:tcW w:w="821" w:type="pct"/>
                  <w:tcBorders>
                    <w:top w:val="single" w:sz="4" w:space="0" w:color="auto"/>
                    <w:left w:val="single" w:sz="4" w:space="0" w:color="auto"/>
                    <w:bottom w:val="single" w:sz="4" w:space="0" w:color="auto"/>
                    <w:right w:val="single" w:sz="4" w:space="0" w:color="auto"/>
                  </w:tcBorders>
                </w:tcPr>
                <w:p w14:paraId="299D0B76"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38,1 </w:t>
                  </w:r>
                </w:p>
              </w:tc>
              <w:tc>
                <w:tcPr>
                  <w:tcW w:w="778" w:type="pct"/>
                  <w:tcBorders>
                    <w:top w:val="single" w:sz="4" w:space="0" w:color="auto"/>
                    <w:left w:val="single" w:sz="4" w:space="0" w:color="auto"/>
                    <w:bottom w:val="single" w:sz="4" w:space="0" w:color="auto"/>
                    <w:right w:val="single" w:sz="4" w:space="0" w:color="auto"/>
                  </w:tcBorders>
                </w:tcPr>
                <w:p w14:paraId="08CD890F"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39,0</w:t>
                  </w:r>
                </w:p>
              </w:tc>
              <w:tc>
                <w:tcPr>
                  <w:tcW w:w="778" w:type="pct"/>
                  <w:tcBorders>
                    <w:top w:val="single" w:sz="4" w:space="0" w:color="auto"/>
                    <w:left w:val="single" w:sz="4" w:space="0" w:color="auto"/>
                    <w:bottom w:val="single" w:sz="4" w:space="0" w:color="auto"/>
                    <w:right w:val="single" w:sz="4" w:space="0" w:color="auto"/>
                  </w:tcBorders>
                </w:tcPr>
                <w:p w14:paraId="500FBA19"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41,4 </w:t>
                  </w:r>
                </w:p>
              </w:tc>
            </w:tr>
            <w:tr w:rsidR="00066A0D" w:rsidRPr="00D123D4" w14:paraId="3142FD9E" w14:textId="77777777" w:rsidTr="00B656E4">
              <w:trPr>
                <w:cantSplit/>
                <w:trHeight w:val="563"/>
                <w:jc w:val="center"/>
              </w:trPr>
              <w:tc>
                <w:tcPr>
                  <w:tcW w:w="1721" w:type="pct"/>
                  <w:tcBorders>
                    <w:top w:val="single" w:sz="4" w:space="0" w:color="auto"/>
                    <w:left w:val="single" w:sz="4" w:space="0" w:color="auto"/>
                    <w:bottom w:val="single" w:sz="4" w:space="0" w:color="auto"/>
                    <w:right w:val="single" w:sz="4" w:space="0" w:color="auto"/>
                  </w:tcBorders>
                </w:tcPr>
                <w:p w14:paraId="25C2EDC9" w14:textId="77777777" w:rsidR="00066A0D" w:rsidRPr="00D123D4" w:rsidRDefault="00066A0D" w:rsidP="00D123D4">
                  <w:pPr>
                    <w:widowControl w:val="0"/>
                    <w:spacing w:line="240" w:lineRule="exact"/>
                    <w:rPr>
                      <w:sz w:val="22"/>
                      <w:szCs w:val="22"/>
                      <w:lang w:val="sr-Latn-ME"/>
                    </w:rPr>
                  </w:pPr>
                  <w:r w:rsidRPr="00D123D4">
                    <w:rPr>
                      <w:sz w:val="22"/>
                      <w:szCs w:val="22"/>
                      <w:lang w:val="sr-Latn-ME"/>
                    </w:rPr>
                    <w:t>Srednja vrijednost EDSS rezultata*</w:t>
                  </w:r>
                </w:p>
              </w:tc>
              <w:tc>
                <w:tcPr>
                  <w:tcW w:w="902" w:type="pct"/>
                  <w:tcBorders>
                    <w:top w:val="single" w:sz="4" w:space="0" w:color="auto"/>
                    <w:left w:val="single" w:sz="4" w:space="0" w:color="auto"/>
                    <w:bottom w:val="single" w:sz="4" w:space="0" w:color="auto"/>
                    <w:right w:val="single" w:sz="4" w:space="0" w:color="auto"/>
                  </w:tcBorders>
                </w:tcPr>
                <w:p w14:paraId="4229111C"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2,82</w:t>
                  </w:r>
                </w:p>
              </w:tc>
              <w:tc>
                <w:tcPr>
                  <w:tcW w:w="821" w:type="pct"/>
                  <w:tcBorders>
                    <w:top w:val="single" w:sz="4" w:space="0" w:color="auto"/>
                    <w:left w:val="single" w:sz="4" w:space="0" w:color="auto"/>
                    <w:bottom w:val="single" w:sz="4" w:space="0" w:color="auto"/>
                    <w:right w:val="single" w:sz="4" w:space="0" w:color="auto"/>
                  </w:tcBorders>
                </w:tcPr>
                <w:p w14:paraId="3C8237E3"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2,71</w:t>
                  </w:r>
                </w:p>
              </w:tc>
              <w:tc>
                <w:tcPr>
                  <w:tcW w:w="778" w:type="pct"/>
                  <w:tcBorders>
                    <w:top w:val="single" w:sz="4" w:space="0" w:color="auto"/>
                    <w:left w:val="single" w:sz="4" w:space="0" w:color="auto"/>
                    <w:bottom w:val="single" w:sz="4" w:space="0" w:color="auto"/>
                    <w:right w:val="single" w:sz="4" w:space="0" w:color="auto"/>
                  </w:tcBorders>
                </w:tcPr>
                <w:p w14:paraId="6AA6DBB3"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2,73</w:t>
                  </w:r>
                </w:p>
              </w:tc>
              <w:tc>
                <w:tcPr>
                  <w:tcW w:w="778" w:type="pct"/>
                  <w:tcBorders>
                    <w:top w:val="single" w:sz="4" w:space="0" w:color="auto"/>
                    <w:left w:val="single" w:sz="4" w:space="0" w:color="auto"/>
                    <w:bottom w:val="single" w:sz="4" w:space="0" w:color="auto"/>
                    <w:right w:val="single" w:sz="4" w:space="0" w:color="auto"/>
                  </w:tcBorders>
                </w:tcPr>
                <w:p w14:paraId="1E4752DF"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2,79</w:t>
                  </w:r>
                </w:p>
              </w:tc>
            </w:tr>
          </w:tbl>
          <w:p w14:paraId="7208709C" w14:textId="77777777" w:rsidR="00066A0D" w:rsidRPr="00D123D4" w:rsidRDefault="00066A0D" w:rsidP="00D123D4">
            <w:pPr>
              <w:widowControl w:val="0"/>
              <w:jc w:val="both"/>
              <w:rPr>
                <w:sz w:val="22"/>
                <w:szCs w:val="22"/>
                <w:lang w:val="sr-Latn-ME"/>
              </w:rPr>
            </w:pPr>
            <w:r w:rsidRPr="00D123D4">
              <w:rPr>
                <w:sz w:val="22"/>
                <w:szCs w:val="22"/>
                <w:lang w:val="sr-Latn-ME"/>
              </w:rPr>
              <w:t xml:space="preserve">* Proširena ljestvica za ocjenu stepena onesposobljenosti (engl. </w:t>
            </w:r>
            <w:r w:rsidRPr="00D123D4">
              <w:rPr>
                <w:i/>
                <w:sz w:val="22"/>
                <w:szCs w:val="22"/>
                <w:lang w:val="sr-Latn-ME"/>
              </w:rPr>
              <w:t>Expanded Disability Status Scale</w:t>
            </w:r>
            <w:r w:rsidRPr="00D123D4">
              <w:rPr>
                <w:sz w:val="22"/>
                <w:szCs w:val="22"/>
                <w:lang w:val="sr-Latn-ME"/>
              </w:rPr>
              <w:t>, EDSS)</w:t>
            </w:r>
          </w:p>
          <w:p w14:paraId="48D5052F" w14:textId="54766A18" w:rsidR="00066A0D" w:rsidRPr="00D123D4" w:rsidRDefault="00066A0D" w:rsidP="00D123D4">
            <w:pPr>
              <w:widowControl w:val="0"/>
              <w:jc w:val="both"/>
              <w:rPr>
                <w:sz w:val="22"/>
                <w:szCs w:val="22"/>
                <w:lang w:val="sr-Latn-ME"/>
              </w:rPr>
            </w:pPr>
            <w:r w:rsidRPr="00D123D4">
              <w:rPr>
                <w:sz w:val="22"/>
                <w:szCs w:val="22"/>
                <w:lang w:val="sr-Latn-ME"/>
              </w:rPr>
              <w:t>** Pacijenti koji nijesu bili liječeni nijedn</w:t>
            </w:r>
            <w:r w:rsidR="00EE13AF" w:rsidRPr="00D123D4">
              <w:rPr>
                <w:sz w:val="22"/>
                <w:szCs w:val="22"/>
                <w:lang w:val="sr-Latn-ME"/>
              </w:rPr>
              <w:t>o</w:t>
            </w:r>
            <w:r w:rsidRPr="00D123D4">
              <w:rPr>
                <w:sz w:val="22"/>
                <w:szCs w:val="22"/>
                <w:lang w:val="sr-Latn-ME"/>
              </w:rPr>
              <w:t xml:space="preserve">m </w:t>
            </w:r>
            <w:r w:rsidR="00EE13AF" w:rsidRPr="00D123D4">
              <w:rPr>
                <w:sz w:val="22"/>
                <w:szCs w:val="22"/>
                <w:lang w:val="sr-Latn-ME"/>
              </w:rPr>
              <w:t>terapijom koja modifikuje tok bolesti</w:t>
            </w:r>
            <w:r w:rsidRPr="00D123D4">
              <w:rPr>
                <w:sz w:val="22"/>
                <w:szCs w:val="22"/>
                <w:lang w:val="sr-Latn-ME"/>
              </w:rPr>
              <w:t xml:space="preserve"> unutar 2 godine prije randomizacije.</w:t>
            </w:r>
          </w:p>
          <w:p w14:paraId="2F34C74C" w14:textId="77777777" w:rsidR="00066A0D" w:rsidRPr="00D123D4" w:rsidRDefault="00066A0D" w:rsidP="00D123D4">
            <w:pPr>
              <w:widowControl w:val="0"/>
              <w:jc w:val="both"/>
              <w:rPr>
                <w:sz w:val="22"/>
                <w:szCs w:val="22"/>
                <w:lang w:val="sr-Latn-ME"/>
              </w:rPr>
            </w:pPr>
          </w:p>
          <w:p w14:paraId="16CE85AE" w14:textId="77777777" w:rsidR="00066A0D" w:rsidRPr="00D123D4" w:rsidRDefault="00066A0D" w:rsidP="00D123D4">
            <w:pPr>
              <w:widowControl w:val="0"/>
              <w:jc w:val="both"/>
              <w:rPr>
                <w:sz w:val="22"/>
                <w:szCs w:val="22"/>
                <w:lang w:val="sr-Latn-ME"/>
              </w:rPr>
            </w:pPr>
            <w:r w:rsidRPr="00D123D4">
              <w:rPr>
                <w:sz w:val="22"/>
                <w:szCs w:val="22"/>
                <w:lang w:val="sr-Latn-ME"/>
              </w:rPr>
              <w:t xml:space="preserve">Ključni rezultati za efikasnost na osnovu kliničkih i MR mjera ishoda prikazani su u Tabeli 4 i na Slici 1. </w:t>
            </w:r>
          </w:p>
          <w:p w14:paraId="0BEB1A3D" w14:textId="436C3D69" w:rsidR="00066A0D" w:rsidRDefault="00066A0D" w:rsidP="00D123D4">
            <w:pPr>
              <w:widowControl w:val="0"/>
              <w:jc w:val="both"/>
              <w:rPr>
                <w:sz w:val="22"/>
                <w:szCs w:val="22"/>
                <w:lang w:val="sr-Latn-ME"/>
              </w:rPr>
            </w:pPr>
            <w:r w:rsidRPr="00D123D4">
              <w:rPr>
                <w:sz w:val="22"/>
                <w:szCs w:val="22"/>
                <w:lang w:val="sr-Latn-ME"/>
              </w:rPr>
              <w:t xml:space="preserve">Rezultati tih studija pokazuju da je </w:t>
            </w:r>
            <w:r w:rsidR="00EE13AF" w:rsidRPr="00D123D4">
              <w:rPr>
                <w:sz w:val="22"/>
                <w:szCs w:val="22"/>
                <w:lang w:val="sr-Latn-ME"/>
              </w:rPr>
              <w:t>okrelizumab</w:t>
            </w:r>
            <w:r w:rsidRPr="00D123D4">
              <w:rPr>
                <w:sz w:val="22"/>
                <w:szCs w:val="22"/>
                <w:lang w:val="sr-Latn-ME"/>
              </w:rPr>
              <w:t xml:space="preserve"> značajno suprimirao relapse, subkliničku aktivnost bolesti utvrđenu MR oslikavanjem i progresiju bolesti u odnosu na interferon beta-1a u subkutanoj dozi od 44 µg.</w:t>
            </w:r>
          </w:p>
          <w:p w14:paraId="277B6439" w14:textId="77777777" w:rsidR="003D626A" w:rsidRDefault="003D626A" w:rsidP="00D123D4">
            <w:pPr>
              <w:widowControl w:val="0"/>
              <w:jc w:val="both"/>
              <w:rPr>
                <w:sz w:val="22"/>
                <w:szCs w:val="22"/>
                <w:lang w:val="sr-Latn-ME"/>
              </w:rPr>
            </w:pPr>
          </w:p>
          <w:p w14:paraId="07F3E56E" w14:textId="77777777" w:rsidR="003D626A" w:rsidRDefault="003D626A" w:rsidP="00D123D4">
            <w:pPr>
              <w:widowControl w:val="0"/>
              <w:jc w:val="both"/>
              <w:rPr>
                <w:sz w:val="22"/>
                <w:szCs w:val="22"/>
                <w:lang w:val="sr-Latn-ME"/>
              </w:rPr>
            </w:pPr>
          </w:p>
          <w:p w14:paraId="11152EE2" w14:textId="77777777" w:rsidR="003D626A" w:rsidRDefault="003D626A" w:rsidP="00D123D4">
            <w:pPr>
              <w:widowControl w:val="0"/>
              <w:jc w:val="both"/>
              <w:rPr>
                <w:sz w:val="22"/>
                <w:szCs w:val="22"/>
                <w:lang w:val="sr-Latn-ME"/>
              </w:rPr>
            </w:pPr>
          </w:p>
          <w:p w14:paraId="57AD8F9C" w14:textId="77777777" w:rsidR="003D626A" w:rsidRDefault="003D626A" w:rsidP="00D123D4">
            <w:pPr>
              <w:widowControl w:val="0"/>
              <w:jc w:val="both"/>
              <w:rPr>
                <w:sz w:val="22"/>
                <w:szCs w:val="22"/>
                <w:lang w:val="sr-Latn-ME"/>
              </w:rPr>
            </w:pPr>
          </w:p>
          <w:p w14:paraId="1151EDAF" w14:textId="77777777" w:rsidR="003D626A" w:rsidRDefault="003D626A" w:rsidP="00D123D4">
            <w:pPr>
              <w:widowControl w:val="0"/>
              <w:jc w:val="both"/>
              <w:rPr>
                <w:sz w:val="22"/>
                <w:szCs w:val="22"/>
                <w:lang w:val="sr-Latn-ME"/>
              </w:rPr>
            </w:pPr>
          </w:p>
          <w:p w14:paraId="4A97E3FE" w14:textId="77777777" w:rsidR="003D626A" w:rsidRDefault="003D626A" w:rsidP="00D123D4">
            <w:pPr>
              <w:widowControl w:val="0"/>
              <w:jc w:val="both"/>
              <w:rPr>
                <w:sz w:val="22"/>
                <w:szCs w:val="22"/>
                <w:lang w:val="sr-Latn-ME"/>
              </w:rPr>
            </w:pPr>
          </w:p>
          <w:p w14:paraId="4C1A18EA" w14:textId="77777777" w:rsidR="003D626A" w:rsidRDefault="003D626A" w:rsidP="00D123D4">
            <w:pPr>
              <w:widowControl w:val="0"/>
              <w:jc w:val="both"/>
              <w:rPr>
                <w:sz w:val="22"/>
                <w:szCs w:val="22"/>
                <w:lang w:val="sr-Latn-ME"/>
              </w:rPr>
            </w:pPr>
          </w:p>
          <w:p w14:paraId="25FD500D" w14:textId="77777777" w:rsidR="003D626A" w:rsidRDefault="003D626A" w:rsidP="00D123D4">
            <w:pPr>
              <w:widowControl w:val="0"/>
              <w:jc w:val="both"/>
              <w:rPr>
                <w:sz w:val="22"/>
                <w:szCs w:val="22"/>
                <w:lang w:val="sr-Latn-ME"/>
              </w:rPr>
            </w:pPr>
          </w:p>
          <w:p w14:paraId="4CAF9A7D" w14:textId="77777777" w:rsidR="003D626A" w:rsidRDefault="003D626A" w:rsidP="00D123D4">
            <w:pPr>
              <w:widowControl w:val="0"/>
              <w:jc w:val="both"/>
              <w:rPr>
                <w:sz w:val="22"/>
                <w:szCs w:val="22"/>
                <w:lang w:val="sr-Latn-ME"/>
              </w:rPr>
            </w:pPr>
          </w:p>
          <w:p w14:paraId="7AC2E341" w14:textId="77777777" w:rsidR="003D626A" w:rsidRDefault="003D626A" w:rsidP="00D123D4">
            <w:pPr>
              <w:widowControl w:val="0"/>
              <w:jc w:val="both"/>
              <w:rPr>
                <w:sz w:val="22"/>
                <w:szCs w:val="22"/>
                <w:lang w:val="sr-Latn-ME"/>
              </w:rPr>
            </w:pPr>
          </w:p>
          <w:p w14:paraId="286A3D91" w14:textId="77777777" w:rsidR="003D626A" w:rsidRDefault="003D626A" w:rsidP="00D123D4">
            <w:pPr>
              <w:widowControl w:val="0"/>
              <w:jc w:val="both"/>
              <w:rPr>
                <w:sz w:val="22"/>
                <w:szCs w:val="22"/>
                <w:lang w:val="sr-Latn-ME"/>
              </w:rPr>
            </w:pPr>
          </w:p>
          <w:p w14:paraId="659D4DAE" w14:textId="77777777" w:rsidR="003D626A" w:rsidRDefault="003D626A" w:rsidP="00D123D4">
            <w:pPr>
              <w:widowControl w:val="0"/>
              <w:jc w:val="both"/>
              <w:rPr>
                <w:sz w:val="22"/>
                <w:szCs w:val="22"/>
                <w:lang w:val="sr-Latn-ME"/>
              </w:rPr>
            </w:pPr>
          </w:p>
          <w:p w14:paraId="3EBE6DE0" w14:textId="77777777" w:rsidR="003D626A" w:rsidRPr="00D123D4" w:rsidRDefault="003D626A" w:rsidP="00D123D4">
            <w:pPr>
              <w:widowControl w:val="0"/>
              <w:jc w:val="both"/>
              <w:rPr>
                <w:sz w:val="22"/>
                <w:szCs w:val="22"/>
                <w:lang w:val="sr-Latn-ME"/>
              </w:rPr>
            </w:pPr>
          </w:p>
          <w:p w14:paraId="7BD43453" w14:textId="79692E9B" w:rsidR="00387579" w:rsidRPr="00D123D4" w:rsidRDefault="00387579" w:rsidP="00D123D4">
            <w:pPr>
              <w:widowControl w:val="0"/>
              <w:jc w:val="both"/>
              <w:rPr>
                <w:sz w:val="22"/>
                <w:szCs w:val="22"/>
                <w:lang w:val="sr-Latn-ME"/>
              </w:rPr>
            </w:pPr>
          </w:p>
          <w:p w14:paraId="03912659" w14:textId="7A7DFD00" w:rsidR="00066A0D" w:rsidRPr="00D123D4" w:rsidRDefault="00066A0D" w:rsidP="00D123D4">
            <w:pPr>
              <w:widowControl w:val="0"/>
              <w:spacing w:after="250" w:line="300" w:lineRule="atLeast"/>
              <w:rPr>
                <w:b/>
                <w:sz w:val="22"/>
                <w:szCs w:val="22"/>
                <w:lang w:val="sr-Latn-ME"/>
              </w:rPr>
            </w:pPr>
            <w:r w:rsidRPr="00D123D4">
              <w:rPr>
                <w:b/>
                <w:sz w:val="22"/>
                <w:szCs w:val="22"/>
                <w:lang w:val="sr-Latn-ME"/>
              </w:rPr>
              <w:lastRenderedPageBreak/>
              <w:t>Tabela 4</w:t>
            </w:r>
            <w:r w:rsidRPr="00D123D4">
              <w:rPr>
                <w:b/>
                <w:sz w:val="22"/>
                <w:szCs w:val="22"/>
                <w:lang w:val="sr-Latn-ME"/>
              </w:rPr>
              <w:tab/>
              <w:t xml:space="preserve">Ključne kliničke i MR mjere ishoda iz Studija WA21092 i WA21093 (RMS) </w:t>
            </w:r>
          </w:p>
          <w:tbl>
            <w:tblPr>
              <w:tblW w:w="5000" w:type="pct"/>
              <w:jc w:val="center"/>
              <w:tblLayout w:type="fixed"/>
              <w:tblCellMar>
                <w:left w:w="57" w:type="dxa"/>
                <w:right w:w="57" w:type="dxa"/>
              </w:tblCellMar>
              <w:tblLook w:val="0000" w:firstRow="0" w:lastRow="0" w:firstColumn="0" w:lastColumn="0" w:noHBand="0" w:noVBand="0"/>
            </w:tblPr>
            <w:tblGrid>
              <w:gridCol w:w="4704"/>
              <w:gridCol w:w="1055"/>
              <w:gridCol w:w="31"/>
              <w:gridCol w:w="1026"/>
              <w:gridCol w:w="59"/>
              <w:gridCol w:w="996"/>
              <w:gridCol w:w="31"/>
              <w:gridCol w:w="1086"/>
            </w:tblGrid>
            <w:tr w:rsidR="00066A0D" w:rsidRPr="00D123D4" w14:paraId="14B3FF72" w14:textId="77777777" w:rsidTr="00B656E4">
              <w:trPr>
                <w:cantSplit/>
                <w:trHeight w:val="312"/>
                <w:jc w:val="center"/>
              </w:trPr>
              <w:tc>
                <w:tcPr>
                  <w:tcW w:w="2617" w:type="pct"/>
                  <w:vMerge w:val="restart"/>
                  <w:tcBorders>
                    <w:top w:val="single" w:sz="4" w:space="0" w:color="auto"/>
                    <w:left w:val="single" w:sz="4" w:space="0" w:color="auto"/>
                    <w:right w:val="single" w:sz="4" w:space="0" w:color="auto"/>
                  </w:tcBorders>
                  <w:shd w:val="clear" w:color="auto" w:fill="auto"/>
                </w:tcPr>
                <w:p w14:paraId="7278D8EE" w14:textId="77777777" w:rsidR="00066A0D" w:rsidRPr="00D123D4" w:rsidRDefault="00066A0D" w:rsidP="00D123D4">
                  <w:pPr>
                    <w:widowControl w:val="0"/>
                    <w:spacing w:line="240" w:lineRule="exact"/>
                    <w:rPr>
                      <w:b/>
                      <w:sz w:val="22"/>
                      <w:szCs w:val="22"/>
                      <w:lang w:val="sr-Latn-ME"/>
                    </w:rPr>
                  </w:pPr>
                  <w:r w:rsidRPr="00D123D4">
                    <w:rPr>
                      <w:b/>
                      <w:sz w:val="22"/>
                      <w:szCs w:val="22"/>
                      <w:lang w:val="sr-Latn-ME"/>
                    </w:rPr>
                    <w:br/>
                  </w:r>
                  <w:r w:rsidRPr="00D123D4">
                    <w:rPr>
                      <w:b/>
                      <w:sz w:val="22"/>
                      <w:szCs w:val="22"/>
                      <w:lang w:val="sr-Latn-ME"/>
                    </w:rPr>
                    <w:br/>
                    <w:t>Mjere ishoda</w:t>
                  </w:r>
                </w:p>
              </w:tc>
              <w:tc>
                <w:tcPr>
                  <w:tcW w:w="1175" w:type="pct"/>
                  <w:gridSpan w:val="3"/>
                  <w:tcBorders>
                    <w:top w:val="single" w:sz="4" w:space="0" w:color="auto"/>
                    <w:left w:val="single" w:sz="4" w:space="0" w:color="auto"/>
                    <w:bottom w:val="single" w:sz="4" w:space="0" w:color="auto"/>
                    <w:right w:val="single" w:sz="4" w:space="0" w:color="auto"/>
                  </w:tcBorders>
                  <w:shd w:val="clear" w:color="auto" w:fill="auto"/>
                </w:tcPr>
                <w:p w14:paraId="21270FEF" w14:textId="77777777" w:rsidR="00066A0D" w:rsidRPr="00D123D4" w:rsidRDefault="00066A0D" w:rsidP="00D123D4">
                  <w:pPr>
                    <w:widowControl w:val="0"/>
                    <w:spacing w:line="259" w:lineRule="auto"/>
                    <w:jc w:val="center"/>
                    <w:rPr>
                      <w:b/>
                      <w:sz w:val="22"/>
                      <w:szCs w:val="22"/>
                      <w:lang w:val="sr-Latn-ME"/>
                    </w:rPr>
                  </w:pPr>
                  <w:r w:rsidRPr="00D123D4">
                    <w:rPr>
                      <w:b/>
                      <w:sz w:val="22"/>
                      <w:szCs w:val="22"/>
                      <w:lang w:val="sr-Latn-ME"/>
                    </w:rPr>
                    <w:t xml:space="preserve">1. Studija: WA21092 </w:t>
                  </w:r>
                </w:p>
                <w:p w14:paraId="729B05D5" w14:textId="77777777" w:rsidR="00066A0D" w:rsidRPr="00D123D4" w:rsidRDefault="00066A0D" w:rsidP="00D123D4">
                  <w:pPr>
                    <w:widowControl w:val="0"/>
                    <w:spacing w:line="259" w:lineRule="auto"/>
                    <w:jc w:val="center"/>
                    <w:rPr>
                      <w:b/>
                      <w:sz w:val="22"/>
                      <w:szCs w:val="22"/>
                      <w:lang w:val="sr-Latn-ME"/>
                    </w:rPr>
                  </w:pPr>
                  <w:r w:rsidRPr="00D123D4">
                    <w:rPr>
                      <w:b/>
                      <w:sz w:val="22"/>
                      <w:szCs w:val="22"/>
                      <w:lang w:val="sr-Latn-ME"/>
                    </w:rPr>
                    <w:t xml:space="preserve">(OPERA I) </w:t>
                  </w:r>
                </w:p>
              </w:tc>
              <w:tc>
                <w:tcPr>
                  <w:tcW w:w="1208" w:type="pct"/>
                  <w:gridSpan w:val="4"/>
                  <w:tcBorders>
                    <w:top w:val="single" w:sz="4" w:space="0" w:color="auto"/>
                    <w:left w:val="single" w:sz="4" w:space="0" w:color="auto"/>
                    <w:bottom w:val="single" w:sz="4" w:space="0" w:color="auto"/>
                    <w:right w:val="single" w:sz="4" w:space="0" w:color="auto"/>
                  </w:tcBorders>
                  <w:shd w:val="clear" w:color="auto" w:fill="auto"/>
                </w:tcPr>
                <w:p w14:paraId="403BBD8E" w14:textId="77777777" w:rsidR="00066A0D" w:rsidRPr="00D123D4" w:rsidRDefault="00066A0D" w:rsidP="00D123D4">
                  <w:pPr>
                    <w:widowControl w:val="0"/>
                    <w:spacing w:line="259" w:lineRule="auto"/>
                    <w:jc w:val="center"/>
                    <w:rPr>
                      <w:b/>
                      <w:sz w:val="22"/>
                      <w:szCs w:val="22"/>
                      <w:lang w:val="sr-Latn-ME"/>
                    </w:rPr>
                  </w:pPr>
                  <w:r w:rsidRPr="00D123D4">
                    <w:rPr>
                      <w:b/>
                      <w:sz w:val="22"/>
                      <w:szCs w:val="22"/>
                      <w:lang w:val="sr-Latn-ME"/>
                    </w:rPr>
                    <w:t xml:space="preserve">2. Studija: WA21093 </w:t>
                  </w:r>
                </w:p>
                <w:p w14:paraId="4EE3D01E" w14:textId="77777777" w:rsidR="00066A0D" w:rsidRPr="00D123D4" w:rsidRDefault="00066A0D" w:rsidP="00D123D4">
                  <w:pPr>
                    <w:widowControl w:val="0"/>
                    <w:spacing w:line="259" w:lineRule="auto"/>
                    <w:jc w:val="center"/>
                    <w:rPr>
                      <w:b/>
                      <w:sz w:val="22"/>
                      <w:szCs w:val="22"/>
                      <w:lang w:val="sr-Latn-ME"/>
                    </w:rPr>
                  </w:pPr>
                  <w:r w:rsidRPr="00D123D4">
                    <w:rPr>
                      <w:b/>
                      <w:sz w:val="22"/>
                      <w:szCs w:val="22"/>
                      <w:lang w:val="sr-Latn-ME"/>
                    </w:rPr>
                    <w:t xml:space="preserve">(OPERA II) </w:t>
                  </w:r>
                </w:p>
              </w:tc>
            </w:tr>
            <w:tr w:rsidR="00066A0D" w:rsidRPr="00D123D4" w14:paraId="08ACC0E8" w14:textId="77777777" w:rsidTr="00B656E4">
              <w:trPr>
                <w:cantSplit/>
                <w:trHeight w:val="861"/>
                <w:jc w:val="center"/>
              </w:trPr>
              <w:tc>
                <w:tcPr>
                  <w:tcW w:w="2617" w:type="pct"/>
                  <w:vMerge/>
                  <w:tcBorders>
                    <w:left w:val="single" w:sz="4" w:space="0" w:color="auto"/>
                    <w:bottom w:val="single" w:sz="4" w:space="0" w:color="auto"/>
                    <w:right w:val="single" w:sz="4" w:space="0" w:color="auto"/>
                  </w:tcBorders>
                  <w:shd w:val="clear" w:color="auto" w:fill="auto"/>
                </w:tcPr>
                <w:p w14:paraId="585B6525" w14:textId="77777777" w:rsidR="00066A0D" w:rsidRPr="00D123D4" w:rsidRDefault="00066A0D" w:rsidP="00D123D4">
                  <w:pPr>
                    <w:widowControl w:val="0"/>
                    <w:spacing w:line="240" w:lineRule="exact"/>
                    <w:rPr>
                      <w:rFonts w:eastAsiaTheme="minorHAnsi"/>
                      <w:sz w:val="22"/>
                      <w:szCs w:val="22"/>
                      <w:lang w:val="sr-Latn-ME"/>
                    </w:rPr>
                  </w:pPr>
                </w:p>
              </w:tc>
              <w:tc>
                <w:tcPr>
                  <w:tcW w:w="604" w:type="pct"/>
                  <w:gridSpan w:val="2"/>
                  <w:tcBorders>
                    <w:top w:val="single" w:sz="4" w:space="0" w:color="auto"/>
                    <w:left w:val="single" w:sz="4" w:space="0" w:color="auto"/>
                    <w:bottom w:val="single" w:sz="4" w:space="0" w:color="auto"/>
                    <w:right w:val="single" w:sz="4" w:space="0" w:color="auto"/>
                  </w:tcBorders>
                  <w:shd w:val="clear" w:color="auto" w:fill="auto"/>
                </w:tcPr>
                <w:p w14:paraId="45442724" w14:textId="32C1C06A" w:rsidR="00066A0D" w:rsidRPr="00D123D4" w:rsidRDefault="00EE13AF" w:rsidP="00D123D4">
                  <w:pPr>
                    <w:widowControl w:val="0"/>
                    <w:spacing w:line="259" w:lineRule="auto"/>
                    <w:jc w:val="center"/>
                    <w:rPr>
                      <w:sz w:val="22"/>
                      <w:szCs w:val="22"/>
                      <w:lang w:val="sr-Latn-ME"/>
                    </w:rPr>
                  </w:pPr>
                  <w:r w:rsidRPr="00D123D4">
                    <w:rPr>
                      <w:sz w:val="22"/>
                      <w:szCs w:val="22"/>
                      <w:lang w:val="sr-Latn-ME"/>
                    </w:rPr>
                    <w:t>okrelizumab</w:t>
                  </w:r>
                </w:p>
                <w:p w14:paraId="629E5CBA" w14:textId="77777777" w:rsidR="00066A0D" w:rsidRPr="00D123D4" w:rsidRDefault="00066A0D" w:rsidP="00D123D4">
                  <w:pPr>
                    <w:widowControl w:val="0"/>
                    <w:spacing w:line="259" w:lineRule="auto"/>
                    <w:jc w:val="center"/>
                    <w:rPr>
                      <w:sz w:val="22"/>
                      <w:szCs w:val="22"/>
                      <w:lang w:val="sr-Latn-ME"/>
                    </w:rPr>
                  </w:pPr>
                  <w:r w:rsidRPr="00D123D4">
                    <w:rPr>
                      <w:sz w:val="22"/>
                      <w:szCs w:val="22"/>
                      <w:lang w:val="sr-Latn-ME"/>
                    </w:rPr>
                    <w:t>600 mg</w:t>
                  </w:r>
                </w:p>
                <w:p w14:paraId="705844CD" w14:textId="77777777" w:rsidR="00066A0D" w:rsidRPr="00D123D4" w:rsidRDefault="00066A0D" w:rsidP="00D123D4">
                  <w:pPr>
                    <w:widowControl w:val="0"/>
                    <w:spacing w:line="259" w:lineRule="auto"/>
                    <w:jc w:val="center"/>
                    <w:rPr>
                      <w:sz w:val="22"/>
                      <w:szCs w:val="22"/>
                      <w:lang w:val="sr-Latn-ME"/>
                    </w:rPr>
                  </w:pPr>
                  <w:r w:rsidRPr="00D123D4">
                    <w:rPr>
                      <w:sz w:val="22"/>
                      <w:szCs w:val="22"/>
                      <w:lang w:val="sr-Latn-ME"/>
                    </w:rPr>
                    <w:t xml:space="preserve"> (n=410)</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055468A2" w14:textId="77777777" w:rsidR="00066A0D" w:rsidRPr="00D123D4" w:rsidRDefault="00066A0D" w:rsidP="00D123D4">
                  <w:pPr>
                    <w:widowControl w:val="0"/>
                    <w:spacing w:line="259" w:lineRule="auto"/>
                    <w:jc w:val="center"/>
                    <w:rPr>
                      <w:sz w:val="22"/>
                      <w:szCs w:val="22"/>
                      <w:lang w:val="sr-Latn-ME"/>
                    </w:rPr>
                  </w:pPr>
                  <w:r w:rsidRPr="00D123D4">
                    <w:rPr>
                      <w:sz w:val="22"/>
                      <w:szCs w:val="22"/>
                      <w:lang w:val="sr-Latn-ME"/>
                    </w:rPr>
                    <w:t xml:space="preserve">IFN </w:t>
                  </w:r>
                  <w:r w:rsidRPr="00D123D4">
                    <w:rPr>
                      <w:sz w:val="22"/>
                      <w:szCs w:val="22"/>
                      <w:lang w:val="sr-Latn-ME"/>
                    </w:rPr>
                    <w:br/>
                    <w:t xml:space="preserve">44 µg </w:t>
                  </w:r>
                </w:p>
                <w:p w14:paraId="123EC195" w14:textId="77777777" w:rsidR="00066A0D" w:rsidRPr="00D123D4" w:rsidRDefault="00066A0D" w:rsidP="00D123D4">
                  <w:pPr>
                    <w:widowControl w:val="0"/>
                    <w:spacing w:line="259" w:lineRule="auto"/>
                    <w:jc w:val="center"/>
                    <w:rPr>
                      <w:sz w:val="22"/>
                      <w:szCs w:val="22"/>
                      <w:lang w:val="sr-Latn-ME"/>
                    </w:rPr>
                  </w:pPr>
                  <w:r w:rsidRPr="00D123D4">
                    <w:rPr>
                      <w:sz w:val="22"/>
                      <w:szCs w:val="22"/>
                      <w:lang w:val="sr-Latn-ME"/>
                    </w:rPr>
                    <w:t>(n=411)</w:t>
                  </w:r>
                </w:p>
              </w:tc>
              <w:tc>
                <w:tcPr>
                  <w:tcW w:w="604" w:type="pct"/>
                  <w:gridSpan w:val="3"/>
                  <w:tcBorders>
                    <w:top w:val="single" w:sz="4" w:space="0" w:color="auto"/>
                    <w:left w:val="single" w:sz="4" w:space="0" w:color="auto"/>
                    <w:bottom w:val="single" w:sz="4" w:space="0" w:color="auto"/>
                    <w:right w:val="single" w:sz="4" w:space="0" w:color="auto"/>
                  </w:tcBorders>
                  <w:shd w:val="clear" w:color="auto" w:fill="auto"/>
                </w:tcPr>
                <w:p w14:paraId="0C95237C" w14:textId="4DFF8304" w:rsidR="00066A0D" w:rsidRPr="00D123D4" w:rsidRDefault="00EE13AF" w:rsidP="00D123D4">
                  <w:pPr>
                    <w:widowControl w:val="0"/>
                    <w:spacing w:line="259" w:lineRule="auto"/>
                    <w:jc w:val="center"/>
                    <w:rPr>
                      <w:sz w:val="22"/>
                      <w:szCs w:val="22"/>
                      <w:lang w:val="sr-Latn-ME"/>
                    </w:rPr>
                  </w:pPr>
                  <w:r w:rsidRPr="00D123D4">
                    <w:rPr>
                      <w:sz w:val="22"/>
                      <w:szCs w:val="22"/>
                      <w:lang w:val="sr-Latn-ME"/>
                    </w:rPr>
                    <w:t>okrelizumab</w:t>
                  </w:r>
                </w:p>
                <w:p w14:paraId="507F01EB" w14:textId="77777777" w:rsidR="00066A0D" w:rsidRPr="00D123D4" w:rsidRDefault="00066A0D" w:rsidP="00D123D4">
                  <w:pPr>
                    <w:widowControl w:val="0"/>
                    <w:spacing w:line="259" w:lineRule="auto"/>
                    <w:jc w:val="center"/>
                    <w:rPr>
                      <w:sz w:val="22"/>
                      <w:szCs w:val="22"/>
                      <w:lang w:val="sr-Latn-ME"/>
                    </w:rPr>
                  </w:pPr>
                  <w:r w:rsidRPr="00D123D4">
                    <w:rPr>
                      <w:sz w:val="22"/>
                      <w:szCs w:val="22"/>
                      <w:lang w:val="sr-Latn-ME"/>
                    </w:rPr>
                    <w:t>600 mg</w:t>
                  </w:r>
                </w:p>
                <w:p w14:paraId="33798537" w14:textId="77777777" w:rsidR="00066A0D" w:rsidRPr="00D123D4" w:rsidRDefault="00066A0D" w:rsidP="00D123D4">
                  <w:pPr>
                    <w:widowControl w:val="0"/>
                    <w:spacing w:line="259" w:lineRule="auto"/>
                    <w:jc w:val="center"/>
                    <w:rPr>
                      <w:sz w:val="22"/>
                      <w:szCs w:val="22"/>
                      <w:lang w:val="sr-Latn-ME"/>
                    </w:rPr>
                  </w:pPr>
                  <w:r w:rsidRPr="00D123D4">
                    <w:rPr>
                      <w:sz w:val="22"/>
                      <w:szCs w:val="22"/>
                      <w:lang w:val="sr-Latn-ME"/>
                    </w:rPr>
                    <w:t xml:space="preserve"> (n=417)</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57F85796" w14:textId="77777777" w:rsidR="00066A0D" w:rsidRPr="00D123D4" w:rsidRDefault="00066A0D" w:rsidP="00D123D4">
                  <w:pPr>
                    <w:widowControl w:val="0"/>
                    <w:spacing w:line="259" w:lineRule="auto"/>
                    <w:jc w:val="center"/>
                    <w:rPr>
                      <w:sz w:val="22"/>
                      <w:szCs w:val="22"/>
                      <w:lang w:val="sr-Latn-ME"/>
                    </w:rPr>
                  </w:pPr>
                  <w:r w:rsidRPr="00D123D4">
                    <w:rPr>
                      <w:sz w:val="22"/>
                      <w:szCs w:val="22"/>
                      <w:lang w:val="sr-Latn-ME"/>
                    </w:rPr>
                    <w:t xml:space="preserve">IFN </w:t>
                  </w:r>
                  <w:r w:rsidRPr="00D123D4">
                    <w:rPr>
                      <w:sz w:val="22"/>
                      <w:szCs w:val="22"/>
                      <w:lang w:val="sr-Latn-ME"/>
                    </w:rPr>
                    <w:br/>
                    <w:t xml:space="preserve">44 µg </w:t>
                  </w:r>
                </w:p>
                <w:p w14:paraId="6D44EFB4" w14:textId="77777777" w:rsidR="00066A0D" w:rsidRPr="00D123D4" w:rsidRDefault="00066A0D" w:rsidP="00D123D4">
                  <w:pPr>
                    <w:widowControl w:val="0"/>
                    <w:spacing w:line="259" w:lineRule="auto"/>
                    <w:jc w:val="center"/>
                    <w:rPr>
                      <w:sz w:val="22"/>
                      <w:szCs w:val="22"/>
                      <w:lang w:val="sr-Latn-ME"/>
                    </w:rPr>
                  </w:pPr>
                  <w:r w:rsidRPr="00D123D4">
                    <w:rPr>
                      <w:sz w:val="22"/>
                      <w:szCs w:val="22"/>
                      <w:lang w:val="sr-Latn-ME"/>
                    </w:rPr>
                    <w:t>(n=418)</w:t>
                  </w:r>
                </w:p>
              </w:tc>
            </w:tr>
            <w:tr w:rsidR="00066A0D" w:rsidRPr="00D123D4" w14:paraId="2E7184D4" w14:textId="77777777" w:rsidTr="00B656E4">
              <w:trPr>
                <w:cantSplit/>
                <w:trHeight w:val="225"/>
                <w:jc w:val="center"/>
              </w:trPr>
              <w:tc>
                <w:tcPr>
                  <w:tcW w:w="2617" w:type="pct"/>
                  <w:tcBorders>
                    <w:top w:val="single" w:sz="4" w:space="0" w:color="auto"/>
                    <w:left w:val="single" w:sz="4" w:space="0" w:color="auto"/>
                    <w:right w:val="single" w:sz="4" w:space="0" w:color="auto"/>
                  </w:tcBorders>
                  <w:shd w:val="clear" w:color="auto" w:fill="auto"/>
                </w:tcPr>
                <w:p w14:paraId="66714923" w14:textId="77777777" w:rsidR="00066A0D" w:rsidRPr="00D123D4" w:rsidRDefault="00066A0D" w:rsidP="00D123D4">
                  <w:pPr>
                    <w:widowControl w:val="0"/>
                    <w:spacing w:line="240" w:lineRule="exact"/>
                    <w:rPr>
                      <w:rFonts w:eastAsiaTheme="minorHAnsi"/>
                      <w:sz w:val="22"/>
                      <w:szCs w:val="22"/>
                      <w:lang w:val="sr-Latn-ME"/>
                    </w:rPr>
                  </w:pPr>
                  <w:r w:rsidRPr="00D123D4">
                    <w:rPr>
                      <w:b/>
                      <w:sz w:val="22"/>
                      <w:szCs w:val="22"/>
                      <w:lang w:val="sr-Latn-ME"/>
                    </w:rPr>
                    <w:t>Kliničke mjere ishoda</w:t>
                  </w:r>
                </w:p>
              </w:tc>
              <w:tc>
                <w:tcPr>
                  <w:tcW w:w="2383" w:type="pct"/>
                  <w:gridSpan w:val="7"/>
                  <w:tcBorders>
                    <w:top w:val="single" w:sz="4" w:space="0" w:color="auto"/>
                    <w:left w:val="single" w:sz="4" w:space="0" w:color="auto"/>
                    <w:bottom w:val="single" w:sz="4" w:space="0" w:color="auto"/>
                    <w:right w:val="single" w:sz="4" w:space="0" w:color="auto"/>
                  </w:tcBorders>
                  <w:shd w:val="clear" w:color="auto" w:fill="auto"/>
                </w:tcPr>
                <w:p w14:paraId="230FC126"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 xml:space="preserve"> </w:t>
                  </w:r>
                </w:p>
              </w:tc>
            </w:tr>
            <w:tr w:rsidR="00066A0D" w:rsidRPr="00D123D4" w14:paraId="56ECC687" w14:textId="77777777" w:rsidTr="00B656E4">
              <w:trPr>
                <w:cantSplit/>
                <w:trHeight w:hRule="exact" w:val="334"/>
                <w:jc w:val="center"/>
              </w:trPr>
              <w:tc>
                <w:tcPr>
                  <w:tcW w:w="2617" w:type="pct"/>
                  <w:tcBorders>
                    <w:top w:val="single" w:sz="4" w:space="0" w:color="auto"/>
                    <w:left w:val="single" w:sz="4" w:space="0" w:color="auto"/>
                    <w:right w:val="single" w:sz="4" w:space="0" w:color="auto"/>
                  </w:tcBorders>
                  <w:shd w:val="clear" w:color="auto" w:fill="auto"/>
                </w:tcPr>
                <w:p w14:paraId="5401916E" w14:textId="339AC64A" w:rsidR="00066A0D" w:rsidRPr="00D123D4" w:rsidRDefault="00066A0D" w:rsidP="00D123D4">
                  <w:pPr>
                    <w:widowControl w:val="0"/>
                    <w:spacing w:line="259" w:lineRule="auto"/>
                    <w:rPr>
                      <w:sz w:val="22"/>
                      <w:szCs w:val="22"/>
                      <w:lang w:val="sr-Latn-ME"/>
                    </w:rPr>
                  </w:pPr>
                  <w:r w:rsidRPr="00D123D4">
                    <w:rPr>
                      <w:sz w:val="22"/>
                      <w:szCs w:val="22"/>
                      <w:lang w:val="sr-Latn-ME"/>
                    </w:rPr>
                    <w:t>Godišnja stopa relapsa (primarna mjera ishoda)</w:t>
                  </w:r>
                  <w:r w:rsidR="00EE13AF" w:rsidRPr="00D123D4">
                    <w:rPr>
                      <w:sz w:val="22"/>
                      <w:szCs w:val="22"/>
                      <w:vertAlign w:val="superscript"/>
                      <w:lang w:val="sr-Latn-ME"/>
                    </w:rPr>
                    <w:t>8</w:t>
                  </w:r>
                </w:p>
              </w:tc>
              <w:tc>
                <w:tcPr>
                  <w:tcW w:w="604" w:type="pct"/>
                  <w:gridSpan w:val="2"/>
                  <w:tcBorders>
                    <w:top w:val="single" w:sz="4" w:space="0" w:color="auto"/>
                    <w:left w:val="single" w:sz="4" w:space="0" w:color="auto"/>
                    <w:bottom w:val="single" w:sz="4" w:space="0" w:color="auto"/>
                    <w:right w:val="single" w:sz="4" w:space="0" w:color="auto"/>
                  </w:tcBorders>
                  <w:shd w:val="clear" w:color="auto" w:fill="auto"/>
                </w:tcPr>
                <w:p w14:paraId="5B350FB0"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 xml:space="preserve">0,156 </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1DA7ADE7"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0,292</w:t>
                  </w:r>
                </w:p>
              </w:tc>
              <w:tc>
                <w:tcPr>
                  <w:tcW w:w="604" w:type="pct"/>
                  <w:gridSpan w:val="3"/>
                  <w:tcBorders>
                    <w:top w:val="single" w:sz="4" w:space="0" w:color="auto"/>
                    <w:left w:val="single" w:sz="4" w:space="0" w:color="auto"/>
                    <w:bottom w:val="single" w:sz="4" w:space="0" w:color="auto"/>
                    <w:right w:val="single" w:sz="4" w:space="0" w:color="auto"/>
                  </w:tcBorders>
                  <w:shd w:val="clear" w:color="auto" w:fill="auto"/>
                </w:tcPr>
                <w:p w14:paraId="44C73E06"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0,155</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2AA3547B" w14:textId="77777777" w:rsidR="00066A0D" w:rsidRPr="00D123D4" w:rsidRDefault="00066A0D" w:rsidP="00D123D4">
                  <w:pPr>
                    <w:widowControl w:val="0"/>
                    <w:spacing w:line="240" w:lineRule="exact"/>
                    <w:jc w:val="center"/>
                    <w:rPr>
                      <w:sz w:val="22"/>
                      <w:szCs w:val="22"/>
                      <w:lang w:val="sr-Latn-ME"/>
                    </w:rPr>
                  </w:pPr>
                  <w:r w:rsidRPr="00D123D4">
                    <w:rPr>
                      <w:sz w:val="22"/>
                      <w:szCs w:val="22"/>
                      <w:lang w:val="sr-Latn-ME"/>
                    </w:rPr>
                    <w:t>0,290</w:t>
                  </w:r>
                </w:p>
              </w:tc>
            </w:tr>
            <w:tr w:rsidR="00066A0D" w:rsidRPr="00D123D4" w14:paraId="2F6DE494" w14:textId="77777777" w:rsidTr="00B656E4">
              <w:trPr>
                <w:cantSplit/>
                <w:trHeight w:val="231"/>
                <w:jc w:val="center"/>
              </w:trPr>
              <w:tc>
                <w:tcPr>
                  <w:tcW w:w="2617" w:type="pct"/>
                  <w:tcBorders>
                    <w:left w:val="single" w:sz="4" w:space="0" w:color="auto"/>
                    <w:bottom w:val="single" w:sz="4" w:space="0" w:color="auto"/>
                    <w:right w:val="single" w:sz="4" w:space="0" w:color="auto"/>
                  </w:tcBorders>
                  <w:shd w:val="clear" w:color="auto" w:fill="auto"/>
                </w:tcPr>
                <w:p w14:paraId="54890CB2" w14:textId="77777777" w:rsidR="00066A0D" w:rsidRPr="00D123D4" w:rsidRDefault="00066A0D" w:rsidP="00D123D4">
                  <w:pPr>
                    <w:widowControl w:val="0"/>
                    <w:spacing w:line="259" w:lineRule="auto"/>
                    <w:rPr>
                      <w:sz w:val="22"/>
                      <w:szCs w:val="22"/>
                      <w:lang w:val="sr-Latn-ME"/>
                    </w:rPr>
                  </w:pPr>
                  <w:r w:rsidRPr="00D123D4">
                    <w:rPr>
                      <w:sz w:val="22"/>
                      <w:szCs w:val="22"/>
                      <w:lang w:val="sr-Latn-ME"/>
                    </w:rPr>
                    <w:t xml:space="preserve">Relativno smanjenje </w:t>
                  </w:r>
                </w:p>
              </w:tc>
              <w:tc>
                <w:tcPr>
                  <w:tcW w:w="1175" w:type="pct"/>
                  <w:gridSpan w:val="3"/>
                  <w:tcBorders>
                    <w:left w:val="single" w:sz="4" w:space="0" w:color="auto"/>
                    <w:bottom w:val="single" w:sz="4" w:space="0" w:color="auto"/>
                    <w:right w:val="single" w:sz="4" w:space="0" w:color="auto"/>
                  </w:tcBorders>
                  <w:shd w:val="clear" w:color="auto" w:fill="auto"/>
                </w:tcPr>
                <w:p w14:paraId="28B8F8D5" w14:textId="77777777" w:rsidR="00066A0D" w:rsidRPr="00D123D4" w:rsidRDefault="00066A0D" w:rsidP="00D123D4">
                  <w:pPr>
                    <w:widowControl w:val="0"/>
                    <w:spacing w:line="259" w:lineRule="auto"/>
                    <w:jc w:val="center"/>
                    <w:rPr>
                      <w:sz w:val="22"/>
                      <w:szCs w:val="22"/>
                      <w:lang w:val="sr-Latn-ME"/>
                    </w:rPr>
                  </w:pPr>
                  <w:r w:rsidRPr="00D123D4">
                    <w:rPr>
                      <w:sz w:val="22"/>
                      <w:szCs w:val="22"/>
                      <w:lang w:val="sr-Latn-ME"/>
                    </w:rPr>
                    <w:t>46% (p &lt; 0,0001)</w:t>
                  </w:r>
                </w:p>
              </w:tc>
              <w:tc>
                <w:tcPr>
                  <w:tcW w:w="1208" w:type="pct"/>
                  <w:gridSpan w:val="4"/>
                  <w:tcBorders>
                    <w:left w:val="single" w:sz="4" w:space="0" w:color="auto"/>
                    <w:bottom w:val="single" w:sz="4" w:space="0" w:color="auto"/>
                    <w:right w:val="single" w:sz="4" w:space="0" w:color="auto"/>
                  </w:tcBorders>
                  <w:shd w:val="clear" w:color="auto" w:fill="auto"/>
                </w:tcPr>
                <w:p w14:paraId="5B2ED9FF" w14:textId="77777777" w:rsidR="00066A0D" w:rsidRPr="00D123D4" w:rsidRDefault="00066A0D" w:rsidP="00D123D4">
                  <w:pPr>
                    <w:widowControl w:val="0"/>
                    <w:spacing w:line="259" w:lineRule="auto"/>
                    <w:jc w:val="center"/>
                    <w:rPr>
                      <w:sz w:val="22"/>
                      <w:szCs w:val="22"/>
                      <w:lang w:val="sr-Latn-ME"/>
                    </w:rPr>
                  </w:pPr>
                  <w:r w:rsidRPr="00D123D4">
                    <w:rPr>
                      <w:sz w:val="22"/>
                      <w:szCs w:val="22"/>
                      <w:lang w:val="sr-Latn-ME"/>
                    </w:rPr>
                    <w:t>47% (p &lt; 0,0001)</w:t>
                  </w:r>
                </w:p>
              </w:tc>
            </w:tr>
            <w:tr w:rsidR="00066A0D" w:rsidRPr="00D123D4" w14:paraId="436A8F4E" w14:textId="77777777" w:rsidTr="00B656E4">
              <w:trPr>
                <w:cantSplit/>
                <w:trHeight w:val="755"/>
                <w:jc w:val="center"/>
              </w:trPr>
              <w:tc>
                <w:tcPr>
                  <w:tcW w:w="2617" w:type="pct"/>
                  <w:vMerge w:val="restart"/>
                  <w:tcBorders>
                    <w:top w:val="single" w:sz="4" w:space="0" w:color="auto"/>
                    <w:left w:val="single" w:sz="4" w:space="0" w:color="auto"/>
                    <w:right w:val="single" w:sz="4" w:space="0" w:color="auto"/>
                  </w:tcBorders>
                  <w:shd w:val="clear" w:color="auto" w:fill="auto"/>
                </w:tcPr>
                <w:p w14:paraId="25E6CC8C" w14:textId="77777777" w:rsidR="00066A0D" w:rsidRPr="00D123D4" w:rsidRDefault="00066A0D" w:rsidP="00D123D4">
                  <w:pPr>
                    <w:widowControl w:val="0"/>
                    <w:spacing w:line="259" w:lineRule="auto"/>
                    <w:rPr>
                      <w:sz w:val="22"/>
                      <w:szCs w:val="22"/>
                      <w:lang w:val="sr-Latn-ME"/>
                    </w:rPr>
                  </w:pPr>
                  <w:r w:rsidRPr="00D123D4">
                    <w:rPr>
                      <w:sz w:val="22"/>
                      <w:szCs w:val="22"/>
                      <w:lang w:val="sr-Latn-ME"/>
                    </w:rPr>
                    <w:t>Udio pacijenata sa 12</w:t>
                  </w:r>
                  <w:r w:rsidRPr="00D123D4">
                    <w:rPr>
                      <w:sz w:val="22"/>
                      <w:szCs w:val="22"/>
                      <w:lang w:val="sr-Latn-ME"/>
                    </w:rPr>
                    <w:noBreakHyphen/>
                    <w:t>nedjeljnom potvrđenom progresijom onesposobljenosti</w:t>
                  </w:r>
                  <w:r w:rsidRPr="00D123D4">
                    <w:rPr>
                      <w:sz w:val="22"/>
                      <w:szCs w:val="22"/>
                      <w:vertAlign w:val="superscript"/>
                      <w:lang w:val="sr-Latn-ME"/>
                    </w:rPr>
                    <w:t>3</w:t>
                  </w:r>
                </w:p>
                <w:p w14:paraId="2241D4FA" w14:textId="77777777" w:rsidR="00066A0D" w:rsidRPr="00D123D4" w:rsidRDefault="00066A0D" w:rsidP="00D123D4">
                  <w:pPr>
                    <w:widowControl w:val="0"/>
                    <w:spacing w:line="259" w:lineRule="auto"/>
                    <w:rPr>
                      <w:sz w:val="22"/>
                      <w:szCs w:val="22"/>
                      <w:lang w:val="sr-Latn-ME"/>
                    </w:rPr>
                  </w:pPr>
                  <w:r w:rsidRPr="00D123D4">
                    <w:rPr>
                      <w:sz w:val="22"/>
                      <w:szCs w:val="22"/>
                      <w:lang w:val="sr-Latn-ME"/>
                    </w:rPr>
                    <w:t>Smanjenje rizika (analiza objedinjenih podataka</w:t>
                  </w:r>
                  <w:r w:rsidRPr="00D123D4">
                    <w:rPr>
                      <w:sz w:val="22"/>
                      <w:szCs w:val="22"/>
                      <w:vertAlign w:val="superscript"/>
                      <w:lang w:val="sr-Latn-ME"/>
                    </w:rPr>
                    <w:t>1</w:t>
                  </w:r>
                  <w:r w:rsidRPr="00D123D4">
                    <w:rPr>
                      <w:sz w:val="22"/>
                      <w:szCs w:val="22"/>
                      <w:lang w:val="sr-Latn-ME"/>
                    </w:rPr>
                    <w:t>)</w:t>
                  </w:r>
                </w:p>
                <w:p w14:paraId="5294448D" w14:textId="77777777" w:rsidR="00066A0D" w:rsidRPr="00D123D4" w:rsidRDefault="00066A0D" w:rsidP="00D123D4">
                  <w:pPr>
                    <w:widowControl w:val="0"/>
                    <w:spacing w:line="259" w:lineRule="auto"/>
                    <w:rPr>
                      <w:sz w:val="22"/>
                      <w:szCs w:val="22"/>
                      <w:lang w:val="sr-Latn-ME"/>
                    </w:rPr>
                  </w:pPr>
                  <w:r w:rsidRPr="00D123D4">
                    <w:rPr>
                      <w:sz w:val="22"/>
                      <w:szCs w:val="22"/>
                      <w:lang w:val="sr-Latn-ME"/>
                    </w:rPr>
                    <w:t>Smanjenje rizika (pojedinačna ispitivanja</w:t>
                  </w:r>
                  <w:r w:rsidRPr="00D123D4">
                    <w:rPr>
                      <w:sz w:val="22"/>
                      <w:szCs w:val="22"/>
                      <w:vertAlign w:val="superscript"/>
                      <w:lang w:val="sr-Latn-ME"/>
                    </w:rPr>
                    <w:t>2</w:t>
                  </w:r>
                  <w:r w:rsidRPr="00D123D4">
                    <w:rPr>
                      <w:sz w:val="22"/>
                      <w:szCs w:val="22"/>
                      <w:lang w:val="sr-Latn-ME"/>
                    </w:rPr>
                    <w:t>)</w:t>
                  </w:r>
                </w:p>
              </w:tc>
              <w:tc>
                <w:tcPr>
                  <w:tcW w:w="2383" w:type="pct"/>
                  <w:gridSpan w:val="7"/>
                  <w:tcBorders>
                    <w:top w:val="single" w:sz="4" w:space="0" w:color="auto"/>
                    <w:left w:val="single" w:sz="4" w:space="0" w:color="auto"/>
                    <w:right w:val="single" w:sz="4" w:space="0" w:color="auto"/>
                  </w:tcBorders>
                  <w:shd w:val="clear" w:color="auto" w:fill="auto"/>
                  <w:vAlign w:val="bottom"/>
                </w:tcPr>
                <w:p w14:paraId="1D16A4E0" w14:textId="5E52087E" w:rsidR="00066A0D" w:rsidRPr="00D123D4" w:rsidRDefault="00066A0D" w:rsidP="00D123D4">
                  <w:pPr>
                    <w:widowControl w:val="0"/>
                    <w:spacing w:beforeLines="20" w:before="48" w:line="259" w:lineRule="auto"/>
                    <w:jc w:val="center"/>
                    <w:rPr>
                      <w:sz w:val="22"/>
                      <w:szCs w:val="22"/>
                      <w:lang w:val="sr-Latn-ME"/>
                    </w:rPr>
                  </w:pPr>
                  <w:r w:rsidRPr="00D123D4">
                    <w:rPr>
                      <w:sz w:val="22"/>
                      <w:szCs w:val="22"/>
                      <w:lang w:val="sr-Latn-ME"/>
                    </w:rPr>
                    <w:t xml:space="preserve">9,8% uz </w:t>
                  </w:r>
                  <w:r w:rsidR="00EE13AF" w:rsidRPr="00D123D4">
                    <w:rPr>
                      <w:sz w:val="22"/>
                      <w:szCs w:val="22"/>
                      <w:lang w:val="sr-Latn-ME"/>
                    </w:rPr>
                    <w:t xml:space="preserve">okrelizumab </w:t>
                  </w:r>
                  <w:r w:rsidRPr="00D123D4">
                    <w:rPr>
                      <w:sz w:val="22"/>
                      <w:szCs w:val="22"/>
                      <w:lang w:val="sr-Latn-ME"/>
                    </w:rPr>
                    <w:t>naspram 15,2% uz IFN</w:t>
                  </w:r>
                </w:p>
                <w:p w14:paraId="08BFDC14" w14:textId="77777777" w:rsidR="00066A0D" w:rsidRPr="00D123D4" w:rsidRDefault="00066A0D" w:rsidP="00D123D4">
                  <w:pPr>
                    <w:widowControl w:val="0"/>
                    <w:spacing w:beforeLines="50" w:before="120" w:line="259" w:lineRule="auto"/>
                    <w:jc w:val="center"/>
                    <w:rPr>
                      <w:sz w:val="22"/>
                      <w:szCs w:val="22"/>
                      <w:lang w:val="sr-Latn-ME"/>
                    </w:rPr>
                  </w:pPr>
                  <w:r w:rsidRPr="00D123D4">
                    <w:rPr>
                      <w:sz w:val="22"/>
                      <w:szCs w:val="22"/>
                      <w:lang w:val="sr-Latn-ME"/>
                    </w:rPr>
                    <w:t>40% (p=0,0006)</w:t>
                  </w:r>
                  <w:r w:rsidRPr="00D123D4">
                    <w:rPr>
                      <w:sz w:val="22"/>
                      <w:szCs w:val="22"/>
                      <w:vertAlign w:val="superscript"/>
                      <w:lang w:val="sr-Latn-ME"/>
                    </w:rPr>
                    <w:t>7</w:t>
                  </w:r>
                </w:p>
              </w:tc>
            </w:tr>
            <w:tr w:rsidR="00066A0D" w:rsidRPr="00D123D4" w14:paraId="41910BCD" w14:textId="77777777" w:rsidTr="00B656E4">
              <w:trPr>
                <w:cantSplit/>
                <w:trHeight w:val="272"/>
                <w:jc w:val="center"/>
              </w:trPr>
              <w:tc>
                <w:tcPr>
                  <w:tcW w:w="2617" w:type="pct"/>
                  <w:vMerge/>
                  <w:tcBorders>
                    <w:left w:val="single" w:sz="4" w:space="0" w:color="auto"/>
                    <w:right w:val="single" w:sz="4" w:space="0" w:color="auto"/>
                  </w:tcBorders>
                  <w:shd w:val="clear" w:color="auto" w:fill="auto"/>
                </w:tcPr>
                <w:p w14:paraId="6A088B56" w14:textId="77777777" w:rsidR="00066A0D" w:rsidRPr="00D123D4" w:rsidRDefault="00066A0D" w:rsidP="00D123D4">
                  <w:pPr>
                    <w:widowControl w:val="0"/>
                    <w:spacing w:line="259" w:lineRule="auto"/>
                    <w:rPr>
                      <w:sz w:val="22"/>
                      <w:szCs w:val="22"/>
                      <w:lang w:val="sr-Latn-ME"/>
                    </w:rPr>
                  </w:pPr>
                </w:p>
              </w:tc>
              <w:tc>
                <w:tcPr>
                  <w:tcW w:w="1175" w:type="pct"/>
                  <w:gridSpan w:val="3"/>
                  <w:tcBorders>
                    <w:top w:val="single" w:sz="4" w:space="0" w:color="auto"/>
                    <w:left w:val="single" w:sz="4" w:space="0" w:color="auto"/>
                    <w:right w:val="single" w:sz="4" w:space="0" w:color="auto"/>
                  </w:tcBorders>
                  <w:shd w:val="clear" w:color="auto" w:fill="auto"/>
                </w:tcPr>
                <w:p w14:paraId="64D64093" w14:textId="77777777" w:rsidR="00066A0D" w:rsidRPr="00D123D4" w:rsidRDefault="00066A0D" w:rsidP="00D123D4">
                  <w:pPr>
                    <w:widowControl w:val="0"/>
                    <w:spacing w:beforeLines="20" w:before="48" w:line="259" w:lineRule="auto"/>
                    <w:jc w:val="center"/>
                    <w:rPr>
                      <w:sz w:val="22"/>
                      <w:szCs w:val="22"/>
                      <w:lang w:val="sr-Latn-ME"/>
                    </w:rPr>
                  </w:pPr>
                  <w:r w:rsidRPr="00D123D4">
                    <w:rPr>
                      <w:sz w:val="22"/>
                      <w:szCs w:val="22"/>
                      <w:lang w:val="sr-Latn-ME"/>
                    </w:rPr>
                    <w:t>43% (p=0,0139)</w:t>
                  </w:r>
                  <w:r w:rsidRPr="00D123D4">
                    <w:rPr>
                      <w:sz w:val="22"/>
                      <w:szCs w:val="22"/>
                      <w:vertAlign w:val="superscript"/>
                      <w:lang w:val="sr-Latn-ME"/>
                    </w:rPr>
                    <w:t>7</w:t>
                  </w:r>
                </w:p>
              </w:tc>
              <w:tc>
                <w:tcPr>
                  <w:tcW w:w="1208" w:type="pct"/>
                  <w:gridSpan w:val="4"/>
                  <w:tcBorders>
                    <w:top w:val="single" w:sz="4" w:space="0" w:color="auto"/>
                    <w:left w:val="single" w:sz="4" w:space="0" w:color="auto"/>
                    <w:right w:val="single" w:sz="4" w:space="0" w:color="auto"/>
                  </w:tcBorders>
                  <w:shd w:val="clear" w:color="auto" w:fill="auto"/>
                </w:tcPr>
                <w:p w14:paraId="0A783B8B" w14:textId="77777777" w:rsidR="00066A0D" w:rsidRPr="00D123D4" w:rsidRDefault="00066A0D" w:rsidP="00D123D4">
                  <w:pPr>
                    <w:widowControl w:val="0"/>
                    <w:spacing w:line="259" w:lineRule="auto"/>
                    <w:jc w:val="center"/>
                    <w:rPr>
                      <w:sz w:val="22"/>
                      <w:szCs w:val="22"/>
                      <w:lang w:val="sr-Latn-ME"/>
                    </w:rPr>
                  </w:pPr>
                  <w:r w:rsidRPr="00D123D4">
                    <w:rPr>
                      <w:sz w:val="22"/>
                      <w:szCs w:val="22"/>
                      <w:lang w:val="sr-Latn-ME"/>
                    </w:rPr>
                    <w:t>37% (p=0,0169)</w:t>
                  </w:r>
                  <w:r w:rsidRPr="00D123D4">
                    <w:rPr>
                      <w:sz w:val="22"/>
                      <w:szCs w:val="22"/>
                      <w:vertAlign w:val="superscript"/>
                      <w:lang w:val="sr-Latn-ME"/>
                    </w:rPr>
                    <w:t>7</w:t>
                  </w:r>
                </w:p>
              </w:tc>
            </w:tr>
            <w:tr w:rsidR="00066A0D" w:rsidRPr="00D123D4" w14:paraId="42D771B4" w14:textId="77777777" w:rsidTr="00B656E4">
              <w:trPr>
                <w:cantSplit/>
                <w:trHeight w:val="643"/>
                <w:jc w:val="center"/>
              </w:trPr>
              <w:tc>
                <w:tcPr>
                  <w:tcW w:w="2617" w:type="pct"/>
                  <w:vMerge w:val="restart"/>
                  <w:tcBorders>
                    <w:top w:val="single" w:sz="4" w:space="0" w:color="auto"/>
                    <w:left w:val="single" w:sz="4" w:space="0" w:color="auto"/>
                    <w:right w:val="single" w:sz="4" w:space="0" w:color="auto"/>
                  </w:tcBorders>
                  <w:shd w:val="clear" w:color="auto" w:fill="auto"/>
                </w:tcPr>
                <w:p w14:paraId="747E9C2C" w14:textId="77777777" w:rsidR="00066A0D" w:rsidRPr="00D123D4" w:rsidRDefault="00066A0D" w:rsidP="00D123D4">
                  <w:pPr>
                    <w:widowControl w:val="0"/>
                    <w:spacing w:line="259" w:lineRule="auto"/>
                    <w:rPr>
                      <w:sz w:val="22"/>
                      <w:szCs w:val="22"/>
                      <w:lang w:val="sr-Latn-ME"/>
                    </w:rPr>
                  </w:pPr>
                  <w:r w:rsidRPr="00D123D4">
                    <w:rPr>
                      <w:sz w:val="22"/>
                      <w:szCs w:val="22"/>
                      <w:lang w:val="sr-Latn-ME"/>
                    </w:rPr>
                    <w:t>Udio pacijenata sa 24</w:t>
                  </w:r>
                  <w:r w:rsidRPr="00D123D4">
                    <w:rPr>
                      <w:sz w:val="22"/>
                      <w:szCs w:val="22"/>
                      <w:lang w:val="sr-Latn-ME"/>
                    </w:rPr>
                    <w:noBreakHyphen/>
                    <w:t>nedjeljnom potvrđenom progresijom onesposobljenosti</w:t>
                  </w:r>
                  <w:r w:rsidRPr="00D123D4">
                    <w:rPr>
                      <w:sz w:val="22"/>
                      <w:szCs w:val="22"/>
                      <w:vertAlign w:val="superscript"/>
                      <w:lang w:val="sr-Latn-ME"/>
                    </w:rPr>
                    <w:t>3</w:t>
                  </w:r>
                </w:p>
                <w:p w14:paraId="383A48FC" w14:textId="77777777" w:rsidR="00066A0D" w:rsidRPr="00D123D4" w:rsidRDefault="00066A0D" w:rsidP="00D123D4">
                  <w:pPr>
                    <w:widowControl w:val="0"/>
                    <w:spacing w:line="259" w:lineRule="auto"/>
                    <w:rPr>
                      <w:sz w:val="22"/>
                      <w:szCs w:val="22"/>
                      <w:lang w:val="sr-Latn-ME"/>
                    </w:rPr>
                  </w:pPr>
                  <w:r w:rsidRPr="00D123D4">
                    <w:rPr>
                      <w:sz w:val="22"/>
                      <w:szCs w:val="22"/>
                      <w:lang w:val="sr-Latn-ME"/>
                    </w:rPr>
                    <w:t>Smanjenje rizika (analiza objedinjenih podataka</w:t>
                  </w:r>
                  <w:r w:rsidRPr="00D123D4">
                    <w:rPr>
                      <w:sz w:val="22"/>
                      <w:szCs w:val="22"/>
                      <w:vertAlign w:val="superscript"/>
                      <w:lang w:val="sr-Latn-ME"/>
                    </w:rPr>
                    <w:t>1</w:t>
                  </w:r>
                  <w:r w:rsidRPr="00D123D4">
                    <w:rPr>
                      <w:sz w:val="22"/>
                      <w:szCs w:val="22"/>
                      <w:lang w:val="sr-Latn-ME"/>
                    </w:rPr>
                    <w:t>)</w:t>
                  </w:r>
                </w:p>
                <w:p w14:paraId="2F0EAEE9" w14:textId="77777777" w:rsidR="00066A0D" w:rsidRPr="00D123D4" w:rsidRDefault="00066A0D" w:rsidP="00D123D4">
                  <w:pPr>
                    <w:widowControl w:val="0"/>
                    <w:spacing w:line="259" w:lineRule="auto"/>
                    <w:rPr>
                      <w:sz w:val="22"/>
                      <w:szCs w:val="22"/>
                      <w:lang w:val="sr-Latn-ME"/>
                    </w:rPr>
                  </w:pPr>
                  <w:r w:rsidRPr="00D123D4">
                    <w:rPr>
                      <w:sz w:val="22"/>
                      <w:szCs w:val="22"/>
                      <w:lang w:val="sr-Latn-ME"/>
                    </w:rPr>
                    <w:t>Smanjenje rizika (pojedinačna ispitivanja</w:t>
                  </w:r>
                  <w:r w:rsidRPr="00D123D4">
                    <w:rPr>
                      <w:sz w:val="22"/>
                      <w:szCs w:val="22"/>
                      <w:vertAlign w:val="superscript"/>
                      <w:lang w:val="sr-Latn-ME"/>
                    </w:rPr>
                    <w:t>2</w:t>
                  </w:r>
                  <w:r w:rsidRPr="00D123D4">
                    <w:rPr>
                      <w:sz w:val="22"/>
                      <w:szCs w:val="22"/>
                      <w:lang w:val="sr-Latn-ME"/>
                    </w:rPr>
                    <w:t>)</w:t>
                  </w:r>
                </w:p>
              </w:tc>
              <w:tc>
                <w:tcPr>
                  <w:tcW w:w="2383" w:type="pct"/>
                  <w:gridSpan w:val="7"/>
                  <w:tcBorders>
                    <w:top w:val="single" w:sz="4" w:space="0" w:color="auto"/>
                    <w:left w:val="single" w:sz="4" w:space="0" w:color="auto"/>
                    <w:right w:val="single" w:sz="4" w:space="0" w:color="auto"/>
                  </w:tcBorders>
                  <w:shd w:val="clear" w:color="auto" w:fill="auto"/>
                  <w:vAlign w:val="bottom"/>
                </w:tcPr>
                <w:p w14:paraId="6158DF6F" w14:textId="0C1CB406" w:rsidR="00066A0D" w:rsidRPr="00D123D4" w:rsidRDefault="00066A0D" w:rsidP="00D123D4">
                  <w:pPr>
                    <w:widowControl w:val="0"/>
                    <w:spacing w:line="259" w:lineRule="auto"/>
                    <w:jc w:val="center"/>
                    <w:rPr>
                      <w:sz w:val="22"/>
                      <w:szCs w:val="22"/>
                      <w:lang w:val="sr-Latn-ME"/>
                    </w:rPr>
                  </w:pPr>
                  <w:r w:rsidRPr="00D123D4">
                    <w:rPr>
                      <w:sz w:val="22"/>
                      <w:szCs w:val="22"/>
                      <w:lang w:val="sr-Latn-ME"/>
                    </w:rPr>
                    <w:t xml:space="preserve">7,6% uz </w:t>
                  </w:r>
                  <w:r w:rsidR="00EE13AF" w:rsidRPr="00D123D4">
                    <w:rPr>
                      <w:sz w:val="22"/>
                      <w:szCs w:val="22"/>
                      <w:lang w:val="sr-Latn-ME"/>
                    </w:rPr>
                    <w:t xml:space="preserve">okrelizumab </w:t>
                  </w:r>
                  <w:r w:rsidRPr="00D123D4">
                    <w:rPr>
                      <w:sz w:val="22"/>
                      <w:szCs w:val="22"/>
                      <w:lang w:val="sr-Latn-ME"/>
                    </w:rPr>
                    <w:t>naspram 12,0% uz IFN</w:t>
                  </w:r>
                </w:p>
                <w:p w14:paraId="29808768" w14:textId="77777777" w:rsidR="00066A0D" w:rsidRPr="00D123D4" w:rsidRDefault="00066A0D" w:rsidP="00D123D4">
                  <w:pPr>
                    <w:widowControl w:val="0"/>
                    <w:spacing w:line="259" w:lineRule="auto"/>
                    <w:jc w:val="center"/>
                    <w:rPr>
                      <w:sz w:val="22"/>
                      <w:szCs w:val="22"/>
                      <w:lang w:val="sr-Latn-ME"/>
                    </w:rPr>
                  </w:pPr>
                  <w:r w:rsidRPr="00D123D4">
                    <w:rPr>
                      <w:sz w:val="22"/>
                      <w:szCs w:val="22"/>
                      <w:lang w:val="sr-Latn-ME"/>
                    </w:rPr>
                    <w:t>40% (p=0,0025)</w:t>
                  </w:r>
                  <w:r w:rsidRPr="00D123D4">
                    <w:rPr>
                      <w:sz w:val="22"/>
                      <w:szCs w:val="22"/>
                      <w:vertAlign w:val="superscript"/>
                      <w:lang w:val="sr-Latn-ME"/>
                    </w:rPr>
                    <w:t>7</w:t>
                  </w:r>
                </w:p>
              </w:tc>
            </w:tr>
            <w:tr w:rsidR="00066A0D" w:rsidRPr="00D123D4" w14:paraId="5B314698" w14:textId="77777777" w:rsidTr="00B656E4">
              <w:trPr>
                <w:cantSplit/>
                <w:trHeight w:val="268"/>
                <w:jc w:val="center"/>
              </w:trPr>
              <w:tc>
                <w:tcPr>
                  <w:tcW w:w="2617" w:type="pct"/>
                  <w:vMerge/>
                  <w:tcBorders>
                    <w:left w:val="single" w:sz="4" w:space="0" w:color="auto"/>
                    <w:bottom w:val="single" w:sz="4" w:space="0" w:color="auto"/>
                    <w:right w:val="single" w:sz="4" w:space="0" w:color="auto"/>
                  </w:tcBorders>
                  <w:shd w:val="clear" w:color="auto" w:fill="auto"/>
                </w:tcPr>
                <w:p w14:paraId="5E31E6D2" w14:textId="77777777" w:rsidR="00066A0D" w:rsidRPr="00D123D4" w:rsidRDefault="00066A0D" w:rsidP="00D123D4">
                  <w:pPr>
                    <w:widowControl w:val="0"/>
                    <w:spacing w:line="259" w:lineRule="auto"/>
                    <w:rPr>
                      <w:rFonts w:eastAsiaTheme="minorHAnsi"/>
                      <w:sz w:val="22"/>
                      <w:szCs w:val="22"/>
                      <w:lang w:val="sr-Latn-ME"/>
                    </w:rPr>
                  </w:pPr>
                </w:p>
              </w:tc>
              <w:tc>
                <w:tcPr>
                  <w:tcW w:w="1175" w:type="pct"/>
                  <w:gridSpan w:val="3"/>
                  <w:tcBorders>
                    <w:top w:val="single" w:sz="4" w:space="0" w:color="auto"/>
                    <w:left w:val="single" w:sz="4" w:space="0" w:color="auto"/>
                    <w:right w:val="single" w:sz="4" w:space="0" w:color="auto"/>
                  </w:tcBorders>
                  <w:shd w:val="clear" w:color="auto" w:fill="auto"/>
                </w:tcPr>
                <w:p w14:paraId="3B70FDBA" w14:textId="77777777" w:rsidR="00066A0D" w:rsidRPr="00D123D4" w:rsidRDefault="00066A0D" w:rsidP="00D123D4">
                  <w:pPr>
                    <w:widowControl w:val="0"/>
                    <w:spacing w:line="259" w:lineRule="auto"/>
                    <w:jc w:val="center"/>
                    <w:rPr>
                      <w:sz w:val="22"/>
                      <w:szCs w:val="22"/>
                      <w:lang w:val="sr-Latn-ME"/>
                    </w:rPr>
                  </w:pPr>
                  <w:r w:rsidRPr="00D123D4">
                    <w:rPr>
                      <w:sz w:val="22"/>
                      <w:szCs w:val="22"/>
                      <w:lang w:val="sr-Latn-ME"/>
                    </w:rPr>
                    <w:t>43% (p=0,0278)</w:t>
                  </w:r>
                  <w:r w:rsidRPr="00D123D4">
                    <w:rPr>
                      <w:sz w:val="22"/>
                      <w:szCs w:val="22"/>
                      <w:vertAlign w:val="superscript"/>
                      <w:lang w:val="sr-Latn-ME"/>
                    </w:rPr>
                    <w:t>7</w:t>
                  </w:r>
                </w:p>
              </w:tc>
              <w:tc>
                <w:tcPr>
                  <w:tcW w:w="1208" w:type="pct"/>
                  <w:gridSpan w:val="4"/>
                  <w:tcBorders>
                    <w:top w:val="single" w:sz="4" w:space="0" w:color="auto"/>
                    <w:left w:val="single" w:sz="4" w:space="0" w:color="auto"/>
                    <w:right w:val="single" w:sz="4" w:space="0" w:color="auto"/>
                  </w:tcBorders>
                  <w:shd w:val="clear" w:color="auto" w:fill="auto"/>
                </w:tcPr>
                <w:p w14:paraId="78C29093" w14:textId="77777777" w:rsidR="00066A0D" w:rsidRPr="00D123D4" w:rsidRDefault="00066A0D" w:rsidP="00D123D4">
                  <w:pPr>
                    <w:widowControl w:val="0"/>
                    <w:spacing w:line="259" w:lineRule="auto"/>
                    <w:jc w:val="center"/>
                    <w:rPr>
                      <w:sz w:val="22"/>
                      <w:szCs w:val="22"/>
                      <w:lang w:val="sr-Latn-ME"/>
                    </w:rPr>
                  </w:pPr>
                  <w:r w:rsidRPr="00D123D4">
                    <w:rPr>
                      <w:sz w:val="22"/>
                      <w:szCs w:val="22"/>
                      <w:lang w:val="sr-Latn-ME"/>
                    </w:rPr>
                    <w:t>37% (p=0,0370)</w:t>
                  </w:r>
                  <w:r w:rsidRPr="00D123D4">
                    <w:rPr>
                      <w:sz w:val="22"/>
                      <w:szCs w:val="22"/>
                      <w:vertAlign w:val="superscript"/>
                      <w:lang w:val="sr-Latn-ME"/>
                    </w:rPr>
                    <w:t>7</w:t>
                  </w:r>
                </w:p>
              </w:tc>
            </w:tr>
            <w:tr w:rsidR="00066A0D" w:rsidRPr="00D123D4" w14:paraId="36AAEB9A" w14:textId="77777777" w:rsidTr="00B656E4">
              <w:trPr>
                <w:cantSplit/>
                <w:trHeight w:hRule="exact" w:val="919"/>
                <w:jc w:val="center"/>
              </w:trPr>
              <w:tc>
                <w:tcPr>
                  <w:tcW w:w="2617" w:type="pct"/>
                  <w:tcBorders>
                    <w:top w:val="single" w:sz="4" w:space="0" w:color="auto"/>
                    <w:left w:val="single" w:sz="4" w:space="0" w:color="auto"/>
                    <w:right w:val="single" w:sz="4" w:space="0" w:color="auto"/>
                  </w:tcBorders>
                  <w:shd w:val="clear" w:color="auto" w:fill="auto"/>
                </w:tcPr>
                <w:p w14:paraId="0C6E2457" w14:textId="77777777" w:rsidR="00066A0D" w:rsidRPr="00D123D4" w:rsidRDefault="00066A0D" w:rsidP="00D123D4">
                  <w:pPr>
                    <w:widowControl w:val="0"/>
                    <w:spacing w:line="259" w:lineRule="auto"/>
                    <w:rPr>
                      <w:rFonts w:eastAsiaTheme="minorHAnsi"/>
                      <w:sz w:val="22"/>
                      <w:szCs w:val="22"/>
                      <w:lang w:val="sr-Latn-ME"/>
                    </w:rPr>
                  </w:pPr>
                  <w:r w:rsidRPr="00D123D4">
                    <w:rPr>
                      <w:rFonts w:eastAsiaTheme="minorHAnsi"/>
                      <w:sz w:val="22"/>
                      <w:szCs w:val="22"/>
                      <w:lang w:val="sr-Latn-ME"/>
                    </w:rPr>
                    <w:t>Udio pacijenata sa najmanje 12</w:t>
                  </w:r>
                  <w:r w:rsidRPr="00D123D4">
                    <w:rPr>
                      <w:rFonts w:eastAsiaTheme="minorHAnsi"/>
                      <w:sz w:val="22"/>
                      <w:szCs w:val="22"/>
                      <w:lang w:val="sr-Latn-ME"/>
                    </w:rPr>
                    <w:noBreakHyphen/>
                    <w:t>nedjeljnim potvrđenim poboljšanjem onesposobljenosti</w:t>
                  </w:r>
                  <w:r w:rsidRPr="00D123D4">
                    <w:rPr>
                      <w:rFonts w:eastAsiaTheme="minorHAnsi"/>
                      <w:sz w:val="22"/>
                      <w:szCs w:val="22"/>
                      <w:vertAlign w:val="superscript"/>
                      <w:lang w:val="sr-Latn-ME"/>
                    </w:rPr>
                    <w:t>4</w:t>
                  </w:r>
                  <w:r w:rsidRPr="00D123D4">
                    <w:rPr>
                      <w:rFonts w:eastAsiaTheme="minorHAnsi"/>
                      <w:sz w:val="22"/>
                      <w:szCs w:val="22"/>
                      <w:lang w:val="sr-Latn-ME"/>
                    </w:rPr>
                    <w:t xml:space="preserve"> </w:t>
                  </w:r>
                </w:p>
              </w:tc>
              <w:tc>
                <w:tcPr>
                  <w:tcW w:w="2383" w:type="pct"/>
                  <w:gridSpan w:val="7"/>
                  <w:tcBorders>
                    <w:top w:val="single" w:sz="4" w:space="0" w:color="auto"/>
                    <w:left w:val="single" w:sz="4" w:space="0" w:color="auto"/>
                    <w:bottom w:val="single" w:sz="4" w:space="0" w:color="auto"/>
                    <w:right w:val="single" w:sz="4" w:space="0" w:color="auto"/>
                  </w:tcBorders>
                  <w:shd w:val="clear" w:color="auto" w:fill="auto"/>
                </w:tcPr>
                <w:p w14:paraId="7874DF64" w14:textId="44331362"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 xml:space="preserve">20,7% uz </w:t>
                  </w:r>
                  <w:r w:rsidR="00EE13AF" w:rsidRPr="00D123D4">
                    <w:rPr>
                      <w:rFonts w:eastAsiaTheme="minorHAnsi"/>
                      <w:sz w:val="22"/>
                      <w:szCs w:val="22"/>
                      <w:lang w:val="sr-Latn-ME"/>
                    </w:rPr>
                    <w:t xml:space="preserve">okrelizumab </w:t>
                  </w:r>
                  <w:r w:rsidRPr="00D123D4">
                    <w:rPr>
                      <w:rFonts w:eastAsiaTheme="minorHAnsi"/>
                      <w:sz w:val="22"/>
                      <w:szCs w:val="22"/>
                      <w:lang w:val="sr-Latn-ME"/>
                    </w:rPr>
                    <w:t>naspram 15,6% uz IFN</w:t>
                  </w:r>
                </w:p>
              </w:tc>
            </w:tr>
            <w:tr w:rsidR="00066A0D" w:rsidRPr="00D123D4" w14:paraId="1021B852" w14:textId="77777777" w:rsidTr="00B656E4">
              <w:trPr>
                <w:cantSplit/>
                <w:trHeight w:hRule="exact" w:val="513"/>
                <w:jc w:val="center"/>
              </w:trPr>
              <w:tc>
                <w:tcPr>
                  <w:tcW w:w="2617" w:type="pct"/>
                  <w:vMerge w:val="restart"/>
                  <w:tcBorders>
                    <w:left w:val="single" w:sz="4" w:space="0" w:color="auto"/>
                    <w:right w:val="single" w:sz="4" w:space="0" w:color="auto"/>
                  </w:tcBorders>
                  <w:shd w:val="clear" w:color="auto" w:fill="auto"/>
                </w:tcPr>
                <w:p w14:paraId="561D388D" w14:textId="77777777" w:rsidR="00066A0D" w:rsidRPr="00D123D4" w:rsidRDefault="00066A0D" w:rsidP="00D123D4">
                  <w:pPr>
                    <w:widowControl w:val="0"/>
                    <w:spacing w:line="240" w:lineRule="exact"/>
                    <w:rPr>
                      <w:rFonts w:eastAsiaTheme="minorHAnsi"/>
                      <w:sz w:val="22"/>
                      <w:szCs w:val="22"/>
                      <w:lang w:val="sr-Latn-ME"/>
                    </w:rPr>
                  </w:pPr>
                  <w:r w:rsidRPr="00D123D4">
                    <w:rPr>
                      <w:rFonts w:eastAsiaTheme="minorHAnsi"/>
                      <w:sz w:val="22"/>
                      <w:szCs w:val="22"/>
                      <w:lang w:val="sr-Latn-ME"/>
                    </w:rPr>
                    <w:t>Relativno povećanje (analiza objedinjenih podataka</w:t>
                  </w:r>
                  <w:r w:rsidRPr="00D123D4">
                    <w:rPr>
                      <w:rFonts w:eastAsiaTheme="minorHAnsi"/>
                      <w:sz w:val="22"/>
                      <w:szCs w:val="22"/>
                      <w:vertAlign w:val="superscript"/>
                      <w:lang w:val="sr-Latn-ME"/>
                    </w:rPr>
                    <w:t>1</w:t>
                  </w:r>
                  <w:r w:rsidRPr="00D123D4">
                    <w:rPr>
                      <w:rFonts w:eastAsiaTheme="minorHAnsi"/>
                      <w:sz w:val="22"/>
                      <w:szCs w:val="22"/>
                      <w:lang w:val="sr-Latn-ME"/>
                    </w:rPr>
                    <w:t>)</w:t>
                  </w:r>
                </w:p>
                <w:p w14:paraId="3A0F6F9C" w14:textId="77777777" w:rsidR="00066A0D" w:rsidRPr="00D123D4" w:rsidRDefault="00066A0D" w:rsidP="00D123D4">
                  <w:pPr>
                    <w:widowControl w:val="0"/>
                    <w:spacing w:line="240" w:lineRule="exact"/>
                    <w:rPr>
                      <w:rFonts w:eastAsiaTheme="minorHAnsi"/>
                      <w:sz w:val="22"/>
                      <w:szCs w:val="22"/>
                      <w:lang w:val="sr-Latn-ME"/>
                    </w:rPr>
                  </w:pPr>
                  <w:r w:rsidRPr="00D123D4">
                    <w:rPr>
                      <w:rFonts w:eastAsiaTheme="minorHAnsi"/>
                      <w:sz w:val="22"/>
                      <w:szCs w:val="22"/>
                      <w:lang w:val="sr-Latn-ME"/>
                    </w:rPr>
                    <w:t>Relativno povećanje (pojedinačna ispitivanja</w:t>
                  </w:r>
                  <w:r w:rsidRPr="00D123D4">
                    <w:rPr>
                      <w:rFonts w:eastAsiaTheme="minorHAnsi"/>
                      <w:sz w:val="22"/>
                      <w:szCs w:val="22"/>
                      <w:vertAlign w:val="superscript"/>
                      <w:lang w:val="sr-Latn-ME"/>
                    </w:rPr>
                    <w:t>2</w:t>
                  </w:r>
                  <w:r w:rsidRPr="00D123D4">
                    <w:rPr>
                      <w:rFonts w:eastAsiaTheme="minorHAnsi"/>
                      <w:sz w:val="22"/>
                      <w:szCs w:val="22"/>
                      <w:lang w:val="sr-Latn-ME"/>
                    </w:rPr>
                    <w:t>)</w:t>
                  </w:r>
                </w:p>
                <w:p w14:paraId="7D398D35" w14:textId="77777777" w:rsidR="00066A0D" w:rsidRPr="00D123D4" w:rsidRDefault="00066A0D" w:rsidP="00D123D4">
                  <w:pPr>
                    <w:widowControl w:val="0"/>
                    <w:spacing w:line="240" w:lineRule="exact"/>
                    <w:rPr>
                      <w:rFonts w:eastAsiaTheme="minorHAnsi"/>
                      <w:sz w:val="22"/>
                      <w:szCs w:val="22"/>
                      <w:lang w:val="sr-Latn-ME"/>
                    </w:rPr>
                  </w:pPr>
                </w:p>
              </w:tc>
              <w:tc>
                <w:tcPr>
                  <w:tcW w:w="2383" w:type="pct"/>
                  <w:gridSpan w:val="7"/>
                  <w:tcBorders>
                    <w:top w:val="single" w:sz="4" w:space="0" w:color="auto"/>
                    <w:left w:val="single" w:sz="4" w:space="0" w:color="auto"/>
                    <w:bottom w:val="single" w:sz="4" w:space="0" w:color="auto"/>
                    <w:right w:val="single" w:sz="4" w:space="0" w:color="auto"/>
                  </w:tcBorders>
                  <w:shd w:val="clear" w:color="auto" w:fill="auto"/>
                </w:tcPr>
                <w:p w14:paraId="23EB2CC8" w14:textId="77777777"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33% (p=0,0194)</w:t>
                  </w:r>
                </w:p>
              </w:tc>
            </w:tr>
            <w:tr w:rsidR="00066A0D" w:rsidRPr="00D123D4" w14:paraId="336CD808" w14:textId="77777777" w:rsidTr="00B656E4">
              <w:trPr>
                <w:cantSplit/>
                <w:trHeight w:hRule="exact" w:val="421"/>
                <w:jc w:val="center"/>
              </w:trPr>
              <w:tc>
                <w:tcPr>
                  <w:tcW w:w="2617" w:type="pct"/>
                  <w:vMerge/>
                  <w:tcBorders>
                    <w:left w:val="single" w:sz="4" w:space="0" w:color="auto"/>
                    <w:bottom w:val="single" w:sz="4" w:space="0" w:color="auto"/>
                    <w:right w:val="single" w:sz="4" w:space="0" w:color="auto"/>
                  </w:tcBorders>
                  <w:shd w:val="clear" w:color="auto" w:fill="auto"/>
                </w:tcPr>
                <w:p w14:paraId="78A8D616" w14:textId="77777777" w:rsidR="00066A0D" w:rsidRPr="00D123D4" w:rsidRDefault="00066A0D" w:rsidP="00D123D4">
                  <w:pPr>
                    <w:widowControl w:val="0"/>
                    <w:spacing w:line="240" w:lineRule="exact"/>
                    <w:rPr>
                      <w:rFonts w:eastAsiaTheme="minorHAnsi"/>
                      <w:sz w:val="22"/>
                      <w:szCs w:val="22"/>
                      <w:lang w:val="sr-Latn-ME"/>
                    </w:rPr>
                  </w:pPr>
                </w:p>
              </w:tc>
              <w:tc>
                <w:tcPr>
                  <w:tcW w:w="1208" w:type="pct"/>
                  <w:gridSpan w:val="4"/>
                  <w:tcBorders>
                    <w:top w:val="single" w:sz="4" w:space="0" w:color="auto"/>
                    <w:left w:val="single" w:sz="4" w:space="0" w:color="auto"/>
                    <w:bottom w:val="single" w:sz="4" w:space="0" w:color="auto"/>
                    <w:right w:val="single" w:sz="4" w:space="0" w:color="auto"/>
                  </w:tcBorders>
                  <w:shd w:val="clear" w:color="auto" w:fill="auto"/>
                </w:tcPr>
                <w:p w14:paraId="002A01F5" w14:textId="77777777" w:rsidR="00066A0D" w:rsidRPr="00D123D4" w:rsidRDefault="00066A0D" w:rsidP="00D123D4">
                  <w:pPr>
                    <w:widowControl w:val="0"/>
                    <w:spacing w:line="259" w:lineRule="auto"/>
                    <w:jc w:val="center"/>
                    <w:rPr>
                      <w:rFonts w:eastAsiaTheme="minorHAnsi"/>
                      <w:sz w:val="22"/>
                      <w:szCs w:val="22"/>
                      <w:lang w:val="sr-Latn-ME"/>
                    </w:rPr>
                  </w:pPr>
                  <w:r w:rsidRPr="00D123D4">
                    <w:rPr>
                      <w:rFonts w:eastAsiaTheme="minorHAnsi"/>
                      <w:sz w:val="22"/>
                      <w:szCs w:val="22"/>
                      <w:lang w:val="sr-Latn-ME"/>
                    </w:rPr>
                    <w:t>61% (p=0,0106)</w:t>
                  </w:r>
                </w:p>
              </w:tc>
              <w:tc>
                <w:tcPr>
                  <w:tcW w:w="1175" w:type="pct"/>
                  <w:gridSpan w:val="3"/>
                  <w:tcBorders>
                    <w:top w:val="single" w:sz="4" w:space="0" w:color="auto"/>
                    <w:left w:val="single" w:sz="4" w:space="0" w:color="auto"/>
                    <w:bottom w:val="single" w:sz="4" w:space="0" w:color="auto"/>
                    <w:right w:val="single" w:sz="4" w:space="0" w:color="auto"/>
                  </w:tcBorders>
                  <w:shd w:val="clear" w:color="auto" w:fill="auto"/>
                </w:tcPr>
                <w:p w14:paraId="6699C022" w14:textId="77777777" w:rsidR="00066A0D" w:rsidRPr="00D123D4" w:rsidRDefault="00066A0D" w:rsidP="00D123D4">
                  <w:pPr>
                    <w:widowControl w:val="0"/>
                    <w:spacing w:line="259" w:lineRule="auto"/>
                    <w:jc w:val="center"/>
                    <w:rPr>
                      <w:rFonts w:eastAsiaTheme="minorHAnsi"/>
                      <w:sz w:val="22"/>
                      <w:szCs w:val="22"/>
                      <w:lang w:val="sr-Latn-ME"/>
                    </w:rPr>
                  </w:pPr>
                  <w:r w:rsidRPr="00D123D4">
                    <w:rPr>
                      <w:rFonts w:eastAsiaTheme="minorHAnsi"/>
                      <w:sz w:val="22"/>
                      <w:szCs w:val="22"/>
                      <w:lang w:val="sr-Latn-ME"/>
                    </w:rPr>
                    <w:t>14% (p=0,4019)</w:t>
                  </w:r>
                </w:p>
              </w:tc>
            </w:tr>
            <w:tr w:rsidR="00066A0D" w:rsidRPr="00D123D4" w14:paraId="4998BFA8" w14:textId="77777777" w:rsidTr="00B656E4">
              <w:trPr>
                <w:cantSplit/>
                <w:trHeight w:hRule="exact" w:val="293"/>
                <w:jc w:val="center"/>
              </w:trPr>
              <w:tc>
                <w:tcPr>
                  <w:tcW w:w="2617" w:type="pct"/>
                  <w:vMerge w:val="restart"/>
                  <w:tcBorders>
                    <w:left w:val="single" w:sz="4" w:space="0" w:color="auto"/>
                    <w:right w:val="single" w:sz="4" w:space="0" w:color="auto"/>
                  </w:tcBorders>
                  <w:shd w:val="clear" w:color="auto" w:fill="auto"/>
                  <w:vAlign w:val="center"/>
                </w:tcPr>
                <w:p w14:paraId="71A8808C" w14:textId="50095E48" w:rsidR="00066A0D" w:rsidRPr="00D123D4" w:rsidRDefault="00066A0D" w:rsidP="00D123D4">
                  <w:pPr>
                    <w:widowControl w:val="0"/>
                    <w:spacing w:line="240" w:lineRule="exact"/>
                    <w:rPr>
                      <w:rFonts w:eastAsiaTheme="minorHAnsi"/>
                      <w:sz w:val="22"/>
                      <w:szCs w:val="22"/>
                      <w:lang w:val="sr-Latn-ME"/>
                    </w:rPr>
                  </w:pPr>
                  <w:r w:rsidRPr="00D123D4">
                    <w:rPr>
                      <w:rFonts w:eastAsiaTheme="minorHAnsi"/>
                      <w:sz w:val="22"/>
                      <w:szCs w:val="22"/>
                      <w:lang w:val="sr-Latn-ME"/>
                    </w:rPr>
                    <w:t>Udio pacijenata bez relapsa u 96. nedjelji</w:t>
                  </w:r>
                  <w:r w:rsidR="00372462" w:rsidRPr="00D123D4">
                    <w:rPr>
                      <w:rFonts w:eastAsiaTheme="minorHAnsi"/>
                      <w:sz w:val="22"/>
                      <w:szCs w:val="22"/>
                      <w:vertAlign w:val="superscript"/>
                      <w:lang w:val="sr-Latn-ME"/>
                    </w:rPr>
                    <w:t>2</w:t>
                  </w:r>
                </w:p>
              </w:tc>
              <w:tc>
                <w:tcPr>
                  <w:tcW w:w="587" w:type="pct"/>
                  <w:tcBorders>
                    <w:top w:val="single" w:sz="4" w:space="0" w:color="auto"/>
                    <w:left w:val="single" w:sz="4" w:space="0" w:color="auto"/>
                    <w:bottom w:val="single" w:sz="4" w:space="0" w:color="auto"/>
                    <w:right w:val="single" w:sz="4" w:space="0" w:color="auto"/>
                  </w:tcBorders>
                  <w:shd w:val="clear" w:color="auto" w:fill="auto"/>
                </w:tcPr>
                <w:p w14:paraId="68586C4C" w14:textId="77777777" w:rsidR="00066A0D" w:rsidRPr="00D123D4" w:rsidRDefault="00066A0D" w:rsidP="00D123D4">
                  <w:pPr>
                    <w:widowControl w:val="0"/>
                    <w:spacing w:line="259" w:lineRule="auto"/>
                    <w:jc w:val="center"/>
                    <w:rPr>
                      <w:rFonts w:eastAsiaTheme="minorHAnsi"/>
                      <w:sz w:val="22"/>
                      <w:szCs w:val="22"/>
                      <w:lang w:val="sr-Latn-ME"/>
                    </w:rPr>
                  </w:pPr>
                  <w:r w:rsidRPr="00D123D4">
                    <w:rPr>
                      <w:rFonts w:eastAsiaTheme="minorHAnsi"/>
                      <w:sz w:val="22"/>
                      <w:szCs w:val="22"/>
                      <w:shd w:val="clear" w:color="auto" w:fill="FFFFFF"/>
                      <w:lang w:val="sr-Latn-ME"/>
                    </w:rPr>
                    <w:t>80,4%</w:t>
                  </w:r>
                </w:p>
              </w:tc>
              <w:tc>
                <w:tcPr>
                  <w:tcW w:w="621" w:type="pct"/>
                  <w:gridSpan w:val="3"/>
                  <w:tcBorders>
                    <w:top w:val="single" w:sz="4" w:space="0" w:color="auto"/>
                    <w:left w:val="single" w:sz="4" w:space="0" w:color="auto"/>
                    <w:bottom w:val="single" w:sz="4" w:space="0" w:color="auto"/>
                    <w:right w:val="single" w:sz="4" w:space="0" w:color="auto"/>
                  </w:tcBorders>
                  <w:shd w:val="clear" w:color="auto" w:fill="auto"/>
                </w:tcPr>
                <w:p w14:paraId="233FA01D" w14:textId="77777777" w:rsidR="00066A0D" w:rsidRPr="00D123D4" w:rsidRDefault="00066A0D" w:rsidP="00D123D4">
                  <w:pPr>
                    <w:widowControl w:val="0"/>
                    <w:spacing w:line="259" w:lineRule="auto"/>
                    <w:jc w:val="center"/>
                    <w:rPr>
                      <w:rFonts w:eastAsiaTheme="minorHAnsi"/>
                      <w:sz w:val="22"/>
                      <w:szCs w:val="22"/>
                      <w:lang w:val="sr-Latn-ME"/>
                    </w:rPr>
                  </w:pPr>
                  <w:r w:rsidRPr="00D123D4">
                    <w:rPr>
                      <w:rFonts w:eastAsiaTheme="minorHAnsi"/>
                      <w:sz w:val="22"/>
                      <w:szCs w:val="22"/>
                      <w:shd w:val="clear" w:color="auto" w:fill="FFFFFF"/>
                      <w:lang w:val="sr-Latn-ME"/>
                    </w:rPr>
                    <w:t>66,7%</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5AEE3FB7" w14:textId="77777777" w:rsidR="00066A0D" w:rsidRPr="00D123D4" w:rsidRDefault="00066A0D" w:rsidP="00D123D4">
                  <w:pPr>
                    <w:widowControl w:val="0"/>
                    <w:spacing w:line="259" w:lineRule="auto"/>
                    <w:jc w:val="center"/>
                    <w:rPr>
                      <w:rFonts w:eastAsiaTheme="minorHAnsi"/>
                      <w:sz w:val="22"/>
                      <w:szCs w:val="22"/>
                      <w:lang w:val="sr-Latn-ME"/>
                    </w:rPr>
                  </w:pPr>
                  <w:r w:rsidRPr="00D123D4">
                    <w:rPr>
                      <w:rFonts w:eastAsiaTheme="minorHAnsi"/>
                      <w:sz w:val="22"/>
                      <w:szCs w:val="22"/>
                      <w:shd w:val="clear" w:color="auto" w:fill="FFFFFF"/>
                      <w:lang w:val="sr-Latn-ME"/>
                    </w:rPr>
                    <w:t>78,9%</w:t>
                  </w:r>
                </w:p>
              </w:tc>
              <w:tc>
                <w:tcPr>
                  <w:tcW w:w="621" w:type="pct"/>
                  <w:gridSpan w:val="2"/>
                  <w:tcBorders>
                    <w:top w:val="single" w:sz="4" w:space="0" w:color="auto"/>
                    <w:left w:val="single" w:sz="4" w:space="0" w:color="auto"/>
                    <w:bottom w:val="single" w:sz="4" w:space="0" w:color="auto"/>
                    <w:right w:val="single" w:sz="4" w:space="0" w:color="auto"/>
                  </w:tcBorders>
                  <w:shd w:val="clear" w:color="auto" w:fill="auto"/>
                </w:tcPr>
                <w:p w14:paraId="010F3EC1" w14:textId="77777777" w:rsidR="00066A0D" w:rsidRPr="00D123D4" w:rsidRDefault="00066A0D" w:rsidP="00D123D4">
                  <w:pPr>
                    <w:widowControl w:val="0"/>
                    <w:spacing w:line="259" w:lineRule="auto"/>
                    <w:jc w:val="center"/>
                    <w:rPr>
                      <w:rFonts w:eastAsiaTheme="minorHAnsi"/>
                      <w:sz w:val="22"/>
                      <w:szCs w:val="22"/>
                      <w:shd w:val="clear" w:color="auto" w:fill="FFFFFF"/>
                      <w:lang w:val="sr-Latn-ME"/>
                    </w:rPr>
                  </w:pPr>
                  <w:r w:rsidRPr="00D123D4">
                    <w:rPr>
                      <w:rFonts w:eastAsiaTheme="minorHAnsi"/>
                      <w:sz w:val="22"/>
                      <w:szCs w:val="22"/>
                      <w:shd w:val="clear" w:color="auto" w:fill="FFFFFF"/>
                      <w:lang w:val="sr-Latn-ME"/>
                    </w:rPr>
                    <w:t>64,3%</w:t>
                  </w:r>
                </w:p>
                <w:p w14:paraId="40E71B79" w14:textId="77777777" w:rsidR="00066A0D" w:rsidRPr="00D123D4" w:rsidRDefault="00066A0D" w:rsidP="00D123D4">
                  <w:pPr>
                    <w:widowControl w:val="0"/>
                    <w:spacing w:line="259" w:lineRule="auto"/>
                    <w:jc w:val="center"/>
                    <w:rPr>
                      <w:rFonts w:eastAsiaTheme="minorHAnsi"/>
                      <w:sz w:val="22"/>
                      <w:szCs w:val="22"/>
                      <w:shd w:val="clear" w:color="auto" w:fill="FFFFFF"/>
                      <w:lang w:val="sr-Latn-ME"/>
                    </w:rPr>
                  </w:pPr>
                </w:p>
                <w:p w14:paraId="7D15D4FC" w14:textId="77777777" w:rsidR="00066A0D" w:rsidRPr="00D123D4" w:rsidRDefault="00066A0D" w:rsidP="00D123D4">
                  <w:pPr>
                    <w:widowControl w:val="0"/>
                    <w:spacing w:line="259" w:lineRule="auto"/>
                    <w:jc w:val="center"/>
                    <w:rPr>
                      <w:rFonts w:eastAsiaTheme="minorHAnsi"/>
                      <w:sz w:val="22"/>
                      <w:szCs w:val="22"/>
                      <w:lang w:val="sr-Latn-ME"/>
                    </w:rPr>
                  </w:pPr>
                </w:p>
              </w:tc>
            </w:tr>
            <w:tr w:rsidR="00066A0D" w:rsidRPr="00D123D4" w14:paraId="3DDF16CD" w14:textId="77777777" w:rsidTr="00B656E4">
              <w:trPr>
                <w:cantSplit/>
                <w:trHeight w:hRule="exact" w:val="286"/>
                <w:jc w:val="center"/>
              </w:trPr>
              <w:tc>
                <w:tcPr>
                  <w:tcW w:w="2617" w:type="pct"/>
                  <w:vMerge/>
                  <w:tcBorders>
                    <w:left w:val="single" w:sz="4" w:space="0" w:color="auto"/>
                    <w:bottom w:val="single" w:sz="4" w:space="0" w:color="auto"/>
                    <w:right w:val="single" w:sz="4" w:space="0" w:color="auto"/>
                  </w:tcBorders>
                  <w:shd w:val="clear" w:color="auto" w:fill="auto"/>
                </w:tcPr>
                <w:p w14:paraId="03FD7078" w14:textId="77777777" w:rsidR="00066A0D" w:rsidRPr="00D123D4" w:rsidRDefault="00066A0D" w:rsidP="00D123D4">
                  <w:pPr>
                    <w:widowControl w:val="0"/>
                    <w:spacing w:line="240" w:lineRule="exact"/>
                    <w:rPr>
                      <w:rFonts w:eastAsiaTheme="minorHAnsi"/>
                      <w:sz w:val="22"/>
                      <w:szCs w:val="22"/>
                      <w:lang w:val="sr-Latn-ME"/>
                    </w:rPr>
                  </w:pPr>
                </w:p>
              </w:tc>
              <w:tc>
                <w:tcPr>
                  <w:tcW w:w="1208" w:type="pct"/>
                  <w:gridSpan w:val="4"/>
                  <w:tcBorders>
                    <w:top w:val="single" w:sz="4" w:space="0" w:color="auto"/>
                    <w:left w:val="single" w:sz="4" w:space="0" w:color="auto"/>
                    <w:bottom w:val="single" w:sz="4" w:space="0" w:color="auto"/>
                    <w:right w:val="single" w:sz="4" w:space="0" w:color="auto"/>
                  </w:tcBorders>
                  <w:shd w:val="clear" w:color="auto" w:fill="auto"/>
                </w:tcPr>
                <w:p w14:paraId="2CD0564E" w14:textId="77777777" w:rsidR="00066A0D" w:rsidRPr="00D123D4" w:rsidRDefault="00066A0D" w:rsidP="00D123D4">
                  <w:pPr>
                    <w:widowControl w:val="0"/>
                    <w:spacing w:line="259" w:lineRule="auto"/>
                    <w:jc w:val="center"/>
                    <w:rPr>
                      <w:rFonts w:eastAsiaTheme="minorHAnsi"/>
                      <w:sz w:val="22"/>
                      <w:szCs w:val="22"/>
                      <w:shd w:val="clear" w:color="auto" w:fill="FFFFFF"/>
                      <w:lang w:val="sr-Latn-ME"/>
                    </w:rPr>
                  </w:pPr>
                  <w:r w:rsidRPr="00D123D4">
                    <w:rPr>
                      <w:rFonts w:eastAsiaTheme="minorHAnsi"/>
                      <w:sz w:val="22"/>
                      <w:szCs w:val="22"/>
                      <w:shd w:val="clear" w:color="auto" w:fill="FFFFFF"/>
                      <w:lang w:val="sr-Latn-ME"/>
                    </w:rPr>
                    <w:t>(p &lt; 0,0001)</w:t>
                  </w:r>
                </w:p>
              </w:tc>
              <w:tc>
                <w:tcPr>
                  <w:tcW w:w="1175" w:type="pct"/>
                  <w:gridSpan w:val="3"/>
                  <w:tcBorders>
                    <w:top w:val="single" w:sz="4" w:space="0" w:color="auto"/>
                    <w:left w:val="single" w:sz="4" w:space="0" w:color="auto"/>
                    <w:bottom w:val="single" w:sz="4" w:space="0" w:color="auto"/>
                    <w:right w:val="single" w:sz="4" w:space="0" w:color="auto"/>
                  </w:tcBorders>
                  <w:shd w:val="clear" w:color="auto" w:fill="auto"/>
                </w:tcPr>
                <w:p w14:paraId="4F8BB657" w14:textId="77777777" w:rsidR="00066A0D" w:rsidRPr="00D123D4" w:rsidRDefault="00066A0D" w:rsidP="00D123D4">
                  <w:pPr>
                    <w:widowControl w:val="0"/>
                    <w:spacing w:line="259" w:lineRule="auto"/>
                    <w:jc w:val="center"/>
                    <w:rPr>
                      <w:rFonts w:eastAsiaTheme="minorHAnsi"/>
                      <w:sz w:val="22"/>
                      <w:szCs w:val="22"/>
                      <w:shd w:val="clear" w:color="auto" w:fill="FFFFFF"/>
                      <w:lang w:val="sr-Latn-ME"/>
                    </w:rPr>
                  </w:pPr>
                  <w:r w:rsidRPr="00D123D4">
                    <w:rPr>
                      <w:rFonts w:eastAsiaTheme="minorHAnsi"/>
                      <w:sz w:val="22"/>
                      <w:szCs w:val="22"/>
                      <w:shd w:val="clear" w:color="auto" w:fill="FFFFFF"/>
                      <w:lang w:val="sr-Latn-ME"/>
                    </w:rPr>
                    <w:t>(p &lt; 0,0001)</w:t>
                  </w:r>
                </w:p>
              </w:tc>
            </w:tr>
            <w:tr w:rsidR="00066A0D" w:rsidRPr="00D123D4" w14:paraId="061AB867" w14:textId="77777777" w:rsidTr="00B656E4">
              <w:trPr>
                <w:cantSplit/>
                <w:trHeight w:hRule="exact" w:val="651"/>
                <w:jc w:val="center"/>
              </w:trPr>
              <w:tc>
                <w:tcPr>
                  <w:tcW w:w="2617" w:type="pct"/>
                  <w:tcBorders>
                    <w:left w:val="single" w:sz="4" w:space="0" w:color="auto"/>
                    <w:right w:val="single" w:sz="4" w:space="0" w:color="auto"/>
                  </w:tcBorders>
                  <w:shd w:val="clear" w:color="auto" w:fill="auto"/>
                </w:tcPr>
                <w:p w14:paraId="327A7F3B" w14:textId="77777777" w:rsidR="00066A0D" w:rsidRPr="00D123D4" w:rsidRDefault="00066A0D" w:rsidP="00D123D4">
                  <w:pPr>
                    <w:widowControl w:val="0"/>
                    <w:spacing w:line="259" w:lineRule="auto"/>
                    <w:rPr>
                      <w:rFonts w:eastAsiaTheme="minorHAnsi"/>
                      <w:sz w:val="22"/>
                      <w:szCs w:val="22"/>
                      <w:lang w:val="sr-Latn-ME"/>
                    </w:rPr>
                  </w:pPr>
                  <w:r w:rsidRPr="00D123D4">
                    <w:rPr>
                      <w:rFonts w:eastAsiaTheme="minorHAnsi"/>
                      <w:sz w:val="22"/>
                      <w:szCs w:val="22"/>
                      <w:lang w:val="sr-Latn-ME"/>
                    </w:rPr>
                    <w:t>Udio pacijenata bez dokaza aktivnosti bolesti</w:t>
                  </w:r>
                  <w:r w:rsidRPr="00D123D4">
                    <w:rPr>
                      <w:rFonts w:eastAsiaTheme="minorHAnsi"/>
                      <w:sz w:val="22"/>
                      <w:szCs w:val="22"/>
                      <w:vertAlign w:val="superscript"/>
                      <w:lang w:val="sr-Latn-ME"/>
                    </w:rPr>
                    <w:t xml:space="preserve">5 </w:t>
                  </w:r>
                  <w:r w:rsidRPr="00D123D4">
                    <w:rPr>
                      <w:rFonts w:eastAsiaTheme="minorHAnsi"/>
                      <w:sz w:val="22"/>
                      <w:szCs w:val="22"/>
                      <w:lang w:val="sr-Latn-ME"/>
                    </w:rPr>
                    <w:t xml:space="preserve"> (NEDA)</w:t>
                  </w:r>
                </w:p>
              </w:tc>
              <w:tc>
                <w:tcPr>
                  <w:tcW w:w="604" w:type="pct"/>
                  <w:gridSpan w:val="2"/>
                  <w:tcBorders>
                    <w:top w:val="single" w:sz="4" w:space="0" w:color="auto"/>
                    <w:left w:val="single" w:sz="4" w:space="0" w:color="auto"/>
                    <w:bottom w:val="single" w:sz="4" w:space="0" w:color="auto"/>
                    <w:right w:val="single" w:sz="4" w:space="0" w:color="auto"/>
                  </w:tcBorders>
                  <w:shd w:val="clear" w:color="auto" w:fill="auto"/>
                </w:tcPr>
                <w:p w14:paraId="206FBC39" w14:textId="77777777"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48%</w:t>
                  </w:r>
                </w:p>
              </w:tc>
              <w:tc>
                <w:tcPr>
                  <w:tcW w:w="604" w:type="pct"/>
                  <w:gridSpan w:val="2"/>
                  <w:tcBorders>
                    <w:top w:val="single" w:sz="4" w:space="0" w:color="auto"/>
                    <w:left w:val="single" w:sz="4" w:space="0" w:color="auto"/>
                    <w:bottom w:val="single" w:sz="4" w:space="0" w:color="auto"/>
                    <w:right w:val="single" w:sz="4" w:space="0" w:color="auto"/>
                  </w:tcBorders>
                  <w:shd w:val="clear" w:color="auto" w:fill="auto"/>
                </w:tcPr>
                <w:p w14:paraId="79949C9D" w14:textId="77777777"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29%</w:t>
                  </w:r>
                </w:p>
              </w:tc>
              <w:tc>
                <w:tcPr>
                  <w:tcW w:w="571" w:type="pct"/>
                  <w:gridSpan w:val="2"/>
                  <w:tcBorders>
                    <w:top w:val="single" w:sz="4" w:space="0" w:color="auto"/>
                    <w:left w:val="single" w:sz="4" w:space="0" w:color="auto"/>
                    <w:bottom w:val="single" w:sz="4" w:space="0" w:color="auto"/>
                    <w:right w:val="single" w:sz="4" w:space="0" w:color="auto"/>
                  </w:tcBorders>
                  <w:shd w:val="clear" w:color="auto" w:fill="auto"/>
                </w:tcPr>
                <w:p w14:paraId="55491EEE" w14:textId="77777777"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48%</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71347FE0" w14:textId="77777777"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25%</w:t>
                  </w:r>
                </w:p>
              </w:tc>
            </w:tr>
            <w:tr w:rsidR="00066A0D" w:rsidRPr="00D123D4" w14:paraId="6FECCFD3" w14:textId="77777777" w:rsidTr="00B656E4">
              <w:trPr>
                <w:cantSplit/>
                <w:trHeight w:hRule="exact" w:val="403"/>
                <w:jc w:val="center"/>
              </w:trPr>
              <w:tc>
                <w:tcPr>
                  <w:tcW w:w="2617" w:type="pct"/>
                  <w:tcBorders>
                    <w:left w:val="single" w:sz="4" w:space="0" w:color="auto"/>
                    <w:bottom w:val="single" w:sz="4" w:space="0" w:color="auto"/>
                    <w:right w:val="single" w:sz="4" w:space="0" w:color="auto"/>
                  </w:tcBorders>
                  <w:shd w:val="clear" w:color="auto" w:fill="auto"/>
                </w:tcPr>
                <w:p w14:paraId="4A20FCFE" w14:textId="77777777" w:rsidR="00066A0D" w:rsidRPr="00D123D4" w:rsidRDefault="00066A0D" w:rsidP="00D123D4">
                  <w:pPr>
                    <w:widowControl w:val="0"/>
                    <w:spacing w:line="240" w:lineRule="exact"/>
                    <w:rPr>
                      <w:rFonts w:eastAsiaTheme="minorHAnsi"/>
                      <w:sz w:val="22"/>
                      <w:szCs w:val="22"/>
                      <w:vertAlign w:val="superscript"/>
                      <w:lang w:val="sr-Latn-ME"/>
                    </w:rPr>
                  </w:pPr>
                  <w:r w:rsidRPr="00D123D4">
                    <w:rPr>
                      <w:rFonts w:eastAsiaTheme="minorHAnsi"/>
                      <w:sz w:val="22"/>
                      <w:szCs w:val="22"/>
                      <w:lang w:val="sr-Latn-ME"/>
                    </w:rPr>
                    <w:t>Relativno povećanje</w:t>
                  </w:r>
                  <w:r w:rsidRPr="00D123D4">
                    <w:rPr>
                      <w:rFonts w:eastAsiaTheme="minorHAnsi"/>
                      <w:sz w:val="22"/>
                      <w:szCs w:val="22"/>
                      <w:vertAlign w:val="superscript"/>
                      <w:lang w:val="sr-Latn-ME"/>
                    </w:rPr>
                    <w:t>2</w:t>
                  </w:r>
                </w:p>
              </w:tc>
              <w:tc>
                <w:tcPr>
                  <w:tcW w:w="1208" w:type="pct"/>
                  <w:gridSpan w:val="4"/>
                  <w:tcBorders>
                    <w:top w:val="single" w:sz="4" w:space="0" w:color="auto"/>
                    <w:left w:val="single" w:sz="4" w:space="0" w:color="auto"/>
                    <w:bottom w:val="single" w:sz="4" w:space="0" w:color="auto"/>
                    <w:right w:val="single" w:sz="4" w:space="0" w:color="auto"/>
                  </w:tcBorders>
                  <w:shd w:val="clear" w:color="auto" w:fill="auto"/>
                </w:tcPr>
                <w:p w14:paraId="6E96713D" w14:textId="77777777" w:rsidR="00066A0D" w:rsidRPr="00D123D4" w:rsidRDefault="00066A0D" w:rsidP="00D123D4">
                  <w:pPr>
                    <w:widowControl w:val="0"/>
                    <w:spacing w:line="259" w:lineRule="auto"/>
                    <w:jc w:val="center"/>
                    <w:rPr>
                      <w:rFonts w:eastAsiaTheme="minorHAnsi"/>
                      <w:sz w:val="22"/>
                      <w:szCs w:val="22"/>
                      <w:lang w:val="sr-Latn-ME"/>
                    </w:rPr>
                  </w:pPr>
                  <w:r w:rsidRPr="00D123D4">
                    <w:rPr>
                      <w:rFonts w:eastAsiaTheme="minorHAnsi"/>
                      <w:sz w:val="22"/>
                      <w:szCs w:val="22"/>
                      <w:lang w:val="sr-Latn-ME"/>
                    </w:rPr>
                    <w:t>64% (p &lt; 0,0001)</w:t>
                  </w:r>
                </w:p>
              </w:tc>
              <w:tc>
                <w:tcPr>
                  <w:tcW w:w="1175" w:type="pct"/>
                  <w:gridSpan w:val="3"/>
                  <w:tcBorders>
                    <w:top w:val="single" w:sz="4" w:space="0" w:color="auto"/>
                    <w:left w:val="single" w:sz="4" w:space="0" w:color="auto"/>
                    <w:bottom w:val="single" w:sz="4" w:space="0" w:color="auto"/>
                    <w:right w:val="single" w:sz="4" w:space="0" w:color="auto"/>
                  </w:tcBorders>
                  <w:shd w:val="clear" w:color="auto" w:fill="auto"/>
                </w:tcPr>
                <w:p w14:paraId="1C83309E" w14:textId="77777777" w:rsidR="00066A0D" w:rsidRPr="00D123D4" w:rsidRDefault="00066A0D" w:rsidP="00D123D4">
                  <w:pPr>
                    <w:widowControl w:val="0"/>
                    <w:spacing w:line="259" w:lineRule="auto"/>
                    <w:jc w:val="center"/>
                    <w:rPr>
                      <w:rFonts w:eastAsiaTheme="minorHAnsi"/>
                      <w:sz w:val="22"/>
                      <w:szCs w:val="22"/>
                      <w:lang w:val="sr-Latn-ME"/>
                    </w:rPr>
                  </w:pPr>
                  <w:r w:rsidRPr="00D123D4">
                    <w:rPr>
                      <w:rFonts w:eastAsiaTheme="minorHAnsi"/>
                      <w:sz w:val="22"/>
                      <w:szCs w:val="22"/>
                      <w:lang w:val="sr-Latn-ME"/>
                    </w:rPr>
                    <w:t>89% (p &lt; 0,0001)</w:t>
                  </w:r>
                </w:p>
              </w:tc>
            </w:tr>
            <w:tr w:rsidR="00066A0D" w:rsidRPr="00D123D4" w14:paraId="036FED37" w14:textId="77777777" w:rsidTr="00B656E4">
              <w:trPr>
                <w:cantSplit/>
                <w:trHeight w:val="313"/>
                <w:jc w:val="center"/>
              </w:trPr>
              <w:tc>
                <w:tcPr>
                  <w:tcW w:w="2617" w:type="pct"/>
                  <w:tcBorders>
                    <w:top w:val="single" w:sz="4" w:space="0" w:color="auto"/>
                    <w:left w:val="single" w:sz="4" w:space="0" w:color="auto"/>
                    <w:right w:val="single" w:sz="4" w:space="0" w:color="auto"/>
                  </w:tcBorders>
                  <w:shd w:val="clear" w:color="auto" w:fill="auto"/>
                </w:tcPr>
                <w:p w14:paraId="6AEDB4DB" w14:textId="77777777" w:rsidR="00066A0D" w:rsidRPr="00D123D4" w:rsidRDefault="00066A0D" w:rsidP="00D123D4">
                  <w:pPr>
                    <w:widowControl w:val="0"/>
                    <w:spacing w:line="240" w:lineRule="exact"/>
                    <w:rPr>
                      <w:rFonts w:eastAsiaTheme="minorHAnsi"/>
                      <w:sz w:val="22"/>
                      <w:szCs w:val="22"/>
                      <w:lang w:val="sr-Latn-ME"/>
                    </w:rPr>
                  </w:pPr>
                  <w:r w:rsidRPr="00D123D4">
                    <w:rPr>
                      <w:rFonts w:eastAsiaTheme="minorHAnsi"/>
                      <w:b/>
                      <w:sz w:val="22"/>
                      <w:szCs w:val="22"/>
                      <w:lang w:val="sr-Latn-ME"/>
                    </w:rPr>
                    <w:t>MR mjere ishoda</w:t>
                  </w:r>
                </w:p>
              </w:tc>
              <w:tc>
                <w:tcPr>
                  <w:tcW w:w="2383" w:type="pct"/>
                  <w:gridSpan w:val="7"/>
                  <w:tcBorders>
                    <w:top w:val="single" w:sz="4" w:space="0" w:color="auto"/>
                    <w:left w:val="single" w:sz="4" w:space="0" w:color="auto"/>
                    <w:bottom w:val="single" w:sz="4" w:space="0" w:color="auto"/>
                    <w:right w:val="single" w:sz="4" w:space="0" w:color="auto"/>
                  </w:tcBorders>
                  <w:shd w:val="clear" w:color="auto" w:fill="auto"/>
                </w:tcPr>
                <w:p w14:paraId="3C402248" w14:textId="77777777" w:rsidR="00066A0D" w:rsidRPr="00D123D4" w:rsidRDefault="00066A0D" w:rsidP="00D123D4">
                  <w:pPr>
                    <w:widowControl w:val="0"/>
                    <w:spacing w:line="240" w:lineRule="exact"/>
                    <w:jc w:val="center"/>
                    <w:rPr>
                      <w:rFonts w:eastAsiaTheme="minorHAnsi"/>
                      <w:sz w:val="22"/>
                      <w:szCs w:val="22"/>
                      <w:lang w:val="sr-Latn-ME"/>
                    </w:rPr>
                  </w:pPr>
                </w:p>
              </w:tc>
            </w:tr>
            <w:tr w:rsidR="00066A0D" w:rsidRPr="00D123D4" w14:paraId="7AC133C0" w14:textId="77777777" w:rsidTr="00B656E4">
              <w:trPr>
                <w:cantSplit/>
                <w:trHeight w:hRule="exact" w:val="797"/>
                <w:jc w:val="center"/>
              </w:trPr>
              <w:tc>
                <w:tcPr>
                  <w:tcW w:w="2617" w:type="pct"/>
                  <w:tcBorders>
                    <w:top w:val="single" w:sz="4" w:space="0" w:color="auto"/>
                    <w:left w:val="single" w:sz="4" w:space="0" w:color="auto"/>
                    <w:right w:val="single" w:sz="4" w:space="0" w:color="auto"/>
                  </w:tcBorders>
                  <w:shd w:val="clear" w:color="auto" w:fill="auto"/>
                </w:tcPr>
                <w:p w14:paraId="77EC0E46" w14:textId="77777777" w:rsidR="00066A0D" w:rsidRPr="00D123D4" w:rsidRDefault="00066A0D" w:rsidP="00D123D4">
                  <w:pPr>
                    <w:widowControl w:val="0"/>
                    <w:spacing w:line="259" w:lineRule="auto"/>
                    <w:rPr>
                      <w:rFonts w:eastAsiaTheme="minorHAnsi"/>
                      <w:sz w:val="22"/>
                      <w:szCs w:val="22"/>
                      <w:lang w:val="sr-Latn-ME"/>
                    </w:rPr>
                  </w:pPr>
                  <w:r w:rsidRPr="00D123D4">
                    <w:rPr>
                      <w:rFonts w:eastAsiaTheme="minorHAnsi"/>
                      <w:sz w:val="22"/>
                      <w:szCs w:val="22"/>
                      <w:lang w:val="sr-Latn-ME"/>
                    </w:rPr>
                    <w:t>Srednja vrijednost broja T1 lezija naglašenih gadolinijem po MR snimanju</w:t>
                  </w:r>
                </w:p>
              </w:tc>
              <w:tc>
                <w:tcPr>
                  <w:tcW w:w="604" w:type="pct"/>
                  <w:gridSpan w:val="2"/>
                  <w:tcBorders>
                    <w:top w:val="single" w:sz="4" w:space="0" w:color="auto"/>
                    <w:left w:val="single" w:sz="4" w:space="0" w:color="auto"/>
                    <w:bottom w:val="single" w:sz="4" w:space="0" w:color="auto"/>
                    <w:right w:val="single" w:sz="4" w:space="0" w:color="auto"/>
                  </w:tcBorders>
                  <w:shd w:val="clear" w:color="auto" w:fill="auto"/>
                </w:tcPr>
                <w:p w14:paraId="35EC9595" w14:textId="77777777"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0,016</w:t>
                  </w:r>
                </w:p>
              </w:tc>
              <w:tc>
                <w:tcPr>
                  <w:tcW w:w="604" w:type="pct"/>
                  <w:gridSpan w:val="2"/>
                  <w:tcBorders>
                    <w:top w:val="single" w:sz="4" w:space="0" w:color="auto"/>
                    <w:left w:val="single" w:sz="4" w:space="0" w:color="auto"/>
                    <w:bottom w:val="single" w:sz="4" w:space="0" w:color="auto"/>
                    <w:right w:val="single" w:sz="4" w:space="0" w:color="auto"/>
                  </w:tcBorders>
                  <w:shd w:val="clear" w:color="auto" w:fill="auto"/>
                </w:tcPr>
                <w:p w14:paraId="50333C3C" w14:textId="77777777"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0,286</w:t>
                  </w:r>
                </w:p>
              </w:tc>
              <w:tc>
                <w:tcPr>
                  <w:tcW w:w="571" w:type="pct"/>
                  <w:gridSpan w:val="2"/>
                  <w:tcBorders>
                    <w:top w:val="single" w:sz="4" w:space="0" w:color="auto"/>
                    <w:left w:val="single" w:sz="4" w:space="0" w:color="auto"/>
                    <w:bottom w:val="single" w:sz="4" w:space="0" w:color="auto"/>
                    <w:right w:val="single" w:sz="4" w:space="0" w:color="auto"/>
                  </w:tcBorders>
                  <w:shd w:val="clear" w:color="auto" w:fill="auto"/>
                </w:tcPr>
                <w:p w14:paraId="589AB219" w14:textId="77777777"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0,021</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41AF3CED" w14:textId="77777777"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0,416</w:t>
                  </w:r>
                </w:p>
              </w:tc>
            </w:tr>
            <w:tr w:rsidR="00066A0D" w:rsidRPr="00D123D4" w14:paraId="187BBADE" w14:textId="77777777" w:rsidTr="00B656E4">
              <w:trPr>
                <w:cantSplit/>
                <w:trHeight w:hRule="exact" w:val="382"/>
                <w:jc w:val="center"/>
              </w:trPr>
              <w:tc>
                <w:tcPr>
                  <w:tcW w:w="2617" w:type="pct"/>
                  <w:tcBorders>
                    <w:left w:val="single" w:sz="4" w:space="0" w:color="auto"/>
                    <w:bottom w:val="single" w:sz="4" w:space="0" w:color="auto"/>
                    <w:right w:val="single" w:sz="4" w:space="0" w:color="auto"/>
                  </w:tcBorders>
                  <w:shd w:val="clear" w:color="auto" w:fill="auto"/>
                </w:tcPr>
                <w:p w14:paraId="60EB3CEA" w14:textId="77777777" w:rsidR="00066A0D" w:rsidRPr="00D123D4" w:rsidRDefault="00066A0D" w:rsidP="00D123D4">
                  <w:pPr>
                    <w:widowControl w:val="0"/>
                    <w:spacing w:line="240" w:lineRule="exact"/>
                    <w:rPr>
                      <w:rFonts w:eastAsiaTheme="minorHAnsi"/>
                      <w:sz w:val="22"/>
                      <w:szCs w:val="22"/>
                      <w:lang w:val="sr-Latn-ME"/>
                    </w:rPr>
                  </w:pPr>
                  <w:r w:rsidRPr="00D123D4">
                    <w:rPr>
                      <w:rFonts w:eastAsiaTheme="minorHAnsi"/>
                      <w:sz w:val="22"/>
                      <w:szCs w:val="22"/>
                      <w:lang w:val="sr-Latn-ME"/>
                    </w:rPr>
                    <w:t>Relativno smanjenje</w:t>
                  </w:r>
                </w:p>
              </w:tc>
              <w:tc>
                <w:tcPr>
                  <w:tcW w:w="1208" w:type="pct"/>
                  <w:gridSpan w:val="4"/>
                  <w:tcBorders>
                    <w:left w:val="single" w:sz="4" w:space="0" w:color="auto"/>
                    <w:bottom w:val="single" w:sz="4" w:space="0" w:color="auto"/>
                    <w:right w:val="single" w:sz="4" w:space="0" w:color="auto"/>
                  </w:tcBorders>
                  <w:shd w:val="clear" w:color="auto" w:fill="auto"/>
                </w:tcPr>
                <w:p w14:paraId="3B8CDA10" w14:textId="77777777" w:rsidR="00066A0D" w:rsidRPr="00D123D4" w:rsidRDefault="00066A0D" w:rsidP="00D123D4">
                  <w:pPr>
                    <w:widowControl w:val="0"/>
                    <w:spacing w:line="259" w:lineRule="auto"/>
                    <w:jc w:val="center"/>
                    <w:rPr>
                      <w:rFonts w:eastAsiaTheme="minorHAnsi"/>
                      <w:sz w:val="22"/>
                      <w:szCs w:val="22"/>
                      <w:lang w:val="sr-Latn-ME"/>
                    </w:rPr>
                  </w:pPr>
                  <w:r w:rsidRPr="00D123D4">
                    <w:rPr>
                      <w:rFonts w:eastAsiaTheme="minorHAnsi"/>
                      <w:sz w:val="22"/>
                      <w:szCs w:val="22"/>
                      <w:lang w:val="sr-Latn-ME"/>
                    </w:rPr>
                    <w:t>94% (p &lt; 0,0001)</w:t>
                  </w:r>
                </w:p>
              </w:tc>
              <w:tc>
                <w:tcPr>
                  <w:tcW w:w="1175" w:type="pct"/>
                  <w:gridSpan w:val="3"/>
                  <w:tcBorders>
                    <w:left w:val="single" w:sz="4" w:space="0" w:color="auto"/>
                    <w:bottom w:val="single" w:sz="4" w:space="0" w:color="auto"/>
                    <w:right w:val="single" w:sz="4" w:space="0" w:color="auto"/>
                  </w:tcBorders>
                  <w:shd w:val="clear" w:color="auto" w:fill="auto"/>
                </w:tcPr>
                <w:p w14:paraId="259677B9" w14:textId="77777777" w:rsidR="00066A0D" w:rsidRPr="00D123D4" w:rsidRDefault="00066A0D" w:rsidP="00D123D4">
                  <w:pPr>
                    <w:widowControl w:val="0"/>
                    <w:spacing w:line="259" w:lineRule="auto"/>
                    <w:jc w:val="center"/>
                    <w:rPr>
                      <w:rFonts w:eastAsiaTheme="minorHAnsi"/>
                      <w:sz w:val="22"/>
                      <w:szCs w:val="22"/>
                      <w:lang w:val="sr-Latn-ME"/>
                    </w:rPr>
                  </w:pPr>
                  <w:r w:rsidRPr="00D123D4">
                    <w:rPr>
                      <w:rFonts w:eastAsiaTheme="minorHAnsi"/>
                      <w:sz w:val="22"/>
                      <w:szCs w:val="22"/>
                      <w:lang w:val="sr-Latn-ME"/>
                    </w:rPr>
                    <w:t>95% (p &lt; 0,0001)</w:t>
                  </w:r>
                </w:p>
              </w:tc>
            </w:tr>
            <w:tr w:rsidR="00066A0D" w:rsidRPr="00D123D4" w14:paraId="2ECFBFE1" w14:textId="77777777" w:rsidTr="00B656E4">
              <w:trPr>
                <w:cantSplit/>
                <w:trHeight w:hRule="exact" w:val="607"/>
                <w:jc w:val="center"/>
              </w:trPr>
              <w:tc>
                <w:tcPr>
                  <w:tcW w:w="2617" w:type="pct"/>
                  <w:tcBorders>
                    <w:top w:val="single" w:sz="4" w:space="0" w:color="auto"/>
                    <w:left w:val="single" w:sz="4" w:space="0" w:color="auto"/>
                    <w:right w:val="single" w:sz="4" w:space="0" w:color="auto"/>
                  </w:tcBorders>
                  <w:shd w:val="clear" w:color="auto" w:fill="auto"/>
                </w:tcPr>
                <w:p w14:paraId="5DBC9523" w14:textId="77777777" w:rsidR="00066A0D" w:rsidRPr="00D123D4" w:rsidRDefault="00066A0D" w:rsidP="00D123D4">
                  <w:pPr>
                    <w:widowControl w:val="0"/>
                    <w:spacing w:line="259" w:lineRule="auto"/>
                    <w:rPr>
                      <w:rFonts w:eastAsiaTheme="minorHAnsi"/>
                      <w:sz w:val="22"/>
                      <w:szCs w:val="22"/>
                      <w:lang w:val="sr-Latn-ME"/>
                    </w:rPr>
                  </w:pPr>
                  <w:r w:rsidRPr="00D123D4">
                    <w:rPr>
                      <w:rFonts w:eastAsiaTheme="minorHAnsi"/>
                      <w:sz w:val="22"/>
                      <w:szCs w:val="22"/>
                      <w:lang w:val="sr-Latn-ME"/>
                    </w:rPr>
                    <w:t>Srednja vrijednost broja novih i/ili rastućih T</w:t>
                  </w:r>
                  <w:r w:rsidRPr="00D123D4">
                    <w:rPr>
                      <w:rFonts w:eastAsiaTheme="minorHAnsi"/>
                      <w:sz w:val="22"/>
                      <w:szCs w:val="22"/>
                      <w:vertAlign w:val="superscript"/>
                      <w:lang w:val="sr-Latn-ME"/>
                    </w:rPr>
                    <w:t xml:space="preserve">2 </w:t>
                  </w:r>
                  <w:r w:rsidRPr="00D123D4">
                    <w:rPr>
                      <w:rFonts w:eastAsiaTheme="minorHAnsi"/>
                      <w:sz w:val="22"/>
                      <w:szCs w:val="22"/>
                      <w:lang w:val="sr-Latn-ME"/>
                    </w:rPr>
                    <w:t>hiperintenzivnih lezija po MR snimanju</w:t>
                  </w:r>
                </w:p>
              </w:tc>
              <w:tc>
                <w:tcPr>
                  <w:tcW w:w="604" w:type="pct"/>
                  <w:gridSpan w:val="2"/>
                  <w:tcBorders>
                    <w:top w:val="single" w:sz="4" w:space="0" w:color="auto"/>
                    <w:left w:val="single" w:sz="4" w:space="0" w:color="auto"/>
                    <w:bottom w:val="single" w:sz="4" w:space="0" w:color="auto"/>
                    <w:right w:val="single" w:sz="4" w:space="0" w:color="auto"/>
                  </w:tcBorders>
                  <w:shd w:val="clear" w:color="auto" w:fill="auto"/>
                </w:tcPr>
                <w:p w14:paraId="26B24C4A" w14:textId="77777777"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0,323</w:t>
                  </w:r>
                </w:p>
              </w:tc>
              <w:tc>
                <w:tcPr>
                  <w:tcW w:w="604" w:type="pct"/>
                  <w:gridSpan w:val="2"/>
                  <w:tcBorders>
                    <w:top w:val="single" w:sz="4" w:space="0" w:color="auto"/>
                    <w:left w:val="single" w:sz="4" w:space="0" w:color="auto"/>
                    <w:bottom w:val="single" w:sz="4" w:space="0" w:color="auto"/>
                    <w:right w:val="single" w:sz="4" w:space="0" w:color="auto"/>
                  </w:tcBorders>
                  <w:shd w:val="clear" w:color="auto" w:fill="auto"/>
                </w:tcPr>
                <w:p w14:paraId="21256DEE" w14:textId="77777777"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1,413</w:t>
                  </w:r>
                </w:p>
              </w:tc>
              <w:tc>
                <w:tcPr>
                  <w:tcW w:w="571" w:type="pct"/>
                  <w:gridSpan w:val="2"/>
                  <w:tcBorders>
                    <w:top w:val="single" w:sz="4" w:space="0" w:color="auto"/>
                    <w:left w:val="single" w:sz="4" w:space="0" w:color="auto"/>
                    <w:bottom w:val="single" w:sz="4" w:space="0" w:color="auto"/>
                    <w:right w:val="single" w:sz="4" w:space="0" w:color="auto"/>
                  </w:tcBorders>
                  <w:shd w:val="clear" w:color="auto" w:fill="auto"/>
                </w:tcPr>
                <w:p w14:paraId="33F6FC08" w14:textId="77777777"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0,325</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252F9E11" w14:textId="77777777"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1,904</w:t>
                  </w:r>
                </w:p>
              </w:tc>
            </w:tr>
            <w:tr w:rsidR="00066A0D" w:rsidRPr="00D123D4" w14:paraId="23CA1010" w14:textId="77777777" w:rsidTr="00B656E4">
              <w:trPr>
                <w:cantSplit/>
                <w:trHeight w:hRule="exact" w:val="441"/>
                <w:jc w:val="center"/>
              </w:trPr>
              <w:tc>
                <w:tcPr>
                  <w:tcW w:w="2617" w:type="pct"/>
                  <w:tcBorders>
                    <w:left w:val="single" w:sz="4" w:space="0" w:color="auto"/>
                    <w:bottom w:val="single" w:sz="4" w:space="0" w:color="auto"/>
                    <w:right w:val="single" w:sz="4" w:space="0" w:color="auto"/>
                  </w:tcBorders>
                  <w:shd w:val="clear" w:color="auto" w:fill="auto"/>
                </w:tcPr>
                <w:p w14:paraId="7300DC13" w14:textId="77777777" w:rsidR="00066A0D" w:rsidRPr="00D123D4" w:rsidRDefault="00066A0D" w:rsidP="00D123D4">
                  <w:pPr>
                    <w:widowControl w:val="0"/>
                    <w:spacing w:line="240" w:lineRule="exact"/>
                    <w:rPr>
                      <w:rFonts w:eastAsiaTheme="minorHAnsi"/>
                      <w:sz w:val="22"/>
                      <w:szCs w:val="22"/>
                      <w:lang w:val="sr-Latn-ME"/>
                    </w:rPr>
                  </w:pPr>
                  <w:r w:rsidRPr="00D123D4">
                    <w:rPr>
                      <w:rFonts w:eastAsiaTheme="minorHAnsi"/>
                      <w:sz w:val="22"/>
                      <w:szCs w:val="22"/>
                      <w:lang w:val="sr-Latn-ME"/>
                    </w:rPr>
                    <w:t>Relativno smanjenje</w:t>
                  </w:r>
                </w:p>
              </w:tc>
              <w:tc>
                <w:tcPr>
                  <w:tcW w:w="1208" w:type="pct"/>
                  <w:gridSpan w:val="4"/>
                  <w:tcBorders>
                    <w:top w:val="single" w:sz="4" w:space="0" w:color="auto"/>
                    <w:left w:val="single" w:sz="4" w:space="0" w:color="auto"/>
                    <w:bottom w:val="single" w:sz="4" w:space="0" w:color="auto"/>
                    <w:right w:val="single" w:sz="4" w:space="0" w:color="auto"/>
                  </w:tcBorders>
                  <w:shd w:val="clear" w:color="auto" w:fill="auto"/>
                </w:tcPr>
                <w:p w14:paraId="0307ADBB" w14:textId="77777777" w:rsidR="00066A0D" w:rsidRPr="00D123D4" w:rsidRDefault="00066A0D" w:rsidP="00D123D4">
                  <w:pPr>
                    <w:widowControl w:val="0"/>
                    <w:spacing w:line="259" w:lineRule="auto"/>
                    <w:jc w:val="center"/>
                    <w:rPr>
                      <w:rFonts w:eastAsiaTheme="minorHAnsi"/>
                      <w:sz w:val="22"/>
                      <w:szCs w:val="22"/>
                      <w:lang w:val="sr-Latn-ME"/>
                    </w:rPr>
                  </w:pPr>
                  <w:r w:rsidRPr="00D123D4">
                    <w:rPr>
                      <w:rFonts w:eastAsiaTheme="minorHAnsi"/>
                      <w:sz w:val="22"/>
                      <w:szCs w:val="22"/>
                      <w:lang w:val="sr-Latn-ME"/>
                    </w:rPr>
                    <w:t>77% (p &lt; 0,0001)</w:t>
                  </w:r>
                </w:p>
              </w:tc>
              <w:tc>
                <w:tcPr>
                  <w:tcW w:w="1175" w:type="pct"/>
                  <w:gridSpan w:val="3"/>
                  <w:tcBorders>
                    <w:top w:val="single" w:sz="4" w:space="0" w:color="auto"/>
                    <w:left w:val="single" w:sz="4" w:space="0" w:color="auto"/>
                    <w:bottom w:val="single" w:sz="4" w:space="0" w:color="auto"/>
                    <w:right w:val="single" w:sz="4" w:space="0" w:color="auto"/>
                  </w:tcBorders>
                  <w:shd w:val="clear" w:color="auto" w:fill="auto"/>
                </w:tcPr>
                <w:p w14:paraId="58A096E7" w14:textId="77777777" w:rsidR="00066A0D" w:rsidRPr="00D123D4" w:rsidRDefault="00066A0D" w:rsidP="00D123D4">
                  <w:pPr>
                    <w:widowControl w:val="0"/>
                    <w:spacing w:line="259" w:lineRule="auto"/>
                    <w:jc w:val="center"/>
                    <w:rPr>
                      <w:rFonts w:eastAsiaTheme="minorHAnsi"/>
                      <w:sz w:val="22"/>
                      <w:szCs w:val="22"/>
                      <w:lang w:val="sr-Latn-ME"/>
                    </w:rPr>
                  </w:pPr>
                  <w:r w:rsidRPr="00D123D4">
                    <w:rPr>
                      <w:rFonts w:eastAsiaTheme="minorHAnsi"/>
                      <w:sz w:val="22"/>
                      <w:szCs w:val="22"/>
                      <w:lang w:val="sr-Latn-ME"/>
                    </w:rPr>
                    <w:t>83% (p &lt; 0,0001)</w:t>
                  </w:r>
                </w:p>
              </w:tc>
            </w:tr>
            <w:tr w:rsidR="00066A0D" w:rsidRPr="00D123D4" w14:paraId="1C195AAF" w14:textId="77777777" w:rsidTr="00B656E4">
              <w:trPr>
                <w:cantSplit/>
                <w:trHeight w:hRule="exact" w:val="627"/>
                <w:jc w:val="center"/>
              </w:trPr>
              <w:tc>
                <w:tcPr>
                  <w:tcW w:w="2617" w:type="pct"/>
                  <w:tcBorders>
                    <w:top w:val="single" w:sz="4" w:space="0" w:color="auto"/>
                    <w:left w:val="single" w:sz="4" w:space="0" w:color="auto"/>
                    <w:right w:val="single" w:sz="4" w:space="0" w:color="auto"/>
                  </w:tcBorders>
                  <w:shd w:val="clear" w:color="auto" w:fill="auto"/>
                </w:tcPr>
                <w:p w14:paraId="19D6EEC3" w14:textId="77777777" w:rsidR="00066A0D" w:rsidRPr="00D123D4" w:rsidRDefault="00066A0D" w:rsidP="00D123D4">
                  <w:pPr>
                    <w:widowControl w:val="0"/>
                    <w:spacing w:line="259" w:lineRule="auto"/>
                    <w:rPr>
                      <w:rFonts w:eastAsiaTheme="minorHAnsi"/>
                      <w:sz w:val="22"/>
                      <w:szCs w:val="22"/>
                      <w:vertAlign w:val="superscript"/>
                      <w:lang w:val="sr-Latn-ME"/>
                    </w:rPr>
                  </w:pPr>
                  <w:r w:rsidRPr="00D123D4">
                    <w:rPr>
                      <w:rFonts w:eastAsiaTheme="minorHAnsi"/>
                      <w:sz w:val="22"/>
                      <w:szCs w:val="22"/>
                      <w:lang w:val="sr-Latn-ME"/>
                    </w:rPr>
                    <w:t>Postotna promjena volumena mozga od 24. do 96. nedjelje</w:t>
                  </w:r>
                </w:p>
              </w:tc>
              <w:tc>
                <w:tcPr>
                  <w:tcW w:w="604" w:type="pct"/>
                  <w:gridSpan w:val="2"/>
                  <w:tcBorders>
                    <w:top w:val="single" w:sz="4" w:space="0" w:color="auto"/>
                    <w:left w:val="single" w:sz="4" w:space="0" w:color="auto"/>
                    <w:bottom w:val="single" w:sz="4" w:space="0" w:color="auto"/>
                    <w:right w:val="single" w:sz="4" w:space="0" w:color="auto"/>
                  </w:tcBorders>
                  <w:shd w:val="clear" w:color="auto" w:fill="auto"/>
                </w:tcPr>
                <w:p w14:paraId="6592641D" w14:textId="77777777"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-0,572</w:t>
                  </w:r>
                </w:p>
              </w:tc>
              <w:tc>
                <w:tcPr>
                  <w:tcW w:w="604" w:type="pct"/>
                  <w:gridSpan w:val="2"/>
                  <w:tcBorders>
                    <w:top w:val="single" w:sz="4" w:space="0" w:color="auto"/>
                    <w:left w:val="single" w:sz="4" w:space="0" w:color="auto"/>
                    <w:bottom w:val="single" w:sz="4" w:space="0" w:color="auto"/>
                    <w:right w:val="single" w:sz="4" w:space="0" w:color="auto"/>
                  </w:tcBorders>
                  <w:shd w:val="clear" w:color="auto" w:fill="auto"/>
                </w:tcPr>
                <w:p w14:paraId="3C178BFF" w14:textId="77777777"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 xml:space="preserve">-0,741 </w:t>
                  </w:r>
                </w:p>
              </w:tc>
              <w:tc>
                <w:tcPr>
                  <w:tcW w:w="571" w:type="pct"/>
                  <w:gridSpan w:val="2"/>
                  <w:tcBorders>
                    <w:top w:val="single" w:sz="4" w:space="0" w:color="auto"/>
                    <w:left w:val="single" w:sz="4" w:space="0" w:color="auto"/>
                    <w:bottom w:val="single" w:sz="4" w:space="0" w:color="auto"/>
                    <w:right w:val="single" w:sz="4" w:space="0" w:color="auto"/>
                  </w:tcBorders>
                  <w:shd w:val="clear" w:color="auto" w:fill="auto"/>
                </w:tcPr>
                <w:p w14:paraId="6E6278D8" w14:textId="77777777"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-0,638</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52C2F40C" w14:textId="77777777"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-0,750</w:t>
                  </w:r>
                </w:p>
              </w:tc>
            </w:tr>
            <w:tr w:rsidR="00066A0D" w:rsidRPr="00D123D4" w14:paraId="0CCE99A4" w14:textId="77777777" w:rsidTr="00B656E4">
              <w:trPr>
                <w:cantSplit/>
                <w:trHeight w:hRule="exact" w:val="428"/>
                <w:jc w:val="center"/>
              </w:trPr>
              <w:tc>
                <w:tcPr>
                  <w:tcW w:w="2617" w:type="pct"/>
                  <w:tcBorders>
                    <w:left w:val="single" w:sz="4" w:space="0" w:color="auto"/>
                    <w:bottom w:val="single" w:sz="4" w:space="0" w:color="auto"/>
                    <w:right w:val="single" w:sz="4" w:space="0" w:color="auto"/>
                  </w:tcBorders>
                  <w:shd w:val="clear" w:color="auto" w:fill="auto"/>
                </w:tcPr>
                <w:p w14:paraId="13B8BBC0" w14:textId="77777777" w:rsidR="00066A0D" w:rsidRPr="00D123D4" w:rsidRDefault="00066A0D" w:rsidP="00D123D4">
                  <w:pPr>
                    <w:widowControl w:val="0"/>
                    <w:spacing w:line="240" w:lineRule="exact"/>
                    <w:rPr>
                      <w:rFonts w:eastAsiaTheme="minorHAnsi"/>
                      <w:sz w:val="22"/>
                      <w:szCs w:val="22"/>
                      <w:lang w:val="sr-Latn-ME"/>
                    </w:rPr>
                  </w:pPr>
                  <w:r w:rsidRPr="00D123D4">
                    <w:rPr>
                      <w:rFonts w:eastAsiaTheme="minorHAnsi"/>
                      <w:sz w:val="22"/>
                      <w:szCs w:val="22"/>
                      <w:lang w:val="sr-Latn-ME"/>
                    </w:rPr>
                    <w:t>Relativno smanjenje gubitka volumena mozga</w:t>
                  </w:r>
                </w:p>
              </w:tc>
              <w:tc>
                <w:tcPr>
                  <w:tcW w:w="1208" w:type="pct"/>
                  <w:gridSpan w:val="4"/>
                  <w:tcBorders>
                    <w:top w:val="single" w:sz="4" w:space="0" w:color="auto"/>
                    <w:left w:val="single" w:sz="4" w:space="0" w:color="auto"/>
                    <w:bottom w:val="single" w:sz="4" w:space="0" w:color="auto"/>
                    <w:right w:val="single" w:sz="4" w:space="0" w:color="auto"/>
                  </w:tcBorders>
                  <w:shd w:val="clear" w:color="auto" w:fill="auto"/>
                </w:tcPr>
                <w:p w14:paraId="310775DD" w14:textId="77777777" w:rsidR="00066A0D" w:rsidRPr="00D123D4" w:rsidRDefault="00066A0D" w:rsidP="00D123D4">
                  <w:pPr>
                    <w:widowControl w:val="0"/>
                    <w:spacing w:line="259" w:lineRule="auto"/>
                    <w:jc w:val="center"/>
                    <w:rPr>
                      <w:rFonts w:eastAsiaTheme="minorHAnsi"/>
                      <w:sz w:val="22"/>
                      <w:szCs w:val="22"/>
                      <w:lang w:val="sr-Latn-ME"/>
                    </w:rPr>
                  </w:pPr>
                  <w:r w:rsidRPr="00D123D4">
                    <w:rPr>
                      <w:rFonts w:eastAsiaTheme="minorHAnsi"/>
                      <w:sz w:val="22"/>
                      <w:szCs w:val="22"/>
                      <w:lang w:val="sr-Latn-ME"/>
                    </w:rPr>
                    <w:t>22,8% (p=0,0042)</w:t>
                  </w:r>
                  <w:r w:rsidRPr="00D123D4">
                    <w:rPr>
                      <w:rFonts w:eastAsiaTheme="minorHAnsi"/>
                      <w:sz w:val="22"/>
                      <w:szCs w:val="22"/>
                      <w:vertAlign w:val="superscript"/>
                      <w:lang w:val="sr-Latn-ME"/>
                    </w:rPr>
                    <w:t>6</w:t>
                  </w:r>
                </w:p>
              </w:tc>
              <w:tc>
                <w:tcPr>
                  <w:tcW w:w="1175" w:type="pct"/>
                  <w:gridSpan w:val="3"/>
                  <w:tcBorders>
                    <w:top w:val="single" w:sz="4" w:space="0" w:color="auto"/>
                    <w:left w:val="single" w:sz="4" w:space="0" w:color="auto"/>
                    <w:bottom w:val="single" w:sz="4" w:space="0" w:color="auto"/>
                    <w:right w:val="single" w:sz="4" w:space="0" w:color="auto"/>
                  </w:tcBorders>
                  <w:shd w:val="clear" w:color="auto" w:fill="auto"/>
                </w:tcPr>
                <w:p w14:paraId="06417335" w14:textId="77777777" w:rsidR="00066A0D" w:rsidRPr="00D123D4" w:rsidRDefault="00066A0D" w:rsidP="00D123D4">
                  <w:pPr>
                    <w:widowControl w:val="0"/>
                    <w:spacing w:line="259" w:lineRule="auto"/>
                    <w:jc w:val="center"/>
                    <w:rPr>
                      <w:rFonts w:eastAsiaTheme="minorHAnsi"/>
                      <w:sz w:val="22"/>
                      <w:szCs w:val="22"/>
                      <w:lang w:val="sr-Latn-ME"/>
                    </w:rPr>
                  </w:pPr>
                  <w:r w:rsidRPr="00D123D4">
                    <w:rPr>
                      <w:rFonts w:eastAsiaTheme="minorHAnsi"/>
                      <w:sz w:val="22"/>
                      <w:szCs w:val="22"/>
                      <w:lang w:val="sr-Latn-ME"/>
                    </w:rPr>
                    <w:t>14,9% (p=0,0900)</w:t>
                  </w:r>
                </w:p>
                <w:p w14:paraId="17ED7C84" w14:textId="77777777" w:rsidR="00066A0D" w:rsidRPr="00D123D4" w:rsidRDefault="00066A0D" w:rsidP="00D123D4">
                  <w:pPr>
                    <w:widowControl w:val="0"/>
                    <w:spacing w:line="259" w:lineRule="auto"/>
                    <w:jc w:val="center"/>
                    <w:rPr>
                      <w:rFonts w:eastAsiaTheme="minorHAnsi"/>
                      <w:sz w:val="22"/>
                      <w:szCs w:val="22"/>
                      <w:lang w:val="sr-Latn-ME"/>
                    </w:rPr>
                  </w:pPr>
                </w:p>
              </w:tc>
            </w:tr>
          </w:tbl>
          <w:p w14:paraId="6CE8D934" w14:textId="77777777" w:rsidR="00066A0D" w:rsidRPr="00D123D4" w:rsidRDefault="00066A0D" w:rsidP="00D123D4">
            <w:pPr>
              <w:widowControl w:val="0"/>
              <w:jc w:val="both"/>
              <w:rPr>
                <w:sz w:val="22"/>
                <w:szCs w:val="22"/>
                <w:lang w:val="sr-Latn-ME"/>
              </w:rPr>
            </w:pPr>
            <w:r w:rsidRPr="00D123D4">
              <w:rPr>
                <w:sz w:val="22"/>
                <w:szCs w:val="22"/>
                <w:vertAlign w:val="superscript"/>
                <w:lang w:val="sr-Latn-ME"/>
              </w:rPr>
              <w:t>1</w:t>
            </w:r>
            <w:r w:rsidRPr="00D123D4">
              <w:rPr>
                <w:sz w:val="22"/>
                <w:szCs w:val="22"/>
                <w:lang w:val="sr-Latn-ME"/>
              </w:rPr>
              <w:t xml:space="preserve"> Prospektivno objedinjeni podaci iz 1. i 2. studije</w:t>
            </w:r>
          </w:p>
          <w:p w14:paraId="3BE19BAC" w14:textId="77777777" w:rsidR="00066A0D" w:rsidRPr="00D123D4" w:rsidRDefault="00066A0D" w:rsidP="00D123D4">
            <w:pPr>
              <w:widowControl w:val="0"/>
              <w:jc w:val="both"/>
              <w:rPr>
                <w:sz w:val="22"/>
                <w:szCs w:val="22"/>
                <w:lang w:val="sr-Latn-ME"/>
              </w:rPr>
            </w:pPr>
            <w:r w:rsidRPr="00D123D4">
              <w:rPr>
                <w:sz w:val="22"/>
                <w:szCs w:val="22"/>
                <w:vertAlign w:val="superscript"/>
                <w:lang w:val="sr-Latn-ME"/>
              </w:rPr>
              <w:t>2</w:t>
            </w:r>
            <w:r w:rsidRPr="00D123D4">
              <w:rPr>
                <w:sz w:val="22"/>
                <w:szCs w:val="22"/>
                <w:lang w:val="sr-Latn-ME"/>
              </w:rPr>
              <w:t xml:space="preserve"> Analiza p vrijednosti nije potvrdna; nije dio unaprijed specifikovane hijerarhije testiranja</w:t>
            </w:r>
          </w:p>
          <w:p w14:paraId="591DF205" w14:textId="767B8232" w:rsidR="00066A0D" w:rsidRPr="00D123D4" w:rsidRDefault="00066A0D" w:rsidP="00D123D4">
            <w:pPr>
              <w:widowControl w:val="0"/>
              <w:jc w:val="both"/>
              <w:rPr>
                <w:sz w:val="22"/>
                <w:szCs w:val="22"/>
                <w:lang w:val="sr-Latn-ME"/>
              </w:rPr>
            </w:pPr>
            <w:r w:rsidRPr="00D123D4">
              <w:rPr>
                <w:sz w:val="22"/>
                <w:szCs w:val="22"/>
                <w:vertAlign w:val="superscript"/>
                <w:lang w:val="sr-Latn-ME"/>
              </w:rPr>
              <w:t>3</w:t>
            </w:r>
            <w:r w:rsidRPr="00D123D4">
              <w:rPr>
                <w:sz w:val="22"/>
                <w:szCs w:val="22"/>
                <w:lang w:val="sr-Latn-ME"/>
              </w:rPr>
              <w:t xml:space="preserve"> </w:t>
            </w:r>
            <w:r w:rsidR="00EE13AF" w:rsidRPr="00D123D4">
              <w:rPr>
                <w:sz w:val="22"/>
                <w:szCs w:val="22"/>
                <w:lang w:val="sr-Latn-ME"/>
              </w:rPr>
              <w:t>Potvrđena</w:t>
            </w:r>
            <w:r w:rsidR="00387579" w:rsidRPr="00D123D4">
              <w:rPr>
                <w:sz w:val="22"/>
                <w:szCs w:val="22"/>
                <w:lang w:val="sr-Latn-ME"/>
              </w:rPr>
              <w:t xml:space="preserve"> </w:t>
            </w:r>
            <w:r w:rsidR="00EE13AF" w:rsidRPr="00D123D4">
              <w:rPr>
                <w:sz w:val="22"/>
                <w:szCs w:val="22"/>
                <w:lang w:val="sr-Latn-ME"/>
              </w:rPr>
              <w:t>progresija onesposobljenosti</w:t>
            </w:r>
            <w:r w:rsidR="00387579" w:rsidRPr="00D123D4">
              <w:rPr>
                <w:sz w:val="22"/>
                <w:szCs w:val="22"/>
                <w:lang w:val="sr-Latn-ME"/>
              </w:rPr>
              <w:t xml:space="preserve"> </w:t>
            </w:r>
            <w:r w:rsidR="00EE13AF" w:rsidRPr="00D123D4">
              <w:rPr>
                <w:sz w:val="22"/>
                <w:szCs w:val="22"/>
                <w:lang w:val="sr-Latn-ME"/>
              </w:rPr>
              <w:t>defin</w:t>
            </w:r>
            <w:r w:rsidR="00E2482D" w:rsidRPr="00D123D4">
              <w:rPr>
                <w:sz w:val="22"/>
                <w:szCs w:val="22"/>
                <w:lang w:val="sr-Latn-ME"/>
              </w:rPr>
              <w:t>i</w:t>
            </w:r>
            <w:r w:rsidR="00EE13AF" w:rsidRPr="00D123D4">
              <w:rPr>
                <w:sz w:val="22"/>
                <w:szCs w:val="22"/>
                <w:lang w:val="sr-Latn-ME"/>
              </w:rPr>
              <w:t>sala se kao</w:t>
            </w:r>
            <w:r w:rsidRPr="00D123D4">
              <w:rPr>
                <w:sz w:val="22"/>
                <w:szCs w:val="22"/>
                <w:lang w:val="sr-Latn-ME"/>
              </w:rPr>
              <w:t xml:space="preserve"> povećanje početnog EDSS rezultata za ≥ 1,0 bod kod pacijenata čiji je početni rezultat iznosio 5,5 ili manje, odnosno za ≥ 0,5 bodova kod pacijenata čiji je početni rezultat iznosio &gt; 5,5; procjene prema Kaplan Meieru u 96. nedjelji</w:t>
            </w:r>
          </w:p>
          <w:p w14:paraId="6CDA902B" w14:textId="77777777" w:rsidR="00066A0D" w:rsidRPr="00D123D4" w:rsidRDefault="00066A0D" w:rsidP="00D123D4">
            <w:pPr>
              <w:widowControl w:val="0"/>
              <w:jc w:val="both"/>
              <w:rPr>
                <w:sz w:val="22"/>
                <w:szCs w:val="22"/>
                <w:lang w:val="sr-Latn-ME"/>
              </w:rPr>
            </w:pPr>
            <w:r w:rsidRPr="00D123D4">
              <w:rPr>
                <w:sz w:val="22"/>
                <w:szCs w:val="22"/>
                <w:vertAlign w:val="superscript"/>
                <w:lang w:val="sr-Latn-ME"/>
              </w:rPr>
              <w:t>4</w:t>
            </w:r>
            <w:r w:rsidRPr="00D123D4">
              <w:rPr>
                <w:sz w:val="22"/>
                <w:szCs w:val="22"/>
                <w:lang w:val="sr-Latn-ME"/>
              </w:rPr>
              <w:t xml:space="preserve"> Definisao se kao smanjenje početnog EDSS rezultata za ≥ 1,0 bod kod pacijenata čiji je početni EDSS rezultat iznosio ≥ 2 i ≤ 5,5 odnosno za ≥ 0,5 kod pacijenata čiji je početni rezultat iznosio &gt; 5,5. Pacijenti čiji je početni rezultat bio &lt; 2 nijesu bili uključeni u analizu. </w:t>
            </w:r>
          </w:p>
          <w:p w14:paraId="17D9A01C" w14:textId="77777777" w:rsidR="00066A0D" w:rsidRPr="00D123D4" w:rsidRDefault="00066A0D" w:rsidP="00D123D4">
            <w:pPr>
              <w:widowControl w:val="0"/>
              <w:jc w:val="both"/>
              <w:rPr>
                <w:sz w:val="22"/>
                <w:szCs w:val="22"/>
                <w:lang w:val="sr-Latn-ME"/>
              </w:rPr>
            </w:pPr>
            <w:r w:rsidRPr="00D123D4">
              <w:rPr>
                <w:sz w:val="22"/>
                <w:szCs w:val="22"/>
                <w:vertAlign w:val="superscript"/>
                <w:lang w:val="sr-Latn-ME"/>
              </w:rPr>
              <w:t>5</w:t>
            </w:r>
            <w:r w:rsidRPr="00D123D4">
              <w:rPr>
                <w:sz w:val="22"/>
                <w:szCs w:val="22"/>
                <w:lang w:val="sr-Latn-ME"/>
              </w:rPr>
              <w:t xml:space="preserve"> Izostanak dokaza aktivnosti bolesti (engl. </w:t>
            </w:r>
            <w:r w:rsidRPr="00D123D4">
              <w:rPr>
                <w:i/>
                <w:sz w:val="22"/>
                <w:szCs w:val="22"/>
                <w:lang w:val="sr-Latn-ME"/>
              </w:rPr>
              <w:t>No Evidence of Disease Activity</w:t>
            </w:r>
            <w:r w:rsidRPr="00D123D4">
              <w:rPr>
                <w:sz w:val="22"/>
                <w:szCs w:val="22"/>
                <w:lang w:val="sr-Latn-ME"/>
              </w:rPr>
              <w:t xml:space="preserve">, NEDA) definisao se kao izostanak relapsa definisanih planom ispitivanja, 12 nedjeljne potvrđene progresije onesposobljenosti i </w:t>
            </w:r>
            <w:r w:rsidRPr="00D123D4">
              <w:rPr>
                <w:sz w:val="22"/>
                <w:szCs w:val="22"/>
                <w:lang w:val="sr-Latn-ME"/>
              </w:rPr>
              <w:lastRenderedPageBreak/>
              <w:t xml:space="preserve">bilo kakve aktivnosti na MR snimcima (bilo T1 lezija naglašenih gadolinijem ili novih odnosno rastućih T2 lezija) tokom cijelog 96 nedjeljnog perioda liječenja. Eksploracijski rezultat zasnovani na cjelokupnoj populaciji predviđenoj za liječenje (engl. </w:t>
            </w:r>
            <w:r w:rsidRPr="00D123D4">
              <w:rPr>
                <w:i/>
                <w:sz w:val="22"/>
                <w:szCs w:val="22"/>
                <w:lang w:val="sr-Latn-ME"/>
              </w:rPr>
              <w:t>intent to treat</w:t>
            </w:r>
            <w:r w:rsidRPr="00D123D4">
              <w:rPr>
                <w:sz w:val="22"/>
                <w:szCs w:val="22"/>
                <w:lang w:val="sr-Latn-ME"/>
              </w:rPr>
              <w:t xml:space="preserve">, ITT). </w:t>
            </w:r>
          </w:p>
          <w:p w14:paraId="12E00799" w14:textId="77777777" w:rsidR="00066A0D" w:rsidRPr="00D123D4" w:rsidRDefault="00066A0D" w:rsidP="00D123D4">
            <w:pPr>
              <w:widowControl w:val="0"/>
              <w:jc w:val="both"/>
              <w:rPr>
                <w:sz w:val="22"/>
                <w:szCs w:val="22"/>
                <w:lang w:val="sr-Latn-ME"/>
              </w:rPr>
            </w:pPr>
            <w:r w:rsidRPr="00D123D4">
              <w:rPr>
                <w:sz w:val="22"/>
                <w:szCs w:val="22"/>
                <w:vertAlign w:val="superscript"/>
                <w:lang w:val="sr-Latn-ME"/>
              </w:rPr>
              <w:t>6</w:t>
            </w:r>
            <w:r w:rsidRPr="00D123D4">
              <w:rPr>
                <w:sz w:val="22"/>
                <w:szCs w:val="22"/>
                <w:lang w:val="sr-Latn-ME"/>
              </w:rPr>
              <w:t xml:space="preserve"> p vrijednost nije potvrdna; postupak hijerarhijskog testiranja završen je prije dostizanja mjere ishoda.</w:t>
            </w:r>
          </w:p>
          <w:p w14:paraId="37903F9D" w14:textId="36070018" w:rsidR="00066A0D" w:rsidRPr="00D123D4" w:rsidRDefault="00066A0D" w:rsidP="00D123D4">
            <w:pPr>
              <w:widowControl w:val="0"/>
              <w:jc w:val="both"/>
              <w:rPr>
                <w:sz w:val="22"/>
                <w:szCs w:val="22"/>
                <w:lang w:val="sr-Latn-ME"/>
              </w:rPr>
            </w:pPr>
            <w:r w:rsidRPr="00D123D4">
              <w:rPr>
                <w:sz w:val="22"/>
                <w:szCs w:val="22"/>
                <w:vertAlign w:val="superscript"/>
                <w:lang w:val="sr-Latn-ME"/>
              </w:rPr>
              <w:t>7</w:t>
            </w:r>
            <w:r w:rsidRPr="00D123D4">
              <w:rPr>
                <w:sz w:val="22"/>
                <w:szCs w:val="22"/>
                <w:lang w:val="sr-Latn-ME"/>
              </w:rPr>
              <w:t xml:space="preserve"> Log-rank test</w:t>
            </w:r>
          </w:p>
          <w:p w14:paraId="3B5E7652" w14:textId="34C9650C" w:rsidR="00E85315" w:rsidRPr="00D123D4" w:rsidRDefault="00EE13AF" w:rsidP="00D123D4">
            <w:pPr>
              <w:widowControl w:val="0"/>
              <w:jc w:val="both"/>
              <w:rPr>
                <w:sz w:val="22"/>
                <w:szCs w:val="22"/>
                <w:lang w:val="sr-Latn-ME"/>
              </w:rPr>
            </w:pPr>
            <w:r w:rsidRPr="00D123D4">
              <w:rPr>
                <w:sz w:val="22"/>
                <w:szCs w:val="22"/>
                <w:vertAlign w:val="superscript"/>
                <w:lang w:val="sr-Latn-ME"/>
              </w:rPr>
              <w:t xml:space="preserve">8 </w:t>
            </w:r>
            <w:r w:rsidRPr="00D123D4">
              <w:rPr>
                <w:sz w:val="22"/>
                <w:szCs w:val="22"/>
                <w:lang w:val="sr-Latn-ME"/>
              </w:rPr>
              <w:t>Potvrđeni relapsi (praćeni klinički značajnom promjenom EDSS rezultata)</w:t>
            </w:r>
          </w:p>
          <w:p w14:paraId="753C34A2" w14:textId="18502BBB" w:rsidR="009556C5" w:rsidRPr="00D123D4" w:rsidRDefault="009556C5" w:rsidP="00D123D4">
            <w:pPr>
              <w:widowControl w:val="0"/>
              <w:jc w:val="both"/>
              <w:rPr>
                <w:sz w:val="22"/>
                <w:szCs w:val="22"/>
                <w:lang w:val="sr-Latn-ME"/>
              </w:rPr>
            </w:pPr>
          </w:p>
          <w:p w14:paraId="7E892D1C" w14:textId="77777777" w:rsidR="00066A0D" w:rsidRPr="00D123D4" w:rsidRDefault="00066A0D" w:rsidP="00D123D4">
            <w:pPr>
              <w:widowControl w:val="0"/>
              <w:jc w:val="both"/>
              <w:rPr>
                <w:rFonts w:eastAsiaTheme="minorHAnsi"/>
                <w:b/>
                <w:sz w:val="22"/>
                <w:szCs w:val="22"/>
                <w:lang w:val="sr-Latn-ME"/>
              </w:rPr>
            </w:pPr>
            <w:r w:rsidRPr="00D123D4">
              <w:rPr>
                <w:rFonts w:eastAsiaTheme="minorHAnsi"/>
                <w:b/>
                <w:sz w:val="22"/>
                <w:szCs w:val="22"/>
                <w:lang w:val="sr-Latn-ME"/>
              </w:rPr>
              <w:t>Slika 1: Kaplan Meierova kriva vremena do nastupa potvrđene progresije onesposobljenosti koja se održala najmanje 12 nedjelja i kod koje se prvi događaj neurološkog pogoršanja pojavio tokom perioda dvostruko slijepog liječenja (objedinjeni podaci za ITT populaciju iz Studija WA21092 i WA21093)*</w:t>
            </w:r>
          </w:p>
          <w:p w14:paraId="6F9494D0" w14:textId="77777777" w:rsidR="00066A0D" w:rsidRPr="00D123D4" w:rsidRDefault="00066A0D" w:rsidP="00D123D4">
            <w:pPr>
              <w:widowControl w:val="0"/>
              <w:jc w:val="both"/>
              <w:rPr>
                <w:b/>
                <w:bCs/>
                <w:sz w:val="22"/>
                <w:szCs w:val="22"/>
                <w:lang w:val="sr-Latn-ME"/>
              </w:rPr>
            </w:pPr>
          </w:p>
          <w:p w14:paraId="321DE354" w14:textId="77777777" w:rsidR="00066A0D" w:rsidRPr="00D123D4" w:rsidRDefault="00066A0D" w:rsidP="00D123D4">
            <w:pPr>
              <w:widowControl w:val="0"/>
              <w:jc w:val="both"/>
              <w:rPr>
                <w:b/>
                <w:bCs/>
                <w:sz w:val="22"/>
                <w:szCs w:val="22"/>
                <w:lang w:val="sr-Latn-ME"/>
              </w:rPr>
            </w:pPr>
            <w:r w:rsidRPr="00D123D4">
              <w:rPr>
                <w:rFonts w:eastAsiaTheme="minorHAnsi"/>
                <w:noProof/>
                <w:sz w:val="22"/>
                <w:szCs w:val="22"/>
              </w:rPr>
              <mc:AlternateContent>
                <mc:Choice Requires="wps">
                  <w:drawing>
                    <wp:anchor distT="0" distB="0" distL="114300" distR="114300" simplePos="0" relativeHeight="251659264" behindDoc="0" locked="0" layoutInCell="1" allowOverlap="1" wp14:anchorId="61B29B65" wp14:editId="1C004D55">
                      <wp:simplePos x="0" y="0"/>
                      <wp:positionH relativeFrom="column">
                        <wp:posOffset>1683385</wp:posOffset>
                      </wp:positionH>
                      <wp:positionV relativeFrom="paragraph">
                        <wp:posOffset>379730</wp:posOffset>
                      </wp:positionV>
                      <wp:extent cx="1921510" cy="880110"/>
                      <wp:effectExtent l="0" t="0" r="2540" b="0"/>
                      <wp:wrapNone/>
                      <wp:docPr id="5" name="Text Box 5"/>
                      <wp:cNvGraphicFramePr/>
                      <a:graphic xmlns:a="http://schemas.openxmlformats.org/drawingml/2006/main">
                        <a:graphicData uri="http://schemas.microsoft.com/office/word/2010/wordprocessingShape">
                          <wps:wsp>
                            <wps:cNvSpPr txBox="1"/>
                            <wps:spPr>
                              <a:xfrm>
                                <a:off x="0" y="0"/>
                                <a:ext cx="1921510" cy="880110"/>
                              </a:xfrm>
                              <a:prstGeom prst="rect">
                                <a:avLst/>
                              </a:prstGeom>
                              <a:solidFill>
                                <a:sysClr val="window" lastClr="FFFFFF"/>
                              </a:solidFill>
                              <a:ln w="6350">
                                <a:noFill/>
                              </a:ln>
                              <a:effectLst/>
                            </wps:spPr>
                            <wps:txbx>
                              <w:txbxContent>
                                <w:p w14:paraId="7D478220" w14:textId="77777777" w:rsidR="002961A0" w:rsidRPr="00D42FF1" w:rsidRDefault="002961A0" w:rsidP="00066A0D">
                                  <w:pPr>
                                    <w:rPr>
                                      <w:b/>
                                      <w:sz w:val="16"/>
                                      <w:szCs w:val="16"/>
                                    </w:rPr>
                                  </w:pPr>
                                  <w:r w:rsidRPr="00D42FF1">
                                    <w:rPr>
                                      <w:b/>
                                      <w:sz w:val="16"/>
                                      <w:szCs w:val="16"/>
                                    </w:rPr>
                                    <w:t>Smanjenje rizika od potvrđene progresije onesposobljenosti za 40%</w:t>
                                  </w:r>
                                </w:p>
                                <w:p w14:paraId="3B5801C8" w14:textId="77777777" w:rsidR="002961A0" w:rsidRPr="00D42FF1" w:rsidRDefault="002961A0" w:rsidP="00066A0D">
                                  <w:pPr>
                                    <w:rPr>
                                      <w:b/>
                                      <w:sz w:val="16"/>
                                      <w:szCs w:val="16"/>
                                    </w:rPr>
                                  </w:pPr>
                                  <w:r w:rsidRPr="00D42FF1">
                                    <w:rPr>
                                      <w:b/>
                                      <w:sz w:val="16"/>
                                      <w:szCs w:val="16"/>
                                    </w:rPr>
                                    <w:t>HR (95% CI): 0,60 (0,45; 0,81)</w:t>
                                  </w:r>
                                </w:p>
                                <w:p w14:paraId="3A492EBF" w14:textId="77777777" w:rsidR="002961A0" w:rsidRPr="00D42FF1" w:rsidRDefault="002961A0" w:rsidP="00066A0D">
                                  <w:pPr>
                                    <w:rPr>
                                      <w:b/>
                                      <w:sz w:val="16"/>
                                      <w:szCs w:val="16"/>
                                    </w:rPr>
                                  </w:pPr>
                                  <w:r w:rsidRPr="00D42FF1">
                                    <w:rPr>
                                      <w:b/>
                                      <w:sz w:val="16"/>
                                      <w:szCs w:val="16"/>
                                    </w:rPr>
                                    <w:t>(p=0,0006)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1B29B65" id="_x0000_t202" coordsize="21600,21600" o:spt="202" path="m,l,21600r21600,l21600,xe">
                      <v:stroke joinstyle="miter"/>
                      <v:path gradientshapeok="t" o:connecttype="rect"/>
                    </v:shapetype>
                    <v:shape id="Text Box 5" o:spid="_x0000_s1026" type="#_x0000_t202" style="position:absolute;left:0;text-align:left;margin-left:132.55pt;margin-top:29.9pt;width:151.3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" fillcolor="window" stroked="f" strokeweight=".5pt">
                      <v:textbox>
                        <w:txbxContent>
                          <w:p w14:paraId="7D478220" w14:textId="77777777" w:rsidR="002961A0" w:rsidRPr="00D42FF1" w:rsidRDefault="002961A0" w:rsidP="00066A0D">
                            <w:pPr>
                              <w:rPr>
                                <w:b/>
                                <w:sz w:val="16"/>
                                <w:szCs w:val="16"/>
                              </w:rPr>
                            </w:pPr>
                            <w:r w:rsidRPr="00D42FF1">
                              <w:rPr>
                                <w:b/>
                                <w:sz w:val="16"/>
                                <w:szCs w:val="16"/>
                              </w:rPr>
                              <w:t>Smanjenje rizika od potvrđene progresije onesposobljenosti za 40%</w:t>
                            </w:r>
                          </w:p>
                          <w:p w14:paraId="3B5801C8" w14:textId="77777777" w:rsidR="002961A0" w:rsidRPr="00D42FF1" w:rsidRDefault="002961A0" w:rsidP="00066A0D">
                            <w:pPr>
                              <w:rPr>
                                <w:b/>
                                <w:sz w:val="16"/>
                                <w:szCs w:val="16"/>
                              </w:rPr>
                            </w:pPr>
                            <w:r w:rsidRPr="00D42FF1">
                              <w:rPr>
                                <w:b/>
                                <w:sz w:val="16"/>
                                <w:szCs w:val="16"/>
                              </w:rPr>
                              <w:t>HR (95% CI): 0,60 (0,45; 0,81)</w:t>
                            </w:r>
                          </w:p>
                          <w:p w14:paraId="3A492EBF" w14:textId="77777777" w:rsidR="002961A0" w:rsidRPr="00D42FF1" w:rsidRDefault="002961A0" w:rsidP="00066A0D">
                            <w:pPr>
                              <w:rPr>
                                <w:b/>
                                <w:sz w:val="16"/>
                                <w:szCs w:val="16"/>
                              </w:rPr>
                            </w:pPr>
                            <w:r w:rsidRPr="00D42FF1">
                              <w:rPr>
                                <w:b/>
                                <w:sz w:val="16"/>
                                <w:szCs w:val="16"/>
                              </w:rPr>
                              <w:t>(p=0,0006)</w:t>
                            </w:r>
                          </w:p>
                        </w:txbxContent>
                      </v:textbox>
                    </v:shape>
                  </w:pict>
                </mc:Fallback>
              </mc:AlternateContent>
            </w:r>
            <w:r w:rsidRPr="00D123D4">
              <w:rPr>
                <w:b/>
                <w:bCs/>
                <w:noProof/>
                <w:sz w:val="22"/>
                <w:szCs w:val="22"/>
              </w:rPr>
              <w:drawing>
                <wp:inline distT="0" distB="0" distL="0" distR="0" wp14:anchorId="52A36EF9" wp14:editId="62E53007">
                  <wp:extent cx="5784556" cy="3309402"/>
                  <wp:effectExtent l="0" t="0" r="6985" b="5715"/>
                  <wp:docPr id="4" name="Picture 4" descr="C:\Users\jasicm\Downloads\Ocrevus slika 1 co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sicm\Downloads\Ocrevus slika 1 cor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82482" cy="3308216"/>
                          </a:xfrm>
                          <a:prstGeom prst="rect">
                            <a:avLst/>
                          </a:prstGeom>
                          <a:noFill/>
                          <a:ln>
                            <a:noFill/>
                          </a:ln>
                        </pic:spPr>
                      </pic:pic>
                    </a:graphicData>
                  </a:graphic>
                </wp:inline>
              </w:drawing>
            </w:r>
          </w:p>
          <w:p w14:paraId="3FA6D96B" w14:textId="77777777" w:rsidR="00066A0D" w:rsidRPr="00D123D4" w:rsidRDefault="00066A0D" w:rsidP="00D123D4">
            <w:pPr>
              <w:widowControl w:val="0"/>
              <w:jc w:val="both"/>
              <w:rPr>
                <w:sz w:val="22"/>
                <w:szCs w:val="22"/>
                <w:lang w:val="sr-Latn-ME"/>
              </w:rPr>
            </w:pPr>
          </w:p>
          <w:p w14:paraId="7EEFB7C8" w14:textId="77777777" w:rsidR="00066A0D" w:rsidRPr="00D123D4" w:rsidRDefault="00066A0D" w:rsidP="00D123D4">
            <w:pPr>
              <w:widowControl w:val="0"/>
              <w:jc w:val="both"/>
              <w:rPr>
                <w:sz w:val="22"/>
                <w:szCs w:val="22"/>
                <w:lang w:val="sr-Latn-ME"/>
              </w:rPr>
            </w:pPr>
            <w:r w:rsidRPr="00D123D4">
              <w:rPr>
                <w:sz w:val="22"/>
                <w:szCs w:val="22"/>
                <w:lang w:val="sr-Latn-ME"/>
              </w:rPr>
              <w:t>*Unaprijed specifikovana analiza objedinjenih podataka iz Studija WA21092 i WA21093</w:t>
            </w:r>
          </w:p>
          <w:p w14:paraId="4D6A72A9" w14:textId="77777777" w:rsidR="00066A0D" w:rsidRPr="00D123D4" w:rsidRDefault="00066A0D" w:rsidP="00D123D4">
            <w:pPr>
              <w:widowControl w:val="0"/>
              <w:jc w:val="both"/>
              <w:rPr>
                <w:sz w:val="22"/>
                <w:szCs w:val="22"/>
                <w:lang w:val="sr-Latn-ME"/>
              </w:rPr>
            </w:pPr>
          </w:p>
          <w:p w14:paraId="07BD92BE" w14:textId="1D3AD5D0" w:rsidR="00066A0D" w:rsidRPr="00D123D4" w:rsidRDefault="00066A0D" w:rsidP="00D123D4">
            <w:pPr>
              <w:widowControl w:val="0"/>
              <w:jc w:val="both"/>
              <w:rPr>
                <w:sz w:val="22"/>
                <w:szCs w:val="22"/>
                <w:lang w:val="sr-Latn-ME"/>
              </w:rPr>
            </w:pPr>
            <w:r w:rsidRPr="00D123D4">
              <w:rPr>
                <w:sz w:val="22"/>
                <w:szCs w:val="22"/>
                <w:lang w:val="sr-Latn-ME"/>
              </w:rPr>
              <w:t xml:space="preserve">Rezultati unaprijed specifikovanih analiza objedinjenih podataka o vremenu do potvrđene progresije onesposobljenosti koja se održala tokom najmanje 12 nedjelja (smanjenje rizika za 40% uz </w:t>
            </w:r>
            <w:r w:rsidR="00EE13AF" w:rsidRPr="00D123D4">
              <w:rPr>
                <w:sz w:val="22"/>
                <w:szCs w:val="22"/>
                <w:lang w:val="sr-Latn-ME"/>
              </w:rPr>
              <w:t>okrelizumab</w:t>
            </w:r>
            <w:r w:rsidRPr="00D123D4">
              <w:rPr>
                <w:sz w:val="22"/>
                <w:szCs w:val="22"/>
                <w:lang w:val="sr-Latn-ME"/>
              </w:rPr>
              <w:t xml:space="preserve"> u odnosu na interferon beta- 1a; p=0,0006) bili su izrazito dosljedni rezultatima za onesposobljenost koja se održala tokom najmanje 24 nedjelje (smanjenje rizika za 40% uz </w:t>
            </w:r>
            <w:r w:rsidR="00EE13AF" w:rsidRPr="00D123D4">
              <w:rPr>
                <w:sz w:val="22"/>
                <w:szCs w:val="22"/>
                <w:lang w:val="sr-Latn-ME"/>
              </w:rPr>
              <w:t>okrelizumab</w:t>
            </w:r>
            <w:r w:rsidRPr="00D123D4">
              <w:rPr>
                <w:sz w:val="22"/>
                <w:szCs w:val="22"/>
                <w:lang w:val="sr-Latn-ME"/>
              </w:rPr>
              <w:t xml:space="preserve"> u odnosu na interferon beta- 1a; p=0,0025).  </w:t>
            </w:r>
          </w:p>
          <w:p w14:paraId="484F43A5" w14:textId="77777777" w:rsidR="00EE13AF" w:rsidRPr="00D123D4" w:rsidRDefault="00EE13AF" w:rsidP="00D123D4">
            <w:pPr>
              <w:widowControl w:val="0"/>
              <w:jc w:val="both"/>
              <w:rPr>
                <w:sz w:val="22"/>
                <w:szCs w:val="22"/>
                <w:lang w:val="sr-Latn-ME"/>
              </w:rPr>
            </w:pPr>
          </w:p>
          <w:p w14:paraId="0EB3323B" w14:textId="506E5BE8" w:rsidR="00066A0D" w:rsidRPr="00D123D4" w:rsidRDefault="00066A0D" w:rsidP="00D123D4">
            <w:pPr>
              <w:widowControl w:val="0"/>
              <w:jc w:val="both"/>
              <w:rPr>
                <w:sz w:val="22"/>
                <w:szCs w:val="22"/>
                <w:lang w:val="sr-Latn-ME"/>
              </w:rPr>
            </w:pPr>
            <w:r w:rsidRPr="00D123D4">
              <w:rPr>
                <w:sz w:val="22"/>
                <w:szCs w:val="22"/>
                <w:lang w:val="sr-Latn-ME"/>
              </w:rPr>
              <w:t xml:space="preserve">U studije su bili uključeni pacijenti sa aktivnom bolešću, koji su obuhvatali i pacijente koji prethodno nijesu primali aktivnu terapiju i one koji nijesu dovoljno dobro odgovorili na prethodno liječenje, što se definisalo kliničkim karakteristikama ili karakteristikama vidljivim u analizama snimaka. Analiza populacija pacijenata koji su imali različite početne nivoe aktivnosti bolesti, uključujući aktivnu i izrazito aktivnu bolest, pokazala je da je efikasnost </w:t>
            </w:r>
            <w:r w:rsidR="00416F4C" w:rsidRPr="00D123D4">
              <w:rPr>
                <w:sz w:val="22"/>
                <w:szCs w:val="22"/>
                <w:lang w:val="sr-Latn-ME"/>
              </w:rPr>
              <w:t>okrelizumaba</w:t>
            </w:r>
            <w:r w:rsidR="00572E8D" w:rsidRPr="00D123D4">
              <w:rPr>
                <w:sz w:val="22"/>
                <w:szCs w:val="22"/>
                <w:lang w:val="sr-Latn-ME"/>
              </w:rPr>
              <w:t xml:space="preserve"> </w:t>
            </w:r>
            <w:r w:rsidRPr="00D123D4">
              <w:rPr>
                <w:sz w:val="22"/>
                <w:szCs w:val="22"/>
                <w:lang w:val="sr-Latn-ME"/>
              </w:rPr>
              <w:t>s obzirom na godišnju stopu relapsa (ARR) i 12 nedjeljnu potvrđenu progresiju onesposobljenosti bila u skladu sa onom zabilježenom u cjelokupnoj populaciji.</w:t>
            </w:r>
          </w:p>
          <w:p w14:paraId="0B9AC58C" w14:textId="77777777" w:rsidR="00066A0D" w:rsidRPr="00D123D4" w:rsidRDefault="00066A0D" w:rsidP="00D123D4">
            <w:pPr>
              <w:widowControl w:val="0"/>
              <w:jc w:val="both"/>
              <w:rPr>
                <w:sz w:val="22"/>
                <w:szCs w:val="22"/>
                <w:lang w:val="sr-Latn-ME"/>
              </w:rPr>
            </w:pPr>
          </w:p>
          <w:p w14:paraId="4B99439B" w14:textId="4A42B48A" w:rsidR="00066A0D" w:rsidRPr="00D123D4" w:rsidRDefault="00066A0D" w:rsidP="00D123D4">
            <w:pPr>
              <w:widowControl w:val="0"/>
              <w:jc w:val="both"/>
              <w:rPr>
                <w:i/>
                <w:sz w:val="22"/>
                <w:szCs w:val="22"/>
                <w:lang w:val="sr-Latn-ME"/>
              </w:rPr>
            </w:pPr>
            <w:r w:rsidRPr="00D123D4">
              <w:rPr>
                <w:i/>
                <w:sz w:val="22"/>
                <w:szCs w:val="22"/>
                <w:lang w:val="sr-Latn-ME"/>
              </w:rPr>
              <w:t>Primarno progresivn</w:t>
            </w:r>
            <w:r w:rsidR="00EE13AF" w:rsidRPr="00D123D4">
              <w:rPr>
                <w:i/>
                <w:sz w:val="22"/>
                <w:szCs w:val="22"/>
                <w:lang w:val="sr-Latn-ME"/>
              </w:rPr>
              <w:t>a multipla skleroza</w:t>
            </w:r>
            <w:r w:rsidRPr="00D123D4">
              <w:rPr>
                <w:i/>
                <w:sz w:val="22"/>
                <w:szCs w:val="22"/>
                <w:lang w:val="sr-Latn-ME"/>
              </w:rPr>
              <w:t xml:space="preserve"> </w:t>
            </w:r>
            <w:r w:rsidR="00EE13AF" w:rsidRPr="00D123D4">
              <w:rPr>
                <w:i/>
                <w:sz w:val="22"/>
                <w:szCs w:val="22"/>
                <w:lang w:val="sr-Latn-ME"/>
              </w:rPr>
              <w:t>(PP</w:t>
            </w:r>
            <w:r w:rsidRPr="00D123D4">
              <w:rPr>
                <w:i/>
                <w:sz w:val="22"/>
                <w:szCs w:val="22"/>
                <w:lang w:val="sr-Latn-ME"/>
              </w:rPr>
              <w:t>MS</w:t>
            </w:r>
            <w:r w:rsidR="00EE13AF" w:rsidRPr="00D123D4">
              <w:rPr>
                <w:i/>
                <w:sz w:val="22"/>
                <w:szCs w:val="22"/>
                <w:lang w:val="sr-Latn-ME"/>
              </w:rPr>
              <w:t>)</w:t>
            </w:r>
            <w:r w:rsidRPr="00D123D4">
              <w:rPr>
                <w:i/>
                <w:sz w:val="22"/>
                <w:szCs w:val="22"/>
                <w:lang w:val="sr-Latn-ME"/>
              </w:rPr>
              <w:t xml:space="preserve"> </w:t>
            </w:r>
          </w:p>
          <w:p w14:paraId="51C3708B" w14:textId="77777777" w:rsidR="00066A0D" w:rsidRPr="00D123D4" w:rsidRDefault="00066A0D" w:rsidP="00D123D4">
            <w:pPr>
              <w:widowControl w:val="0"/>
              <w:jc w:val="both"/>
              <w:rPr>
                <w:sz w:val="22"/>
                <w:szCs w:val="22"/>
                <w:lang w:val="sr-Latn-ME"/>
              </w:rPr>
            </w:pPr>
          </w:p>
          <w:p w14:paraId="51C1592A" w14:textId="058483D1" w:rsidR="00066A0D" w:rsidRPr="00D123D4" w:rsidRDefault="00066A0D" w:rsidP="00D123D4">
            <w:pPr>
              <w:widowControl w:val="0"/>
              <w:jc w:val="both"/>
              <w:rPr>
                <w:sz w:val="22"/>
                <w:szCs w:val="22"/>
                <w:lang w:val="sr-Latn-ME"/>
              </w:rPr>
            </w:pPr>
            <w:r w:rsidRPr="00D123D4">
              <w:rPr>
                <w:sz w:val="22"/>
                <w:szCs w:val="22"/>
                <w:lang w:val="sr-Latn-ME"/>
              </w:rPr>
              <w:t xml:space="preserve">Efikasnost i bezbjednost </w:t>
            </w:r>
            <w:r w:rsidR="00416F4C" w:rsidRPr="00D123D4">
              <w:rPr>
                <w:sz w:val="22"/>
                <w:szCs w:val="22"/>
                <w:lang w:val="sr-Latn-ME"/>
              </w:rPr>
              <w:t>okrelizumaba</w:t>
            </w:r>
            <w:r w:rsidR="00572E8D" w:rsidRPr="00D123D4">
              <w:rPr>
                <w:sz w:val="22"/>
                <w:szCs w:val="22"/>
                <w:lang w:val="sr-Latn-ME"/>
              </w:rPr>
              <w:t xml:space="preserve"> </w:t>
            </w:r>
            <w:r w:rsidRPr="00D123D4">
              <w:rPr>
                <w:sz w:val="22"/>
                <w:szCs w:val="22"/>
                <w:lang w:val="sr-Latn-ME"/>
              </w:rPr>
              <w:t>ocjenjivale su se i u randomizovanom, dvostruko slijepom, placebom kontrolisanom kliničkom ispitivanju kod pacijenata sa primarno progresivnom multiplom sklerozom (studija WA25046) koji su bili u ranoj fazi bolesti prema glavnim kriterijumima</w:t>
            </w:r>
            <w:r w:rsidR="00572E8D" w:rsidRPr="00D123D4">
              <w:rPr>
                <w:sz w:val="22"/>
                <w:szCs w:val="22"/>
                <w:lang w:val="sr-Latn-ME"/>
              </w:rPr>
              <w:t xml:space="preserve"> uključenja</w:t>
            </w:r>
            <w:r w:rsidRPr="00D123D4">
              <w:rPr>
                <w:sz w:val="22"/>
                <w:szCs w:val="22"/>
                <w:lang w:val="sr-Latn-ME"/>
              </w:rPr>
              <w:t xml:space="preserve">: uzrasta od 18 do (uključeno) 55 godina, EDSS rezultat pri skriningu od 3,0 do 6,5 bodova, trajanje bolesti od nastupa simptoma MS a manje od 10 godina kod pacijenata kojima je EDSS rezultat pri skriningu iznosio ≤ 5,0, odnosno manje od 15 godina kod pacijenata kojima je EDSS rezultat pri skriningu iznosio &gt; 5,0. Što se tiče aktivnosti bolesti, karakteristike  karakteristične za upalnu aktivnost </w:t>
            </w:r>
            <w:r w:rsidRPr="00D123D4">
              <w:rPr>
                <w:sz w:val="22"/>
                <w:szCs w:val="22"/>
                <w:lang w:val="sr-Latn-ME"/>
              </w:rPr>
              <w:lastRenderedPageBreak/>
              <w:t xml:space="preserve">mogu se, čak i kod progresivnog MS-a, utvrditi snimanjem (tj. T1 lezije naglašene gadolinijem i/ili aktivne [nove ili rastuće] T2 lezije). Kod svih pacijenata  upalna aktivnost se treba potvrditi nalazom MR snimanja. Studije nijesu obuhvatile pacijente starije od 55 godina. Dizajn ispitivanja i početne karakteristike studije populacije prikazani su u Tabeli 5. </w:t>
            </w:r>
          </w:p>
          <w:p w14:paraId="018683D7" w14:textId="77777777" w:rsidR="00066A0D" w:rsidRPr="00D123D4" w:rsidRDefault="00066A0D" w:rsidP="00D123D4">
            <w:pPr>
              <w:widowControl w:val="0"/>
              <w:jc w:val="both"/>
              <w:rPr>
                <w:sz w:val="22"/>
                <w:szCs w:val="22"/>
                <w:lang w:val="sr-Latn-ME"/>
              </w:rPr>
            </w:pPr>
          </w:p>
          <w:p w14:paraId="207C91F2" w14:textId="77777777" w:rsidR="00066A0D" w:rsidRPr="00D123D4" w:rsidRDefault="00066A0D" w:rsidP="00D123D4">
            <w:pPr>
              <w:widowControl w:val="0"/>
              <w:jc w:val="both"/>
              <w:rPr>
                <w:sz w:val="22"/>
                <w:szCs w:val="22"/>
                <w:lang w:val="sr-Latn-ME"/>
              </w:rPr>
            </w:pPr>
            <w:r w:rsidRPr="00D123D4">
              <w:rPr>
                <w:sz w:val="22"/>
                <w:szCs w:val="22"/>
                <w:lang w:val="sr-Latn-ME"/>
              </w:rPr>
              <w:t xml:space="preserve">Demografske i početne karakteristike bile su dobro ujednačene u obje liječene grupe. U nalazima MR snimanja glave bili su vidljivi znaci karakteristični za upalnu aktivnost, odnosno T1 lezije naglašene gadolinijem ili T2 lezije. </w:t>
            </w:r>
          </w:p>
          <w:p w14:paraId="65F7A54A" w14:textId="77777777" w:rsidR="00066A0D" w:rsidRPr="00D123D4" w:rsidRDefault="00066A0D" w:rsidP="00D123D4">
            <w:pPr>
              <w:widowControl w:val="0"/>
              <w:jc w:val="both"/>
              <w:rPr>
                <w:sz w:val="22"/>
                <w:szCs w:val="22"/>
                <w:lang w:val="sr-Latn-ME"/>
              </w:rPr>
            </w:pPr>
          </w:p>
          <w:p w14:paraId="688CEBF3" w14:textId="346ABC05" w:rsidR="00066A0D" w:rsidRPr="00D123D4" w:rsidRDefault="00066A0D" w:rsidP="00D123D4">
            <w:pPr>
              <w:widowControl w:val="0"/>
              <w:jc w:val="both"/>
              <w:rPr>
                <w:sz w:val="22"/>
                <w:szCs w:val="22"/>
                <w:lang w:val="sr-Latn-ME"/>
              </w:rPr>
            </w:pPr>
            <w:r w:rsidRPr="00D123D4">
              <w:rPr>
                <w:sz w:val="22"/>
                <w:szCs w:val="22"/>
                <w:lang w:val="sr-Latn-ME"/>
              </w:rPr>
              <w:t xml:space="preserve">Tokom studije faze </w:t>
            </w:r>
            <w:r w:rsidR="00256986" w:rsidRPr="00D123D4">
              <w:rPr>
                <w:sz w:val="22"/>
                <w:szCs w:val="22"/>
                <w:lang w:val="sr-Latn-ME"/>
              </w:rPr>
              <w:t>III</w:t>
            </w:r>
            <w:r w:rsidRPr="00D123D4">
              <w:rPr>
                <w:sz w:val="22"/>
                <w:szCs w:val="22"/>
                <w:lang w:val="sr-Latn-ME"/>
              </w:rPr>
              <w:t xml:space="preserve"> kod PPMS-a pacijenti su tokom cijelog ispitivanja primali </w:t>
            </w:r>
            <w:r w:rsidR="00EE13AF" w:rsidRPr="00D123D4">
              <w:rPr>
                <w:sz w:val="22"/>
                <w:szCs w:val="22"/>
                <w:lang w:val="sr-Latn-ME"/>
              </w:rPr>
              <w:t>okrelizumab</w:t>
            </w:r>
            <w:r w:rsidRPr="00D123D4">
              <w:rPr>
                <w:sz w:val="22"/>
                <w:szCs w:val="22"/>
                <w:lang w:val="sr-Latn-ME"/>
              </w:rPr>
              <w:t xml:space="preserve"> u dozi od 600 mg svakih 6 mjeseci, u obliku dvije infuzije od 300 mg koje su se primjenjivale u razmaku od dvije nedjelje. Infuzije od 600 mg kod RMS-a i infuzije 2 x 300 mg kod PPMS-a pokazale su dosljedne farmakokinetičke/farmakodinamičke profile. Profili reakcija na infuziju po infuziji takođe su bili slični, nezavisno od toga da li se doza od 600 mg primjenjivala kao jedna infuzija od 600 mg ili kao dvije infuzije od 300 mg u razmaku od dvije nedjelje (vidjeti djelove 4.8 i 5.2), ali je zbog sveukupno većeg broja infuzija kod režima primjene 2 x  300 mg ukupan broj reakcija na infuziju bio veći. Zbog  toga se nakon 1. doze preporučuje primjena </w:t>
            </w:r>
            <w:r w:rsidR="00416F4C" w:rsidRPr="00D123D4">
              <w:rPr>
                <w:sz w:val="22"/>
                <w:szCs w:val="22"/>
                <w:lang w:val="sr-Latn-ME"/>
              </w:rPr>
              <w:t>okrelizumaba</w:t>
            </w:r>
            <w:r w:rsidR="00E073E7" w:rsidRPr="00D123D4">
              <w:rPr>
                <w:sz w:val="22"/>
                <w:szCs w:val="22"/>
                <w:lang w:val="sr-Latn-ME"/>
              </w:rPr>
              <w:t xml:space="preserve"> </w:t>
            </w:r>
            <w:r w:rsidRPr="00D123D4">
              <w:rPr>
                <w:sz w:val="22"/>
                <w:szCs w:val="22"/>
                <w:lang w:val="sr-Latn-ME"/>
              </w:rPr>
              <w:t>u jednoj infuziji od 600 mg (vidjeti dio 4.2), kako bi se smanjio ukupan broj infuzija (i p</w:t>
            </w:r>
            <w:r w:rsidR="00572E8D" w:rsidRPr="00D123D4">
              <w:rPr>
                <w:sz w:val="22"/>
                <w:szCs w:val="22"/>
                <w:lang w:val="sr-Latn-ME"/>
              </w:rPr>
              <w:t>r</w:t>
            </w:r>
            <w:r w:rsidRPr="00D123D4">
              <w:rPr>
                <w:sz w:val="22"/>
                <w:szCs w:val="22"/>
                <w:lang w:val="sr-Latn-ME"/>
              </w:rPr>
              <w:t>opratno izlaganje profilaktički primijenjenom metilprednizolonu i antihistaminiku) te sa njima povezanih reakcija na infuziju.</w:t>
            </w:r>
          </w:p>
          <w:p w14:paraId="0144A631" w14:textId="77777777" w:rsidR="00066A0D" w:rsidRPr="00D123D4" w:rsidRDefault="00066A0D" w:rsidP="00D123D4">
            <w:pPr>
              <w:widowControl w:val="0"/>
              <w:jc w:val="both"/>
              <w:rPr>
                <w:i/>
                <w:sz w:val="22"/>
                <w:szCs w:val="22"/>
                <w:lang w:val="sr-Latn-ME"/>
              </w:rPr>
            </w:pPr>
          </w:p>
          <w:p w14:paraId="41A86245" w14:textId="77777777" w:rsidR="00066A0D" w:rsidRPr="00D123D4" w:rsidRDefault="00066A0D" w:rsidP="00D123D4">
            <w:pPr>
              <w:widowControl w:val="0"/>
              <w:tabs>
                <w:tab w:val="left" w:pos="284"/>
                <w:tab w:val="center" w:pos="4320"/>
                <w:tab w:val="right" w:pos="8640"/>
              </w:tabs>
              <w:jc w:val="both"/>
              <w:rPr>
                <w:b/>
                <w:bCs/>
                <w:sz w:val="22"/>
                <w:szCs w:val="22"/>
                <w:lang w:val="sr-Latn-ME"/>
              </w:rPr>
            </w:pPr>
            <w:r w:rsidRPr="00D123D4">
              <w:rPr>
                <w:b/>
                <w:bCs/>
                <w:sz w:val="22"/>
                <w:szCs w:val="22"/>
                <w:lang w:val="sr-Latn-ME"/>
              </w:rPr>
              <w:t>Tabela 5</w:t>
            </w:r>
            <w:r w:rsidRPr="00D123D4">
              <w:rPr>
                <w:b/>
                <w:bCs/>
                <w:sz w:val="22"/>
                <w:szCs w:val="22"/>
                <w:lang w:val="sr-Latn-ME"/>
              </w:rPr>
              <w:tab/>
              <w:t xml:space="preserve">   Dizajn Studije, demografske i početne karakteristike u Studiji WA25046.</w:t>
            </w:r>
          </w:p>
          <w:p w14:paraId="73CEBAF2" w14:textId="77777777" w:rsidR="00066A0D" w:rsidRPr="00D123D4" w:rsidRDefault="00066A0D" w:rsidP="00D123D4">
            <w:pPr>
              <w:widowControl w:val="0"/>
              <w:jc w:val="both"/>
              <w:rPr>
                <w:sz w:val="22"/>
                <w:szCs w:val="22"/>
                <w:lang w:val="sr-Latn-ME"/>
              </w:rPr>
            </w:pPr>
          </w:p>
          <w:tbl>
            <w:tblPr>
              <w:tblW w:w="5000" w:type="pct"/>
              <w:tblLayout w:type="fixed"/>
              <w:tblCellMar>
                <w:left w:w="57" w:type="dxa"/>
                <w:right w:w="57" w:type="dxa"/>
              </w:tblCellMar>
              <w:tblLook w:val="0000" w:firstRow="0" w:lastRow="0" w:firstColumn="0" w:lastColumn="0" w:noHBand="0" w:noVBand="0"/>
            </w:tblPr>
            <w:tblGrid>
              <w:gridCol w:w="3046"/>
              <w:gridCol w:w="3504"/>
              <w:gridCol w:w="2438"/>
            </w:tblGrid>
            <w:tr w:rsidR="00066A0D" w:rsidRPr="00D123D4" w14:paraId="4220DF50" w14:textId="77777777" w:rsidTr="00B656E4">
              <w:trPr>
                <w:cantSplit/>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5CE6BEF6" w14:textId="77777777" w:rsidR="00066A0D" w:rsidRPr="00D123D4" w:rsidRDefault="00066A0D" w:rsidP="00D123D4">
                  <w:pPr>
                    <w:widowControl w:val="0"/>
                    <w:spacing w:line="240" w:lineRule="exact"/>
                    <w:rPr>
                      <w:b/>
                      <w:bCs/>
                      <w:sz w:val="22"/>
                      <w:szCs w:val="22"/>
                      <w:lang w:val="sr-Latn-ME"/>
                    </w:rPr>
                  </w:pPr>
                  <w:r w:rsidRPr="00D123D4">
                    <w:rPr>
                      <w:b/>
                      <w:bCs/>
                      <w:sz w:val="22"/>
                      <w:szCs w:val="22"/>
                      <w:lang w:val="sr-Latn-ME"/>
                    </w:rPr>
                    <w:t>Naziv Studije</w:t>
                  </w:r>
                </w:p>
              </w:tc>
              <w:tc>
                <w:tcPr>
                  <w:tcW w:w="3305" w:type="pct"/>
                  <w:gridSpan w:val="2"/>
                  <w:tcBorders>
                    <w:top w:val="single" w:sz="4" w:space="0" w:color="auto"/>
                    <w:left w:val="single" w:sz="4" w:space="0" w:color="auto"/>
                    <w:bottom w:val="single" w:sz="4" w:space="0" w:color="auto"/>
                    <w:right w:val="single" w:sz="4" w:space="0" w:color="auto"/>
                  </w:tcBorders>
                  <w:shd w:val="clear" w:color="auto" w:fill="auto"/>
                </w:tcPr>
                <w:p w14:paraId="1B38D6AF" w14:textId="77777777" w:rsidR="00066A0D" w:rsidRPr="00D123D4" w:rsidRDefault="00066A0D" w:rsidP="00D123D4">
                  <w:pPr>
                    <w:widowControl w:val="0"/>
                    <w:tabs>
                      <w:tab w:val="center" w:pos="3148"/>
                      <w:tab w:val="right" w:pos="6296"/>
                    </w:tabs>
                    <w:spacing w:line="240" w:lineRule="exact"/>
                    <w:rPr>
                      <w:b/>
                      <w:bCs/>
                      <w:sz w:val="22"/>
                      <w:szCs w:val="22"/>
                      <w:lang w:val="sr-Latn-ME"/>
                    </w:rPr>
                  </w:pPr>
                  <w:r w:rsidRPr="00D123D4">
                    <w:rPr>
                      <w:b/>
                      <w:bCs/>
                      <w:sz w:val="22"/>
                      <w:szCs w:val="22"/>
                      <w:lang w:val="sr-Latn-ME"/>
                    </w:rPr>
                    <w:tab/>
                    <w:t>Studije WA25046 ORATORIO  (n=732)</w:t>
                  </w:r>
                  <w:r w:rsidRPr="00D123D4">
                    <w:rPr>
                      <w:b/>
                      <w:bCs/>
                      <w:sz w:val="22"/>
                      <w:szCs w:val="22"/>
                      <w:lang w:val="sr-Latn-ME"/>
                    </w:rPr>
                    <w:tab/>
                  </w:r>
                </w:p>
                <w:p w14:paraId="6E90BFF4" w14:textId="77777777" w:rsidR="00066A0D" w:rsidRPr="00D123D4" w:rsidRDefault="00066A0D" w:rsidP="00D123D4">
                  <w:pPr>
                    <w:widowControl w:val="0"/>
                    <w:spacing w:line="240" w:lineRule="exact"/>
                    <w:jc w:val="center"/>
                    <w:rPr>
                      <w:b/>
                      <w:bCs/>
                      <w:sz w:val="22"/>
                      <w:szCs w:val="22"/>
                      <w:lang w:val="sr-Latn-ME"/>
                    </w:rPr>
                  </w:pPr>
                </w:p>
              </w:tc>
            </w:tr>
            <w:tr w:rsidR="00066A0D" w:rsidRPr="00D123D4" w14:paraId="3488034C" w14:textId="77777777" w:rsidTr="00B656E4">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223DAA8" w14:textId="77777777" w:rsidR="00066A0D" w:rsidRPr="00D123D4" w:rsidRDefault="00066A0D" w:rsidP="00D123D4">
                  <w:pPr>
                    <w:widowControl w:val="0"/>
                    <w:spacing w:line="240" w:lineRule="exact"/>
                    <w:jc w:val="center"/>
                    <w:rPr>
                      <w:b/>
                      <w:bCs/>
                      <w:sz w:val="22"/>
                      <w:szCs w:val="22"/>
                      <w:lang w:val="sr-Latn-ME"/>
                    </w:rPr>
                  </w:pPr>
                  <w:r w:rsidRPr="00D123D4">
                    <w:rPr>
                      <w:b/>
                      <w:bCs/>
                      <w:sz w:val="22"/>
                      <w:szCs w:val="22"/>
                      <w:lang w:val="sr-Latn-ME"/>
                    </w:rPr>
                    <w:t>Dizajn Studije</w:t>
                  </w:r>
                </w:p>
              </w:tc>
            </w:tr>
            <w:tr w:rsidR="00066A0D" w:rsidRPr="00D123D4" w14:paraId="0103ED5D" w14:textId="77777777" w:rsidTr="00B656E4">
              <w:trPr>
                <w:cantSplit/>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60F35127" w14:textId="77777777" w:rsidR="00066A0D" w:rsidRPr="00D123D4" w:rsidRDefault="00066A0D" w:rsidP="00D123D4">
                  <w:pPr>
                    <w:widowControl w:val="0"/>
                    <w:spacing w:line="240" w:lineRule="exact"/>
                    <w:rPr>
                      <w:rFonts w:eastAsiaTheme="minorHAnsi"/>
                      <w:sz w:val="22"/>
                      <w:szCs w:val="22"/>
                      <w:lang w:val="sr-Latn-ME"/>
                    </w:rPr>
                  </w:pPr>
                  <w:r w:rsidRPr="00D123D4">
                    <w:rPr>
                      <w:rFonts w:eastAsiaTheme="minorHAnsi"/>
                      <w:sz w:val="22"/>
                      <w:szCs w:val="22"/>
                      <w:lang w:val="sr-Latn-ME"/>
                    </w:rPr>
                    <w:t>Ispitivana populacija</w:t>
                  </w:r>
                </w:p>
              </w:tc>
              <w:tc>
                <w:tcPr>
                  <w:tcW w:w="3305" w:type="pct"/>
                  <w:gridSpan w:val="2"/>
                  <w:tcBorders>
                    <w:top w:val="single" w:sz="4" w:space="0" w:color="auto"/>
                    <w:left w:val="single" w:sz="4" w:space="0" w:color="auto"/>
                    <w:bottom w:val="single" w:sz="4" w:space="0" w:color="auto"/>
                    <w:right w:val="single" w:sz="4" w:space="0" w:color="auto"/>
                  </w:tcBorders>
                  <w:shd w:val="clear" w:color="auto" w:fill="auto"/>
                </w:tcPr>
                <w:p w14:paraId="717D2E24" w14:textId="77777777"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Pacijenti sa primarno progresivnim oblikom MS</w:t>
                  </w:r>
                  <w:r w:rsidRPr="00D123D4">
                    <w:rPr>
                      <w:rFonts w:eastAsiaTheme="minorHAnsi"/>
                      <w:sz w:val="22"/>
                      <w:szCs w:val="22"/>
                      <w:lang w:val="sr-Latn-ME"/>
                    </w:rPr>
                    <w:noBreakHyphen/>
                    <w:t>a</w:t>
                  </w:r>
                </w:p>
                <w:p w14:paraId="6A600746" w14:textId="77777777" w:rsidR="00066A0D" w:rsidRPr="00D123D4" w:rsidRDefault="00066A0D" w:rsidP="00D123D4">
                  <w:pPr>
                    <w:widowControl w:val="0"/>
                    <w:spacing w:line="240" w:lineRule="exact"/>
                    <w:jc w:val="center"/>
                    <w:rPr>
                      <w:rFonts w:eastAsiaTheme="minorHAnsi"/>
                      <w:sz w:val="22"/>
                      <w:szCs w:val="22"/>
                      <w:lang w:val="sr-Latn-ME"/>
                    </w:rPr>
                  </w:pPr>
                </w:p>
              </w:tc>
            </w:tr>
            <w:tr w:rsidR="00066A0D" w:rsidRPr="00D123D4" w14:paraId="3E5F8AD4" w14:textId="77777777" w:rsidTr="00B656E4">
              <w:trPr>
                <w:cantSplit/>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0EB5AF9A" w14:textId="77777777" w:rsidR="00066A0D" w:rsidRPr="00D123D4" w:rsidRDefault="00066A0D" w:rsidP="00D123D4">
                  <w:pPr>
                    <w:widowControl w:val="0"/>
                    <w:spacing w:line="240" w:lineRule="exact"/>
                    <w:rPr>
                      <w:rFonts w:eastAsiaTheme="minorHAnsi"/>
                      <w:sz w:val="22"/>
                      <w:szCs w:val="22"/>
                      <w:lang w:val="sr-Latn-ME"/>
                    </w:rPr>
                  </w:pPr>
                  <w:r w:rsidRPr="00D123D4">
                    <w:rPr>
                      <w:rFonts w:eastAsiaTheme="minorHAnsi"/>
                      <w:sz w:val="22"/>
                      <w:szCs w:val="22"/>
                      <w:lang w:val="sr-Latn-ME"/>
                    </w:rPr>
                    <w:t>Trajanje studije</w:t>
                  </w:r>
                </w:p>
              </w:tc>
              <w:tc>
                <w:tcPr>
                  <w:tcW w:w="3305" w:type="pct"/>
                  <w:gridSpan w:val="2"/>
                  <w:tcBorders>
                    <w:top w:val="single" w:sz="4" w:space="0" w:color="auto"/>
                    <w:left w:val="single" w:sz="4" w:space="0" w:color="auto"/>
                    <w:bottom w:val="single" w:sz="4" w:space="0" w:color="auto"/>
                    <w:right w:val="single" w:sz="4" w:space="0" w:color="auto"/>
                  </w:tcBorders>
                  <w:shd w:val="clear" w:color="auto" w:fill="auto"/>
                </w:tcPr>
                <w:p w14:paraId="6B1E5DDE" w14:textId="77777777" w:rsidR="00066A0D" w:rsidRPr="00D123D4" w:rsidRDefault="00066A0D" w:rsidP="00D123D4">
                  <w:pPr>
                    <w:widowControl w:val="0"/>
                    <w:spacing w:line="240" w:lineRule="exact"/>
                    <w:jc w:val="center"/>
                    <w:rPr>
                      <w:rFonts w:eastAsiaTheme="minorHAnsi"/>
                      <w:i/>
                      <w:sz w:val="22"/>
                      <w:szCs w:val="22"/>
                      <w:lang w:val="sr-Latn-ME"/>
                    </w:rPr>
                  </w:pPr>
                  <w:r w:rsidRPr="00D123D4">
                    <w:rPr>
                      <w:rFonts w:eastAsiaTheme="minorHAnsi"/>
                      <w:sz w:val="22"/>
                      <w:szCs w:val="22"/>
                      <w:lang w:val="sr-Latn-ME"/>
                    </w:rPr>
                    <w:t>Vođeno događajima (</w:t>
                  </w:r>
                  <w:r w:rsidRPr="00D123D4">
                    <w:rPr>
                      <w:rFonts w:eastAsiaTheme="minorHAnsi"/>
                      <w:i/>
                      <w:sz w:val="22"/>
                      <w:szCs w:val="22"/>
                      <w:lang w:val="sr-Latn-ME"/>
                    </w:rPr>
                    <w:t>najmanje 120 nedjelja i 253 epizode potvrđene progresije onesposobljenosti</w:t>
                  </w:r>
                  <w:r w:rsidRPr="00D123D4">
                    <w:rPr>
                      <w:rFonts w:eastAsiaTheme="minorHAnsi"/>
                      <w:sz w:val="22"/>
                      <w:szCs w:val="22"/>
                      <w:lang w:val="sr-Latn-ME"/>
                    </w:rPr>
                    <w:t>)</w:t>
                  </w:r>
                  <w:r w:rsidRPr="00D123D4">
                    <w:rPr>
                      <w:rFonts w:eastAsiaTheme="minorHAnsi"/>
                      <w:i/>
                      <w:sz w:val="22"/>
                      <w:szCs w:val="22"/>
                      <w:lang w:val="sr-Latn-ME"/>
                    </w:rPr>
                    <w:t xml:space="preserve"> </w:t>
                  </w:r>
                </w:p>
                <w:p w14:paraId="0703F876" w14:textId="21AF5DCE"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i/>
                      <w:sz w:val="22"/>
                      <w:szCs w:val="22"/>
                      <w:lang w:val="sr-Latn-ME"/>
                    </w:rPr>
                    <w:t xml:space="preserve">(Medijana praćenja: </w:t>
                  </w:r>
                  <w:r w:rsidR="00EE13AF" w:rsidRPr="00D123D4">
                    <w:rPr>
                      <w:rFonts w:eastAsiaTheme="minorHAnsi"/>
                      <w:i/>
                      <w:sz w:val="22"/>
                      <w:szCs w:val="22"/>
                      <w:lang w:val="sr-Latn-ME"/>
                    </w:rPr>
                    <w:t xml:space="preserve">okrelizumab </w:t>
                  </w:r>
                  <w:r w:rsidRPr="00D123D4">
                    <w:rPr>
                      <w:rFonts w:eastAsiaTheme="minorHAnsi"/>
                      <w:i/>
                      <w:sz w:val="22"/>
                      <w:szCs w:val="22"/>
                      <w:lang w:val="sr-Latn-ME"/>
                    </w:rPr>
                    <w:t xml:space="preserve">3,0 godine; placebo 2,8 godina </w:t>
                  </w:r>
                </w:p>
              </w:tc>
            </w:tr>
            <w:tr w:rsidR="00066A0D" w:rsidRPr="00D123D4" w14:paraId="71BC4C00" w14:textId="77777777" w:rsidTr="00B656E4">
              <w:trPr>
                <w:cantSplit/>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725DB730" w14:textId="77777777" w:rsidR="00066A0D" w:rsidRPr="00D123D4" w:rsidRDefault="00066A0D" w:rsidP="00D123D4">
                  <w:pPr>
                    <w:widowControl w:val="0"/>
                    <w:spacing w:line="240" w:lineRule="exact"/>
                    <w:rPr>
                      <w:rFonts w:eastAsiaTheme="minorHAnsi"/>
                      <w:sz w:val="22"/>
                      <w:szCs w:val="22"/>
                      <w:lang w:val="sr-Latn-ME"/>
                    </w:rPr>
                  </w:pPr>
                  <w:r w:rsidRPr="00D123D4">
                    <w:rPr>
                      <w:rFonts w:eastAsiaTheme="minorHAnsi"/>
                      <w:sz w:val="22"/>
                      <w:szCs w:val="22"/>
                      <w:lang w:val="sr-Latn-ME"/>
                    </w:rPr>
                    <w:t>Anamneza pri skriningu</w:t>
                  </w:r>
                </w:p>
              </w:tc>
              <w:tc>
                <w:tcPr>
                  <w:tcW w:w="3305" w:type="pct"/>
                  <w:gridSpan w:val="2"/>
                  <w:tcBorders>
                    <w:top w:val="single" w:sz="4" w:space="0" w:color="auto"/>
                    <w:left w:val="single" w:sz="4" w:space="0" w:color="auto"/>
                    <w:bottom w:val="single" w:sz="4" w:space="0" w:color="auto"/>
                    <w:right w:val="single" w:sz="4" w:space="0" w:color="auto"/>
                  </w:tcBorders>
                  <w:shd w:val="clear" w:color="auto" w:fill="auto"/>
                </w:tcPr>
                <w:p w14:paraId="104993EB" w14:textId="77777777"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Uzrast: 18 – 55; EDSS: 3,0 – 6,5</w:t>
                  </w:r>
                </w:p>
              </w:tc>
            </w:tr>
            <w:tr w:rsidR="00066A0D" w:rsidRPr="00D123D4" w14:paraId="3A9FD114" w14:textId="77777777" w:rsidTr="00B656E4">
              <w:trPr>
                <w:cantSplit/>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5FBC8D97" w14:textId="77777777" w:rsidR="00066A0D" w:rsidRPr="00D123D4" w:rsidRDefault="00066A0D" w:rsidP="00D123D4">
                  <w:pPr>
                    <w:widowControl w:val="0"/>
                    <w:spacing w:line="240" w:lineRule="exact"/>
                    <w:rPr>
                      <w:rFonts w:eastAsiaTheme="minorHAnsi"/>
                      <w:sz w:val="22"/>
                      <w:szCs w:val="22"/>
                      <w:lang w:val="sr-Latn-ME"/>
                    </w:rPr>
                  </w:pPr>
                  <w:r w:rsidRPr="00D123D4">
                    <w:rPr>
                      <w:rFonts w:eastAsiaTheme="minorHAnsi"/>
                      <w:sz w:val="22"/>
                      <w:szCs w:val="22"/>
                      <w:lang w:val="sr-Latn-ME"/>
                    </w:rPr>
                    <w:t>Liječene grupe</w:t>
                  </w:r>
                </w:p>
              </w:tc>
              <w:tc>
                <w:tcPr>
                  <w:tcW w:w="3305" w:type="pct"/>
                  <w:gridSpan w:val="2"/>
                  <w:tcBorders>
                    <w:top w:val="single" w:sz="4" w:space="0" w:color="auto"/>
                    <w:left w:val="single" w:sz="4" w:space="0" w:color="auto"/>
                    <w:bottom w:val="single" w:sz="4" w:space="0" w:color="auto"/>
                    <w:right w:val="single" w:sz="4" w:space="0" w:color="auto"/>
                  </w:tcBorders>
                  <w:shd w:val="clear" w:color="auto" w:fill="auto"/>
                </w:tcPr>
                <w:p w14:paraId="5F90C1C8" w14:textId="5FAE7CBA"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 xml:space="preserve">Grupa A: </w:t>
                  </w:r>
                  <w:r w:rsidR="00EE13AF" w:rsidRPr="00D123D4">
                    <w:rPr>
                      <w:rFonts w:eastAsiaTheme="minorHAnsi"/>
                      <w:sz w:val="22"/>
                      <w:szCs w:val="22"/>
                      <w:lang w:val="sr-Latn-ME"/>
                    </w:rPr>
                    <w:t xml:space="preserve">okrelizumab </w:t>
                  </w:r>
                  <w:r w:rsidRPr="00D123D4">
                    <w:rPr>
                      <w:rFonts w:eastAsiaTheme="minorHAnsi"/>
                      <w:sz w:val="22"/>
                      <w:szCs w:val="22"/>
                      <w:lang w:val="sr-Latn-ME"/>
                    </w:rPr>
                    <w:t>600 mg</w:t>
                  </w:r>
                </w:p>
                <w:p w14:paraId="4F66ED06" w14:textId="77777777"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Grupa B: placebo, randomizacija u odnosu 2:1</w:t>
                  </w:r>
                </w:p>
              </w:tc>
            </w:tr>
            <w:tr w:rsidR="00066A0D" w:rsidRPr="00D123D4" w14:paraId="29AC51AB" w14:textId="77777777" w:rsidTr="00B656E4">
              <w:trPr>
                <w:cantSplit/>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2024B433" w14:textId="77777777" w:rsidR="00066A0D" w:rsidRPr="00D123D4" w:rsidRDefault="00066A0D" w:rsidP="00D123D4">
                  <w:pPr>
                    <w:widowControl w:val="0"/>
                    <w:spacing w:line="240" w:lineRule="exact"/>
                    <w:rPr>
                      <w:rFonts w:eastAsiaTheme="minorHAnsi"/>
                      <w:b/>
                      <w:sz w:val="22"/>
                      <w:szCs w:val="22"/>
                      <w:lang w:val="sr-Latn-ME"/>
                    </w:rPr>
                  </w:pPr>
                  <w:r w:rsidRPr="00D123D4">
                    <w:rPr>
                      <w:rFonts w:eastAsiaTheme="minorHAnsi"/>
                      <w:b/>
                      <w:sz w:val="22"/>
                      <w:szCs w:val="22"/>
                      <w:lang w:val="sr-Latn-ME"/>
                    </w:rPr>
                    <w:t>Početne karakteristike</w:t>
                  </w:r>
                </w:p>
              </w:tc>
              <w:tc>
                <w:tcPr>
                  <w:tcW w:w="1949" w:type="pct"/>
                  <w:tcBorders>
                    <w:top w:val="single" w:sz="4" w:space="0" w:color="auto"/>
                    <w:left w:val="single" w:sz="4" w:space="0" w:color="auto"/>
                    <w:bottom w:val="single" w:sz="4" w:space="0" w:color="auto"/>
                    <w:right w:val="single" w:sz="4" w:space="0" w:color="auto"/>
                  </w:tcBorders>
                  <w:shd w:val="clear" w:color="auto" w:fill="auto"/>
                </w:tcPr>
                <w:p w14:paraId="3B21CA64" w14:textId="43F3E40E" w:rsidR="00066A0D" w:rsidRPr="00D123D4" w:rsidRDefault="00EE13AF"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 xml:space="preserve">okrelizumab </w:t>
                  </w:r>
                  <w:r w:rsidR="00066A0D" w:rsidRPr="00D123D4">
                    <w:rPr>
                      <w:rFonts w:eastAsiaTheme="minorHAnsi"/>
                      <w:sz w:val="22"/>
                      <w:szCs w:val="22"/>
                      <w:lang w:val="sr-Latn-ME"/>
                    </w:rPr>
                    <w:t xml:space="preserve">600 mg (n=488) </w:t>
                  </w:r>
                </w:p>
              </w:tc>
              <w:tc>
                <w:tcPr>
                  <w:tcW w:w="1356" w:type="pct"/>
                  <w:tcBorders>
                    <w:top w:val="single" w:sz="4" w:space="0" w:color="auto"/>
                    <w:left w:val="single" w:sz="4" w:space="0" w:color="auto"/>
                    <w:bottom w:val="single" w:sz="4" w:space="0" w:color="auto"/>
                    <w:right w:val="single" w:sz="4" w:space="0" w:color="auto"/>
                  </w:tcBorders>
                </w:tcPr>
                <w:p w14:paraId="1A5E2B35" w14:textId="77777777"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Placebo (n=244)</w:t>
                  </w:r>
                </w:p>
              </w:tc>
            </w:tr>
            <w:tr w:rsidR="00066A0D" w:rsidRPr="00D123D4" w14:paraId="22F45200" w14:textId="77777777" w:rsidTr="00B656E4">
              <w:trPr>
                <w:cantSplit/>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52C5D68D" w14:textId="77777777" w:rsidR="00066A0D" w:rsidRPr="00D123D4" w:rsidRDefault="00066A0D" w:rsidP="00D123D4">
                  <w:pPr>
                    <w:widowControl w:val="0"/>
                    <w:spacing w:line="240" w:lineRule="exact"/>
                    <w:rPr>
                      <w:rFonts w:eastAsiaTheme="minorHAnsi"/>
                      <w:sz w:val="22"/>
                      <w:szCs w:val="22"/>
                      <w:lang w:val="sr-Latn-ME"/>
                    </w:rPr>
                  </w:pPr>
                  <w:r w:rsidRPr="00D123D4">
                    <w:rPr>
                      <w:rFonts w:eastAsiaTheme="minorHAnsi"/>
                      <w:sz w:val="22"/>
                      <w:szCs w:val="22"/>
                      <w:lang w:val="sr-Latn-ME"/>
                    </w:rPr>
                    <w:t>Srednja vrijednost uzrasta (godine)</w:t>
                  </w:r>
                </w:p>
              </w:tc>
              <w:tc>
                <w:tcPr>
                  <w:tcW w:w="1949" w:type="pct"/>
                  <w:tcBorders>
                    <w:top w:val="single" w:sz="4" w:space="0" w:color="auto"/>
                    <w:left w:val="single" w:sz="4" w:space="0" w:color="auto"/>
                    <w:bottom w:val="single" w:sz="4" w:space="0" w:color="auto"/>
                    <w:right w:val="single" w:sz="4" w:space="0" w:color="auto"/>
                  </w:tcBorders>
                  <w:shd w:val="clear" w:color="auto" w:fill="auto"/>
                </w:tcPr>
                <w:p w14:paraId="0AC4B95D" w14:textId="77777777"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44,7</w:t>
                  </w:r>
                </w:p>
              </w:tc>
              <w:tc>
                <w:tcPr>
                  <w:tcW w:w="1356" w:type="pct"/>
                  <w:tcBorders>
                    <w:top w:val="single" w:sz="4" w:space="0" w:color="auto"/>
                    <w:left w:val="single" w:sz="4" w:space="0" w:color="auto"/>
                    <w:bottom w:val="single" w:sz="4" w:space="0" w:color="auto"/>
                    <w:right w:val="single" w:sz="4" w:space="0" w:color="auto"/>
                  </w:tcBorders>
                </w:tcPr>
                <w:p w14:paraId="3807EBF8" w14:textId="77777777"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44,4</w:t>
                  </w:r>
                </w:p>
              </w:tc>
            </w:tr>
            <w:tr w:rsidR="00066A0D" w:rsidRPr="00D123D4" w14:paraId="61091B6D" w14:textId="77777777" w:rsidTr="00B656E4">
              <w:trPr>
                <w:cantSplit/>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11FA99BA" w14:textId="77777777" w:rsidR="00066A0D" w:rsidRPr="00D123D4" w:rsidRDefault="00066A0D" w:rsidP="00D123D4">
                  <w:pPr>
                    <w:widowControl w:val="0"/>
                    <w:spacing w:line="240" w:lineRule="exact"/>
                    <w:rPr>
                      <w:rFonts w:eastAsiaTheme="minorHAnsi"/>
                      <w:sz w:val="22"/>
                      <w:szCs w:val="22"/>
                      <w:lang w:val="sr-Latn-ME"/>
                    </w:rPr>
                  </w:pPr>
                  <w:r w:rsidRPr="00D123D4">
                    <w:rPr>
                      <w:rFonts w:eastAsiaTheme="minorHAnsi"/>
                      <w:sz w:val="22"/>
                      <w:szCs w:val="22"/>
                      <w:lang w:val="sr-Latn-ME"/>
                    </w:rPr>
                    <w:t>Raspon uzrasta (godine) pri uključivanju u studiju</w:t>
                  </w:r>
                </w:p>
              </w:tc>
              <w:tc>
                <w:tcPr>
                  <w:tcW w:w="1949" w:type="pct"/>
                  <w:tcBorders>
                    <w:top w:val="single" w:sz="4" w:space="0" w:color="auto"/>
                    <w:left w:val="single" w:sz="4" w:space="0" w:color="auto"/>
                    <w:bottom w:val="single" w:sz="4" w:space="0" w:color="auto"/>
                    <w:right w:val="single" w:sz="4" w:space="0" w:color="auto"/>
                  </w:tcBorders>
                  <w:shd w:val="clear" w:color="auto" w:fill="auto"/>
                </w:tcPr>
                <w:p w14:paraId="55E8323C" w14:textId="77777777"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color w:val="000000"/>
                      <w:sz w:val="22"/>
                      <w:szCs w:val="22"/>
                      <w:lang w:val="sr-Latn-ME"/>
                    </w:rPr>
                    <w:t>20 – 56</w:t>
                  </w:r>
                </w:p>
              </w:tc>
              <w:tc>
                <w:tcPr>
                  <w:tcW w:w="1356" w:type="pct"/>
                  <w:tcBorders>
                    <w:top w:val="single" w:sz="4" w:space="0" w:color="auto"/>
                    <w:left w:val="single" w:sz="4" w:space="0" w:color="auto"/>
                    <w:bottom w:val="single" w:sz="4" w:space="0" w:color="auto"/>
                    <w:right w:val="single" w:sz="4" w:space="0" w:color="auto"/>
                  </w:tcBorders>
                </w:tcPr>
                <w:p w14:paraId="47DC1471" w14:textId="77777777"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 xml:space="preserve"> 18 – 56</w:t>
                  </w:r>
                </w:p>
              </w:tc>
            </w:tr>
            <w:tr w:rsidR="00066A0D" w:rsidRPr="00D123D4" w14:paraId="714AC66C" w14:textId="77777777" w:rsidTr="00B656E4">
              <w:trPr>
                <w:cantSplit/>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356DFF69" w14:textId="77777777" w:rsidR="00066A0D" w:rsidRPr="00D123D4" w:rsidRDefault="00066A0D" w:rsidP="00D123D4">
                  <w:pPr>
                    <w:widowControl w:val="0"/>
                    <w:spacing w:line="259" w:lineRule="auto"/>
                    <w:rPr>
                      <w:rFonts w:eastAsiaTheme="minorHAnsi"/>
                      <w:sz w:val="22"/>
                      <w:szCs w:val="22"/>
                      <w:lang w:val="sr-Latn-ME"/>
                    </w:rPr>
                  </w:pPr>
                  <w:r w:rsidRPr="00D123D4">
                    <w:rPr>
                      <w:rFonts w:eastAsiaTheme="minorHAnsi"/>
                      <w:sz w:val="22"/>
                      <w:szCs w:val="22"/>
                      <w:lang w:val="sr-Latn-ME"/>
                    </w:rPr>
                    <w:t>Polna raspodjela (% muškaraca / % žena)</w:t>
                  </w:r>
                </w:p>
              </w:tc>
              <w:tc>
                <w:tcPr>
                  <w:tcW w:w="1949" w:type="pct"/>
                  <w:tcBorders>
                    <w:top w:val="single" w:sz="4" w:space="0" w:color="auto"/>
                    <w:left w:val="single" w:sz="4" w:space="0" w:color="auto"/>
                    <w:bottom w:val="single" w:sz="4" w:space="0" w:color="auto"/>
                    <w:right w:val="single" w:sz="4" w:space="0" w:color="auto"/>
                  </w:tcBorders>
                  <w:shd w:val="clear" w:color="auto" w:fill="auto"/>
                </w:tcPr>
                <w:p w14:paraId="57EC3EAD" w14:textId="77777777" w:rsidR="00066A0D" w:rsidRPr="00D123D4" w:rsidRDefault="00066A0D" w:rsidP="00D123D4">
                  <w:pPr>
                    <w:widowControl w:val="0"/>
                    <w:spacing w:line="259" w:lineRule="auto"/>
                    <w:jc w:val="center"/>
                    <w:rPr>
                      <w:rFonts w:eastAsiaTheme="minorHAnsi"/>
                      <w:sz w:val="22"/>
                      <w:szCs w:val="22"/>
                      <w:lang w:val="sr-Latn-ME"/>
                    </w:rPr>
                  </w:pPr>
                  <w:r w:rsidRPr="00D123D4">
                    <w:rPr>
                      <w:rFonts w:eastAsiaTheme="minorHAnsi"/>
                      <w:sz w:val="22"/>
                      <w:szCs w:val="22"/>
                      <w:lang w:val="sr-Latn-ME"/>
                    </w:rPr>
                    <w:t>51,4/48,6</w:t>
                  </w:r>
                </w:p>
              </w:tc>
              <w:tc>
                <w:tcPr>
                  <w:tcW w:w="1356" w:type="pct"/>
                  <w:tcBorders>
                    <w:top w:val="single" w:sz="4" w:space="0" w:color="auto"/>
                    <w:left w:val="single" w:sz="4" w:space="0" w:color="auto"/>
                    <w:bottom w:val="single" w:sz="4" w:space="0" w:color="auto"/>
                    <w:right w:val="single" w:sz="4" w:space="0" w:color="auto"/>
                  </w:tcBorders>
                </w:tcPr>
                <w:p w14:paraId="1D2D6364" w14:textId="77777777" w:rsidR="00066A0D" w:rsidRPr="00D123D4" w:rsidRDefault="00066A0D" w:rsidP="00D123D4">
                  <w:pPr>
                    <w:widowControl w:val="0"/>
                    <w:spacing w:line="259" w:lineRule="auto"/>
                    <w:jc w:val="center"/>
                    <w:rPr>
                      <w:rFonts w:eastAsiaTheme="minorHAnsi"/>
                      <w:sz w:val="22"/>
                      <w:szCs w:val="22"/>
                      <w:lang w:val="sr-Latn-ME"/>
                    </w:rPr>
                  </w:pPr>
                  <w:r w:rsidRPr="00D123D4">
                    <w:rPr>
                      <w:rFonts w:eastAsiaTheme="minorHAnsi"/>
                      <w:sz w:val="22"/>
                      <w:szCs w:val="22"/>
                      <w:lang w:val="sr-Latn-ME"/>
                    </w:rPr>
                    <w:t>49,2/50,8</w:t>
                  </w:r>
                </w:p>
              </w:tc>
            </w:tr>
            <w:tr w:rsidR="00066A0D" w:rsidRPr="00D123D4" w14:paraId="25466498" w14:textId="77777777" w:rsidTr="00B656E4">
              <w:trPr>
                <w:cantSplit/>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5CAB07EE" w14:textId="77777777" w:rsidR="00066A0D" w:rsidRPr="00D123D4" w:rsidRDefault="00066A0D" w:rsidP="00D123D4">
                  <w:pPr>
                    <w:widowControl w:val="0"/>
                    <w:spacing w:line="240" w:lineRule="exact"/>
                    <w:rPr>
                      <w:rFonts w:eastAsiaTheme="minorHAnsi"/>
                      <w:sz w:val="22"/>
                      <w:szCs w:val="22"/>
                      <w:lang w:val="sr-Latn-ME"/>
                    </w:rPr>
                  </w:pPr>
                  <w:r w:rsidRPr="00D123D4">
                    <w:rPr>
                      <w:rFonts w:eastAsiaTheme="minorHAnsi"/>
                      <w:sz w:val="22"/>
                      <w:szCs w:val="22"/>
                      <w:lang w:val="sr-Latn-ME"/>
                    </w:rPr>
                    <w:t>Srednja vrijednost/medijana trajanja bolesti od dijagnoze PPMS</w:t>
                  </w:r>
                  <w:r w:rsidRPr="00D123D4">
                    <w:rPr>
                      <w:rFonts w:eastAsiaTheme="minorHAnsi"/>
                      <w:sz w:val="22"/>
                      <w:szCs w:val="22"/>
                      <w:lang w:val="sr-Latn-ME"/>
                    </w:rPr>
                    <w:noBreakHyphen/>
                    <w:t>a (godine)</w:t>
                  </w:r>
                </w:p>
              </w:tc>
              <w:tc>
                <w:tcPr>
                  <w:tcW w:w="1949" w:type="pct"/>
                  <w:tcBorders>
                    <w:top w:val="single" w:sz="4" w:space="0" w:color="auto"/>
                    <w:left w:val="single" w:sz="4" w:space="0" w:color="auto"/>
                    <w:bottom w:val="single" w:sz="4" w:space="0" w:color="auto"/>
                    <w:right w:val="single" w:sz="4" w:space="0" w:color="auto"/>
                  </w:tcBorders>
                  <w:shd w:val="clear" w:color="auto" w:fill="auto"/>
                </w:tcPr>
                <w:p w14:paraId="285C287A" w14:textId="77777777"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2,9/1,6</w:t>
                  </w:r>
                </w:p>
              </w:tc>
              <w:tc>
                <w:tcPr>
                  <w:tcW w:w="1356" w:type="pct"/>
                  <w:tcBorders>
                    <w:top w:val="single" w:sz="4" w:space="0" w:color="auto"/>
                    <w:left w:val="single" w:sz="4" w:space="0" w:color="auto"/>
                    <w:bottom w:val="single" w:sz="4" w:space="0" w:color="auto"/>
                    <w:right w:val="single" w:sz="4" w:space="0" w:color="auto"/>
                  </w:tcBorders>
                </w:tcPr>
                <w:p w14:paraId="7289A330" w14:textId="77777777"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2,8/1,3</w:t>
                  </w:r>
                </w:p>
              </w:tc>
            </w:tr>
            <w:tr w:rsidR="00066A0D" w:rsidRPr="00D123D4" w14:paraId="46C89ADE" w14:textId="77777777" w:rsidTr="00B656E4">
              <w:trPr>
                <w:cantSplit/>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188DF450" w14:textId="77777777" w:rsidR="00066A0D" w:rsidRPr="00D123D4" w:rsidRDefault="00066A0D" w:rsidP="00D123D4">
                  <w:pPr>
                    <w:widowControl w:val="0"/>
                    <w:spacing w:line="240" w:lineRule="exact"/>
                    <w:rPr>
                      <w:rFonts w:eastAsiaTheme="minorHAnsi"/>
                      <w:sz w:val="22"/>
                      <w:szCs w:val="22"/>
                      <w:lang w:val="sr-Latn-ME"/>
                    </w:rPr>
                  </w:pPr>
                  <w:r w:rsidRPr="00D123D4">
                    <w:rPr>
                      <w:rFonts w:eastAsiaTheme="minorHAnsi"/>
                      <w:sz w:val="22"/>
                      <w:szCs w:val="22"/>
                      <w:lang w:val="sr-Latn-ME"/>
                    </w:rPr>
                    <w:t>Srednja vrijednost EDSS rezultata</w:t>
                  </w:r>
                </w:p>
              </w:tc>
              <w:tc>
                <w:tcPr>
                  <w:tcW w:w="1949" w:type="pct"/>
                  <w:tcBorders>
                    <w:top w:val="single" w:sz="4" w:space="0" w:color="auto"/>
                    <w:left w:val="single" w:sz="4" w:space="0" w:color="auto"/>
                    <w:bottom w:val="single" w:sz="4" w:space="0" w:color="auto"/>
                    <w:right w:val="single" w:sz="4" w:space="0" w:color="auto"/>
                  </w:tcBorders>
                  <w:shd w:val="clear" w:color="auto" w:fill="auto"/>
                </w:tcPr>
                <w:p w14:paraId="18E2536B" w14:textId="77777777"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4,7</w:t>
                  </w:r>
                </w:p>
              </w:tc>
              <w:tc>
                <w:tcPr>
                  <w:tcW w:w="1356" w:type="pct"/>
                  <w:tcBorders>
                    <w:top w:val="single" w:sz="4" w:space="0" w:color="auto"/>
                    <w:left w:val="single" w:sz="4" w:space="0" w:color="auto"/>
                    <w:bottom w:val="single" w:sz="4" w:space="0" w:color="auto"/>
                    <w:right w:val="single" w:sz="4" w:space="0" w:color="auto"/>
                  </w:tcBorders>
                </w:tcPr>
                <w:p w14:paraId="3DA6E5BF" w14:textId="77777777" w:rsidR="00066A0D" w:rsidRPr="00D123D4" w:rsidRDefault="00066A0D" w:rsidP="00D123D4">
                  <w:pPr>
                    <w:widowControl w:val="0"/>
                    <w:spacing w:line="240" w:lineRule="exact"/>
                    <w:jc w:val="center"/>
                    <w:rPr>
                      <w:rFonts w:eastAsiaTheme="minorHAnsi"/>
                      <w:sz w:val="22"/>
                      <w:szCs w:val="22"/>
                      <w:lang w:val="sr-Latn-ME"/>
                    </w:rPr>
                  </w:pPr>
                  <w:r w:rsidRPr="00D123D4">
                    <w:rPr>
                      <w:rFonts w:eastAsiaTheme="minorHAnsi"/>
                      <w:sz w:val="22"/>
                      <w:szCs w:val="22"/>
                      <w:lang w:val="sr-Latn-ME"/>
                    </w:rPr>
                    <w:t>4,7</w:t>
                  </w:r>
                </w:p>
              </w:tc>
            </w:tr>
          </w:tbl>
          <w:p w14:paraId="18E9FF42" w14:textId="77777777" w:rsidR="00066A0D" w:rsidRPr="00D123D4" w:rsidRDefault="00066A0D" w:rsidP="00D123D4">
            <w:pPr>
              <w:widowControl w:val="0"/>
              <w:jc w:val="both"/>
              <w:rPr>
                <w:sz w:val="22"/>
                <w:szCs w:val="22"/>
                <w:lang w:val="sr-Latn-ME"/>
              </w:rPr>
            </w:pPr>
          </w:p>
          <w:p w14:paraId="63F23AD3" w14:textId="77777777" w:rsidR="00066A0D" w:rsidRPr="00D123D4" w:rsidRDefault="00066A0D" w:rsidP="00D123D4">
            <w:pPr>
              <w:widowControl w:val="0"/>
              <w:jc w:val="both"/>
              <w:rPr>
                <w:sz w:val="22"/>
                <w:szCs w:val="22"/>
                <w:lang w:val="sr-Latn-ME"/>
              </w:rPr>
            </w:pPr>
            <w:r w:rsidRPr="00D123D4">
              <w:rPr>
                <w:sz w:val="22"/>
                <w:szCs w:val="22"/>
                <w:lang w:val="sr-Latn-ME"/>
              </w:rPr>
              <w:t xml:space="preserve">Ključni rezultati za efikasnost na osnovu kliničkih i MR mjera prikazani su u Tabeli 6 i na Slici 2. </w:t>
            </w:r>
          </w:p>
          <w:p w14:paraId="5EC7A52A" w14:textId="77777777" w:rsidR="00066A0D" w:rsidRPr="00D123D4" w:rsidRDefault="00066A0D" w:rsidP="00D123D4">
            <w:pPr>
              <w:widowControl w:val="0"/>
              <w:jc w:val="both"/>
              <w:rPr>
                <w:sz w:val="22"/>
                <w:szCs w:val="22"/>
                <w:lang w:val="sr-Latn-ME"/>
              </w:rPr>
            </w:pPr>
          </w:p>
          <w:p w14:paraId="2C182768" w14:textId="7E80C9EB" w:rsidR="00066A0D" w:rsidRDefault="00066A0D" w:rsidP="00D123D4">
            <w:pPr>
              <w:widowControl w:val="0"/>
              <w:jc w:val="both"/>
              <w:rPr>
                <w:sz w:val="22"/>
                <w:szCs w:val="22"/>
                <w:lang w:val="sr-Latn-ME"/>
              </w:rPr>
            </w:pPr>
            <w:r w:rsidRPr="00D123D4">
              <w:rPr>
                <w:sz w:val="22"/>
                <w:szCs w:val="22"/>
                <w:lang w:val="sr-Latn-ME"/>
              </w:rPr>
              <w:t xml:space="preserve">Rezultati ove studije pokazuju da </w:t>
            </w:r>
            <w:r w:rsidR="00EE13AF" w:rsidRPr="00D123D4">
              <w:rPr>
                <w:sz w:val="22"/>
                <w:szCs w:val="22"/>
                <w:lang w:val="sr-Latn-ME"/>
              </w:rPr>
              <w:t>okrelizumab</w:t>
            </w:r>
            <w:r w:rsidRPr="00D123D4">
              <w:rPr>
                <w:sz w:val="22"/>
                <w:szCs w:val="22"/>
                <w:lang w:val="sr-Latn-ME"/>
              </w:rPr>
              <w:t xml:space="preserve"> značajno odgađa progresiju bolesti i smanjuje pogoršanje brzine hoda u odnosu na placebo.</w:t>
            </w:r>
          </w:p>
          <w:p w14:paraId="5F30FEA0" w14:textId="77777777" w:rsidR="003D626A" w:rsidRDefault="003D626A" w:rsidP="00D123D4">
            <w:pPr>
              <w:widowControl w:val="0"/>
              <w:jc w:val="both"/>
              <w:rPr>
                <w:sz w:val="22"/>
                <w:szCs w:val="22"/>
                <w:lang w:val="sr-Latn-ME"/>
              </w:rPr>
            </w:pPr>
          </w:p>
          <w:p w14:paraId="0FA6051D" w14:textId="77777777" w:rsidR="003D626A" w:rsidRDefault="003D626A" w:rsidP="00D123D4">
            <w:pPr>
              <w:widowControl w:val="0"/>
              <w:jc w:val="both"/>
              <w:rPr>
                <w:sz w:val="22"/>
                <w:szCs w:val="22"/>
                <w:lang w:val="sr-Latn-ME"/>
              </w:rPr>
            </w:pPr>
          </w:p>
          <w:p w14:paraId="170B8EEC" w14:textId="77777777" w:rsidR="003D626A" w:rsidRDefault="003D626A" w:rsidP="00D123D4">
            <w:pPr>
              <w:widowControl w:val="0"/>
              <w:jc w:val="both"/>
              <w:rPr>
                <w:sz w:val="22"/>
                <w:szCs w:val="22"/>
                <w:lang w:val="sr-Latn-ME"/>
              </w:rPr>
            </w:pPr>
          </w:p>
          <w:p w14:paraId="047FDACE" w14:textId="77777777" w:rsidR="003D626A" w:rsidRDefault="003D626A" w:rsidP="00D123D4">
            <w:pPr>
              <w:widowControl w:val="0"/>
              <w:jc w:val="both"/>
              <w:rPr>
                <w:sz w:val="22"/>
                <w:szCs w:val="22"/>
                <w:lang w:val="sr-Latn-ME"/>
              </w:rPr>
            </w:pPr>
          </w:p>
          <w:p w14:paraId="1C65A3B5" w14:textId="77777777" w:rsidR="003D626A" w:rsidRDefault="003D626A" w:rsidP="00D123D4">
            <w:pPr>
              <w:widowControl w:val="0"/>
              <w:jc w:val="both"/>
              <w:rPr>
                <w:sz w:val="22"/>
                <w:szCs w:val="22"/>
                <w:lang w:val="sr-Latn-ME"/>
              </w:rPr>
            </w:pPr>
          </w:p>
          <w:p w14:paraId="231B8D95" w14:textId="77777777" w:rsidR="003D626A" w:rsidRDefault="003D626A" w:rsidP="00D123D4">
            <w:pPr>
              <w:widowControl w:val="0"/>
              <w:jc w:val="both"/>
              <w:rPr>
                <w:sz w:val="22"/>
                <w:szCs w:val="22"/>
                <w:lang w:val="sr-Latn-ME"/>
              </w:rPr>
            </w:pPr>
          </w:p>
          <w:p w14:paraId="665C57C8" w14:textId="77777777" w:rsidR="003D626A" w:rsidRDefault="003D626A" w:rsidP="00D123D4">
            <w:pPr>
              <w:widowControl w:val="0"/>
              <w:jc w:val="both"/>
              <w:rPr>
                <w:sz w:val="22"/>
                <w:szCs w:val="22"/>
                <w:lang w:val="sr-Latn-ME"/>
              </w:rPr>
            </w:pPr>
          </w:p>
          <w:p w14:paraId="286BDE58" w14:textId="77777777" w:rsidR="003D626A" w:rsidRPr="00D123D4" w:rsidRDefault="003D626A" w:rsidP="00D123D4">
            <w:pPr>
              <w:widowControl w:val="0"/>
              <w:jc w:val="both"/>
              <w:rPr>
                <w:sz w:val="22"/>
                <w:szCs w:val="22"/>
                <w:lang w:val="sr-Latn-ME"/>
              </w:rPr>
            </w:pPr>
          </w:p>
          <w:p w14:paraId="35AC90E1" w14:textId="77777777" w:rsidR="00066A0D" w:rsidRPr="00D123D4" w:rsidRDefault="00066A0D" w:rsidP="00D123D4">
            <w:pPr>
              <w:widowControl w:val="0"/>
              <w:tabs>
                <w:tab w:val="left" w:pos="284"/>
                <w:tab w:val="center" w:pos="4320"/>
                <w:tab w:val="right" w:pos="8640"/>
              </w:tabs>
              <w:jc w:val="both"/>
              <w:rPr>
                <w:b/>
                <w:bCs/>
                <w:sz w:val="22"/>
                <w:szCs w:val="22"/>
                <w:lang w:val="sr-Latn-ME"/>
              </w:rPr>
            </w:pPr>
          </w:p>
          <w:p w14:paraId="383EE83F" w14:textId="77777777" w:rsidR="00066A0D" w:rsidRPr="00D123D4" w:rsidRDefault="00066A0D" w:rsidP="00D123D4">
            <w:pPr>
              <w:widowControl w:val="0"/>
              <w:tabs>
                <w:tab w:val="left" w:pos="284"/>
                <w:tab w:val="center" w:pos="4320"/>
                <w:tab w:val="right" w:pos="8640"/>
              </w:tabs>
              <w:jc w:val="both"/>
              <w:rPr>
                <w:b/>
                <w:bCs/>
                <w:sz w:val="22"/>
                <w:szCs w:val="22"/>
                <w:lang w:val="sr-Latn-ME"/>
              </w:rPr>
            </w:pPr>
            <w:r w:rsidRPr="00D123D4">
              <w:rPr>
                <w:b/>
                <w:bCs/>
                <w:sz w:val="22"/>
                <w:szCs w:val="22"/>
                <w:lang w:val="sr-Latn-ME"/>
              </w:rPr>
              <w:lastRenderedPageBreak/>
              <w:t>Tabela 6</w:t>
            </w:r>
            <w:r w:rsidRPr="00D123D4">
              <w:rPr>
                <w:b/>
                <w:bCs/>
                <w:sz w:val="22"/>
                <w:szCs w:val="22"/>
                <w:lang w:val="sr-Latn-ME"/>
              </w:rPr>
              <w:tab/>
              <w:t xml:space="preserve">   Ključne kliničke i MR mjere ishoda iz Studije WA25046 (PPMS)</w:t>
            </w:r>
          </w:p>
          <w:p w14:paraId="606090ED" w14:textId="77777777" w:rsidR="00066A0D" w:rsidRPr="00D123D4" w:rsidRDefault="00066A0D" w:rsidP="00D123D4">
            <w:pPr>
              <w:widowControl w:val="0"/>
              <w:tabs>
                <w:tab w:val="left" w:pos="284"/>
                <w:tab w:val="center" w:pos="4320"/>
                <w:tab w:val="right" w:pos="8640"/>
              </w:tabs>
              <w:jc w:val="both"/>
              <w:rPr>
                <w:b/>
                <w:bCs/>
                <w:sz w:val="22"/>
                <w:szCs w:val="22"/>
                <w:lang w:val="sr-Latn-ME"/>
              </w:rPr>
            </w:pPr>
          </w:p>
          <w:tbl>
            <w:tblPr>
              <w:tblW w:w="5000" w:type="pct"/>
              <w:tblLayout w:type="fixed"/>
              <w:tblCellMar>
                <w:left w:w="57" w:type="dxa"/>
                <w:right w:w="57" w:type="dxa"/>
              </w:tblCellMar>
              <w:tblLook w:val="0000" w:firstRow="0" w:lastRow="0" w:firstColumn="0" w:lastColumn="0" w:noHBand="0" w:noVBand="0"/>
            </w:tblPr>
            <w:tblGrid>
              <w:gridCol w:w="5033"/>
              <w:gridCol w:w="1902"/>
              <w:gridCol w:w="2053"/>
            </w:tblGrid>
            <w:tr w:rsidR="00066A0D" w:rsidRPr="00D123D4" w14:paraId="02D7E472" w14:textId="77777777" w:rsidTr="00D123D4">
              <w:tc>
                <w:tcPr>
                  <w:tcW w:w="5033" w:type="dxa"/>
                  <w:tcBorders>
                    <w:top w:val="single" w:sz="4" w:space="0" w:color="auto"/>
                    <w:left w:val="single" w:sz="4" w:space="0" w:color="auto"/>
                    <w:right w:val="single" w:sz="4" w:space="0" w:color="auto"/>
                  </w:tcBorders>
                  <w:shd w:val="clear" w:color="auto" w:fill="auto"/>
                </w:tcPr>
                <w:p w14:paraId="73A4BE58" w14:textId="77777777" w:rsidR="00066A0D" w:rsidRPr="00D123D4" w:rsidRDefault="00066A0D" w:rsidP="00D123D4">
                  <w:pPr>
                    <w:widowControl w:val="0"/>
                    <w:spacing w:line="240" w:lineRule="exact"/>
                    <w:rPr>
                      <w:sz w:val="22"/>
                      <w:szCs w:val="22"/>
                      <w:lang w:val="sr-Latn-ME" w:eastAsia="ja-JP"/>
                    </w:rPr>
                  </w:pPr>
                </w:p>
              </w:tc>
              <w:tc>
                <w:tcPr>
                  <w:tcW w:w="3955" w:type="dxa"/>
                  <w:gridSpan w:val="2"/>
                  <w:tcBorders>
                    <w:top w:val="single" w:sz="4" w:space="0" w:color="auto"/>
                    <w:left w:val="single" w:sz="4" w:space="0" w:color="auto"/>
                    <w:bottom w:val="single" w:sz="4" w:space="0" w:color="auto"/>
                    <w:right w:val="single" w:sz="4" w:space="0" w:color="auto"/>
                  </w:tcBorders>
                  <w:shd w:val="clear" w:color="auto" w:fill="auto"/>
                </w:tcPr>
                <w:p w14:paraId="1227258A" w14:textId="77777777" w:rsidR="00066A0D" w:rsidRPr="00D123D4" w:rsidRDefault="00066A0D" w:rsidP="00D123D4">
                  <w:pPr>
                    <w:widowControl w:val="0"/>
                    <w:spacing w:line="240" w:lineRule="exact"/>
                    <w:jc w:val="center"/>
                    <w:rPr>
                      <w:rFonts w:eastAsia="SimSun"/>
                      <w:b/>
                      <w:sz w:val="22"/>
                      <w:szCs w:val="22"/>
                      <w:lang w:val="sr-Latn-ME" w:eastAsia="hr-HR" w:bidi="hr-HR"/>
                    </w:rPr>
                  </w:pPr>
                  <w:r w:rsidRPr="00D123D4">
                    <w:rPr>
                      <w:rFonts w:eastAsia="SimSun"/>
                      <w:b/>
                      <w:sz w:val="22"/>
                      <w:szCs w:val="22"/>
                      <w:lang w:val="sr-Latn-ME" w:eastAsia="hr-HR" w:bidi="hr-HR"/>
                    </w:rPr>
                    <w:t>3. Studija</w:t>
                  </w:r>
                </w:p>
              </w:tc>
            </w:tr>
            <w:tr w:rsidR="00066A0D" w:rsidRPr="00D123D4" w14:paraId="7874DFE8" w14:textId="77777777" w:rsidTr="00D123D4">
              <w:tc>
                <w:tcPr>
                  <w:tcW w:w="5033" w:type="dxa"/>
                  <w:vMerge w:val="restart"/>
                  <w:tcBorders>
                    <w:top w:val="single" w:sz="4" w:space="0" w:color="auto"/>
                    <w:left w:val="single" w:sz="4" w:space="0" w:color="auto"/>
                    <w:right w:val="single" w:sz="4" w:space="0" w:color="auto"/>
                  </w:tcBorders>
                  <w:shd w:val="clear" w:color="auto" w:fill="auto"/>
                </w:tcPr>
                <w:p w14:paraId="2F639D91" w14:textId="77777777" w:rsidR="00066A0D" w:rsidRPr="00D123D4" w:rsidRDefault="00066A0D" w:rsidP="00D123D4">
                  <w:pPr>
                    <w:widowControl w:val="0"/>
                    <w:spacing w:line="240" w:lineRule="exact"/>
                    <w:rPr>
                      <w:b/>
                      <w:sz w:val="22"/>
                      <w:szCs w:val="22"/>
                      <w:lang w:val="sr-Latn-ME" w:eastAsia="ja-JP"/>
                    </w:rPr>
                  </w:pPr>
                  <w:r w:rsidRPr="00D123D4">
                    <w:rPr>
                      <w:sz w:val="22"/>
                      <w:szCs w:val="22"/>
                      <w:lang w:val="sr-Latn-ME" w:eastAsia="ja-JP"/>
                    </w:rPr>
                    <w:br/>
                  </w:r>
                  <w:r w:rsidRPr="00D123D4">
                    <w:rPr>
                      <w:sz w:val="22"/>
                      <w:szCs w:val="22"/>
                      <w:lang w:val="sr-Latn-ME" w:eastAsia="ja-JP"/>
                    </w:rPr>
                    <w:br/>
                  </w:r>
                  <w:r w:rsidRPr="00D123D4">
                    <w:rPr>
                      <w:b/>
                      <w:sz w:val="22"/>
                      <w:szCs w:val="22"/>
                      <w:lang w:val="sr-Latn-ME" w:eastAsia="ja-JP"/>
                    </w:rPr>
                    <w:t>Mjere ishoda</w:t>
                  </w:r>
                </w:p>
              </w:tc>
              <w:tc>
                <w:tcPr>
                  <w:tcW w:w="3955" w:type="dxa"/>
                  <w:gridSpan w:val="2"/>
                  <w:tcBorders>
                    <w:top w:val="single" w:sz="4" w:space="0" w:color="auto"/>
                    <w:left w:val="single" w:sz="4" w:space="0" w:color="auto"/>
                    <w:bottom w:val="single" w:sz="4" w:space="0" w:color="auto"/>
                    <w:right w:val="single" w:sz="4" w:space="0" w:color="auto"/>
                  </w:tcBorders>
                  <w:shd w:val="clear" w:color="auto" w:fill="auto"/>
                </w:tcPr>
                <w:p w14:paraId="1BA08757" w14:textId="77777777" w:rsidR="00066A0D" w:rsidRPr="00D123D4" w:rsidRDefault="00066A0D" w:rsidP="00D123D4">
                  <w:pPr>
                    <w:widowControl w:val="0"/>
                    <w:tabs>
                      <w:tab w:val="left" w:pos="284"/>
                      <w:tab w:val="center" w:pos="4320"/>
                      <w:tab w:val="right" w:pos="8640"/>
                    </w:tabs>
                    <w:jc w:val="center"/>
                    <w:rPr>
                      <w:rFonts w:eastAsiaTheme="minorHAnsi"/>
                      <w:sz w:val="22"/>
                      <w:szCs w:val="22"/>
                      <w:lang w:val="sr-Latn-ME"/>
                    </w:rPr>
                  </w:pPr>
                  <w:r w:rsidRPr="00D123D4">
                    <w:rPr>
                      <w:b/>
                      <w:bCs/>
                      <w:sz w:val="22"/>
                      <w:szCs w:val="22"/>
                      <w:lang w:val="sr-Latn-ME"/>
                    </w:rPr>
                    <w:t>WA25046 (Oratorio)</w:t>
                  </w:r>
                </w:p>
              </w:tc>
            </w:tr>
            <w:tr w:rsidR="00066A0D" w:rsidRPr="00D123D4" w14:paraId="647E3348" w14:textId="77777777" w:rsidTr="00D123D4">
              <w:tc>
                <w:tcPr>
                  <w:tcW w:w="5033" w:type="dxa"/>
                  <w:vMerge/>
                  <w:tcBorders>
                    <w:left w:val="single" w:sz="4" w:space="0" w:color="auto"/>
                    <w:bottom w:val="single" w:sz="4" w:space="0" w:color="auto"/>
                    <w:right w:val="single" w:sz="4" w:space="0" w:color="auto"/>
                  </w:tcBorders>
                  <w:shd w:val="clear" w:color="auto" w:fill="auto"/>
                </w:tcPr>
                <w:p w14:paraId="36BEB62D" w14:textId="77777777" w:rsidR="00066A0D" w:rsidRPr="00D123D4" w:rsidRDefault="00066A0D" w:rsidP="00D123D4">
                  <w:pPr>
                    <w:widowControl w:val="0"/>
                    <w:spacing w:line="240" w:lineRule="exact"/>
                    <w:rPr>
                      <w:sz w:val="22"/>
                      <w:szCs w:val="22"/>
                      <w:lang w:val="sr-Latn-ME" w:eastAsia="ja-JP"/>
                    </w:rPr>
                  </w:pP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4D5FAF98" w14:textId="2DCF3E99" w:rsidR="00066A0D" w:rsidRPr="00D123D4" w:rsidRDefault="00EE13AF" w:rsidP="00D123D4">
                  <w:pPr>
                    <w:widowControl w:val="0"/>
                    <w:spacing w:line="240" w:lineRule="exact"/>
                    <w:jc w:val="center"/>
                    <w:rPr>
                      <w:rFonts w:eastAsia="SimSun"/>
                      <w:sz w:val="22"/>
                      <w:szCs w:val="22"/>
                      <w:lang w:val="sr-Latn-ME" w:eastAsia="hr-HR" w:bidi="hr-HR"/>
                    </w:rPr>
                  </w:pPr>
                  <w:r w:rsidRPr="00D123D4">
                    <w:rPr>
                      <w:rFonts w:eastAsia="SimSun"/>
                      <w:sz w:val="22"/>
                      <w:szCs w:val="22"/>
                      <w:lang w:val="sr-Latn-ME" w:eastAsia="hr-HR" w:bidi="hr-HR"/>
                    </w:rPr>
                    <w:t xml:space="preserve">okrelizumab </w:t>
                  </w:r>
                  <w:r w:rsidR="00066A0D" w:rsidRPr="00D123D4">
                    <w:rPr>
                      <w:rFonts w:eastAsia="SimSun"/>
                      <w:sz w:val="22"/>
                      <w:szCs w:val="22"/>
                      <w:lang w:val="sr-Latn-ME" w:eastAsia="hr-HR" w:bidi="hr-HR"/>
                    </w:rPr>
                    <w:t>600 mg</w:t>
                  </w:r>
                </w:p>
                <w:p w14:paraId="6AE02C7D" w14:textId="77777777" w:rsidR="00066A0D" w:rsidRPr="00D123D4" w:rsidRDefault="00066A0D" w:rsidP="00D123D4">
                  <w:pPr>
                    <w:widowControl w:val="0"/>
                    <w:spacing w:line="240" w:lineRule="exact"/>
                    <w:jc w:val="center"/>
                    <w:rPr>
                      <w:rFonts w:eastAsia="SimSun"/>
                      <w:sz w:val="22"/>
                      <w:szCs w:val="22"/>
                      <w:lang w:val="sr-Latn-ME" w:eastAsia="hr-HR" w:bidi="hr-HR"/>
                    </w:rPr>
                  </w:pPr>
                  <w:r w:rsidRPr="00D123D4">
                    <w:rPr>
                      <w:rFonts w:eastAsia="SimSun"/>
                      <w:sz w:val="22"/>
                      <w:szCs w:val="22"/>
                      <w:lang w:val="sr-Latn-ME" w:eastAsia="hr-HR" w:bidi="hr-HR"/>
                    </w:rPr>
                    <w:t xml:space="preserve">(n=488) </w:t>
                  </w: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3517A22F" w14:textId="77777777" w:rsidR="00066A0D" w:rsidRPr="00D123D4" w:rsidRDefault="00066A0D" w:rsidP="00D123D4">
                  <w:pPr>
                    <w:widowControl w:val="0"/>
                    <w:spacing w:line="240" w:lineRule="exact"/>
                    <w:jc w:val="center"/>
                    <w:rPr>
                      <w:rFonts w:eastAsia="SimSun"/>
                      <w:sz w:val="22"/>
                      <w:szCs w:val="22"/>
                      <w:lang w:val="sr-Latn-ME" w:eastAsia="hr-HR" w:bidi="hr-HR"/>
                    </w:rPr>
                  </w:pPr>
                  <w:r w:rsidRPr="00D123D4">
                    <w:rPr>
                      <w:rFonts w:eastAsia="SimSun"/>
                      <w:sz w:val="22"/>
                      <w:szCs w:val="22"/>
                      <w:lang w:val="sr-Latn-ME" w:eastAsia="hr-HR" w:bidi="hr-HR"/>
                    </w:rPr>
                    <w:t>Placebo</w:t>
                  </w:r>
                </w:p>
                <w:p w14:paraId="66B5B8C4" w14:textId="77777777" w:rsidR="00066A0D" w:rsidRPr="00D123D4" w:rsidRDefault="00066A0D" w:rsidP="00D123D4">
                  <w:pPr>
                    <w:widowControl w:val="0"/>
                    <w:spacing w:line="240" w:lineRule="exact"/>
                    <w:jc w:val="center"/>
                    <w:rPr>
                      <w:rFonts w:eastAsia="SimSun"/>
                      <w:sz w:val="22"/>
                      <w:szCs w:val="22"/>
                      <w:lang w:val="sr-Latn-ME" w:eastAsia="hr-HR" w:bidi="hr-HR"/>
                    </w:rPr>
                  </w:pPr>
                  <w:r w:rsidRPr="00D123D4">
                    <w:rPr>
                      <w:rFonts w:eastAsia="SimSun"/>
                      <w:sz w:val="22"/>
                      <w:szCs w:val="22"/>
                      <w:lang w:val="sr-Latn-ME" w:eastAsia="hr-HR" w:bidi="hr-HR"/>
                    </w:rPr>
                    <w:t xml:space="preserve"> (n=244)</w:t>
                  </w:r>
                </w:p>
              </w:tc>
            </w:tr>
            <w:tr w:rsidR="00066A0D" w:rsidRPr="00D123D4" w14:paraId="194D158C" w14:textId="77777777" w:rsidTr="00D123D4">
              <w:tc>
                <w:tcPr>
                  <w:tcW w:w="8988" w:type="dxa"/>
                  <w:gridSpan w:val="3"/>
                  <w:tcBorders>
                    <w:top w:val="single" w:sz="4" w:space="0" w:color="auto"/>
                    <w:left w:val="single" w:sz="4" w:space="0" w:color="auto"/>
                    <w:right w:val="double" w:sz="4" w:space="0" w:color="auto"/>
                  </w:tcBorders>
                  <w:shd w:val="clear" w:color="auto" w:fill="auto"/>
                </w:tcPr>
                <w:p w14:paraId="58824991" w14:textId="77777777" w:rsidR="00066A0D" w:rsidRPr="00D123D4" w:rsidRDefault="00066A0D" w:rsidP="00D123D4">
                  <w:pPr>
                    <w:widowControl w:val="0"/>
                    <w:spacing w:line="240" w:lineRule="exact"/>
                    <w:rPr>
                      <w:rFonts w:eastAsia="SimSun"/>
                      <w:sz w:val="22"/>
                      <w:szCs w:val="22"/>
                      <w:lang w:val="sr-Latn-ME" w:eastAsia="hr-HR" w:bidi="hr-HR"/>
                    </w:rPr>
                  </w:pPr>
                  <w:r w:rsidRPr="00D123D4">
                    <w:rPr>
                      <w:rFonts w:eastAsia="SimSun"/>
                      <w:b/>
                      <w:sz w:val="22"/>
                      <w:szCs w:val="22"/>
                      <w:lang w:val="sr-Latn-ME" w:eastAsia="hr-HR" w:bidi="hr-HR"/>
                    </w:rPr>
                    <w:t>Kliničke mjere ishoda</w:t>
                  </w:r>
                </w:p>
              </w:tc>
            </w:tr>
            <w:tr w:rsidR="00066A0D" w:rsidRPr="00D123D4" w14:paraId="13E43450" w14:textId="77777777" w:rsidTr="00D123D4">
              <w:tc>
                <w:tcPr>
                  <w:tcW w:w="5033" w:type="dxa"/>
                  <w:vMerge w:val="restart"/>
                  <w:tcBorders>
                    <w:top w:val="single" w:sz="4" w:space="0" w:color="auto"/>
                    <w:left w:val="single" w:sz="4" w:space="0" w:color="auto"/>
                    <w:bottom w:val="single" w:sz="4" w:space="0" w:color="auto"/>
                    <w:right w:val="single" w:sz="4" w:space="0" w:color="auto"/>
                  </w:tcBorders>
                  <w:shd w:val="clear" w:color="auto" w:fill="auto"/>
                </w:tcPr>
                <w:p w14:paraId="3D40557B" w14:textId="77777777" w:rsidR="00066A0D" w:rsidRPr="00D123D4" w:rsidRDefault="00066A0D" w:rsidP="00D123D4">
                  <w:pPr>
                    <w:widowControl w:val="0"/>
                    <w:spacing w:line="240" w:lineRule="exact"/>
                    <w:rPr>
                      <w:b/>
                      <w:sz w:val="22"/>
                      <w:szCs w:val="22"/>
                      <w:lang w:val="sr-Latn-ME" w:eastAsia="ja-JP"/>
                    </w:rPr>
                  </w:pPr>
                  <w:r w:rsidRPr="00D123D4">
                    <w:rPr>
                      <w:b/>
                      <w:sz w:val="22"/>
                      <w:szCs w:val="22"/>
                      <w:lang w:val="sr-Latn-ME" w:eastAsia="ja-JP"/>
                    </w:rPr>
                    <w:t xml:space="preserve">Primarna mjera ishoda za efikasnost </w:t>
                  </w:r>
                </w:p>
                <w:p w14:paraId="681C1D4F" w14:textId="77777777" w:rsidR="00066A0D" w:rsidRPr="00D123D4" w:rsidRDefault="00066A0D" w:rsidP="00D123D4">
                  <w:pPr>
                    <w:widowControl w:val="0"/>
                    <w:spacing w:line="240" w:lineRule="exact"/>
                    <w:rPr>
                      <w:sz w:val="22"/>
                      <w:szCs w:val="22"/>
                      <w:lang w:val="sr-Latn-ME" w:eastAsia="ja-JP"/>
                    </w:rPr>
                  </w:pPr>
                  <w:r w:rsidRPr="00D123D4">
                    <w:rPr>
                      <w:sz w:val="22"/>
                      <w:szCs w:val="22"/>
                      <w:lang w:val="sr-Latn-ME" w:eastAsia="ja-JP"/>
                    </w:rPr>
                    <w:t>Udio pacijenata s 12</w:t>
                  </w:r>
                  <w:r w:rsidRPr="00D123D4">
                    <w:rPr>
                      <w:sz w:val="22"/>
                      <w:szCs w:val="22"/>
                      <w:lang w:val="sr-Latn-ME" w:eastAsia="ja-JP"/>
                    </w:rPr>
                    <w:noBreakHyphen/>
                    <w:t>nedjeljnom potvrđenom progresijom onesposobljenosti</w:t>
                  </w:r>
                  <w:r w:rsidRPr="00D123D4">
                    <w:rPr>
                      <w:sz w:val="22"/>
                      <w:szCs w:val="22"/>
                      <w:vertAlign w:val="superscript"/>
                      <w:lang w:val="sr-Latn-ME" w:eastAsia="ja-JP"/>
                    </w:rPr>
                    <w:t xml:space="preserve">1 </w:t>
                  </w:r>
                  <w:r w:rsidRPr="00D123D4">
                    <w:rPr>
                      <w:sz w:val="22"/>
                      <w:szCs w:val="22"/>
                      <w:lang w:val="sr-Latn-ME" w:eastAsia="ja-JP"/>
                    </w:rPr>
                    <w:t>(primarna mjera ishoda)</w:t>
                  </w:r>
                </w:p>
                <w:p w14:paraId="40BDA8E8" w14:textId="19270930" w:rsidR="00066A0D" w:rsidRPr="00D123D4" w:rsidRDefault="00066A0D" w:rsidP="00D123D4">
                  <w:pPr>
                    <w:widowControl w:val="0"/>
                    <w:spacing w:line="240" w:lineRule="exact"/>
                    <w:rPr>
                      <w:sz w:val="22"/>
                      <w:szCs w:val="22"/>
                      <w:lang w:val="sr-Latn-ME" w:eastAsia="ja-JP"/>
                    </w:rPr>
                  </w:pPr>
                  <w:r w:rsidRPr="00D123D4">
                    <w:rPr>
                      <w:sz w:val="22"/>
                      <w:szCs w:val="22"/>
                      <w:lang w:val="sr-Latn-ME" w:eastAsia="ja-JP"/>
                    </w:rPr>
                    <w:t>Smanjenje rizika</w:t>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4705AA2B" w14:textId="77777777" w:rsidR="00066A0D" w:rsidRPr="00D123D4" w:rsidRDefault="00066A0D" w:rsidP="00D123D4">
                  <w:pPr>
                    <w:widowControl w:val="0"/>
                    <w:spacing w:line="240" w:lineRule="exact"/>
                    <w:jc w:val="center"/>
                    <w:rPr>
                      <w:rFonts w:eastAsia="SimSun"/>
                      <w:sz w:val="22"/>
                      <w:szCs w:val="22"/>
                      <w:lang w:val="sr-Latn-ME" w:eastAsia="hr-HR" w:bidi="hr-HR"/>
                    </w:rPr>
                  </w:pPr>
                  <w:r w:rsidRPr="00D123D4">
                    <w:rPr>
                      <w:rFonts w:eastAsia="SimSun"/>
                      <w:sz w:val="22"/>
                      <w:szCs w:val="22"/>
                      <w:lang w:val="sr-Latn-ME" w:eastAsia="hr-HR" w:bidi="hr-HR"/>
                    </w:rPr>
                    <w:t>30,2%</w:t>
                  </w: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3F5DFDF3" w14:textId="77777777" w:rsidR="00066A0D" w:rsidRPr="00D123D4" w:rsidRDefault="00066A0D" w:rsidP="00D123D4">
                  <w:pPr>
                    <w:widowControl w:val="0"/>
                    <w:spacing w:line="240" w:lineRule="exact"/>
                    <w:jc w:val="center"/>
                    <w:rPr>
                      <w:rFonts w:eastAsia="SimSun"/>
                      <w:sz w:val="22"/>
                      <w:szCs w:val="22"/>
                      <w:lang w:val="sr-Latn-ME" w:eastAsia="hr-HR" w:bidi="hr-HR"/>
                    </w:rPr>
                  </w:pPr>
                  <w:r w:rsidRPr="00D123D4">
                    <w:rPr>
                      <w:rFonts w:eastAsia="SimSun"/>
                      <w:sz w:val="22"/>
                      <w:szCs w:val="22"/>
                      <w:lang w:val="sr-Latn-ME" w:eastAsia="hr-HR" w:bidi="hr-HR"/>
                    </w:rPr>
                    <w:t>34,0%</w:t>
                  </w:r>
                </w:p>
              </w:tc>
            </w:tr>
            <w:tr w:rsidR="00066A0D" w:rsidRPr="00D123D4" w14:paraId="2AD4F99E" w14:textId="77777777" w:rsidTr="00D123D4">
              <w:tc>
                <w:tcPr>
                  <w:tcW w:w="5033" w:type="dxa"/>
                  <w:vMerge/>
                  <w:tcBorders>
                    <w:left w:val="single" w:sz="4" w:space="0" w:color="auto"/>
                    <w:bottom w:val="single" w:sz="4" w:space="0" w:color="auto"/>
                    <w:right w:val="single" w:sz="4" w:space="0" w:color="auto"/>
                  </w:tcBorders>
                  <w:shd w:val="clear" w:color="auto" w:fill="auto"/>
                </w:tcPr>
                <w:p w14:paraId="34B79D28" w14:textId="77777777" w:rsidR="00066A0D" w:rsidRPr="00D123D4" w:rsidRDefault="00066A0D" w:rsidP="00D123D4">
                  <w:pPr>
                    <w:widowControl w:val="0"/>
                    <w:spacing w:line="240" w:lineRule="exact"/>
                    <w:rPr>
                      <w:b/>
                      <w:sz w:val="22"/>
                      <w:szCs w:val="22"/>
                      <w:lang w:val="sr-Latn-ME" w:eastAsia="ja-JP"/>
                    </w:rPr>
                  </w:pPr>
                </w:p>
              </w:tc>
              <w:tc>
                <w:tcPr>
                  <w:tcW w:w="3955" w:type="dxa"/>
                  <w:gridSpan w:val="2"/>
                  <w:tcBorders>
                    <w:top w:val="single" w:sz="4" w:space="0" w:color="auto"/>
                    <w:left w:val="single" w:sz="4" w:space="0" w:color="auto"/>
                    <w:bottom w:val="single" w:sz="4" w:space="0" w:color="auto"/>
                    <w:right w:val="single" w:sz="4" w:space="0" w:color="auto"/>
                  </w:tcBorders>
                  <w:shd w:val="clear" w:color="auto" w:fill="auto"/>
                </w:tcPr>
                <w:p w14:paraId="0314D4F0" w14:textId="77777777" w:rsidR="00066A0D" w:rsidRPr="00D123D4" w:rsidRDefault="00066A0D" w:rsidP="00D123D4">
                  <w:pPr>
                    <w:widowControl w:val="0"/>
                    <w:spacing w:line="240" w:lineRule="exact"/>
                    <w:jc w:val="center"/>
                    <w:rPr>
                      <w:rFonts w:eastAsia="SimSun"/>
                      <w:sz w:val="22"/>
                      <w:szCs w:val="22"/>
                      <w:lang w:val="sr-Latn-ME" w:eastAsia="hr-HR" w:bidi="hr-HR"/>
                    </w:rPr>
                  </w:pPr>
                  <w:r w:rsidRPr="00D123D4">
                    <w:rPr>
                      <w:rFonts w:eastAsia="SimSun"/>
                      <w:sz w:val="22"/>
                      <w:szCs w:val="22"/>
                      <w:lang w:val="sr-Latn-ME" w:eastAsia="hr-HR" w:bidi="hr-HR"/>
                    </w:rPr>
                    <w:t>24%</w:t>
                  </w:r>
                </w:p>
                <w:p w14:paraId="5139A0A7" w14:textId="77777777" w:rsidR="00066A0D" w:rsidRPr="00D123D4" w:rsidRDefault="00066A0D" w:rsidP="00D123D4">
                  <w:pPr>
                    <w:widowControl w:val="0"/>
                    <w:spacing w:line="240" w:lineRule="exact"/>
                    <w:jc w:val="center"/>
                    <w:rPr>
                      <w:rFonts w:eastAsia="SimSun"/>
                      <w:sz w:val="22"/>
                      <w:szCs w:val="22"/>
                      <w:lang w:val="sr-Latn-ME" w:eastAsia="hr-HR" w:bidi="hr-HR"/>
                    </w:rPr>
                  </w:pPr>
                  <w:r w:rsidRPr="00D123D4">
                    <w:rPr>
                      <w:rFonts w:eastAsia="SimSun"/>
                      <w:sz w:val="22"/>
                      <w:szCs w:val="22"/>
                      <w:lang w:val="sr-Latn-ME" w:eastAsia="hr-HR" w:bidi="hr-HR"/>
                    </w:rPr>
                    <w:t>(p=0,0321)</w:t>
                  </w:r>
                </w:p>
              </w:tc>
            </w:tr>
            <w:tr w:rsidR="00066A0D" w:rsidRPr="00D123D4" w14:paraId="5F64CF21" w14:textId="77777777" w:rsidTr="00D123D4">
              <w:tc>
                <w:tcPr>
                  <w:tcW w:w="5033" w:type="dxa"/>
                  <w:tcBorders>
                    <w:top w:val="single" w:sz="4" w:space="0" w:color="auto"/>
                    <w:left w:val="single" w:sz="4" w:space="0" w:color="auto"/>
                    <w:right w:val="single" w:sz="4" w:space="0" w:color="auto"/>
                  </w:tcBorders>
                  <w:shd w:val="clear" w:color="auto" w:fill="auto"/>
                </w:tcPr>
                <w:p w14:paraId="4778EFCD" w14:textId="77777777" w:rsidR="00066A0D" w:rsidRPr="00D123D4" w:rsidRDefault="00066A0D" w:rsidP="00D123D4">
                  <w:pPr>
                    <w:widowControl w:val="0"/>
                    <w:spacing w:line="240" w:lineRule="exact"/>
                    <w:rPr>
                      <w:sz w:val="22"/>
                      <w:szCs w:val="22"/>
                      <w:lang w:val="sr-Latn-ME" w:eastAsia="ja-JP"/>
                    </w:rPr>
                  </w:pPr>
                  <w:r w:rsidRPr="00D123D4">
                    <w:rPr>
                      <w:sz w:val="22"/>
                      <w:szCs w:val="22"/>
                      <w:lang w:val="sr-Latn-ME" w:eastAsia="ja-JP"/>
                    </w:rPr>
                    <w:t>Udio pacijenata sa 24</w:t>
                  </w:r>
                  <w:r w:rsidRPr="00D123D4">
                    <w:rPr>
                      <w:sz w:val="22"/>
                      <w:szCs w:val="22"/>
                      <w:lang w:val="sr-Latn-ME" w:eastAsia="ja-JP"/>
                    </w:rPr>
                    <w:noBreakHyphen/>
                    <w:t>nedjeljnom potvrđenom progresijom onesposobljenosti</w:t>
                  </w:r>
                  <w:r w:rsidRPr="00D123D4">
                    <w:rPr>
                      <w:sz w:val="22"/>
                      <w:szCs w:val="22"/>
                      <w:vertAlign w:val="superscript"/>
                      <w:lang w:val="sr-Latn-ME" w:eastAsia="ja-JP"/>
                    </w:rPr>
                    <w:t>1</w:t>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0594574E" w14:textId="77777777" w:rsidR="00066A0D" w:rsidRPr="00D123D4" w:rsidRDefault="00066A0D" w:rsidP="00D123D4">
                  <w:pPr>
                    <w:widowControl w:val="0"/>
                    <w:spacing w:line="240" w:lineRule="exact"/>
                    <w:jc w:val="center"/>
                    <w:rPr>
                      <w:rFonts w:eastAsia="SimSun"/>
                      <w:sz w:val="22"/>
                      <w:szCs w:val="22"/>
                      <w:lang w:val="sr-Latn-ME" w:eastAsia="hr-HR" w:bidi="hr-HR"/>
                    </w:rPr>
                  </w:pPr>
                  <w:r w:rsidRPr="00D123D4">
                    <w:rPr>
                      <w:rFonts w:eastAsia="SimSun"/>
                      <w:sz w:val="22"/>
                      <w:szCs w:val="22"/>
                      <w:lang w:val="sr-Latn-ME" w:eastAsia="hr-HR" w:bidi="hr-HR"/>
                    </w:rPr>
                    <w:t>28,3%</w:t>
                  </w: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26E5F7EC" w14:textId="77777777" w:rsidR="00066A0D" w:rsidRPr="00D123D4" w:rsidRDefault="00066A0D" w:rsidP="00D123D4">
                  <w:pPr>
                    <w:widowControl w:val="0"/>
                    <w:spacing w:line="240" w:lineRule="exact"/>
                    <w:jc w:val="center"/>
                    <w:rPr>
                      <w:rFonts w:eastAsia="SimSun"/>
                      <w:sz w:val="22"/>
                      <w:szCs w:val="22"/>
                      <w:lang w:val="sr-Latn-ME" w:eastAsia="hr-HR" w:bidi="hr-HR"/>
                    </w:rPr>
                  </w:pPr>
                  <w:r w:rsidRPr="00D123D4">
                    <w:rPr>
                      <w:rFonts w:eastAsia="SimSun"/>
                      <w:sz w:val="22"/>
                      <w:szCs w:val="22"/>
                      <w:lang w:val="sr-Latn-ME" w:eastAsia="hr-HR" w:bidi="hr-HR"/>
                    </w:rPr>
                    <w:t>32,7%</w:t>
                  </w:r>
                </w:p>
              </w:tc>
            </w:tr>
            <w:tr w:rsidR="00066A0D" w:rsidRPr="00D123D4" w14:paraId="3DECDC59" w14:textId="77777777" w:rsidTr="00D123D4">
              <w:tc>
                <w:tcPr>
                  <w:tcW w:w="5033" w:type="dxa"/>
                  <w:tcBorders>
                    <w:left w:val="single" w:sz="4" w:space="0" w:color="auto"/>
                    <w:bottom w:val="single" w:sz="4" w:space="0" w:color="auto"/>
                    <w:right w:val="single" w:sz="4" w:space="0" w:color="auto"/>
                  </w:tcBorders>
                  <w:shd w:val="clear" w:color="auto" w:fill="auto"/>
                </w:tcPr>
                <w:p w14:paraId="396B203F" w14:textId="77777777" w:rsidR="00066A0D" w:rsidRPr="00D123D4" w:rsidRDefault="00066A0D" w:rsidP="00D123D4">
                  <w:pPr>
                    <w:widowControl w:val="0"/>
                    <w:spacing w:line="240" w:lineRule="exact"/>
                    <w:rPr>
                      <w:sz w:val="22"/>
                      <w:szCs w:val="22"/>
                      <w:lang w:val="sr-Latn-ME" w:eastAsia="ja-JP"/>
                    </w:rPr>
                  </w:pPr>
                  <w:r w:rsidRPr="00D123D4">
                    <w:rPr>
                      <w:sz w:val="22"/>
                      <w:szCs w:val="22"/>
                      <w:lang w:val="sr-Latn-ME" w:eastAsia="ja-JP"/>
                    </w:rPr>
                    <w:t>Smanjenje rizika</w:t>
                  </w:r>
                </w:p>
                <w:p w14:paraId="5DC0E302" w14:textId="77777777" w:rsidR="00066A0D" w:rsidRPr="00D123D4" w:rsidRDefault="00066A0D" w:rsidP="00D123D4">
                  <w:pPr>
                    <w:widowControl w:val="0"/>
                    <w:spacing w:line="240" w:lineRule="exact"/>
                    <w:rPr>
                      <w:sz w:val="22"/>
                      <w:szCs w:val="22"/>
                      <w:lang w:val="sr-Latn-ME" w:eastAsia="ja-JP"/>
                    </w:rPr>
                  </w:pPr>
                </w:p>
              </w:tc>
              <w:tc>
                <w:tcPr>
                  <w:tcW w:w="3955" w:type="dxa"/>
                  <w:gridSpan w:val="2"/>
                  <w:tcBorders>
                    <w:top w:val="single" w:sz="4" w:space="0" w:color="auto"/>
                    <w:left w:val="single" w:sz="4" w:space="0" w:color="auto"/>
                    <w:bottom w:val="single" w:sz="4" w:space="0" w:color="auto"/>
                    <w:right w:val="single" w:sz="4" w:space="0" w:color="auto"/>
                  </w:tcBorders>
                  <w:shd w:val="clear" w:color="auto" w:fill="auto"/>
                </w:tcPr>
                <w:p w14:paraId="4BD1A090" w14:textId="77777777" w:rsidR="00066A0D" w:rsidRPr="00D123D4" w:rsidRDefault="00066A0D" w:rsidP="00D123D4">
                  <w:pPr>
                    <w:widowControl w:val="0"/>
                    <w:spacing w:line="240" w:lineRule="exact"/>
                    <w:jc w:val="center"/>
                    <w:rPr>
                      <w:rFonts w:eastAsia="SimSun"/>
                      <w:sz w:val="22"/>
                      <w:szCs w:val="22"/>
                      <w:lang w:val="sr-Latn-ME" w:eastAsia="hr-HR" w:bidi="hr-HR"/>
                    </w:rPr>
                  </w:pPr>
                  <w:r w:rsidRPr="00D123D4">
                    <w:rPr>
                      <w:rFonts w:eastAsia="SimSun"/>
                      <w:sz w:val="22"/>
                      <w:szCs w:val="22"/>
                      <w:lang w:val="sr-Latn-ME" w:eastAsia="hr-HR" w:bidi="hr-HR"/>
                    </w:rPr>
                    <w:t>25%</w:t>
                  </w:r>
                </w:p>
                <w:p w14:paraId="4409902D" w14:textId="77777777" w:rsidR="00066A0D" w:rsidRPr="00D123D4" w:rsidRDefault="00066A0D" w:rsidP="00D123D4">
                  <w:pPr>
                    <w:widowControl w:val="0"/>
                    <w:spacing w:line="240" w:lineRule="exact"/>
                    <w:jc w:val="center"/>
                    <w:rPr>
                      <w:rFonts w:eastAsia="SimSun"/>
                      <w:sz w:val="22"/>
                      <w:szCs w:val="22"/>
                      <w:lang w:val="sr-Latn-ME" w:eastAsia="hr-HR" w:bidi="hr-HR"/>
                    </w:rPr>
                  </w:pPr>
                  <w:r w:rsidRPr="00D123D4">
                    <w:rPr>
                      <w:rFonts w:eastAsia="SimSun"/>
                      <w:sz w:val="22"/>
                      <w:szCs w:val="22"/>
                      <w:lang w:val="sr-Latn-ME" w:eastAsia="hr-HR" w:bidi="hr-HR"/>
                    </w:rPr>
                    <w:t>(p=0,0365)</w:t>
                  </w:r>
                </w:p>
              </w:tc>
            </w:tr>
            <w:tr w:rsidR="00066A0D" w:rsidRPr="00D123D4" w14:paraId="06E441BD" w14:textId="77777777" w:rsidTr="00D123D4">
              <w:tc>
                <w:tcPr>
                  <w:tcW w:w="5033" w:type="dxa"/>
                  <w:tcBorders>
                    <w:left w:val="single" w:sz="4" w:space="0" w:color="auto"/>
                    <w:right w:val="single" w:sz="4" w:space="0" w:color="auto"/>
                  </w:tcBorders>
                  <w:shd w:val="clear" w:color="auto" w:fill="auto"/>
                </w:tcPr>
                <w:p w14:paraId="42CE1F8B" w14:textId="77777777" w:rsidR="00066A0D" w:rsidRPr="00D123D4" w:rsidRDefault="00066A0D" w:rsidP="00D123D4">
                  <w:pPr>
                    <w:widowControl w:val="0"/>
                    <w:spacing w:line="240" w:lineRule="exact"/>
                    <w:rPr>
                      <w:sz w:val="22"/>
                      <w:szCs w:val="22"/>
                      <w:lang w:val="sr-Latn-ME" w:eastAsia="ja-JP"/>
                    </w:rPr>
                  </w:pPr>
                  <w:r w:rsidRPr="00D123D4">
                    <w:rPr>
                      <w:sz w:val="22"/>
                      <w:szCs w:val="22"/>
                      <w:lang w:val="sr-Latn-ME" w:eastAsia="ja-JP"/>
                    </w:rPr>
                    <w:t xml:space="preserve">Postotna promjena vremenskog rezultata testa hodanja na 25 stopa (engl. </w:t>
                  </w:r>
                  <w:r w:rsidRPr="00D123D4">
                    <w:rPr>
                      <w:i/>
                      <w:sz w:val="22"/>
                      <w:szCs w:val="22"/>
                      <w:lang w:val="sr-Latn-ME" w:eastAsia="ja-JP"/>
                    </w:rPr>
                    <w:t>Timed 25-Foot Walk</w:t>
                  </w:r>
                  <w:r w:rsidRPr="00D123D4">
                    <w:rPr>
                      <w:sz w:val="22"/>
                      <w:szCs w:val="22"/>
                      <w:lang w:val="sr-Latn-ME" w:eastAsia="ja-JP"/>
                    </w:rPr>
                    <w:t>, T25</w:t>
                  </w:r>
                  <w:r w:rsidRPr="00D123D4">
                    <w:rPr>
                      <w:sz w:val="22"/>
                      <w:szCs w:val="22"/>
                      <w:lang w:val="sr-Latn-ME" w:eastAsia="ja-JP"/>
                    </w:rPr>
                    <w:noBreakHyphen/>
                    <w:t>FW) od početka studije do 120. nedjelje</w:t>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789CEFD5" w14:textId="77777777" w:rsidR="00066A0D" w:rsidRPr="00D123D4" w:rsidRDefault="00066A0D" w:rsidP="00D123D4">
                  <w:pPr>
                    <w:widowControl w:val="0"/>
                    <w:spacing w:line="240" w:lineRule="exact"/>
                    <w:jc w:val="center"/>
                    <w:rPr>
                      <w:rFonts w:eastAsia="SimSun"/>
                      <w:sz w:val="22"/>
                      <w:szCs w:val="22"/>
                      <w:lang w:val="sr-Latn-ME" w:eastAsia="hr-HR" w:bidi="hr-HR"/>
                    </w:rPr>
                  </w:pPr>
                  <w:r w:rsidRPr="00D123D4">
                    <w:rPr>
                      <w:rFonts w:eastAsia="SimSun"/>
                      <w:sz w:val="22"/>
                      <w:szCs w:val="22"/>
                      <w:lang w:val="sr-Latn-ME" w:eastAsia="hr-HR" w:bidi="hr-HR"/>
                    </w:rPr>
                    <w:t xml:space="preserve">38,9 </w:t>
                  </w: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37A9C480" w14:textId="77777777" w:rsidR="00066A0D" w:rsidRPr="00D123D4" w:rsidRDefault="00066A0D" w:rsidP="00D123D4">
                  <w:pPr>
                    <w:widowControl w:val="0"/>
                    <w:spacing w:line="240" w:lineRule="exact"/>
                    <w:jc w:val="center"/>
                    <w:rPr>
                      <w:rFonts w:eastAsia="SimSun"/>
                      <w:sz w:val="22"/>
                      <w:szCs w:val="22"/>
                      <w:lang w:val="sr-Latn-ME" w:eastAsia="hr-HR" w:bidi="hr-HR"/>
                    </w:rPr>
                  </w:pPr>
                  <w:r w:rsidRPr="00D123D4">
                    <w:rPr>
                      <w:rFonts w:eastAsia="SimSun"/>
                      <w:sz w:val="22"/>
                      <w:szCs w:val="22"/>
                      <w:lang w:val="sr-Latn-ME" w:eastAsia="hr-HR" w:bidi="hr-HR"/>
                    </w:rPr>
                    <w:t xml:space="preserve">55,1 </w:t>
                  </w:r>
                </w:p>
              </w:tc>
            </w:tr>
            <w:tr w:rsidR="00066A0D" w:rsidRPr="00D123D4" w14:paraId="4025D093" w14:textId="77777777" w:rsidTr="00D123D4">
              <w:tc>
                <w:tcPr>
                  <w:tcW w:w="5033" w:type="dxa"/>
                  <w:tcBorders>
                    <w:left w:val="single" w:sz="4" w:space="0" w:color="auto"/>
                    <w:bottom w:val="single" w:sz="4" w:space="0" w:color="auto"/>
                    <w:right w:val="single" w:sz="4" w:space="0" w:color="auto"/>
                  </w:tcBorders>
                  <w:shd w:val="clear" w:color="auto" w:fill="auto"/>
                </w:tcPr>
                <w:p w14:paraId="7DBA9DF6" w14:textId="77777777" w:rsidR="00066A0D" w:rsidRPr="00D123D4" w:rsidRDefault="00066A0D" w:rsidP="00D123D4">
                  <w:pPr>
                    <w:widowControl w:val="0"/>
                    <w:autoSpaceDE w:val="0"/>
                    <w:autoSpaceDN w:val="0"/>
                    <w:adjustRightInd w:val="0"/>
                    <w:spacing w:line="259" w:lineRule="auto"/>
                    <w:rPr>
                      <w:rFonts w:eastAsiaTheme="minorHAnsi"/>
                      <w:sz w:val="22"/>
                      <w:szCs w:val="22"/>
                      <w:lang w:val="sr-Latn-ME"/>
                    </w:rPr>
                  </w:pPr>
                  <w:r w:rsidRPr="00D123D4">
                    <w:rPr>
                      <w:rFonts w:eastAsiaTheme="minorHAnsi"/>
                      <w:sz w:val="22"/>
                      <w:szCs w:val="22"/>
                      <w:lang w:val="sr-Latn-ME"/>
                    </w:rPr>
                    <w:t>Relativno smanjenje brzine pogoršanja vremenskog rezultata hodanja</w:t>
                  </w:r>
                </w:p>
                <w:p w14:paraId="7B4AF04F" w14:textId="77777777" w:rsidR="00066A0D" w:rsidRPr="00D123D4" w:rsidRDefault="00066A0D" w:rsidP="00D123D4">
                  <w:pPr>
                    <w:widowControl w:val="0"/>
                    <w:spacing w:line="240" w:lineRule="exact"/>
                    <w:rPr>
                      <w:sz w:val="22"/>
                      <w:szCs w:val="22"/>
                      <w:lang w:val="sr-Latn-ME" w:eastAsia="ja-JP"/>
                    </w:rPr>
                  </w:pPr>
                </w:p>
              </w:tc>
              <w:tc>
                <w:tcPr>
                  <w:tcW w:w="3955" w:type="dxa"/>
                  <w:gridSpan w:val="2"/>
                  <w:tcBorders>
                    <w:top w:val="single" w:sz="4" w:space="0" w:color="auto"/>
                    <w:left w:val="single" w:sz="4" w:space="0" w:color="auto"/>
                    <w:bottom w:val="single" w:sz="4" w:space="0" w:color="auto"/>
                    <w:right w:val="single" w:sz="4" w:space="0" w:color="auto"/>
                  </w:tcBorders>
                  <w:shd w:val="clear" w:color="auto" w:fill="auto"/>
                </w:tcPr>
                <w:p w14:paraId="04F1EFFA" w14:textId="77777777" w:rsidR="00066A0D" w:rsidRPr="00D123D4" w:rsidRDefault="00066A0D" w:rsidP="00D123D4">
                  <w:pPr>
                    <w:widowControl w:val="0"/>
                    <w:spacing w:line="240" w:lineRule="exact"/>
                    <w:jc w:val="center"/>
                    <w:rPr>
                      <w:rFonts w:eastAsia="SimSun"/>
                      <w:sz w:val="22"/>
                      <w:szCs w:val="22"/>
                      <w:lang w:val="sr-Latn-ME" w:eastAsia="hr-HR" w:bidi="hr-HR"/>
                    </w:rPr>
                  </w:pPr>
                  <w:r w:rsidRPr="00D123D4">
                    <w:rPr>
                      <w:rFonts w:eastAsia="SimSun"/>
                      <w:sz w:val="22"/>
                      <w:szCs w:val="22"/>
                      <w:lang w:val="sr-Latn-ME" w:eastAsia="hr-HR" w:bidi="hr-HR"/>
                    </w:rPr>
                    <w:t xml:space="preserve">29,4% </w:t>
                  </w:r>
                </w:p>
                <w:p w14:paraId="5090053D" w14:textId="77777777" w:rsidR="00066A0D" w:rsidRPr="00D123D4" w:rsidRDefault="00066A0D" w:rsidP="00D123D4">
                  <w:pPr>
                    <w:widowControl w:val="0"/>
                    <w:spacing w:line="240" w:lineRule="exact"/>
                    <w:jc w:val="center"/>
                    <w:rPr>
                      <w:rFonts w:eastAsia="SimSun"/>
                      <w:sz w:val="22"/>
                      <w:szCs w:val="22"/>
                      <w:lang w:val="sr-Latn-ME" w:eastAsia="hr-HR" w:bidi="hr-HR"/>
                    </w:rPr>
                  </w:pPr>
                  <w:r w:rsidRPr="00D123D4">
                    <w:rPr>
                      <w:rFonts w:eastAsia="SimSun"/>
                      <w:sz w:val="22"/>
                      <w:szCs w:val="22"/>
                      <w:lang w:val="sr-Latn-ME" w:eastAsia="hr-HR" w:bidi="hr-HR"/>
                    </w:rPr>
                    <w:t xml:space="preserve"> (p=0,0404)</w:t>
                  </w:r>
                </w:p>
              </w:tc>
            </w:tr>
            <w:tr w:rsidR="00066A0D" w:rsidRPr="00D123D4" w14:paraId="1A1DC395" w14:textId="77777777" w:rsidTr="00D123D4">
              <w:tc>
                <w:tcPr>
                  <w:tcW w:w="8988" w:type="dxa"/>
                  <w:gridSpan w:val="3"/>
                  <w:tcBorders>
                    <w:top w:val="single" w:sz="4" w:space="0" w:color="auto"/>
                    <w:left w:val="single" w:sz="4" w:space="0" w:color="auto"/>
                    <w:bottom w:val="single" w:sz="4" w:space="0" w:color="auto"/>
                    <w:right w:val="double" w:sz="4" w:space="0" w:color="auto"/>
                  </w:tcBorders>
                  <w:shd w:val="clear" w:color="auto" w:fill="auto"/>
                </w:tcPr>
                <w:p w14:paraId="05BF61F6" w14:textId="77777777" w:rsidR="00066A0D" w:rsidRPr="00D123D4" w:rsidRDefault="00066A0D" w:rsidP="00D123D4">
                  <w:pPr>
                    <w:widowControl w:val="0"/>
                    <w:spacing w:line="240" w:lineRule="exact"/>
                    <w:rPr>
                      <w:rFonts w:eastAsia="SimSun"/>
                      <w:sz w:val="22"/>
                      <w:szCs w:val="22"/>
                      <w:lang w:val="sr-Latn-ME" w:eastAsia="hr-HR" w:bidi="hr-HR"/>
                    </w:rPr>
                  </w:pPr>
                  <w:r w:rsidRPr="00D123D4">
                    <w:rPr>
                      <w:rFonts w:eastAsia="SimSun"/>
                      <w:b/>
                      <w:sz w:val="22"/>
                      <w:szCs w:val="22"/>
                      <w:lang w:val="sr-Latn-ME" w:eastAsia="hr-HR" w:bidi="hr-HR"/>
                    </w:rPr>
                    <w:t>MR mjere ishoda</w:t>
                  </w:r>
                </w:p>
              </w:tc>
            </w:tr>
            <w:tr w:rsidR="00066A0D" w:rsidRPr="00D123D4" w14:paraId="4B68197E" w14:textId="77777777" w:rsidTr="00D123D4">
              <w:tc>
                <w:tcPr>
                  <w:tcW w:w="5033" w:type="dxa"/>
                  <w:tcBorders>
                    <w:top w:val="single" w:sz="4" w:space="0" w:color="auto"/>
                    <w:left w:val="single" w:sz="4" w:space="0" w:color="auto"/>
                    <w:right w:val="single" w:sz="4" w:space="0" w:color="auto"/>
                  </w:tcBorders>
                  <w:shd w:val="clear" w:color="auto" w:fill="auto"/>
                </w:tcPr>
                <w:p w14:paraId="02E4DADD" w14:textId="77777777" w:rsidR="00066A0D" w:rsidRPr="00D123D4" w:rsidRDefault="00066A0D" w:rsidP="00D123D4">
                  <w:pPr>
                    <w:widowControl w:val="0"/>
                    <w:spacing w:line="240" w:lineRule="exact"/>
                    <w:rPr>
                      <w:sz w:val="22"/>
                      <w:szCs w:val="22"/>
                      <w:lang w:val="sr-Latn-ME" w:eastAsia="ja-JP"/>
                    </w:rPr>
                  </w:pPr>
                  <w:r w:rsidRPr="00D123D4">
                    <w:rPr>
                      <w:sz w:val="22"/>
                      <w:szCs w:val="22"/>
                      <w:lang w:val="sr-Latn-ME" w:eastAsia="ja-JP"/>
                    </w:rPr>
                    <w:t xml:space="preserve">Postotna promjena volumena T2 hiperintenzivnih lezija od početka ispitivanja do 120. nedjelje </w:t>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20ACF873" w14:textId="77777777" w:rsidR="00066A0D" w:rsidRPr="00D123D4" w:rsidRDefault="00066A0D" w:rsidP="00D123D4">
                  <w:pPr>
                    <w:widowControl w:val="0"/>
                    <w:spacing w:line="240" w:lineRule="exact"/>
                    <w:jc w:val="center"/>
                    <w:rPr>
                      <w:rFonts w:eastAsia="SimSun"/>
                      <w:sz w:val="22"/>
                      <w:szCs w:val="22"/>
                      <w:lang w:val="sr-Latn-ME" w:eastAsia="hr-HR" w:bidi="hr-HR"/>
                    </w:rPr>
                  </w:pPr>
                  <w:r w:rsidRPr="00D123D4">
                    <w:rPr>
                      <w:rFonts w:eastAsia="SimSun"/>
                      <w:sz w:val="22"/>
                      <w:szCs w:val="22"/>
                      <w:lang w:val="sr-Latn-ME" w:eastAsia="hr-HR" w:bidi="hr-HR"/>
                    </w:rPr>
                    <w:t>-3,4</w:t>
                  </w: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26C4150B" w14:textId="77777777" w:rsidR="00066A0D" w:rsidRPr="00D123D4" w:rsidRDefault="00066A0D" w:rsidP="00D123D4">
                  <w:pPr>
                    <w:widowControl w:val="0"/>
                    <w:spacing w:line="240" w:lineRule="exact"/>
                    <w:jc w:val="center"/>
                    <w:rPr>
                      <w:rFonts w:eastAsia="SimSun"/>
                      <w:sz w:val="22"/>
                      <w:szCs w:val="22"/>
                      <w:lang w:val="sr-Latn-ME" w:eastAsia="hr-HR" w:bidi="hr-HR"/>
                    </w:rPr>
                  </w:pPr>
                  <w:r w:rsidRPr="00D123D4">
                    <w:rPr>
                      <w:rFonts w:eastAsia="SimSun"/>
                      <w:sz w:val="22"/>
                      <w:szCs w:val="22"/>
                      <w:lang w:val="sr-Latn-ME" w:eastAsia="hr-HR" w:bidi="hr-HR"/>
                    </w:rPr>
                    <w:t>7,4</w:t>
                  </w:r>
                </w:p>
              </w:tc>
            </w:tr>
            <w:tr w:rsidR="00066A0D" w:rsidRPr="00D123D4" w14:paraId="7E085BFB" w14:textId="77777777" w:rsidTr="00D123D4">
              <w:tc>
                <w:tcPr>
                  <w:tcW w:w="5033" w:type="dxa"/>
                  <w:tcBorders>
                    <w:left w:val="single" w:sz="4" w:space="0" w:color="auto"/>
                    <w:bottom w:val="single" w:sz="4" w:space="0" w:color="auto"/>
                    <w:right w:val="single" w:sz="4" w:space="0" w:color="auto"/>
                  </w:tcBorders>
                  <w:shd w:val="clear" w:color="auto" w:fill="auto"/>
                </w:tcPr>
                <w:p w14:paraId="73A6D016" w14:textId="7E3FCC71" w:rsidR="00066A0D" w:rsidRPr="00D123D4" w:rsidRDefault="00066A0D" w:rsidP="00D123D4">
                  <w:pPr>
                    <w:widowControl w:val="0"/>
                    <w:autoSpaceDE w:val="0"/>
                    <w:autoSpaceDN w:val="0"/>
                    <w:adjustRightInd w:val="0"/>
                    <w:spacing w:line="259" w:lineRule="auto"/>
                    <w:rPr>
                      <w:rFonts w:eastAsiaTheme="minorHAnsi"/>
                      <w:sz w:val="22"/>
                      <w:szCs w:val="22"/>
                      <w:lang w:val="sr-Latn-ME"/>
                    </w:rPr>
                  </w:pPr>
                </w:p>
              </w:tc>
              <w:tc>
                <w:tcPr>
                  <w:tcW w:w="3955" w:type="dxa"/>
                  <w:gridSpan w:val="2"/>
                  <w:tcBorders>
                    <w:top w:val="single" w:sz="4" w:space="0" w:color="auto"/>
                    <w:left w:val="single" w:sz="4" w:space="0" w:color="auto"/>
                    <w:bottom w:val="single" w:sz="4" w:space="0" w:color="auto"/>
                    <w:right w:val="single" w:sz="4" w:space="0" w:color="auto"/>
                  </w:tcBorders>
                  <w:shd w:val="clear" w:color="auto" w:fill="auto"/>
                </w:tcPr>
                <w:p w14:paraId="6189C99C" w14:textId="77777777" w:rsidR="00066A0D" w:rsidRPr="00D123D4" w:rsidRDefault="00066A0D" w:rsidP="00D123D4">
                  <w:pPr>
                    <w:widowControl w:val="0"/>
                    <w:spacing w:line="240" w:lineRule="exact"/>
                    <w:jc w:val="center"/>
                    <w:rPr>
                      <w:rFonts w:eastAsia="SimSun"/>
                      <w:sz w:val="22"/>
                      <w:szCs w:val="22"/>
                      <w:lang w:val="sr-Latn-ME" w:eastAsia="hr-HR" w:bidi="hr-HR"/>
                    </w:rPr>
                  </w:pPr>
                  <w:r w:rsidRPr="00D123D4">
                    <w:rPr>
                      <w:rFonts w:eastAsia="SimSun"/>
                      <w:sz w:val="22"/>
                      <w:szCs w:val="22"/>
                      <w:lang w:val="sr-Latn-ME" w:eastAsia="hr-HR" w:bidi="hr-HR"/>
                    </w:rPr>
                    <w:t>(p &lt; 0,0001)</w:t>
                  </w:r>
                </w:p>
              </w:tc>
            </w:tr>
            <w:tr w:rsidR="00066A0D" w:rsidRPr="00D123D4" w14:paraId="03CA61A7" w14:textId="77777777" w:rsidTr="00D123D4">
              <w:tc>
                <w:tcPr>
                  <w:tcW w:w="5033" w:type="dxa"/>
                  <w:tcBorders>
                    <w:top w:val="single" w:sz="4" w:space="0" w:color="auto"/>
                    <w:left w:val="single" w:sz="4" w:space="0" w:color="auto"/>
                    <w:right w:val="single" w:sz="4" w:space="0" w:color="auto"/>
                  </w:tcBorders>
                  <w:shd w:val="clear" w:color="auto" w:fill="auto"/>
                </w:tcPr>
                <w:p w14:paraId="21BDA51F" w14:textId="77777777" w:rsidR="00066A0D" w:rsidRPr="00D123D4" w:rsidRDefault="00066A0D" w:rsidP="00D123D4">
                  <w:pPr>
                    <w:widowControl w:val="0"/>
                    <w:spacing w:line="240" w:lineRule="exact"/>
                    <w:rPr>
                      <w:sz w:val="22"/>
                      <w:szCs w:val="22"/>
                      <w:lang w:val="sr-Latn-ME" w:eastAsia="ja-JP"/>
                    </w:rPr>
                  </w:pPr>
                  <w:r w:rsidRPr="00D123D4">
                    <w:rPr>
                      <w:sz w:val="22"/>
                      <w:szCs w:val="22"/>
                      <w:lang w:val="sr-Latn-ME" w:eastAsia="ja-JP"/>
                    </w:rPr>
                    <w:t>Postotna promjena volumena mozga od 24. do 120. nedjelje</w:t>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03745056" w14:textId="77777777" w:rsidR="00066A0D" w:rsidRPr="00D123D4" w:rsidRDefault="00066A0D" w:rsidP="00D123D4">
                  <w:pPr>
                    <w:widowControl w:val="0"/>
                    <w:spacing w:line="240" w:lineRule="exact"/>
                    <w:jc w:val="center"/>
                    <w:rPr>
                      <w:rFonts w:eastAsia="SimSun"/>
                      <w:sz w:val="22"/>
                      <w:szCs w:val="22"/>
                      <w:lang w:val="sr-Latn-ME" w:eastAsia="hr-HR" w:bidi="hr-HR"/>
                    </w:rPr>
                  </w:pPr>
                  <w:r w:rsidRPr="00D123D4">
                    <w:rPr>
                      <w:rFonts w:eastAsia="SimSun"/>
                      <w:sz w:val="22"/>
                      <w:szCs w:val="22"/>
                      <w:lang w:val="sr-Latn-ME" w:eastAsia="hr-HR" w:bidi="hr-HR"/>
                    </w:rPr>
                    <w:t xml:space="preserve">-0,902 </w:t>
                  </w: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203A9DF4" w14:textId="77777777" w:rsidR="00066A0D" w:rsidRPr="00D123D4" w:rsidRDefault="00066A0D" w:rsidP="00D123D4">
                  <w:pPr>
                    <w:widowControl w:val="0"/>
                    <w:spacing w:line="240" w:lineRule="exact"/>
                    <w:jc w:val="center"/>
                    <w:rPr>
                      <w:rFonts w:eastAsia="SimSun"/>
                      <w:sz w:val="22"/>
                      <w:szCs w:val="22"/>
                      <w:lang w:val="sr-Latn-ME" w:eastAsia="hr-HR" w:bidi="hr-HR"/>
                    </w:rPr>
                  </w:pPr>
                  <w:r w:rsidRPr="00D123D4">
                    <w:rPr>
                      <w:rFonts w:eastAsia="SimSun"/>
                      <w:sz w:val="22"/>
                      <w:szCs w:val="22"/>
                      <w:lang w:val="sr-Latn-ME" w:eastAsia="hr-HR" w:bidi="hr-HR"/>
                    </w:rPr>
                    <w:t>-1,093</w:t>
                  </w:r>
                </w:p>
              </w:tc>
            </w:tr>
            <w:tr w:rsidR="00066A0D" w:rsidRPr="00D123D4" w14:paraId="386AD94C" w14:textId="77777777" w:rsidTr="00D123D4">
              <w:tc>
                <w:tcPr>
                  <w:tcW w:w="5033" w:type="dxa"/>
                  <w:tcBorders>
                    <w:left w:val="single" w:sz="4" w:space="0" w:color="auto"/>
                    <w:bottom w:val="single" w:sz="4" w:space="0" w:color="auto"/>
                    <w:right w:val="single" w:sz="4" w:space="0" w:color="auto"/>
                  </w:tcBorders>
                  <w:shd w:val="clear" w:color="auto" w:fill="auto"/>
                </w:tcPr>
                <w:p w14:paraId="0610E624" w14:textId="77777777" w:rsidR="00066A0D" w:rsidRPr="00D123D4" w:rsidRDefault="00066A0D" w:rsidP="00D123D4">
                  <w:pPr>
                    <w:widowControl w:val="0"/>
                    <w:spacing w:line="240" w:lineRule="exact"/>
                    <w:rPr>
                      <w:sz w:val="22"/>
                      <w:szCs w:val="22"/>
                      <w:lang w:val="sr-Latn-ME" w:eastAsia="ja-JP"/>
                    </w:rPr>
                  </w:pPr>
                  <w:r w:rsidRPr="00D123D4">
                    <w:rPr>
                      <w:sz w:val="22"/>
                      <w:szCs w:val="22"/>
                      <w:lang w:val="sr-Latn-ME" w:eastAsia="ja-JP"/>
                    </w:rPr>
                    <w:t>Relativno smanjenje stope gubitka volumena mozga</w:t>
                  </w:r>
                </w:p>
              </w:tc>
              <w:tc>
                <w:tcPr>
                  <w:tcW w:w="3955" w:type="dxa"/>
                  <w:gridSpan w:val="2"/>
                  <w:tcBorders>
                    <w:top w:val="single" w:sz="4" w:space="0" w:color="auto"/>
                    <w:left w:val="single" w:sz="4" w:space="0" w:color="auto"/>
                    <w:bottom w:val="single" w:sz="4" w:space="0" w:color="auto"/>
                    <w:right w:val="single" w:sz="4" w:space="0" w:color="auto"/>
                  </w:tcBorders>
                  <w:shd w:val="clear" w:color="auto" w:fill="auto"/>
                </w:tcPr>
                <w:p w14:paraId="51599578" w14:textId="77777777" w:rsidR="00066A0D" w:rsidRPr="00D123D4" w:rsidRDefault="00066A0D" w:rsidP="00D123D4">
                  <w:pPr>
                    <w:widowControl w:val="0"/>
                    <w:spacing w:line="240" w:lineRule="exact"/>
                    <w:jc w:val="center"/>
                    <w:rPr>
                      <w:rFonts w:eastAsia="SimSun"/>
                      <w:sz w:val="22"/>
                      <w:szCs w:val="22"/>
                      <w:lang w:val="sr-Latn-ME" w:eastAsia="hr-HR" w:bidi="hr-HR"/>
                    </w:rPr>
                  </w:pPr>
                  <w:r w:rsidRPr="00D123D4">
                    <w:rPr>
                      <w:rFonts w:eastAsia="SimSun"/>
                      <w:sz w:val="22"/>
                      <w:szCs w:val="22"/>
                      <w:lang w:val="sr-Latn-ME" w:eastAsia="hr-HR" w:bidi="hr-HR"/>
                    </w:rPr>
                    <w:t>17,5%</w:t>
                  </w:r>
                </w:p>
                <w:p w14:paraId="74C804BE" w14:textId="77777777" w:rsidR="00066A0D" w:rsidRPr="00D123D4" w:rsidRDefault="00066A0D" w:rsidP="00D123D4">
                  <w:pPr>
                    <w:widowControl w:val="0"/>
                    <w:spacing w:line="240" w:lineRule="exact"/>
                    <w:jc w:val="center"/>
                    <w:rPr>
                      <w:rFonts w:eastAsia="SimSun"/>
                      <w:sz w:val="22"/>
                      <w:szCs w:val="22"/>
                      <w:lang w:val="sr-Latn-ME" w:eastAsia="hr-HR" w:bidi="hr-HR"/>
                    </w:rPr>
                  </w:pPr>
                  <w:r w:rsidRPr="00D123D4">
                    <w:rPr>
                      <w:rFonts w:eastAsia="SimSun"/>
                      <w:sz w:val="22"/>
                      <w:szCs w:val="22"/>
                      <w:lang w:val="sr-Latn-ME" w:eastAsia="hr-HR" w:bidi="hr-HR"/>
                    </w:rPr>
                    <w:t>(p=0,0206)</w:t>
                  </w:r>
                </w:p>
              </w:tc>
            </w:tr>
          </w:tbl>
          <w:p w14:paraId="2712BF27" w14:textId="0075B0F2" w:rsidR="00E85315" w:rsidRPr="00D123D4" w:rsidRDefault="00066A0D" w:rsidP="001E239A">
            <w:pPr>
              <w:widowControl w:val="0"/>
              <w:spacing w:after="160" w:line="259" w:lineRule="auto"/>
              <w:jc w:val="both"/>
              <w:rPr>
                <w:b/>
                <w:bCs/>
                <w:sz w:val="22"/>
                <w:szCs w:val="22"/>
                <w:lang w:val="sr-Latn-ME"/>
              </w:rPr>
            </w:pPr>
            <w:r w:rsidRPr="00D123D4">
              <w:rPr>
                <w:bCs/>
                <w:sz w:val="22"/>
                <w:szCs w:val="22"/>
                <w:vertAlign w:val="superscript"/>
                <w:lang w:val="sr-Latn-ME"/>
              </w:rPr>
              <w:t>1</w:t>
            </w:r>
            <w:r w:rsidRPr="00D123D4">
              <w:rPr>
                <w:bCs/>
                <w:sz w:val="22"/>
                <w:szCs w:val="22"/>
                <w:lang w:val="sr-Latn-ME"/>
              </w:rPr>
              <w:t xml:space="preserve"> </w:t>
            </w:r>
            <w:r w:rsidRPr="001E239A">
              <w:rPr>
                <w:bCs/>
                <w:sz w:val="20"/>
                <w:szCs w:val="22"/>
                <w:lang w:val="sr-Latn-ME"/>
              </w:rPr>
              <w:t>Definisao se kao povećanje početnog EDSS rezultata za ≥ 1,0 bod kod pacijenata čiji je početni rezultat iznosio 5,5 ili manje, odnosno za ≥ 0,5 bodova kod pacijenata čiji je početni rezultat iznosio &gt; 5,5; procjene prema Kaplan Meieru u 120. nedjelji.</w:t>
            </w:r>
          </w:p>
          <w:p w14:paraId="625B7DF4" w14:textId="37429A78" w:rsidR="00066A0D" w:rsidRPr="00D123D4" w:rsidRDefault="00066A0D" w:rsidP="00D123D4">
            <w:pPr>
              <w:widowControl w:val="0"/>
              <w:jc w:val="both"/>
              <w:rPr>
                <w:b/>
                <w:bCs/>
                <w:sz w:val="22"/>
                <w:szCs w:val="22"/>
                <w:lang w:val="sr-Latn-ME"/>
              </w:rPr>
            </w:pPr>
            <w:r w:rsidRPr="00D123D4">
              <w:rPr>
                <w:b/>
                <w:bCs/>
                <w:sz w:val="22"/>
                <w:szCs w:val="22"/>
                <w:lang w:val="sr-Latn-ME"/>
              </w:rPr>
              <w:t>Slika 2: Kaplan</w:t>
            </w:r>
            <w:r w:rsidRPr="00D123D4">
              <w:rPr>
                <w:b/>
                <w:bCs/>
                <w:sz w:val="22"/>
                <w:szCs w:val="22"/>
                <w:lang w:val="sr-Latn-ME"/>
              </w:rPr>
              <w:noBreakHyphen/>
              <w:t xml:space="preserve">Meierova kriva vremena do nastupa potvrđene progresije onesposobljenosti koja se održala najmanje 12 nedjelja i kod koje se prvi događaj neurološkog pogoršanja pojavio tokom perioda dvostruko slijepog liječenja (ITT populacija iz Studije WA25046)* </w:t>
            </w:r>
          </w:p>
          <w:p w14:paraId="3B756289" w14:textId="3DAC6BFD" w:rsidR="00066A0D" w:rsidRPr="00D123D4" w:rsidRDefault="00066A0D" w:rsidP="00D123D4">
            <w:pPr>
              <w:widowControl w:val="0"/>
              <w:jc w:val="both"/>
              <w:rPr>
                <w:i/>
                <w:sz w:val="22"/>
                <w:szCs w:val="22"/>
                <w:lang w:val="sr-Latn-ME"/>
              </w:rPr>
            </w:pPr>
            <w:r w:rsidRPr="00D123D4">
              <w:rPr>
                <w:i/>
                <w:noProof/>
                <w:sz w:val="22"/>
                <w:szCs w:val="22"/>
              </w:rPr>
              <mc:AlternateContent>
                <mc:Choice Requires="wps">
                  <w:drawing>
                    <wp:anchor distT="0" distB="0" distL="114300" distR="114300" simplePos="0" relativeHeight="251660288" behindDoc="0" locked="0" layoutInCell="1" allowOverlap="1" wp14:anchorId="0D707A20" wp14:editId="452F98AB">
                      <wp:simplePos x="0" y="0"/>
                      <wp:positionH relativeFrom="column">
                        <wp:posOffset>3632200</wp:posOffset>
                      </wp:positionH>
                      <wp:positionV relativeFrom="paragraph">
                        <wp:posOffset>1523365</wp:posOffset>
                      </wp:positionV>
                      <wp:extent cx="1466850" cy="8477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1466850" cy="847725"/>
                              </a:xfrm>
                              <a:prstGeom prst="rect">
                                <a:avLst/>
                              </a:prstGeom>
                              <a:solidFill>
                                <a:sysClr val="window" lastClr="FFFFFF"/>
                              </a:solidFill>
                              <a:ln w="6350">
                                <a:solidFill>
                                  <a:sysClr val="window" lastClr="FFFFFF"/>
                                </a:solidFill>
                              </a:ln>
                              <a:effectLst/>
                            </wps:spPr>
                            <wps:txbx>
                              <w:txbxContent>
                                <w:p w14:paraId="3D5C77AF" w14:textId="77777777" w:rsidR="002961A0" w:rsidRPr="006D3B26" w:rsidRDefault="002961A0" w:rsidP="00066A0D">
                                  <w:pPr>
                                    <w:pStyle w:val="NormalWeb"/>
                                    <w:spacing w:before="0" w:beforeAutospacing="0" w:after="0" w:afterAutospacing="0" w:line="120" w:lineRule="atLeast"/>
                                    <w:jc w:val="center"/>
                                    <w:rPr>
                                      <w:rFonts w:ascii="Century Gothic" w:eastAsia="+mn-ea" w:hAnsi="Century Gothic" w:cs="+mn-cs"/>
                                      <w:b/>
                                      <w:bCs/>
                                      <w:kern w:val="24"/>
                                      <w:sz w:val="14"/>
                                      <w:szCs w:val="14"/>
                                    </w:rPr>
                                  </w:pPr>
                                  <w:r w:rsidRPr="006D3B26">
                                    <w:rPr>
                                      <w:rFonts w:ascii="Century Gothic" w:hAnsi="Century Gothic"/>
                                      <w:b/>
                                      <w:bCs/>
                                      <w:sz w:val="14"/>
                                      <w:szCs w:val="14"/>
                                    </w:rPr>
                                    <w:t>Smanjenje rizika od potvrđene progresije onesposobljenosti za 24%</w:t>
                                  </w:r>
                                </w:p>
                                <w:p w14:paraId="1F683F0E" w14:textId="77777777" w:rsidR="002961A0" w:rsidRPr="006D3B26" w:rsidRDefault="002961A0" w:rsidP="00066A0D">
                                  <w:pPr>
                                    <w:pStyle w:val="NormalWeb"/>
                                    <w:spacing w:before="0" w:beforeAutospacing="0" w:after="0" w:afterAutospacing="0" w:line="120" w:lineRule="atLeast"/>
                                    <w:jc w:val="center"/>
                                    <w:rPr>
                                      <w:rFonts w:ascii="Century Gothic" w:eastAsia="+mn-ea" w:hAnsi="Century Gothic" w:cs="+mn-cs"/>
                                      <w:b/>
                                      <w:bCs/>
                                      <w:kern w:val="24"/>
                                      <w:sz w:val="14"/>
                                      <w:szCs w:val="14"/>
                                    </w:rPr>
                                  </w:pPr>
                                  <w:r w:rsidRPr="006D3B26">
                                    <w:rPr>
                                      <w:rFonts w:ascii="Century Gothic" w:hAnsi="Century Gothic"/>
                                      <w:b/>
                                      <w:bCs/>
                                      <w:sz w:val="14"/>
                                      <w:szCs w:val="14"/>
                                    </w:rPr>
                                    <w:t xml:space="preserve">HR (95% CI): 0,76 (0,59; 0,98); </w:t>
                                  </w:r>
                                </w:p>
                                <w:p w14:paraId="7D47C4B0" w14:textId="77777777" w:rsidR="002961A0" w:rsidRPr="006D3B26" w:rsidRDefault="002961A0" w:rsidP="00066A0D">
                                  <w:pPr>
                                    <w:pStyle w:val="NormalWeb"/>
                                    <w:spacing w:before="0" w:beforeAutospacing="0" w:after="0" w:afterAutospacing="0" w:line="120" w:lineRule="atLeast"/>
                                    <w:jc w:val="center"/>
                                  </w:pPr>
                                  <w:r w:rsidRPr="006D3B26">
                                    <w:rPr>
                                      <w:rFonts w:ascii="Century Gothic" w:hAnsi="Century Gothic"/>
                                      <w:b/>
                                      <w:bCs/>
                                      <w:sz w:val="14"/>
                                      <w:szCs w:val="14"/>
                                    </w:rPr>
                                    <w:t>p=0,0321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D707A20" id="Text Box 11" o:spid="_x0000_s1027" type="#_x0000_t202" style="position:absolute;left:0;text-align:left;margin-left:286pt;margin-top:119.95pt;width:115.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" fillcolor="window" strokecolor="window" strokeweight=".5pt">
                      <v:textbox>
                        <w:txbxContent>
                          <w:p w14:paraId="3D5C77AF" w14:textId="77777777" w:rsidR="002961A0" w:rsidRPr="006D3B26" w:rsidRDefault="002961A0" w:rsidP="00066A0D">
                            <w:pPr>
                              <w:pStyle w:val="NormalWeb"/>
                              <w:spacing w:before="0" w:beforeAutospacing="0" w:after="0" w:afterAutospacing="0" w:line="120" w:lineRule="atLeast"/>
                              <w:jc w:val="center"/>
                              <w:rPr>
                                <w:rFonts w:ascii="Century Gothic" w:eastAsia="+mn-ea" w:hAnsi="Century Gothic" w:cs="+mn-cs"/>
                                <w:b/>
                                <w:bCs/>
                                <w:kern w:val="24"/>
                                <w:sz w:val="14"/>
                                <w:szCs w:val="14"/>
                              </w:rPr>
                            </w:pPr>
                            <w:r w:rsidRPr="006D3B26">
                              <w:rPr>
                                <w:rFonts w:ascii="Century Gothic" w:hAnsi="Century Gothic"/>
                                <w:b/>
                                <w:bCs/>
                                <w:sz w:val="14"/>
                                <w:szCs w:val="14"/>
                              </w:rPr>
                              <w:t>Smanjenje rizika od potvrđene progresije onesposobljenosti za 24%</w:t>
                            </w:r>
                          </w:p>
                          <w:p w14:paraId="1F683F0E" w14:textId="77777777" w:rsidR="002961A0" w:rsidRPr="006D3B26" w:rsidRDefault="002961A0" w:rsidP="00066A0D">
                            <w:pPr>
                              <w:pStyle w:val="NormalWeb"/>
                              <w:spacing w:before="0" w:beforeAutospacing="0" w:after="0" w:afterAutospacing="0" w:line="120" w:lineRule="atLeast"/>
                              <w:jc w:val="center"/>
                              <w:rPr>
                                <w:rFonts w:ascii="Century Gothic" w:eastAsia="+mn-ea" w:hAnsi="Century Gothic" w:cs="+mn-cs"/>
                                <w:b/>
                                <w:bCs/>
                                <w:kern w:val="24"/>
                                <w:sz w:val="14"/>
                                <w:szCs w:val="14"/>
                              </w:rPr>
                            </w:pPr>
                            <w:r w:rsidRPr="006D3B26">
                              <w:rPr>
                                <w:rFonts w:ascii="Century Gothic" w:hAnsi="Century Gothic"/>
                                <w:b/>
                                <w:bCs/>
                                <w:sz w:val="14"/>
                                <w:szCs w:val="14"/>
                              </w:rPr>
                              <w:t xml:space="preserve">HR (95% CI): 0,76 (0,59; 0,98); </w:t>
                            </w:r>
                          </w:p>
                          <w:p w14:paraId="7D47C4B0" w14:textId="77777777" w:rsidR="002961A0" w:rsidRPr="006D3B26" w:rsidRDefault="002961A0" w:rsidP="00066A0D">
                            <w:pPr>
                              <w:pStyle w:val="NormalWeb"/>
                              <w:spacing w:before="0" w:beforeAutospacing="0" w:after="0" w:afterAutospacing="0" w:line="120" w:lineRule="atLeast"/>
                              <w:jc w:val="center"/>
                            </w:pPr>
                            <w:r w:rsidRPr="006D3B26">
                              <w:rPr>
                                <w:rFonts w:ascii="Century Gothic" w:hAnsi="Century Gothic"/>
                                <w:b/>
                                <w:bCs/>
                                <w:sz w:val="14"/>
                                <w:szCs w:val="14"/>
                              </w:rPr>
                              <w:t>p=0,0321</w:t>
                            </w:r>
                          </w:p>
                        </w:txbxContent>
                      </v:textbox>
                    </v:shape>
                  </w:pict>
                </mc:Fallback>
              </mc:AlternateContent>
            </w:r>
            <w:r w:rsidRPr="00D123D4">
              <w:rPr>
                <w:i/>
                <w:noProof/>
                <w:sz w:val="22"/>
                <w:szCs w:val="22"/>
              </w:rPr>
              <w:drawing>
                <wp:inline distT="0" distB="0" distL="0" distR="0" wp14:anchorId="292007AB" wp14:editId="7BD629BB">
                  <wp:extent cx="5334000" cy="3147670"/>
                  <wp:effectExtent l="0" t="0" r="0" b="0"/>
                  <wp:docPr id="8" name="Picture 8" descr="C:\Users\jasicm\Downloads\Ocrevus slika 2 co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sicm\Downloads\Ocrevus slika 2 corr.jpg"/>
                          <pic:cNvPicPr>
                            <a:picLocks noChangeAspect="1" noChangeArrowheads="1"/>
                          </pic:cNvPicPr>
                        </pic:nvPicPr>
                        <pic:blipFill rotWithShape="1">
                          <a:blip r:embed="rId16">
                            <a:extLst>
                              <a:ext uri="{28A0092B-C50C-407E-A947-70E740481C1C}">
                                <a14:useLocalDpi xmlns:a14="http://schemas.microsoft.com/office/drawing/2010/main" val="0"/>
                              </a:ext>
                            </a:extLst>
                          </a:blip>
                          <a:srcRect t="6770" r="4795"/>
                          <a:stretch/>
                        </pic:blipFill>
                        <pic:spPr bwMode="auto">
                          <a:xfrm>
                            <a:off x="0" y="0"/>
                            <a:ext cx="5346025" cy="315476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E121A8" w14:textId="77777777" w:rsidR="00D123D4" w:rsidRDefault="00D123D4" w:rsidP="00D123D4">
      <w:pPr>
        <w:widowControl w:val="0"/>
        <w:tabs>
          <w:tab w:val="left" w:pos="284"/>
          <w:tab w:val="center" w:pos="4320"/>
          <w:tab w:val="right" w:pos="8640"/>
        </w:tabs>
        <w:jc w:val="both"/>
        <w:rPr>
          <w:b/>
          <w:bCs/>
          <w:sz w:val="22"/>
          <w:szCs w:val="22"/>
          <w:lang w:val="sr-Latn-ME"/>
        </w:rPr>
      </w:pPr>
    </w:p>
    <w:p w14:paraId="2D7CE09C" w14:textId="77777777" w:rsidR="00D123D4" w:rsidRPr="00D123D4" w:rsidRDefault="00D123D4" w:rsidP="00D123D4">
      <w:pPr>
        <w:widowControl w:val="0"/>
        <w:jc w:val="both"/>
        <w:rPr>
          <w:sz w:val="22"/>
          <w:szCs w:val="22"/>
          <w:lang w:val="sr-Latn-ME"/>
        </w:rPr>
      </w:pPr>
      <w:r w:rsidRPr="00D123D4">
        <w:rPr>
          <w:sz w:val="22"/>
          <w:szCs w:val="22"/>
          <w:lang w:val="sr-Latn-ME"/>
        </w:rPr>
        <w:t xml:space="preserve">* Svi pacijenti u ovoj analizi bili su praćeni tokom najmanje 120 nedjelja. Primarna analiza zasniva se </w:t>
      </w:r>
      <w:r w:rsidRPr="00D123D4">
        <w:rPr>
          <w:sz w:val="22"/>
          <w:szCs w:val="22"/>
          <w:lang w:val="sr-Latn-ME"/>
        </w:rPr>
        <w:lastRenderedPageBreak/>
        <w:t>na svim prikupljenim događajima.</w:t>
      </w:r>
    </w:p>
    <w:p w14:paraId="2AC190C6" w14:textId="77777777" w:rsidR="00D123D4" w:rsidRPr="00D123D4" w:rsidRDefault="00D123D4" w:rsidP="00D123D4">
      <w:pPr>
        <w:widowControl w:val="0"/>
        <w:jc w:val="both"/>
        <w:rPr>
          <w:sz w:val="22"/>
          <w:szCs w:val="22"/>
          <w:lang w:val="sr-Latn-ME"/>
        </w:rPr>
      </w:pPr>
    </w:p>
    <w:p w14:paraId="5EDBB613" w14:textId="77777777" w:rsidR="00D123D4" w:rsidRPr="00D123D4" w:rsidRDefault="00D123D4" w:rsidP="00D123D4">
      <w:pPr>
        <w:widowControl w:val="0"/>
        <w:jc w:val="both"/>
        <w:rPr>
          <w:sz w:val="22"/>
          <w:szCs w:val="22"/>
          <w:lang w:val="sr-Latn-ME"/>
        </w:rPr>
      </w:pPr>
      <w:r w:rsidRPr="00D123D4">
        <w:rPr>
          <w:sz w:val="22"/>
          <w:szCs w:val="22"/>
          <w:lang w:val="sr-Latn-ME"/>
        </w:rPr>
        <w:t>Unaprijed specifikovana analiza primarne mjere ishoda po podgrupama, koja nije imala statističku snagu, ukazuje na to da mlađi pacijenti ili pacijenti koji na početku liječenja imaju T1 lezije naglašene gadolinijem ostvaruju veću terapijsku korist nego stariji pacijenti ili pacijenti koji na početku liječenja nemaju T1 lezije naglašene gadolinijem (≤ 45 godina: HR 0,64 [0,45; 0,92], &gt; 45 godina: HR 0,88 [0,62; 1,26]; prisutnost T1 lezija naglašenih gadolinijem na početku liječenja: HR 0,65 [0,40-1,06], izostanak T1 lezija naglašenih gadolinijem na početku liječenja: HR 0,84 [0,62-1,13]).</w:t>
      </w:r>
    </w:p>
    <w:p w14:paraId="2DE4CEF2" w14:textId="77777777" w:rsidR="00D123D4" w:rsidRPr="00D123D4" w:rsidRDefault="00D123D4" w:rsidP="00D123D4">
      <w:pPr>
        <w:widowControl w:val="0"/>
        <w:jc w:val="both"/>
        <w:rPr>
          <w:sz w:val="22"/>
          <w:szCs w:val="22"/>
          <w:lang w:val="sr-Latn-ME"/>
        </w:rPr>
      </w:pPr>
      <w:r w:rsidRPr="00D123D4">
        <w:rPr>
          <w:sz w:val="22"/>
          <w:szCs w:val="22"/>
          <w:lang w:val="sr-Latn-ME"/>
        </w:rPr>
        <w:t>Dodatno, post-hoc analize ukazale su na to da je efekat liječenja bolji kod mlađih pacijenata koji su na početku liječenja imali T1 lezije naglašene gadolinijem (≤ 45 godina: HR 0,52 [0,27-1,00]; ≤ 46 godina [medijana uzrasta u studiji WA25046]: HR 0,48 [0,25-0,92]; &lt; 51 godine: HR 0,53 [0,31-0,89]).</w:t>
      </w:r>
    </w:p>
    <w:p w14:paraId="3DE3DDCD" w14:textId="77777777" w:rsidR="00D123D4" w:rsidRPr="00D123D4" w:rsidRDefault="00D123D4" w:rsidP="00D123D4">
      <w:pPr>
        <w:widowControl w:val="0"/>
        <w:jc w:val="both"/>
        <w:rPr>
          <w:sz w:val="22"/>
          <w:szCs w:val="22"/>
          <w:lang w:val="sr-Latn-ME"/>
        </w:rPr>
      </w:pPr>
    </w:p>
    <w:p w14:paraId="69C0CAAD" w14:textId="77777777" w:rsidR="00D123D4" w:rsidRPr="00D123D4" w:rsidRDefault="00D123D4" w:rsidP="00D123D4">
      <w:pPr>
        <w:widowControl w:val="0"/>
        <w:jc w:val="both"/>
        <w:rPr>
          <w:sz w:val="22"/>
          <w:szCs w:val="22"/>
          <w:lang w:val="sr-Latn-ME"/>
        </w:rPr>
      </w:pPr>
      <w:r w:rsidRPr="00D123D4">
        <w:rPr>
          <w:sz w:val="22"/>
          <w:szCs w:val="22"/>
          <w:lang w:val="sr-Latn-ME"/>
        </w:rPr>
        <w:t xml:space="preserve">Sprovedene su i </w:t>
      </w:r>
      <w:r w:rsidRPr="00D123D4">
        <w:rPr>
          <w:i/>
          <w:sz w:val="22"/>
          <w:szCs w:val="22"/>
          <w:lang w:val="sr-Latn-ME"/>
        </w:rPr>
        <w:t xml:space="preserve">post-hoc </w:t>
      </w:r>
      <w:r w:rsidRPr="00D123D4">
        <w:rPr>
          <w:sz w:val="22"/>
          <w:szCs w:val="22"/>
          <w:lang w:val="sr-Latn-ME"/>
        </w:rPr>
        <w:t xml:space="preserve">analize u produženom kontrolisanom periodu, koji uključuje period dvostruko slijepog liječenja i približno 9 dodatnih mjeseci kontrolisanog praćenja prije ulaska u otvoreni produžetak studije ili do prekida primjene ispitivane terapije. U 144. nedjelji dio pacijenata sa potvrđenom progresijom onesposobljenosti nakon 24. nedjelje uz EDSS ≥ 7,0 (vrijeme do zavisnosti od invalidskih kolica) iznosio je 9,1% u grupi koja je primala placebo i 4,8% u grupi liječenoj okrelizumabom, što ukazuje na smanjenje rizika od zavisnosti od invalidskih kolica za 47% (HR: 0.53 [0,31; 0,92]) tokom produženog kontrolisanog perioda. Budući da su dobijeni rezultati bili eksploracijske prirode i uključivali podatke nakon otkrivanja slijepe šifre liječenja (engl. </w:t>
      </w:r>
      <w:r w:rsidRPr="00D123D4">
        <w:rPr>
          <w:i/>
          <w:sz w:val="22"/>
          <w:szCs w:val="22"/>
          <w:lang w:val="sr-Latn-ME"/>
        </w:rPr>
        <w:t>unblinding</w:t>
      </w:r>
      <w:r w:rsidRPr="00D123D4">
        <w:rPr>
          <w:sz w:val="22"/>
          <w:szCs w:val="22"/>
          <w:lang w:val="sr-Latn-ME"/>
        </w:rPr>
        <w:t>), treba ih tumačiti uz oprez.</w:t>
      </w:r>
    </w:p>
    <w:p w14:paraId="242C3A72" w14:textId="77777777" w:rsidR="00D123D4" w:rsidRPr="00D123D4" w:rsidRDefault="00D123D4" w:rsidP="00D123D4">
      <w:pPr>
        <w:widowControl w:val="0"/>
        <w:jc w:val="both"/>
        <w:rPr>
          <w:sz w:val="22"/>
          <w:szCs w:val="22"/>
          <w:lang w:val="sr-Latn-ME"/>
        </w:rPr>
      </w:pPr>
    </w:p>
    <w:p w14:paraId="4FCAFAF5" w14:textId="77777777" w:rsidR="00D123D4" w:rsidRPr="00D123D4" w:rsidRDefault="00D123D4" w:rsidP="00D123D4">
      <w:pPr>
        <w:widowControl w:val="0"/>
        <w:jc w:val="both"/>
        <w:rPr>
          <w:i/>
          <w:sz w:val="22"/>
          <w:szCs w:val="20"/>
          <w:lang w:val="sr-Latn-ME" w:eastAsia="ja-JP"/>
        </w:rPr>
      </w:pPr>
      <w:r w:rsidRPr="00D123D4">
        <w:rPr>
          <w:i/>
          <w:sz w:val="22"/>
          <w:szCs w:val="20"/>
          <w:lang w:val="sr-Latn-ME" w:eastAsia="ja-JP"/>
        </w:rPr>
        <w:t>Podstudija kraće infuzije</w:t>
      </w:r>
    </w:p>
    <w:p w14:paraId="390A7726" w14:textId="77777777" w:rsidR="00D123D4" w:rsidRPr="00D123D4" w:rsidRDefault="00D123D4" w:rsidP="00D123D4">
      <w:pPr>
        <w:widowControl w:val="0"/>
        <w:jc w:val="both"/>
        <w:rPr>
          <w:i/>
          <w:sz w:val="22"/>
          <w:szCs w:val="20"/>
          <w:lang w:val="sr-Latn-ME" w:eastAsia="ja-JP"/>
        </w:rPr>
      </w:pPr>
    </w:p>
    <w:p w14:paraId="6189C717" w14:textId="77777777" w:rsidR="00D123D4" w:rsidRPr="00D123D4" w:rsidRDefault="00D123D4" w:rsidP="00D123D4">
      <w:pPr>
        <w:widowControl w:val="0"/>
        <w:jc w:val="both"/>
        <w:rPr>
          <w:sz w:val="22"/>
          <w:szCs w:val="20"/>
          <w:lang w:val="sr-Latn-ME" w:eastAsia="ja-JP"/>
        </w:rPr>
      </w:pPr>
      <w:r w:rsidRPr="00D123D4">
        <w:rPr>
          <w:sz w:val="22"/>
          <w:szCs w:val="20"/>
          <w:lang w:val="sr-Latn-ME" w:eastAsia="ja-JP"/>
        </w:rPr>
        <w:t>Sigurnost kraće (2</w:t>
      </w:r>
      <w:r w:rsidRPr="00D123D4">
        <w:rPr>
          <w:sz w:val="22"/>
          <w:szCs w:val="20"/>
          <w:lang w:val="sr-Latn-ME" w:eastAsia="ja-JP"/>
        </w:rPr>
        <w:noBreakHyphen/>
        <w:t>satne) infuzije okrelizumaba procjenjivana je u prospektivnoj, multicentričnoj, randomiziranoj, dvostruko slijepoj, kontrolisanoj podstudiji s paralelnim grupama, sprovedenoj u sklopu studije MA30143 (Ensemble) kod pacijenata sa relapsno</w:t>
      </w:r>
      <w:r w:rsidRPr="00D123D4">
        <w:rPr>
          <w:sz w:val="22"/>
          <w:szCs w:val="20"/>
          <w:lang w:val="sr-Latn-ME" w:eastAsia="ja-JP"/>
        </w:rPr>
        <w:noBreakHyphen/>
        <w:t>remitirajućom multiplom sklerozom koji prethodno nijesu bili liječeni drugim terapijama koje modifikuju tok bolesti. Prva doza bila je podijeljena na dvije infuzije od 300 mg (ukupno 600 mg) primijenjene s razmakom od 14 dana. Pacijenti su od druge doze nadalje (2. </w:t>
      </w:r>
      <w:r w:rsidRPr="00D123D4">
        <w:rPr>
          <w:sz w:val="22"/>
          <w:szCs w:val="20"/>
          <w:lang w:val="sr-Latn-ME" w:eastAsia="ja-JP"/>
        </w:rPr>
        <w:noBreakHyphen/>
        <w:t> 6. doza) randomizirani u odnosu 1:1 u grupu koja je primala standardne infuzije okrelizumaba u trajanju od približno 3,5 sati svake 24 nedjelje ili u grupu koja je primala kraće infuzije, u kojoj se okrelizumab primjenjivao tokom približno 2 sata svake 24 nedjelje. Randomizacija je bila stratifikovana prema regiji i dozi pri kojoj su pacijenti prvobitno randomizovani.</w:t>
      </w:r>
    </w:p>
    <w:p w14:paraId="7DA7B8D5" w14:textId="77777777" w:rsidR="00D123D4" w:rsidRPr="00D123D4" w:rsidRDefault="00D123D4" w:rsidP="00D123D4">
      <w:pPr>
        <w:widowControl w:val="0"/>
        <w:jc w:val="both"/>
        <w:rPr>
          <w:sz w:val="22"/>
          <w:szCs w:val="20"/>
          <w:lang w:val="sr-Latn-ME" w:eastAsia="ja-JP"/>
        </w:rPr>
      </w:pPr>
    </w:p>
    <w:p w14:paraId="1DA192A1" w14:textId="266AD0C5" w:rsidR="00D123D4" w:rsidRPr="00D123D4" w:rsidRDefault="00D123D4" w:rsidP="00D123D4">
      <w:pPr>
        <w:widowControl w:val="0"/>
        <w:jc w:val="both"/>
        <w:rPr>
          <w:sz w:val="22"/>
          <w:szCs w:val="20"/>
          <w:lang w:val="sr-Latn-ME" w:eastAsia="ja-JP"/>
        </w:rPr>
      </w:pPr>
      <w:r w:rsidRPr="00D123D4">
        <w:rPr>
          <w:sz w:val="22"/>
          <w:szCs w:val="20"/>
          <w:lang w:val="sr-Latn-ME" w:eastAsia="ja-JP"/>
        </w:rPr>
        <w:t xml:space="preserve">Primarna mjera ishoda bio je udio pacijenata sa reakcijama na infuziju koje su nastupile tokom primjene ili 24 sata od prve infuzije primijenjene nakon randomizacije. Primarna analiza sprovedena je nakon što je randomizirano 580 pacijenata. Udio pacijenata sa reakcijama na infuziju koje su nastupile tokom ili 24 sata nakon prve infuzije primijenjene nakon randomizacije iznosio je 24,6% u grupi koja je primala kraće infuzije u odnosu na 23,1% u onoj koja je primala standardne infuzije. Razlika među stratifikovanim grupama bila je slična. Sveukupno je kod svih doza primijenjenih nakon randomizacije većina reakcija na infuziju bila blage ili umjerene težine, </w:t>
      </w:r>
      <w:r w:rsidRPr="00D123D4">
        <w:rPr>
          <w:sz w:val="22"/>
          <w:lang w:val="sr-Latn-ME"/>
        </w:rPr>
        <w:t>dok se po jedna teška reakcija na infuziju javila u svakoj grupi</w:t>
      </w:r>
      <w:r w:rsidRPr="00D123D4">
        <w:rPr>
          <w:sz w:val="22"/>
          <w:szCs w:val="20"/>
          <w:lang w:val="sr-Latn-ME" w:eastAsia="ja-JP"/>
        </w:rPr>
        <w:t>. Nije bilo po život opasnih, smrtonosnih ni ozbiljnih reakcija na infuziju.</w:t>
      </w:r>
    </w:p>
    <w:p w14:paraId="5A82DCFD" w14:textId="77777777" w:rsidR="00D123D4" w:rsidRPr="00D123D4" w:rsidRDefault="00D123D4" w:rsidP="00D123D4">
      <w:pPr>
        <w:widowControl w:val="0"/>
        <w:jc w:val="both"/>
        <w:rPr>
          <w:sz w:val="22"/>
          <w:szCs w:val="22"/>
          <w:u w:val="single"/>
          <w:lang w:val="sr-Latn-ME"/>
        </w:rPr>
      </w:pPr>
    </w:p>
    <w:p w14:paraId="6964C015" w14:textId="77777777" w:rsidR="00D123D4" w:rsidRPr="00D123D4" w:rsidRDefault="00D123D4" w:rsidP="00D123D4">
      <w:pPr>
        <w:widowControl w:val="0"/>
        <w:jc w:val="both"/>
        <w:rPr>
          <w:sz w:val="22"/>
          <w:szCs w:val="22"/>
          <w:u w:val="single"/>
          <w:lang w:val="sr-Latn-ME"/>
        </w:rPr>
      </w:pPr>
      <w:r w:rsidRPr="00D123D4">
        <w:rPr>
          <w:sz w:val="22"/>
          <w:szCs w:val="22"/>
          <w:u w:val="single"/>
          <w:lang w:val="sr-Latn-ME"/>
        </w:rPr>
        <w:t xml:space="preserve">Imunogenost </w:t>
      </w:r>
    </w:p>
    <w:p w14:paraId="5929CE3A" w14:textId="77777777" w:rsidR="00D123D4" w:rsidRPr="00D123D4" w:rsidRDefault="00D123D4" w:rsidP="00D123D4">
      <w:pPr>
        <w:widowControl w:val="0"/>
        <w:jc w:val="both"/>
        <w:rPr>
          <w:sz w:val="22"/>
          <w:szCs w:val="22"/>
          <w:lang w:val="sr-Latn-ME"/>
        </w:rPr>
      </w:pPr>
    </w:p>
    <w:p w14:paraId="33D976CA" w14:textId="77777777" w:rsidR="00D123D4" w:rsidRPr="00D123D4" w:rsidRDefault="00D123D4" w:rsidP="00D123D4">
      <w:pPr>
        <w:widowControl w:val="0"/>
        <w:jc w:val="both"/>
        <w:rPr>
          <w:sz w:val="22"/>
          <w:szCs w:val="22"/>
          <w:lang w:val="sr-Latn-ME"/>
        </w:rPr>
      </w:pPr>
      <w:r w:rsidRPr="00D123D4">
        <w:rPr>
          <w:sz w:val="22"/>
          <w:szCs w:val="22"/>
          <w:lang w:val="sr-Latn-ME"/>
        </w:rPr>
        <w:t>Kod pacijenata uključenih u studije primjene kod MS-a (WA21092, WA21093 i WA25046) kod više vremenskih tačaka se (na početku studije i svakih 6 mjeseci nakon liječenja tokom studije) sprovodilo testiranje na antitijela na lijek. Od 1311 pacijenata liječenih okrelizumabom, njih 12 (~1%) bilo je pozitivno na antitijela na lijek koja su se razvila tokom liječenja, a 2 od tih 12 pacijenata bila su pozitivna na neutralizirajuća antitijela. Zbog niske učestalosti antitijela na lijek povezanih sa okrelizumabom, ne može se ocijeniti uticaj koji antitijela nastala tokom liječenja imaju na bezbjednost i efikasnost terapije.</w:t>
      </w:r>
    </w:p>
    <w:p w14:paraId="38AEF68E" w14:textId="77777777" w:rsidR="00D123D4" w:rsidRPr="00D123D4" w:rsidRDefault="00D123D4" w:rsidP="00D123D4">
      <w:pPr>
        <w:widowControl w:val="0"/>
        <w:jc w:val="both"/>
        <w:rPr>
          <w:sz w:val="22"/>
          <w:szCs w:val="22"/>
          <w:lang w:val="sr-Latn-ME"/>
        </w:rPr>
      </w:pPr>
    </w:p>
    <w:p w14:paraId="2B3570E4" w14:textId="77777777" w:rsidR="00D123D4" w:rsidRPr="00D123D4" w:rsidRDefault="00D123D4" w:rsidP="00D123D4">
      <w:pPr>
        <w:widowControl w:val="0"/>
        <w:jc w:val="both"/>
        <w:rPr>
          <w:sz w:val="22"/>
          <w:szCs w:val="22"/>
          <w:lang w:val="sr-Latn-ME"/>
        </w:rPr>
      </w:pPr>
      <w:r w:rsidRPr="00D123D4">
        <w:rPr>
          <w:sz w:val="22"/>
          <w:szCs w:val="22"/>
          <w:lang w:val="sr-Latn-ME"/>
        </w:rPr>
        <w:t>Imunizacija</w:t>
      </w:r>
    </w:p>
    <w:p w14:paraId="3C38A35C" w14:textId="77777777" w:rsidR="00D123D4" w:rsidRPr="00D123D4" w:rsidRDefault="00D123D4" w:rsidP="00D123D4">
      <w:pPr>
        <w:widowControl w:val="0"/>
        <w:jc w:val="both"/>
        <w:rPr>
          <w:sz w:val="22"/>
          <w:szCs w:val="22"/>
          <w:lang w:val="sr-Latn-ME"/>
        </w:rPr>
      </w:pPr>
    </w:p>
    <w:p w14:paraId="63DFD3AA" w14:textId="77777777" w:rsidR="00D123D4" w:rsidRPr="00D123D4" w:rsidRDefault="00D123D4" w:rsidP="00D123D4">
      <w:pPr>
        <w:widowControl w:val="0"/>
        <w:jc w:val="both"/>
        <w:rPr>
          <w:sz w:val="22"/>
          <w:szCs w:val="22"/>
          <w:lang w:val="sr-Latn-ME"/>
        </w:rPr>
      </w:pPr>
      <w:r w:rsidRPr="00D123D4">
        <w:rPr>
          <w:sz w:val="22"/>
          <w:szCs w:val="22"/>
          <w:lang w:val="sr-Latn-ME"/>
        </w:rPr>
        <w:t xml:space="preserve">U randomizovanoj studiji otvorenog tipa, pacijenti sa RMS-om (N=102), procenat pacijenata sa pozitivnim odgovorom na tetanusnu vakcinu 8 nedjelja nakon vakcinacije bio je 23,9% u grupi pacijenata liječenih okrelizumabom u poređenju sa 54,5% u kontrolnoj grupi (bez terapije koja modifikuje tok bolesti izuzev interferona beta). Geometrijske srednje vrijednosti titra specifičnih antitijela anti-tetanusnog toksoida 8 nedjelja nakon vakcinacije bile su 3,73 i 9,81 IU/ml, redom. </w:t>
      </w:r>
      <w:r w:rsidRPr="00D123D4">
        <w:rPr>
          <w:sz w:val="22"/>
          <w:szCs w:val="22"/>
          <w:lang w:val="sr-Latn-ME"/>
        </w:rPr>
        <w:lastRenderedPageBreak/>
        <w:t xml:space="preserve">Pozitivan odgovor na </w:t>
      </w:r>
      <w:r w:rsidRPr="00D123D4">
        <w:rPr>
          <w:rFonts w:eastAsia="SimSun"/>
          <w:sz w:val="22"/>
          <w:szCs w:val="22"/>
          <w:lang w:val="sr-Latn-ME"/>
        </w:rPr>
        <w:sym w:font="Symbol" w:char="F0B3"/>
      </w:r>
      <w:r w:rsidRPr="00D123D4">
        <w:rPr>
          <w:rFonts w:eastAsia="SimSun"/>
          <w:sz w:val="22"/>
          <w:szCs w:val="22"/>
          <w:lang w:val="sr-Latn-ME"/>
        </w:rPr>
        <w:t xml:space="preserve"> 5 </w:t>
      </w:r>
      <w:r w:rsidRPr="00D123D4">
        <w:rPr>
          <w:sz w:val="22"/>
          <w:szCs w:val="22"/>
          <w:lang w:val="sr-Latn-ME"/>
        </w:rPr>
        <w:t>serotipova kod 23-tPPV četvrte nedjelje nakon vakcinacije bio je 71,6% u grupi okrelizumaba i 100% u kontrolnoj grupi. Kod pacijenata liječenih okrelizumabom, buster vakcina (13-PCV) data 4 nedjelje nakon 23-PPV nije značajno pojačala odgovor na 12 serotipova u poređenju sa 23-PPV. Procenat pacijenata sa seroprotektivnim titrima protiv pet sojeva gripa varirao je od 20,0-60,0% i 16,7-43,8% prije vakcinacije a 4 nedjelje nakon vakcinacije varirao je 55,6-80,0% kod pacijenata liječenih okrelizumabom i 75,0-97,0% u kontrolnoj grupi. Vidjeti dijelove 4.4 i 4.5.</w:t>
      </w:r>
    </w:p>
    <w:p w14:paraId="1CC81965" w14:textId="77777777" w:rsidR="00D123D4" w:rsidRPr="00D123D4" w:rsidRDefault="00D123D4" w:rsidP="00D123D4">
      <w:pPr>
        <w:widowControl w:val="0"/>
        <w:jc w:val="both"/>
        <w:rPr>
          <w:sz w:val="22"/>
          <w:szCs w:val="22"/>
          <w:lang w:val="sr-Latn-ME"/>
        </w:rPr>
      </w:pPr>
    </w:p>
    <w:p w14:paraId="4382FC1A" w14:textId="77777777" w:rsidR="00D123D4" w:rsidRPr="00D123D4" w:rsidRDefault="00D123D4" w:rsidP="00D123D4">
      <w:pPr>
        <w:widowControl w:val="0"/>
        <w:jc w:val="both"/>
        <w:rPr>
          <w:sz w:val="22"/>
          <w:szCs w:val="22"/>
          <w:u w:val="single"/>
          <w:lang w:val="sr-Latn-ME"/>
        </w:rPr>
      </w:pPr>
      <w:r w:rsidRPr="00D123D4">
        <w:rPr>
          <w:sz w:val="22"/>
          <w:szCs w:val="22"/>
          <w:u w:val="single"/>
          <w:lang w:val="sr-Latn-ME"/>
        </w:rPr>
        <w:t>Pedijatrijska populacija</w:t>
      </w:r>
    </w:p>
    <w:p w14:paraId="130E4511" w14:textId="77777777" w:rsidR="00D123D4" w:rsidRPr="00D123D4" w:rsidRDefault="00D123D4" w:rsidP="00D123D4">
      <w:pPr>
        <w:widowControl w:val="0"/>
        <w:jc w:val="both"/>
        <w:rPr>
          <w:sz w:val="22"/>
          <w:szCs w:val="22"/>
          <w:lang w:val="sr-Latn-ME"/>
        </w:rPr>
      </w:pPr>
    </w:p>
    <w:p w14:paraId="257C6BED" w14:textId="77777777" w:rsidR="00D123D4" w:rsidRPr="00D123D4" w:rsidRDefault="00D123D4" w:rsidP="00D123D4">
      <w:pPr>
        <w:widowControl w:val="0"/>
        <w:jc w:val="both"/>
        <w:rPr>
          <w:sz w:val="22"/>
          <w:szCs w:val="22"/>
          <w:lang w:val="sr-Latn-ME"/>
        </w:rPr>
      </w:pPr>
      <w:r w:rsidRPr="00D123D4">
        <w:rPr>
          <w:sz w:val="22"/>
          <w:szCs w:val="22"/>
          <w:lang w:val="sr-Latn-ME"/>
        </w:rPr>
        <w:t>Evropska agencija za ljekove odložila je obvezu podnošenja rezultata ispitivanja okrelizumaba u jednoj ili više podgrupa pedijatrijske populacije za liječenje multiple skleroze. Vidjeti dio 4.2 za informacije o pedijatrijskoj primjeni.</w:t>
      </w:r>
    </w:p>
    <w:p w14:paraId="1767D9E4" w14:textId="77777777" w:rsidR="00D123D4" w:rsidRDefault="00D123D4" w:rsidP="00D123D4">
      <w:pPr>
        <w:widowControl w:val="0"/>
        <w:tabs>
          <w:tab w:val="left" w:pos="284"/>
          <w:tab w:val="center" w:pos="4320"/>
          <w:tab w:val="right" w:pos="8640"/>
        </w:tabs>
        <w:jc w:val="both"/>
        <w:rPr>
          <w:b/>
          <w:bCs/>
          <w:sz w:val="22"/>
          <w:szCs w:val="22"/>
          <w:lang w:val="sr-Latn-ME"/>
        </w:rPr>
      </w:pPr>
    </w:p>
    <w:p w14:paraId="112D349B" w14:textId="20C3ED00" w:rsidR="00D123D4" w:rsidRPr="00D123D4" w:rsidRDefault="00D123D4" w:rsidP="00D123D4">
      <w:pPr>
        <w:widowControl w:val="0"/>
        <w:tabs>
          <w:tab w:val="left" w:pos="284"/>
          <w:tab w:val="center" w:pos="4320"/>
          <w:tab w:val="right" w:pos="8640"/>
        </w:tabs>
        <w:jc w:val="both"/>
        <w:rPr>
          <w:b/>
          <w:bCs/>
          <w:sz w:val="22"/>
          <w:szCs w:val="22"/>
          <w:lang w:val="sr-Latn-ME"/>
        </w:rPr>
      </w:pPr>
      <w:r w:rsidRPr="00D123D4">
        <w:rPr>
          <w:b/>
          <w:bCs/>
          <w:sz w:val="22"/>
          <w:szCs w:val="22"/>
          <w:lang w:val="sr-Latn-ME"/>
        </w:rPr>
        <w:t>5.2. Farmakokinetički podaci</w:t>
      </w:r>
    </w:p>
    <w:p w14:paraId="0E47D8C2" w14:textId="77777777" w:rsidR="00D123D4" w:rsidRPr="00D123D4" w:rsidRDefault="00D123D4" w:rsidP="00D123D4">
      <w:pPr>
        <w:widowControl w:val="0"/>
        <w:jc w:val="both"/>
        <w:rPr>
          <w:sz w:val="22"/>
          <w:szCs w:val="22"/>
          <w:lang w:val="sr-Latn-ME"/>
        </w:rPr>
      </w:pPr>
    </w:p>
    <w:p w14:paraId="755331A9" w14:textId="77777777" w:rsidR="00D123D4" w:rsidRPr="00D123D4" w:rsidRDefault="00D123D4" w:rsidP="00D123D4">
      <w:pPr>
        <w:widowControl w:val="0"/>
        <w:jc w:val="both"/>
        <w:rPr>
          <w:sz w:val="22"/>
          <w:szCs w:val="22"/>
          <w:lang w:val="sr-Latn-ME"/>
        </w:rPr>
      </w:pPr>
      <w:r w:rsidRPr="00D123D4">
        <w:rPr>
          <w:sz w:val="22"/>
          <w:szCs w:val="22"/>
          <w:lang w:val="sr-Latn-ME"/>
        </w:rPr>
        <w:t xml:space="preserve">Farmakokinetika okrelizumaba u studijama kod MS-a opisana je modelom sa dva dijela i klirensom zavisnim od vremena kao i farmakokinetičkim parametrima karakterističnim za IgG1 monoklonsko antitijelo. </w:t>
      </w:r>
    </w:p>
    <w:p w14:paraId="13A52086" w14:textId="77777777" w:rsidR="00D123D4" w:rsidRPr="00D123D4" w:rsidRDefault="00D123D4" w:rsidP="00D123D4">
      <w:pPr>
        <w:widowControl w:val="0"/>
        <w:jc w:val="both"/>
        <w:rPr>
          <w:sz w:val="22"/>
          <w:szCs w:val="22"/>
          <w:lang w:val="sr-Latn-ME"/>
        </w:rPr>
      </w:pPr>
    </w:p>
    <w:p w14:paraId="40DD7F89" w14:textId="77777777" w:rsidR="00D123D4" w:rsidRPr="00D123D4" w:rsidRDefault="00D123D4" w:rsidP="00D123D4">
      <w:pPr>
        <w:widowControl w:val="0"/>
        <w:jc w:val="both"/>
        <w:rPr>
          <w:sz w:val="22"/>
          <w:szCs w:val="22"/>
          <w:lang w:val="sr-Latn-ME"/>
        </w:rPr>
      </w:pPr>
      <w:r w:rsidRPr="00D123D4">
        <w:rPr>
          <w:sz w:val="22"/>
          <w:szCs w:val="22"/>
          <w:lang w:val="sr-Latn-ME"/>
        </w:rPr>
        <w:t>Sveukupna izloženost (PIK tokom 24 nedjeljnog intervala doziranja) bila je identična uz režim primjene 2 x 300 mg u studiji kod PPMS- a i uz režim primjene 1 x 600 mg u studiji kod RMS-a, što je i očekivano s obzirom na to da se primjenjivala identična doza. Površina ispod krive (PIKτ) nakon 4. doze okrelizumaba od 600 mg iznosilo je 3510 µg/ml•dan, dok je srednja vrijednost najviše koncentracije (C</w:t>
      </w:r>
      <w:r w:rsidRPr="00D123D4">
        <w:rPr>
          <w:sz w:val="22"/>
          <w:szCs w:val="22"/>
          <w:vertAlign w:val="subscript"/>
          <w:lang w:val="sr-Latn-ME"/>
        </w:rPr>
        <w:t>max</w:t>
      </w:r>
      <w:r w:rsidRPr="00D123D4">
        <w:rPr>
          <w:sz w:val="22"/>
          <w:szCs w:val="22"/>
          <w:lang w:val="sr-Latn-ME"/>
        </w:rPr>
        <w:t xml:space="preserve">) iznosila 212 µg/ml kod RMS-a (infuzije od 600 mg) i 141 µg/ml kod PPMS-a (infuzije od 300 mg). </w:t>
      </w:r>
    </w:p>
    <w:p w14:paraId="0C726FDB" w14:textId="77777777" w:rsidR="00D123D4" w:rsidRPr="00D123D4" w:rsidRDefault="00D123D4" w:rsidP="00D123D4">
      <w:pPr>
        <w:widowControl w:val="0"/>
        <w:jc w:val="both"/>
        <w:rPr>
          <w:sz w:val="22"/>
          <w:szCs w:val="22"/>
          <w:lang w:val="sr-Latn-ME"/>
        </w:rPr>
      </w:pPr>
      <w:r w:rsidRPr="00D123D4">
        <w:rPr>
          <w:sz w:val="22"/>
          <w:szCs w:val="22"/>
          <w:lang w:val="sr-Latn-ME"/>
        </w:rPr>
        <w:tab/>
      </w:r>
    </w:p>
    <w:p w14:paraId="1D39EA2B" w14:textId="77777777" w:rsidR="00D123D4" w:rsidRPr="00D123D4" w:rsidRDefault="00D123D4" w:rsidP="00D123D4">
      <w:pPr>
        <w:widowControl w:val="0"/>
        <w:jc w:val="both"/>
        <w:rPr>
          <w:sz w:val="22"/>
          <w:szCs w:val="22"/>
          <w:u w:val="single"/>
          <w:lang w:val="sr-Latn-ME"/>
        </w:rPr>
      </w:pPr>
      <w:r w:rsidRPr="00D123D4">
        <w:rPr>
          <w:sz w:val="22"/>
          <w:szCs w:val="22"/>
          <w:u w:val="single"/>
          <w:lang w:val="sr-Latn-ME"/>
        </w:rPr>
        <w:t xml:space="preserve">Resorpcija </w:t>
      </w:r>
    </w:p>
    <w:p w14:paraId="51D943A5" w14:textId="77777777" w:rsidR="00D123D4" w:rsidRPr="00D123D4" w:rsidRDefault="00D123D4" w:rsidP="00D123D4">
      <w:pPr>
        <w:widowControl w:val="0"/>
        <w:jc w:val="both"/>
        <w:rPr>
          <w:sz w:val="22"/>
          <w:szCs w:val="22"/>
          <w:lang w:val="sr-Latn-ME"/>
        </w:rPr>
      </w:pPr>
      <w:r w:rsidRPr="00D123D4">
        <w:rPr>
          <w:sz w:val="22"/>
          <w:szCs w:val="22"/>
          <w:lang w:val="sr-Latn-ME"/>
        </w:rPr>
        <w:tab/>
      </w:r>
    </w:p>
    <w:p w14:paraId="1704EA7C" w14:textId="77777777" w:rsidR="00D123D4" w:rsidRPr="00D123D4" w:rsidRDefault="00D123D4" w:rsidP="00D123D4">
      <w:pPr>
        <w:widowControl w:val="0"/>
        <w:jc w:val="both"/>
        <w:rPr>
          <w:sz w:val="22"/>
          <w:szCs w:val="22"/>
          <w:lang w:val="sr-Latn-ME"/>
        </w:rPr>
      </w:pPr>
      <w:r w:rsidRPr="00D123D4">
        <w:rPr>
          <w:sz w:val="22"/>
          <w:szCs w:val="22"/>
          <w:lang w:val="sr-Latn-ME"/>
        </w:rPr>
        <w:t xml:space="preserve">Okrelizumab se primjenjuje u obliku intravenske infuzije. </w:t>
      </w:r>
    </w:p>
    <w:p w14:paraId="32A44CD9" w14:textId="77777777" w:rsidR="00D123D4" w:rsidRPr="00D123D4" w:rsidRDefault="00D123D4" w:rsidP="00D123D4">
      <w:pPr>
        <w:widowControl w:val="0"/>
        <w:jc w:val="both"/>
        <w:rPr>
          <w:sz w:val="22"/>
          <w:szCs w:val="22"/>
          <w:lang w:val="sr-Latn-ME"/>
        </w:rPr>
      </w:pPr>
      <w:r w:rsidRPr="00D123D4">
        <w:rPr>
          <w:sz w:val="22"/>
          <w:szCs w:val="22"/>
          <w:lang w:val="sr-Latn-ME"/>
        </w:rPr>
        <w:tab/>
      </w:r>
    </w:p>
    <w:p w14:paraId="6424E457" w14:textId="77777777" w:rsidR="00D123D4" w:rsidRPr="00D123D4" w:rsidRDefault="00D123D4" w:rsidP="00D123D4">
      <w:pPr>
        <w:widowControl w:val="0"/>
        <w:jc w:val="both"/>
        <w:rPr>
          <w:sz w:val="22"/>
          <w:szCs w:val="22"/>
          <w:u w:val="single"/>
          <w:lang w:val="sr-Latn-ME"/>
        </w:rPr>
      </w:pPr>
      <w:r w:rsidRPr="00D123D4">
        <w:rPr>
          <w:sz w:val="22"/>
          <w:szCs w:val="22"/>
          <w:u w:val="single"/>
          <w:lang w:val="sr-Latn-ME"/>
        </w:rPr>
        <w:t xml:space="preserve">Distribucija </w:t>
      </w:r>
    </w:p>
    <w:p w14:paraId="7658D0B1" w14:textId="77777777" w:rsidR="00D123D4" w:rsidRPr="00D123D4" w:rsidRDefault="00D123D4" w:rsidP="00D123D4">
      <w:pPr>
        <w:widowControl w:val="0"/>
        <w:jc w:val="both"/>
        <w:rPr>
          <w:sz w:val="22"/>
          <w:szCs w:val="22"/>
          <w:lang w:val="sr-Latn-ME"/>
        </w:rPr>
      </w:pPr>
      <w:r w:rsidRPr="00D123D4">
        <w:rPr>
          <w:sz w:val="22"/>
          <w:szCs w:val="22"/>
          <w:lang w:val="sr-Latn-ME"/>
        </w:rPr>
        <w:tab/>
      </w:r>
    </w:p>
    <w:p w14:paraId="484B1681" w14:textId="77777777" w:rsidR="00D123D4" w:rsidRPr="00D123D4" w:rsidRDefault="00D123D4" w:rsidP="00D123D4">
      <w:pPr>
        <w:widowControl w:val="0"/>
        <w:jc w:val="both"/>
        <w:rPr>
          <w:sz w:val="22"/>
          <w:szCs w:val="22"/>
          <w:lang w:val="sr-Latn-ME"/>
        </w:rPr>
      </w:pPr>
      <w:r w:rsidRPr="00D123D4">
        <w:rPr>
          <w:sz w:val="22"/>
          <w:szCs w:val="22"/>
          <w:lang w:val="sr-Latn-ME"/>
        </w:rPr>
        <w:t xml:space="preserve">Prema farmakokinetičkoj populacionoj analizi, procijenjeni srednji volumen distribucije iznosio je 2,78 l. Procijenjeni periferni volumen iznosio je 2,68 l, a klirens između djelova 0,294 l/dan. </w:t>
      </w:r>
    </w:p>
    <w:p w14:paraId="26CA030E" w14:textId="77777777" w:rsidR="00D123D4" w:rsidRDefault="00D123D4" w:rsidP="00D123D4">
      <w:pPr>
        <w:widowControl w:val="0"/>
        <w:jc w:val="both"/>
        <w:rPr>
          <w:sz w:val="22"/>
          <w:szCs w:val="22"/>
          <w:u w:val="single"/>
          <w:lang w:val="sr-Latn-ME"/>
        </w:rPr>
      </w:pPr>
    </w:p>
    <w:p w14:paraId="17377757" w14:textId="6CD4478E" w:rsidR="00D123D4" w:rsidRPr="00D123D4" w:rsidRDefault="00D123D4" w:rsidP="00D123D4">
      <w:pPr>
        <w:widowControl w:val="0"/>
        <w:jc w:val="both"/>
        <w:rPr>
          <w:sz w:val="22"/>
          <w:szCs w:val="22"/>
          <w:u w:val="single"/>
          <w:lang w:val="sr-Latn-ME"/>
        </w:rPr>
      </w:pPr>
      <w:r w:rsidRPr="00D123D4">
        <w:rPr>
          <w:sz w:val="22"/>
          <w:szCs w:val="22"/>
          <w:u w:val="single"/>
          <w:lang w:val="sr-Latn-ME"/>
        </w:rPr>
        <w:t xml:space="preserve">Biotransformacija </w:t>
      </w:r>
    </w:p>
    <w:p w14:paraId="45E9FFA6" w14:textId="77777777" w:rsidR="00D123D4" w:rsidRPr="00D123D4" w:rsidRDefault="00D123D4" w:rsidP="00D123D4">
      <w:pPr>
        <w:widowControl w:val="0"/>
        <w:jc w:val="both"/>
        <w:rPr>
          <w:sz w:val="22"/>
          <w:szCs w:val="22"/>
          <w:lang w:val="sr-Latn-ME"/>
        </w:rPr>
      </w:pPr>
      <w:r w:rsidRPr="00D123D4">
        <w:rPr>
          <w:sz w:val="22"/>
          <w:szCs w:val="22"/>
          <w:lang w:val="sr-Latn-ME"/>
        </w:rPr>
        <w:tab/>
      </w:r>
    </w:p>
    <w:p w14:paraId="3D01623D" w14:textId="77777777" w:rsidR="00D123D4" w:rsidRPr="00D123D4" w:rsidRDefault="00D123D4" w:rsidP="00D123D4">
      <w:pPr>
        <w:widowControl w:val="0"/>
        <w:jc w:val="both"/>
        <w:rPr>
          <w:sz w:val="22"/>
          <w:szCs w:val="22"/>
          <w:lang w:val="sr-Latn-ME"/>
        </w:rPr>
      </w:pPr>
      <w:r w:rsidRPr="00D123D4">
        <w:rPr>
          <w:sz w:val="22"/>
          <w:szCs w:val="22"/>
          <w:lang w:val="sr-Latn-ME"/>
        </w:rPr>
        <w:t>Metabolizam okrelizumaba se nije direktno ispitivao jer se antitijela prvenstveno eliminišu katabolizmom (tj. razgradnjom na peptide i aminokiseline).</w:t>
      </w:r>
    </w:p>
    <w:p w14:paraId="79229D51" w14:textId="77777777" w:rsidR="00D123D4" w:rsidRPr="00D123D4" w:rsidRDefault="00D123D4" w:rsidP="00D123D4">
      <w:pPr>
        <w:widowControl w:val="0"/>
        <w:jc w:val="both"/>
        <w:rPr>
          <w:sz w:val="22"/>
          <w:szCs w:val="22"/>
          <w:lang w:val="sr-Latn-ME"/>
        </w:rPr>
      </w:pPr>
      <w:r w:rsidRPr="00D123D4">
        <w:rPr>
          <w:sz w:val="22"/>
          <w:szCs w:val="22"/>
          <w:lang w:val="sr-Latn-ME"/>
        </w:rPr>
        <w:tab/>
      </w:r>
    </w:p>
    <w:p w14:paraId="3FFA207D" w14:textId="77777777" w:rsidR="00D123D4" w:rsidRPr="00D123D4" w:rsidRDefault="00D123D4" w:rsidP="00D123D4">
      <w:pPr>
        <w:widowControl w:val="0"/>
        <w:jc w:val="both"/>
        <w:rPr>
          <w:sz w:val="22"/>
          <w:szCs w:val="22"/>
          <w:u w:val="single"/>
          <w:lang w:val="sr-Latn-ME"/>
        </w:rPr>
      </w:pPr>
      <w:r w:rsidRPr="00D123D4">
        <w:rPr>
          <w:sz w:val="22"/>
          <w:szCs w:val="22"/>
          <w:u w:val="single"/>
          <w:lang w:val="sr-Latn-ME"/>
        </w:rPr>
        <w:t xml:space="preserve">Eliminacija </w:t>
      </w:r>
    </w:p>
    <w:p w14:paraId="79BD432F" w14:textId="77777777" w:rsidR="00D123D4" w:rsidRPr="00D123D4" w:rsidRDefault="00D123D4" w:rsidP="00D123D4">
      <w:pPr>
        <w:widowControl w:val="0"/>
        <w:jc w:val="both"/>
        <w:rPr>
          <w:sz w:val="22"/>
          <w:szCs w:val="22"/>
          <w:lang w:val="sr-Latn-ME"/>
        </w:rPr>
      </w:pPr>
      <w:r w:rsidRPr="00D123D4">
        <w:rPr>
          <w:sz w:val="22"/>
          <w:szCs w:val="22"/>
          <w:lang w:val="sr-Latn-ME"/>
        </w:rPr>
        <w:tab/>
      </w:r>
    </w:p>
    <w:p w14:paraId="6CC751DD" w14:textId="77777777" w:rsidR="00D123D4" w:rsidRPr="00D123D4" w:rsidRDefault="00D123D4" w:rsidP="00D123D4">
      <w:pPr>
        <w:widowControl w:val="0"/>
        <w:jc w:val="both"/>
        <w:rPr>
          <w:sz w:val="22"/>
          <w:szCs w:val="22"/>
          <w:lang w:val="sr-Latn-ME"/>
        </w:rPr>
      </w:pPr>
      <w:r w:rsidRPr="00D123D4">
        <w:rPr>
          <w:sz w:val="22"/>
          <w:szCs w:val="22"/>
          <w:lang w:val="sr-Latn-ME"/>
        </w:rPr>
        <w:t xml:space="preserve">Procijenjeni stalni klirens iznosio je 0,17 l/dan, dok je procijenjeni početni klirens zavisan od vremena iznosio 0,0489 l/dan, a smanjivao se uz poluvrijeme eliminacije od 33 nedjelje. Terminalno poluvrijeme eliminacije okrelizumaba iznosilo je 26 dana. </w:t>
      </w:r>
    </w:p>
    <w:p w14:paraId="359C8BCA" w14:textId="77777777" w:rsidR="00D123D4" w:rsidRPr="00D123D4" w:rsidRDefault="00D123D4" w:rsidP="00D123D4">
      <w:pPr>
        <w:widowControl w:val="0"/>
        <w:jc w:val="both"/>
        <w:rPr>
          <w:sz w:val="22"/>
          <w:szCs w:val="22"/>
          <w:lang w:val="sr-Latn-ME"/>
        </w:rPr>
      </w:pPr>
      <w:r w:rsidRPr="00D123D4">
        <w:rPr>
          <w:sz w:val="22"/>
          <w:szCs w:val="22"/>
          <w:lang w:val="sr-Latn-ME"/>
        </w:rPr>
        <w:tab/>
      </w:r>
    </w:p>
    <w:p w14:paraId="51AB8BA4" w14:textId="77777777" w:rsidR="00D123D4" w:rsidRPr="00D123D4" w:rsidRDefault="00D123D4" w:rsidP="00D123D4">
      <w:pPr>
        <w:widowControl w:val="0"/>
        <w:jc w:val="both"/>
        <w:rPr>
          <w:sz w:val="22"/>
          <w:szCs w:val="22"/>
          <w:u w:val="single"/>
          <w:lang w:val="sr-Latn-ME"/>
        </w:rPr>
      </w:pPr>
      <w:r w:rsidRPr="00D123D4">
        <w:rPr>
          <w:sz w:val="22"/>
          <w:szCs w:val="22"/>
          <w:u w:val="single"/>
          <w:lang w:val="sr-Latn-ME"/>
        </w:rPr>
        <w:t xml:space="preserve">Posebne populacije </w:t>
      </w:r>
    </w:p>
    <w:p w14:paraId="3D18E274" w14:textId="77777777" w:rsidR="00D123D4" w:rsidRPr="00D123D4" w:rsidRDefault="00D123D4" w:rsidP="00D123D4">
      <w:pPr>
        <w:widowControl w:val="0"/>
        <w:jc w:val="both"/>
        <w:rPr>
          <w:sz w:val="22"/>
          <w:szCs w:val="22"/>
          <w:lang w:val="sr-Latn-ME"/>
        </w:rPr>
      </w:pPr>
      <w:r w:rsidRPr="00D123D4">
        <w:rPr>
          <w:sz w:val="22"/>
          <w:szCs w:val="22"/>
          <w:lang w:val="sr-Latn-ME"/>
        </w:rPr>
        <w:tab/>
      </w:r>
    </w:p>
    <w:p w14:paraId="7EB447BD" w14:textId="77777777" w:rsidR="00D123D4" w:rsidRPr="00D123D4" w:rsidRDefault="00D123D4" w:rsidP="00D123D4">
      <w:pPr>
        <w:widowControl w:val="0"/>
        <w:jc w:val="both"/>
        <w:rPr>
          <w:i/>
          <w:sz w:val="22"/>
          <w:szCs w:val="22"/>
          <w:lang w:val="sr-Latn-ME"/>
        </w:rPr>
      </w:pPr>
      <w:r w:rsidRPr="00D123D4">
        <w:rPr>
          <w:i/>
          <w:sz w:val="22"/>
          <w:szCs w:val="22"/>
          <w:lang w:val="sr-Latn-ME"/>
        </w:rPr>
        <w:t>Pedijatrijska populacija</w:t>
      </w:r>
    </w:p>
    <w:p w14:paraId="6531286D" w14:textId="77777777" w:rsidR="00D123D4" w:rsidRPr="00D123D4" w:rsidRDefault="00D123D4" w:rsidP="00D123D4">
      <w:pPr>
        <w:widowControl w:val="0"/>
        <w:jc w:val="both"/>
        <w:rPr>
          <w:sz w:val="22"/>
          <w:szCs w:val="22"/>
          <w:lang w:val="sr-Latn-ME"/>
        </w:rPr>
      </w:pPr>
    </w:p>
    <w:p w14:paraId="29E8C6B9" w14:textId="77777777" w:rsidR="00D123D4" w:rsidRPr="00D123D4" w:rsidRDefault="00D123D4" w:rsidP="00D123D4">
      <w:pPr>
        <w:widowControl w:val="0"/>
        <w:jc w:val="both"/>
        <w:rPr>
          <w:sz w:val="22"/>
          <w:szCs w:val="22"/>
          <w:lang w:val="sr-Latn-ME"/>
        </w:rPr>
      </w:pPr>
      <w:r w:rsidRPr="00D123D4">
        <w:rPr>
          <w:sz w:val="22"/>
          <w:szCs w:val="22"/>
          <w:lang w:val="sr-Latn-ME"/>
        </w:rPr>
        <w:t>Nijesu sprovedene studije kojim bi se ocijenila farmakokinetika okrelizumaba kod djece i adolescenata mlađih od 18 godina.</w:t>
      </w:r>
    </w:p>
    <w:p w14:paraId="621C7AFA" w14:textId="77777777" w:rsidR="00D123D4" w:rsidRPr="00D123D4" w:rsidRDefault="00D123D4" w:rsidP="00D123D4">
      <w:pPr>
        <w:widowControl w:val="0"/>
        <w:jc w:val="both"/>
        <w:rPr>
          <w:sz w:val="22"/>
          <w:szCs w:val="22"/>
          <w:lang w:val="sr-Latn-ME"/>
        </w:rPr>
      </w:pPr>
    </w:p>
    <w:p w14:paraId="79A6A581" w14:textId="77777777" w:rsidR="00D123D4" w:rsidRPr="00D123D4" w:rsidRDefault="00D123D4" w:rsidP="00D123D4">
      <w:pPr>
        <w:widowControl w:val="0"/>
        <w:jc w:val="both"/>
        <w:rPr>
          <w:i/>
          <w:sz w:val="22"/>
          <w:szCs w:val="22"/>
          <w:lang w:val="sr-Latn-ME"/>
        </w:rPr>
      </w:pPr>
      <w:r w:rsidRPr="00D123D4">
        <w:rPr>
          <w:i/>
          <w:sz w:val="22"/>
          <w:szCs w:val="22"/>
          <w:lang w:val="sr-Latn-ME"/>
        </w:rPr>
        <w:t>Starije osobe</w:t>
      </w:r>
    </w:p>
    <w:p w14:paraId="09283A28" w14:textId="77777777" w:rsidR="00D123D4" w:rsidRPr="00D123D4" w:rsidRDefault="00D123D4" w:rsidP="00D123D4">
      <w:pPr>
        <w:widowControl w:val="0"/>
        <w:jc w:val="both"/>
        <w:rPr>
          <w:sz w:val="22"/>
          <w:szCs w:val="22"/>
          <w:lang w:val="sr-Latn-ME"/>
        </w:rPr>
      </w:pPr>
    </w:p>
    <w:p w14:paraId="674BC069" w14:textId="77777777" w:rsidR="00D123D4" w:rsidRPr="00D123D4" w:rsidRDefault="00D123D4" w:rsidP="00D123D4">
      <w:pPr>
        <w:widowControl w:val="0"/>
        <w:jc w:val="both"/>
        <w:rPr>
          <w:sz w:val="22"/>
          <w:szCs w:val="22"/>
          <w:lang w:val="sr-Latn-ME"/>
        </w:rPr>
      </w:pPr>
      <w:r w:rsidRPr="00D123D4">
        <w:rPr>
          <w:sz w:val="22"/>
          <w:szCs w:val="22"/>
          <w:lang w:val="sr-Latn-ME"/>
        </w:rPr>
        <w:t>Nijesu sprovedene posebne farmakokinetičke studije primjene okrelizumaba kod pacijenata uzrasta od ≥ 55 godina zbog ograničenog kliničkog iskustva (vidjeti dio 4.2).</w:t>
      </w:r>
    </w:p>
    <w:p w14:paraId="6021589B" w14:textId="77777777" w:rsidR="00D123D4" w:rsidRPr="00D123D4" w:rsidRDefault="00D123D4" w:rsidP="00D123D4">
      <w:pPr>
        <w:widowControl w:val="0"/>
        <w:jc w:val="both"/>
        <w:rPr>
          <w:sz w:val="22"/>
          <w:szCs w:val="22"/>
          <w:lang w:val="sr-Latn-ME"/>
        </w:rPr>
      </w:pPr>
    </w:p>
    <w:p w14:paraId="7A5111B0" w14:textId="77777777" w:rsidR="00D123D4" w:rsidRPr="00D123D4" w:rsidRDefault="00D123D4" w:rsidP="00D123D4">
      <w:pPr>
        <w:widowControl w:val="0"/>
        <w:jc w:val="both"/>
        <w:rPr>
          <w:i/>
          <w:sz w:val="22"/>
          <w:szCs w:val="22"/>
          <w:lang w:val="sr-Latn-ME"/>
        </w:rPr>
      </w:pPr>
      <w:r w:rsidRPr="00D123D4">
        <w:rPr>
          <w:i/>
          <w:sz w:val="22"/>
          <w:szCs w:val="22"/>
          <w:lang w:val="sr-Latn-ME"/>
        </w:rPr>
        <w:t>Oštećenje funkcije bubrega</w:t>
      </w:r>
    </w:p>
    <w:p w14:paraId="132095E9" w14:textId="77777777" w:rsidR="00D123D4" w:rsidRPr="00D123D4" w:rsidRDefault="00D123D4" w:rsidP="00D123D4">
      <w:pPr>
        <w:widowControl w:val="0"/>
        <w:jc w:val="both"/>
        <w:rPr>
          <w:sz w:val="22"/>
          <w:szCs w:val="22"/>
          <w:lang w:val="sr-Latn-ME"/>
        </w:rPr>
      </w:pPr>
    </w:p>
    <w:p w14:paraId="6423C09E" w14:textId="77777777" w:rsidR="00D123D4" w:rsidRPr="00D123D4" w:rsidRDefault="00D123D4" w:rsidP="00D123D4">
      <w:pPr>
        <w:widowControl w:val="0"/>
        <w:jc w:val="both"/>
        <w:rPr>
          <w:sz w:val="22"/>
          <w:szCs w:val="22"/>
          <w:lang w:val="sr-Latn-ME"/>
        </w:rPr>
      </w:pPr>
      <w:r w:rsidRPr="00D123D4">
        <w:rPr>
          <w:sz w:val="22"/>
          <w:szCs w:val="22"/>
          <w:lang w:val="sr-Latn-ME"/>
        </w:rPr>
        <w:t>Nije sprovedena formalna  farmakokinetička studija. U kliničke studije su bili uključeni pacijenti sa blagim oštećenjem bubrežne funkcije, kod kojih nije primijećena promjena u farmakokinetici okrelizumaba. Nema dostupnih farmakokinetičkih podataka kod pacijenata sa umjerenim ili teškim oštećenjem bubrežne funkcije.</w:t>
      </w:r>
    </w:p>
    <w:p w14:paraId="4AA15759" w14:textId="77777777" w:rsidR="00D123D4" w:rsidRPr="00D123D4" w:rsidRDefault="00D123D4" w:rsidP="00D123D4">
      <w:pPr>
        <w:widowControl w:val="0"/>
        <w:jc w:val="both"/>
        <w:rPr>
          <w:sz w:val="22"/>
          <w:szCs w:val="22"/>
          <w:lang w:val="sr-Latn-ME"/>
        </w:rPr>
      </w:pPr>
    </w:p>
    <w:p w14:paraId="2AA0C507" w14:textId="77777777" w:rsidR="00D123D4" w:rsidRPr="00D123D4" w:rsidRDefault="00D123D4" w:rsidP="00D123D4">
      <w:pPr>
        <w:widowControl w:val="0"/>
        <w:jc w:val="both"/>
        <w:rPr>
          <w:i/>
          <w:sz w:val="22"/>
          <w:szCs w:val="22"/>
          <w:lang w:val="sr-Latn-ME"/>
        </w:rPr>
      </w:pPr>
      <w:r w:rsidRPr="00D123D4">
        <w:rPr>
          <w:i/>
          <w:sz w:val="22"/>
          <w:szCs w:val="22"/>
          <w:lang w:val="sr-Latn-ME"/>
        </w:rPr>
        <w:t>Oštećenje funkcije jetre</w:t>
      </w:r>
    </w:p>
    <w:p w14:paraId="74B37342" w14:textId="77777777" w:rsidR="00D123D4" w:rsidRPr="00D123D4" w:rsidRDefault="00D123D4" w:rsidP="00D123D4">
      <w:pPr>
        <w:widowControl w:val="0"/>
        <w:jc w:val="both"/>
        <w:rPr>
          <w:sz w:val="22"/>
          <w:szCs w:val="22"/>
          <w:lang w:val="sr-Latn-ME"/>
        </w:rPr>
      </w:pPr>
    </w:p>
    <w:p w14:paraId="2359A363" w14:textId="0B3BED6D" w:rsidR="00D123D4" w:rsidRDefault="00D123D4" w:rsidP="00D123D4">
      <w:pPr>
        <w:widowControl w:val="0"/>
        <w:jc w:val="both"/>
        <w:rPr>
          <w:sz w:val="22"/>
          <w:szCs w:val="22"/>
          <w:lang w:val="sr-Latn-ME"/>
        </w:rPr>
      </w:pPr>
      <w:r w:rsidRPr="00D123D4">
        <w:rPr>
          <w:sz w:val="22"/>
          <w:szCs w:val="22"/>
          <w:lang w:val="sr-Latn-ME"/>
        </w:rPr>
        <w:t>Nije sprovedena formalna farmakokinetička studija. U kliničke studije su bili uključeni pacijenti sa blagim oštećenjem funkcije jetre, kod kojih nije primijećena promjena u farmakokinetici lijeka. Nema dostupnih farmakokinetičkih podataka kod pacijenata sa umjerenim ili teškim oštećenjem funkcije jetre.</w:t>
      </w:r>
    </w:p>
    <w:p w14:paraId="15102D51" w14:textId="77777777" w:rsidR="00D123D4" w:rsidRPr="00D123D4" w:rsidRDefault="00D123D4" w:rsidP="00D123D4">
      <w:pPr>
        <w:widowControl w:val="0"/>
        <w:jc w:val="both"/>
        <w:rPr>
          <w:sz w:val="22"/>
          <w:szCs w:val="22"/>
          <w:lang w:val="sr-Latn-ME"/>
        </w:rPr>
      </w:pPr>
    </w:p>
    <w:p w14:paraId="4C6F1ACB" w14:textId="77777777" w:rsidR="0072020E" w:rsidRPr="00D123D4" w:rsidRDefault="0072020E" w:rsidP="00D123D4">
      <w:pPr>
        <w:widowControl w:val="0"/>
        <w:tabs>
          <w:tab w:val="left" w:pos="540"/>
          <w:tab w:val="left" w:pos="569"/>
        </w:tabs>
        <w:rPr>
          <w:b/>
          <w:bCs/>
          <w:sz w:val="22"/>
          <w:szCs w:val="22"/>
          <w:lang w:val="sr-Latn-ME"/>
        </w:rPr>
      </w:pPr>
      <w:r w:rsidRPr="00D123D4">
        <w:rPr>
          <w:b/>
          <w:bCs/>
          <w:sz w:val="22"/>
          <w:szCs w:val="22"/>
          <w:lang w:val="sr-Latn-ME"/>
        </w:rPr>
        <w:t xml:space="preserve">5.3. </w:t>
      </w:r>
      <w:r w:rsidR="00480FB1" w:rsidRPr="00D123D4">
        <w:rPr>
          <w:b/>
          <w:bCs/>
          <w:sz w:val="22"/>
          <w:szCs w:val="22"/>
          <w:lang w:val="sr-Latn-ME"/>
        </w:rPr>
        <w:tab/>
      </w:r>
      <w:r w:rsidRPr="00D123D4">
        <w:rPr>
          <w:b/>
          <w:bCs/>
          <w:sz w:val="22"/>
          <w:szCs w:val="22"/>
          <w:lang w:val="sr-Latn-ME"/>
        </w:rPr>
        <w:t xml:space="preserve">Pretklinički podaci o bezbjednosti </w:t>
      </w:r>
    </w:p>
    <w:p w14:paraId="4C6F1ACC" w14:textId="77777777" w:rsidR="00836B35" w:rsidRPr="00D123D4" w:rsidRDefault="00836B35" w:rsidP="00D123D4">
      <w:pPr>
        <w:widowControl w:val="0"/>
        <w:tabs>
          <w:tab w:val="left" w:pos="540"/>
          <w:tab w:val="left" w:pos="569"/>
        </w:tabs>
        <w:rPr>
          <w:bCs/>
          <w:sz w:val="22"/>
          <w:szCs w:val="22"/>
          <w:lang w:val="sr-Latn-ME"/>
        </w:rPr>
      </w:pPr>
    </w:p>
    <w:p w14:paraId="72C53BDA" w14:textId="77777777" w:rsidR="00066A0D" w:rsidRPr="00D123D4" w:rsidRDefault="00066A0D" w:rsidP="00D123D4">
      <w:pPr>
        <w:widowControl w:val="0"/>
        <w:jc w:val="both"/>
        <w:rPr>
          <w:sz w:val="22"/>
          <w:szCs w:val="22"/>
          <w:lang w:val="sr-Latn-ME"/>
        </w:rPr>
      </w:pPr>
      <w:r w:rsidRPr="00D123D4">
        <w:rPr>
          <w:sz w:val="22"/>
          <w:szCs w:val="22"/>
          <w:lang w:val="sr-Latn-ME"/>
        </w:rPr>
        <w:t xml:space="preserve">Pretklinički podaci ne ukazuju na poseban rizik za ljude na osnovu konvencionalnih studija bezbjedonosne farmakologije, toksičnosti ponovljenih doza i embriofetalnog razvoja. Nijesu sprovedene studije kancerogenosti ni mutagenosti okrelizumaba. </w:t>
      </w:r>
    </w:p>
    <w:p w14:paraId="13961FF2" w14:textId="77777777" w:rsidR="00066A0D" w:rsidRPr="00D123D4" w:rsidRDefault="00066A0D" w:rsidP="00D123D4">
      <w:pPr>
        <w:widowControl w:val="0"/>
        <w:jc w:val="both"/>
        <w:rPr>
          <w:sz w:val="22"/>
          <w:szCs w:val="22"/>
          <w:lang w:val="sr-Latn-ME"/>
        </w:rPr>
      </w:pPr>
    </w:p>
    <w:p w14:paraId="0154433C" w14:textId="4C6AA5FC" w:rsidR="00066A0D" w:rsidRPr="00D123D4" w:rsidRDefault="00066A0D" w:rsidP="00D123D4">
      <w:pPr>
        <w:widowControl w:val="0"/>
        <w:jc w:val="both"/>
        <w:rPr>
          <w:sz w:val="22"/>
          <w:szCs w:val="22"/>
          <w:lang w:val="sr-Latn-ME"/>
        </w:rPr>
      </w:pPr>
      <w:r w:rsidRPr="00D123D4">
        <w:rPr>
          <w:sz w:val="22"/>
          <w:szCs w:val="22"/>
          <w:lang w:val="sr-Latn-ME"/>
        </w:rPr>
        <w:t xml:space="preserve">U </w:t>
      </w:r>
      <w:r w:rsidR="005B6C38" w:rsidRPr="00D123D4">
        <w:rPr>
          <w:sz w:val="22"/>
          <w:szCs w:val="22"/>
          <w:lang w:val="sr-Latn-ME"/>
        </w:rPr>
        <w:t xml:space="preserve">dvije </w:t>
      </w:r>
      <w:r w:rsidRPr="00D123D4">
        <w:rPr>
          <w:sz w:val="22"/>
          <w:szCs w:val="22"/>
          <w:lang w:val="sr-Latn-ME"/>
        </w:rPr>
        <w:t>studij</w:t>
      </w:r>
      <w:r w:rsidR="005B6C38" w:rsidRPr="00D123D4">
        <w:rPr>
          <w:sz w:val="22"/>
          <w:szCs w:val="22"/>
          <w:lang w:val="sr-Latn-ME"/>
        </w:rPr>
        <w:t>e</w:t>
      </w:r>
      <w:r w:rsidRPr="00D123D4">
        <w:rPr>
          <w:sz w:val="22"/>
          <w:szCs w:val="22"/>
          <w:lang w:val="sr-Latn-ME"/>
        </w:rPr>
        <w:t xml:space="preserve"> prenatalnog i postnatalnog razvoja sprovedenom kod makaki majmuna, primjena okrelizumaba od 20. dana gestacije </w:t>
      </w:r>
      <w:r w:rsidR="005B6C38" w:rsidRPr="00D123D4">
        <w:rPr>
          <w:sz w:val="22"/>
          <w:szCs w:val="22"/>
          <w:lang w:val="sr-Latn-ME"/>
        </w:rPr>
        <w:t>pa najmanje do okota</w:t>
      </w:r>
      <w:r w:rsidRPr="00D123D4">
        <w:rPr>
          <w:sz w:val="22"/>
          <w:szCs w:val="22"/>
          <w:lang w:val="sr-Latn-ME"/>
        </w:rPr>
        <w:t xml:space="preserve"> bila je povezana sa glomerulopatijom, nastankom limfoidnih folikula u kostnoj srži, limfoplazmocitnom upalom bubrega i smanjenom težinom testisa kod mladunčadi. Maternalne doze koje su se u </w:t>
      </w:r>
      <w:r w:rsidR="005B6C38" w:rsidRPr="00D123D4">
        <w:rPr>
          <w:sz w:val="22"/>
          <w:szCs w:val="22"/>
          <w:lang w:val="sr-Latn-ME"/>
        </w:rPr>
        <w:t>ovim</w:t>
      </w:r>
      <w:r w:rsidRPr="00D123D4">
        <w:rPr>
          <w:sz w:val="22"/>
          <w:szCs w:val="22"/>
          <w:lang w:val="sr-Latn-ME"/>
        </w:rPr>
        <w:t xml:space="preserve"> studij</w:t>
      </w:r>
      <w:r w:rsidR="005B6C38" w:rsidRPr="00D123D4">
        <w:rPr>
          <w:sz w:val="22"/>
          <w:szCs w:val="22"/>
          <w:lang w:val="sr-Latn-ME"/>
        </w:rPr>
        <w:t>ama</w:t>
      </w:r>
      <w:r w:rsidRPr="00D123D4">
        <w:rPr>
          <w:sz w:val="22"/>
          <w:szCs w:val="22"/>
          <w:lang w:val="sr-Latn-ME"/>
        </w:rPr>
        <w:t xml:space="preserve"> primjenjivale dovele su do maksimalnih srednjih vrijednosti serumskih koncentracija (C</w:t>
      </w:r>
      <w:r w:rsidRPr="00D123D4">
        <w:rPr>
          <w:sz w:val="22"/>
          <w:szCs w:val="22"/>
          <w:vertAlign w:val="subscript"/>
          <w:lang w:val="sr-Latn-ME"/>
        </w:rPr>
        <w:t>max</w:t>
      </w:r>
      <w:r w:rsidRPr="00D123D4">
        <w:rPr>
          <w:sz w:val="22"/>
          <w:szCs w:val="22"/>
          <w:lang w:val="sr-Latn-ME"/>
        </w:rPr>
        <w:t xml:space="preserve">) koje su bile 4,5 </w:t>
      </w:r>
      <w:r w:rsidR="005B6C38" w:rsidRPr="00D123D4">
        <w:rPr>
          <w:sz w:val="22"/>
          <w:szCs w:val="22"/>
          <w:lang w:val="sr-Latn-ME"/>
        </w:rPr>
        <w:t>do</w:t>
      </w:r>
      <w:r w:rsidRPr="00D123D4">
        <w:rPr>
          <w:sz w:val="22"/>
          <w:szCs w:val="22"/>
          <w:lang w:val="sr-Latn-ME"/>
        </w:rPr>
        <w:t xml:space="preserve"> 21 puta više od onih koje se očekuju u kliničkim uslovima.</w:t>
      </w:r>
    </w:p>
    <w:p w14:paraId="18A410BE" w14:textId="77777777" w:rsidR="00066A0D" w:rsidRPr="00D123D4" w:rsidRDefault="00066A0D" w:rsidP="00D123D4">
      <w:pPr>
        <w:widowControl w:val="0"/>
        <w:jc w:val="both"/>
        <w:rPr>
          <w:sz w:val="22"/>
          <w:szCs w:val="22"/>
          <w:lang w:val="sr-Latn-ME"/>
        </w:rPr>
      </w:pPr>
    </w:p>
    <w:p w14:paraId="6923087D" w14:textId="0A88F465" w:rsidR="00066A0D" w:rsidRPr="00D123D4" w:rsidRDefault="00066A0D" w:rsidP="00D123D4">
      <w:pPr>
        <w:widowControl w:val="0"/>
        <w:jc w:val="both"/>
        <w:rPr>
          <w:sz w:val="22"/>
          <w:szCs w:val="22"/>
          <w:lang w:val="sr-Latn-ME"/>
        </w:rPr>
      </w:pPr>
      <w:r w:rsidRPr="00D123D4">
        <w:rPr>
          <w:sz w:val="22"/>
          <w:szCs w:val="22"/>
          <w:lang w:val="sr-Latn-ME"/>
        </w:rPr>
        <w:t>Zabilježen</w:t>
      </w:r>
      <w:r w:rsidR="005B6C38" w:rsidRPr="00D123D4">
        <w:rPr>
          <w:sz w:val="22"/>
          <w:szCs w:val="22"/>
          <w:lang w:val="sr-Latn-ME"/>
        </w:rPr>
        <w:t>o</w:t>
      </w:r>
      <w:r w:rsidRPr="00D123D4">
        <w:rPr>
          <w:sz w:val="22"/>
          <w:szCs w:val="22"/>
          <w:lang w:val="sr-Latn-ME"/>
        </w:rPr>
        <w:t xml:space="preserve"> </w:t>
      </w:r>
      <w:r w:rsidR="005B6C38" w:rsidRPr="00D123D4">
        <w:rPr>
          <w:sz w:val="22"/>
          <w:szCs w:val="22"/>
          <w:lang w:val="sr-Latn-ME"/>
        </w:rPr>
        <w:t>je pet slučajeva neonatalne</w:t>
      </w:r>
      <w:r w:rsidRPr="00D123D4">
        <w:rPr>
          <w:sz w:val="22"/>
          <w:szCs w:val="22"/>
          <w:lang w:val="sr-Latn-ME"/>
        </w:rPr>
        <w:t xml:space="preserve"> smrti, jedan pripisan slabosti zbog prijevremenog okota praćeno</w:t>
      </w:r>
      <w:r w:rsidR="00A17879" w:rsidRPr="00D123D4">
        <w:rPr>
          <w:sz w:val="22"/>
          <w:szCs w:val="22"/>
          <w:lang w:val="sr-Latn-ME"/>
        </w:rPr>
        <w:t>g</w:t>
      </w:r>
      <w:r w:rsidRPr="00D123D4">
        <w:rPr>
          <w:sz w:val="22"/>
          <w:szCs w:val="22"/>
          <w:lang w:val="sr-Latn-ME"/>
        </w:rPr>
        <w:t xml:space="preserve"> oportunističkom </w:t>
      </w:r>
      <w:r w:rsidR="005B6C38" w:rsidRPr="00D123D4">
        <w:rPr>
          <w:sz w:val="22"/>
          <w:szCs w:val="22"/>
          <w:lang w:val="sr-Latn-ME"/>
        </w:rPr>
        <w:t xml:space="preserve">bakterijskom </w:t>
      </w:r>
      <w:r w:rsidRPr="00D123D4">
        <w:rPr>
          <w:sz w:val="22"/>
          <w:szCs w:val="22"/>
          <w:lang w:val="sr-Latn-ME"/>
        </w:rPr>
        <w:t xml:space="preserve">infekcijom, </w:t>
      </w:r>
      <w:r w:rsidR="005B6C38" w:rsidRPr="00D123D4">
        <w:rPr>
          <w:sz w:val="22"/>
          <w:szCs w:val="22"/>
          <w:lang w:val="sr-Latn-ME"/>
        </w:rPr>
        <w:t>jedan</w:t>
      </w:r>
      <w:r w:rsidR="00572E8D" w:rsidRPr="00D123D4">
        <w:rPr>
          <w:sz w:val="22"/>
          <w:szCs w:val="22"/>
          <w:lang w:val="sr-Latn-ME"/>
        </w:rPr>
        <w:t xml:space="preserve"> </w:t>
      </w:r>
      <w:r w:rsidR="005B6C38" w:rsidRPr="00D123D4">
        <w:rPr>
          <w:sz w:val="22"/>
          <w:szCs w:val="22"/>
          <w:lang w:val="sr-Latn-ME"/>
        </w:rPr>
        <w:t>usl</w:t>
      </w:r>
      <w:r w:rsidR="00572E8D" w:rsidRPr="00D123D4">
        <w:rPr>
          <w:sz w:val="22"/>
          <w:szCs w:val="22"/>
          <w:lang w:val="sr-Latn-ME"/>
        </w:rPr>
        <w:t>j</w:t>
      </w:r>
      <w:r w:rsidR="005B6C38" w:rsidRPr="00D123D4">
        <w:rPr>
          <w:sz w:val="22"/>
          <w:szCs w:val="22"/>
          <w:lang w:val="sr-Latn-ME"/>
        </w:rPr>
        <w:t xml:space="preserve">ed </w:t>
      </w:r>
      <w:r w:rsidRPr="00D123D4">
        <w:rPr>
          <w:sz w:val="22"/>
          <w:szCs w:val="22"/>
          <w:lang w:val="sr-Latn-ME"/>
        </w:rPr>
        <w:t>infektivno</w:t>
      </w:r>
      <w:r w:rsidR="005B6C38" w:rsidRPr="00D123D4">
        <w:rPr>
          <w:sz w:val="22"/>
          <w:szCs w:val="22"/>
          <w:lang w:val="sr-Latn-ME"/>
        </w:rPr>
        <w:t>g</w:t>
      </w:r>
      <w:r w:rsidRPr="00D123D4">
        <w:rPr>
          <w:sz w:val="22"/>
          <w:szCs w:val="22"/>
          <w:lang w:val="sr-Latn-ME"/>
        </w:rPr>
        <w:t xml:space="preserve"> meningoencefalitis</w:t>
      </w:r>
      <w:r w:rsidR="005B6C38" w:rsidRPr="00D123D4">
        <w:rPr>
          <w:sz w:val="22"/>
          <w:szCs w:val="22"/>
          <w:lang w:val="sr-Latn-ME"/>
        </w:rPr>
        <w:t>a</w:t>
      </w:r>
      <w:r w:rsidRPr="00D123D4">
        <w:rPr>
          <w:sz w:val="22"/>
          <w:szCs w:val="22"/>
          <w:lang w:val="sr-Latn-ME"/>
        </w:rPr>
        <w:t xml:space="preserve"> koji je zahvatio cerebelum mladunčeta ženke koja je imala aktivnu </w:t>
      </w:r>
      <w:r w:rsidR="005B6C38" w:rsidRPr="00D123D4">
        <w:rPr>
          <w:sz w:val="22"/>
          <w:szCs w:val="22"/>
          <w:lang w:val="sr-Latn-ME"/>
        </w:rPr>
        <w:t xml:space="preserve">bakterijsku </w:t>
      </w:r>
      <w:r w:rsidRPr="00D123D4">
        <w:rPr>
          <w:sz w:val="22"/>
          <w:szCs w:val="22"/>
          <w:lang w:val="sr-Latn-ME"/>
        </w:rPr>
        <w:t>infekciju (mastitis)</w:t>
      </w:r>
      <w:r w:rsidR="005B6C38" w:rsidRPr="00D123D4">
        <w:rPr>
          <w:sz w:val="22"/>
          <w:szCs w:val="22"/>
          <w:lang w:val="sr-Latn-ME"/>
        </w:rPr>
        <w:t xml:space="preserve"> i tri sa dokazima žutice i oštećenja jetre, sa sumnjom na </w:t>
      </w:r>
      <w:r w:rsidR="00783FF6" w:rsidRPr="00D123D4">
        <w:rPr>
          <w:sz w:val="22"/>
          <w:szCs w:val="22"/>
          <w:lang w:val="sr-Latn-ME"/>
        </w:rPr>
        <w:t>virusnu etiologiju, moguće poli</w:t>
      </w:r>
      <w:r w:rsidR="005B6C38" w:rsidRPr="00D123D4">
        <w:rPr>
          <w:sz w:val="22"/>
          <w:szCs w:val="22"/>
          <w:lang w:val="sr-Latn-ME"/>
        </w:rPr>
        <w:t>omavirus</w:t>
      </w:r>
      <w:r w:rsidRPr="00D123D4">
        <w:rPr>
          <w:sz w:val="22"/>
          <w:szCs w:val="22"/>
          <w:lang w:val="sr-Latn-ME"/>
        </w:rPr>
        <w:t xml:space="preserve">. Moguće je da je na tok </w:t>
      </w:r>
      <w:r w:rsidR="005B6C38" w:rsidRPr="00D123D4">
        <w:rPr>
          <w:sz w:val="22"/>
          <w:szCs w:val="22"/>
          <w:lang w:val="sr-Latn-ME"/>
        </w:rPr>
        <w:t>ovih pet potvrđenih ili suspektnih infekcija</w:t>
      </w:r>
      <w:r w:rsidRPr="00D123D4">
        <w:rPr>
          <w:sz w:val="22"/>
          <w:szCs w:val="22"/>
          <w:lang w:val="sr-Latn-ME"/>
        </w:rPr>
        <w:t xml:space="preserve"> uticala deplecija B ćelija. Utvrđeno je da je novookoćena mladunčad ženki izloženih okrelizumabu imala depleciju populacije B ćelija tokom postnatalnog perioda. </w:t>
      </w:r>
    </w:p>
    <w:p w14:paraId="4C6F1ACD" w14:textId="004326F0" w:rsidR="00396DFD" w:rsidRPr="00D123D4" w:rsidRDefault="00396DFD" w:rsidP="00D123D4">
      <w:pPr>
        <w:widowControl w:val="0"/>
        <w:tabs>
          <w:tab w:val="left" w:pos="540"/>
          <w:tab w:val="left" w:pos="569"/>
        </w:tabs>
        <w:rPr>
          <w:b/>
          <w:bCs/>
          <w:sz w:val="22"/>
          <w:szCs w:val="22"/>
          <w:lang w:val="sr-Latn-ME"/>
        </w:rPr>
      </w:pPr>
    </w:p>
    <w:p w14:paraId="2B3983C1" w14:textId="77777777" w:rsidR="00120366" w:rsidRPr="00D123D4" w:rsidRDefault="00120366" w:rsidP="00D123D4">
      <w:pPr>
        <w:widowControl w:val="0"/>
        <w:tabs>
          <w:tab w:val="left" w:pos="540"/>
          <w:tab w:val="left" w:pos="569"/>
        </w:tabs>
        <w:rPr>
          <w:b/>
          <w:bCs/>
          <w:sz w:val="22"/>
          <w:szCs w:val="22"/>
          <w:lang w:val="sr-Latn-ME"/>
        </w:rPr>
      </w:pPr>
    </w:p>
    <w:p w14:paraId="4C6F1ACE" w14:textId="77777777" w:rsidR="0072020E" w:rsidRPr="00D123D4" w:rsidRDefault="0072020E" w:rsidP="00D123D4">
      <w:pPr>
        <w:widowControl w:val="0"/>
        <w:tabs>
          <w:tab w:val="left" w:pos="540"/>
          <w:tab w:val="left" w:pos="569"/>
        </w:tabs>
        <w:rPr>
          <w:b/>
          <w:bCs/>
          <w:sz w:val="22"/>
          <w:szCs w:val="22"/>
          <w:lang w:val="sr-Latn-ME"/>
        </w:rPr>
      </w:pPr>
      <w:r w:rsidRPr="00D123D4">
        <w:rPr>
          <w:b/>
          <w:bCs/>
          <w:sz w:val="22"/>
          <w:szCs w:val="22"/>
          <w:lang w:val="sr-Latn-ME"/>
        </w:rPr>
        <w:t xml:space="preserve">6. </w:t>
      </w:r>
      <w:r w:rsidR="00480FB1" w:rsidRPr="00D123D4">
        <w:rPr>
          <w:b/>
          <w:bCs/>
          <w:sz w:val="22"/>
          <w:szCs w:val="22"/>
          <w:lang w:val="sr-Latn-ME"/>
        </w:rPr>
        <w:tab/>
      </w:r>
      <w:r w:rsidRPr="00D123D4">
        <w:rPr>
          <w:b/>
          <w:bCs/>
          <w:sz w:val="22"/>
          <w:szCs w:val="22"/>
          <w:lang w:val="sr-Latn-ME"/>
        </w:rPr>
        <w:t>FARMACEUTSKI PODACI</w:t>
      </w:r>
    </w:p>
    <w:p w14:paraId="4C6F1ACF" w14:textId="77777777" w:rsidR="00836B35" w:rsidRPr="00D123D4" w:rsidRDefault="00836B35" w:rsidP="00D123D4">
      <w:pPr>
        <w:widowControl w:val="0"/>
        <w:tabs>
          <w:tab w:val="left" w:pos="540"/>
          <w:tab w:val="left" w:pos="569"/>
        </w:tabs>
        <w:rPr>
          <w:bCs/>
          <w:sz w:val="22"/>
          <w:szCs w:val="22"/>
          <w:lang w:val="sr-Latn-ME"/>
        </w:rPr>
      </w:pPr>
    </w:p>
    <w:p w14:paraId="4C6F1AD0" w14:textId="77777777" w:rsidR="0072020E" w:rsidRPr="00D123D4" w:rsidRDefault="0072020E" w:rsidP="00D123D4">
      <w:pPr>
        <w:widowControl w:val="0"/>
        <w:tabs>
          <w:tab w:val="left" w:pos="540"/>
          <w:tab w:val="left" w:pos="569"/>
        </w:tabs>
        <w:rPr>
          <w:b/>
          <w:bCs/>
          <w:sz w:val="22"/>
          <w:szCs w:val="22"/>
          <w:lang w:val="sr-Latn-ME"/>
        </w:rPr>
      </w:pPr>
      <w:r w:rsidRPr="00D123D4">
        <w:rPr>
          <w:b/>
          <w:bCs/>
          <w:sz w:val="22"/>
          <w:szCs w:val="22"/>
          <w:lang w:val="sr-Latn-ME"/>
        </w:rPr>
        <w:t xml:space="preserve">6.1. </w:t>
      </w:r>
      <w:r w:rsidR="00480FB1" w:rsidRPr="00D123D4">
        <w:rPr>
          <w:b/>
          <w:bCs/>
          <w:sz w:val="22"/>
          <w:szCs w:val="22"/>
          <w:lang w:val="sr-Latn-ME"/>
        </w:rPr>
        <w:tab/>
      </w:r>
      <w:r w:rsidRPr="00D123D4">
        <w:rPr>
          <w:b/>
          <w:bCs/>
          <w:sz w:val="22"/>
          <w:szCs w:val="22"/>
          <w:lang w:val="sr-Latn-ME"/>
        </w:rPr>
        <w:t>Lista pomoćnih supstanci</w:t>
      </w:r>
      <w:r w:rsidR="002E0135" w:rsidRPr="00D123D4">
        <w:rPr>
          <w:b/>
          <w:bCs/>
          <w:sz w:val="22"/>
          <w:szCs w:val="22"/>
          <w:lang w:val="sr-Latn-ME"/>
        </w:rPr>
        <w:t xml:space="preserve"> (ekscipijenasa)</w:t>
      </w:r>
    </w:p>
    <w:p w14:paraId="4C6F1AD1" w14:textId="260DA7DC" w:rsidR="0072020E" w:rsidRPr="00D123D4" w:rsidRDefault="0072020E" w:rsidP="00D123D4">
      <w:pPr>
        <w:widowControl w:val="0"/>
        <w:tabs>
          <w:tab w:val="left" w:pos="540"/>
          <w:tab w:val="left" w:pos="569"/>
        </w:tabs>
        <w:rPr>
          <w:bCs/>
          <w:sz w:val="22"/>
          <w:szCs w:val="22"/>
          <w:lang w:val="sr-Latn-ME"/>
        </w:rPr>
      </w:pPr>
    </w:p>
    <w:p w14:paraId="75282FB6" w14:textId="2A96B426" w:rsidR="00066A0D" w:rsidRPr="00D123D4" w:rsidRDefault="00D97C6A" w:rsidP="00D123D4">
      <w:pPr>
        <w:widowControl w:val="0"/>
        <w:jc w:val="both"/>
        <w:rPr>
          <w:sz w:val="22"/>
          <w:szCs w:val="22"/>
          <w:lang w:val="sr-Latn-ME"/>
        </w:rPr>
      </w:pPr>
      <w:r>
        <w:rPr>
          <w:sz w:val="22"/>
          <w:szCs w:val="22"/>
          <w:lang w:val="sr-Latn-ME"/>
        </w:rPr>
        <w:t>- N</w:t>
      </w:r>
      <w:r w:rsidR="00066A0D" w:rsidRPr="00D123D4">
        <w:rPr>
          <w:sz w:val="22"/>
          <w:szCs w:val="22"/>
          <w:lang w:val="sr-Latn-ME"/>
        </w:rPr>
        <w:t>atrijum acetat, trihidrat</w:t>
      </w:r>
      <w:r w:rsidR="00EE13AF" w:rsidRPr="00D123D4">
        <w:rPr>
          <w:sz w:val="22"/>
          <w:szCs w:val="22"/>
          <w:lang w:val="sr-Latn-ME"/>
        </w:rPr>
        <w:t xml:space="preserve"> (E 262)</w:t>
      </w:r>
    </w:p>
    <w:p w14:paraId="21BB5E58" w14:textId="6B62F150" w:rsidR="00066A0D" w:rsidRPr="00D123D4" w:rsidRDefault="00D97C6A" w:rsidP="00D123D4">
      <w:pPr>
        <w:widowControl w:val="0"/>
        <w:jc w:val="both"/>
        <w:rPr>
          <w:sz w:val="22"/>
          <w:szCs w:val="22"/>
          <w:lang w:val="sr-Latn-ME"/>
        </w:rPr>
      </w:pPr>
      <w:r>
        <w:rPr>
          <w:sz w:val="22"/>
          <w:szCs w:val="22"/>
          <w:lang w:val="sr-Latn-ME"/>
        </w:rPr>
        <w:t xml:space="preserve">- </w:t>
      </w:r>
      <w:r w:rsidR="00066A0D" w:rsidRPr="00D123D4">
        <w:rPr>
          <w:sz w:val="22"/>
          <w:szCs w:val="22"/>
          <w:lang w:val="sr-Latn-ME"/>
        </w:rPr>
        <w:t>sirćetna kiselina, glacijalna</w:t>
      </w:r>
    </w:p>
    <w:p w14:paraId="2C1F07F3" w14:textId="51D68323" w:rsidR="00066A0D" w:rsidRPr="00D123D4" w:rsidRDefault="00D97C6A" w:rsidP="00D123D4">
      <w:pPr>
        <w:widowControl w:val="0"/>
        <w:jc w:val="both"/>
        <w:rPr>
          <w:sz w:val="22"/>
          <w:szCs w:val="22"/>
          <w:lang w:val="sr-Latn-ME"/>
        </w:rPr>
      </w:pPr>
      <w:r>
        <w:rPr>
          <w:sz w:val="22"/>
          <w:szCs w:val="22"/>
          <w:lang w:val="sr-Latn-ME"/>
        </w:rPr>
        <w:t xml:space="preserve">- </w:t>
      </w:r>
      <w:r w:rsidR="00066A0D" w:rsidRPr="00D123D4">
        <w:rPr>
          <w:sz w:val="22"/>
          <w:szCs w:val="22"/>
          <w:lang w:val="sr-Latn-ME"/>
        </w:rPr>
        <w:t>trehaloza dihidrat</w:t>
      </w:r>
    </w:p>
    <w:p w14:paraId="3D80AEAC" w14:textId="3ED2C230" w:rsidR="00066A0D" w:rsidRPr="00D123D4" w:rsidRDefault="00D97C6A" w:rsidP="00D123D4">
      <w:pPr>
        <w:widowControl w:val="0"/>
        <w:jc w:val="both"/>
        <w:rPr>
          <w:sz w:val="22"/>
          <w:szCs w:val="22"/>
          <w:lang w:val="sr-Latn-ME"/>
        </w:rPr>
      </w:pPr>
      <w:r>
        <w:rPr>
          <w:sz w:val="22"/>
          <w:szCs w:val="22"/>
          <w:lang w:val="sr-Latn-ME"/>
        </w:rPr>
        <w:t xml:space="preserve">- </w:t>
      </w:r>
      <w:r w:rsidR="00066A0D" w:rsidRPr="00D123D4">
        <w:rPr>
          <w:sz w:val="22"/>
          <w:szCs w:val="22"/>
          <w:lang w:val="sr-Latn-ME"/>
        </w:rPr>
        <w:t>polisorbat 20</w:t>
      </w:r>
      <w:r w:rsidR="00EE13AF" w:rsidRPr="00D123D4">
        <w:rPr>
          <w:sz w:val="22"/>
          <w:szCs w:val="22"/>
          <w:lang w:val="sr-Latn-ME"/>
        </w:rPr>
        <w:t xml:space="preserve"> (E 432)</w:t>
      </w:r>
    </w:p>
    <w:p w14:paraId="0CB9DB92" w14:textId="14A64970" w:rsidR="00066A0D" w:rsidRPr="00D123D4" w:rsidRDefault="00D97C6A" w:rsidP="00D123D4">
      <w:pPr>
        <w:widowControl w:val="0"/>
        <w:jc w:val="both"/>
        <w:rPr>
          <w:sz w:val="22"/>
          <w:szCs w:val="22"/>
          <w:lang w:val="sr-Latn-ME"/>
        </w:rPr>
      </w:pPr>
      <w:r>
        <w:rPr>
          <w:sz w:val="22"/>
          <w:szCs w:val="22"/>
          <w:lang w:val="sr-Latn-ME"/>
        </w:rPr>
        <w:t xml:space="preserve">- </w:t>
      </w:r>
      <w:r w:rsidR="00066A0D" w:rsidRPr="00D123D4">
        <w:rPr>
          <w:sz w:val="22"/>
          <w:szCs w:val="22"/>
          <w:lang w:val="sr-Latn-ME"/>
        </w:rPr>
        <w:t>voda za injekcije</w:t>
      </w:r>
    </w:p>
    <w:p w14:paraId="74ED642E" w14:textId="77777777" w:rsidR="00066A0D" w:rsidRPr="00D123D4" w:rsidRDefault="00066A0D" w:rsidP="00D123D4">
      <w:pPr>
        <w:widowControl w:val="0"/>
        <w:tabs>
          <w:tab w:val="left" w:pos="540"/>
          <w:tab w:val="left" w:pos="569"/>
        </w:tabs>
        <w:rPr>
          <w:bCs/>
          <w:sz w:val="22"/>
          <w:szCs w:val="22"/>
          <w:lang w:val="sr-Latn-ME"/>
        </w:rPr>
      </w:pPr>
    </w:p>
    <w:p w14:paraId="4C6F1AD2" w14:textId="257FE663" w:rsidR="0072020E" w:rsidRPr="00D123D4" w:rsidRDefault="0072020E" w:rsidP="00D123D4">
      <w:pPr>
        <w:widowControl w:val="0"/>
        <w:tabs>
          <w:tab w:val="left" w:pos="540"/>
          <w:tab w:val="left" w:pos="569"/>
        </w:tabs>
        <w:rPr>
          <w:b/>
          <w:bCs/>
          <w:sz w:val="22"/>
          <w:szCs w:val="22"/>
          <w:lang w:val="sr-Latn-ME"/>
        </w:rPr>
      </w:pPr>
      <w:r w:rsidRPr="00D123D4">
        <w:rPr>
          <w:b/>
          <w:bCs/>
          <w:sz w:val="22"/>
          <w:szCs w:val="22"/>
          <w:lang w:val="sr-Latn-ME"/>
        </w:rPr>
        <w:t xml:space="preserve">6.2. </w:t>
      </w:r>
      <w:r w:rsidR="00480FB1" w:rsidRPr="00D123D4">
        <w:rPr>
          <w:b/>
          <w:bCs/>
          <w:sz w:val="22"/>
          <w:szCs w:val="22"/>
          <w:lang w:val="sr-Latn-ME"/>
        </w:rPr>
        <w:tab/>
      </w:r>
      <w:r w:rsidRPr="00D123D4">
        <w:rPr>
          <w:b/>
          <w:bCs/>
          <w:sz w:val="22"/>
          <w:szCs w:val="22"/>
          <w:lang w:val="sr-Latn-ME"/>
        </w:rPr>
        <w:t>Inkompatibilnost</w:t>
      </w:r>
      <w:r w:rsidR="002846DB" w:rsidRPr="00D123D4">
        <w:rPr>
          <w:b/>
          <w:bCs/>
          <w:sz w:val="22"/>
          <w:szCs w:val="22"/>
          <w:lang w:val="sr-Latn-ME"/>
        </w:rPr>
        <w:t>i</w:t>
      </w:r>
    </w:p>
    <w:p w14:paraId="287BC250" w14:textId="2F8C701E" w:rsidR="00066A0D" w:rsidRPr="00D123D4" w:rsidRDefault="00066A0D" w:rsidP="00D123D4">
      <w:pPr>
        <w:widowControl w:val="0"/>
        <w:jc w:val="both"/>
        <w:rPr>
          <w:sz w:val="22"/>
          <w:szCs w:val="22"/>
          <w:lang w:val="sr-Latn-ME"/>
        </w:rPr>
      </w:pPr>
    </w:p>
    <w:p w14:paraId="2EDA2E83" w14:textId="77777777" w:rsidR="00066A0D" w:rsidRPr="00D123D4" w:rsidRDefault="00066A0D" w:rsidP="00D123D4">
      <w:pPr>
        <w:widowControl w:val="0"/>
        <w:jc w:val="both"/>
        <w:rPr>
          <w:sz w:val="22"/>
          <w:szCs w:val="22"/>
          <w:lang w:val="sr-Latn-ME"/>
        </w:rPr>
      </w:pPr>
      <w:r w:rsidRPr="00D123D4">
        <w:rPr>
          <w:sz w:val="22"/>
          <w:szCs w:val="22"/>
          <w:lang w:val="sr-Latn-ME"/>
        </w:rPr>
        <w:t>Lijek se ne smije miješati sa drugim ljekovima osim onih navedenih u dijelu 6.6.</w:t>
      </w:r>
    </w:p>
    <w:p w14:paraId="4C6F1AD3" w14:textId="77777777" w:rsidR="0072020E" w:rsidRPr="00D123D4" w:rsidRDefault="0072020E" w:rsidP="00D123D4">
      <w:pPr>
        <w:widowControl w:val="0"/>
        <w:tabs>
          <w:tab w:val="left" w:pos="540"/>
          <w:tab w:val="left" w:pos="569"/>
        </w:tabs>
        <w:rPr>
          <w:bCs/>
          <w:sz w:val="22"/>
          <w:szCs w:val="22"/>
          <w:lang w:val="sr-Latn-ME"/>
        </w:rPr>
      </w:pPr>
    </w:p>
    <w:p w14:paraId="4C6F1AD4" w14:textId="620CCEEA" w:rsidR="0072020E" w:rsidRPr="00D123D4" w:rsidRDefault="0072020E" w:rsidP="00D123D4">
      <w:pPr>
        <w:widowControl w:val="0"/>
        <w:tabs>
          <w:tab w:val="left" w:pos="540"/>
          <w:tab w:val="left" w:pos="569"/>
        </w:tabs>
        <w:rPr>
          <w:b/>
          <w:bCs/>
          <w:sz w:val="22"/>
          <w:szCs w:val="22"/>
          <w:lang w:val="sr-Latn-ME"/>
        </w:rPr>
      </w:pPr>
      <w:r w:rsidRPr="00D123D4">
        <w:rPr>
          <w:b/>
          <w:bCs/>
          <w:sz w:val="22"/>
          <w:szCs w:val="22"/>
          <w:lang w:val="sr-Latn-ME"/>
        </w:rPr>
        <w:t>6.3.</w:t>
      </w:r>
      <w:r w:rsidR="00C05DF8" w:rsidRPr="00D123D4">
        <w:rPr>
          <w:b/>
          <w:bCs/>
          <w:sz w:val="22"/>
          <w:szCs w:val="22"/>
          <w:lang w:val="sr-Latn-ME"/>
        </w:rPr>
        <w:t xml:space="preserve"> </w:t>
      </w:r>
      <w:r w:rsidR="00480FB1" w:rsidRPr="00D123D4">
        <w:rPr>
          <w:b/>
          <w:bCs/>
          <w:sz w:val="22"/>
          <w:szCs w:val="22"/>
          <w:lang w:val="sr-Latn-ME"/>
        </w:rPr>
        <w:tab/>
      </w:r>
      <w:r w:rsidRPr="00D123D4">
        <w:rPr>
          <w:b/>
          <w:bCs/>
          <w:sz w:val="22"/>
          <w:szCs w:val="22"/>
          <w:lang w:val="sr-Latn-ME"/>
        </w:rPr>
        <w:t>Rok upotrebe</w:t>
      </w:r>
    </w:p>
    <w:p w14:paraId="206AE424" w14:textId="77777777" w:rsidR="00F40241" w:rsidRPr="00D123D4" w:rsidRDefault="00F40241" w:rsidP="00D123D4">
      <w:pPr>
        <w:widowControl w:val="0"/>
        <w:tabs>
          <w:tab w:val="left" w:pos="540"/>
          <w:tab w:val="left" w:pos="569"/>
        </w:tabs>
        <w:rPr>
          <w:b/>
          <w:bCs/>
          <w:sz w:val="22"/>
          <w:szCs w:val="22"/>
          <w:lang w:val="sr-Latn-ME"/>
        </w:rPr>
      </w:pPr>
    </w:p>
    <w:p w14:paraId="447D0866" w14:textId="77777777" w:rsidR="00066A0D" w:rsidRPr="00D123D4" w:rsidRDefault="00066A0D" w:rsidP="00D123D4">
      <w:pPr>
        <w:widowControl w:val="0"/>
        <w:jc w:val="both"/>
        <w:rPr>
          <w:sz w:val="22"/>
          <w:szCs w:val="22"/>
          <w:u w:val="single"/>
          <w:lang w:val="sr-Latn-ME"/>
        </w:rPr>
      </w:pPr>
      <w:r w:rsidRPr="00D123D4">
        <w:rPr>
          <w:sz w:val="22"/>
          <w:szCs w:val="22"/>
          <w:u w:val="single"/>
          <w:lang w:val="sr-Latn-ME"/>
        </w:rPr>
        <w:t>Neotvorena bočica</w:t>
      </w:r>
    </w:p>
    <w:p w14:paraId="0BB8196F" w14:textId="77777777" w:rsidR="00066A0D" w:rsidRPr="00D123D4" w:rsidRDefault="00066A0D" w:rsidP="00D123D4">
      <w:pPr>
        <w:widowControl w:val="0"/>
        <w:jc w:val="both"/>
        <w:rPr>
          <w:sz w:val="22"/>
          <w:szCs w:val="22"/>
          <w:lang w:val="sr-Latn-ME"/>
        </w:rPr>
      </w:pPr>
    </w:p>
    <w:p w14:paraId="30B46BC6" w14:textId="3CAE83B2" w:rsidR="00066A0D" w:rsidRPr="00D123D4" w:rsidRDefault="00E3758E" w:rsidP="00D123D4">
      <w:pPr>
        <w:widowControl w:val="0"/>
        <w:jc w:val="both"/>
        <w:rPr>
          <w:sz w:val="22"/>
          <w:szCs w:val="22"/>
          <w:lang w:val="sr-Latn-ME"/>
        </w:rPr>
      </w:pPr>
      <w:r w:rsidRPr="00D123D4">
        <w:rPr>
          <w:sz w:val="22"/>
          <w:szCs w:val="22"/>
          <w:lang w:val="sr-Latn-ME"/>
        </w:rPr>
        <w:t>2</w:t>
      </w:r>
      <w:r w:rsidR="00EE13AF" w:rsidRPr="00D123D4">
        <w:rPr>
          <w:sz w:val="22"/>
          <w:szCs w:val="22"/>
          <w:lang w:val="sr-Latn-ME"/>
        </w:rPr>
        <w:t xml:space="preserve"> godine</w:t>
      </w:r>
    </w:p>
    <w:p w14:paraId="14976A77" w14:textId="77777777" w:rsidR="00066A0D" w:rsidRPr="00D123D4" w:rsidRDefault="00066A0D" w:rsidP="00D123D4">
      <w:pPr>
        <w:widowControl w:val="0"/>
        <w:jc w:val="both"/>
        <w:rPr>
          <w:sz w:val="22"/>
          <w:szCs w:val="22"/>
          <w:lang w:val="sr-Latn-ME"/>
        </w:rPr>
      </w:pPr>
    </w:p>
    <w:p w14:paraId="0FDC216A" w14:textId="77777777" w:rsidR="00066A0D" w:rsidRPr="00D123D4" w:rsidRDefault="00066A0D" w:rsidP="00D123D4">
      <w:pPr>
        <w:widowControl w:val="0"/>
        <w:jc w:val="both"/>
        <w:rPr>
          <w:sz w:val="22"/>
          <w:szCs w:val="22"/>
          <w:u w:val="single"/>
          <w:lang w:val="sr-Latn-ME"/>
        </w:rPr>
      </w:pPr>
      <w:r w:rsidRPr="00D123D4">
        <w:rPr>
          <w:sz w:val="22"/>
          <w:szCs w:val="22"/>
          <w:u w:val="single"/>
          <w:lang w:val="sr-Latn-ME"/>
        </w:rPr>
        <w:t xml:space="preserve">Razblažen rastvor za intravensku infuziju </w:t>
      </w:r>
    </w:p>
    <w:p w14:paraId="0AFA8C3E" w14:textId="77777777" w:rsidR="00066A0D" w:rsidRPr="00D123D4" w:rsidRDefault="00066A0D" w:rsidP="00D123D4">
      <w:pPr>
        <w:widowControl w:val="0"/>
        <w:jc w:val="both"/>
        <w:rPr>
          <w:sz w:val="22"/>
          <w:szCs w:val="22"/>
          <w:lang w:val="sr-Latn-ME"/>
        </w:rPr>
      </w:pPr>
    </w:p>
    <w:p w14:paraId="4C6F1AD5" w14:textId="4F25C5FF" w:rsidR="0072020E" w:rsidRPr="00D123D4" w:rsidRDefault="00066A0D">
      <w:pPr>
        <w:widowControl w:val="0"/>
        <w:tabs>
          <w:tab w:val="left" w:pos="540"/>
          <w:tab w:val="left" w:pos="569"/>
        </w:tabs>
        <w:jc w:val="both"/>
        <w:rPr>
          <w:sz w:val="22"/>
          <w:szCs w:val="22"/>
          <w:lang w:val="sr-Latn-ME"/>
        </w:rPr>
      </w:pPr>
      <w:r w:rsidRPr="00D123D4">
        <w:rPr>
          <w:sz w:val="22"/>
          <w:szCs w:val="22"/>
          <w:lang w:val="sr-Latn-ME"/>
        </w:rPr>
        <w:t>Dokazana je hemijska i fizička stabilnost tokom 24 sata na temperaturi od 2 do 8°C, a nakon toga tokom 8 sati na sobnoj temperaturi</w:t>
      </w:r>
      <w:r w:rsidR="00504D5D" w:rsidRPr="00D123D4">
        <w:rPr>
          <w:sz w:val="22"/>
          <w:szCs w:val="22"/>
          <w:lang w:val="sr-Latn-ME"/>
        </w:rPr>
        <w:t>.</w:t>
      </w:r>
    </w:p>
    <w:p w14:paraId="15FF2FC1" w14:textId="3BA37163" w:rsidR="00066A0D" w:rsidRPr="00D123D4" w:rsidRDefault="00066A0D" w:rsidP="00D6666F">
      <w:pPr>
        <w:widowControl w:val="0"/>
        <w:tabs>
          <w:tab w:val="left" w:pos="540"/>
          <w:tab w:val="left" w:pos="569"/>
        </w:tabs>
        <w:jc w:val="both"/>
        <w:rPr>
          <w:bCs/>
          <w:sz w:val="22"/>
          <w:szCs w:val="22"/>
          <w:lang w:val="sr-Latn-ME"/>
        </w:rPr>
      </w:pPr>
    </w:p>
    <w:p w14:paraId="02D912C0" w14:textId="77777777" w:rsidR="00066A0D" w:rsidRPr="00D123D4" w:rsidRDefault="00066A0D">
      <w:pPr>
        <w:widowControl w:val="0"/>
        <w:jc w:val="both"/>
        <w:rPr>
          <w:sz w:val="22"/>
          <w:szCs w:val="22"/>
          <w:lang w:val="sr-Latn-ME"/>
        </w:rPr>
      </w:pPr>
      <w:r w:rsidRPr="00D123D4">
        <w:rPr>
          <w:sz w:val="22"/>
          <w:szCs w:val="22"/>
          <w:lang w:val="sr-Latn-ME"/>
        </w:rPr>
        <w:lastRenderedPageBreak/>
        <w:t>Sa mikrobiološkog stanovišta, pripremljena infuzija treba da se primijeni odmah. Ako se ne primijeni odmah, trajanje i uslovi čuvanja prije primjene odgovornost su korisnika. Pripremljeni lijek ne bi smio da se čuva duže od 24 sata na temperaturi od 2°C do 8°C, a nakon toga duže od 8 sati na sobnoj temperaturi, osim ako razblaživanje nije sprovedeno u kontrolisanim i validiranim aseptičnim uslovima.</w:t>
      </w:r>
    </w:p>
    <w:p w14:paraId="5CB10912" w14:textId="77777777" w:rsidR="00066A0D" w:rsidRPr="00D123D4" w:rsidRDefault="00066A0D">
      <w:pPr>
        <w:widowControl w:val="0"/>
        <w:jc w:val="both"/>
        <w:rPr>
          <w:sz w:val="22"/>
          <w:szCs w:val="22"/>
          <w:lang w:val="sr-Latn-ME"/>
        </w:rPr>
      </w:pPr>
    </w:p>
    <w:p w14:paraId="0EB5CFA9" w14:textId="77777777" w:rsidR="00066A0D" w:rsidRPr="00D123D4" w:rsidRDefault="00066A0D">
      <w:pPr>
        <w:widowControl w:val="0"/>
        <w:jc w:val="both"/>
        <w:rPr>
          <w:sz w:val="22"/>
          <w:szCs w:val="22"/>
          <w:lang w:val="sr-Latn-ME"/>
        </w:rPr>
      </w:pPr>
      <w:r w:rsidRPr="00D123D4">
        <w:rPr>
          <w:sz w:val="22"/>
          <w:szCs w:val="22"/>
          <w:lang w:val="sr-Latn-ME"/>
        </w:rPr>
        <w:t>U slučaju da se intravenska infuzija ne može dovršiti istog dana, preostali rastvor treba baciti.</w:t>
      </w:r>
    </w:p>
    <w:p w14:paraId="0841A43B" w14:textId="77777777" w:rsidR="00066A0D" w:rsidRPr="00D123D4" w:rsidRDefault="00066A0D" w:rsidP="00D123D4">
      <w:pPr>
        <w:widowControl w:val="0"/>
        <w:tabs>
          <w:tab w:val="left" w:pos="540"/>
          <w:tab w:val="left" w:pos="569"/>
        </w:tabs>
        <w:rPr>
          <w:bCs/>
          <w:sz w:val="22"/>
          <w:szCs w:val="22"/>
          <w:lang w:val="sr-Latn-ME"/>
        </w:rPr>
      </w:pPr>
    </w:p>
    <w:p w14:paraId="4C6F1AD6" w14:textId="77777777" w:rsidR="0072020E" w:rsidRPr="00D123D4" w:rsidRDefault="0072020E" w:rsidP="00D123D4">
      <w:pPr>
        <w:widowControl w:val="0"/>
        <w:tabs>
          <w:tab w:val="left" w:pos="540"/>
          <w:tab w:val="left" w:pos="569"/>
        </w:tabs>
        <w:rPr>
          <w:b/>
          <w:bCs/>
          <w:sz w:val="22"/>
          <w:szCs w:val="22"/>
          <w:lang w:val="sr-Latn-ME"/>
        </w:rPr>
      </w:pPr>
      <w:r w:rsidRPr="00D123D4">
        <w:rPr>
          <w:b/>
          <w:bCs/>
          <w:sz w:val="22"/>
          <w:szCs w:val="22"/>
          <w:lang w:val="sr-Latn-ME"/>
        </w:rPr>
        <w:t xml:space="preserve">6.4. </w:t>
      </w:r>
      <w:r w:rsidR="00480FB1" w:rsidRPr="00D123D4">
        <w:rPr>
          <w:b/>
          <w:bCs/>
          <w:sz w:val="22"/>
          <w:szCs w:val="22"/>
          <w:lang w:val="sr-Latn-ME"/>
        </w:rPr>
        <w:tab/>
      </w:r>
      <w:r w:rsidRPr="00D123D4">
        <w:rPr>
          <w:b/>
          <w:bCs/>
          <w:sz w:val="22"/>
          <w:szCs w:val="22"/>
          <w:lang w:val="sr-Latn-ME"/>
        </w:rPr>
        <w:t>Posebne mjere upozorenja pri čuvanju</w:t>
      </w:r>
      <w:r w:rsidR="00F8570A" w:rsidRPr="00D123D4">
        <w:rPr>
          <w:b/>
          <w:bCs/>
          <w:sz w:val="22"/>
          <w:szCs w:val="22"/>
          <w:lang w:val="sr-Latn-ME"/>
        </w:rPr>
        <w:t xml:space="preserve"> lijeka</w:t>
      </w:r>
    </w:p>
    <w:p w14:paraId="4C6F1AD7" w14:textId="6029DC95" w:rsidR="00EC2532" w:rsidRPr="00D123D4" w:rsidRDefault="00EC2532" w:rsidP="00D123D4">
      <w:pPr>
        <w:widowControl w:val="0"/>
        <w:tabs>
          <w:tab w:val="left" w:pos="540"/>
          <w:tab w:val="left" w:pos="569"/>
        </w:tabs>
        <w:rPr>
          <w:bCs/>
          <w:sz w:val="22"/>
          <w:szCs w:val="22"/>
          <w:lang w:val="sr-Latn-ME"/>
        </w:rPr>
      </w:pPr>
    </w:p>
    <w:p w14:paraId="0F796A99" w14:textId="3A540044" w:rsidR="00066A0D" w:rsidRPr="00D123D4" w:rsidRDefault="00066A0D" w:rsidP="00D123D4">
      <w:pPr>
        <w:widowControl w:val="0"/>
        <w:tabs>
          <w:tab w:val="left" w:pos="284"/>
          <w:tab w:val="center" w:pos="4320"/>
          <w:tab w:val="right" w:pos="8640"/>
        </w:tabs>
        <w:jc w:val="both"/>
        <w:rPr>
          <w:sz w:val="22"/>
          <w:szCs w:val="22"/>
          <w:lang w:val="sr-Latn-ME"/>
        </w:rPr>
      </w:pPr>
      <w:r w:rsidRPr="00D123D4">
        <w:rPr>
          <w:sz w:val="22"/>
          <w:szCs w:val="22"/>
          <w:lang w:val="sr-Latn-ME"/>
        </w:rPr>
        <w:t>Čuvati u frižideru (2°C</w:t>
      </w:r>
      <w:r w:rsidR="00464C6F" w:rsidRPr="00D123D4">
        <w:rPr>
          <w:sz w:val="22"/>
          <w:szCs w:val="22"/>
          <w:lang w:val="sr-Latn-ME"/>
        </w:rPr>
        <w:t>-</w:t>
      </w:r>
      <w:r w:rsidRPr="00D123D4">
        <w:rPr>
          <w:sz w:val="22"/>
          <w:szCs w:val="22"/>
          <w:lang w:val="sr-Latn-ME"/>
        </w:rPr>
        <w:t>8°C).</w:t>
      </w:r>
    </w:p>
    <w:p w14:paraId="236B065E" w14:textId="77777777" w:rsidR="00066A0D" w:rsidRPr="00D123D4" w:rsidRDefault="00066A0D" w:rsidP="00D123D4">
      <w:pPr>
        <w:widowControl w:val="0"/>
        <w:tabs>
          <w:tab w:val="left" w:pos="284"/>
          <w:tab w:val="center" w:pos="4320"/>
          <w:tab w:val="right" w:pos="8640"/>
        </w:tabs>
        <w:jc w:val="both"/>
        <w:rPr>
          <w:sz w:val="22"/>
          <w:szCs w:val="22"/>
          <w:lang w:val="sr-Latn-ME"/>
        </w:rPr>
      </w:pPr>
      <w:r w:rsidRPr="00D123D4">
        <w:rPr>
          <w:sz w:val="22"/>
          <w:szCs w:val="22"/>
          <w:lang w:val="sr-Latn-ME"/>
        </w:rPr>
        <w:t xml:space="preserve">Ne zamrzavati. </w:t>
      </w:r>
    </w:p>
    <w:p w14:paraId="3FA367D1" w14:textId="77777777" w:rsidR="00066A0D" w:rsidRPr="00D123D4" w:rsidRDefault="00066A0D" w:rsidP="00D123D4">
      <w:pPr>
        <w:widowControl w:val="0"/>
        <w:tabs>
          <w:tab w:val="left" w:pos="284"/>
          <w:tab w:val="center" w:pos="4320"/>
          <w:tab w:val="right" w:pos="8640"/>
        </w:tabs>
        <w:jc w:val="both"/>
        <w:rPr>
          <w:sz w:val="22"/>
          <w:szCs w:val="22"/>
          <w:lang w:val="sr-Latn-ME"/>
        </w:rPr>
      </w:pPr>
      <w:r w:rsidRPr="00D123D4">
        <w:rPr>
          <w:sz w:val="22"/>
          <w:szCs w:val="22"/>
          <w:lang w:val="sr-Latn-ME"/>
        </w:rPr>
        <w:t xml:space="preserve">Bočice čuvati u spoljašnjem pakovanju radi zaštite od svjetlosti. </w:t>
      </w:r>
    </w:p>
    <w:p w14:paraId="7AD28A40" w14:textId="77777777" w:rsidR="00066A0D" w:rsidRPr="00D123D4" w:rsidRDefault="00066A0D" w:rsidP="00D123D4">
      <w:pPr>
        <w:widowControl w:val="0"/>
        <w:tabs>
          <w:tab w:val="left" w:pos="284"/>
          <w:tab w:val="center" w:pos="4320"/>
          <w:tab w:val="right" w:pos="8640"/>
        </w:tabs>
        <w:jc w:val="both"/>
        <w:rPr>
          <w:sz w:val="22"/>
          <w:szCs w:val="22"/>
          <w:lang w:val="sr-Latn-ME"/>
        </w:rPr>
      </w:pPr>
      <w:r w:rsidRPr="00D123D4">
        <w:rPr>
          <w:sz w:val="22"/>
          <w:szCs w:val="22"/>
          <w:lang w:val="sr-Latn-ME"/>
        </w:rPr>
        <w:t>Uslove čuvanja nakon razblaživanja lijeka vidjeti u dijelu 6.3.</w:t>
      </w:r>
    </w:p>
    <w:p w14:paraId="41002CB4" w14:textId="77777777" w:rsidR="00066A0D" w:rsidRPr="00D123D4" w:rsidRDefault="00066A0D" w:rsidP="00D123D4">
      <w:pPr>
        <w:widowControl w:val="0"/>
        <w:tabs>
          <w:tab w:val="left" w:pos="540"/>
          <w:tab w:val="left" w:pos="569"/>
        </w:tabs>
        <w:rPr>
          <w:bCs/>
          <w:sz w:val="22"/>
          <w:szCs w:val="22"/>
          <w:lang w:val="sr-Latn-ME"/>
        </w:rPr>
      </w:pPr>
    </w:p>
    <w:p w14:paraId="4C6F1AD8" w14:textId="77777777" w:rsidR="0072020E" w:rsidRPr="00D123D4" w:rsidRDefault="0072020E" w:rsidP="00D123D4">
      <w:pPr>
        <w:widowControl w:val="0"/>
        <w:tabs>
          <w:tab w:val="left" w:pos="540"/>
          <w:tab w:val="left" w:pos="569"/>
        </w:tabs>
        <w:rPr>
          <w:b/>
          <w:bCs/>
          <w:sz w:val="22"/>
          <w:szCs w:val="22"/>
          <w:lang w:val="sr-Latn-ME"/>
        </w:rPr>
      </w:pPr>
      <w:r w:rsidRPr="00D123D4">
        <w:rPr>
          <w:b/>
          <w:bCs/>
          <w:sz w:val="22"/>
          <w:szCs w:val="22"/>
          <w:lang w:val="sr-Latn-ME"/>
        </w:rPr>
        <w:t xml:space="preserve">6.5. </w:t>
      </w:r>
      <w:r w:rsidR="00480FB1" w:rsidRPr="00D123D4">
        <w:rPr>
          <w:b/>
          <w:bCs/>
          <w:sz w:val="22"/>
          <w:szCs w:val="22"/>
          <w:lang w:val="sr-Latn-ME"/>
        </w:rPr>
        <w:tab/>
      </w:r>
      <w:r w:rsidR="002846DB" w:rsidRPr="00D123D4">
        <w:rPr>
          <w:b/>
          <w:bCs/>
          <w:sz w:val="22"/>
          <w:szCs w:val="22"/>
          <w:lang w:val="sr-Latn-ME"/>
        </w:rPr>
        <w:t xml:space="preserve">Vrsta i sadržaj </w:t>
      </w:r>
      <w:r w:rsidR="00F8570A" w:rsidRPr="00D123D4">
        <w:rPr>
          <w:b/>
          <w:bCs/>
          <w:sz w:val="22"/>
          <w:szCs w:val="22"/>
          <w:lang w:val="sr-Latn-ME"/>
        </w:rPr>
        <w:t>pakovanja</w:t>
      </w:r>
      <w:r w:rsidR="00C06864" w:rsidRPr="00D123D4">
        <w:rPr>
          <w:b/>
          <w:bCs/>
          <w:sz w:val="22"/>
          <w:szCs w:val="22"/>
          <w:lang w:val="sr-Latn-ME"/>
        </w:rPr>
        <w:t xml:space="preserve"> </w:t>
      </w:r>
    </w:p>
    <w:p w14:paraId="4C6F1AD9" w14:textId="5FB71CAC" w:rsidR="0072020E" w:rsidRPr="00D123D4" w:rsidRDefault="0072020E" w:rsidP="00D123D4">
      <w:pPr>
        <w:widowControl w:val="0"/>
        <w:tabs>
          <w:tab w:val="left" w:pos="540"/>
          <w:tab w:val="left" w:pos="569"/>
        </w:tabs>
        <w:rPr>
          <w:bCs/>
          <w:sz w:val="22"/>
          <w:szCs w:val="22"/>
          <w:lang w:val="sr-Latn-ME"/>
        </w:rPr>
      </w:pPr>
    </w:p>
    <w:p w14:paraId="35AF3BA1" w14:textId="77777777" w:rsidR="00D35A65" w:rsidRPr="00D123D4" w:rsidRDefault="00066A0D" w:rsidP="00D123D4">
      <w:pPr>
        <w:widowControl w:val="0"/>
        <w:tabs>
          <w:tab w:val="left" w:pos="284"/>
          <w:tab w:val="center" w:pos="4320"/>
          <w:tab w:val="right" w:pos="8640"/>
        </w:tabs>
        <w:jc w:val="both"/>
        <w:rPr>
          <w:sz w:val="22"/>
          <w:szCs w:val="22"/>
          <w:lang w:val="sr-Latn-ME"/>
        </w:rPr>
      </w:pPr>
      <w:r w:rsidRPr="00D123D4">
        <w:rPr>
          <w:sz w:val="22"/>
          <w:szCs w:val="22"/>
          <w:lang w:val="sr-Latn-ME"/>
        </w:rPr>
        <w:t xml:space="preserve">Unutrašnje pakovanje je bočica </w:t>
      </w:r>
      <w:r w:rsidR="00EE13AF" w:rsidRPr="00D123D4">
        <w:rPr>
          <w:sz w:val="22"/>
          <w:szCs w:val="22"/>
          <w:lang w:val="sr-Latn-ME"/>
        </w:rPr>
        <w:t xml:space="preserve">(bezbojno staklo tipa I) </w:t>
      </w:r>
      <w:r w:rsidRPr="00D123D4">
        <w:rPr>
          <w:sz w:val="22"/>
          <w:szCs w:val="22"/>
          <w:lang w:val="sr-Latn-ME"/>
        </w:rPr>
        <w:t xml:space="preserve">koja sadrži 10 ml koncentrata. </w:t>
      </w:r>
    </w:p>
    <w:p w14:paraId="2B8289E8" w14:textId="77777777" w:rsidR="00D35A65" w:rsidRPr="00D123D4" w:rsidRDefault="00D35A65" w:rsidP="00D123D4">
      <w:pPr>
        <w:widowControl w:val="0"/>
        <w:tabs>
          <w:tab w:val="left" w:pos="284"/>
          <w:tab w:val="center" w:pos="4320"/>
          <w:tab w:val="right" w:pos="8640"/>
        </w:tabs>
        <w:jc w:val="both"/>
        <w:rPr>
          <w:sz w:val="22"/>
          <w:szCs w:val="22"/>
          <w:lang w:val="sr-Latn-ME"/>
        </w:rPr>
      </w:pPr>
    </w:p>
    <w:p w14:paraId="1CD38888" w14:textId="7142D216" w:rsidR="00066A0D" w:rsidRPr="00D123D4" w:rsidRDefault="00066A0D" w:rsidP="00D123D4">
      <w:pPr>
        <w:widowControl w:val="0"/>
        <w:tabs>
          <w:tab w:val="left" w:pos="284"/>
          <w:tab w:val="center" w:pos="4320"/>
          <w:tab w:val="right" w:pos="8640"/>
        </w:tabs>
        <w:jc w:val="both"/>
        <w:rPr>
          <w:sz w:val="22"/>
          <w:szCs w:val="22"/>
          <w:lang w:val="sr-Latn-ME"/>
        </w:rPr>
      </w:pPr>
      <w:r w:rsidRPr="00D123D4">
        <w:rPr>
          <w:sz w:val="22"/>
          <w:szCs w:val="22"/>
          <w:lang w:val="sr-Latn-ME"/>
        </w:rPr>
        <w:t>U pakovanju se nalazi 1 bočica.</w:t>
      </w:r>
      <w:r w:rsidRPr="00D123D4" w:rsidDel="00D4231B">
        <w:rPr>
          <w:sz w:val="22"/>
          <w:szCs w:val="22"/>
          <w:lang w:val="sr-Latn-ME"/>
        </w:rPr>
        <w:t xml:space="preserve"> </w:t>
      </w:r>
    </w:p>
    <w:p w14:paraId="0ED3E308" w14:textId="77777777" w:rsidR="00066A0D" w:rsidRPr="00D123D4" w:rsidRDefault="00066A0D" w:rsidP="00D123D4">
      <w:pPr>
        <w:widowControl w:val="0"/>
        <w:tabs>
          <w:tab w:val="left" w:pos="540"/>
          <w:tab w:val="left" w:pos="569"/>
        </w:tabs>
        <w:rPr>
          <w:bCs/>
          <w:sz w:val="22"/>
          <w:szCs w:val="22"/>
          <w:lang w:val="sr-Latn-ME"/>
        </w:rPr>
      </w:pPr>
    </w:p>
    <w:p w14:paraId="4C6F1ADA" w14:textId="7E0ED617" w:rsidR="002846DB" w:rsidRPr="00D123D4" w:rsidRDefault="0072020E" w:rsidP="00D123D4">
      <w:pPr>
        <w:widowControl w:val="0"/>
        <w:tabs>
          <w:tab w:val="left" w:pos="540"/>
          <w:tab w:val="left" w:pos="569"/>
        </w:tabs>
        <w:rPr>
          <w:b/>
          <w:bCs/>
          <w:sz w:val="22"/>
          <w:szCs w:val="22"/>
          <w:lang w:val="sr-Latn-ME"/>
        </w:rPr>
      </w:pPr>
      <w:r w:rsidRPr="00D123D4">
        <w:rPr>
          <w:b/>
          <w:bCs/>
          <w:sz w:val="22"/>
          <w:szCs w:val="22"/>
          <w:lang w:val="sr-Latn-ME"/>
        </w:rPr>
        <w:t xml:space="preserve">6.6. </w:t>
      </w:r>
      <w:r w:rsidR="00480FB1" w:rsidRPr="00D123D4">
        <w:rPr>
          <w:b/>
          <w:bCs/>
          <w:sz w:val="22"/>
          <w:szCs w:val="22"/>
          <w:lang w:val="sr-Latn-ME"/>
        </w:rPr>
        <w:tab/>
      </w:r>
      <w:r w:rsidRPr="00D123D4">
        <w:rPr>
          <w:b/>
          <w:bCs/>
          <w:color w:val="000000"/>
          <w:sz w:val="22"/>
          <w:szCs w:val="22"/>
          <w:lang w:val="sr-Latn-ME"/>
        </w:rPr>
        <w:t>Posebne mjere opreza pri odlaganju materijala koji treba odbaciti nakon primjene lijeka</w:t>
      </w:r>
      <w:r w:rsidRPr="00D123D4">
        <w:rPr>
          <w:b/>
          <w:bCs/>
          <w:sz w:val="22"/>
          <w:szCs w:val="22"/>
          <w:lang w:val="sr-Latn-ME"/>
        </w:rPr>
        <w:t xml:space="preserve"> </w:t>
      </w:r>
      <w:r w:rsidR="00310F03" w:rsidRPr="00D123D4">
        <w:rPr>
          <w:b/>
          <w:bCs/>
          <w:sz w:val="22"/>
          <w:szCs w:val="22"/>
          <w:lang w:val="sr-Latn-ME"/>
        </w:rPr>
        <w:t>(i druga uputs</w:t>
      </w:r>
      <w:r w:rsidR="00C6425B" w:rsidRPr="00D123D4">
        <w:rPr>
          <w:b/>
          <w:bCs/>
          <w:sz w:val="22"/>
          <w:szCs w:val="22"/>
          <w:lang w:val="sr-Latn-ME"/>
        </w:rPr>
        <w:t>t</w:t>
      </w:r>
      <w:r w:rsidR="00310F03" w:rsidRPr="00D123D4">
        <w:rPr>
          <w:b/>
          <w:bCs/>
          <w:sz w:val="22"/>
          <w:szCs w:val="22"/>
          <w:lang w:val="sr-Latn-ME"/>
        </w:rPr>
        <w:t xml:space="preserve">va za rukovanje lijekom) </w:t>
      </w:r>
    </w:p>
    <w:p w14:paraId="4C6F1ADB" w14:textId="77777777" w:rsidR="00B66A70" w:rsidRPr="00D123D4" w:rsidRDefault="00B66A70" w:rsidP="00D123D4">
      <w:pPr>
        <w:widowControl w:val="0"/>
        <w:tabs>
          <w:tab w:val="left" w:pos="540"/>
          <w:tab w:val="left" w:pos="569"/>
        </w:tabs>
        <w:rPr>
          <w:b/>
          <w:bCs/>
          <w:sz w:val="22"/>
          <w:szCs w:val="22"/>
          <w:lang w:val="sr-Latn-ME"/>
        </w:rPr>
      </w:pPr>
    </w:p>
    <w:p w14:paraId="45CC5DB7" w14:textId="77777777" w:rsidR="00066A0D" w:rsidRPr="00D123D4" w:rsidRDefault="00066A0D">
      <w:pPr>
        <w:widowControl w:val="0"/>
        <w:jc w:val="both"/>
        <w:rPr>
          <w:sz w:val="22"/>
          <w:szCs w:val="22"/>
          <w:u w:val="single"/>
          <w:lang w:val="sr-Latn-ME"/>
        </w:rPr>
      </w:pPr>
      <w:r w:rsidRPr="00D123D4">
        <w:rPr>
          <w:sz w:val="22"/>
          <w:szCs w:val="22"/>
          <w:u w:val="single"/>
          <w:lang w:val="sr-Latn-ME"/>
        </w:rPr>
        <w:t xml:space="preserve">Uputstvo za razblaživanje </w:t>
      </w:r>
    </w:p>
    <w:p w14:paraId="4C342187" w14:textId="77777777" w:rsidR="00066A0D" w:rsidRPr="00D123D4" w:rsidRDefault="00066A0D">
      <w:pPr>
        <w:widowControl w:val="0"/>
        <w:jc w:val="both"/>
        <w:rPr>
          <w:sz w:val="22"/>
          <w:szCs w:val="22"/>
          <w:lang w:val="sr-Latn-ME"/>
        </w:rPr>
      </w:pPr>
    </w:p>
    <w:p w14:paraId="06F70F0A" w14:textId="10CADC24" w:rsidR="00066A0D" w:rsidRPr="00D123D4" w:rsidRDefault="00066A0D">
      <w:pPr>
        <w:widowControl w:val="0"/>
        <w:jc w:val="both"/>
        <w:rPr>
          <w:sz w:val="22"/>
          <w:szCs w:val="22"/>
          <w:lang w:val="sr-Latn-ME"/>
        </w:rPr>
      </w:pPr>
      <w:r w:rsidRPr="00D123D4">
        <w:rPr>
          <w:sz w:val="22"/>
          <w:szCs w:val="22"/>
          <w:lang w:val="sr-Latn-ME"/>
        </w:rPr>
        <w:t xml:space="preserve">Lijek treba da priprema zdravstveni radnik primjenom aseptične tehnike. Bočica se ne smije tresti. </w:t>
      </w:r>
      <w:r w:rsidR="001D337C" w:rsidRPr="00D123D4">
        <w:rPr>
          <w:sz w:val="22"/>
          <w:szCs w:val="22"/>
          <w:lang w:val="sr-Latn-ME"/>
        </w:rPr>
        <w:t xml:space="preserve">Treba koristiti sterilnu iglu i špric za pripremu razblaženog rastvora za infuziju. </w:t>
      </w:r>
    </w:p>
    <w:p w14:paraId="4F08A1B0" w14:textId="77777777" w:rsidR="00066A0D" w:rsidRPr="00D123D4" w:rsidRDefault="00066A0D">
      <w:pPr>
        <w:widowControl w:val="0"/>
        <w:jc w:val="both"/>
        <w:rPr>
          <w:sz w:val="22"/>
          <w:szCs w:val="22"/>
          <w:lang w:val="sr-Latn-ME"/>
        </w:rPr>
      </w:pPr>
    </w:p>
    <w:p w14:paraId="192FB97A" w14:textId="77777777" w:rsidR="00066A0D" w:rsidRPr="00D123D4" w:rsidRDefault="00066A0D">
      <w:pPr>
        <w:widowControl w:val="0"/>
        <w:jc w:val="both"/>
        <w:rPr>
          <w:sz w:val="22"/>
          <w:szCs w:val="22"/>
          <w:lang w:val="sr-Latn-ME"/>
        </w:rPr>
      </w:pPr>
      <w:r w:rsidRPr="00D123D4">
        <w:rPr>
          <w:sz w:val="22"/>
          <w:szCs w:val="22"/>
          <w:lang w:val="sr-Latn-ME"/>
        </w:rPr>
        <w:t xml:space="preserve">Lijek je namijenjen samo za jednokratnu upotrebu. </w:t>
      </w:r>
    </w:p>
    <w:p w14:paraId="56EB3D4F" w14:textId="77777777" w:rsidR="00066A0D" w:rsidRPr="00D123D4" w:rsidRDefault="00066A0D">
      <w:pPr>
        <w:widowControl w:val="0"/>
        <w:jc w:val="both"/>
        <w:rPr>
          <w:sz w:val="22"/>
          <w:szCs w:val="22"/>
          <w:lang w:val="sr-Latn-ME"/>
        </w:rPr>
      </w:pPr>
    </w:p>
    <w:p w14:paraId="199BDE30" w14:textId="439AF82F" w:rsidR="00066A0D" w:rsidRPr="00D123D4" w:rsidRDefault="00EE13AF">
      <w:pPr>
        <w:widowControl w:val="0"/>
        <w:jc w:val="both"/>
        <w:rPr>
          <w:sz w:val="22"/>
          <w:szCs w:val="22"/>
          <w:lang w:val="sr-Latn-ME"/>
        </w:rPr>
      </w:pPr>
      <w:r w:rsidRPr="00D123D4">
        <w:rPr>
          <w:sz w:val="22"/>
          <w:szCs w:val="22"/>
          <w:lang w:val="sr-Latn-ME"/>
        </w:rPr>
        <w:t xml:space="preserve">Koncentrat </w:t>
      </w:r>
      <w:r w:rsidR="00066A0D" w:rsidRPr="00D123D4">
        <w:rPr>
          <w:sz w:val="22"/>
          <w:szCs w:val="22"/>
          <w:lang w:val="sr-Latn-ME"/>
        </w:rPr>
        <w:t>se ne smije primijeniti ako je promijenio boju ili ako sadrži strane čestice (vidjeti dio 3).</w:t>
      </w:r>
    </w:p>
    <w:p w14:paraId="0BA78CCA" w14:textId="77777777" w:rsidR="00066A0D" w:rsidRPr="00D123D4" w:rsidRDefault="00066A0D">
      <w:pPr>
        <w:widowControl w:val="0"/>
        <w:jc w:val="both"/>
        <w:rPr>
          <w:sz w:val="22"/>
          <w:szCs w:val="22"/>
          <w:lang w:val="sr-Latn-ME"/>
        </w:rPr>
      </w:pPr>
    </w:p>
    <w:p w14:paraId="35D0E173" w14:textId="7C07DF56" w:rsidR="00066A0D" w:rsidRPr="00D123D4" w:rsidRDefault="00066A0D">
      <w:pPr>
        <w:widowControl w:val="0"/>
        <w:jc w:val="both"/>
        <w:rPr>
          <w:sz w:val="22"/>
          <w:szCs w:val="22"/>
          <w:lang w:val="sr-Latn-ME"/>
        </w:rPr>
      </w:pPr>
      <w:r w:rsidRPr="00D123D4">
        <w:rPr>
          <w:sz w:val="22"/>
          <w:szCs w:val="22"/>
          <w:lang w:val="sr-Latn-ME"/>
        </w:rPr>
        <w:t xml:space="preserve">Lijek se mora razblažiti prije primjene. Rastvori za intravensku primjenu pripremaju se tako da se </w:t>
      </w:r>
      <w:r w:rsidR="00EE13AF" w:rsidRPr="00D123D4">
        <w:rPr>
          <w:sz w:val="22"/>
          <w:szCs w:val="22"/>
          <w:lang w:val="sr-Latn-ME"/>
        </w:rPr>
        <w:t xml:space="preserve">koncentrat </w:t>
      </w:r>
      <w:r w:rsidRPr="00D123D4">
        <w:rPr>
          <w:sz w:val="22"/>
          <w:szCs w:val="22"/>
          <w:lang w:val="sr-Latn-ME"/>
        </w:rPr>
        <w:t xml:space="preserve">razblaži u </w:t>
      </w:r>
      <w:r w:rsidR="001A0E05" w:rsidRPr="00D123D4">
        <w:rPr>
          <w:sz w:val="22"/>
          <w:szCs w:val="22"/>
          <w:lang w:val="sr-Latn-ME"/>
        </w:rPr>
        <w:t>kesi za infuziju</w:t>
      </w:r>
      <w:r w:rsidRPr="00D123D4">
        <w:rPr>
          <w:sz w:val="22"/>
          <w:szCs w:val="22"/>
          <w:lang w:val="sr-Latn-ME"/>
        </w:rPr>
        <w:t xml:space="preserve"> koja sadrži </w:t>
      </w:r>
      <w:r w:rsidR="001A0E05" w:rsidRPr="00D123D4">
        <w:rPr>
          <w:sz w:val="22"/>
          <w:szCs w:val="22"/>
          <w:lang w:val="sr-Latn-ME"/>
        </w:rPr>
        <w:t xml:space="preserve">rastvor izotoničnog </w:t>
      </w:r>
      <w:r w:rsidRPr="00D123D4">
        <w:rPr>
          <w:sz w:val="22"/>
          <w:szCs w:val="22"/>
          <w:lang w:val="sr-Latn-ME"/>
        </w:rPr>
        <w:t xml:space="preserve">natrijum hlorida </w:t>
      </w:r>
      <w:r w:rsidR="001A0E05" w:rsidRPr="00D123D4">
        <w:rPr>
          <w:sz w:val="22"/>
          <w:szCs w:val="22"/>
          <w:lang w:val="sr-Latn-ME"/>
        </w:rPr>
        <w:t xml:space="preserve">od 9 mg/ml (0,9%) </w:t>
      </w:r>
      <w:r w:rsidR="00EE13AF" w:rsidRPr="00D123D4">
        <w:rPr>
          <w:sz w:val="22"/>
          <w:szCs w:val="22"/>
          <w:lang w:val="sr-Latn-ME"/>
        </w:rPr>
        <w:t xml:space="preserve">za </w:t>
      </w:r>
      <w:r w:rsidR="00256986" w:rsidRPr="00D123D4">
        <w:rPr>
          <w:sz w:val="22"/>
          <w:szCs w:val="22"/>
          <w:lang w:val="sr-Latn-ME"/>
        </w:rPr>
        <w:t>infuziju</w:t>
      </w:r>
      <w:r w:rsidR="00EE13AF" w:rsidRPr="00D123D4">
        <w:rPr>
          <w:sz w:val="22"/>
          <w:szCs w:val="22"/>
          <w:lang w:val="sr-Latn-ME"/>
        </w:rPr>
        <w:t xml:space="preserve"> </w:t>
      </w:r>
      <w:r w:rsidRPr="00D123D4">
        <w:rPr>
          <w:sz w:val="22"/>
          <w:szCs w:val="22"/>
          <w:lang w:val="sr-Latn-ME"/>
        </w:rPr>
        <w:t>(300 mg / 250 ml ili 600 mg / 500 ml)</w:t>
      </w:r>
      <w:r w:rsidR="00EE13AF" w:rsidRPr="00D123D4">
        <w:rPr>
          <w:sz w:val="22"/>
          <w:szCs w:val="22"/>
          <w:lang w:val="sr-Latn-ME"/>
        </w:rPr>
        <w:t>, kako bi se dobila</w:t>
      </w:r>
      <w:r w:rsidR="00F40241" w:rsidRPr="00D123D4">
        <w:rPr>
          <w:sz w:val="22"/>
          <w:szCs w:val="22"/>
          <w:lang w:val="sr-Latn-ME"/>
        </w:rPr>
        <w:t xml:space="preserve"> </w:t>
      </w:r>
      <w:r w:rsidRPr="00D123D4">
        <w:rPr>
          <w:sz w:val="22"/>
          <w:szCs w:val="22"/>
          <w:lang w:val="sr-Latn-ME"/>
        </w:rPr>
        <w:t>konačn</w:t>
      </w:r>
      <w:r w:rsidR="00EE13AF" w:rsidRPr="00D123D4">
        <w:rPr>
          <w:sz w:val="22"/>
          <w:szCs w:val="22"/>
          <w:lang w:val="sr-Latn-ME"/>
        </w:rPr>
        <w:t>a</w:t>
      </w:r>
      <w:r w:rsidRPr="00D123D4">
        <w:rPr>
          <w:sz w:val="22"/>
          <w:szCs w:val="22"/>
          <w:lang w:val="sr-Latn-ME"/>
        </w:rPr>
        <w:t xml:space="preserve"> koncentracij</w:t>
      </w:r>
      <w:r w:rsidR="00EE13AF" w:rsidRPr="00D123D4">
        <w:rPr>
          <w:sz w:val="22"/>
          <w:szCs w:val="22"/>
          <w:lang w:val="sr-Latn-ME"/>
        </w:rPr>
        <w:t>a okrelizumaba</w:t>
      </w:r>
      <w:r w:rsidRPr="00D123D4">
        <w:rPr>
          <w:sz w:val="22"/>
          <w:szCs w:val="22"/>
          <w:lang w:val="sr-Latn-ME"/>
        </w:rPr>
        <w:t xml:space="preserve"> od približno 1,2 mg/ml.  </w:t>
      </w:r>
    </w:p>
    <w:p w14:paraId="55BB0C66" w14:textId="77777777" w:rsidR="00256986" w:rsidRPr="00D123D4" w:rsidRDefault="00256986">
      <w:pPr>
        <w:widowControl w:val="0"/>
        <w:jc w:val="both"/>
        <w:rPr>
          <w:sz w:val="22"/>
          <w:szCs w:val="22"/>
          <w:lang w:val="sr-Latn-ME"/>
        </w:rPr>
      </w:pPr>
    </w:p>
    <w:p w14:paraId="0A5BD6E7" w14:textId="2081B264" w:rsidR="00256986" w:rsidRPr="00D123D4" w:rsidRDefault="00256986" w:rsidP="00E0624C">
      <w:pPr>
        <w:widowControl w:val="0"/>
        <w:jc w:val="both"/>
        <w:rPr>
          <w:sz w:val="22"/>
          <w:szCs w:val="22"/>
          <w:lang w:val="sr-Latn-ME"/>
        </w:rPr>
      </w:pPr>
      <w:r w:rsidRPr="00D123D4">
        <w:rPr>
          <w:sz w:val="22"/>
          <w:szCs w:val="22"/>
          <w:lang w:val="sr-Latn-ME"/>
        </w:rPr>
        <w:t>Nijesu za</w:t>
      </w:r>
      <w:r w:rsidR="001A0E05" w:rsidRPr="00D123D4">
        <w:rPr>
          <w:sz w:val="22"/>
          <w:szCs w:val="22"/>
          <w:lang w:val="sr-Latn-ME"/>
        </w:rPr>
        <w:t>bilježene</w:t>
      </w:r>
      <w:r w:rsidRPr="00D123D4">
        <w:rPr>
          <w:sz w:val="22"/>
          <w:szCs w:val="22"/>
          <w:lang w:val="sr-Latn-ME"/>
        </w:rPr>
        <w:t xml:space="preserve"> inkompatibilnosti između ovoga lijeka i </w:t>
      </w:r>
      <w:r w:rsidR="001A0E05" w:rsidRPr="00D123D4">
        <w:rPr>
          <w:sz w:val="22"/>
          <w:szCs w:val="22"/>
          <w:lang w:val="sr-Latn-ME"/>
        </w:rPr>
        <w:t xml:space="preserve">kesa od </w:t>
      </w:r>
      <w:r w:rsidRPr="00D123D4">
        <w:rPr>
          <w:sz w:val="22"/>
          <w:szCs w:val="22"/>
          <w:lang w:val="sr-Latn-ME"/>
        </w:rPr>
        <w:t>polivinil</w:t>
      </w:r>
      <w:r w:rsidR="001A0E05" w:rsidRPr="00D123D4">
        <w:rPr>
          <w:sz w:val="22"/>
          <w:szCs w:val="22"/>
          <w:lang w:val="sr-Latn-ME"/>
        </w:rPr>
        <w:t xml:space="preserve"> </w:t>
      </w:r>
      <w:r w:rsidRPr="00D123D4">
        <w:rPr>
          <w:sz w:val="22"/>
          <w:szCs w:val="22"/>
          <w:lang w:val="sr-Latn-ME"/>
        </w:rPr>
        <w:t>hlorid</w:t>
      </w:r>
      <w:r w:rsidR="001A0E05" w:rsidRPr="00D123D4">
        <w:rPr>
          <w:sz w:val="22"/>
          <w:szCs w:val="22"/>
          <w:lang w:val="sr-Latn-ME"/>
        </w:rPr>
        <w:t>a</w:t>
      </w:r>
      <w:r w:rsidRPr="00D123D4">
        <w:rPr>
          <w:sz w:val="22"/>
          <w:szCs w:val="22"/>
          <w:lang w:val="sr-Latn-ME"/>
        </w:rPr>
        <w:t xml:space="preserve"> (PVC) ili poliolefin</w:t>
      </w:r>
      <w:r w:rsidR="001A0E05" w:rsidRPr="00D123D4">
        <w:rPr>
          <w:sz w:val="22"/>
          <w:szCs w:val="22"/>
          <w:lang w:val="sr-Latn-ME"/>
        </w:rPr>
        <w:t>a</w:t>
      </w:r>
      <w:r w:rsidRPr="00D123D4">
        <w:rPr>
          <w:sz w:val="22"/>
          <w:szCs w:val="22"/>
          <w:lang w:val="sr-Latn-ME"/>
        </w:rPr>
        <w:t xml:space="preserve"> (PO) i </w:t>
      </w:r>
      <w:r w:rsidR="001A0E05" w:rsidRPr="00D123D4">
        <w:rPr>
          <w:sz w:val="22"/>
          <w:szCs w:val="22"/>
          <w:lang w:val="sr-Latn-ME"/>
        </w:rPr>
        <w:t>setova</w:t>
      </w:r>
      <w:r w:rsidRPr="00D123D4">
        <w:rPr>
          <w:sz w:val="22"/>
          <w:szCs w:val="22"/>
          <w:lang w:val="sr-Latn-ME"/>
        </w:rPr>
        <w:t xml:space="preserve"> za intravensku primjenu.</w:t>
      </w:r>
    </w:p>
    <w:p w14:paraId="2965B7DE" w14:textId="77777777" w:rsidR="00066A0D" w:rsidRPr="00D123D4" w:rsidRDefault="00066A0D">
      <w:pPr>
        <w:widowControl w:val="0"/>
        <w:jc w:val="both"/>
        <w:rPr>
          <w:sz w:val="22"/>
          <w:szCs w:val="22"/>
          <w:lang w:val="sr-Latn-ME"/>
        </w:rPr>
      </w:pPr>
    </w:p>
    <w:p w14:paraId="3E4B973D" w14:textId="26D537FE" w:rsidR="00066A0D" w:rsidRPr="00D123D4" w:rsidRDefault="00066A0D">
      <w:pPr>
        <w:widowControl w:val="0"/>
        <w:jc w:val="both"/>
        <w:rPr>
          <w:sz w:val="22"/>
          <w:szCs w:val="22"/>
          <w:lang w:val="sr-Latn-ME"/>
        </w:rPr>
      </w:pPr>
      <w:r w:rsidRPr="00D123D4">
        <w:rPr>
          <w:sz w:val="22"/>
          <w:szCs w:val="22"/>
          <w:lang w:val="sr-Latn-ME"/>
        </w:rPr>
        <w:t>Razblažen rastvor za infuziju mora da se primijeni komplet</w:t>
      </w:r>
      <w:r w:rsidR="00D35A65" w:rsidRPr="00D123D4">
        <w:rPr>
          <w:sz w:val="22"/>
          <w:szCs w:val="22"/>
          <w:lang w:val="sr-Latn-ME"/>
        </w:rPr>
        <w:t>om</w:t>
      </w:r>
      <w:r w:rsidRPr="00D123D4">
        <w:rPr>
          <w:sz w:val="22"/>
          <w:szCs w:val="22"/>
          <w:lang w:val="sr-Latn-ME"/>
        </w:rPr>
        <w:t xml:space="preserve"> za infuziju koji ima ugrađen </w:t>
      </w:r>
      <w:r w:rsidR="00EE13AF" w:rsidRPr="00D123D4">
        <w:rPr>
          <w:sz w:val="22"/>
          <w:szCs w:val="22"/>
          <w:lang w:val="sr-Latn-ME"/>
        </w:rPr>
        <w:t xml:space="preserve">linijski </w:t>
      </w:r>
      <w:r w:rsidRPr="00D123D4">
        <w:rPr>
          <w:sz w:val="22"/>
          <w:szCs w:val="22"/>
          <w:lang w:val="sr-Latn-ME"/>
        </w:rPr>
        <w:t xml:space="preserve">(engl. </w:t>
      </w:r>
      <w:r w:rsidRPr="00D123D4">
        <w:rPr>
          <w:i/>
          <w:sz w:val="22"/>
          <w:szCs w:val="22"/>
          <w:lang w:val="sr-Latn-ME"/>
        </w:rPr>
        <w:t>in-line</w:t>
      </w:r>
      <w:r w:rsidRPr="00D123D4">
        <w:rPr>
          <w:sz w:val="22"/>
          <w:szCs w:val="22"/>
          <w:lang w:val="sr-Latn-ME"/>
        </w:rPr>
        <w:t xml:space="preserve">) filter sa porama veličine 0,2 ili 0,22 mikrometra. </w:t>
      </w:r>
    </w:p>
    <w:p w14:paraId="74F5E5F5" w14:textId="77777777" w:rsidR="00066A0D" w:rsidRPr="00D123D4" w:rsidRDefault="00066A0D">
      <w:pPr>
        <w:widowControl w:val="0"/>
        <w:jc w:val="both"/>
        <w:rPr>
          <w:sz w:val="22"/>
          <w:szCs w:val="22"/>
          <w:lang w:val="sr-Latn-ME"/>
        </w:rPr>
      </w:pPr>
    </w:p>
    <w:p w14:paraId="1883F04D" w14:textId="5CD1DA3F" w:rsidR="00066A0D" w:rsidRPr="00D123D4" w:rsidRDefault="00066A0D">
      <w:pPr>
        <w:widowControl w:val="0"/>
        <w:jc w:val="both"/>
        <w:rPr>
          <w:sz w:val="22"/>
          <w:szCs w:val="22"/>
          <w:lang w:val="sr-Latn-ME"/>
        </w:rPr>
      </w:pPr>
      <w:r w:rsidRPr="00D123D4">
        <w:rPr>
          <w:sz w:val="22"/>
          <w:szCs w:val="22"/>
          <w:lang w:val="sr-Latn-ME"/>
        </w:rPr>
        <w:t xml:space="preserve">Prije početka intravenske infuzije, sadržaj infuzijske kesice mora da </w:t>
      </w:r>
      <w:r w:rsidR="00D35A65" w:rsidRPr="00D123D4">
        <w:rPr>
          <w:sz w:val="22"/>
          <w:szCs w:val="22"/>
          <w:lang w:val="sr-Latn-ME"/>
        </w:rPr>
        <w:t>dostigne sobnu temperaturu kako bi se izbjegla reakcija na infuziju zbog primjene rastvora niske temperature.</w:t>
      </w:r>
    </w:p>
    <w:p w14:paraId="18A67D09" w14:textId="77777777" w:rsidR="00066A0D" w:rsidRPr="00D123D4" w:rsidRDefault="00066A0D">
      <w:pPr>
        <w:widowControl w:val="0"/>
        <w:jc w:val="both"/>
        <w:rPr>
          <w:sz w:val="22"/>
          <w:szCs w:val="22"/>
          <w:lang w:val="sr-Latn-ME"/>
        </w:rPr>
      </w:pPr>
    </w:p>
    <w:p w14:paraId="10516C6E" w14:textId="2B3007DB" w:rsidR="00066A0D" w:rsidRPr="00D123D4" w:rsidRDefault="00066A0D">
      <w:pPr>
        <w:widowControl w:val="0"/>
        <w:jc w:val="both"/>
        <w:rPr>
          <w:sz w:val="22"/>
          <w:szCs w:val="22"/>
          <w:lang w:val="sr-Latn-ME"/>
        </w:rPr>
      </w:pPr>
      <w:r w:rsidRPr="00D123D4">
        <w:rPr>
          <w:sz w:val="22"/>
          <w:szCs w:val="22"/>
          <w:u w:val="single"/>
          <w:lang w:val="sr-Latn-ME"/>
        </w:rPr>
        <w:t xml:space="preserve">Zbrinjavanje </w:t>
      </w:r>
    </w:p>
    <w:p w14:paraId="48CBEB56" w14:textId="77777777" w:rsidR="00066A0D" w:rsidRPr="00D123D4" w:rsidRDefault="00066A0D">
      <w:pPr>
        <w:widowControl w:val="0"/>
        <w:jc w:val="both"/>
        <w:rPr>
          <w:sz w:val="22"/>
          <w:szCs w:val="22"/>
          <w:lang w:val="sr-Latn-ME"/>
        </w:rPr>
      </w:pPr>
    </w:p>
    <w:p w14:paraId="52101902" w14:textId="77777777" w:rsidR="00066A0D" w:rsidRPr="00D123D4" w:rsidRDefault="00066A0D">
      <w:pPr>
        <w:widowControl w:val="0"/>
        <w:jc w:val="both"/>
        <w:rPr>
          <w:sz w:val="22"/>
          <w:szCs w:val="22"/>
          <w:lang w:val="sr-Latn-ME"/>
        </w:rPr>
      </w:pPr>
      <w:r w:rsidRPr="00D123D4">
        <w:rPr>
          <w:sz w:val="22"/>
          <w:szCs w:val="22"/>
          <w:lang w:val="sr-Latn-ME"/>
        </w:rPr>
        <w:t xml:space="preserve">Svu neiskorišćenu količinu lijeka ili otpadni materijal treba ukloniti u skladu sa lokalnim propisima. </w:t>
      </w:r>
    </w:p>
    <w:p w14:paraId="4C6F1ADC" w14:textId="1F038516" w:rsidR="0072020E" w:rsidRPr="00D123D4" w:rsidRDefault="0072020E" w:rsidP="00D123D4">
      <w:pPr>
        <w:widowControl w:val="0"/>
        <w:jc w:val="both"/>
        <w:rPr>
          <w:sz w:val="22"/>
          <w:szCs w:val="22"/>
          <w:lang w:val="sr-Latn-ME"/>
        </w:rPr>
      </w:pPr>
    </w:p>
    <w:p w14:paraId="65154FDE" w14:textId="77777777" w:rsidR="0095492A" w:rsidRPr="00D123D4" w:rsidRDefault="0095492A" w:rsidP="00D123D4">
      <w:pPr>
        <w:widowControl w:val="0"/>
        <w:jc w:val="both"/>
        <w:rPr>
          <w:sz w:val="22"/>
          <w:szCs w:val="22"/>
          <w:lang w:val="sr-Latn-ME"/>
        </w:rPr>
      </w:pPr>
    </w:p>
    <w:p w14:paraId="4C6F1ADD" w14:textId="77777777" w:rsidR="00F8570A" w:rsidRPr="00D123D4" w:rsidRDefault="0072020E" w:rsidP="00D123D4">
      <w:pPr>
        <w:widowControl w:val="0"/>
        <w:tabs>
          <w:tab w:val="left" w:pos="540"/>
          <w:tab w:val="left" w:pos="569"/>
        </w:tabs>
        <w:rPr>
          <w:b/>
          <w:bCs/>
          <w:sz w:val="22"/>
          <w:szCs w:val="22"/>
          <w:lang w:val="sr-Latn-ME"/>
        </w:rPr>
      </w:pPr>
      <w:r w:rsidRPr="00D123D4">
        <w:rPr>
          <w:b/>
          <w:bCs/>
          <w:sz w:val="22"/>
          <w:szCs w:val="22"/>
          <w:lang w:val="sr-Latn-ME"/>
        </w:rPr>
        <w:t xml:space="preserve">7. </w:t>
      </w:r>
      <w:r w:rsidR="00480FB1" w:rsidRPr="00D123D4">
        <w:rPr>
          <w:b/>
          <w:bCs/>
          <w:sz w:val="22"/>
          <w:szCs w:val="22"/>
          <w:lang w:val="sr-Latn-ME"/>
        </w:rPr>
        <w:tab/>
      </w:r>
      <w:r w:rsidRPr="00D123D4">
        <w:rPr>
          <w:b/>
          <w:bCs/>
          <w:sz w:val="22"/>
          <w:szCs w:val="22"/>
          <w:lang w:val="sr-Latn-ME"/>
        </w:rPr>
        <w:t>NOSILAC DOZVOLE</w:t>
      </w:r>
      <w:r w:rsidR="00483928" w:rsidRPr="00D123D4">
        <w:rPr>
          <w:b/>
          <w:bCs/>
          <w:sz w:val="22"/>
          <w:szCs w:val="22"/>
          <w:lang w:val="sr-Latn-ME"/>
        </w:rPr>
        <w:t xml:space="preserve"> </w:t>
      </w:r>
    </w:p>
    <w:p w14:paraId="4C6F1ADE" w14:textId="77777777" w:rsidR="00C61BE0" w:rsidRPr="00D123D4" w:rsidRDefault="00C61BE0" w:rsidP="00D123D4">
      <w:pPr>
        <w:widowControl w:val="0"/>
        <w:tabs>
          <w:tab w:val="left" w:pos="540"/>
          <w:tab w:val="left" w:pos="569"/>
        </w:tabs>
        <w:rPr>
          <w:bCs/>
          <w:sz w:val="22"/>
          <w:szCs w:val="22"/>
          <w:lang w:val="sr-Latn-ME"/>
        </w:rPr>
      </w:pPr>
    </w:p>
    <w:p w14:paraId="4ECB5C1B" w14:textId="2DE8B028" w:rsidR="00066A0D" w:rsidRPr="00D123D4" w:rsidRDefault="00066A0D" w:rsidP="00D123D4">
      <w:pPr>
        <w:widowControl w:val="0"/>
        <w:tabs>
          <w:tab w:val="left" w:pos="284"/>
          <w:tab w:val="center" w:pos="4320"/>
          <w:tab w:val="right" w:pos="8640"/>
        </w:tabs>
        <w:jc w:val="both"/>
        <w:rPr>
          <w:sz w:val="22"/>
          <w:szCs w:val="22"/>
          <w:lang w:val="sr-Latn-ME"/>
        </w:rPr>
      </w:pPr>
      <w:r w:rsidRPr="00D123D4">
        <w:rPr>
          <w:bCs/>
          <w:sz w:val="22"/>
          <w:szCs w:val="22"/>
          <w:lang w:val="sr-Latn-ME"/>
        </w:rPr>
        <w:t>„</w:t>
      </w:r>
      <w:r w:rsidRPr="00D123D4">
        <w:rPr>
          <w:sz w:val="22"/>
          <w:szCs w:val="22"/>
          <w:lang w:val="sr-Latn-ME"/>
        </w:rPr>
        <w:t>Hoffmann-La Roche L</w:t>
      </w:r>
      <w:r w:rsidR="00D35A65" w:rsidRPr="00D123D4">
        <w:rPr>
          <w:sz w:val="22"/>
          <w:szCs w:val="22"/>
          <w:lang w:val="sr-Latn-ME"/>
        </w:rPr>
        <w:t>TD</w:t>
      </w:r>
      <w:r w:rsidRPr="00D123D4">
        <w:rPr>
          <w:sz w:val="22"/>
          <w:szCs w:val="22"/>
          <w:lang w:val="sr-Latn-ME"/>
        </w:rPr>
        <w:t>“ </w:t>
      </w:r>
      <w:r w:rsidR="00D35A65" w:rsidRPr="00D123D4">
        <w:rPr>
          <w:sz w:val="22"/>
          <w:szCs w:val="22"/>
          <w:lang w:val="sr-Latn-ME"/>
        </w:rPr>
        <w:t>D.S.D.</w:t>
      </w:r>
      <w:r w:rsidRPr="00D123D4">
        <w:rPr>
          <w:sz w:val="22"/>
          <w:szCs w:val="22"/>
          <w:lang w:val="sr-Latn-ME"/>
        </w:rPr>
        <w:t xml:space="preserve"> Podgorica</w:t>
      </w:r>
      <w:r w:rsidR="00C6425B" w:rsidRPr="00D123D4">
        <w:rPr>
          <w:sz w:val="22"/>
          <w:szCs w:val="22"/>
          <w:lang w:val="sr-Latn-ME"/>
        </w:rPr>
        <w:t>,</w:t>
      </w:r>
    </w:p>
    <w:p w14:paraId="6A994D39" w14:textId="75F2EFC3" w:rsidR="00066A0D" w:rsidRDefault="00D35A65" w:rsidP="00D123D4">
      <w:pPr>
        <w:widowControl w:val="0"/>
        <w:tabs>
          <w:tab w:val="left" w:pos="284"/>
          <w:tab w:val="center" w:pos="4320"/>
          <w:tab w:val="right" w:pos="8640"/>
        </w:tabs>
        <w:jc w:val="both"/>
        <w:rPr>
          <w:sz w:val="22"/>
          <w:szCs w:val="22"/>
          <w:lang w:val="sr-Latn-ME"/>
        </w:rPr>
      </w:pPr>
      <w:r w:rsidRPr="00D123D4">
        <w:rPr>
          <w:sz w:val="22"/>
          <w:szCs w:val="22"/>
          <w:lang w:val="sr-Latn-ME"/>
        </w:rPr>
        <w:t xml:space="preserve">ul. </w:t>
      </w:r>
      <w:r w:rsidR="00C365DA" w:rsidRPr="00D123D4">
        <w:rPr>
          <w:sz w:val="22"/>
          <w:szCs w:val="22"/>
          <w:lang w:val="sr-Latn-ME"/>
        </w:rPr>
        <w:t>Cetinjska 11</w:t>
      </w:r>
      <w:r w:rsidR="00066A0D" w:rsidRPr="00D123D4">
        <w:rPr>
          <w:sz w:val="22"/>
          <w:szCs w:val="22"/>
          <w:lang w:val="sr-Latn-ME"/>
        </w:rPr>
        <w:t>, 81000 Podgorica, Crna Gora</w:t>
      </w:r>
    </w:p>
    <w:p w14:paraId="14B47C84" w14:textId="77777777" w:rsidR="003D626A" w:rsidRPr="00D123D4" w:rsidRDefault="003D626A" w:rsidP="00D123D4">
      <w:pPr>
        <w:widowControl w:val="0"/>
        <w:tabs>
          <w:tab w:val="left" w:pos="284"/>
          <w:tab w:val="center" w:pos="4320"/>
          <w:tab w:val="right" w:pos="8640"/>
        </w:tabs>
        <w:jc w:val="both"/>
        <w:rPr>
          <w:sz w:val="22"/>
          <w:szCs w:val="22"/>
          <w:lang w:val="sr-Latn-ME"/>
        </w:rPr>
      </w:pPr>
    </w:p>
    <w:p w14:paraId="4C6F1ADF" w14:textId="7DE4FE55" w:rsidR="00C37FD7" w:rsidRPr="00D123D4" w:rsidRDefault="00C37FD7" w:rsidP="00D123D4">
      <w:pPr>
        <w:widowControl w:val="0"/>
        <w:tabs>
          <w:tab w:val="left" w:pos="540"/>
          <w:tab w:val="left" w:pos="569"/>
        </w:tabs>
        <w:rPr>
          <w:bCs/>
          <w:sz w:val="22"/>
          <w:szCs w:val="22"/>
          <w:lang w:val="sr-Latn-ME"/>
        </w:rPr>
      </w:pPr>
    </w:p>
    <w:p w14:paraId="54FE0447" w14:textId="77777777" w:rsidR="0095492A" w:rsidRPr="00D123D4" w:rsidRDefault="0095492A" w:rsidP="00D123D4">
      <w:pPr>
        <w:widowControl w:val="0"/>
        <w:tabs>
          <w:tab w:val="left" w:pos="540"/>
          <w:tab w:val="left" w:pos="569"/>
        </w:tabs>
        <w:rPr>
          <w:bCs/>
          <w:sz w:val="22"/>
          <w:szCs w:val="22"/>
          <w:lang w:val="sr-Latn-ME"/>
        </w:rPr>
      </w:pPr>
    </w:p>
    <w:p w14:paraId="4C6F1AE0" w14:textId="77777777" w:rsidR="0072020E" w:rsidRPr="00D123D4" w:rsidRDefault="0072020E" w:rsidP="00D123D4">
      <w:pPr>
        <w:widowControl w:val="0"/>
        <w:tabs>
          <w:tab w:val="left" w:pos="540"/>
          <w:tab w:val="left" w:pos="569"/>
        </w:tabs>
        <w:rPr>
          <w:b/>
          <w:bCs/>
          <w:sz w:val="22"/>
          <w:szCs w:val="22"/>
          <w:lang w:val="sr-Latn-ME"/>
        </w:rPr>
      </w:pPr>
      <w:r w:rsidRPr="00D123D4">
        <w:rPr>
          <w:b/>
          <w:bCs/>
          <w:sz w:val="22"/>
          <w:szCs w:val="22"/>
          <w:lang w:val="sr-Latn-ME"/>
        </w:rPr>
        <w:t xml:space="preserve">8. </w:t>
      </w:r>
      <w:r w:rsidR="00480FB1" w:rsidRPr="00D123D4">
        <w:rPr>
          <w:b/>
          <w:bCs/>
          <w:sz w:val="22"/>
          <w:szCs w:val="22"/>
          <w:lang w:val="sr-Latn-ME"/>
        </w:rPr>
        <w:tab/>
      </w:r>
      <w:r w:rsidRPr="00D123D4">
        <w:rPr>
          <w:b/>
          <w:bCs/>
          <w:sz w:val="22"/>
          <w:szCs w:val="22"/>
          <w:lang w:val="sr-Latn-ME"/>
        </w:rPr>
        <w:t>BROJ DOZVOLE</w:t>
      </w:r>
      <w:r w:rsidR="008A6D43" w:rsidRPr="00D123D4">
        <w:rPr>
          <w:b/>
          <w:bCs/>
          <w:sz w:val="22"/>
          <w:szCs w:val="22"/>
          <w:lang w:val="sr-Latn-ME"/>
        </w:rPr>
        <w:t xml:space="preserve"> ZA STAVLJANJE LIJEKA U PROMET</w:t>
      </w:r>
    </w:p>
    <w:p w14:paraId="4C6F1AE1" w14:textId="76D6B0DC" w:rsidR="0072020E" w:rsidRPr="00D123D4" w:rsidRDefault="0072020E" w:rsidP="00D123D4">
      <w:pPr>
        <w:widowControl w:val="0"/>
        <w:tabs>
          <w:tab w:val="left" w:pos="540"/>
          <w:tab w:val="left" w:pos="569"/>
        </w:tabs>
        <w:rPr>
          <w:bCs/>
          <w:sz w:val="22"/>
          <w:szCs w:val="22"/>
          <w:lang w:val="sr-Latn-ME"/>
        </w:rPr>
      </w:pPr>
    </w:p>
    <w:p w14:paraId="254BCC8D" w14:textId="7D9A11A7" w:rsidR="009C17E3" w:rsidRPr="00D123D4" w:rsidRDefault="009C17E3" w:rsidP="00D123D4">
      <w:pPr>
        <w:widowControl w:val="0"/>
        <w:tabs>
          <w:tab w:val="left" w:pos="540"/>
          <w:tab w:val="left" w:pos="569"/>
        </w:tabs>
        <w:rPr>
          <w:bCs/>
          <w:sz w:val="22"/>
          <w:szCs w:val="22"/>
          <w:lang w:val="sr-Latn-ME"/>
        </w:rPr>
      </w:pPr>
      <w:r w:rsidRPr="00D123D4">
        <w:rPr>
          <w:bCs/>
          <w:sz w:val="22"/>
          <w:szCs w:val="22"/>
          <w:lang w:val="sr-Latn-ME"/>
        </w:rPr>
        <w:t>2030/24/2913 - 8617</w:t>
      </w:r>
    </w:p>
    <w:p w14:paraId="0ABC61EC" w14:textId="6962A6A6" w:rsidR="0095492A" w:rsidRDefault="0095492A" w:rsidP="00D123D4">
      <w:pPr>
        <w:widowControl w:val="0"/>
        <w:tabs>
          <w:tab w:val="left" w:pos="540"/>
          <w:tab w:val="left" w:pos="569"/>
        </w:tabs>
        <w:rPr>
          <w:bCs/>
          <w:sz w:val="22"/>
          <w:szCs w:val="22"/>
          <w:lang w:val="sr-Latn-ME"/>
        </w:rPr>
      </w:pPr>
    </w:p>
    <w:p w14:paraId="08A02D89" w14:textId="77777777" w:rsidR="001E239A" w:rsidRPr="00D123D4" w:rsidRDefault="001E239A" w:rsidP="00D123D4">
      <w:pPr>
        <w:widowControl w:val="0"/>
        <w:tabs>
          <w:tab w:val="left" w:pos="540"/>
          <w:tab w:val="left" w:pos="569"/>
        </w:tabs>
        <w:rPr>
          <w:bCs/>
          <w:sz w:val="22"/>
          <w:szCs w:val="22"/>
          <w:lang w:val="sr-Latn-ME"/>
        </w:rPr>
      </w:pPr>
    </w:p>
    <w:p w14:paraId="4C6F1AE3" w14:textId="77777777" w:rsidR="0072020E" w:rsidRPr="00D123D4" w:rsidRDefault="0072020E" w:rsidP="00D123D4">
      <w:pPr>
        <w:widowControl w:val="0"/>
        <w:tabs>
          <w:tab w:val="left" w:pos="540"/>
          <w:tab w:val="left" w:pos="569"/>
        </w:tabs>
        <w:rPr>
          <w:b/>
          <w:bCs/>
          <w:sz w:val="22"/>
          <w:szCs w:val="22"/>
          <w:lang w:val="sr-Latn-ME"/>
        </w:rPr>
      </w:pPr>
      <w:r w:rsidRPr="00D123D4">
        <w:rPr>
          <w:b/>
          <w:bCs/>
          <w:sz w:val="22"/>
          <w:szCs w:val="22"/>
          <w:lang w:val="sr-Latn-ME"/>
        </w:rPr>
        <w:t xml:space="preserve">9. </w:t>
      </w:r>
      <w:r w:rsidR="00480FB1" w:rsidRPr="00D123D4">
        <w:rPr>
          <w:b/>
          <w:bCs/>
          <w:sz w:val="22"/>
          <w:szCs w:val="22"/>
          <w:lang w:val="sr-Latn-ME"/>
        </w:rPr>
        <w:tab/>
      </w:r>
      <w:r w:rsidRPr="00D123D4">
        <w:rPr>
          <w:b/>
          <w:bCs/>
          <w:sz w:val="22"/>
          <w:szCs w:val="22"/>
          <w:lang w:val="sr-Latn-ME"/>
        </w:rPr>
        <w:t xml:space="preserve">DATUM </w:t>
      </w:r>
      <w:r w:rsidR="00C05DF8" w:rsidRPr="00D123D4">
        <w:rPr>
          <w:b/>
          <w:bCs/>
          <w:sz w:val="22"/>
          <w:szCs w:val="22"/>
          <w:lang w:val="sr-Latn-ME"/>
        </w:rPr>
        <w:t xml:space="preserve">PRVE </w:t>
      </w:r>
      <w:r w:rsidR="008A6D43" w:rsidRPr="00D123D4">
        <w:rPr>
          <w:b/>
          <w:bCs/>
          <w:sz w:val="22"/>
          <w:szCs w:val="22"/>
          <w:lang w:val="sr-Latn-ME"/>
        </w:rPr>
        <w:t>DOZVOLE</w:t>
      </w:r>
      <w:r w:rsidR="00C05DF8" w:rsidRPr="00D123D4">
        <w:rPr>
          <w:b/>
          <w:bCs/>
          <w:sz w:val="22"/>
          <w:szCs w:val="22"/>
          <w:lang w:val="sr-Latn-ME"/>
        </w:rPr>
        <w:t>/OBNOVE DOZVOLE</w:t>
      </w:r>
      <w:r w:rsidR="008A6D43" w:rsidRPr="00D123D4">
        <w:rPr>
          <w:b/>
          <w:bCs/>
          <w:sz w:val="22"/>
          <w:szCs w:val="22"/>
          <w:lang w:val="sr-Latn-ME"/>
        </w:rPr>
        <w:t xml:space="preserve"> ZA STAVLJANJE LIJEKA U PROMET</w:t>
      </w:r>
    </w:p>
    <w:p w14:paraId="4C6F1AE4" w14:textId="77777777" w:rsidR="0072020E" w:rsidRPr="00D123D4" w:rsidRDefault="0072020E" w:rsidP="00D123D4">
      <w:pPr>
        <w:widowControl w:val="0"/>
        <w:tabs>
          <w:tab w:val="left" w:pos="540"/>
          <w:tab w:val="left" w:pos="569"/>
        </w:tabs>
        <w:rPr>
          <w:bCs/>
          <w:sz w:val="22"/>
          <w:szCs w:val="22"/>
          <w:lang w:val="sr-Latn-ME"/>
        </w:rPr>
      </w:pPr>
    </w:p>
    <w:p w14:paraId="7EDEF252" w14:textId="33CFE16C" w:rsidR="00066A0D" w:rsidRPr="00D123D4" w:rsidRDefault="00D35A65" w:rsidP="00D123D4">
      <w:pPr>
        <w:widowControl w:val="0"/>
        <w:tabs>
          <w:tab w:val="center" w:pos="4320"/>
          <w:tab w:val="right" w:pos="8640"/>
        </w:tabs>
        <w:jc w:val="both"/>
        <w:rPr>
          <w:sz w:val="22"/>
          <w:szCs w:val="22"/>
          <w:lang w:val="sr-Latn-ME"/>
        </w:rPr>
      </w:pPr>
      <w:r w:rsidRPr="00D123D4">
        <w:rPr>
          <w:sz w:val="22"/>
          <w:szCs w:val="22"/>
          <w:lang w:val="sr-Latn-ME"/>
        </w:rPr>
        <w:t>Datum prve dozvole:</w:t>
      </w:r>
      <w:r w:rsidR="00066A0D" w:rsidRPr="00D123D4">
        <w:rPr>
          <w:sz w:val="22"/>
          <w:szCs w:val="22"/>
          <w:lang w:val="sr-Latn-ME"/>
        </w:rPr>
        <w:t xml:space="preserve"> 10.09.2018. </w:t>
      </w:r>
      <w:r w:rsidRPr="00D123D4">
        <w:rPr>
          <w:sz w:val="22"/>
          <w:szCs w:val="22"/>
          <w:lang w:val="sr-Latn-ME"/>
        </w:rPr>
        <w:t>godine</w:t>
      </w:r>
    </w:p>
    <w:p w14:paraId="70887044" w14:textId="592EB758" w:rsidR="00D35A65" w:rsidRPr="00D123D4" w:rsidRDefault="00D35A65" w:rsidP="00D123D4">
      <w:pPr>
        <w:widowControl w:val="0"/>
        <w:tabs>
          <w:tab w:val="left" w:pos="540"/>
          <w:tab w:val="left" w:pos="569"/>
        </w:tabs>
        <w:rPr>
          <w:bCs/>
          <w:sz w:val="22"/>
          <w:szCs w:val="22"/>
          <w:lang w:val="sr-Latn-ME"/>
        </w:rPr>
      </w:pPr>
      <w:r w:rsidRPr="00D123D4">
        <w:rPr>
          <w:bCs/>
          <w:sz w:val="22"/>
          <w:szCs w:val="22"/>
          <w:lang w:val="sr-Latn-ME"/>
        </w:rPr>
        <w:t xml:space="preserve">Datum posljednje obnove dozvole: </w:t>
      </w:r>
      <w:r w:rsidR="009C17E3" w:rsidRPr="00D123D4">
        <w:rPr>
          <w:bCs/>
          <w:sz w:val="22"/>
          <w:szCs w:val="22"/>
          <w:lang w:val="sr-Latn-ME"/>
        </w:rPr>
        <w:t>07.06.2024. godine</w:t>
      </w:r>
    </w:p>
    <w:p w14:paraId="4C6F1AE5" w14:textId="2A7C4723" w:rsidR="00836B35" w:rsidRPr="00D123D4" w:rsidRDefault="00836B35" w:rsidP="00D123D4">
      <w:pPr>
        <w:widowControl w:val="0"/>
        <w:tabs>
          <w:tab w:val="left" w:pos="540"/>
          <w:tab w:val="left" w:pos="569"/>
        </w:tabs>
        <w:rPr>
          <w:bCs/>
          <w:sz w:val="22"/>
          <w:szCs w:val="22"/>
          <w:lang w:val="sr-Latn-ME"/>
        </w:rPr>
      </w:pPr>
    </w:p>
    <w:p w14:paraId="7CC1D4CA" w14:textId="77777777" w:rsidR="0095492A" w:rsidRPr="00D123D4" w:rsidRDefault="0095492A" w:rsidP="00D123D4">
      <w:pPr>
        <w:widowControl w:val="0"/>
        <w:tabs>
          <w:tab w:val="left" w:pos="540"/>
          <w:tab w:val="left" w:pos="569"/>
        </w:tabs>
        <w:rPr>
          <w:bCs/>
          <w:sz w:val="22"/>
          <w:szCs w:val="22"/>
          <w:lang w:val="sr-Latn-ME"/>
        </w:rPr>
      </w:pPr>
    </w:p>
    <w:p w14:paraId="4C6F1AE6" w14:textId="77777777" w:rsidR="003F6A59" w:rsidRPr="00D123D4" w:rsidRDefault="0072020E" w:rsidP="00D123D4">
      <w:pPr>
        <w:widowControl w:val="0"/>
        <w:tabs>
          <w:tab w:val="left" w:pos="540"/>
          <w:tab w:val="left" w:pos="569"/>
        </w:tabs>
        <w:rPr>
          <w:bCs/>
          <w:sz w:val="22"/>
          <w:szCs w:val="22"/>
          <w:lang w:val="sr-Latn-ME"/>
        </w:rPr>
      </w:pPr>
      <w:r w:rsidRPr="00D123D4">
        <w:rPr>
          <w:b/>
          <w:bCs/>
          <w:sz w:val="22"/>
          <w:szCs w:val="22"/>
          <w:lang w:val="sr-Latn-ME"/>
        </w:rPr>
        <w:t xml:space="preserve">10. </w:t>
      </w:r>
      <w:r w:rsidR="00480FB1" w:rsidRPr="00D123D4">
        <w:rPr>
          <w:b/>
          <w:bCs/>
          <w:sz w:val="22"/>
          <w:szCs w:val="22"/>
          <w:lang w:val="sr-Latn-ME"/>
        </w:rPr>
        <w:tab/>
      </w:r>
      <w:r w:rsidR="002846DB" w:rsidRPr="00D123D4">
        <w:rPr>
          <w:b/>
          <w:bCs/>
          <w:sz w:val="22"/>
          <w:szCs w:val="22"/>
          <w:lang w:val="sr-Latn-ME"/>
        </w:rPr>
        <w:t>D</w:t>
      </w:r>
      <w:r w:rsidR="00EC2532" w:rsidRPr="00D123D4">
        <w:rPr>
          <w:b/>
          <w:bCs/>
          <w:sz w:val="22"/>
          <w:szCs w:val="22"/>
          <w:lang w:val="sr-Latn-ME"/>
        </w:rPr>
        <w:t xml:space="preserve">ATUM REVIZIJE TEKSTA </w:t>
      </w:r>
    </w:p>
    <w:p w14:paraId="4C6F1AE7" w14:textId="093D0BFC" w:rsidR="003F6A59" w:rsidRPr="00D123D4" w:rsidRDefault="003F6A59" w:rsidP="00D123D4">
      <w:pPr>
        <w:widowControl w:val="0"/>
        <w:tabs>
          <w:tab w:val="left" w:pos="540"/>
          <w:tab w:val="left" w:pos="569"/>
        </w:tabs>
        <w:rPr>
          <w:bCs/>
          <w:sz w:val="22"/>
          <w:szCs w:val="22"/>
          <w:lang w:val="sr-Latn-ME"/>
        </w:rPr>
      </w:pPr>
    </w:p>
    <w:p w14:paraId="4C6F1AEF" w14:textId="792530A7" w:rsidR="003F6A59" w:rsidRPr="00D123D4" w:rsidRDefault="00F45D33" w:rsidP="00D123D4">
      <w:pPr>
        <w:widowControl w:val="0"/>
        <w:tabs>
          <w:tab w:val="left" w:pos="540"/>
          <w:tab w:val="left" w:pos="569"/>
        </w:tabs>
        <w:rPr>
          <w:bCs/>
          <w:sz w:val="22"/>
          <w:szCs w:val="22"/>
          <w:lang w:val="sr-Latn-ME"/>
        </w:rPr>
      </w:pPr>
      <w:r>
        <w:rPr>
          <w:bCs/>
          <w:sz w:val="22"/>
          <w:szCs w:val="22"/>
          <w:lang w:val="sr-Latn-ME"/>
        </w:rPr>
        <w:t>Jun</w:t>
      </w:r>
      <w:bookmarkStart w:id="0" w:name="_GoBack"/>
      <w:bookmarkEnd w:id="0"/>
      <w:r w:rsidR="009C17E3" w:rsidRPr="00D123D4">
        <w:rPr>
          <w:bCs/>
          <w:sz w:val="22"/>
          <w:szCs w:val="22"/>
          <w:lang w:val="sr-Latn-ME"/>
        </w:rPr>
        <w:t>, 202</w:t>
      </w:r>
      <w:r w:rsidR="00E60504" w:rsidRPr="00D123D4">
        <w:rPr>
          <w:bCs/>
          <w:sz w:val="22"/>
          <w:szCs w:val="22"/>
          <w:lang w:val="sr-Latn-ME"/>
        </w:rPr>
        <w:t>5</w:t>
      </w:r>
      <w:r w:rsidR="009C17E3" w:rsidRPr="00D123D4">
        <w:rPr>
          <w:bCs/>
          <w:sz w:val="22"/>
          <w:szCs w:val="22"/>
          <w:lang w:val="sr-Latn-ME"/>
        </w:rPr>
        <w:t>. godine</w:t>
      </w:r>
    </w:p>
    <w:sectPr w:rsidR="003F6A59" w:rsidRPr="00D123D4" w:rsidSect="00D123D4">
      <w:footerReference w:type="default" r:id="rId17"/>
      <w:pgSz w:w="11909" w:h="16834" w:code="9"/>
      <w:pgMar w:top="851" w:right="1418" w:bottom="851"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443C2" w14:textId="77777777" w:rsidR="00874AC3" w:rsidRDefault="00874AC3">
      <w:r>
        <w:separator/>
      </w:r>
    </w:p>
  </w:endnote>
  <w:endnote w:type="continuationSeparator" w:id="0">
    <w:p w14:paraId="4B928B61" w14:textId="77777777" w:rsidR="00874AC3" w:rsidRDefault="0087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n-ea">
    <w:altName w:val="Cambria"/>
    <w:panose1 w:val="00000000000000000000"/>
    <w:charset w:val="00"/>
    <w:family w:val="roman"/>
    <w:notTrueType/>
    <w:pitch w:val="default"/>
  </w:font>
  <w:font w:name="+mn-cs">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F1AF8" w14:textId="0F6DC7E3" w:rsidR="002961A0" w:rsidRPr="00B23F69" w:rsidRDefault="002961A0"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F45D33">
      <w:rPr>
        <w:noProof/>
        <w:sz w:val="22"/>
        <w:szCs w:val="22"/>
      </w:rPr>
      <w:t>22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F45D33">
      <w:rPr>
        <w:noProof/>
        <w:sz w:val="22"/>
        <w:szCs w:val="22"/>
      </w:rPr>
      <w:t>24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27D53" w14:textId="77777777" w:rsidR="00874AC3" w:rsidRDefault="00874AC3">
      <w:r>
        <w:separator/>
      </w:r>
    </w:p>
  </w:footnote>
  <w:footnote w:type="continuationSeparator" w:id="0">
    <w:p w14:paraId="28533D43" w14:textId="77777777" w:rsidR="00874AC3" w:rsidRDefault="00874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65pt;height:13.75pt;visibility:visible;mso-wrap-style:square" o:bullet="t">
        <v:imagedata r:id="rId1" o:title=""/>
      </v:shape>
    </w:pict>
  </w:numPicBullet>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540C9"/>
    <w:multiLevelType w:val="hybridMultilevel"/>
    <w:tmpl w:val="21D08B02"/>
    <w:lvl w:ilvl="0" w:tplc="3C448478">
      <w:start w:val="8"/>
      <w:numFmt w:val="bullet"/>
      <w:lvlText w:val="-"/>
      <w:lvlJc w:val="left"/>
      <w:pPr>
        <w:tabs>
          <w:tab w:val="num" w:pos="567"/>
        </w:tabs>
        <w:ind w:left="567" w:hanging="56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EC31154"/>
    <w:multiLevelType w:val="hybridMultilevel"/>
    <w:tmpl w:val="D73A8894"/>
    <w:lvl w:ilvl="0" w:tplc="81D652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861026"/>
    <w:multiLevelType w:val="hybridMultilevel"/>
    <w:tmpl w:val="5156E520"/>
    <w:lvl w:ilvl="0" w:tplc="BE682402">
      <w:start w:val="1"/>
      <w:numFmt w:val="bullet"/>
      <w:lvlText w:val=""/>
      <w:lvlPicBulletId w:val="0"/>
      <w:lvlJc w:val="left"/>
      <w:pPr>
        <w:tabs>
          <w:tab w:val="num" w:pos="720"/>
        </w:tabs>
        <w:ind w:left="720" w:hanging="360"/>
      </w:pPr>
      <w:rPr>
        <w:rFonts w:ascii="Symbol" w:hAnsi="Symbol" w:hint="default"/>
      </w:rPr>
    </w:lvl>
    <w:lvl w:ilvl="1" w:tplc="A5D0CE66" w:tentative="1">
      <w:start w:val="1"/>
      <w:numFmt w:val="bullet"/>
      <w:lvlText w:val=""/>
      <w:lvlJc w:val="left"/>
      <w:pPr>
        <w:tabs>
          <w:tab w:val="num" w:pos="1440"/>
        </w:tabs>
        <w:ind w:left="1440" w:hanging="360"/>
      </w:pPr>
      <w:rPr>
        <w:rFonts w:ascii="Symbol" w:hAnsi="Symbol" w:hint="default"/>
      </w:rPr>
    </w:lvl>
    <w:lvl w:ilvl="2" w:tplc="A1829476" w:tentative="1">
      <w:start w:val="1"/>
      <w:numFmt w:val="bullet"/>
      <w:lvlText w:val=""/>
      <w:lvlJc w:val="left"/>
      <w:pPr>
        <w:tabs>
          <w:tab w:val="num" w:pos="2160"/>
        </w:tabs>
        <w:ind w:left="2160" w:hanging="360"/>
      </w:pPr>
      <w:rPr>
        <w:rFonts w:ascii="Symbol" w:hAnsi="Symbol" w:hint="default"/>
      </w:rPr>
    </w:lvl>
    <w:lvl w:ilvl="3" w:tplc="1EF6217E" w:tentative="1">
      <w:start w:val="1"/>
      <w:numFmt w:val="bullet"/>
      <w:lvlText w:val=""/>
      <w:lvlJc w:val="left"/>
      <w:pPr>
        <w:tabs>
          <w:tab w:val="num" w:pos="2880"/>
        </w:tabs>
        <w:ind w:left="2880" w:hanging="360"/>
      </w:pPr>
      <w:rPr>
        <w:rFonts w:ascii="Symbol" w:hAnsi="Symbol" w:hint="default"/>
      </w:rPr>
    </w:lvl>
    <w:lvl w:ilvl="4" w:tplc="6B9473D6" w:tentative="1">
      <w:start w:val="1"/>
      <w:numFmt w:val="bullet"/>
      <w:lvlText w:val=""/>
      <w:lvlJc w:val="left"/>
      <w:pPr>
        <w:tabs>
          <w:tab w:val="num" w:pos="3600"/>
        </w:tabs>
        <w:ind w:left="3600" w:hanging="360"/>
      </w:pPr>
      <w:rPr>
        <w:rFonts w:ascii="Symbol" w:hAnsi="Symbol" w:hint="default"/>
      </w:rPr>
    </w:lvl>
    <w:lvl w:ilvl="5" w:tplc="71D2FC6A" w:tentative="1">
      <w:start w:val="1"/>
      <w:numFmt w:val="bullet"/>
      <w:lvlText w:val=""/>
      <w:lvlJc w:val="left"/>
      <w:pPr>
        <w:tabs>
          <w:tab w:val="num" w:pos="4320"/>
        </w:tabs>
        <w:ind w:left="4320" w:hanging="360"/>
      </w:pPr>
      <w:rPr>
        <w:rFonts w:ascii="Symbol" w:hAnsi="Symbol" w:hint="default"/>
      </w:rPr>
    </w:lvl>
    <w:lvl w:ilvl="6" w:tplc="FC16A29C" w:tentative="1">
      <w:start w:val="1"/>
      <w:numFmt w:val="bullet"/>
      <w:lvlText w:val=""/>
      <w:lvlJc w:val="left"/>
      <w:pPr>
        <w:tabs>
          <w:tab w:val="num" w:pos="5040"/>
        </w:tabs>
        <w:ind w:left="5040" w:hanging="360"/>
      </w:pPr>
      <w:rPr>
        <w:rFonts w:ascii="Symbol" w:hAnsi="Symbol" w:hint="default"/>
      </w:rPr>
    </w:lvl>
    <w:lvl w:ilvl="7" w:tplc="A4BC31B8" w:tentative="1">
      <w:start w:val="1"/>
      <w:numFmt w:val="bullet"/>
      <w:lvlText w:val=""/>
      <w:lvlJc w:val="left"/>
      <w:pPr>
        <w:tabs>
          <w:tab w:val="num" w:pos="5760"/>
        </w:tabs>
        <w:ind w:left="5760" w:hanging="360"/>
      </w:pPr>
      <w:rPr>
        <w:rFonts w:ascii="Symbol" w:hAnsi="Symbol" w:hint="default"/>
      </w:rPr>
    </w:lvl>
    <w:lvl w:ilvl="8" w:tplc="CA6073E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321B7A70"/>
    <w:multiLevelType w:val="hybridMultilevel"/>
    <w:tmpl w:val="D7C4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115F61"/>
    <w:multiLevelType w:val="hybridMultilevel"/>
    <w:tmpl w:val="7D06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42E0CE4"/>
    <w:multiLevelType w:val="hybridMultilevel"/>
    <w:tmpl w:val="80049C7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6" w15:restartNumberingAfterBreak="0">
    <w:nsid w:val="38542C71"/>
    <w:multiLevelType w:val="hybridMultilevel"/>
    <w:tmpl w:val="587AC020"/>
    <w:lvl w:ilvl="0" w:tplc="4C2EEEA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245C75"/>
    <w:multiLevelType w:val="hybridMultilevel"/>
    <w:tmpl w:val="F3324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4CE7062F"/>
    <w:multiLevelType w:val="hybridMultilevel"/>
    <w:tmpl w:val="C2C811EA"/>
    <w:lvl w:ilvl="0" w:tplc="B88C7660">
      <w:start w:val="1"/>
      <w:numFmt w:val="bullet"/>
      <w:lvlText w:val=""/>
      <w:lvlPicBulletId w:val="0"/>
      <w:lvlJc w:val="left"/>
      <w:pPr>
        <w:tabs>
          <w:tab w:val="num" w:pos="720"/>
        </w:tabs>
        <w:ind w:left="720" w:hanging="360"/>
      </w:pPr>
      <w:rPr>
        <w:rFonts w:ascii="Symbol" w:hAnsi="Symbol" w:hint="default"/>
      </w:rPr>
    </w:lvl>
    <w:lvl w:ilvl="1" w:tplc="DB46CC04" w:tentative="1">
      <w:start w:val="1"/>
      <w:numFmt w:val="bullet"/>
      <w:lvlText w:val=""/>
      <w:lvlJc w:val="left"/>
      <w:pPr>
        <w:tabs>
          <w:tab w:val="num" w:pos="1440"/>
        </w:tabs>
        <w:ind w:left="1440" w:hanging="360"/>
      </w:pPr>
      <w:rPr>
        <w:rFonts w:ascii="Symbol" w:hAnsi="Symbol" w:hint="default"/>
      </w:rPr>
    </w:lvl>
    <w:lvl w:ilvl="2" w:tplc="2A3E06B2" w:tentative="1">
      <w:start w:val="1"/>
      <w:numFmt w:val="bullet"/>
      <w:lvlText w:val=""/>
      <w:lvlJc w:val="left"/>
      <w:pPr>
        <w:tabs>
          <w:tab w:val="num" w:pos="2160"/>
        </w:tabs>
        <w:ind w:left="2160" w:hanging="360"/>
      </w:pPr>
      <w:rPr>
        <w:rFonts w:ascii="Symbol" w:hAnsi="Symbol" w:hint="default"/>
      </w:rPr>
    </w:lvl>
    <w:lvl w:ilvl="3" w:tplc="59441C72" w:tentative="1">
      <w:start w:val="1"/>
      <w:numFmt w:val="bullet"/>
      <w:lvlText w:val=""/>
      <w:lvlJc w:val="left"/>
      <w:pPr>
        <w:tabs>
          <w:tab w:val="num" w:pos="2880"/>
        </w:tabs>
        <w:ind w:left="2880" w:hanging="360"/>
      </w:pPr>
      <w:rPr>
        <w:rFonts w:ascii="Symbol" w:hAnsi="Symbol" w:hint="default"/>
      </w:rPr>
    </w:lvl>
    <w:lvl w:ilvl="4" w:tplc="8708D9C8" w:tentative="1">
      <w:start w:val="1"/>
      <w:numFmt w:val="bullet"/>
      <w:lvlText w:val=""/>
      <w:lvlJc w:val="left"/>
      <w:pPr>
        <w:tabs>
          <w:tab w:val="num" w:pos="3600"/>
        </w:tabs>
        <w:ind w:left="3600" w:hanging="360"/>
      </w:pPr>
      <w:rPr>
        <w:rFonts w:ascii="Symbol" w:hAnsi="Symbol" w:hint="default"/>
      </w:rPr>
    </w:lvl>
    <w:lvl w:ilvl="5" w:tplc="63648CD0" w:tentative="1">
      <w:start w:val="1"/>
      <w:numFmt w:val="bullet"/>
      <w:lvlText w:val=""/>
      <w:lvlJc w:val="left"/>
      <w:pPr>
        <w:tabs>
          <w:tab w:val="num" w:pos="4320"/>
        </w:tabs>
        <w:ind w:left="4320" w:hanging="360"/>
      </w:pPr>
      <w:rPr>
        <w:rFonts w:ascii="Symbol" w:hAnsi="Symbol" w:hint="default"/>
      </w:rPr>
    </w:lvl>
    <w:lvl w:ilvl="6" w:tplc="87FC2F30" w:tentative="1">
      <w:start w:val="1"/>
      <w:numFmt w:val="bullet"/>
      <w:lvlText w:val=""/>
      <w:lvlJc w:val="left"/>
      <w:pPr>
        <w:tabs>
          <w:tab w:val="num" w:pos="5040"/>
        </w:tabs>
        <w:ind w:left="5040" w:hanging="360"/>
      </w:pPr>
      <w:rPr>
        <w:rFonts w:ascii="Symbol" w:hAnsi="Symbol" w:hint="default"/>
      </w:rPr>
    </w:lvl>
    <w:lvl w:ilvl="7" w:tplc="BE9E25DE" w:tentative="1">
      <w:start w:val="1"/>
      <w:numFmt w:val="bullet"/>
      <w:lvlText w:val=""/>
      <w:lvlJc w:val="left"/>
      <w:pPr>
        <w:tabs>
          <w:tab w:val="num" w:pos="5760"/>
        </w:tabs>
        <w:ind w:left="5760" w:hanging="360"/>
      </w:pPr>
      <w:rPr>
        <w:rFonts w:ascii="Symbol" w:hAnsi="Symbol" w:hint="default"/>
      </w:rPr>
    </w:lvl>
    <w:lvl w:ilvl="8" w:tplc="03460946"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6331B40"/>
    <w:multiLevelType w:val="hybridMultilevel"/>
    <w:tmpl w:val="D922992C"/>
    <w:lvl w:ilvl="0" w:tplc="8ADC7C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FB68A0"/>
    <w:multiLevelType w:val="hybridMultilevel"/>
    <w:tmpl w:val="8572C6DA"/>
    <w:lvl w:ilvl="0" w:tplc="4C2EEEA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C60966"/>
    <w:multiLevelType w:val="hybridMultilevel"/>
    <w:tmpl w:val="A1861B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C304DC7"/>
    <w:multiLevelType w:val="hybridMultilevel"/>
    <w:tmpl w:val="25EC4A8E"/>
    <w:lvl w:ilvl="0" w:tplc="ED0EF2DC">
      <w:start w:val="37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AA5F7D"/>
    <w:multiLevelType w:val="hybridMultilevel"/>
    <w:tmpl w:val="002E445A"/>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AA69E2"/>
    <w:multiLevelType w:val="hybridMultilevel"/>
    <w:tmpl w:val="65CA5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E13F25"/>
    <w:multiLevelType w:val="hybridMultilevel"/>
    <w:tmpl w:val="F996AF32"/>
    <w:lvl w:ilvl="0" w:tplc="C08EA274">
      <w:start w:val="8"/>
      <w:numFmt w:val="bullet"/>
      <w:lvlText w:val="-"/>
      <w:lvlJc w:val="left"/>
      <w:pPr>
        <w:tabs>
          <w:tab w:val="num" w:pos="567"/>
        </w:tabs>
        <w:ind w:left="567" w:hanging="567"/>
      </w:pPr>
      <w:rPr>
        <w:rFonts w:ascii="Arial" w:eastAsia="Times New Roman" w:hAnsi="Arial" w:hint="default"/>
      </w:rPr>
    </w:lvl>
    <w:lvl w:ilvl="1" w:tplc="D40A3CC6">
      <w:start w:val="4"/>
      <w:numFmt w:val="decimal"/>
      <w:lvlText w:val="4.%2."/>
      <w:lvlJc w:val="left"/>
      <w:pPr>
        <w:tabs>
          <w:tab w:val="num" w:pos="567"/>
        </w:tabs>
        <w:ind w:left="567" w:hanging="567"/>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7"/>
  </w:num>
  <w:num w:numId="3">
    <w:abstractNumId w:val="11"/>
  </w:num>
  <w:num w:numId="4">
    <w:abstractNumId w:val="31"/>
  </w:num>
  <w:num w:numId="5">
    <w:abstractNumId w:val="17"/>
  </w:num>
  <w:num w:numId="6">
    <w:abstractNumId w:val="12"/>
  </w:num>
  <w:num w:numId="7">
    <w:abstractNumId w:val="29"/>
  </w:num>
  <w:num w:numId="8">
    <w:abstractNumId w:val="16"/>
  </w:num>
  <w:num w:numId="9">
    <w:abstractNumId w:val="21"/>
  </w:num>
  <w:num w:numId="10">
    <w:abstractNumId w:val="40"/>
  </w:num>
  <w:num w:numId="11">
    <w:abstractNumId w:val="18"/>
  </w:num>
  <w:num w:numId="12">
    <w:abstractNumId w:val="24"/>
  </w:num>
  <w:num w:numId="13">
    <w:abstractNumId w:val="27"/>
  </w:num>
  <w:num w:numId="14">
    <w:abstractNumId w:val="19"/>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6"/>
  </w:num>
  <w:num w:numId="26">
    <w:abstractNumId w:val="20"/>
  </w:num>
  <w:num w:numId="27">
    <w:abstractNumId w:val="35"/>
  </w:num>
  <w:num w:numId="28">
    <w:abstractNumId w:val="13"/>
  </w:num>
  <w:num w:numId="29">
    <w:abstractNumId w:val="26"/>
  </w:num>
  <w:num w:numId="30">
    <w:abstractNumId w:val="33"/>
  </w:num>
  <w:num w:numId="31">
    <w:abstractNumId w:val="10"/>
  </w:num>
  <w:num w:numId="32">
    <w:abstractNumId w:val="42"/>
  </w:num>
  <w:num w:numId="33">
    <w:abstractNumId w:val="32"/>
  </w:num>
  <w:num w:numId="34">
    <w:abstractNumId w:val="38"/>
  </w:num>
  <w:num w:numId="35">
    <w:abstractNumId w:val="34"/>
  </w:num>
  <w:num w:numId="36">
    <w:abstractNumId w:val="23"/>
  </w:num>
  <w:num w:numId="37">
    <w:abstractNumId w:val="30"/>
  </w:num>
  <w:num w:numId="38">
    <w:abstractNumId w:val="14"/>
  </w:num>
  <w:num w:numId="39">
    <w:abstractNumId w:val="22"/>
  </w:num>
  <w:num w:numId="40">
    <w:abstractNumId w:val="41"/>
  </w:num>
  <w:num w:numId="41">
    <w:abstractNumId w:val="28"/>
  </w:num>
  <w:num w:numId="42">
    <w:abstractNumId w:val="25"/>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239C"/>
    <w:rsid w:val="00007750"/>
    <w:rsid w:val="000176CA"/>
    <w:rsid w:val="00036FA0"/>
    <w:rsid w:val="0003793F"/>
    <w:rsid w:val="000532C4"/>
    <w:rsid w:val="00057E35"/>
    <w:rsid w:val="00062B77"/>
    <w:rsid w:val="00066A0D"/>
    <w:rsid w:val="00076726"/>
    <w:rsid w:val="00080303"/>
    <w:rsid w:val="00090C5F"/>
    <w:rsid w:val="000A21AB"/>
    <w:rsid w:val="000A38FC"/>
    <w:rsid w:val="000A3F58"/>
    <w:rsid w:val="000C7427"/>
    <w:rsid w:val="000D2343"/>
    <w:rsid w:val="000D3449"/>
    <w:rsid w:val="000D425A"/>
    <w:rsid w:val="000D60CC"/>
    <w:rsid w:val="000E2084"/>
    <w:rsid w:val="000E6F55"/>
    <w:rsid w:val="000F77FA"/>
    <w:rsid w:val="00107BF7"/>
    <w:rsid w:val="001110A7"/>
    <w:rsid w:val="00120366"/>
    <w:rsid w:val="00126F53"/>
    <w:rsid w:val="0014766D"/>
    <w:rsid w:val="00147F5C"/>
    <w:rsid w:val="00152D04"/>
    <w:rsid w:val="001536CC"/>
    <w:rsid w:val="00156291"/>
    <w:rsid w:val="001621EC"/>
    <w:rsid w:val="00166695"/>
    <w:rsid w:val="001968D1"/>
    <w:rsid w:val="00197778"/>
    <w:rsid w:val="001A063E"/>
    <w:rsid w:val="001A0CF2"/>
    <w:rsid w:val="001A0E05"/>
    <w:rsid w:val="001A0E47"/>
    <w:rsid w:val="001A3FBA"/>
    <w:rsid w:val="001A5518"/>
    <w:rsid w:val="001B1C6A"/>
    <w:rsid w:val="001C1263"/>
    <w:rsid w:val="001C1417"/>
    <w:rsid w:val="001C5705"/>
    <w:rsid w:val="001D337C"/>
    <w:rsid w:val="001D349E"/>
    <w:rsid w:val="001E239A"/>
    <w:rsid w:val="001E390B"/>
    <w:rsid w:val="001E7992"/>
    <w:rsid w:val="001F42FB"/>
    <w:rsid w:val="001F719A"/>
    <w:rsid w:val="002013D0"/>
    <w:rsid w:val="002031B3"/>
    <w:rsid w:val="0021487C"/>
    <w:rsid w:val="00215931"/>
    <w:rsid w:val="00226450"/>
    <w:rsid w:val="00227BDB"/>
    <w:rsid w:val="0023225D"/>
    <w:rsid w:val="00234CB1"/>
    <w:rsid w:val="002352F8"/>
    <w:rsid w:val="00235401"/>
    <w:rsid w:val="00243D3D"/>
    <w:rsid w:val="002510A5"/>
    <w:rsid w:val="00254A0A"/>
    <w:rsid w:val="00256986"/>
    <w:rsid w:val="00265BE1"/>
    <w:rsid w:val="00266046"/>
    <w:rsid w:val="00274A04"/>
    <w:rsid w:val="0027613B"/>
    <w:rsid w:val="0028456D"/>
    <w:rsid w:val="002846DB"/>
    <w:rsid w:val="00284CCD"/>
    <w:rsid w:val="002873F7"/>
    <w:rsid w:val="00292399"/>
    <w:rsid w:val="002961A0"/>
    <w:rsid w:val="002C6637"/>
    <w:rsid w:val="002E0135"/>
    <w:rsid w:val="002E37A5"/>
    <w:rsid w:val="003002CC"/>
    <w:rsid w:val="003036E4"/>
    <w:rsid w:val="00310F03"/>
    <w:rsid w:val="0031418E"/>
    <w:rsid w:val="003247D2"/>
    <w:rsid w:val="00332145"/>
    <w:rsid w:val="00333A4D"/>
    <w:rsid w:val="00335FC1"/>
    <w:rsid w:val="003445C1"/>
    <w:rsid w:val="00355B61"/>
    <w:rsid w:val="00362686"/>
    <w:rsid w:val="003708D7"/>
    <w:rsid w:val="00371510"/>
    <w:rsid w:val="00372462"/>
    <w:rsid w:val="00385A3A"/>
    <w:rsid w:val="00387579"/>
    <w:rsid w:val="00396DFD"/>
    <w:rsid w:val="003A7059"/>
    <w:rsid w:val="003B7A36"/>
    <w:rsid w:val="003C17AB"/>
    <w:rsid w:val="003C7823"/>
    <w:rsid w:val="003D6194"/>
    <w:rsid w:val="003D626A"/>
    <w:rsid w:val="003E1DCC"/>
    <w:rsid w:val="003F6A59"/>
    <w:rsid w:val="004065C8"/>
    <w:rsid w:val="004101F8"/>
    <w:rsid w:val="00411B4B"/>
    <w:rsid w:val="00415BEE"/>
    <w:rsid w:val="00416F4C"/>
    <w:rsid w:val="00425D88"/>
    <w:rsid w:val="00427F85"/>
    <w:rsid w:val="00436F42"/>
    <w:rsid w:val="004378B4"/>
    <w:rsid w:val="00447BBB"/>
    <w:rsid w:val="00451314"/>
    <w:rsid w:val="00452E9D"/>
    <w:rsid w:val="004534C7"/>
    <w:rsid w:val="00464C6F"/>
    <w:rsid w:val="004671AA"/>
    <w:rsid w:val="0046743C"/>
    <w:rsid w:val="00476003"/>
    <w:rsid w:val="00480FB1"/>
    <w:rsid w:val="00483928"/>
    <w:rsid w:val="004B3B2E"/>
    <w:rsid w:val="004D6103"/>
    <w:rsid w:val="004E3BCE"/>
    <w:rsid w:val="004F0E97"/>
    <w:rsid w:val="00504D5D"/>
    <w:rsid w:val="00515C21"/>
    <w:rsid w:val="005227FC"/>
    <w:rsid w:val="00530BD7"/>
    <w:rsid w:val="005324D0"/>
    <w:rsid w:val="0054012C"/>
    <w:rsid w:val="00545CD2"/>
    <w:rsid w:val="005476F3"/>
    <w:rsid w:val="005713B2"/>
    <w:rsid w:val="00572527"/>
    <w:rsid w:val="00572E8D"/>
    <w:rsid w:val="00573E40"/>
    <w:rsid w:val="00576348"/>
    <w:rsid w:val="00583F72"/>
    <w:rsid w:val="005860DF"/>
    <w:rsid w:val="0059549A"/>
    <w:rsid w:val="005A0B2E"/>
    <w:rsid w:val="005A23D2"/>
    <w:rsid w:val="005A36CB"/>
    <w:rsid w:val="005B49B8"/>
    <w:rsid w:val="005B6C38"/>
    <w:rsid w:val="005C0741"/>
    <w:rsid w:val="005C5EF4"/>
    <w:rsid w:val="005C61B5"/>
    <w:rsid w:val="005E2E0B"/>
    <w:rsid w:val="005E7A7D"/>
    <w:rsid w:val="00634BEA"/>
    <w:rsid w:val="00646BD1"/>
    <w:rsid w:val="006509FA"/>
    <w:rsid w:val="006561C2"/>
    <w:rsid w:val="00671CB3"/>
    <w:rsid w:val="00674BAF"/>
    <w:rsid w:val="00682200"/>
    <w:rsid w:val="0068530A"/>
    <w:rsid w:val="006A1497"/>
    <w:rsid w:val="006B0BD1"/>
    <w:rsid w:val="006C1202"/>
    <w:rsid w:val="006D20A5"/>
    <w:rsid w:val="006D37BF"/>
    <w:rsid w:val="00701B57"/>
    <w:rsid w:val="00702E22"/>
    <w:rsid w:val="00703302"/>
    <w:rsid w:val="0071391C"/>
    <w:rsid w:val="0072020E"/>
    <w:rsid w:val="007229BC"/>
    <w:rsid w:val="0075619E"/>
    <w:rsid w:val="00761B21"/>
    <w:rsid w:val="00783FF6"/>
    <w:rsid w:val="00786071"/>
    <w:rsid w:val="00790CEF"/>
    <w:rsid w:val="0079695C"/>
    <w:rsid w:val="007A3ECB"/>
    <w:rsid w:val="007B3E88"/>
    <w:rsid w:val="007B6128"/>
    <w:rsid w:val="007C29E4"/>
    <w:rsid w:val="007D0FEC"/>
    <w:rsid w:val="0080748A"/>
    <w:rsid w:val="008101F7"/>
    <w:rsid w:val="0081662F"/>
    <w:rsid w:val="00824AB9"/>
    <w:rsid w:val="00831896"/>
    <w:rsid w:val="00836B35"/>
    <w:rsid w:val="00843BDE"/>
    <w:rsid w:val="00843FFE"/>
    <w:rsid w:val="00853C08"/>
    <w:rsid w:val="0087233B"/>
    <w:rsid w:val="00874AC3"/>
    <w:rsid w:val="0089705C"/>
    <w:rsid w:val="008A0920"/>
    <w:rsid w:val="008A6D43"/>
    <w:rsid w:val="008A71BE"/>
    <w:rsid w:val="008B491E"/>
    <w:rsid w:val="008C1A28"/>
    <w:rsid w:val="008C2E98"/>
    <w:rsid w:val="008C7AA6"/>
    <w:rsid w:val="008D58B9"/>
    <w:rsid w:val="008D59FE"/>
    <w:rsid w:val="008E49BD"/>
    <w:rsid w:val="008E53E9"/>
    <w:rsid w:val="008E5771"/>
    <w:rsid w:val="008F2B6D"/>
    <w:rsid w:val="008F7043"/>
    <w:rsid w:val="0090433B"/>
    <w:rsid w:val="00920BA0"/>
    <w:rsid w:val="00940B9B"/>
    <w:rsid w:val="0094675F"/>
    <w:rsid w:val="0095492A"/>
    <w:rsid w:val="009556C5"/>
    <w:rsid w:val="0095676E"/>
    <w:rsid w:val="00956983"/>
    <w:rsid w:val="00963CF0"/>
    <w:rsid w:val="00964BB1"/>
    <w:rsid w:val="009775D9"/>
    <w:rsid w:val="00992436"/>
    <w:rsid w:val="00997175"/>
    <w:rsid w:val="009A1847"/>
    <w:rsid w:val="009A5726"/>
    <w:rsid w:val="009B062A"/>
    <w:rsid w:val="009B1ABB"/>
    <w:rsid w:val="009B2887"/>
    <w:rsid w:val="009C17E3"/>
    <w:rsid w:val="009C2309"/>
    <w:rsid w:val="009E7C6F"/>
    <w:rsid w:val="009F1793"/>
    <w:rsid w:val="009F2D23"/>
    <w:rsid w:val="009F52F5"/>
    <w:rsid w:val="00A01D69"/>
    <w:rsid w:val="00A02335"/>
    <w:rsid w:val="00A11C47"/>
    <w:rsid w:val="00A17879"/>
    <w:rsid w:val="00A46C9A"/>
    <w:rsid w:val="00A619F3"/>
    <w:rsid w:val="00A62A73"/>
    <w:rsid w:val="00A83776"/>
    <w:rsid w:val="00A877D9"/>
    <w:rsid w:val="00A87FF6"/>
    <w:rsid w:val="00AA0A3B"/>
    <w:rsid w:val="00AA0E98"/>
    <w:rsid w:val="00AB50CA"/>
    <w:rsid w:val="00AC53CE"/>
    <w:rsid w:val="00AD2193"/>
    <w:rsid w:val="00AD26E9"/>
    <w:rsid w:val="00AF2AC7"/>
    <w:rsid w:val="00AF74CE"/>
    <w:rsid w:val="00B208DB"/>
    <w:rsid w:val="00B23F69"/>
    <w:rsid w:val="00B24108"/>
    <w:rsid w:val="00B60619"/>
    <w:rsid w:val="00B656E4"/>
    <w:rsid w:val="00B66A70"/>
    <w:rsid w:val="00B67366"/>
    <w:rsid w:val="00B74458"/>
    <w:rsid w:val="00B80EE1"/>
    <w:rsid w:val="00B82857"/>
    <w:rsid w:val="00B84135"/>
    <w:rsid w:val="00BD2E12"/>
    <w:rsid w:val="00C002BA"/>
    <w:rsid w:val="00C04D34"/>
    <w:rsid w:val="00C05DF8"/>
    <w:rsid w:val="00C06864"/>
    <w:rsid w:val="00C070E1"/>
    <w:rsid w:val="00C10F54"/>
    <w:rsid w:val="00C23D8D"/>
    <w:rsid w:val="00C248FD"/>
    <w:rsid w:val="00C365DA"/>
    <w:rsid w:val="00C36A34"/>
    <w:rsid w:val="00C37AA3"/>
    <w:rsid w:val="00C37FD7"/>
    <w:rsid w:val="00C41DFE"/>
    <w:rsid w:val="00C43419"/>
    <w:rsid w:val="00C44CF3"/>
    <w:rsid w:val="00C61BE0"/>
    <w:rsid w:val="00C6425B"/>
    <w:rsid w:val="00C70B0E"/>
    <w:rsid w:val="00C773CA"/>
    <w:rsid w:val="00C83785"/>
    <w:rsid w:val="00C94C0D"/>
    <w:rsid w:val="00CA1FEB"/>
    <w:rsid w:val="00CB0ECF"/>
    <w:rsid w:val="00CC6C81"/>
    <w:rsid w:val="00CD4F85"/>
    <w:rsid w:val="00CD6F02"/>
    <w:rsid w:val="00CE246D"/>
    <w:rsid w:val="00CE657D"/>
    <w:rsid w:val="00CE6EA0"/>
    <w:rsid w:val="00CF07A0"/>
    <w:rsid w:val="00CF09E3"/>
    <w:rsid w:val="00CF3445"/>
    <w:rsid w:val="00CF3E03"/>
    <w:rsid w:val="00D0082A"/>
    <w:rsid w:val="00D04476"/>
    <w:rsid w:val="00D123D4"/>
    <w:rsid w:val="00D21455"/>
    <w:rsid w:val="00D335B2"/>
    <w:rsid w:val="00D35A65"/>
    <w:rsid w:val="00D44394"/>
    <w:rsid w:val="00D47634"/>
    <w:rsid w:val="00D53BD0"/>
    <w:rsid w:val="00D65D6F"/>
    <w:rsid w:val="00D6666F"/>
    <w:rsid w:val="00D709B3"/>
    <w:rsid w:val="00D764E2"/>
    <w:rsid w:val="00D93767"/>
    <w:rsid w:val="00D97C6A"/>
    <w:rsid w:val="00DA2ED6"/>
    <w:rsid w:val="00DB28A7"/>
    <w:rsid w:val="00DB76B8"/>
    <w:rsid w:val="00DC2EA1"/>
    <w:rsid w:val="00DD41A0"/>
    <w:rsid w:val="00DD6086"/>
    <w:rsid w:val="00DD6A9C"/>
    <w:rsid w:val="00DD6AAF"/>
    <w:rsid w:val="00DE3F5C"/>
    <w:rsid w:val="00DF1D20"/>
    <w:rsid w:val="00E0624C"/>
    <w:rsid w:val="00E073E7"/>
    <w:rsid w:val="00E1293D"/>
    <w:rsid w:val="00E153A9"/>
    <w:rsid w:val="00E21324"/>
    <w:rsid w:val="00E246B9"/>
    <w:rsid w:val="00E2482D"/>
    <w:rsid w:val="00E2573E"/>
    <w:rsid w:val="00E31FEA"/>
    <w:rsid w:val="00E35A8E"/>
    <w:rsid w:val="00E3758E"/>
    <w:rsid w:val="00E37CC1"/>
    <w:rsid w:val="00E45169"/>
    <w:rsid w:val="00E47787"/>
    <w:rsid w:val="00E51C30"/>
    <w:rsid w:val="00E54AFF"/>
    <w:rsid w:val="00E60504"/>
    <w:rsid w:val="00E64180"/>
    <w:rsid w:val="00E6706B"/>
    <w:rsid w:val="00E74AEE"/>
    <w:rsid w:val="00E80090"/>
    <w:rsid w:val="00E85315"/>
    <w:rsid w:val="00E853DD"/>
    <w:rsid w:val="00E868E5"/>
    <w:rsid w:val="00E90759"/>
    <w:rsid w:val="00E9237A"/>
    <w:rsid w:val="00E939FA"/>
    <w:rsid w:val="00E94B6F"/>
    <w:rsid w:val="00EA1357"/>
    <w:rsid w:val="00EA5765"/>
    <w:rsid w:val="00EA79AA"/>
    <w:rsid w:val="00EC2532"/>
    <w:rsid w:val="00ED4AD5"/>
    <w:rsid w:val="00ED7812"/>
    <w:rsid w:val="00EE13AF"/>
    <w:rsid w:val="00EE3CCE"/>
    <w:rsid w:val="00EE590E"/>
    <w:rsid w:val="00EF3717"/>
    <w:rsid w:val="00EF3B86"/>
    <w:rsid w:val="00EF61FC"/>
    <w:rsid w:val="00F00984"/>
    <w:rsid w:val="00F1252B"/>
    <w:rsid w:val="00F12FDA"/>
    <w:rsid w:val="00F22120"/>
    <w:rsid w:val="00F23B10"/>
    <w:rsid w:val="00F317E9"/>
    <w:rsid w:val="00F34554"/>
    <w:rsid w:val="00F40241"/>
    <w:rsid w:val="00F40DBA"/>
    <w:rsid w:val="00F45D33"/>
    <w:rsid w:val="00F45F77"/>
    <w:rsid w:val="00F5167F"/>
    <w:rsid w:val="00F52258"/>
    <w:rsid w:val="00F64F92"/>
    <w:rsid w:val="00F67AF8"/>
    <w:rsid w:val="00F821E7"/>
    <w:rsid w:val="00F8570A"/>
    <w:rsid w:val="00F86116"/>
    <w:rsid w:val="00F91C7B"/>
    <w:rsid w:val="00FA4E81"/>
    <w:rsid w:val="00FC4860"/>
    <w:rsid w:val="00FC7846"/>
    <w:rsid w:val="00FD6F95"/>
    <w:rsid w:val="00FF5F82"/>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6F1A7E"/>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066A0D"/>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066A0D"/>
    <w:pPr>
      <w:keepNext/>
      <w:ind w:left="72" w:hanging="72"/>
      <w:outlineLvl w:val="2"/>
    </w:pPr>
    <w:rPr>
      <w:rFonts w:ascii="Arial" w:hAnsi="Arial" w:cs="Arial"/>
      <w:i/>
      <w:iCs/>
      <w:color w:val="999999"/>
      <w:sz w:val="18"/>
    </w:rPr>
  </w:style>
  <w:style w:type="paragraph" w:styleId="Heading4">
    <w:name w:val="heading 4"/>
    <w:basedOn w:val="Normal"/>
    <w:next w:val="Normal"/>
    <w:link w:val="Heading4Char"/>
    <w:qFormat/>
    <w:rsid w:val="00066A0D"/>
    <w:pPr>
      <w:keepNext/>
      <w:tabs>
        <w:tab w:val="left" w:pos="284"/>
      </w:tabs>
      <w:ind w:right="265"/>
      <w:jc w:val="right"/>
      <w:outlineLvl w:val="3"/>
    </w:pPr>
    <w:rPr>
      <w:rFonts w:ascii="Arial" w:hAnsi="Arial" w:cs="Arial"/>
      <w:i/>
      <w:iCs/>
      <w:color w:val="999999"/>
      <w:sz w:val="16"/>
    </w:rPr>
  </w:style>
  <w:style w:type="paragraph" w:styleId="Heading8">
    <w:name w:val="heading 8"/>
    <w:basedOn w:val="Normal"/>
    <w:next w:val="Normal"/>
    <w:link w:val="Heading8Char"/>
    <w:qFormat/>
    <w:rsid w:val="00066A0D"/>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rsid w:val="00E246B9"/>
    <w:pPr>
      <w:tabs>
        <w:tab w:val="center" w:pos="4320"/>
        <w:tab w:val="right" w:pos="8640"/>
      </w:tabs>
    </w:pPr>
  </w:style>
  <w:style w:type="paragraph" w:styleId="Footer">
    <w:name w:val="footer"/>
    <w:basedOn w:val="Normal"/>
    <w:link w:val="FooterChar"/>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link w:val="BalloonTextChar"/>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ing1Char">
    <w:name w:val="Heading 1 Char"/>
    <w:basedOn w:val="DefaultParagraphFont"/>
    <w:link w:val="Heading1"/>
    <w:rsid w:val="00066A0D"/>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rsid w:val="00066A0D"/>
    <w:rPr>
      <w:rFonts w:ascii="Arial" w:hAnsi="Arial" w:cs="Arial"/>
      <w:i/>
      <w:iCs/>
      <w:color w:val="999999"/>
      <w:sz w:val="18"/>
      <w:szCs w:val="24"/>
      <w:lang w:val="en-US" w:eastAsia="en-US"/>
    </w:rPr>
  </w:style>
  <w:style w:type="character" w:customStyle="1" w:styleId="Heading4Char">
    <w:name w:val="Heading 4 Char"/>
    <w:basedOn w:val="DefaultParagraphFont"/>
    <w:link w:val="Heading4"/>
    <w:rsid w:val="00066A0D"/>
    <w:rPr>
      <w:rFonts w:ascii="Arial" w:hAnsi="Arial" w:cs="Arial"/>
      <w:i/>
      <w:iCs/>
      <w:color w:val="999999"/>
      <w:sz w:val="16"/>
      <w:szCs w:val="24"/>
      <w:lang w:val="en-US" w:eastAsia="en-US"/>
    </w:rPr>
  </w:style>
  <w:style w:type="character" w:customStyle="1" w:styleId="Heading8Char">
    <w:name w:val="Heading 8 Char"/>
    <w:basedOn w:val="DefaultParagraphFont"/>
    <w:link w:val="Heading8"/>
    <w:rsid w:val="00066A0D"/>
    <w:rPr>
      <w:i/>
      <w:iCs/>
      <w:sz w:val="24"/>
      <w:szCs w:val="24"/>
      <w:lang w:val="en-US" w:eastAsia="en-US"/>
    </w:rPr>
  </w:style>
  <w:style w:type="numbering" w:customStyle="1" w:styleId="NoList1">
    <w:name w:val="No List1"/>
    <w:next w:val="NoList"/>
    <w:uiPriority w:val="99"/>
    <w:semiHidden/>
    <w:unhideWhenUsed/>
    <w:rsid w:val="00066A0D"/>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066A0D"/>
    <w:rPr>
      <w:sz w:val="24"/>
      <w:szCs w:val="24"/>
      <w:lang w:val="en-US" w:eastAsia="en-US"/>
    </w:rPr>
  </w:style>
  <w:style w:type="character" w:customStyle="1" w:styleId="FooterChar">
    <w:name w:val="Footer Char"/>
    <w:basedOn w:val="DefaultParagraphFont"/>
    <w:link w:val="Footer"/>
    <w:rsid w:val="00066A0D"/>
    <w:rPr>
      <w:sz w:val="24"/>
      <w:szCs w:val="24"/>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066A0D"/>
    <w:rPr>
      <w:lang w:val="en-US" w:eastAsia="en-US" w:bidi="ar-SA"/>
    </w:rPr>
  </w:style>
  <w:style w:type="character" w:customStyle="1" w:styleId="Heading2Char">
    <w:name w:val="Heading 2 Char"/>
    <w:basedOn w:val="DefaultParagraphFont"/>
    <w:link w:val="Heading2"/>
    <w:rsid w:val="00066A0D"/>
    <w:rPr>
      <w:rFonts w:ascii="Arial" w:hAnsi="Arial" w:cs="Arial"/>
      <w:i/>
      <w:iCs/>
      <w:color w:val="999999"/>
      <w:sz w:val="18"/>
      <w:szCs w:val="24"/>
      <w:lang w:val="en-US" w:eastAsia="en-US"/>
    </w:rPr>
  </w:style>
  <w:style w:type="numbering" w:customStyle="1" w:styleId="NoList11">
    <w:name w:val="No List11"/>
    <w:next w:val="NoList"/>
    <w:uiPriority w:val="99"/>
    <w:semiHidden/>
    <w:unhideWhenUsed/>
    <w:rsid w:val="00066A0D"/>
  </w:style>
  <w:style w:type="paragraph" w:styleId="Title">
    <w:name w:val="Title"/>
    <w:basedOn w:val="Normal"/>
    <w:link w:val="TitleChar"/>
    <w:qFormat/>
    <w:rsid w:val="00066A0D"/>
    <w:pPr>
      <w:jc w:val="center"/>
    </w:pPr>
    <w:rPr>
      <w:b/>
    </w:rPr>
  </w:style>
  <w:style w:type="character" w:customStyle="1" w:styleId="TitleChar">
    <w:name w:val="Title Char"/>
    <w:basedOn w:val="DefaultParagraphFont"/>
    <w:link w:val="Title"/>
    <w:rsid w:val="00066A0D"/>
    <w:rPr>
      <w:b/>
      <w:sz w:val="24"/>
      <w:szCs w:val="24"/>
      <w:lang w:val="en-US" w:eastAsia="en-US"/>
    </w:rPr>
  </w:style>
  <w:style w:type="paragraph" w:styleId="EndnoteText">
    <w:name w:val="endnote text"/>
    <w:basedOn w:val="Normal"/>
    <w:link w:val="EndnoteTextChar"/>
    <w:rsid w:val="00066A0D"/>
    <w:rPr>
      <w:rFonts w:ascii="TmsRmn 12pt" w:hAnsi="TmsRmn 12pt"/>
    </w:rPr>
  </w:style>
  <w:style w:type="character" w:customStyle="1" w:styleId="EndnoteTextChar">
    <w:name w:val="Endnote Text Char"/>
    <w:basedOn w:val="DefaultParagraphFont"/>
    <w:link w:val="EndnoteText"/>
    <w:rsid w:val="00066A0D"/>
    <w:rPr>
      <w:rFonts w:ascii="TmsRmn 12pt" w:hAnsi="TmsRmn 12pt"/>
      <w:sz w:val="24"/>
      <w:szCs w:val="24"/>
      <w:lang w:val="en-US" w:eastAsia="en-US"/>
    </w:rPr>
  </w:style>
  <w:style w:type="paragraph" w:styleId="BodyTextIndent2">
    <w:name w:val="Body Text Indent 2"/>
    <w:basedOn w:val="Normal"/>
    <w:link w:val="BodyTextIndent2Char"/>
    <w:rsid w:val="00066A0D"/>
    <w:pPr>
      <w:ind w:left="1440"/>
    </w:pPr>
    <w:rPr>
      <w:i/>
    </w:rPr>
  </w:style>
  <w:style w:type="character" w:customStyle="1" w:styleId="BodyTextIndent2Char">
    <w:name w:val="Body Text Indent 2 Char"/>
    <w:basedOn w:val="DefaultParagraphFont"/>
    <w:link w:val="BodyTextIndent2"/>
    <w:rsid w:val="00066A0D"/>
    <w:rPr>
      <w:i/>
      <w:sz w:val="24"/>
      <w:szCs w:val="24"/>
      <w:lang w:val="en-US" w:eastAsia="en-US"/>
    </w:rPr>
  </w:style>
  <w:style w:type="table" w:styleId="TableGrid">
    <w:name w:val="Table Grid"/>
    <w:basedOn w:val="TableNormal"/>
    <w:rsid w:val="00066A0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066A0D"/>
    <w:pPr>
      <w:jc w:val="both"/>
    </w:pPr>
    <w:rPr>
      <w:b/>
    </w:rPr>
  </w:style>
  <w:style w:type="paragraph" w:styleId="BodyText">
    <w:name w:val="Body Text"/>
    <w:basedOn w:val="Normal"/>
    <w:link w:val="BodyTextChar"/>
    <w:rsid w:val="00066A0D"/>
    <w:pPr>
      <w:spacing w:after="120"/>
    </w:pPr>
    <w:rPr>
      <w:sz w:val="20"/>
      <w:szCs w:val="20"/>
    </w:rPr>
  </w:style>
  <w:style w:type="character" w:customStyle="1" w:styleId="BodyTextChar">
    <w:name w:val="Body Text Char"/>
    <w:basedOn w:val="DefaultParagraphFont"/>
    <w:link w:val="BodyText"/>
    <w:rsid w:val="00066A0D"/>
    <w:rPr>
      <w:lang w:val="en-US" w:eastAsia="en-US"/>
    </w:rPr>
  </w:style>
  <w:style w:type="paragraph" w:styleId="BodyTextIndent3">
    <w:name w:val="Body Text Indent 3"/>
    <w:basedOn w:val="Normal"/>
    <w:link w:val="BodyTextIndent3Char"/>
    <w:rsid w:val="00066A0D"/>
    <w:pPr>
      <w:spacing w:after="120"/>
      <w:ind w:left="360"/>
    </w:pPr>
    <w:rPr>
      <w:sz w:val="16"/>
      <w:szCs w:val="16"/>
    </w:rPr>
  </w:style>
  <w:style w:type="character" w:customStyle="1" w:styleId="BodyTextIndent3Char">
    <w:name w:val="Body Text Indent 3 Char"/>
    <w:basedOn w:val="DefaultParagraphFont"/>
    <w:link w:val="BodyTextIndent3"/>
    <w:rsid w:val="00066A0D"/>
    <w:rPr>
      <w:sz w:val="16"/>
      <w:szCs w:val="16"/>
      <w:lang w:val="en-US" w:eastAsia="en-US"/>
    </w:rPr>
  </w:style>
  <w:style w:type="paragraph" w:styleId="BodyTextIndent">
    <w:name w:val="Body Text Indent"/>
    <w:basedOn w:val="Normal"/>
    <w:link w:val="BodyTextIndentChar"/>
    <w:rsid w:val="00066A0D"/>
    <w:pPr>
      <w:spacing w:after="120"/>
      <w:ind w:left="360"/>
    </w:pPr>
    <w:rPr>
      <w:sz w:val="20"/>
      <w:szCs w:val="20"/>
    </w:rPr>
  </w:style>
  <w:style w:type="character" w:customStyle="1" w:styleId="BodyTextIndentChar">
    <w:name w:val="Body Text Indent Char"/>
    <w:basedOn w:val="DefaultParagraphFont"/>
    <w:link w:val="BodyTextIndent"/>
    <w:rsid w:val="00066A0D"/>
    <w:rPr>
      <w:lang w:val="en-US" w:eastAsia="en-US"/>
    </w:rPr>
  </w:style>
  <w:style w:type="character" w:styleId="Strong">
    <w:name w:val="Strong"/>
    <w:qFormat/>
    <w:rsid w:val="00066A0D"/>
    <w:rPr>
      <w:b/>
      <w:bCs w:val="0"/>
    </w:rPr>
  </w:style>
  <w:style w:type="character" w:customStyle="1" w:styleId="WW8Num7z0">
    <w:name w:val="WW8Num7z0"/>
    <w:rsid w:val="00066A0D"/>
    <w:rPr>
      <w:rFonts w:ascii="Symbol" w:hAnsi="Symbol"/>
    </w:rPr>
  </w:style>
  <w:style w:type="character" w:styleId="Hyperlink">
    <w:name w:val="Hyperlink"/>
    <w:rsid w:val="00066A0D"/>
    <w:rPr>
      <w:color w:val="0000FF"/>
      <w:u w:val="single"/>
    </w:rPr>
  </w:style>
  <w:style w:type="paragraph" w:customStyle="1" w:styleId="TextTi10">
    <w:name w:val="Text:Ti10"/>
    <w:basedOn w:val="Normal"/>
    <w:link w:val="TextTi10Char"/>
    <w:rsid w:val="00066A0D"/>
    <w:rPr>
      <w:rFonts w:eastAsia="MS Mincho"/>
      <w:sz w:val="20"/>
      <w:szCs w:val="20"/>
      <w:lang w:eastAsia="ja-JP"/>
    </w:rPr>
  </w:style>
  <w:style w:type="paragraph" w:customStyle="1" w:styleId="TableText10">
    <w:name w:val="TableText:10"/>
    <w:basedOn w:val="Normal"/>
    <w:rsid w:val="00066A0D"/>
    <w:rPr>
      <w:rFonts w:eastAsia="SimSun"/>
      <w:sz w:val="20"/>
      <w:lang w:eastAsia="ja-JP"/>
    </w:rPr>
  </w:style>
  <w:style w:type="character" w:customStyle="1" w:styleId="BalloonTextChar">
    <w:name w:val="Balloon Text Char"/>
    <w:basedOn w:val="DefaultParagraphFont"/>
    <w:link w:val="BalloonText"/>
    <w:rsid w:val="00066A0D"/>
    <w:rPr>
      <w:rFonts w:ascii="Tahoma" w:hAnsi="Tahoma" w:cs="Tahoma"/>
      <w:sz w:val="16"/>
      <w:szCs w:val="16"/>
      <w:lang w:val="en-US" w:eastAsia="en-US"/>
    </w:rPr>
  </w:style>
  <w:style w:type="character" w:customStyle="1" w:styleId="TextTi10Char">
    <w:name w:val="Text:Ti10 Char"/>
    <w:link w:val="TextTi10"/>
    <w:rsid w:val="00066A0D"/>
    <w:rPr>
      <w:rFonts w:eastAsia="MS Mincho"/>
      <w:lang w:val="en-US" w:eastAsia="ja-JP"/>
    </w:rPr>
  </w:style>
  <w:style w:type="paragraph" w:customStyle="1" w:styleId="Paragraph">
    <w:name w:val="Paragraph"/>
    <w:basedOn w:val="Normal"/>
    <w:link w:val="ParagraphChar"/>
    <w:qFormat/>
    <w:rsid w:val="00066A0D"/>
    <w:pPr>
      <w:spacing w:after="250" w:line="300" w:lineRule="atLeast"/>
    </w:pPr>
    <w:rPr>
      <w:rFonts w:ascii="Arial" w:eastAsia="SimSun" w:hAnsi="Arial"/>
      <w:sz w:val="22"/>
      <w:lang w:val="hr-HR" w:eastAsia="hr-HR" w:bidi="hr-HR"/>
    </w:rPr>
  </w:style>
  <w:style w:type="character" w:customStyle="1" w:styleId="ParagraphChar">
    <w:name w:val="Paragraph Char"/>
    <w:link w:val="Paragraph"/>
    <w:rsid w:val="00066A0D"/>
    <w:rPr>
      <w:rFonts w:ascii="Arial" w:eastAsia="SimSun" w:hAnsi="Arial"/>
      <w:sz w:val="22"/>
      <w:szCs w:val="24"/>
      <w:lang w:val="hr-HR" w:eastAsia="hr-HR" w:bidi="hr-HR"/>
    </w:rPr>
  </w:style>
  <w:style w:type="paragraph" w:customStyle="1" w:styleId="TableCell10Center">
    <w:name w:val="Table Cell 10 Center"/>
    <w:basedOn w:val="Normal"/>
    <w:rsid w:val="00066A0D"/>
    <w:pPr>
      <w:keepNext/>
      <w:keepLines/>
      <w:spacing w:before="50" w:after="50" w:line="240" w:lineRule="exact"/>
      <w:jc w:val="center"/>
    </w:pPr>
    <w:rPr>
      <w:rFonts w:ascii="Arial" w:eastAsia="SimSun" w:hAnsi="Arial"/>
      <w:sz w:val="20"/>
      <w:lang w:val="hr-HR" w:eastAsia="hr-HR" w:bidi="hr-HR"/>
    </w:rPr>
  </w:style>
  <w:style w:type="paragraph" w:styleId="ListParagraph">
    <w:name w:val="List Paragraph"/>
    <w:basedOn w:val="Normal"/>
    <w:uiPriority w:val="34"/>
    <w:qFormat/>
    <w:rsid w:val="00066A0D"/>
    <w:pPr>
      <w:spacing w:after="160" w:line="259" w:lineRule="auto"/>
      <w:ind w:left="720"/>
      <w:contextualSpacing/>
    </w:pPr>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066A0D"/>
    <w:pPr>
      <w:spacing w:after="200"/>
    </w:pPr>
    <w:rPr>
      <w:rFonts w:asciiTheme="minorHAnsi" w:eastAsiaTheme="minorHAnsi" w:hAnsiTheme="minorHAnsi" w:cstheme="minorBidi"/>
      <w:b/>
      <w:bCs/>
      <w:color w:val="5B9BD5" w:themeColor="accent1"/>
      <w:sz w:val="18"/>
      <w:szCs w:val="18"/>
    </w:rPr>
  </w:style>
  <w:style w:type="paragraph" w:styleId="NormalWeb">
    <w:name w:val="Normal (Web)"/>
    <w:basedOn w:val="Normal"/>
    <w:uiPriority w:val="99"/>
    <w:unhideWhenUsed/>
    <w:rsid w:val="00066A0D"/>
    <w:pPr>
      <w:spacing w:before="100" w:beforeAutospacing="1" w:after="100" w:afterAutospacing="1"/>
    </w:pPr>
    <w:rPr>
      <w:sz w:val="22"/>
      <w:szCs w:val="20"/>
      <w:lang w:val="hr-HR"/>
    </w:rPr>
  </w:style>
  <w:style w:type="paragraph" w:customStyle="1" w:styleId="TableCell10Left">
    <w:name w:val="Table Cell 10 Left"/>
    <w:basedOn w:val="Normal"/>
    <w:rsid w:val="00066A0D"/>
    <w:pPr>
      <w:keepNext/>
      <w:keepLines/>
      <w:spacing w:before="50" w:after="50" w:line="240" w:lineRule="exact"/>
    </w:pPr>
    <w:rPr>
      <w:sz w:val="20"/>
      <w:szCs w:val="20"/>
      <w:lang w:val="hr-HR" w:eastAsia="ja-JP"/>
    </w:rPr>
  </w:style>
  <w:style w:type="paragraph" w:styleId="Revision">
    <w:name w:val="Revision"/>
    <w:hidden/>
    <w:uiPriority w:val="99"/>
    <w:semiHidden/>
    <w:rsid w:val="001621EC"/>
    <w:rPr>
      <w:sz w:val="24"/>
      <w:szCs w:val="24"/>
      <w:lang w:val="en-US" w:eastAsia="en-US"/>
    </w:rPr>
  </w:style>
  <w:style w:type="character" w:customStyle="1" w:styleId="markedcontent">
    <w:name w:val="markedcontent"/>
    <w:basedOn w:val="DefaultParagraphFont"/>
    <w:rsid w:val="00F64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ExpireDate xmlns="http://schemas.microsoft.com/sharepoint/v3">2029-11-30T23:00:00+00:00</_dlc_ExpireDate>
    <TaxCatchAll xmlns="f191ad30-9ade-4f0c-b78e-cf30469879ae"/>
    <IconOverlay xmlns="http://schemas.microsoft.com/sharepoint/v4" xsi:nil="true"/>
    <TaxKeywordTaxHTField xmlns="35a8546d-9f91-45fa-a14e-0c4493b38db6">
      <Terms xmlns="http://schemas.microsoft.com/office/infopath/2007/PartnerControls"/>
    </TaxKeywordTaxHTField>
    <_dlc_ExpireDateSave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351063A9C658459944992FC5165942" ma:contentTypeVersion="8" ma:contentTypeDescription="Create a new document." ma:contentTypeScope="" ma:versionID="acabb834e45fa14419502decce5b3737">
  <xsd:schema xmlns:xsd="http://www.w3.org/2001/XMLSchema" xmlns:xs="http://www.w3.org/2001/XMLSchema" xmlns:p="http://schemas.microsoft.com/office/2006/metadata/properties" xmlns:ns1="http://schemas.microsoft.com/sharepoint/v3" xmlns:ns2="35a8546d-9f91-45fa-a14e-0c4493b38db6" xmlns:ns3="f191ad30-9ade-4f0c-b78e-cf30469879ae" xmlns:ns4="http://schemas.microsoft.com/sharepoint/v4" targetNamespace="http://schemas.microsoft.com/office/2006/metadata/properties" ma:root="true" ma:fieldsID="0ee48dc8ba83b8a378a4e67640f1dd2b" ns1:_="" ns2:_="" ns3:_="" ns4:_="">
    <xsd:import namespace="http://schemas.microsoft.com/sharepoint/v3"/>
    <xsd:import namespace="35a8546d-9f91-45fa-a14e-0c4493b38db6"/>
    <xsd:import namespace="f191ad30-9ade-4f0c-b78e-cf30469879ae"/>
    <xsd:import namespace="http://schemas.microsoft.com/sharepoint/v4"/>
    <xsd:element name="properties">
      <xsd:complexType>
        <xsd:sequence>
          <xsd:element name="documentManagement">
            <xsd:complexType>
              <xsd:all>
                <xsd:element ref="ns2:TaxKeywordTaxHTField" minOccurs="0"/>
                <xsd:element ref="ns3:TaxCatchAll" minOccurs="0"/>
                <xsd:element ref="ns1:_vti_ItemDeclaredRecord" minOccurs="0"/>
                <xsd:element ref="ns1:_dlc_Exempt" minOccurs="0"/>
                <xsd:element ref="ns1:_dlc_ExpireDateSaved" minOccurs="0"/>
                <xsd:element ref="ns1:_dlc_ExpireDate" minOccurs="0"/>
                <xsd:element ref="ns4:IconOverlay"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1" nillable="true" ma:displayName="Declared Record" ma:hidden="true" ma:internalName="_vti_ItemDeclaredRecord" ma:readOnly="true">
      <xsd:simpleType>
        <xsd:restriction base="dms:DateTime"/>
      </xsd:simpleType>
    </xsd:element>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a8546d-9f91-45fa-a14e-0c4493b38db6"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91ad30-9ade-4f0c-b78e-cf30469879a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39baccb-2c56-4335-83af-0e91367fb186}" ma:internalName="TaxCatchAll" ma:showField="CatchAllData" ma:web="35a8546d-9f91-45fa-a14e-0c4493b38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BAE63-DF79-4A3A-A5DB-9FB32013B644}">
  <ds:schemaRefs>
    <ds:schemaRef ds:uri="http://schemas.microsoft.com/office/2006/metadata/properties"/>
    <ds:schemaRef ds:uri="http://schemas.microsoft.com/office/infopath/2007/PartnerControls"/>
    <ds:schemaRef ds:uri="http://schemas.microsoft.com/sharepoint/v3"/>
    <ds:schemaRef ds:uri="f191ad30-9ade-4f0c-b78e-cf30469879ae"/>
    <ds:schemaRef ds:uri="http://schemas.microsoft.com/sharepoint/v4"/>
    <ds:schemaRef ds:uri="35a8546d-9f91-45fa-a14e-0c4493b38db6"/>
  </ds:schemaRefs>
</ds:datastoreItem>
</file>

<file path=customXml/itemProps2.xml><?xml version="1.0" encoding="utf-8"?>
<ds:datastoreItem xmlns:ds="http://schemas.openxmlformats.org/officeDocument/2006/customXml" ds:itemID="{49CCF9F7-6A32-49A8-9DC6-0EB7AA3A4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a8546d-9f91-45fa-a14e-0c4493b38db6"/>
    <ds:schemaRef ds:uri="f191ad30-9ade-4f0c-b78e-cf30469879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3DF0A-DF42-4118-8B0A-120FCDD950B1}">
  <ds:schemaRefs>
    <ds:schemaRef ds:uri="http://schemas.microsoft.com/sharepoint/v3/contenttype/forms"/>
  </ds:schemaRefs>
</ds:datastoreItem>
</file>

<file path=customXml/itemProps4.xml><?xml version="1.0" encoding="utf-8"?>
<ds:datastoreItem xmlns:ds="http://schemas.openxmlformats.org/officeDocument/2006/customXml" ds:itemID="{7A781D64-1251-4FCD-8090-4A8930D4E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10218</Words>
  <Characters>58247</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68329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Aleksandra Minić</cp:lastModifiedBy>
  <cp:revision>3</cp:revision>
  <cp:lastPrinted>2024-07-08T13:10:00Z</cp:lastPrinted>
  <dcterms:created xsi:type="dcterms:W3CDTF">2025-05-23T07:21:00Z</dcterms:created>
  <dcterms:modified xsi:type="dcterms:W3CDTF">2025-06-05T09:42:00Z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0x0101009A351063A9C658459944992FC5165942</vt:lpwstr>
  </property>
  <property fmtid="{D5CDD505-2E9C-101B-9397-08002B2CF9AE}" pid="4" name="TaxKeyword">
    <vt:lpwstr/>
  </property>
  <property fmtid="{D5CDD505-2E9C-101B-9397-08002B2CF9AE}" pid="5" name="_dlc_policyId">
    <vt:lpwstr>/team/2012035B/Medical</vt:lpwstr>
  </property>
  <property fmtid="{D5CDD505-2E9C-101B-9397-08002B2CF9AE}" pid="6" name="ItemRetentionFormula">
    <vt:lpwstr>&lt;formula id="Roche.Common.Coremap.ExpirationFormula" /&gt;</vt:lpwstr>
  </property>
</Properties>
</file>