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B29A0" w14:textId="77777777" w:rsidR="001A5518" w:rsidRPr="009533B2" w:rsidRDefault="001A5518" w:rsidP="001A5518">
      <w:pPr>
        <w:rPr>
          <w:b/>
          <w:bCs/>
          <w:i/>
          <w:iCs/>
          <w:sz w:val="22"/>
          <w:szCs w:val="22"/>
          <w:u w:val="single"/>
          <w:lang w:val="sr-Latn-ME"/>
        </w:rPr>
      </w:pPr>
    </w:p>
    <w:p w14:paraId="217D320E" w14:textId="77777777" w:rsidR="005D45D6" w:rsidRPr="009533B2" w:rsidRDefault="005D45D6" w:rsidP="001A5518">
      <w:pPr>
        <w:rPr>
          <w:b/>
          <w:bCs/>
          <w:i/>
          <w:iCs/>
          <w:sz w:val="22"/>
          <w:szCs w:val="22"/>
          <w:u w:val="single"/>
          <w:lang w:val="sr-Latn-ME"/>
        </w:rPr>
      </w:pPr>
    </w:p>
    <w:p w14:paraId="5AF602C6" w14:textId="77777777" w:rsidR="005D45D6" w:rsidRPr="009533B2" w:rsidRDefault="005D45D6" w:rsidP="001A5518">
      <w:pPr>
        <w:rPr>
          <w:b/>
          <w:bCs/>
          <w:i/>
          <w:iCs/>
          <w:sz w:val="22"/>
          <w:szCs w:val="22"/>
          <w:u w:val="single"/>
          <w:lang w:val="sr-Latn-ME"/>
        </w:rPr>
      </w:pPr>
    </w:p>
    <w:p w14:paraId="2AD54EE8" w14:textId="77777777" w:rsidR="002510A5" w:rsidRPr="009533B2" w:rsidRDefault="002510A5" w:rsidP="002510A5">
      <w:pPr>
        <w:jc w:val="center"/>
        <w:rPr>
          <w:b/>
          <w:bCs/>
          <w:iCs/>
          <w:sz w:val="22"/>
          <w:szCs w:val="22"/>
          <w:u w:val="single"/>
          <w:lang w:val="sr-Latn-ME"/>
        </w:rPr>
      </w:pPr>
      <w:r w:rsidRPr="009533B2">
        <w:rPr>
          <w:b/>
          <w:bCs/>
          <w:iCs/>
          <w:sz w:val="22"/>
          <w:szCs w:val="22"/>
          <w:u w:val="single"/>
          <w:lang w:val="sr-Latn-ME"/>
        </w:rPr>
        <w:t>SAŽETAK KARAKTERISTIKA LIJEKA</w:t>
      </w:r>
    </w:p>
    <w:p w14:paraId="01044E84" w14:textId="28B8DAD1" w:rsidR="00A0341F" w:rsidRDefault="00A0341F">
      <w:pPr>
        <w:rPr>
          <w:noProof/>
          <w:sz w:val="22"/>
          <w:szCs w:val="22"/>
          <w:lang w:val="sr-Latn-ME"/>
        </w:rPr>
      </w:pPr>
    </w:p>
    <w:p w14:paraId="2FD26CF7" w14:textId="77777777" w:rsidR="00411B4B" w:rsidRPr="009533B2" w:rsidRDefault="00411B4B" w:rsidP="00F5167F">
      <w:pPr>
        <w:tabs>
          <w:tab w:val="left" w:pos="540"/>
          <w:tab w:val="left" w:pos="569"/>
        </w:tabs>
        <w:rPr>
          <w:b/>
          <w:bCs/>
          <w:sz w:val="22"/>
          <w:szCs w:val="22"/>
          <w:lang w:val="sr-Latn-ME"/>
        </w:rPr>
      </w:pPr>
      <w:r w:rsidRPr="009533B2">
        <w:rPr>
          <w:b/>
          <w:bCs/>
          <w:sz w:val="22"/>
          <w:szCs w:val="22"/>
          <w:lang w:val="sr-Latn-ME"/>
        </w:rPr>
        <w:t>1.</w:t>
      </w:r>
      <w:r w:rsidR="00F5167F" w:rsidRPr="009533B2">
        <w:rPr>
          <w:b/>
          <w:bCs/>
          <w:sz w:val="22"/>
          <w:szCs w:val="22"/>
          <w:lang w:val="sr-Latn-ME"/>
        </w:rPr>
        <w:tab/>
      </w:r>
      <w:r w:rsidR="002846DB" w:rsidRPr="009533B2">
        <w:rPr>
          <w:b/>
          <w:bCs/>
          <w:sz w:val="22"/>
          <w:szCs w:val="22"/>
          <w:lang w:val="sr-Latn-ME"/>
        </w:rPr>
        <w:t xml:space="preserve">NAZIV </w:t>
      </w:r>
      <w:r w:rsidRPr="009533B2">
        <w:rPr>
          <w:b/>
          <w:bCs/>
          <w:sz w:val="22"/>
          <w:szCs w:val="22"/>
          <w:lang w:val="sr-Latn-ME"/>
        </w:rPr>
        <w:t>LIJEKA</w:t>
      </w:r>
    </w:p>
    <w:p w14:paraId="36AB0A5C" w14:textId="77777777" w:rsidR="00EC2532" w:rsidRPr="009533B2" w:rsidRDefault="00EC2532">
      <w:pPr>
        <w:rPr>
          <w:sz w:val="22"/>
          <w:szCs w:val="22"/>
          <w:lang w:val="sr-Latn-ME"/>
        </w:rPr>
      </w:pPr>
    </w:p>
    <w:p w14:paraId="5AB941F6" w14:textId="59AF4F7F" w:rsidR="000D425A" w:rsidRPr="00804F26" w:rsidRDefault="005D45D6" w:rsidP="001D78AB">
      <w:pPr>
        <w:jc w:val="both"/>
        <w:rPr>
          <w:sz w:val="22"/>
          <w:szCs w:val="22"/>
          <w:lang w:val="sr-Latn-ME"/>
        </w:rPr>
      </w:pPr>
      <w:r w:rsidRPr="00804F26">
        <w:rPr>
          <w:sz w:val="22"/>
          <w:szCs w:val="22"/>
          <w:lang w:val="sr-Latn-ME"/>
        </w:rPr>
        <w:t>Salofalk 500</w:t>
      </w:r>
      <w:r w:rsidR="00FF0C8E">
        <w:rPr>
          <w:sz w:val="22"/>
          <w:szCs w:val="22"/>
          <w:lang w:val="sr-Latn-ME"/>
        </w:rPr>
        <w:t>, 500</w:t>
      </w:r>
      <w:r w:rsidR="00D90E02" w:rsidRPr="00804F26">
        <w:rPr>
          <w:sz w:val="22"/>
          <w:szCs w:val="22"/>
          <w:lang w:val="sr-Latn-ME"/>
        </w:rPr>
        <w:t> mg</w:t>
      </w:r>
      <w:r w:rsidRPr="00804F26">
        <w:rPr>
          <w:sz w:val="22"/>
          <w:szCs w:val="22"/>
          <w:lang w:val="sr-Latn-ME"/>
        </w:rPr>
        <w:t>, gastrorezistentne tablete</w:t>
      </w:r>
    </w:p>
    <w:p w14:paraId="102472B5" w14:textId="77777777" w:rsidR="005D45D6" w:rsidRPr="009533B2" w:rsidRDefault="005D45D6" w:rsidP="001D78AB">
      <w:pPr>
        <w:jc w:val="both"/>
        <w:rPr>
          <w:bCs/>
          <w:sz w:val="22"/>
          <w:szCs w:val="22"/>
          <w:lang w:val="sr-Latn-ME"/>
        </w:rPr>
      </w:pPr>
    </w:p>
    <w:p w14:paraId="6151324A" w14:textId="77777777" w:rsidR="006D20A5" w:rsidRPr="009533B2" w:rsidRDefault="006D20A5" w:rsidP="001D78AB">
      <w:pPr>
        <w:jc w:val="both"/>
        <w:rPr>
          <w:sz w:val="22"/>
          <w:szCs w:val="22"/>
          <w:lang w:val="sr-Latn-ME"/>
        </w:rPr>
      </w:pPr>
      <w:r w:rsidRPr="009533B2">
        <w:rPr>
          <w:sz w:val="22"/>
          <w:szCs w:val="22"/>
          <w:lang w:val="sr-Latn-ME"/>
        </w:rPr>
        <w:t>INN:</w:t>
      </w:r>
      <w:r w:rsidR="005D45D6" w:rsidRPr="009533B2">
        <w:rPr>
          <w:sz w:val="22"/>
          <w:szCs w:val="22"/>
          <w:lang w:val="sr-Latn-ME"/>
        </w:rPr>
        <w:t xml:space="preserve">  mesalazin</w:t>
      </w:r>
    </w:p>
    <w:p w14:paraId="030324FE" w14:textId="556F41FB" w:rsidR="006D20A5" w:rsidRDefault="006D20A5">
      <w:pPr>
        <w:rPr>
          <w:bCs/>
          <w:sz w:val="22"/>
          <w:szCs w:val="22"/>
          <w:lang w:val="sr-Latn-ME"/>
        </w:rPr>
      </w:pPr>
    </w:p>
    <w:p w14:paraId="284324E2" w14:textId="77777777" w:rsidR="00412547" w:rsidRPr="009533B2" w:rsidRDefault="00412547">
      <w:pPr>
        <w:rPr>
          <w:bCs/>
          <w:sz w:val="22"/>
          <w:szCs w:val="22"/>
          <w:lang w:val="sr-Latn-ME"/>
        </w:rPr>
      </w:pPr>
    </w:p>
    <w:p w14:paraId="0EB4C827" w14:textId="77777777" w:rsidR="00411B4B" w:rsidRPr="009533B2" w:rsidRDefault="00411B4B" w:rsidP="00F5167F">
      <w:pPr>
        <w:tabs>
          <w:tab w:val="left" w:pos="540"/>
          <w:tab w:val="left" w:pos="569"/>
        </w:tabs>
        <w:rPr>
          <w:b/>
          <w:bCs/>
          <w:sz w:val="22"/>
          <w:szCs w:val="22"/>
          <w:lang w:val="sr-Latn-ME"/>
        </w:rPr>
      </w:pPr>
      <w:r w:rsidRPr="009533B2">
        <w:rPr>
          <w:b/>
          <w:bCs/>
          <w:sz w:val="22"/>
          <w:szCs w:val="22"/>
          <w:lang w:val="sr-Latn-ME"/>
        </w:rPr>
        <w:t xml:space="preserve">2. </w:t>
      </w:r>
      <w:r w:rsidR="00F5167F" w:rsidRPr="009533B2">
        <w:rPr>
          <w:b/>
          <w:bCs/>
          <w:sz w:val="22"/>
          <w:szCs w:val="22"/>
          <w:lang w:val="sr-Latn-ME"/>
        </w:rPr>
        <w:tab/>
      </w:r>
      <w:r w:rsidRPr="009533B2">
        <w:rPr>
          <w:b/>
          <w:bCs/>
          <w:sz w:val="22"/>
          <w:szCs w:val="22"/>
          <w:lang w:val="sr-Latn-ME"/>
        </w:rPr>
        <w:t>KVALITATIVNI I KVANTITATIVNI SASTAV</w:t>
      </w:r>
    </w:p>
    <w:p w14:paraId="486F4BFF" w14:textId="77777777" w:rsidR="005D45D6" w:rsidRPr="009533B2" w:rsidRDefault="005D45D6" w:rsidP="00F5167F">
      <w:pPr>
        <w:tabs>
          <w:tab w:val="left" w:pos="540"/>
          <w:tab w:val="left" w:pos="569"/>
        </w:tabs>
        <w:rPr>
          <w:b/>
          <w:bCs/>
          <w:sz w:val="22"/>
          <w:szCs w:val="22"/>
          <w:lang w:val="sr-Latn-ME"/>
        </w:rPr>
      </w:pPr>
    </w:p>
    <w:p w14:paraId="70C34894" w14:textId="27012F12" w:rsidR="005D45D6" w:rsidRPr="009533B2" w:rsidRDefault="005D45D6" w:rsidP="001D78AB">
      <w:pPr>
        <w:pStyle w:val="Header"/>
        <w:tabs>
          <w:tab w:val="left" w:pos="284"/>
        </w:tabs>
        <w:jc w:val="both"/>
        <w:rPr>
          <w:bCs/>
          <w:sz w:val="22"/>
          <w:szCs w:val="22"/>
          <w:lang w:val="sr-Latn-ME"/>
        </w:rPr>
      </w:pPr>
      <w:r w:rsidRPr="009533B2">
        <w:rPr>
          <w:sz w:val="22"/>
          <w:szCs w:val="22"/>
          <w:lang w:val="sr-Latn-ME"/>
        </w:rPr>
        <w:t xml:space="preserve">Jedna </w:t>
      </w:r>
      <w:r w:rsidRPr="009533B2">
        <w:rPr>
          <w:bCs/>
          <w:sz w:val="22"/>
          <w:szCs w:val="22"/>
          <w:lang w:val="sr-Latn-ME"/>
        </w:rPr>
        <w:t>gastrorezistentna tableta sadrži 500</w:t>
      </w:r>
      <w:r w:rsidR="00D90E02">
        <w:rPr>
          <w:b/>
          <w:bCs/>
          <w:sz w:val="22"/>
          <w:szCs w:val="22"/>
          <w:lang w:val="sr-Latn-ME"/>
        </w:rPr>
        <w:t> </w:t>
      </w:r>
      <w:r w:rsidRPr="009533B2">
        <w:rPr>
          <w:bCs/>
          <w:sz w:val="22"/>
          <w:szCs w:val="22"/>
          <w:lang w:val="sr-Latn-ME"/>
        </w:rPr>
        <w:t>mg mesalazina.</w:t>
      </w:r>
    </w:p>
    <w:p w14:paraId="0EC458E5" w14:textId="77777777" w:rsidR="005D45D6" w:rsidRPr="009533B2" w:rsidRDefault="005D45D6" w:rsidP="001D78AB">
      <w:pPr>
        <w:pStyle w:val="Header"/>
        <w:tabs>
          <w:tab w:val="left" w:pos="284"/>
        </w:tabs>
        <w:jc w:val="both"/>
        <w:rPr>
          <w:bCs/>
          <w:sz w:val="22"/>
          <w:szCs w:val="22"/>
          <w:lang w:val="sr-Latn-ME"/>
        </w:rPr>
      </w:pPr>
    </w:p>
    <w:p w14:paraId="1D92F7E0" w14:textId="47BAD8E7" w:rsidR="005D45D6" w:rsidRPr="009533B2" w:rsidRDefault="005D45D6" w:rsidP="001D78AB">
      <w:pPr>
        <w:pStyle w:val="Header"/>
        <w:tabs>
          <w:tab w:val="left" w:pos="284"/>
        </w:tabs>
        <w:jc w:val="both"/>
        <w:rPr>
          <w:bCs/>
          <w:sz w:val="22"/>
          <w:szCs w:val="22"/>
          <w:lang w:val="sr-Latn-ME"/>
        </w:rPr>
      </w:pPr>
      <w:r w:rsidRPr="009533B2">
        <w:rPr>
          <w:bCs/>
          <w:sz w:val="22"/>
          <w:szCs w:val="22"/>
          <w:lang w:val="sr-Latn-ME"/>
        </w:rPr>
        <w:t>Pomoćne supstance: natrijum</w:t>
      </w:r>
      <w:r w:rsidR="00412547">
        <w:rPr>
          <w:bCs/>
          <w:sz w:val="22"/>
          <w:szCs w:val="22"/>
          <w:lang w:val="sr-Latn-ME"/>
        </w:rPr>
        <w:t xml:space="preserve"> </w:t>
      </w:r>
      <w:r w:rsidRPr="009533B2">
        <w:rPr>
          <w:bCs/>
          <w:sz w:val="22"/>
          <w:szCs w:val="22"/>
          <w:lang w:val="sr-Latn-ME"/>
        </w:rPr>
        <w:t>karbonat i kroskarmeloza</w:t>
      </w:r>
      <w:r w:rsidR="00412547">
        <w:rPr>
          <w:bCs/>
          <w:sz w:val="22"/>
          <w:szCs w:val="22"/>
          <w:lang w:val="sr-Latn-ME"/>
        </w:rPr>
        <w:t xml:space="preserve"> </w:t>
      </w:r>
      <w:r w:rsidRPr="009533B2">
        <w:rPr>
          <w:bCs/>
          <w:sz w:val="22"/>
          <w:szCs w:val="22"/>
          <w:lang w:val="sr-Latn-ME"/>
        </w:rPr>
        <w:t>natrijum.</w:t>
      </w:r>
    </w:p>
    <w:p w14:paraId="2A3C0612" w14:textId="77777777" w:rsidR="005A0B2E" w:rsidRPr="009533B2" w:rsidRDefault="005A0B2E" w:rsidP="001D78AB">
      <w:pPr>
        <w:jc w:val="both"/>
        <w:rPr>
          <w:sz w:val="22"/>
          <w:szCs w:val="22"/>
          <w:lang w:val="sr-Latn-ME"/>
        </w:rPr>
      </w:pPr>
    </w:p>
    <w:p w14:paraId="5BC1B522" w14:textId="73777BC9" w:rsidR="0003793F" w:rsidRPr="009533B2" w:rsidRDefault="0003793F" w:rsidP="001D78AB">
      <w:pPr>
        <w:jc w:val="both"/>
        <w:rPr>
          <w:sz w:val="22"/>
          <w:szCs w:val="22"/>
          <w:lang w:val="sr-Latn-ME"/>
        </w:rPr>
      </w:pPr>
      <w:r w:rsidRPr="009533B2">
        <w:rPr>
          <w:sz w:val="22"/>
          <w:szCs w:val="22"/>
          <w:lang w:val="sr-Latn-ME"/>
        </w:rPr>
        <w:t>Za spisak svih ekscipijenasa, pogledati dio</w:t>
      </w:r>
      <w:r w:rsidR="00AE7A7C">
        <w:rPr>
          <w:sz w:val="22"/>
          <w:szCs w:val="22"/>
          <w:lang w:val="sr-Latn-ME"/>
        </w:rPr>
        <w:t> </w:t>
      </w:r>
      <w:r w:rsidRPr="009533B2">
        <w:rPr>
          <w:sz w:val="22"/>
          <w:szCs w:val="22"/>
          <w:lang w:val="sr-Latn-ME"/>
        </w:rPr>
        <w:t>6.1.</w:t>
      </w:r>
    </w:p>
    <w:p w14:paraId="314EB5F7" w14:textId="77777777" w:rsidR="0003793F" w:rsidRPr="009533B2" w:rsidRDefault="0003793F">
      <w:pPr>
        <w:rPr>
          <w:sz w:val="22"/>
          <w:szCs w:val="22"/>
          <w:lang w:val="sr-Latn-ME"/>
        </w:rPr>
      </w:pPr>
    </w:p>
    <w:p w14:paraId="33A78BB0" w14:textId="77777777" w:rsidR="00C37FD7" w:rsidRPr="009533B2" w:rsidRDefault="00C37FD7">
      <w:pPr>
        <w:rPr>
          <w:sz w:val="22"/>
          <w:szCs w:val="22"/>
          <w:lang w:val="sr-Latn-ME"/>
        </w:rPr>
      </w:pPr>
    </w:p>
    <w:p w14:paraId="3DA6B94D" w14:textId="49D4BB57" w:rsidR="00411B4B" w:rsidRPr="009533B2" w:rsidRDefault="00411B4B" w:rsidP="00F5167F">
      <w:pPr>
        <w:tabs>
          <w:tab w:val="left" w:pos="540"/>
          <w:tab w:val="left" w:pos="569"/>
        </w:tabs>
        <w:rPr>
          <w:b/>
          <w:bCs/>
          <w:sz w:val="22"/>
          <w:szCs w:val="22"/>
          <w:lang w:val="sr-Latn-ME"/>
        </w:rPr>
      </w:pPr>
      <w:r w:rsidRPr="009533B2">
        <w:rPr>
          <w:b/>
          <w:bCs/>
          <w:sz w:val="22"/>
          <w:szCs w:val="22"/>
          <w:lang w:val="sr-Latn-ME"/>
        </w:rPr>
        <w:t xml:space="preserve">3. </w:t>
      </w:r>
      <w:r w:rsidR="00F5167F" w:rsidRPr="009533B2">
        <w:rPr>
          <w:b/>
          <w:bCs/>
          <w:sz w:val="22"/>
          <w:szCs w:val="22"/>
          <w:lang w:val="sr-Latn-ME"/>
        </w:rPr>
        <w:tab/>
      </w:r>
      <w:r w:rsidRPr="009533B2">
        <w:rPr>
          <w:b/>
          <w:bCs/>
          <w:sz w:val="22"/>
          <w:szCs w:val="22"/>
          <w:lang w:val="sr-Latn-ME"/>
        </w:rPr>
        <w:t>FARMACEUTSKI OBLIK</w:t>
      </w:r>
    </w:p>
    <w:p w14:paraId="401F9B0F" w14:textId="77777777" w:rsidR="00411B4B" w:rsidRPr="009533B2" w:rsidRDefault="00411B4B">
      <w:pPr>
        <w:rPr>
          <w:bCs/>
          <w:sz w:val="22"/>
          <w:szCs w:val="22"/>
          <w:lang w:val="sr-Latn-ME"/>
        </w:rPr>
      </w:pPr>
    </w:p>
    <w:p w14:paraId="178C715B" w14:textId="77777777" w:rsidR="005D45D6" w:rsidRPr="009533B2" w:rsidRDefault="005D45D6" w:rsidP="001D78AB">
      <w:pPr>
        <w:pStyle w:val="Header"/>
        <w:tabs>
          <w:tab w:val="left" w:pos="284"/>
        </w:tabs>
        <w:jc w:val="both"/>
        <w:rPr>
          <w:sz w:val="22"/>
          <w:szCs w:val="22"/>
          <w:lang w:val="sr-Latn-ME"/>
        </w:rPr>
      </w:pPr>
      <w:r w:rsidRPr="009533B2">
        <w:rPr>
          <w:sz w:val="22"/>
          <w:szCs w:val="22"/>
          <w:lang w:val="sr-Latn-ME"/>
        </w:rPr>
        <w:t>Gastrorezistentna tableta</w:t>
      </w:r>
    </w:p>
    <w:p w14:paraId="01E580E9" w14:textId="77777777" w:rsidR="005D45D6" w:rsidRPr="009533B2" w:rsidRDefault="005D45D6" w:rsidP="001D78AB">
      <w:pPr>
        <w:pStyle w:val="Header"/>
        <w:tabs>
          <w:tab w:val="left" w:pos="284"/>
        </w:tabs>
        <w:jc w:val="both"/>
        <w:rPr>
          <w:sz w:val="22"/>
          <w:szCs w:val="22"/>
          <w:lang w:val="sr-Latn-ME"/>
        </w:rPr>
      </w:pPr>
    </w:p>
    <w:p w14:paraId="5C8F1DBF" w14:textId="77777777" w:rsidR="005D45D6" w:rsidRPr="009533B2" w:rsidRDefault="005D45D6" w:rsidP="001D78AB">
      <w:pPr>
        <w:jc w:val="both"/>
        <w:rPr>
          <w:bCs/>
          <w:sz w:val="22"/>
          <w:szCs w:val="22"/>
          <w:lang w:val="sr-Latn-ME"/>
        </w:rPr>
      </w:pPr>
      <w:r w:rsidRPr="009533B2">
        <w:rPr>
          <w:sz w:val="22"/>
          <w:szCs w:val="22"/>
          <w:lang w:val="sr-Latn-ME"/>
        </w:rPr>
        <w:t xml:space="preserve">Izgled: ovalne, bikonveksne gastrorezistentne tablete, </w:t>
      </w:r>
      <w:r w:rsidR="00E63501">
        <w:rPr>
          <w:sz w:val="22"/>
          <w:szCs w:val="22"/>
          <w:lang w:val="sr-Latn-ME"/>
        </w:rPr>
        <w:t xml:space="preserve">mat </w:t>
      </w:r>
      <w:r w:rsidRPr="009533B2">
        <w:rPr>
          <w:sz w:val="22"/>
          <w:szCs w:val="22"/>
          <w:lang w:val="sr-Latn-ME"/>
        </w:rPr>
        <w:t>sa glatkim smeđežutim omotačem, bez crte.</w:t>
      </w:r>
    </w:p>
    <w:p w14:paraId="7974FD94" w14:textId="63262706" w:rsidR="00EC2532" w:rsidRDefault="00EC2532">
      <w:pPr>
        <w:rPr>
          <w:bCs/>
          <w:sz w:val="22"/>
          <w:szCs w:val="22"/>
          <w:lang w:val="sr-Latn-ME"/>
        </w:rPr>
      </w:pPr>
    </w:p>
    <w:p w14:paraId="49B40A90" w14:textId="77777777" w:rsidR="00412547" w:rsidRPr="009533B2" w:rsidRDefault="00412547">
      <w:pPr>
        <w:rPr>
          <w:bCs/>
          <w:sz w:val="22"/>
          <w:szCs w:val="22"/>
          <w:lang w:val="sr-Latn-ME"/>
        </w:rPr>
      </w:pPr>
    </w:p>
    <w:p w14:paraId="18311BC4" w14:textId="77777777" w:rsidR="00411B4B" w:rsidRPr="009533B2" w:rsidRDefault="00411B4B" w:rsidP="00F5167F">
      <w:pPr>
        <w:tabs>
          <w:tab w:val="left" w:pos="540"/>
          <w:tab w:val="left" w:pos="569"/>
        </w:tabs>
        <w:rPr>
          <w:b/>
          <w:bCs/>
          <w:sz w:val="22"/>
          <w:szCs w:val="22"/>
          <w:lang w:val="sr-Latn-ME"/>
        </w:rPr>
      </w:pPr>
      <w:r w:rsidRPr="009533B2">
        <w:rPr>
          <w:b/>
          <w:bCs/>
          <w:sz w:val="22"/>
          <w:szCs w:val="22"/>
          <w:lang w:val="sr-Latn-ME"/>
        </w:rPr>
        <w:t xml:space="preserve">4. </w:t>
      </w:r>
      <w:r w:rsidR="00480FB1" w:rsidRPr="009533B2">
        <w:rPr>
          <w:b/>
          <w:bCs/>
          <w:sz w:val="22"/>
          <w:szCs w:val="22"/>
          <w:lang w:val="sr-Latn-ME"/>
        </w:rPr>
        <w:tab/>
      </w:r>
      <w:r w:rsidRPr="009533B2">
        <w:rPr>
          <w:b/>
          <w:bCs/>
          <w:sz w:val="22"/>
          <w:szCs w:val="22"/>
          <w:lang w:val="sr-Latn-ME"/>
        </w:rPr>
        <w:t>KLINIČKI PODACI</w:t>
      </w:r>
    </w:p>
    <w:p w14:paraId="2F02F191" w14:textId="77777777" w:rsidR="00CD6F02" w:rsidRPr="009533B2" w:rsidRDefault="00CD6F02" w:rsidP="00480FB1">
      <w:pPr>
        <w:tabs>
          <w:tab w:val="left" w:pos="540"/>
          <w:tab w:val="left" w:pos="569"/>
        </w:tabs>
        <w:rPr>
          <w:bCs/>
          <w:sz w:val="22"/>
          <w:szCs w:val="22"/>
          <w:lang w:val="sr-Latn-ME"/>
        </w:rPr>
      </w:pPr>
    </w:p>
    <w:p w14:paraId="1EFA0678" w14:textId="77777777" w:rsidR="00411B4B" w:rsidRPr="009533B2" w:rsidRDefault="00411B4B" w:rsidP="00480FB1">
      <w:pPr>
        <w:tabs>
          <w:tab w:val="left" w:pos="540"/>
          <w:tab w:val="left" w:pos="569"/>
        </w:tabs>
        <w:rPr>
          <w:b/>
          <w:bCs/>
          <w:sz w:val="22"/>
          <w:szCs w:val="22"/>
          <w:lang w:val="sr-Latn-ME"/>
        </w:rPr>
      </w:pPr>
      <w:r w:rsidRPr="009533B2">
        <w:rPr>
          <w:b/>
          <w:bCs/>
          <w:sz w:val="22"/>
          <w:szCs w:val="22"/>
          <w:lang w:val="sr-Latn-ME"/>
        </w:rPr>
        <w:t xml:space="preserve">4.1. </w:t>
      </w:r>
      <w:r w:rsidR="00480FB1" w:rsidRPr="009533B2">
        <w:rPr>
          <w:b/>
          <w:bCs/>
          <w:sz w:val="22"/>
          <w:szCs w:val="22"/>
          <w:lang w:val="sr-Latn-ME"/>
        </w:rPr>
        <w:tab/>
      </w:r>
      <w:r w:rsidRPr="009533B2">
        <w:rPr>
          <w:b/>
          <w:bCs/>
          <w:sz w:val="22"/>
          <w:szCs w:val="22"/>
          <w:lang w:val="sr-Latn-ME"/>
        </w:rPr>
        <w:t>Terapijske indikacije</w:t>
      </w:r>
    </w:p>
    <w:p w14:paraId="78D6E54F" w14:textId="77777777" w:rsidR="005D45D6" w:rsidRPr="009533B2" w:rsidRDefault="005D45D6" w:rsidP="00480FB1">
      <w:pPr>
        <w:tabs>
          <w:tab w:val="left" w:pos="540"/>
          <w:tab w:val="left" w:pos="569"/>
        </w:tabs>
        <w:rPr>
          <w:b/>
          <w:bCs/>
          <w:sz w:val="22"/>
          <w:szCs w:val="22"/>
          <w:lang w:val="sr-Latn-ME"/>
        </w:rPr>
      </w:pPr>
    </w:p>
    <w:p w14:paraId="6727FEFC" w14:textId="77777777" w:rsidR="005D45D6" w:rsidRPr="009533B2" w:rsidRDefault="005D45D6" w:rsidP="001D78AB">
      <w:pPr>
        <w:pStyle w:val="Header"/>
        <w:numPr>
          <w:ilvl w:val="0"/>
          <w:numId w:val="15"/>
        </w:numPr>
        <w:tabs>
          <w:tab w:val="clear" w:pos="4320"/>
          <w:tab w:val="clear" w:pos="8640"/>
          <w:tab w:val="left" w:pos="284"/>
        </w:tabs>
        <w:jc w:val="both"/>
        <w:rPr>
          <w:sz w:val="22"/>
          <w:szCs w:val="22"/>
          <w:lang w:val="sr-Latn-ME"/>
        </w:rPr>
      </w:pPr>
      <w:r w:rsidRPr="009533B2">
        <w:rPr>
          <w:sz w:val="22"/>
          <w:szCs w:val="22"/>
          <w:lang w:val="sr-Latn-ME"/>
        </w:rPr>
        <w:t>Ulcerozni kolitis: tretman akutnih epizoda i prevencija relapsa</w:t>
      </w:r>
    </w:p>
    <w:p w14:paraId="046DE9FC" w14:textId="0123D30C" w:rsidR="005D45D6" w:rsidRPr="009533B2" w:rsidRDefault="00E63501" w:rsidP="001D78AB">
      <w:pPr>
        <w:pStyle w:val="ListParagraph"/>
        <w:numPr>
          <w:ilvl w:val="0"/>
          <w:numId w:val="15"/>
        </w:numPr>
        <w:tabs>
          <w:tab w:val="left" w:pos="851"/>
        </w:tabs>
        <w:rPr>
          <w:b/>
          <w:bCs/>
          <w:sz w:val="22"/>
          <w:szCs w:val="22"/>
          <w:lang w:val="sr-Latn-ME"/>
        </w:rPr>
      </w:pPr>
      <w:r>
        <w:rPr>
          <w:sz w:val="22"/>
          <w:szCs w:val="22"/>
          <w:lang w:val="sr-Latn-ME"/>
        </w:rPr>
        <w:t>Kron</w:t>
      </w:r>
      <w:r w:rsidR="005D45D6" w:rsidRPr="009533B2">
        <w:rPr>
          <w:sz w:val="22"/>
          <w:szCs w:val="22"/>
          <w:lang w:val="sr-Latn-ME"/>
        </w:rPr>
        <w:t>ova bolest: tretman akutnih epizoda</w:t>
      </w:r>
    </w:p>
    <w:p w14:paraId="07B61343" w14:textId="77777777" w:rsidR="00411B4B" w:rsidRPr="009533B2" w:rsidRDefault="00411B4B" w:rsidP="00480FB1">
      <w:pPr>
        <w:tabs>
          <w:tab w:val="left" w:pos="540"/>
          <w:tab w:val="left" w:pos="569"/>
        </w:tabs>
        <w:rPr>
          <w:bCs/>
          <w:sz w:val="22"/>
          <w:szCs w:val="22"/>
          <w:lang w:val="sr-Latn-ME"/>
        </w:rPr>
      </w:pPr>
    </w:p>
    <w:p w14:paraId="6F0D92FB" w14:textId="77777777" w:rsidR="00411B4B" w:rsidRPr="009533B2" w:rsidRDefault="00411B4B" w:rsidP="00480FB1">
      <w:pPr>
        <w:tabs>
          <w:tab w:val="left" w:pos="540"/>
          <w:tab w:val="left" w:pos="569"/>
        </w:tabs>
        <w:rPr>
          <w:b/>
          <w:bCs/>
          <w:sz w:val="22"/>
          <w:szCs w:val="22"/>
          <w:lang w:val="sr-Latn-ME"/>
        </w:rPr>
      </w:pPr>
      <w:r w:rsidRPr="009533B2">
        <w:rPr>
          <w:b/>
          <w:bCs/>
          <w:sz w:val="22"/>
          <w:szCs w:val="22"/>
          <w:lang w:val="sr-Latn-ME"/>
        </w:rPr>
        <w:t xml:space="preserve">4.2. </w:t>
      </w:r>
      <w:r w:rsidR="00480FB1" w:rsidRPr="009533B2">
        <w:rPr>
          <w:b/>
          <w:bCs/>
          <w:sz w:val="22"/>
          <w:szCs w:val="22"/>
          <w:lang w:val="sr-Latn-ME"/>
        </w:rPr>
        <w:tab/>
      </w:r>
      <w:r w:rsidRPr="009533B2">
        <w:rPr>
          <w:b/>
          <w:bCs/>
          <w:sz w:val="22"/>
          <w:szCs w:val="22"/>
          <w:lang w:val="sr-Latn-ME"/>
        </w:rPr>
        <w:t>Doziranje i način primjene</w:t>
      </w:r>
    </w:p>
    <w:p w14:paraId="76CC9660" w14:textId="77777777" w:rsidR="0072020E" w:rsidRDefault="0072020E" w:rsidP="00480FB1">
      <w:pPr>
        <w:tabs>
          <w:tab w:val="left" w:pos="540"/>
          <w:tab w:val="left" w:pos="569"/>
        </w:tabs>
        <w:rPr>
          <w:bCs/>
          <w:sz w:val="22"/>
          <w:szCs w:val="22"/>
          <w:lang w:val="sr-Latn-ME"/>
        </w:rPr>
      </w:pPr>
    </w:p>
    <w:p w14:paraId="21B1CFFF" w14:textId="77777777" w:rsidR="009C31B1" w:rsidRPr="00786071" w:rsidRDefault="009C31B1" w:rsidP="009C31B1">
      <w:pPr>
        <w:tabs>
          <w:tab w:val="left" w:pos="540"/>
          <w:tab w:val="left" w:pos="569"/>
        </w:tabs>
        <w:rPr>
          <w:bCs/>
          <w:sz w:val="22"/>
          <w:szCs w:val="22"/>
          <w:u w:val="single"/>
        </w:rPr>
      </w:pPr>
      <w:r w:rsidRPr="00786071">
        <w:rPr>
          <w:bCs/>
          <w:sz w:val="22"/>
          <w:szCs w:val="22"/>
          <w:u w:val="single"/>
        </w:rPr>
        <w:t>Doziranje</w:t>
      </w:r>
    </w:p>
    <w:p w14:paraId="3D852B80" w14:textId="77777777" w:rsidR="009C31B1" w:rsidRPr="009533B2" w:rsidRDefault="009C31B1" w:rsidP="00480FB1">
      <w:pPr>
        <w:tabs>
          <w:tab w:val="left" w:pos="540"/>
          <w:tab w:val="left" w:pos="569"/>
        </w:tabs>
        <w:rPr>
          <w:bCs/>
          <w:sz w:val="22"/>
          <w:szCs w:val="22"/>
          <w:lang w:val="sr-Latn-ME"/>
        </w:rPr>
      </w:pPr>
    </w:p>
    <w:p w14:paraId="38E29A61" w14:textId="77777777" w:rsidR="005D45D6" w:rsidRPr="009533B2" w:rsidRDefault="005D45D6" w:rsidP="005D45D6">
      <w:pPr>
        <w:pStyle w:val="Header"/>
        <w:tabs>
          <w:tab w:val="left" w:pos="284"/>
        </w:tabs>
        <w:rPr>
          <w:b/>
          <w:sz w:val="22"/>
          <w:szCs w:val="22"/>
          <w:lang w:val="sr-Latn-ME"/>
        </w:rPr>
      </w:pPr>
      <w:r w:rsidRPr="009533B2">
        <w:rPr>
          <w:b/>
          <w:sz w:val="22"/>
          <w:szCs w:val="22"/>
          <w:lang w:val="sr-Latn-ME"/>
        </w:rPr>
        <w:t>Odrasli uključujući starije osobe:</w:t>
      </w:r>
    </w:p>
    <w:p w14:paraId="68493CA6" w14:textId="77777777" w:rsidR="005D45D6" w:rsidRPr="009533B2" w:rsidRDefault="005D45D6" w:rsidP="005D45D6">
      <w:pPr>
        <w:pStyle w:val="Header"/>
        <w:tabs>
          <w:tab w:val="left" w:pos="284"/>
        </w:tabs>
        <w:rPr>
          <w:sz w:val="22"/>
          <w:szCs w:val="22"/>
          <w:lang w:val="sr-Latn-ME"/>
        </w:rPr>
      </w:pPr>
    </w:p>
    <w:p w14:paraId="4B794538" w14:textId="3589A709" w:rsidR="005D45D6" w:rsidRPr="009533B2" w:rsidRDefault="005D45D6" w:rsidP="005D45D6">
      <w:pPr>
        <w:pStyle w:val="Header"/>
        <w:tabs>
          <w:tab w:val="left" w:pos="284"/>
        </w:tabs>
        <w:rPr>
          <w:sz w:val="22"/>
          <w:szCs w:val="22"/>
          <w:lang w:val="sr-Latn-ME"/>
        </w:rPr>
      </w:pPr>
      <w:r w:rsidRPr="009533B2">
        <w:rPr>
          <w:sz w:val="22"/>
          <w:szCs w:val="22"/>
          <w:lang w:val="sr-Latn-ME"/>
        </w:rPr>
        <w:t>Preporučuju se sljedeće dnevne doze, u zavisnosti od individualnih potreba pacijenta: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984"/>
        <w:gridCol w:w="2126"/>
        <w:gridCol w:w="2843"/>
      </w:tblGrid>
      <w:tr w:rsidR="005D45D6" w:rsidRPr="009533B2" w14:paraId="5713E4D8" w14:textId="77777777" w:rsidTr="00804F26">
        <w:tc>
          <w:tcPr>
            <w:tcW w:w="2122" w:type="dxa"/>
          </w:tcPr>
          <w:p w14:paraId="066162E5" w14:textId="77777777" w:rsidR="005D45D6" w:rsidRPr="009533B2" w:rsidRDefault="005D45D6" w:rsidP="00EC4C1F">
            <w:pPr>
              <w:pStyle w:val="Header"/>
              <w:tabs>
                <w:tab w:val="left" w:pos="284"/>
              </w:tabs>
              <w:spacing w:before="40" w:after="40"/>
              <w:rPr>
                <w:sz w:val="22"/>
                <w:szCs w:val="22"/>
                <w:lang w:val="sr-Latn-ME"/>
              </w:rPr>
            </w:pPr>
          </w:p>
        </w:tc>
        <w:tc>
          <w:tcPr>
            <w:tcW w:w="1984" w:type="dxa"/>
          </w:tcPr>
          <w:p w14:paraId="611B8DBB" w14:textId="5C944182" w:rsidR="005D45D6" w:rsidRPr="0071569D" w:rsidRDefault="00D90E02" w:rsidP="00EC4C1F">
            <w:pPr>
              <w:pStyle w:val="Header"/>
              <w:tabs>
                <w:tab w:val="left" w:pos="284"/>
              </w:tabs>
              <w:spacing w:before="40" w:after="40"/>
              <w:jc w:val="center"/>
              <w:rPr>
                <w:sz w:val="22"/>
                <w:szCs w:val="22"/>
                <w:lang w:val="sr-Latn-ME"/>
              </w:rPr>
            </w:pPr>
            <w:r w:rsidRPr="0071569D">
              <w:rPr>
                <w:sz w:val="22"/>
                <w:szCs w:val="22"/>
                <w:lang w:val="sr-Latn-ME"/>
              </w:rPr>
              <w:t>Kron</w:t>
            </w:r>
            <w:r w:rsidR="005D45D6" w:rsidRPr="0071569D">
              <w:rPr>
                <w:sz w:val="22"/>
                <w:szCs w:val="22"/>
                <w:lang w:val="sr-Latn-ME"/>
              </w:rPr>
              <w:t>ova bolest</w:t>
            </w:r>
          </w:p>
        </w:tc>
        <w:tc>
          <w:tcPr>
            <w:tcW w:w="4969" w:type="dxa"/>
            <w:gridSpan w:val="2"/>
          </w:tcPr>
          <w:p w14:paraId="79193504" w14:textId="77777777" w:rsidR="005D45D6" w:rsidRPr="0071569D" w:rsidRDefault="005D45D6" w:rsidP="00EC4C1F">
            <w:pPr>
              <w:pStyle w:val="Header"/>
              <w:tabs>
                <w:tab w:val="left" w:pos="284"/>
              </w:tabs>
              <w:spacing w:before="40" w:after="40"/>
              <w:jc w:val="center"/>
              <w:rPr>
                <w:sz w:val="22"/>
                <w:szCs w:val="22"/>
                <w:lang w:val="sr-Latn-ME"/>
              </w:rPr>
            </w:pPr>
            <w:r w:rsidRPr="0071569D">
              <w:rPr>
                <w:sz w:val="22"/>
                <w:szCs w:val="22"/>
                <w:lang w:val="sr-Latn-ME"/>
              </w:rPr>
              <w:t>Ulcerozni kolitis</w:t>
            </w:r>
          </w:p>
        </w:tc>
      </w:tr>
      <w:tr w:rsidR="005D45D6" w:rsidRPr="001D78AB" w14:paraId="5275252E" w14:textId="77777777" w:rsidTr="00804F26">
        <w:tc>
          <w:tcPr>
            <w:tcW w:w="2122" w:type="dxa"/>
          </w:tcPr>
          <w:p w14:paraId="313F1F31" w14:textId="77777777" w:rsidR="005D45D6" w:rsidRPr="009533B2" w:rsidRDefault="005D45D6" w:rsidP="00EC4C1F">
            <w:pPr>
              <w:pStyle w:val="Header"/>
              <w:tabs>
                <w:tab w:val="left" w:pos="284"/>
              </w:tabs>
              <w:spacing w:before="40" w:after="40"/>
              <w:rPr>
                <w:sz w:val="22"/>
                <w:szCs w:val="22"/>
                <w:lang w:val="sr-Latn-ME"/>
              </w:rPr>
            </w:pPr>
          </w:p>
        </w:tc>
        <w:tc>
          <w:tcPr>
            <w:tcW w:w="1984" w:type="dxa"/>
          </w:tcPr>
          <w:p w14:paraId="5D9C63C8" w14:textId="77777777" w:rsidR="005D45D6" w:rsidRPr="009533B2" w:rsidRDefault="005D45D6" w:rsidP="00EC4C1F">
            <w:pPr>
              <w:pStyle w:val="Header"/>
              <w:tabs>
                <w:tab w:val="left" w:pos="284"/>
              </w:tabs>
              <w:spacing w:before="40" w:after="40"/>
              <w:jc w:val="center"/>
              <w:rPr>
                <w:sz w:val="22"/>
                <w:szCs w:val="22"/>
                <w:lang w:val="sr-Latn-ME"/>
              </w:rPr>
            </w:pPr>
            <w:r w:rsidRPr="009533B2">
              <w:rPr>
                <w:sz w:val="22"/>
                <w:szCs w:val="22"/>
                <w:lang w:val="sr-Latn-ME"/>
              </w:rPr>
              <w:t>Akutna epizoda</w:t>
            </w:r>
          </w:p>
        </w:tc>
        <w:tc>
          <w:tcPr>
            <w:tcW w:w="2126" w:type="dxa"/>
          </w:tcPr>
          <w:p w14:paraId="53ACC659" w14:textId="77777777" w:rsidR="005D45D6" w:rsidRPr="009533B2" w:rsidRDefault="005D45D6" w:rsidP="00EC4C1F">
            <w:pPr>
              <w:pStyle w:val="Header"/>
              <w:tabs>
                <w:tab w:val="left" w:pos="284"/>
              </w:tabs>
              <w:spacing w:before="40" w:after="40"/>
              <w:jc w:val="center"/>
              <w:rPr>
                <w:sz w:val="22"/>
                <w:szCs w:val="22"/>
                <w:lang w:val="sr-Latn-ME"/>
              </w:rPr>
            </w:pPr>
            <w:r w:rsidRPr="009533B2">
              <w:rPr>
                <w:sz w:val="22"/>
                <w:szCs w:val="22"/>
                <w:lang w:val="sr-Latn-ME"/>
              </w:rPr>
              <w:t>Akutna epizoda</w:t>
            </w:r>
          </w:p>
        </w:tc>
        <w:tc>
          <w:tcPr>
            <w:tcW w:w="2843" w:type="dxa"/>
          </w:tcPr>
          <w:p w14:paraId="2642243E" w14:textId="14B8E3CB" w:rsidR="005D45D6" w:rsidRPr="009533B2" w:rsidRDefault="005D45D6" w:rsidP="00EC4C1F">
            <w:pPr>
              <w:pStyle w:val="Header"/>
              <w:tabs>
                <w:tab w:val="left" w:pos="284"/>
              </w:tabs>
              <w:spacing w:before="40" w:after="40"/>
              <w:jc w:val="center"/>
              <w:rPr>
                <w:sz w:val="22"/>
                <w:szCs w:val="22"/>
                <w:lang w:val="sr-Latn-ME"/>
              </w:rPr>
            </w:pPr>
            <w:r w:rsidRPr="009533B2">
              <w:rPr>
                <w:sz w:val="22"/>
                <w:szCs w:val="22"/>
                <w:lang w:val="sr-Latn-ME"/>
              </w:rPr>
              <w:t>Sprečavanje pojave sljedećih epizoda/dugo</w:t>
            </w:r>
            <w:r w:rsidR="004261E0">
              <w:rPr>
                <w:sz w:val="22"/>
                <w:szCs w:val="22"/>
                <w:lang w:val="sr-Latn-ME"/>
              </w:rPr>
              <w:t>trajna</w:t>
            </w:r>
            <w:r w:rsidRPr="009533B2">
              <w:rPr>
                <w:sz w:val="22"/>
                <w:szCs w:val="22"/>
                <w:lang w:val="sr-Latn-ME"/>
              </w:rPr>
              <w:t xml:space="preserve"> terapija</w:t>
            </w:r>
          </w:p>
        </w:tc>
      </w:tr>
      <w:tr w:rsidR="005D45D6" w:rsidRPr="009533B2" w14:paraId="3D7EF0F2" w14:textId="77777777" w:rsidTr="00804F26">
        <w:tc>
          <w:tcPr>
            <w:tcW w:w="2122" w:type="dxa"/>
          </w:tcPr>
          <w:p w14:paraId="249EA7A3" w14:textId="77777777" w:rsidR="00FF0C8E" w:rsidRDefault="005D45D6" w:rsidP="00EC4C1F">
            <w:pPr>
              <w:pStyle w:val="Header"/>
              <w:tabs>
                <w:tab w:val="left" w:pos="284"/>
              </w:tabs>
              <w:spacing w:before="40" w:after="40"/>
              <w:rPr>
                <w:sz w:val="22"/>
                <w:szCs w:val="22"/>
                <w:lang w:val="sr-Latn-ME"/>
              </w:rPr>
            </w:pPr>
            <w:r w:rsidRPr="009533B2">
              <w:rPr>
                <w:sz w:val="22"/>
                <w:szCs w:val="22"/>
                <w:lang w:val="sr-Latn-ME"/>
              </w:rPr>
              <w:t xml:space="preserve">Mesalazin </w:t>
            </w:r>
          </w:p>
          <w:p w14:paraId="73203A90" w14:textId="14448B3F" w:rsidR="005D45D6" w:rsidRPr="009533B2" w:rsidRDefault="005D45D6" w:rsidP="00EC4C1F">
            <w:pPr>
              <w:pStyle w:val="Header"/>
              <w:tabs>
                <w:tab w:val="left" w:pos="284"/>
              </w:tabs>
              <w:spacing w:before="40" w:after="40"/>
              <w:rPr>
                <w:sz w:val="22"/>
                <w:szCs w:val="22"/>
                <w:lang w:val="sr-Latn-ME"/>
              </w:rPr>
            </w:pPr>
            <w:r w:rsidRPr="009533B2">
              <w:rPr>
                <w:sz w:val="22"/>
                <w:szCs w:val="22"/>
                <w:lang w:val="sr-Latn-ME"/>
              </w:rPr>
              <w:t>(aktivna supstanca)</w:t>
            </w:r>
          </w:p>
        </w:tc>
        <w:tc>
          <w:tcPr>
            <w:tcW w:w="1984" w:type="dxa"/>
          </w:tcPr>
          <w:p w14:paraId="367392E2" w14:textId="663D82EE" w:rsidR="005D45D6" w:rsidRPr="009533B2" w:rsidRDefault="005D45D6" w:rsidP="00EC4C1F">
            <w:pPr>
              <w:pStyle w:val="Header"/>
              <w:tabs>
                <w:tab w:val="left" w:pos="284"/>
              </w:tabs>
              <w:spacing w:before="40" w:after="40"/>
              <w:jc w:val="center"/>
              <w:rPr>
                <w:sz w:val="22"/>
                <w:szCs w:val="22"/>
                <w:lang w:val="sr-Latn-ME"/>
              </w:rPr>
            </w:pPr>
            <w:r w:rsidRPr="009533B2">
              <w:rPr>
                <w:sz w:val="22"/>
                <w:szCs w:val="22"/>
                <w:lang w:val="sr-Latn-ME"/>
              </w:rPr>
              <w:t>1,5</w:t>
            </w:r>
            <w:r w:rsidR="00D90E02">
              <w:rPr>
                <w:b/>
                <w:bCs/>
                <w:sz w:val="22"/>
                <w:szCs w:val="22"/>
                <w:lang w:val="sr-Latn-ME"/>
              </w:rPr>
              <w:t> </w:t>
            </w:r>
            <w:r w:rsidRPr="009533B2">
              <w:rPr>
                <w:sz w:val="22"/>
                <w:szCs w:val="22"/>
                <w:lang w:val="sr-Latn-ME"/>
              </w:rPr>
              <w:t>g – 4,5</w:t>
            </w:r>
            <w:r w:rsidR="00D90E02">
              <w:rPr>
                <w:b/>
                <w:bCs/>
                <w:sz w:val="22"/>
                <w:szCs w:val="22"/>
                <w:lang w:val="sr-Latn-ME"/>
              </w:rPr>
              <w:t> </w:t>
            </w:r>
            <w:r w:rsidRPr="009533B2">
              <w:rPr>
                <w:sz w:val="22"/>
                <w:szCs w:val="22"/>
                <w:lang w:val="sr-Latn-ME"/>
              </w:rPr>
              <w:t>g</w:t>
            </w:r>
          </w:p>
        </w:tc>
        <w:tc>
          <w:tcPr>
            <w:tcW w:w="2126" w:type="dxa"/>
          </w:tcPr>
          <w:p w14:paraId="0AD6C996" w14:textId="61CB25A3" w:rsidR="005D45D6" w:rsidRPr="009533B2" w:rsidRDefault="005D45D6" w:rsidP="00EC4C1F">
            <w:pPr>
              <w:pStyle w:val="Header"/>
              <w:tabs>
                <w:tab w:val="left" w:pos="284"/>
              </w:tabs>
              <w:spacing w:before="40" w:after="40"/>
              <w:jc w:val="center"/>
              <w:rPr>
                <w:sz w:val="22"/>
                <w:szCs w:val="22"/>
                <w:lang w:val="sr-Latn-ME"/>
              </w:rPr>
            </w:pPr>
            <w:r w:rsidRPr="009533B2">
              <w:rPr>
                <w:sz w:val="22"/>
                <w:szCs w:val="22"/>
                <w:lang w:val="sr-Latn-ME"/>
              </w:rPr>
              <w:t>1,5</w:t>
            </w:r>
            <w:r w:rsidR="00D90E02">
              <w:rPr>
                <w:b/>
                <w:bCs/>
                <w:sz w:val="22"/>
                <w:szCs w:val="22"/>
                <w:lang w:val="sr-Latn-ME"/>
              </w:rPr>
              <w:t> </w:t>
            </w:r>
            <w:r w:rsidRPr="009533B2">
              <w:rPr>
                <w:sz w:val="22"/>
                <w:szCs w:val="22"/>
                <w:lang w:val="sr-Latn-ME"/>
              </w:rPr>
              <w:t>g – 3,0</w:t>
            </w:r>
            <w:r w:rsidR="00D90E02">
              <w:rPr>
                <w:b/>
                <w:bCs/>
                <w:sz w:val="22"/>
                <w:szCs w:val="22"/>
                <w:lang w:val="sr-Latn-ME"/>
              </w:rPr>
              <w:t> </w:t>
            </w:r>
            <w:r w:rsidRPr="009533B2">
              <w:rPr>
                <w:sz w:val="22"/>
                <w:szCs w:val="22"/>
                <w:lang w:val="sr-Latn-ME"/>
              </w:rPr>
              <w:t>g</w:t>
            </w:r>
          </w:p>
        </w:tc>
        <w:tc>
          <w:tcPr>
            <w:tcW w:w="2843" w:type="dxa"/>
          </w:tcPr>
          <w:p w14:paraId="6D003F07" w14:textId="496FBD99" w:rsidR="005D45D6" w:rsidRPr="009533B2" w:rsidRDefault="005D45D6" w:rsidP="00EC4C1F">
            <w:pPr>
              <w:pStyle w:val="Header"/>
              <w:tabs>
                <w:tab w:val="left" w:pos="284"/>
              </w:tabs>
              <w:spacing w:before="40" w:after="40"/>
              <w:jc w:val="center"/>
              <w:rPr>
                <w:sz w:val="22"/>
                <w:szCs w:val="22"/>
                <w:lang w:val="sr-Latn-ME"/>
              </w:rPr>
            </w:pPr>
            <w:r w:rsidRPr="009533B2">
              <w:rPr>
                <w:sz w:val="22"/>
                <w:szCs w:val="22"/>
                <w:lang w:val="sr-Latn-ME"/>
              </w:rPr>
              <w:t>1,5</w:t>
            </w:r>
            <w:r w:rsidR="00D90E02">
              <w:rPr>
                <w:b/>
                <w:bCs/>
                <w:sz w:val="22"/>
                <w:szCs w:val="22"/>
                <w:lang w:val="sr-Latn-ME"/>
              </w:rPr>
              <w:t> </w:t>
            </w:r>
            <w:r w:rsidRPr="009533B2">
              <w:rPr>
                <w:sz w:val="22"/>
                <w:szCs w:val="22"/>
                <w:lang w:val="sr-Latn-ME"/>
              </w:rPr>
              <w:t>g</w:t>
            </w:r>
          </w:p>
        </w:tc>
      </w:tr>
      <w:tr w:rsidR="005D45D6" w:rsidRPr="009533B2" w14:paraId="0D017A58" w14:textId="77777777" w:rsidTr="00804F26">
        <w:tc>
          <w:tcPr>
            <w:tcW w:w="2122" w:type="dxa"/>
          </w:tcPr>
          <w:p w14:paraId="49EE4210" w14:textId="0581D332" w:rsidR="005D45D6" w:rsidRPr="009533B2" w:rsidRDefault="005D45D6" w:rsidP="00EC4C1F">
            <w:pPr>
              <w:pStyle w:val="Header"/>
              <w:tabs>
                <w:tab w:val="left" w:pos="284"/>
              </w:tabs>
              <w:spacing w:before="40" w:after="40"/>
              <w:rPr>
                <w:sz w:val="22"/>
                <w:szCs w:val="22"/>
                <w:lang w:val="sr-Latn-ME"/>
              </w:rPr>
            </w:pPr>
            <w:r w:rsidRPr="009533B2">
              <w:rPr>
                <w:sz w:val="22"/>
                <w:szCs w:val="22"/>
                <w:lang w:val="sr-Latn-ME"/>
              </w:rPr>
              <w:t>Salofalk 500</w:t>
            </w:r>
            <w:r w:rsidR="00D90E02">
              <w:rPr>
                <w:b/>
                <w:bCs/>
                <w:sz w:val="22"/>
                <w:szCs w:val="22"/>
                <w:lang w:val="sr-Latn-ME"/>
              </w:rPr>
              <w:t> </w:t>
            </w:r>
            <w:r w:rsidR="00D90E02">
              <w:rPr>
                <w:sz w:val="22"/>
                <w:szCs w:val="22"/>
                <w:lang w:val="sr-Latn-ME"/>
              </w:rPr>
              <w:t>mg</w:t>
            </w:r>
            <w:r w:rsidR="003B49CD">
              <w:rPr>
                <w:sz w:val="22"/>
                <w:szCs w:val="22"/>
                <w:lang w:val="sr-Latn-ME"/>
              </w:rPr>
              <w:t>,</w:t>
            </w:r>
            <w:r w:rsidR="00D90E02">
              <w:rPr>
                <w:sz w:val="22"/>
                <w:szCs w:val="22"/>
                <w:lang w:val="sr-Latn-ME"/>
              </w:rPr>
              <w:t xml:space="preserve"> </w:t>
            </w:r>
            <w:r w:rsidRPr="009533B2">
              <w:rPr>
                <w:sz w:val="22"/>
                <w:szCs w:val="22"/>
                <w:lang w:val="sr-Latn-ME"/>
              </w:rPr>
              <w:t>gastrorezistentn</w:t>
            </w:r>
            <w:r w:rsidR="003B49CD">
              <w:rPr>
                <w:sz w:val="22"/>
                <w:szCs w:val="22"/>
                <w:lang w:val="sr-Latn-ME"/>
              </w:rPr>
              <w:t>a</w:t>
            </w:r>
            <w:r w:rsidRPr="009533B2">
              <w:rPr>
                <w:sz w:val="22"/>
                <w:szCs w:val="22"/>
                <w:lang w:val="sr-Latn-ME"/>
              </w:rPr>
              <w:t xml:space="preserve"> tablet</w:t>
            </w:r>
            <w:r w:rsidR="003B49CD">
              <w:rPr>
                <w:sz w:val="22"/>
                <w:szCs w:val="22"/>
                <w:lang w:val="sr-Latn-ME"/>
              </w:rPr>
              <w:t>a</w:t>
            </w:r>
          </w:p>
        </w:tc>
        <w:tc>
          <w:tcPr>
            <w:tcW w:w="1984" w:type="dxa"/>
          </w:tcPr>
          <w:p w14:paraId="54694AF6" w14:textId="4AD57595" w:rsidR="005D45D6" w:rsidRPr="009533B2" w:rsidRDefault="005D45D6" w:rsidP="00EC4C1F">
            <w:pPr>
              <w:pStyle w:val="Header"/>
              <w:tabs>
                <w:tab w:val="left" w:pos="284"/>
              </w:tabs>
              <w:spacing w:before="40" w:after="40"/>
              <w:jc w:val="center"/>
              <w:rPr>
                <w:sz w:val="22"/>
                <w:szCs w:val="22"/>
                <w:lang w:val="sr-Latn-ME"/>
              </w:rPr>
            </w:pPr>
            <w:r w:rsidRPr="009533B2">
              <w:rPr>
                <w:sz w:val="22"/>
                <w:szCs w:val="22"/>
                <w:lang w:val="sr-Latn-ME"/>
              </w:rPr>
              <w:t>3</w:t>
            </w:r>
            <w:r w:rsidR="00D90E02">
              <w:rPr>
                <w:b/>
                <w:bCs/>
                <w:sz w:val="22"/>
                <w:szCs w:val="22"/>
                <w:lang w:val="sr-Latn-ME"/>
              </w:rPr>
              <w:t> </w:t>
            </w:r>
            <w:r w:rsidRPr="009533B2">
              <w:rPr>
                <w:sz w:val="22"/>
                <w:szCs w:val="22"/>
                <w:lang w:val="sr-Latn-ME"/>
              </w:rPr>
              <w:t>x</w:t>
            </w:r>
            <w:r w:rsidR="00D90E02">
              <w:rPr>
                <w:b/>
                <w:bCs/>
                <w:sz w:val="22"/>
                <w:szCs w:val="22"/>
                <w:lang w:val="sr-Latn-ME"/>
              </w:rPr>
              <w:t> </w:t>
            </w:r>
            <w:r w:rsidRPr="009533B2">
              <w:rPr>
                <w:sz w:val="22"/>
                <w:szCs w:val="22"/>
                <w:lang w:val="sr-Latn-ME"/>
              </w:rPr>
              <w:t>1</w:t>
            </w:r>
          </w:p>
          <w:p w14:paraId="666D8F77" w14:textId="77777777" w:rsidR="005D45D6" w:rsidRPr="009533B2" w:rsidRDefault="005D45D6" w:rsidP="00EC4C1F">
            <w:pPr>
              <w:pStyle w:val="Header"/>
              <w:tabs>
                <w:tab w:val="left" w:pos="284"/>
              </w:tabs>
              <w:spacing w:before="40" w:after="40"/>
              <w:jc w:val="center"/>
              <w:rPr>
                <w:sz w:val="22"/>
                <w:szCs w:val="22"/>
                <w:lang w:val="sr-Latn-ME"/>
              </w:rPr>
            </w:pPr>
            <w:r w:rsidRPr="009533B2">
              <w:rPr>
                <w:sz w:val="22"/>
                <w:szCs w:val="22"/>
                <w:lang w:val="sr-Latn-ME"/>
              </w:rPr>
              <w:t>do</w:t>
            </w:r>
          </w:p>
          <w:p w14:paraId="1425A8BE" w14:textId="5519C0D3" w:rsidR="005D45D6" w:rsidRPr="009533B2" w:rsidRDefault="005D45D6" w:rsidP="00EC4C1F">
            <w:pPr>
              <w:pStyle w:val="Header"/>
              <w:tabs>
                <w:tab w:val="left" w:pos="284"/>
              </w:tabs>
              <w:spacing w:before="40" w:after="40"/>
              <w:jc w:val="center"/>
              <w:rPr>
                <w:sz w:val="22"/>
                <w:szCs w:val="22"/>
                <w:lang w:val="sr-Latn-ME"/>
              </w:rPr>
            </w:pPr>
            <w:r w:rsidRPr="009533B2">
              <w:rPr>
                <w:sz w:val="22"/>
                <w:szCs w:val="22"/>
                <w:lang w:val="sr-Latn-ME"/>
              </w:rPr>
              <w:t>3</w:t>
            </w:r>
            <w:r w:rsidR="00D90E02">
              <w:rPr>
                <w:b/>
                <w:bCs/>
                <w:sz w:val="22"/>
                <w:szCs w:val="22"/>
                <w:lang w:val="sr-Latn-ME"/>
              </w:rPr>
              <w:t> </w:t>
            </w:r>
            <w:r w:rsidRPr="009533B2">
              <w:rPr>
                <w:sz w:val="22"/>
                <w:szCs w:val="22"/>
                <w:lang w:val="sr-Latn-ME"/>
              </w:rPr>
              <w:t>x</w:t>
            </w:r>
            <w:r w:rsidR="00D90E02">
              <w:rPr>
                <w:b/>
                <w:bCs/>
                <w:sz w:val="22"/>
                <w:szCs w:val="22"/>
                <w:lang w:val="sr-Latn-ME"/>
              </w:rPr>
              <w:t> </w:t>
            </w:r>
            <w:r w:rsidRPr="009533B2">
              <w:rPr>
                <w:sz w:val="22"/>
                <w:szCs w:val="22"/>
                <w:lang w:val="sr-Latn-ME"/>
              </w:rPr>
              <w:t>3</w:t>
            </w:r>
          </w:p>
        </w:tc>
        <w:tc>
          <w:tcPr>
            <w:tcW w:w="2126" w:type="dxa"/>
          </w:tcPr>
          <w:p w14:paraId="03C732B4" w14:textId="279650E1" w:rsidR="005D45D6" w:rsidRPr="009533B2" w:rsidRDefault="005D45D6" w:rsidP="00EC4C1F">
            <w:pPr>
              <w:pStyle w:val="Header"/>
              <w:tabs>
                <w:tab w:val="left" w:pos="284"/>
              </w:tabs>
              <w:spacing w:before="40" w:after="40"/>
              <w:jc w:val="center"/>
              <w:rPr>
                <w:sz w:val="22"/>
                <w:szCs w:val="22"/>
                <w:lang w:val="sr-Latn-ME"/>
              </w:rPr>
            </w:pPr>
            <w:r w:rsidRPr="009533B2">
              <w:rPr>
                <w:sz w:val="22"/>
                <w:szCs w:val="22"/>
                <w:lang w:val="sr-Latn-ME"/>
              </w:rPr>
              <w:t>3</w:t>
            </w:r>
            <w:r w:rsidR="00D90E02">
              <w:rPr>
                <w:b/>
                <w:bCs/>
                <w:sz w:val="22"/>
                <w:szCs w:val="22"/>
                <w:lang w:val="sr-Latn-ME"/>
              </w:rPr>
              <w:t> </w:t>
            </w:r>
            <w:r w:rsidRPr="009533B2">
              <w:rPr>
                <w:sz w:val="22"/>
                <w:szCs w:val="22"/>
                <w:lang w:val="sr-Latn-ME"/>
              </w:rPr>
              <w:t>x</w:t>
            </w:r>
            <w:r w:rsidR="00D90E02">
              <w:rPr>
                <w:b/>
                <w:bCs/>
                <w:sz w:val="22"/>
                <w:szCs w:val="22"/>
                <w:lang w:val="sr-Latn-ME"/>
              </w:rPr>
              <w:t> </w:t>
            </w:r>
            <w:r w:rsidRPr="009533B2">
              <w:rPr>
                <w:sz w:val="22"/>
                <w:szCs w:val="22"/>
                <w:lang w:val="sr-Latn-ME"/>
              </w:rPr>
              <w:t>1</w:t>
            </w:r>
          </w:p>
          <w:p w14:paraId="0BF0E747" w14:textId="77777777" w:rsidR="005D45D6" w:rsidRPr="009533B2" w:rsidRDefault="005D45D6" w:rsidP="00EC4C1F">
            <w:pPr>
              <w:pStyle w:val="Header"/>
              <w:tabs>
                <w:tab w:val="left" w:pos="284"/>
              </w:tabs>
              <w:spacing w:before="40" w:after="40"/>
              <w:jc w:val="center"/>
              <w:rPr>
                <w:sz w:val="22"/>
                <w:szCs w:val="22"/>
                <w:lang w:val="sr-Latn-ME"/>
              </w:rPr>
            </w:pPr>
            <w:r w:rsidRPr="009533B2">
              <w:rPr>
                <w:sz w:val="22"/>
                <w:szCs w:val="22"/>
                <w:lang w:val="sr-Latn-ME"/>
              </w:rPr>
              <w:t>do</w:t>
            </w:r>
          </w:p>
          <w:p w14:paraId="33E55800" w14:textId="1FC89D8C" w:rsidR="005D45D6" w:rsidRPr="009533B2" w:rsidRDefault="005D45D6" w:rsidP="00EC4C1F">
            <w:pPr>
              <w:pStyle w:val="Header"/>
              <w:tabs>
                <w:tab w:val="left" w:pos="284"/>
              </w:tabs>
              <w:spacing w:before="40" w:after="40"/>
              <w:jc w:val="center"/>
              <w:rPr>
                <w:sz w:val="22"/>
                <w:szCs w:val="22"/>
                <w:lang w:val="sr-Latn-ME"/>
              </w:rPr>
            </w:pPr>
            <w:r w:rsidRPr="009533B2">
              <w:rPr>
                <w:sz w:val="22"/>
                <w:szCs w:val="22"/>
                <w:lang w:val="sr-Latn-ME"/>
              </w:rPr>
              <w:t>3</w:t>
            </w:r>
            <w:r w:rsidR="00D90E02">
              <w:rPr>
                <w:b/>
                <w:bCs/>
                <w:sz w:val="22"/>
                <w:szCs w:val="22"/>
                <w:lang w:val="sr-Latn-ME"/>
              </w:rPr>
              <w:t> </w:t>
            </w:r>
            <w:r w:rsidRPr="009533B2">
              <w:rPr>
                <w:sz w:val="22"/>
                <w:szCs w:val="22"/>
                <w:lang w:val="sr-Latn-ME"/>
              </w:rPr>
              <w:t>x</w:t>
            </w:r>
            <w:r w:rsidR="00D90E02">
              <w:rPr>
                <w:b/>
                <w:bCs/>
                <w:sz w:val="22"/>
                <w:szCs w:val="22"/>
                <w:lang w:val="sr-Latn-ME"/>
              </w:rPr>
              <w:t> </w:t>
            </w:r>
            <w:r w:rsidRPr="009533B2">
              <w:rPr>
                <w:sz w:val="22"/>
                <w:szCs w:val="22"/>
                <w:lang w:val="sr-Latn-ME"/>
              </w:rPr>
              <w:t>2</w:t>
            </w:r>
          </w:p>
        </w:tc>
        <w:tc>
          <w:tcPr>
            <w:tcW w:w="2843" w:type="dxa"/>
          </w:tcPr>
          <w:p w14:paraId="006DBD3D" w14:textId="2C64CF96" w:rsidR="005D45D6" w:rsidRPr="009533B2" w:rsidRDefault="005D45D6" w:rsidP="00EC4C1F">
            <w:pPr>
              <w:pStyle w:val="Header"/>
              <w:tabs>
                <w:tab w:val="left" w:pos="284"/>
              </w:tabs>
              <w:spacing w:before="40" w:after="40"/>
              <w:jc w:val="center"/>
              <w:rPr>
                <w:sz w:val="22"/>
                <w:szCs w:val="22"/>
                <w:lang w:val="sr-Latn-ME"/>
              </w:rPr>
            </w:pPr>
            <w:r w:rsidRPr="009533B2">
              <w:rPr>
                <w:sz w:val="22"/>
                <w:szCs w:val="22"/>
                <w:lang w:val="sr-Latn-ME"/>
              </w:rPr>
              <w:t>3</w:t>
            </w:r>
            <w:r w:rsidR="00D90E02">
              <w:rPr>
                <w:b/>
                <w:bCs/>
                <w:sz w:val="22"/>
                <w:szCs w:val="22"/>
                <w:lang w:val="sr-Latn-ME"/>
              </w:rPr>
              <w:t> </w:t>
            </w:r>
            <w:r w:rsidRPr="009533B2">
              <w:rPr>
                <w:sz w:val="22"/>
                <w:szCs w:val="22"/>
                <w:lang w:val="sr-Latn-ME"/>
              </w:rPr>
              <w:t>x</w:t>
            </w:r>
            <w:r w:rsidR="00D90E02">
              <w:rPr>
                <w:b/>
                <w:bCs/>
                <w:sz w:val="22"/>
                <w:szCs w:val="22"/>
                <w:lang w:val="sr-Latn-ME"/>
              </w:rPr>
              <w:t> </w:t>
            </w:r>
            <w:r w:rsidRPr="009533B2">
              <w:rPr>
                <w:sz w:val="22"/>
                <w:szCs w:val="22"/>
                <w:lang w:val="sr-Latn-ME"/>
              </w:rPr>
              <w:t>1</w:t>
            </w:r>
          </w:p>
        </w:tc>
      </w:tr>
    </w:tbl>
    <w:p w14:paraId="0CBF49C1" w14:textId="77777777" w:rsidR="005D45D6" w:rsidRPr="009533B2" w:rsidRDefault="005D45D6" w:rsidP="005D45D6">
      <w:pPr>
        <w:pStyle w:val="Header"/>
        <w:tabs>
          <w:tab w:val="left" w:pos="284"/>
        </w:tabs>
        <w:rPr>
          <w:sz w:val="22"/>
          <w:szCs w:val="22"/>
          <w:lang w:val="sr-Latn-ME"/>
        </w:rPr>
      </w:pPr>
    </w:p>
    <w:p w14:paraId="217D308B" w14:textId="7FBAC25C" w:rsidR="005D45D6" w:rsidRDefault="005D45D6" w:rsidP="005D45D6">
      <w:pPr>
        <w:pStyle w:val="Header"/>
        <w:tabs>
          <w:tab w:val="left" w:pos="284"/>
        </w:tabs>
        <w:rPr>
          <w:b/>
          <w:sz w:val="22"/>
          <w:szCs w:val="22"/>
          <w:lang w:val="sr-Latn-ME"/>
        </w:rPr>
      </w:pPr>
      <w:r w:rsidRPr="009533B2">
        <w:rPr>
          <w:b/>
          <w:sz w:val="22"/>
          <w:szCs w:val="22"/>
          <w:lang w:val="sr-Latn-ME"/>
        </w:rPr>
        <w:t>Primjena kod djece:</w:t>
      </w:r>
    </w:p>
    <w:p w14:paraId="3ABF4965" w14:textId="77777777" w:rsidR="00626236" w:rsidRPr="009533B2" w:rsidRDefault="00626236" w:rsidP="005D45D6">
      <w:pPr>
        <w:pStyle w:val="Header"/>
        <w:tabs>
          <w:tab w:val="left" w:pos="284"/>
        </w:tabs>
        <w:rPr>
          <w:b/>
          <w:sz w:val="22"/>
          <w:szCs w:val="22"/>
          <w:lang w:val="sr-Latn-ME"/>
        </w:rPr>
      </w:pPr>
    </w:p>
    <w:p w14:paraId="79A1BBFD" w14:textId="696452F8" w:rsidR="005D45D6" w:rsidRPr="009533B2" w:rsidRDefault="005D45D6" w:rsidP="005D45D6">
      <w:pPr>
        <w:pStyle w:val="Header"/>
        <w:tabs>
          <w:tab w:val="left" w:pos="284"/>
        </w:tabs>
        <w:rPr>
          <w:sz w:val="22"/>
          <w:szCs w:val="22"/>
          <w:lang w:val="sr-Latn-ME"/>
        </w:rPr>
      </w:pPr>
      <w:r w:rsidRPr="009533B2">
        <w:rPr>
          <w:sz w:val="22"/>
          <w:szCs w:val="22"/>
          <w:lang w:val="sr-Latn-ME"/>
        </w:rPr>
        <w:t>Postoje ograničeni podaci o efikasnosti lijeka kod djece starosti od 6</w:t>
      </w:r>
      <w:r w:rsidR="00D90E02">
        <w:rPr>
          <w:b/>
          <w:bCs/>
          <w:sz w:val="22"/>
          <w:szCs w:val="22"/>
          <w:lang w:val="sr-Latn-ME"/>
        </w:rPr>
        <w:t> </w:t>
      </w:r>
      <w:r w:rsidRPr="009533B2">
        <w:rPr>
          <w:sz w:val="22"/>
          <w:szCs w:val="22"/>
          <w:lang w:val="sr-Latn-ME"/>
        </w:rPr>
        <w:t>do 18</w:t>
      </w:r>
      <w:r w:rsidR="00D90E02">
        <w:rPr>
          <w:b/>
          <w:bCs/>
          <w:sz w:val="22"/>
          <w:szCs w:val="22"/>
          <w:lang w:val="sr-Latn-ME"/>
        </w:rPr>
        <w:t> </w:t>
      </w:r>
      <w:r w:rsidRPr="009533B2">
        <w:rPr>
          <w:sz w:val="22"/>
          <w:szCs w:val="22"/>
          <w:lang w:val="sr-Latn-ME"/>
        </w:rPr>
        <w:t>godina.</w:t>
      </w:r>
    </w:p>
    <w:p w14:paraId="4CB5E2ED" w14:textId="77777777" w:rsidR="005D45D6" w:rsidRPr="009533B2" w:rsidRDefault="005D45D6" w:rsidP="005D45D6">
      <w:pPr>
        <w:pStyle w:val="Header"/>
        <w:tabs>
          <w:tab w:val="left" w:pos="284"/>
        </w:tabs>
        <w:rPr>
          <w:sz w:val="22"/>
          <w:szCs w:val="22"/>
          <w:lang w:val="sr-Latn-ME"/>
        </w:rPr>
      </w:pPr>
    </w:p>
    <w:p w14:paraId="78CF8E69" w14:textId="48CFE828" w:rsidR="005D45D6" w:rsidRPr="009533B2" w:rsidRDefault="005D45D6" w:rsidP="005D45D6">
      <w:pPr>
        <w:pStyle w:val="Header"/>
        <w:tabs>
          <w:tab w:val="left" w:pos="284"/>
        </w:tabs>
        <w:rPr>
          <w:b/>
          <w:sz w:val="22"/>
          <w:szCs w:val="22"/>
          <w:lang w:val="sr-Latn-ME"/>
        </w:rPr>
      </w:pPr>
      <w:r w:rsidRPr="009533B2">
        <w:rPr>
          <w:b/>
          <w:sz w:val="22"/>
          <w:szCs w:val="22"/>
          <w:lang w:val="sr-Latn-ME"/>
        </w:rPr>
        <w:lastRenderedPageBreak/>
        <w:t>Djeca od 6</w:t>
      </w:r>
      <w:r w:rsidR="00D90E02">
        <w:rPr>
          <w:b/>
          <w:bCs/>
          <w:sz w:val="22"/>
          <w:szCs w:val="22"/>
          <w:lang w:val="sr-Latn-ME"/>
        </w:rPr>
        <w:t> </w:t>
      </w:r>
      <w:r w:rsidRPr="009533B2">
        <w:rPr>
          <w:b/>
          <w:sz w:val="22"/>
          <w:szCs w:val="22"/>
          <w:lang w:val="sr-Latn-ME"/>
        </w:rPr>
        <w:t>godina i starija:</w:t>
      </w:r>
    </w:p>
    <w:p w14:paraId="4D975D10" w14:textId="77777777" w:rsidR="005D45D6" w:rsidRPr="009533B2" w:rsidRDefault="005D45D6" w:rsidP="00480FB1">
      <w:pPr>
        <w:tabs>
          <w:tab w:val="left" w:pos="540"/>
          <w:tab w:val="left" w:pos="569"/>
        </w:tabs>
        <w:rPr>
          <w:bCs/>
          <w:sz w:val="22"/>
          <w:szCs w:val="22"/>
          <w:u w:val="single"/>
          <w:lang w:val="sr-Latn-ME"/>
        </w:rPr>
      </w:pPr>
    </w:p>
    <w:p w14:paraId="42D9FFA9" w14:textId="77777777" w:rsidR="005D45D6" w:rsidRPr="009533B2" w:rsidRDefault="005D45D6" w:rsidP="005D45D6">
      <w:pPr>
        <w:pStyle w:val="Header"/>
        <w:tabs>
          <w:tab w:val="left" w:pos="284"/>
        </w:tabs>
        <w:rPr>
          <w:b/>
          <w:sz w:val="22"/>
          <w:szCs w:val="22"/>
          <w:lang w:val="sr-Latn-ME"/>
        </w:rPr>
      </w:pPr>
      <w:r w:rsidRPr="009533B2">
        <w:rPr>
          <w:b/>
          <w:sz w:val="22"/>
          <w:szCs w:val="22"/>
          <w:lang w:val="sr-Latn-ME"/>
        </w:rPr>
        <w:t>Aktivna bolest:</w:t>
      </w:r>
    </w:p>
    <w:p w14:paraId="4031CFDC" w14:textId="37EE1718" w:rsidR="005D45D6" w:rsidRPr="009533B2" w:rsidRDefault="005D45D6" w:rsidP="001E006A">
      <w:pPr>
        <w:pStyle w:val="Header"/>
        <w:tabs>
          <w:tab w:val="left" w:pos="284"/>
        </w:tabs>
        <w:jc w:val="both"/>
        <w:rPr>
          <w:sz w:val="22"/>
          <w:szCs w:val="22"/>
          <w:lang w:val="sr-Latn-ME"/>
        </w:rPr>
      </w:pPr>
      <w:r w:rsidRPr="009533B2">
        <w:rPr>
          <w:sz w:val="22"/>
          <w:szCs w:val="22"/>
          <w:lang w:val="sr-Latn-ME"/>
        </w:rPr>
        <w:t>Prema individualnim potrebama pacijenta, terapiju treba započeti sa dozom 30–50</w:t>
      </w:r>
      <w:r w:rsidR="00D90E02">
        <w:rPr>
          <w:b/>
          <w:bCs/>
          <w:sz w:val="22"/>
          <w:szCs w:val="22"/>
          <w:lang w:val="sr-Latn-ME"/>
        </w:rPr>
        <w:t> </w:t>
      </w:r>
      <w:r w:rsidRPr="009533B2">
        <w:rPr>
          <w:sz w:val="22"/>
          <w:szCs w:val="22"/>
          <w:lang w:val="sr-Latn-ME"/>
        </w:rPr>
        <w:t>mg/kg</w:t>
      </w:r>
      <w:r w:rsidR="00FF0C8E">
        <w:rPr>
          <w:sz w:val="22"/>
          <w:szCs w:val="22"/>
          <w:lang w:val="sr-Latn-ME"/>
        </w:rPr>
        <w:t xml:space="preserve"> tjelesne mase</w:t>
      </w:r>
      <w:r w:rsidRPr="009533B2">
        <w:rPr>
          <w:sz w:val="22"/>
          <w:szCs w:val="22"/>
          <w:lang w:val="sr-Latn-ME"/>
        </w:rPr>
        <w:t>/dan, podijeljeno u 3</w:t>
      </w:r>
      <w:r w:rsidR="00D90E02">
        <w:rPr>
          <w:b/>
          <w:bCs/>
          <w:sz w:val="22"/>
          <w:szCs w:val="22"/>
          <w:lang w:val="sr-Latn-ME"/>
        </w:rPr>
        <w:t> </w:t>
      </w:r>
      <w:r w:rsidRPr="009533B2">
        <w:rPr>
          <w:sz w:val="22"/>
          <w:szCs w:val="22"/>
          <w:lang w:val="sr-Latn-ME"/>
        </w:rPr>
        <w:t>pojedinačne doze. Maksimalna doza je 75</w:t>
      </w:r>
      <w:r w:rsidR="00D90E02">
        <w:rPr>
          <w:b/>
          <w:bCs/>
          <w:sz w:val="22"/>
          <w:szCs w:val="22"/>
          <w:lang w:val="sr-Latn-ME"/>
        </w:rPr>
        <w:t> </w:t>
      </w:r>
      <w:r w:rsidRPr="009533B2">
        <w:rPr>
          <w:sz w:val="22"/>
          <w:szCs w:val="22"/>
          <w:lang w:val="sr-Latn-ME"/>
        </w:rPr>
        <w:t>mg/kg</w:t>
      </w:r>
      <w:r w:rsidR="00FF0C8E">
        <w:rPr>
          <w:sz w:val="22"/>
          <w:szCs w:val="22"/>
          <w:lang w:val="sr-Latn-ME"/>
        </w:rPr>
        <w:t xml:space="preserve"> tjelesne mase</w:t>
      </w:r>
      <w:r w:rsidRPr="009533B2">
        <w:rPr>
          <w:sz w:val="22"/>
          <w:szCs w:val="22"/>
          <w:lang w:val="sr-Latn-ME"/>
        </w:rPr>
        <w:t>/dan. Ukupna doza ne smije biti veća od maksimalne doze za odrasle.</w:t>
      </w:r>
    </w:p>
    <w:p w14:paraId="5200001D" w14:textId="77777777" w:rsidR="005D45D6" w:rsidRPr="009533B2" w:rsidRDefault="005D45D6" w:rsidP="001E006A">
      <w:pPr>
        <w:pStyle w:val="Header"/>
        <w:tabs>
          <w:tab w:val="left" w:pos="284"/>
        </w:tabs>
        <w:jc w:val="both"/>
        <w:rPr>
          <w:sz w:val="22"/>
          <w:szCs w:val="22"/>
          <w:lang w:val="sr-Latn-ME"/>
        </w:rPr>
      </w:pPr>
    </w:p>
    <w:p w14:paraId="65114687" w14:textId="77777777" w:rsidR="005D45D6" w:rsidRPr="009533B2" w:rsidRDefault="005D45D6" w:rsidP="001E006A">
      <w:pPr>
        <w:pStyle w:val="Header"/>
        <w:tabs>
          <w:tab w:val="left" w:pos="284"/>
        </w:tabs>
        <w:jc w:val="both"/>
        <w:rPr>
          <w:sz w:val="22"/>
          <w:szCs w:val="22"/>
          <w:lang w:val="sr-Latn-ME"/>
        </w:rPr>
      </w:pPr>
      <w:r w:rsidRPr="009533B2">
        <w:rPr>
          <w:b/>
          <w:sz w:val="22"/>
          <w:szCs w:val="22"/>
          <w:lang w:val="sr-Latn-ME"/>
        </w:rPr>
        <w:t>Terapija održavanja</w:t>
      </w:r>
      <w:r w:rsidR="00E63501">
        <w:rPr>
          <w:b/>
          <w:sz w:val="22"/>
          <w:szCs w:val="22"/>
          <w:lang w:val="sr-Latn-ME"/>
        </w:rPr>
        <w:t xml:space="preserve"> (ulcerozni kolitis)</w:t>
      </w:r>
      <w:r w:rsidRPr="009533B2">
        <w:rPr>
          <w:b/>
          <w:sz w:val="22"/>
          <w:szCs w:val="22"/>
          <w:lang w:val="sr-Latn-ME"/>
        </w:rPr>
        <w:t>:</w:t>
      </w:r>
      <w:r w:rsidRPr="009533B2">
        <w:rPr>
          <w:sz w:val="22"/>
          <w:szCs w:val="22"/>
          <w:lang w:val="sr-Latn-ME"/>
        </w:rPr>
        <w:t xml:space="preserve"> Prema individualnim potrebama pacijenta, 15</w:t>
      </w:r>
      <w:r w:rsidR="00E048C0">
        <w:rPr>
          <w:sz w:val="22"/>
          <w:szCs w:val="22"/>
          <w:lang w:val="sr-Latn-ME"/>
        </w:rPr>
        <w:t>–</w:t>
      </w:r>
      <w:r w:rsidRPr="009533B2">
        <w:rPr>
          <w:sz w:val="22"/>
          <w:szCs w:val="22"/>
          <w:lang w:val="sr-Latn-ME"/>
        </w:rPr>
        <w:t>30</w:t>
      </w:r>
      <w:r w:rsidR="00E048C0">
        <w:rPr>
          <w:sz w:val="22"/>
          <w:szCs w:val="22"/>
          <w:lang w:val="sr-Latn-ME"/>
        </w:rPr>
        <w:t> </w:t>
      </w:r>
      <w:r w:rsidRPr="009533B2">
        <w:rPr>
          <w:sz w:val="22"/>
          <w:szCs w:val="22"/>
          <w:lang w:val="sr-Latn-ME"/>
        </w:rPr>
        <w:t>mg/kg /dan, u podijeljenim dozama. Ukupna doza ne smije biti veća od preporučene doze za odrasle.</w:t>
      </w:r>
    </w:p>
    <w:p w14:paraId="62CB9BC2" w14:textId="5B1FEAD7" w:rsidR="005D45D6" w:rsidRPr="009533B2" w:rsidRDefault="005D45D6" w:rsidP="001E006A">
      <w:pPr>
        <w:pStyle w:val="Header"/>
        <w:tabs>
          <w:tab w:val="left" w:pos="284"/>
        </w:tabs>
        <w:jc w:val="both"/>
        <w:rPr>
          <w:sz w:val="22"/>
          <w:szCs w:val="22"/>
          <w:lang w:val="sr-Latn-ME"/>
        </w:rPr>
      </w:pPr>
      <w:r w:rsidRPr="009533B2">
        <w:rPr>
          <w:sz w:val="22"/>
          <w:szCs w:val="22"/>
          <w:lang w:val="sr-Latn-ME"/>
        </w:rPr>
        <w:t>Opšta preporuka je da se djeci tjelesne mase do 40</w:t>
      </w:r>
      <w:r w:rsidR="00D90E02">
        <w:rPr>
          <w:b/>
          <w:bCs/>
          <w:sz w:val="22"/>
          <w:szCs w:val="22"/>
          <w:lang w:val="sr-Latn-ME"/>
        </w:rPr>
        <w:t> </w:t>
      </w:r>
      <w:r w:rsidRPr="009533B2">
        <w:rPr>
          <w:sz w:val="22"/>
          <w:szCs w:val="22"/>
          <w:lang w:val="sr-Latn-ME"/>
        </w:rPr>
        <w:t>kg može dati jedna polovina doze za odrasle, a djeci preko 40 kg, normalna doza za odrasle.</w:t>
      </w:r>
    </w:p>
    <w:p w14:paraId="38233ED7" w14:textId="77777777" w:rsidR="005D45D6" w:rsidRPr="009533B2" w:rsidRDefault="005D45D6" w:rsidP="001E006A">
      <w:pPr>
        <w:tabs>
          <w:tab w:val="left" w:pos="540"/>
          <w:tab w:val="left" w:pos="569"/>
        </w:tabs>
        <w:jc w:val="both"/>
        <w:rPr>
          <w:bCs/>
          <w:sz w:val="22"/>
          <w:szCs w:val="22"/>
          <w:u w:val="single"/>
          <w:lang w:val="sr-Latn-ME"/>
        </w:rPr>
      </w:pPr>
    </w:p>
    <w:p w14:paraId="5537AD81" w14:textId="77777777" w:rsidR="00FF0C8E" w:rsidRPr="00804F26" w:rsidRDefault="00FF0C8E" w:rsidP="00FF0C8E">
      <w:pPr>
        <w:pStyle w:val="Header"/>
        <w:tabs>
          <w:tab w:val="left" w:pos="284"/>
        </w:tabs>
        <w:jc w:val="both"/>
        <w:rPr>
          <w:i/>
          <w:iCs/>
          <w:sz w:val="22"/>
          <w:szCs w:val="22"/>
          <w:u w:val="single"/>
          <w:lang w:val="sr-Latn-ME"/>
        </w:rPr>
      </w:pPr>
      <w:r w:rsidRPr="00804F26">
        <w:rPr>
          <w:i/>
          <w:iCs/>
          <w:sz w:val="22"/>
          <w:szCs w:val="22"/>
          <w:u w:val="single"/>
          <w:lang w:val="sr-Latn-ME"/>
        </w:rPr>
        <w:t>Dužina trajanja terapije</w:t>
      </w:r>
    </w:p>
    <w:p w14:paraId="406C3121" w14:textId="37E048D6" w:rsidR="00FF0C8E" w:rsidRPr="009533B2" w:rsidRDefault="00FF0C8E" w:rsidP="00FF0C8E">
      <w:pPr>
        <w:pStyle w:val="Header"/>
        <w:tabs>
          <w:tab w:val="left" w:pos="284"/>
        </w:tabs>
        <w:jc w:val="both"/>
        <w:rPr>
          <w:sz w:val="22"/>
          <w:szCs w:val="22"/>
          <w:lang w:val="sr-Latn-ME"/>
        </w:rPr>
      </w:pPr>
      <w:r>
        <w:rPr>
          <w:sz w:val="22"/>
          <w:szCs w:val="22"/>
          <w:lang w:val="sr-Latn-ME"/>
        </w:rPr>
        <w:t>Liječenje akutnih epizoda ulceroznog kolitisa uglavnom traje 8 nedjelja. Dužinu t</w:t>
      </w:r>
      <w:r w:rsidRPr="009533B2">
        <w:rPr>
          <w:sz w:val="22"/>
          <w:szCs w:val="22"/>
          <w:lang w:val="sr-Latn-ME"/>
        </w:rPr>
        <w:t>ajanje terapije određuje ljekar.</w:t>
      </w:r>
    </w:p>
    <w:p w14:paraId="11A591A3" w14:textId="77777777" w:rsidR="00FF0C8E" w:rsidRPr="009533B2" w:rsidRDefault="00FF0C8E" w:rsidP="00FF0C8E">
      <w:pPr>
        <w:pStyle w:val="Header"/>
        <w:tabs>
          <w:tab w:val="left" w:pos="284"/>
        </w:tabs>
        <w:jc w:val="both"/>
        <w:rPr>
          <w:sz w:val="22"/>
          <w:szCs w:val="22"/>
          <w:lang w:val="sr-Latn-ME"/>
        </w:rPr>
      </w:pPr>
    </w:p>
    <w:p w14:paraId="17D0DB1B" w14:textId="77777777" w:rsidR="00FF0C8E" w:rsidRDefault="00FF0C8E" w:rsidP="00FF0C8E">
      <w:pPr>
        <w:pStyle w:val="Header"/>
        <w:tabs>
          <w:tab w:val="left" w:pos="284"/>
        </w:tabs>
        <w:jc w:val="both"/>
        <w:rPr>
          <w:sz w:val="22"/>
          <w:szCs w:val="22"/>
          <w:lang w:val="sr-Latn-ME"/>
        </w:rPr>
      </w:pPr>
      <w:r w:rsidRPr="009533B2">
        <w:rPr>
          <w:sz w:val="22"/>
          <w:szCs w:val="22"/>
          <w:lang w:val="sr-Latn-ME"/>
        </w:rPr>
        <w:t>Za održavanje remisije kod ulceroznog kolitisa, doza se obično može smanjiti na 1,5</w:t>
      </w:r>
      <w:r>
        <w:rPr>
          <w:b/>
          <w:bCs/>
          <w:sz w:val="22"/>
          <w:szCs w:val="22"/>
          <w:lang w:val="sr-Latn-ME"/>
        </w:rPr>
        <w:t> </w:t>
      </w:r>
      <w:r w:rsidRPr="009533B2">
        <w:rPr>
          <w:sz w:val="22"/>
          <w:szCs w:val="22"/>
          <w:lang w:val="sr-Latn-ME"/>
        </w:rPr>
        <w:t>g mesalazina/dan (odrasli i adolescenti tjelesne mase 40</w:t>
      </w:r>
      <w:r>
        <w:rPr>
          <w:b/>
          <w:bCs/>
          <w:sz w:val="22"/>
          <w:szCs w:val="22"/>
          <w:lang w:val="sr-Latn-ME"/>
        </w:rPr>
        <w:t> </w:t>
      </w:r>
      <w:r w:rsidRPr="009533B2">
        <w:rPr>
          <w:sz w:val="22"/>
          <w:szCs w:val="22"/>
          <w:lang w:val="sr-Latn-ME"/>
        </w:rPr>
        <w:t>kg i više) ili 0,75</w:t>
      </w:r>
      <w:r>
        <w:rPr>
          <w:b/>
          <w:bCs/>
          <w:sz w:val="22"/>
          <w:szCs w:val="22"/>
          <w:lang w:val="sr-Latn-ME"/>
        </w:rPr>
        <w:t> </w:t>
      </w:r>
      <w:r w:rsidRPr="009533B2">
        <w:rPr>
          <w:sz w:val="22"/>
          <w:szCs w:val="22"/>
          <w:lang w:val="sr-Latn-ME"/>
        </w:rPr>
        <w:t>g mesalazina/dan (djeca/adolescenti).</w:t>
      </w:r>
    </w:p>
    <w:p w14:paraId="0AC1FF79" w14:textId="77777777" w:rsidR="00FF0C8E" w:rsidRPr="009533B2" w:rsidRDefault="00FF0C8E" w:rsidP="00FF0C8E">
      <w:pPr>
        <w:pStyle w:val="Header"/>
        <w:tabs>
          <w:tab w:val="left" w:pos="284"/>
        </w:tabs>
        <w:jc w:val="both"/>
        <w:rPr>
          <w:sz w:val="22"/>
          <w:szCs w:val="22"/>
          <w:lang w:val="sr-Latn-ME"/>
        </w:rPr>
      </w:pPr>
    </w:p>
    <w:p w14:paraId="3B2E7E05" w14:textId="77777777" w:rsidR="005D45D6" w:rsidRPr="009533B2" w:rsidRDefault="005D45D6" w:rsidP="001E006A">
      <w:pPr>
        <w:pStyle w:val="Header"/>
        <w:tabs>
          <w:tab w:val="left" w:pos="284"/>
        </w:tabs>
        <w:jc w:val="both"/>
        <w:rPr>
          <w:sz w:val="22"/>
          <w:szCs w:val="22"/>
          <w:u w:val="single"/>
          <w:lang w:val="sr-Latn-ME"/>
        </w:rPr>
      </w:pPr>
      <w:r w:rsidRPr="009533B2">
        <w:rPr>
          <w:b/>
          <w:sz w:val="22"/>
          <w:szCs w:val="22"/>
          <w:lang w:val="sr-Latn-ME"/>
        </w:rPr>
        <w:t>Način primjene</w:t>
      </w:r>
    </w:p>
    <w:p w14:paraId="01A55D56" w14:textId="0BFDA028" w:rsidR="005D45D6" w:rsidRPr="009533B2" w:rsidRDefault="00E63501" w:rsidP="001E006A">
      <w:pPr>
        <w:pStyle w:val="Header"/>
        <w:tabs>
          <w:tab w:val="left" w:pos="284"/>
        </w:tabs>
        <w:jc w:val="both"/>
        <w:rPr>
          <w:sz w:val="22"/>
          <w:szCs w:val="22"/>
          <w:lang w:val="sr-Latn-ME"/>
        </w:rPr>
      </w:pPr>
      <w:r>
        <w:rPr>
          <w:sz w:val="22"/>
          <w:szCs w:val="22"/>
          <w:lang w:val="sr-Latn-ME"/>
        </w:rPr>
        <w:t>L</w:t>
      </w:r>
      <w:r w:rsidR="009C718B">
        <w:rPr>
          <w:sz w:val="22"/>
          <w:szCs w:val="22"/>
          <w:lang w:val="sr-Latn-ME"/>
        </w:rPr>
        <w:t>ij</w:t>
      </w:r>
      <w:r>
        <w:rPr>
          <w:sz w:val="22"/>
          <w:szCs w:val="22"/>
          <w:lang w:val="sr-Latn-ME"/>
        </w:rPr>
        <w:t xml:space="preserve">ek </w:t>
      </w:r>
      <w:r w:rsidRPr="009533B2">
        <w:rPr>
          <w:sz w:val="22"/>
          <w:szCs w:val="22"/>
          <w:lang w:val="sr-Latn-ME"/>
        </w:rPr>
        <w:t>Salofalk 500</w:t>
      </w:r>
      <w:r>
        <w:rPr>
          <w:b/>
          <w:bCs/>
          <w:sz w:val="22"/>
          <w:szCs w:val="22"/>
          <w:lang w:val="sr-Latn-ME"/>
        </w:rPr>
        <w:t> </w:t>
      </w:r>
      <w:r w:rsidRPr="003D5D38">
        <w:rPr>
          <w:bCs/>
          <w:sz w:val="22"/>
          <w:szCs w:val="22"/>
          <w:lang w:val="sr-Latn-ME"/>
        </w:rPr>
        <w:t>mg</w:t>
      </w:r>
      <w:r w:rsidR="00626236">
        <w:rPr>
          <w:bCs/>
          <w:sz w:val="22"/>
          <w:szCs w:val="22"/>
          <w:lang w:val="sr-Latn-ME"/>
        </w:rPr>
        <w:t>,</w:t>
      </w:r>
      <w:r w:rsidRPr="009533B2">
        <w:rPr>
          <w:sz w:val="22"/>
          <w:szCs w:val="22"/>
          <w:lang w:val="sr-Latn-ME"/>
        </w:rPr>
        <w:t xml:space="preserve"> </w:t>
      </w:r>
      <w:r>
        <w:rPr>
          <w:sz w:val="22"/>
          <w:szCs w:val="22"/>
          <w:lang w:val="sr-Latn-ME"/>
        </w:rPr>
        <w:t>gastrorezistentn</w:t>
      </w:r>
      <w:r w:rsidR="00626236">
        <w:rPr>
          <w:sz w:val="22"/>
          <w:szCs w:val="22"/>
          <w:lang w:val="sr-Latn-ME"/>
        </w:rPr>
        <w:t>a</w:t>
      </w:r>
      <w:r>
        <w:rPr>
          <w:sz w:val="22"/>
          <w:szCs w:val="22"/>
          <w:lang w:val="sr-Latn-ME"/>
        </w:rPr>
        <w:t xml:space="preserve"> tablet</w:t>
      </w:r>
      <w:r w:rsidR="00626236">
        <w:rPr>
          <w:sz w:val="22"/>
          <w:szCs w:val="22"/>
          <w:lang w:val="sr-Latn-ME"/>
        </w:rPr>
        <w:t>a</w:t>
      </w:r>
      <w:r w:rsidR="005D45D6" w:rsidRPr="009533B2">
        <w:rPr>
          <w:sz w:val="22"/>
          <w:szCs w:val="22"/>
          <w:lang w:val="sr-Latn-ME"/>
        </w:rPr>
        <w:t xml:space="preserve"> treba uzimati ujutro, u podne i uveče, 1</w:t>
      </w:r>
      <w:r w:rsidR="00D90E02">
        <w:rPr>
          <w:b/>
          <w:bCs/>
          <w:sz w:val="22"/>
          <w:szCs w:val="22"/>
          <w:lang w:val="sr-Latn-ME"/>
        </w:rPr>
        <w:t> </w:t>
      </w:r>
      <w:r w:rsidR="005D45D6" w:rsidRPr="009533B2">
        <w:rPr>
          <w:sz w:val="22"/>
          <w:szCs w:val="22"/>
          <w:lang w:val="sr-Latn-ME"/>
        </w:rPr>
        <w:t>sat prije obroka. Tablete treba progutati cijele, bez žvakanja, sa dosta tečnosti.</w:t>
      </w:r>
    </w:p>
    <w:p w14:paraId="3FFA65B6" w14:textId="77777777" w:rsidR="005D45D6" w:rsidRPr="009533B2" w:rsidRDefault="005D45D6" w:rsidP="001E006A">
      <w:pPr>
        <w:pStyle w:val="Header"/>
        <w:tabs>
          <w:tab w:val="left" w:pos="284"/>
        </w:tabs>
        <w:jc w:val="both"/>
        <w:rPr>
          <w:sz w:val="22"/>
          <w:szCs w:val="22"/>
          <w:lang w:val="sr-Latn-ME"/>
        </w:rPr>
      </w:pPr>
    </w:p>
    <w:p w14:paraId="041CDD2D" w14:textId="3F7B146D" w:rsidR="005D45D6" w:rsidRPr="009533B2" w:rsidRDefault="005D45D6" w:rsidP="001E006A">
      <w:pPr>
        <w:pStyle w:val="Header"/>
        <w:tabs>
          <w:tab w:val="left" w:pos="284"/>
        </w:tabs>
        <w:jc w:val="both"/>
        <w:rPr>
          <w:sz w:val="22"/>
          <w:szCs w:val="22"/>
          <w:lang w:val="sr-Latn-ME"/>
        </w:rPr>
      </w:pPr>
      <w:r w:rsidRPr="009533B2">
        <w:rPr>
          <w:sz w:val="22"/>
          <w:szCs w:val="22"/>
          <w:lang w:val="sr-Latn-ME"/>
        </w:rPr>
        <w:t xml:space="preserve">Terapija lijekom </w:t>
      </w:r>
      <w:r w:rsidR="00E63501" w:rsidRPr="009533B2">
        <w:rPr>
          <w:sz w:val="22"/>
          <w:szCs w:val="22"/>
          <w:lang w:val="sr-Latn-ME"/>
        </w:rPr>
        <w:t>Salofalk 500</w:t>
      </w:r>
      <w:r w:rsidR="00E63501">
        <w:rPr>
          <w:b/>
          <w:bCs/>
          <w:sz w:val="22"/>
          <w:szCs w:val="22"/>
          <w:lang w:val="sr-Latn-ME"/>
        </w:rPr>
        <w:t> </w:t>
      </w:r>
      <w:r w:rsidR="00E63501" w:rsidRPr="003D5D38">
        <w:rPr>
          <w:bCs/>
          <w:sz w:val="22"/>
          <w:szCs w:val="22"/>
          <w:lang w:val="sr-Latn-ME"/>
        </w:rPr>
        <w:t>mg</w:t>
      </w:r>
      <w:r w:rsidR="00626236">
        <w:rPr>
          <w:bCs/>
          <w:sz w:val="22"/>
          <w:szCs w:val="22"/>
          <w:lang w:val="sr-Latn-ME"/>
        </w:rPr>
        <w:t>,</w:t>
      </w:r>
      <w:r w:rsidR="00E63501" w:rsidRPr="009533B2">
        <w:rPr>
          <w:sz w:val="22"/>
          <w:szCs w:val="22"/>
          <w:lang w:val="sr-Latn-ME"/>
        </w:rPr>
        <w:t xml:space="preserve"> </w:t>
      </w:r>
      <w:r w:rsidR="00E63501">
        <w:rPr>
          <w:sz w:val="22"/>
          <w:szCs w:val="22"/>
          <w:lang w:val="sr-Latn-ME"/>
        </w:rPr>
        <w:t>gastrorezistentn</w:t>
      </w:r>
      <w:r w:rsidR="00626236">
        <w:rPr>
          <w:sz w:val="22"/>
          <w:szCs w:val="22"/>
          <w:lang w:val="sr-Latn-ME"/>
        </w:rPr>
        <w:t>a</w:t>
      </w:r>
      <w:r w:rsidR="00E63501">
        <w:rPr>
          <w:sz w:val="22"/>
          <w:szCs w:val="22"/>
          <w:lang w:val="sr-Latn-ME"/>
        </w:rPr>
        <w:t xml:space="preserve"> tablet</w:t>
      </w:r>
      <w:r w:rsidR="00626236">
        <w:rPr>
          <w:sz w:val="22"/>
          <w:szCs w:val="22"/>
          <w:lang w:val="sr-Latn-ME"/>
        </w:rPr>
        <w:t>a</w:t>
      </w:r>
      <w:r w:rsidR="00E63501" w:rsidRPr="009533B2" w:rsidDel="00E63501">
        <w:rPr>
          <w:sz w:val="22"/>
          <w:szCs w:val="22"/>
          <w:lang w:val="sr-Latn-ME"/>
        </w:rPr>
        <w:t xml:space="preserve"> </w:t>
      </w:r>
      <w:r w:rsidRPr="009533B2">
        <w:rPr>
          <w:sz w:val="22"/>
          <w:szCs w:val="22"/>
          <w:lang w:val="sr-Latn-ME"/>
        </w:rPr>
        <w:t>treba da bude redovna, kako tokom akutne inflamacije, tako i u terapiji održavanja, da bi se postigao željeni terapijski efekat.</w:t>
      </w:r>
    </w:p>
    <w:p w14:paraId="6B07D608" w14:textId="77777777" w:rsidR="00452E9D" w:rsidRPr="009533B2" w:rsidRDefault="00452E9D" w:rsidP="001E006A">
      <w:pPr>
        <w:tabs>
          <w:tab w:val="left" w:pos="540"/>
          <w:tab w:val="left" w:pos="569"/>
        </w:tabs>
        <w:jc w:val="both"/>
        <w:rPr>
          <w:bCs/>
          <w:sz w:val="22"/>
          <w:szCs w:val="22"/>
          <w:lang w:val="sr-Latn-ME"/>
        </w:rPr>
      </w:pPr>
    </w:p>
    <w:p w14:paraId="26AADE9A" w14:textId="77777777" w:rsidR="00411B4B" w:rsidRPr="009533B2" w:rsidRDefault="00411B4B" w:rsidP="001E006A">
      <w:pPr>
        <w:tabs>
          <w:tab w:val="left" w:pos="540"/>
          <w:tab w:val="left" w:pos="569"/>
        </w:tabs>
        <w:jc w:val="both"/>
        <w:rPr>
          <w:b/>
          <w:bCs/>
          <w:sz w:val="22"/>
          <w:szCs w:val="22"/>
          <w:lang w:val="sr-Latn-ME"/>
        </w:rPr>
      </w:pPr>
      <w:r w:rsidRPr="009533B2">
        <w:rPr>
          <w:b/>
          <w:bCs/>
          <w:sz w:val="22"/>
          <w:szCs w:val="22"/>
          <w:lang w:val="sr-Latn-ME"/>
        </w:rPr>
        <w:t xml:space="preserve">4.3. </w:t>
      </w:r>
      <w:r w:rsidR="00480FB1" w:rsidRPr="009533B2">
        <w:rPr>
          <w:b/>
          <w:bCs/>
          <w:sz w:val="22"/>
          <w:szCs w:val="22"/>
          <w:lang w:val="sr-Latn-ME"/>
        </w:rPr>
        <w:tab/>
      </w:r>
      <w:r w:rsidRPr="009533B2">
        <w:rPr>
          <w:b/>
          <w:bCs/>
          <w:sz w:val="22"/>
          <w:szCs w:val="22"/>
          <w:lang w:val="sr-Latn-ME"/>
        </w:rPr>
        <w:t>Kontraindikacije</w:t>
      </w:r>
    </w:p>
    <w:p w14:paraId="042A90CB" w14:textId="77777777" w:rsidR="005D45D6" w:rsidRPr="009533B2" w:rsidRDefault="005D45D6" w:rsidP="001E006A">
      <w:pPr>
        <w:tabs>
          <w:tab w:val="left" w:pos="540"/>
          <w:tab w:val="left" w:pos="569"/>
        </w:tabs>
        <w:jc w:val="both"/>
        <w:rPr>
          <w:b/>
          <w:bCs/>
          <w:sz w:val="22"/>
          <w:szCs w:val="22"/>
          <w:lang w:val="sr-Latn-ME"/>
        </w:rPr>
      </w:pPr>
    </w:p>
    <w:p w14:paraId="70015CDD" w14:textId="6AF8C2C8" w:rsidR="005D45D6" w:rsidRPr="009533B2" w:rsidRDefault="00E63501" w:rsidP="001E006A">
      <w:pPr>
        <w:pStyle w:val="Header"/>
        <w:tabs>
          <w:tab w:val="left" w:pos="284"/>
        </w:tabs>
        <w:jc w:val="both"/>
        <w:rPr>
          <w:sz w:val="22"/>
          <w:szCs w:val="22"/>
          <w:lang w:val="sr-Latn-ME"/>
        </w:rPr>
      </w:pPr>
      <w:r>
        <w:rPr>
          <w:sz w:val="22"/>
          <w:szCs w:val="22"/>
          <w:lang w:val="sr-Latn-ME"/>
        </w:rPr>
        <w:t>L</w:t>
      </w:r>
      <w:r w:rsidR="009C718B">
        <w:rPr>
          <w:sz w:val="22"/>
          <w:szCs w:val="22"/>
          <w:lang w:val="sr-Latn-ME"/>
        </w:rPr>
        <w:t>ij</w:t>
      </w:r>
      <w:r>
        <w:rPr>
          <w:sz w:val="22"/>
          <w:szCs w:val="22"/>
          <w:lang w:val="sr-Latn-ME"/>
        </w:rPr>
        <w:t xml:space="preserve">ek </w:t>
      </w:r>
      <w:r w:rsidR="005D45D6" w:rsidRPr="009533B2">
        <w:rPr>
          <w:sz w:val="22"/>
          <w:szCs w:val="22"/>
          <w:lang w:val="sr-Latn-ME"/>
        </w:rPr>
        <w:t>Salofalk 500</w:t>
      </w:r>
      <w:r w:rsidR="00D90E02">
        <w:rPr>
          <w:b/>
          <w:bCs/>
          <w:sz w:val="22"/>
          <w:szCs w:val="22"/>
          <w:lang w:val="sr-Latn-ME"/>
        </w:rPr>
        <w:t> </w:t>
      </w:r>
      <w:r w:rsidR="00D90E02" w:rsidRPr="0071569D">
        <w:rPr>
          <w:bCs/>
          <w:sz w:val="22"/>
          <w:szCs w:val="22"/>
          <w:lang w:val="sr-Latn-ME"/>
        </w:rPr>
        <w:t>mg</w:t>
      </w:r>
      <w:r w:rsidR="00626236">
        <w:rPr>
          <w:bCs/>
          <w:sz w:val="22"/>
          <w:szCs w:val="22"/>
          <w:lang w:val="sr-Latn-ME"/>
        </w:rPr>
        <w:t>,</w:t>
      </w:r>
      <w:r w:rsidR="005D45D6" w:rsidRPr="009533B2">
        <w:rPr>
          <w:sz w:val="22"/>
          <w:szCs w:val="22"/>
          <w:lang w:val="sr-Latn-ME"/>
        </w:rPr>
        <w:t xml:space="preserve"> </w:t>
      </w:r>
      <w:r>
        <w:rPr>
          <w:sz w:val="22"/>
          <w:szCs w:val="22"/>
          <w:lang w:val="sr-Latn-ME"/>
        </w:rPr>
        <w:t>gastrorezistentn</w:t>
      </w:r>
      <w:r w:rsidR="00626236">
        <w:rPr>
          <w:sz w:val="22"/>
          <w:szCs w:val="22"/>
          <w:lang w:val="sr-Latn-ME"/>
        </w:rPr>
        <w:t>a</w:t>
      </w:r>
      <w:r>
        <w:rPr>
          <w:sz w:val="22"/>
          <w:szCs w:val="22"/>
          <w:lang w:val="sr-Latn-ME"/>
        </w:rPr>
        <w:t xml:space="preserve"> tablet</w:t>
      </w:r>
      <w:r w:rsidR="00626236">
        <w:rPr>
          <w:sz w:val="22"/>
          <w:szCs w:val="22"/>
          <w:lang w:val="sr-Latn-ME"/>
        </w:rPr>
        <w:t>a</w:t>
      </w:r>
      <w:r>
        <w:rPr>
          <w:sz w:val="22"/>
          <w:szCs w:val="22"/>
          <w:lang w:val="sr-Latn-ME"/>
        </w:rPr>
        <w:t xml:space="preserve"> </w:t>
      </w:r>
      <w:r w:rsidR="00E85BD7">
        <w:rPr>
          <w:sz w:val="22"/>
          <w:szCs w:val="22"/>
          <w:lang w:val="sr-Latn-ME"/>
        </w:rPr>
        <w:t>je kontraindikovan</w:t>
      </w:r>
      <w:r w:rsidR="005D45D6" w:rsidRPr="009533B2">
        <w:rPr>
          <w:sz w:val="22"/>
          <w:szCs w:val="22"/>
          <w:lang w:val="sr-Latn-ME"/>
        </w:rPr>
        <w:t xml:space="preserve"> kod pacijenata sa:</w:t>
      </w:r>
    </w:p>
    <w:p w14:paraId="7F546F0F" w14:textId="29CE34E3" w:rsidR="005D45D6" w:rsidRPr="009533B2" w:rsidRDefault="005D45D6" w:rsidP="001D78AB">
      <w:pPr>
        <w:pStyle w:val="Header"/>
        <w:numPr>
          <w:ilvl w:val="0"/>
          <w:numId w:val="16"/>
        </w:numPr>
        <w:tabs>
          <w:tab w:val="left" w:pos="284"/>
        </w:tabs>
        <w:jc w:val="both"/>
        <w:rPr>
          <w:sz w:val="22"/>
          <w:szCs w:val="22"/>
          <w:lang w:val="sr-Latn-ME"/>
        </w:rPr>
      </w:pPr>
      <w:r w:rsidRPr="009533B2">
        <w:rPr>
          <w:sz w:val="22"/>
          <w:szCs w:val="22"/>
          <w:lang w:val="sr-Latn-ME"/>
        </w:rPr>
        <w:t>preosjetljivošću na aktivnu supstancu, salicil</w:t>
      </w:r>
      <w:r w:rsidR="00E85BD7">
        <w:rPr>
          <w:sz w:val="22"/>
          <w:szCs w:val="22"/>
          <w:lang w:val="sr-Latn-ME"/>
        </w:rPr>
        <w:t>ate</w:t>
      </w:r>
      <w:r w:rsidR="00FF0C8E">
        <w:rPr>
          <w:sz w:val="22"/>
          <w:szCs w:val="22"/>
          <w:lang w:val="sr-Latn-ME"/>
        </w:rPr>
        <w:t xml:space="preserve"> </w:t>
      </w:r>
      <w:r w:rsidRPr="009533B2">
        <w:rPr>
          <w:sz w:val="22"/>
          <w:szCs w:val="22"/>
          <w:lang w:val="sr-Latn-ME"/>
        </w:rPr>
        <w:t xml:space="preserve">ili na bilo koju od pomoćnih </w:t>
      </w:r>
      <w:r w:rsidR="00E63501">
        <w:rPr>
          <w:sz w:val="22"/>
          <w:szCs w:val="22"/>
          <w:lang w:val="sr-Latn-ME"/>
        </w:rPr>
        <w:t xml:space="preserve">supstanci </w:t>
      </w:r>
      <w:r w:rsidRPr="009533B2">
        <w:rPr>
          <w:sz w:val="22"/>
          <w:szCs w:val="22"/>
          <w:lang w:val="sr-Latn-ME"/>
        </w:rPr>
        <w:t>(vidjeti</w:t>
      </w:r>
      <w:r w:rsidR="003D5ABD">
        <w:rPr>
          <w:sz w:val="22"/>
          <w:szCs w:val="22"/>
          <w:lang w:val="sr-Latn-ME"/>
        </w:rPr>
        <w:t xml:space="preserve"> </w:t>
      </w:r>
      <w:r w:rsidR="00FF0C8E">
        <w:rPr>
          <w:sz w:val="22"/>
          <w:szCs w:val="22"/>
          <w:lang w:val="sr-Latn-ME"/>
        </w:rPr>
        <w:t>dio</w:t>
      </w:r>
      <w:r w:rsidR="00FF0C8E" w:rsidRPr="009533B2">
        <w:rPr>
          <w:sz w:val="22"/>
          <w:szCs w:val="22"/>
          <w:lang w:val="sr-Latn-ME"/>
        </w:rPr>
        <w:t xml:space="preserve"> </w:t>
      </w:r>
      <w:r w:rsidRPr="009533B2">
        <w:rPr>
          <w:sz w:val="22"/>
          <w:szCs w:val="22"/>
          <w:lang w:val="sr-Latn-ME"/>
        </w:rPr>
        <w:t>6.1.),</w:t>
      </w:r>
    </w:p>
    <w:p w14:paraId="65359E7D" w14:textId="66CFA5C1" w:rsidR="005D45D6" w:rsidRPr="00804F26" w:rsidRDefault="005D45D6" w:rsidP="001D78AB">
      <w:pPr>
        <w:pStyle w:val="ListParagraph"/>
        <w:numPr>
          <w:ilvl w:val="0"/>
          <w:numId w:val="16"/>
        </w:numPr>
        <w:tabs>
          <w:tab w:val="left" w:pos="540"/>
          <w:tab w:val="left" w:pos="569"/>
        </w:tabs>
        <w:jc w:val="both"/>
        <w:rPr>
          <w:b/>
          <w:bCs/>
          <w:sz w:val="22"/>
          <w:szCs w:val="22"/>
          <w:lang w:val="sr-Latn-ME"/>
        </w:rPr>
      </w:pPr>
      <w:r w:rsidRPr="00804F26">
        <w:rPr>
          <w:sz w:val="22"/>
          <w:szCs w:val="22"/>
          <w:lang w:val="sr-Latn-ME"/>
        </w:rPr>
        <w:t>teškom insuficijencijom jetre ili bubrega.</w:t>
      </w:r>
    </w:p>
    <w:p w14:paraId="550E0DFB" w14:textId="77777777" w:rsidR="0072020E" w:rsidRPr="009533B2" w:rsidRDefault="0072020E" w:rsidP="001E006A">
      <w:pPr>
        <w:tabs>
          <w:tab w:val="left" w:pos="540"/>
          <w:tab w:val="left" w:pos="569"/>
        </w:tabs>
        <w:jc w:val="both"/>
        <w:rPr>
          <w:bCs/>
          <w:sz w:val="22"/>
          <w:szCs w:val="22"/>
          <w:lang w:val="sr-Latn-ME"/>
        </w:rPr>
      </w:pPr>
    </w:p>
    <w:p w14:paraId="173B3798" w14:textId="77777777" w:rsidR="00411B4B" w:rsidRPr="009533B2" w:rsidRDefault="00411B4B" w:rsidP="001E006A">
      <w:pPr>
        <w:tabs>
          <w:tab w:val="left" w:pos="540"/>
          <w:tab w:val="left" w:pos="569"/>
        </w:tabs>
        <w:jc w:val="both"/>
        <w:rPr>
          <w:b/>
          <w:bCs/>
          <w:sz w:val="22"/>
          <w:szCs w:val="22"/>
          <w:lang w:val="sr-Latn-ME"/>
        </w:rPr>
      </w:pPr>
      <w:r w:rsidRPr="009533B2">
        <w:rPr>
          <w:b/>
          <w:bCs/>
          <w:sz w:val="22"/>
          <w:szCs w:val="22"/>
          <w:lang w:val="sr-Latn-ME"/>
        </w:rPr>
        <w:t xml:space="preserve">4.4. </w:t>
      </w:r>
      <w:r w:rsidR="00480FB1" w:rsidRPr="009533B2">
        <w:rPr>
          <w:b/>
          <w:bCs/>
          <w:sz w:val="22"/>
          <w:szCs w:val="22"/>
          <w:lang w:val="sr-Latn-ME"/>
        </w:rPr>
        <w:tab/>
      </w:r>
      <w:r w:rsidRPr="009533B2">
        <w:rPr>
          <w:b/>
          <w:bCs/>
          <w:sz w:val="22"/>
          <w:szCs w:val="22"/>
          <w:lang w:val="sr-Latn-ME"/>
        </w:rPr>
        <w:t>Posebna upozorenja i mjere opreza pri upotrebi lijeka</w:t>
      </w:r>
    </w:p>
    <w:p w14:paraId="55D07ACA" w14:textId="77777777" w:rsidR="005D45D6" w:rsidRPr="009533B2" w:rsidRDefault="005D45D6" w:rsidP="001E006A">
      <w:pPr>
        <w:tabs>
          <w:tab w:val="left" w:pos="540"/>
          <w:tab w:val="left" w:pos="569"/>
        </w:tabs>
        <w:jc w:val="both"/>
        <w:rPr>
          <w:b/>
          <w:bCs/>
          <w:sz w:val="22"/>
          <w:szCs w:val="22"/>
          <w:lang w:val="sr-Latn-ME"/>
        </w:rPr>
      </w:pPr>
    </w:p>
    <w:p w14:paraId="3A03768B" w14:textId="6F6D95C3" w:rsidR="005D45D6" w:rsidRPr="009533B2" w:rsidRDefault="005D45D6" w:rsidP="001E006A">
      <w:pPr>
        <w:pStyle w:val="Header"/>
        <w:tabs>
          <w:tab w:val="left" w:pos="284"/>
        </w:tabs>
        <w:jc w:val="both"/>
        <w:rPr>
          <w:sz w:val="22"/>
          <w:szCs w:val="22"/>
          <w:lang w:val="sr-Latn-ME"/>
        </w:rPr>
      </w:pPr>
      <w:r w:rsidRPr="009533B2">
        <w:rPr>
          <w:sz w:val="22"/>
          <w:szCs w:val="22"/>
          <w:lang w:val="sr-Latn-ME"/>
        </w:rPr>
        <w:t>Analize krvi (diferencijalna krvna slika, funkcionalni parametri jetre kao što su ALT ili AST, serum kreatinin) i urina treba uraditi prije i u toku terapije kada je to potrebno, prema procjeni ordinirajućeg ljekara. Kao smjernica, preporučuje se da se kontrola uradi 14</w:t>
      </w:r>
      <w:r w:rsidR="00E626FD">
        <w:rPr>
          <w:sz w:val="22"/>
          <w:szCs w:val="22"/>
          <w:lang w:val="sr-Latn-ME"/>
        </w:rPr>
        <w:t> </w:t>
      </w:r>
      <w:r w:rsidRPr="009533B2">
        <w:rPr>
          <w:sz w:val="22"/>
          <w:szCs w:val="22"/>
          <w:lang w:val="sr-Latn-ME"/>
        </w:rPr>
        <w:t>dana od početka liječenja, a zatim dodatno 2</w:t>
      </w:r>
      <w:r w:rsidR="001749BB">
        <w:rPr>
          <w:sz w:val="22"/>
          <w:szCs w:val="22"/>
          <w:lang w:val="sr-Latn-ME"/>
        </w:rPr>
        <w:t>–</w:t>
      </w:r>
      <w:r w:rsidRPr="009533B2">
        <w:rPr>
          <w:sz w:val="22"/>
          <w:szCs w:val="22"/>
          <w:lang w:val="sr-Latn-ME"/>
        </w:rPr>
        <w:t>3</w:t>
      </w:r>
      <w:r w:rsidR="00D90E02">
        <w:rPr>
          <w:b/>
          <w:bCs/>
          <w:sz w:val="22"/>
          <w:szCs w:val="22"/>
          <w:lang w:val="sr-Latn-ME"/>
        </w:rPr>
        <w:t> </w:t>
      </w:r>
      <w:r w:rsidRPr="009533B2">
        <w:rPr>
          <w:sz w:val="22"/>
          <w:szCs w:val="22"/>
          <w:lang w:val="sr-Latn-ME"/>
        </w:rPr>
        <w:t>puta u intervalima od 4</w:t>
      </w:r>
      <w:r w:rsidR="00D90E02">
        <w:rPr>
          <w:b/>
          <w:bCs/>
          <w:sz w:val="22"/>
          <w:szCs w:val="22"/>
          <w:lang w:val="sr-Latn-ME"/>
        </w:rPr>
        <w:t> </w:t>
      </w:r>
      <w:r w:rsidRPr="009533B2">
        <w:rPr>
          <w:sz w:val="22"/>
          <w:szCs w:val="22"/>
          <w:lang w:val="sr-Latn-ME"/>
        </w:rPr>
        <w:t>nedjelje.</w:t>
      </w:r>
    </w:p>
    <w:p w14:paraId="31E78033" w14:textId="77777777" w:rsidR="005D45D6" w:rsidRPr="009533B2" w:rsidRDefault="005D45D6" w:rsidP="001E006A">
      <w:pPr>
        <w:pStyle w:val="Header"/>
        <w:tabs>
          <w:tab w:val="left" w:pos="284"/>
        </w:tabs>
        <w:jc w:val="both"/>
        <w:rPr>
          <w:sz w:val="22"/>
          <w:szCs w:val="22"/>
          <w:lang w:val="sr-Latn-ME"/>
        </w:rPr>
      </w:pPr>
    </w:p>
    <w:p w14:paraId="192DE5DE" w14:textId="5A173F5E" w:rsidR="005D45D6" w:rsidRPr="009533B2" w:rsidRDefault="005D45D6" w:rsidP="001E006A">
      <w:pPr>
        <w:pStyle w:val="Header"/>
        <w:tabs>
          <w:tab w:val="left" w:pos="284"/>
        </w:tabs>
        <w:jc w:val="both"/>
        <w:rPr>
          <w:sz w:val="22"/>
          <w:szCs w:val="22"/>
          <w:lang w:val="sr-Latn-ME"/>
        </w:rPr>
      </w:pPr>
      <w:r w:rsidRPr="009533B2">
        <w:rPr>
          <w:sz w:val="22"/>
          <w:szCs w:val="22"/>
          <w:lang w:val="sr-Latn-ME"/>
        </w:rPr>
        <w:t>Ukoliko su nalazi normalni, dovoljno je raditi naredne kontrole na svaka 3</w:t>
      </w:r>
      <w:r w:rsidR="00D90E02">
        <w:rPr>
          <w:b/>
          <w:bCs/>
          <w:sz w:val="22"/>
          <w:szCs w:val="22"/>
          <w:lang w:val="sr-Latn-ME"/>
        </w:rPr>
        <w:t> </w:t>
      </w:r>
      <w:r w:rsidRPr="009533B2">
        <w:rPr>
          <w:sz w:val="22"/>
          <w:szCs w:val="22"/>
          <w:lang w:val="sr-Latn-ME"/>
        </w:rPr>
        <w:t>mjeseca. Ako se pojave drugi znaci bolesti, mora se odmah uraditi dodatno ispitivanje.</w:t>
      </w:r>
    </w:p>
    <w:p w14:paraId="10D8381D" w14:textId="77777777" w:rsidR="005D45D6" w:rsidRPr="009533B2" w:rsidRDefault="005D45D6" w:rsidP="001E006A">
      <w:pPr>
        <w:pStyle w:val="Header"/>
        <w:tabs>
          <w:tab w:val="left" w:pos="284"/>
        </w:tabs>
        <w:jc w:val="both"/>
        <w:rPr>
          <w:sz w:val="22"/>
          <w:szCs w:val="22"/>
          <w:lang w:val="sr-Latn-ME"/>
        </w:rPr>
      </w:pPr>
    </w:p>
    <w:p w14:paraId="51ED686E" w14:textId="77777777" w:rsidR="005D45D6" w:rsidRPr="009533B2" w:rsidRDefault="005D45D6" w:rsidP="001E006A">
      <w:pPr>
        <w:pStyle w:val="Header"/>
        <w:tabs>
          <w:tab w:val="left" w:pos="284"/>
        </w:tabs>
        <w:jc w:val="both"/>
        <w:rPr>
          <w:sz w:val="22"/>
          <w:szCs w:val="22"/>
          <w:lang w:val="sr-Latn-ME"/>
        </w:rPr>
      </w:pPr>
      <w:r w:rsidRPr="009533B2">
        <w:rPr>
          <w:sz w:val="22"/>
          <w:szCs w:val="22"/>
          <w:lang w:val="sr-Latn-ME"/>
        </w:rPr>
        <w:t>Potreban je oprez kod pacijenata sa hepatičnom disfunkcijom.</w:t>
      </w:r>
    </w:p>
    <w:p w14:paraId="1BCC3122" w14:textId="77777777" w:rsidR="005D45D6" w:rsidRPr="009533B2" w:rsidRDefault="005D45D6" w:rsidP="001E006A">
      <w:pPr>
        <w:pStyle w:val="Header"/>
        <w:tabs>
          <w:tab w:val="left" w:pos="284"/>
        </w:tabs>
        <w:jc w:val="both"/>
        <w:rPr>
          <w:sz w:val="22"/>
          <w:szCs w:val="22"/>
          <w:lang w:val="sr-Latn-ME"/>
        </w:rPr>
      </w:pPr>
    </w:p>
    <w:p w14:paraId="0385B1C8" w14:textId="00C9EDD2" w:rsidR="005D45D6" w:rsidRDefault="00FF0C8E" w:rsidP="001E006A">
      <w:pPr>
        <w:pStyle w:val="Header"/>
        <w:tabs>
          <w:tab w:val="left" w:pos="284"/>
        </w:tabs>
        <w:jc w:val="both"/>
        <w:rPr>
          <w:sz w:val="22"/>
          <w:szCs w:val="22"/>
          <w:lang w:val="sr-Latn-ME"/>
        </w:rPr>
      </w:pPr>
      <w:r>
        <w:rPr>
          <w:sz w:val="22"/>
          <w:szCs w:val="22"/>
          <w:lang w:val="sr-Latn-ME"/>
        </w:rPr>
        <w:t>Mesalazin</w:t>
      </w:r>
      <w:r w:rsidR="005D45D6" w:rsidRPr="009533B2">
        <w:rPr>
          <w:sz w:val="22"/>
          <w:szCs w:val="22"/>
          <w:lang w:val="sr-Latn-ME"/>
        </w:rPr>
        <w:t xml:space="preserve"> </w:t>
      </w:r>
      <w:r w:rsidR="00E32002">
        <w:rPr>
          <w:sz w:val="22"/>
          <w:szCs w:val="22"/>
          <w:lang w:val="sr-Latn-ME"/>
        </w:rPr>
        <w:t>se</w:t>
      </w:r>
      <w:r w:rsidR="00E32002" w:rsidRPr="009533B2">
        <w:rPr>
          <w:sz w:val="22"/>
          <w:szCs w:val="22"/>
          <w:lang w:val="sr-Latn-ME"/>
        </w:rPr>
        <w:t xml:space="preserve"> </w:t>
      </w:r>
      <w:r w:rsidR="005D45D6" w:rsidRPr="009533B2">
        <w:rPr>
          <w:sz w:val="22"/>
          <w:szCs w:val="22"/>
          <w:lang w:val="sr-Latn-ME"/>
        </w:rPr>
        <w:t xml:space="preserve">ne </w:t>
      </w:r>
      <w:r w:rsidR="00626236">
        <w:rPr>
          <w:sz w:val="22"/>
          <w:szCs w:val="22"/>
          <w:lang w:val="sr-Latn-ME"/>
        </w:rPr>
        <w:t xml:space="preserve">smije </w:t>
      </w:r>
      <w:r w:rsidR="005D45D6" w:rsidRPr="009533B2">
        <w:rPr>
          <w:sz w:val="22"/>
          <w:szCs w:val="22"/>
          <w:lang w:val="sr-Latn-ME"/>
        </w:rPr>
        <w:t xml:space="preserve">davati pacijentima sa oštećenom funkcijom bubrega. Ukoliko se tokom liječenja javi slabljenje bubrežne funkcije, treba </w:t>
      </w:r>
      <w:r>
        <w:rPr>
          <w:sz w:val="22"/>
          <w:szCs w:val="22"/>
          <w:lang w:val="sr-Latn-ME"/>
        </w:rPr>
        <w:t>uzeti u obzir</w:t>
      </w:r>
      <w:r w:rsidRPr="009533B2">
        <w:rPr>
          <w:sz w:val="22"/>
          <w:szCs w:val="22"/>
          <w:lang w:val="sr-Latn-ME"/>
        </w:rPr>
        <w:t xml:space="preserve"> </w:t>
      </w:r>
      <w:r w:rsidR="005D45D6" w:rsidRPr="009533B2">
        <w:rPr>
          <w:sz w:val="22"/>
          <w:szCs w:val="22"/>
          <w:lang w:val="sr-Latn-ME"/>
        </w:rPr>
        <w:t xml:space="preserve">mogućnost </w:t>
      </w:r>
      <w:r>
        <w:rPr>
          <w:sz w:val="22"/>
          <w:szCs w:val="22"/>
          <w:lang w:val="sr-Latn-ME"/>
        </w:rPr>
        <w:t xml:space="preserve">da je </w:t>
      </w:r>
      <w:r w:rsidR="005D45D6" w:rsidRPr="009533B2">
        <w:rPr>
          <w:sz w:val="22"/>
          <w:szCs w:val="22"/>
          <w:lang w:val="sr-Latn-ME"/>
        </w:rPr>
        <w:t>nefrotoksičnost izazvan</w:t>
      </w:r>
      <w:r w:rsidR="00626236">
        <w:rPr>
          <w:sz w:val="22"/>
          <w:szCs w:val="22"/>
          <w:lang w:val="sr-Latn-ME"/>
        </w:rPr>
        <w:t>a</w:t>
      </w:r>
      <w:r w:rsidR="005D45D6" w:rsidRPr="009533B2">
        <w:rPr>
          <w:sz w:val="22"/>
          <w:szCs w:val="22"/>
          <w:lang w:val="sr-Latn-ME"/>
        </w:rPr>
        <w:t xml:space="preserve"> mesalazinom.</w:t>
      </w:r>
      <w:r>
        <w:rPr>
          <w:sz w:val="22"/>
          <w:szCs w:val="22"/>
          <w:lang w:val="sr-Latn-ME"/>
        </w:rPr>
        <w:t xml:space="preserve"> U tom slučaju, potrebno je odmah prekinuti </w:t>
      </w:r>
      <w:r w:rsidR="007F1446">
        <w:rPr>
          <w:sz w:val="22"/>
          <w:szCs w:val="22"/>
          <w:lang w:val="sr-Latn-ME"/>
        </w:rPr>
        <w:t>terapiju</w:t>
      </w:r>
      <w:r>
        <w:rPr>
          <w:sz w:val="22"/>
          <w:szCs w:val="22"/>
          <w:lang w:val="sr-Latn-ME"/>
        </w:rPr>
        <w:t xml:space="preserve"> lijekom </w:t>
      </w:r>
      <w:r w:rsidR="007F1446">
        <w:rPr>
          <w:sz w:val="22"/>
          <w:szCs w:val="22"/>
          <w:lang w:val="sr-Latn-ME"/>
        </w:rPr>
        <w:t xml:space="preserve">Salofalk 500, </w:t>
      </w:r>
      <w:r w:rsidR="007F1446" w:rsidRPr="007F1446">
        <w:rPr>
          <w:sz w:val="22"/>
          <w:szCs w:val="22"/>
          <w:lang w:val="sr-Latn-ME"/>
        </w:rPr>
        <w:t>gastrorezistentn</w:t>
      </w:r>
      <w:r w:rsidR="00626236">
        <w:rPr>
          <w:sz w:val="22"/>
          <w:szCs w:val="22"/>
          <w:lang w:val="sr-Latn-ME"/>
        </w:rPr>
        <w:t>a</w:t>
      </w:r>
      <w:r w:rsidR="007F1446" w:rsidRPr="007F1446">
        <w:rPr>
          <w:sz w:val="22"/>
          <w:szCs w:val="22"/>
          <w:lang w:val="sr-Latn-ME"/>
        </w:rPr>
        <w:t xml:space="preserve"> tablet</w:t>
      </w:r>
      <w:r w:rsidR="00626236">
        <w:rPr>
          <w:sz w:val="22"/>
          <w:szCs w:val="22"/>
          <w:lang w:val="sr-Latn-ME"/>
        </w:rPr>
        <w:t>a</w:t>
      </w:r>
      <w:r w:rsidR="007F1446">
        <w:rPr>
          <w:sz w:val="22"/>
          <w:szCs w:val="22"/>
          <w:lang w:val="sr-Latn-ME"/>
        </w:rPr>
        <w:t>.</w:t>
      </w:r>
    </w:p>
    <w:p w14:paraId="3B02039F" w14:textId="77777777" w:rsidR="00E63501" w:rsidRDefault="00E63501" w:rsidP="001E006A">
      <w:pPr>
        <w:pStyle w:val="Header"/>
        <w:tabs>
          <w:tab w:val="left" w:pos="284"/>
        </w:tabs>
        <w:jc w:val="both"/>
        <w:rPr>
          <w:sz w:val="22"/>
          <w:szCs w:val="22"/>
          <w:lang w:val="sr-Latn-ME"/>
        </w:rPr>
      </w:pPr>
    </w:p>
    <w:p w14:paraId="5751CCEB" w14:textId="468FDCF3" w:rsidR="00E63501" w:rsidRPr="00A23EE5" w:rsidRDefault="00E63501" w:rsidP="001E006A">
      <w:pPr>
        <w:tabs>
          <w:tab w:val="left" w:pos="540"/>
          <w:tab w:val="left" w:pos="569"/>
        </w:tabs>
        <w:jc w:val="both"/>
        <w:rPr>
          <w:sz w:val="22"/>
          <w:szCs w:val="22"/>
          <w:lang w:val="sr-Latn-ME"/>
        </w:rPr>
      </w:pPr>
      <w:r>
        <w:rPr>
          <w:sz w:val="22"/>
          <w:szCs w:val="22"/>
          <w:lang w:val="sr-Latn-ME"/>
        </w:rPr>
        <w:t xml:space="preserve">Prijavljeni su slučajevi </w:t>
      </w:r>
      <w:r w:rsidR="007F1446">
        <w:rPr>
          <w:sz w:val="22"/>
          <w:szCs w:val="22"/>
          <w:lang w:val="sr-Latn-ME"/>
        </w:rPr>
        <w:t xml:space="preserve">nefrolitijaze </w:t>
      </w:r>
      <w:r>
        <w:rPr>
          <w:sz w:val="22"/>
          <w:szCs w:val="22"/>
          <w:lang w:val="sr-Latn-ME"/>
        </w:rPr>
        <w:t>kod upotrebe mesalazina uključujući kamen sa 100%-nim sadržajem mesalazina. Preporučuje se da se obezb</w:t>
      </w:r>
      <w:r w:rsidR="009C718B">
        <w:rPr>
          <w:sz w:val="22"/>
          <w:szCs w:val="22"/>
          <w:lang w:val="sr-Latn-ME"/>
        </w:rPr>
        <w:t>ij</w:t>
      </w:r>
      <w:r>
        <w:rPr>
          <w:sz w:val="22"/>
          <w:szCs w:val="22"/>
          <w:lang w:val="sr-Latn-ME"/>
        </w:rPr>
        <w:t>edi adekvatno uzimanje tečnosti tokom l</w:t>
      </w:r>
      <w:r w:rsidR="009C718B">
        <w:rPr>
          <w:sz w:val="22"/>
          <w:szCs w:val="22"/>
          <w:lang w:val="sr-Latn-ME"/>
        </w:rPr>
        <w:t>ij</w:t>
      </w:r>
      <w:r>
        <w:rPr>
          <w:sz w:val="22"/>
          <w:szCs w:val="22"/>
          <w:lang w:val="sr-Latn-ME"/>
        </w:rPr>
        <w:t>ečenja.</w:t>
      </w:r>
    </w:p>
    <w:p w14:paraId="449B85A7" w14:textId="77777777" w:rsidR="005D45D6" w:rsidRDefault="005D45D6" w:rsidP="005D45D6">
      <w:pPr>
        <w:pStyle w:val="Header"/>
        <w:tabs>
          <w:tab w:val="left" w:pos="284"/>
        </w:tabs>
        <w:rPr>
          <w:sz w:val="22"/>
          <w:szCs w:val="22"/>
          <w:lang w:val="sr-Latn-ME"/>
        </w:rPr>
      </w:pPr>
    </w:p>
    <w:p w14:paraId="7F40CE8F" w14:textId="536DA803" w:rsidR="007F1446" w:rsidRPr="007F1446" w:rsidRDefault="007F1446" w:rsidP="00804F26">
      <w:pPr>
        <w:pStyle w:val="Header"/>
        <w:tabs>
          <w:tab w:val="left" w:pos="284"/>
        </w:tabs>
        <w:jc w:val="both"/>
        <w:rPr>
          <w:sz w:val="22"/>
          <w:szCs w:val="22"/>
          <w:lang w:val="sr-Latn-ME"/>
        </w:rPr>
      </w:pPr>
      <w:r w:rsidRPr="007F1446">
        <w:rPr>
          <w:sz w:val="22"/>
          <w:szCs w:val="22"/>
          <w:lang w:val="sr-Latn-ME"/>
        </w:rPr>
        <w:t>Mesalazin može izazvati prom</w:t>
      </w:r>
      <w:r>
        <w:rPr>
          <w:sz w:val="22"/>
          <w:szCs w:val="22"/>
          <w:lang w:val="sr-Latn-ME"/>
        </w:rPr>
        <w:t>j</w:t>
      </w:r>
      <w:r w:rsidRPr="007F1446">
        <w:rPr>
          <w:sz w:val="22"/>
          <w:szCs w:val="22"/>
          <w:lang w:val="sr-Latn-ME"/>
        </w:rPr>
        <w:t>enu boje urina u crveno-braon nakon kontakta sa izb</w:t>
      </w:r>
      <w:r>
        <w:rPr>
          <w:sz w:val="22"/>
          <w:szCs w:val="22"/>
          <w:lang w:val="sr-Latn-ME"/>
        </w:rPr>
        <w:t>j</w:t>
      </w:r>
      <w:r w:rsidRPr="007F1446">
        <w:rPr>
          <w:sz w:val="22"/>
          <w:szCs w:val="22"/>
          <w:lang w:val="sr-Latn-ME"/>
        </w:rPr>
        <w:t>eljivačem natrijum  hipohloritom (npr. u toaletima koji se čiste natrijum hipohloritom koji se nalazi u nekim izb</w:t>
      </w:r>
      <w:r>
        <w:rPr>
          <w:sz w:val="22"/>
          <w:szCs w:val="22"/>
          <w:lang w:val="sr-Latn-ME"/>
        </w:rPr>
        <w:t>j</w:t>
      </w:r>
      <w:r w:rsidRPr="007F1446">
        <w:rPr>
          <w:sz w:val="22"/>
          <w:szCs w:val="22"/>
          <w:lang w:val="sr-Latn-ME"/>
        </w:rPr>
        <w:t>eljivačima).</w:t>
      </w:r>
    </w:p>
    <w:p w14:paraId="74414679" w14:textId="77777777" w:rsidR="007F1446" w:rsidRPr="007F1446" w:rsidRDefault="007F1446" w:rsidP="007F1446">
      <w:pPr>
        <w:pStyle w:val="Header"/>
        <w:tabs>
          <w:tab w:val="left" w:pos="284"/>
        </w:tabs>
        <w:rPr>
          <w:sz w:val="22"/>
          <w:szCs w:val="22"/>
          <w:lang w:val="sr-Latn-ME"/>
        </w:rPr>
      </w:pPr>
    </w:p>
    <w:p w14:paraId="073979FC" w14:textId="0DA129CE" w:rsidR="007F1446" w:rsidRPr="007F1446" w:rsidRDefault="007F1446" w:rsidP="00804F26">
      <w:pPr>
        <w:pStyle w:val="Header"/>
        <w:tabs>
          <w:tab w:val="left" w:pos="284"/>
        </w:tabs>
        <w:jc w:val="both"/>
        <w:rPr>
          <w:sz w:val="22"/>
          <w:szCs w:val="22"/>
          <w:lang w:val="sr-Latn-ME"/>
        </w:rPr>
      </w:pPr>
      <w:r w:rsidRPr="007F1446">
        <w:rPr>
          <w:sz w:val="22"/>
          <w:szCs w:val="22"/>
          <w:lang w:val="sr-Latn-ME"/>
        </w:rPr>
        <w:lastRenderedPageBreak/>
        <w:t>Vrlo r</w:t>
      </w:r>
      <w:r>
        <w:rPr>
          <w:sz w:val="22"/>
          <w:szCs w:val="22"/>
          <w:lang w:val="sr-Latn-ME"/>
        </w:rPr>
        <w:t>ij</w:t>
      </w:r>
      <w:r w:rsidRPr="007F1446">
        <w:rPr>
          <w:sz w:val="22"/>
          <w:szCs w:val="22"/>
          <w:lang w:val="sr-Latn-ME"/>
        </w:rPr>
        <w:t>etko su prijavljene ozbiljne krvne diskrazije pri prim</w:t>
      </w:r>
      <w:r>
        <w:rPr>
          <w:sz w:val="22"/>
          <w:szCs w:val="22"/>
          <w:lang w:val="sr-Latn-ME"/>
        </w:rPr>
        <w:t>j</w:t>
      </w:r>
      <w:r w:rsidRPr="007F1446">
        <w:rPr>
          <w:sz w:val="22"/>
          <w:szCs w:val="22"/>
          <w:lang w:val="sr-Latn-ME"/>
        </w:rPr>
        <w:t>eni mesalazina. Ako se kod pacijenata pojavi neobjašnjivo krvarenje, modrice, purpura, anemija, groznica ili faringolaringealni bol, potrebno je uraditi analize krvi. Ukoliko se kod pacijenta potvrdi krvna diskrazija ili se na nju posumnja, treba prekinuti prim</w:t>
      </w:r>
      <w:r>
        <w:rPr>
          <w:sz w:val="22"/>
          <w:szCs w:val="22"/>
          <w:lang w:val="sr-Latn-ME"/>
        </w:rPr>
        <w:t>j</w:t>
      </w:r>
      <w:r w:rsidRPr="007F1446">
        <w:rPr>
          <w:sz w:val="22"/>
          <w:szCs w:val="22"/>
          <w:lang w:val="sr-Latn-ME"/>
        </w:rPr>
        <w:t>enu l</w:t>
      </w:r>
      <w:r>
        <w:rPr>
          <w:sz w:val="22"/>
          <w:szCs w:val="22"/>
          <w:lang w:val="sr-Latn-ME"/>
        </w:rPr>
        <w:t>ij</w:t>
      </w:r>
      <w:r w:rsidRPr="007F1446">
        <w:rPr>
          <w:sz w:val="22"/>
          <w:szCs w:val="22"/>
          <w:lang w:val="sr-Latn-ME"/>
        </w:rPr>
        <w:t xml:space="preserve">eka Salofalk 500, gastrorezistentne tablete. </w:t>
      </w:r>
    </w:p>
    <w:p w14:paraId="43096CEC" w14:textId="77777777" w:rsidR="007F1446" w:rsidRPr="007F1446" w:rsidRDefault="007F1446" w:rsidP="007F1446">
      <w:pPr>
        <w:pStyle w:val="Header"/>
        <w:tabs>
          <w:tab w:val="left" w:pos="284"/>
        </w:tabs>
        <w:rPr>
          <w:sz w:val="22"/>
          <w:szCs w:val="22"/>
          <w:lang w:val="sr-Latn-ME"/>
        </w:rPr>
      </w:pPr>
    </w:p>
    <w:p w14:paraId="211E0304" w14:textId="0C75FCB4" w:rsidR="007F1446" w:rsidRPr="009533B2" w:rsidRDefault="007F1446" w:rsidP="00804F26">
      <w:pPr>
        <w:pStyle w:val="Header"/>
        <w:tabs>
          <w:tab w:val="left" w:pos="284"/>
        </w:tabs>
        <w:jc w:val="both"/>
        <w:rPr>
          <w:sz w:val="22"/>
          <w:szCs w:val="22"/>
          <w:lang w:val="sr-Latn-ME"/>
        </w:rPr>
      </w:pPr>
      <w:r w:rsidRPr="007F1446">
        <w:rPr>
          <w:sz w:val="22"/>
          <w:szCs w:val="22"/>
          <w:lang w:val="sr-Latn-ME"/>
        </w:rPr>
        <w:t>R</w:t>
      </w:r>
      <w:r>
        <w:rPr>
          <w:sz w:val="22"/>
          <w:szCs w:val="22"/>
          <w:lang w:val="sr-Latn-ME"/>
        </w:rPr>
        <w:t>ij</w:t>
      </w:r>
      <w:r w:rsidRPr="007F1446">
        <w:rPr>
          <w:sz w:val="22"/>
          <w:szCs w:val="22"/>
          <w:lang w:val="sr-Latn-ME"/>
        </w:rPr>
        <w:t>etko su prijavljene reakcije srčane preos</w:t>
      </w:r>
      <w:r>
        <w:rPr>
          <w:sz w:val="22"/>
          <w:szCs w:val="22"/>
          <w:lang w:val="sr-Latn-ME"/>
        </w:rPr>
        <w:t>j</w:t>
      </w:r>
      <w:r w:rsidRPr="007F1446">
        <w:rPr>
          <w:sz w:val="22"/>
          <w:szCs w:val="22"/>
          <w:lang w:val="sr-Latn-ME"/>
        </w:rPr>
        <w:t>etljivosti izazvane mesalazinom (miokarditis i perikarditis). Prim</w:t>
      </w:r>
      <w:r>
        <w:rPr>
          <w:sz w:val="22"/>
          <w:szCs w:val="22"/>
          <w:lang w:val="sr-Latn-ME"/>
        </w:rPr>
        <w:t>j</w:t>
      </w:r>
      <w:r w:rsidRPr="007F1446">
        <w:rPr>
          <w:sz w:val="22"/>
          <w:szCs w:val="22"/>
          <w:lang w:val="sr-Latn-ME"/>
        </w:rPr>
        <w:t>en</w:t>
      </w:r>
      <w:r w:rsidR="00EF079E">
        <w:rPr>
          <w:sz w:val="22"/>
          <w:szCs w:val="22"/>
          <w:lang w:val="sr-Latn-ME"/>
        </w:rPr>
        <w:t>a</w:t>
      </w:r>
      <w:r w:rsidRPr="007F1446">
        <w:rPr>
          <w:sz w:val="22"/>
          <w:szCs w:val="22"/>
          <w:lang w:val="sr-Latn-ME"/>
        </w:rPr>
        <w:t xml:space="preserve"> l</w:t>
      </w:r>
      <w:r w:rsidR="00626236">
        <w:rPr>
          <w:sz w:val="22"/>
          <w:szCs w:val="22"/>
          <w:lang w:val="sr-Latn-ME"/>
        </w:rPr>
        <w:t>ij</w:t>
      </w:r>
      <w:r w:rsidRPr="007F1446">
        <w:rPr>
          <w:sz w:val="22"/>
          <w:szCs w:val="22"/>
          <w:lang w:val="sr-Latn-ME"/>
        </w:rPr>
        <w:t>eka Salofalk 500, gastrorezistentn</w:t>
      </w:r>
      <w:r w:rsidR="00626236">
        <w:rPr>
          <w:sz w:val="22"/>
          <w:szCs w:val="22"/>
          <w:lang w:val="sr-Latn-ME"/>
        </w:rPr>
        <w:t>a</w:t>
      </w:r>
      <w:r w:rsidRPr="007F1446">
        <w:rPr>
          <w:sz w:val="22"/>
          <w:szCs w:val="22"/>
          <w:lang w:val="sr-Latn-ME"/>
        </w:rPr>
        <w:t xml:space="preserve"> tablet</w:t>
      </w:r>
      <w:r w:rsidR="00626236">
        <w:rPr>
          <w:sz w:val="22"/>
          <w:szCs w:val="22"/>
          <w:lang w:val="sr-Latn-ME"/>
        </w:rPr>
        <w:t>a</w:t>
      </w:r>
      <w:r w:rsidRPr="007F1446">
        <w:rPr>
          <w:sz w:val="22"/>
          <w:szCs w:val="22"/>
          <w:lang w:val="sr-Latn-ME"/>
        </w:rPr>
        <w:t xml:space="preserve">, </w:t>
      </w:r>
      <w:r w:rsidR="00EF079E">
        <w:rPr>
          <w:sz w:val="22"/>
          <w:szCs w:val="22"/>
          <w:lang w:val="sr-Latn-ME"/>
        </w:rPr>
        <w:t>tada se</w:t>
      </w:r>
      <w:r w:rsidR="00626236">
        <w:rPr>
          <w:sz w:val="22"/>
          <w:szCs w:val="22"/>
          <w:lang w:val="sr-Latn-ME"/>
        </w:rPr>
        <w:t xml:space="preserve"> mora</w:t>
      </w:r>
      <w:r w:rsidR="00626236" w:rsidRPr="007F1446">
        <w:rPr>
          <w:sz w:val="22"/>
          <w:szCs w:val="22"/>
          <w:lang w:val="sr-Latn-ME"/>
        </w:rPr>
        <w:t xml:space="preserve"> </w:t>
      </w:r>
      <w:r w:rsidRPr="007F1446">
        <w:rPr>
          <w:sz w:val="22"/>
          <w:szCs w:val="22"/>
          <w:lang w:val="sr-Latn-ME"/>
        </w:rPr>
        <w:t>odmah prekinuti.</w:t>
      </w:r>
    </w:p>
    <w:p w14:paraId="15BC6A03" w14:textId="77777777" w:rsidR="007F1446" w:rsidRDefault="007F1446" w:rsidP="001E006A">
      <w:pPr>
        <w:pStyle w:val="Header"/>
        <w:tabs>
          <w:tab w:val="left" w:pos="284"/>
        </w:tabs>
        <w:jc w:val="both"/>
        <w:rPr>
          <w:sz w:val="22"/>
          <w:szCs w:val="22"/>
          <w:lang w:val="sr-Latn-ME"/>
        </w:rPr>
      </w:pPr>
    </w:p>
    <w:p w14:paraId="1D63291E" w14:textId="43475466" w:rsidR="005D45D6" w:rsidRDefault="005D45D6" w:rsidP="001E006A">
      <w:pPr>
        <w:pStyle w:val="Header"/>
        <w:tabs>
          <w:tab w:val="left" w:pos="284"/>
        </w:tabs>
        <w:jc w:val="both"/>
        <w:rPr>
          <w:sz w:val="22"/>
          <w:szCs w:val="22"/>
          <w:lang w:val="sr-Latn-ME"/>
        </w:rPr>
      </w:pPr>
      <w:r w:rsidRPr="009533B2">
        <w:rPr>
          <w:sz w:val="22"/>
          <w:szCs w:val="22"/>
          <w:lang w:val="sr-Latn-ME"/>
        </w:rPr>
        <w:t xml:space="preserve">Kod pacijenata sa poremećajima plućne funkcije, naročito kod astme, potrebno je posebno pažljivo praćenje tokom liječenja lijekom </w:t>
      </w:r>
      <w:r w:rsidR="00E63501" w:rsidRPr="009533B2">
        <w:rPr>
          <w:sz w:val="22"/>
          <w:szCs w:val="22"/>
          <w:lang w:val="sr-Latn-ME"/>
        </w:rPr>
        <w:t>Salofalk 500</w:t>
      </w:r>
      <w:r w:rsidR="00E63501">
        <w:rPr>
          <w:b/>
          <w:bCs/>
          <w:sz w:val="22"/>
          <w:szCs w:val="22"/>
          <w:lang w:val="sr-Latn-ME"/>
        </w:rPr>
        <w:t> </w:t>
      </w:r>
      <w:r w:rsidR="00E63501" w:rsidRPr="003D5D38">
        <w:rPr>
          <w:bCs/>
          <w:sz w:val="22"/>
          <w:szCs w:val="22"/>
          <w:lang w:val="sr-Latn-ME"/>
        </w:rPr>
        <w:t>mg</w:t>
      </w:r>
      <w:r w:rsidR="00EF079E">
        <w:rPr>
          <w:bCs/>
          <w:sz w:val="22"/>
          <w:szCs w:val="22"/>
          <w:lang w:val="sr-Latn-ME"/>
        </w:rPr>
        <w:t>,</w:t>
      </w:r>
      <w:r w:rsidR="00E63501" w:rsidRPr="009533B2">
        <w:rPr>
          <w:sz w:val="22"/>
          <w:szCs w:val="22"/>
          <w:lang w:val="sr-Latn-ME"/>
        </w:rPr>
        <w:t xml:space="preserve"> </w:t>
      </w:r>
      <w:r w:rsidR="00E63501">
        <w:rPr>
          <w:sz w:val="22"/>
          <w:szCs w:val="22"/>
          <w:lang w:val="sr-Latn-ME"/>
        </w:rPr>
        <w:t>gastrorezistentn</w:t>
      </w:r>
      <w:r w:rsidR="00EF079E">
        <w:rPr>
          <w:sz w:val="22"/>
          <w:szCs w:val="22"/>
          <w:lang w:val="sr-Latn-ME"/>
        </w:rPr>
        <w:t>a</w:t>
      </w:r>
      <w:r w:rsidR="00E63501">
        <w:rPr>
          <w:sz w:val="22"/>
          <w:szCs w:val="22"/>
          <w:lang w:val="sr-Latn-ME"/>
        </w:rPr>
        <w:t xml:space="preserve"> tablet</w:t>
      </w:r>
      <w:r w:rsidR="00EF079E">
        <w:rPr>
          <w:sz w:val="22"/>
          <w:szCs w:val="22"/>
          <w:lang w:val="sr-Latn-ME"/>
        </w:rPr>
        <w:t>a</w:t>
      </w:r>
      <w:r w:rsidRPr="009533B2">
        <w:rPr>
          <w:sz w:val="22"/>
          <w:szCs w:val="22"/>
          <w:lang w:val="sr-Latn-ME"/>
        </w:rPr>
        <w:t>.</w:t>
      </w:r>
    </w:p>
    <w:p w14:paraId="002D2863" w14:textId="08082A06" w:rsidR="00E63501" w:rsidRDefault="00E63501" w:rsidP="001E006A">
      <w:pPr>
        <w:pStyle w:val="Header"/>
        <w:tabs>
          <w:tab w:val="left" w:pos="284"/>
        </w:tabs>
        <w:jc w:val="both"/>
        <w:rPr>
          <w:sz w:val="22"/>
          <w:szCs w:val="22"/>
          <w:lang w:val="sr-Latn-ME"/>
        </w:rPr>
      </w:pPr>
    </w:p>
    <w:p w14:paraId="3E34AC53" w14:textId="1B63E088" w:rsidR="00591A1D" w:rsidRPr="004A6C52" w:rsidRDefault="00591A1D" w:rsidP="00591A1D">
      <w:pPr>
        <w:pStyle w:val="Header"/>
        <w:tabs>
          <w:tab w:val="left" w:pos="284"/>
        </w:tabs>
        <w:jc w:val="both"/>
        <w:rPr>
          <w:sz w:val="22"/>
          <w:szCs w:val="22"/>
          <w:u w:val="single"/>
          <w:lang w:val="sr-Latn-ME"/>
        </w:rPr>
      </w:pPr>
      <w:r w:rsidRPr="004A6C52">
        <w:rPr>
          <w:sz w:val="22"/>
          <w:szCs w:val="22"/>
          <w:u w:val="single"/>
          <w:lang w:val="sr-Latn-ME"/>
        </w:rPr>
        <w:t>Teške kožne neželjene reakcije</w:t>
      </w:r>
    </w:p>
    <w:p w14:paraId="15185FD7" w14:textId="49AF0E68" w:rsidR="007F1446" w:rsidRDefault="00591A1D" w:rsidP="00591A1D">
      <w:pPr>
        <w:pStyle w:val="Header"/>
        <w:tabs>
          <w:tab w:val="left" w:pos="284"/>
        </w:tabs>
        <w:jc w:val="both"/>
        <w:rPr>
          <w:sz w:val="22"/>
          <w:szCs w:val="22"/>
          <w:lang w:val="sr-Latn-ME"/>
        </w:rPr>
      </w:pPr>
      <w:r w:rsidRPr="00081866">
        <w:rPr>
          <w:sz w:val="22"/>
          <w:szCs w:val="22"/>
          <w:lang w:val="sr-Latn-ME"/>
        </w:rPr>
        <w:t xml:space="preserve">Prijavljene su teške kožne neželjene reakcije (engl. </w:t>
      </w:r>
      <w:r w:rsidRPr="004A6C52">
        <w:rPr>
          <w:i/>
          <w:sz w:val="22"/>
          <w:szCs w:val="22"/>
          <w:lang w:val="sr-Latn-ME"/>
        </w:rPr>
        <w:t>severe cutaneous adverse reactions, SCARs</w:t>
      </w:r>
      <w:r w:rsidRPr="00081866">
        <w:rPr>
          <w:sz w:val="22"/>
          <w:szCs w:val="22"/>
          <w:lang w:val="sr-Latn-ME"/>
        </w:rPr>
        <w:t>), uključujući</w:t>
      </w:r>
      <w:r w:rsidR="007F1446">
        <w:rPr>
          <w:sz w:val="22"/>
          <w:szCs w:val="22"/>
          <w:lang w:val="sr-Latn-ME"/>
        </w:rPr>
        <w:t xml:space="preserve"> </w:t>
      </w:r>
      <w:r w:rsidR="007F1446" w:rsidRPr="007F1446">
        <w:rPr>
          <w:sz w:val="22"/>
          <w:szCs w:val="22"/>
          <w:lang w:val="sr-Latn-ME"/>
        </w:rPr>
        <w:t>reakciju na l</w:t>
      </w:r>
      <w:r w:rsidR="007F1446">
        <w:rPr>
          <w:sz w:val="22"/>
          <w:szCs w:val="22"/>
          <w:lang w:val="sr-Latn-ME"/>
        </w:rPr>
        <w:t>ij</w:t>
      </w:r>
      <w:r w:rsidR="007F1446" w:rsidRPr="007F1446">
        <w:rPr>
          <w:sz w:val="22"/>
          <w:szCs w:val="22"/>
          <w:lang w:val="sr-Latn-ME"/>
        </w:rPr>
        <w:t xml:space="preserve">ek sa eozinofilijom i sistemskim simptomima (engl. </w:t>
      </w:r>
      <w:r w:rsidR="007F1446" w:rsidRPr="00804F26">
        <w:rPr>
          <w:i/>
          <w:iCs/>
          <w:sz w:val="22"/>
          <w:szCs w:val="22"/>
          <w:lang w:val="sr-Latn-ME"/>
        </w:rPr>
        <w:t>drug reaction with eosinophilia and systemic symptoms</w:t>
      </w:r>
      <w:r w:rsidR="007F1446" w:rsidRPr="007F1446">
        <w:rPr>
          <w:sz w:val="22"/>
          <w:szCs w:val="22"/>
          <w:lang w:val="sr-Latn-ME"/>
        </w:rPr>
        <w:t>, DRESS),</w:t>
      </w:r>
      <w:r w:rsidR="00EF079E">
        <w:rPr>
          <w:sz w:val="22"/>
          <w:szCs w:val="22"/>
          <w:lang w:val="sr-Latn-ME"/>
        </w:rPr>
        <w:t xml:space="preserve"> </w:t>
      </w:r>
      <w:r w:rsidRPr="00081866">
        <w:rPr>
          <w:sz w:val="22"/>
          <w:szCs w:val="22"/>
          <w:lang w:val="sr-Latn-ME"/>
        </w:rPr>
        <w:t xml:space="preserve">Stivens-Johnson-ov sindrom (SJS) i toksičnu epidermalnu nekrolizu (TEN), povezane sa liječenjem mesalazinom. </w:t>
      </w:r>
    </w:p>
    <w:p w14:paraId="3C40E7B8" w14:textId="315E98CB" w:rsidR="00591A1D" w:rsidRDefault="00591A1D" w:rsidP="00591A1D">
      <w:pPr>
        <w:pStyle w:val="Header"/>
        <w:tabs>
          <w:tab w:val="left" w:pos="284"/>
        </w:tabs>
        <w:jc w:val="both"/>
        <w:rPr>
          <w:sz w:val="22"/>
          <w:szCs w:val="22"/>
          <w:lang w:val="sr-Latn-ME"/>
        </w:rPr>
      </w:pPr>
      <w:r w:rsidRPr="00081866">
        <w:rPr>
          <w:sz w:val="22"/>
          <w:szCs w:val="22"/>
          <w:lang w:val="sr-Latn-ME"/>
        </w:rPr>
        <w:t>Primjenu mesalazina treba prekinuti pri prvoj pojavi znakova i simptoma teških kožnih reakcija, kao što su kožni osip, lezije sluzokože ili bilo koji drugi znak preosjetljivosti</w:t>
      </w:r>
      <w:r w:rsidRPr="00591A1D">
        <w:rPr>
          <w:sz w:val="22"/>
          <w:szCs w:val="22"/>
          <w:lang w:val="sr-Latn-ME"/>
        </w:rPr>
        <w:t>.</w:t>
      </w:r>
    </w:p>
    <w:p w14:paraId="7F9891C4" w14:textId="77777777" w:rsidR="00591A1D" w:rsidRPr="009533B2" w:rsidRDefault="00591A1D" w:rsidP="001E006A">
      <w:pPr>
        <w:pStyle w:val="Header"/>
        <w:tabs>
          <w:tab w:val="left" w:pos="284"/>
        </w:tabs>
        <w:jc w:val="both"/>
        <w:rPr>
          <w:sz w:val="22"/>
          <w:szCs w:val="22"/>
          <w:lang w:val="sr-Latn-ME"/>
        </w:rPr>
      </w:pPr>
    </w:p>
    <w:p w14:paraId="5F731230" w14:textId="5BC88399" w:rsidR="005D45D6" w:rsidRPr="009533B2" w:rsidRDefault="005D45D6" w:rsidP="001E006A">
      <w:pPr>
        <w:pStyle w:val="Header"/>
        <w:tabs>
          <w:tab w:val="left" w:pos="284"/>
        </w:tabs>
        <w:jc w:val="both"/>
        <w:rPr>
          <w:sz w:val="22"/>
          <w:szCs w:val="22"/>
          <w:lang w:val="sr-Latn-ME"/>
        </w:rPr>
      </w:pPr>
      <w:r w:rsidRPr="009533B2">
        <w:rPr>
          <w:sz w:val="22"/>
          <w:szCs w:val="22"/>
          <w:lang w:val="sr-Latn-ME"/>
        </w:rPr>
        <w:t xml:space="preserve">Kod pacijenata sa poznatom preosjetljivošću na </w:t>
      </w:r>
      <w:r w:rsidR="007F1446">
        <w:rPr>
          <w:sz w:val="22"/>
          <w:szCs w:val="22"/>
          <w:lang w:val="sr-Latn-ME"/>
        </w:rPr>
        <w:t>ljekove koji sadrže</w:t>
      </w:r>
      <w:r w:rsidR="007F1446" w:rsidRPr="009533B2">
        <w:rPr>
          <w:sz w:val="22"/>
          <w:szCs w:val="22"/>
          <w:lang w:val="sr-Latn-ME"/>
        </w:rPr>
        <w:t xml:space="preserve"> </w:t>
      </w:r>
      <w:r w:rsidRPr="009533B2">
        <w:rPr>
          <w:sz w:val="22"/>
          <w:szCs w:val="22"/>
          <w:lang w:val="sr-Latn-ME"/>
        </w:rPr>
        <w:t xml:space="preserve">sulfasalazin, </w:t>
      </w:r>
      <w:r w:rsidR="007F1446">
        <w:rPr>
          <w:sz w:val="22"/>
          <w:szCs w:val="22"/>
          <w:lang w:val="sr-Latn-ME"/>
        </w:rPr>
        <w:t xml:space="preserve">terapija mesalazinom </w:t>
      </w:r>
      <w:r w:rsidRPr="009533B2">
        <w:rPr>
          <w:sz w:val="22"/>
          <w:szCs w:val="22"/>
          <w:lang w:val="sr-Latn-ME"/>
        </w:rPr>
        <w:t xml:space="preserve">se može započeti samo pod pažljivim ljekarskim nadzorom. Ukoliko se jave znaci akutne intolerancije kao što su spazmi, akutni abdominalni bol, groznica, teška glavobolja i kožni osip, </w:t>
      </w:r>
      <w:r w:rsidR="00EF079E">
        <w:rPr>
          <w:sz w:val="22"/>
          <w:szCs w:val="22"/>
          <w:lang w:val="sr-Latn-ME"/>
        </w:rPr>
        <w:t>liječenje</w:t>
      </w:r>
      <w:r w:rsidR="00EF079E" w:rsidRPr="009533B2">
        <w:rPr>
          <w:sz w:val="22"/>
          <w:szCs w:val="22"/>
          <w:lang w:val="sr-Latn-ME"/>
        </w:rPr>
        <w:t xml:space="preserve"> </w:t>
      </w:r>
      <w:r w:rsidRPr="009533B2">
        <w:rPr>
          <w:sz w:val="22"/>
          <w:szCs w:val="22"/>
          <w:lang w:val="sr-Latn-ME"/>
        </w:rPr>
        <w:t>se mora odmah prekinuti.</w:t>
      </w:r>
    </w:p>
    <w:p w14:paraId="5C8DAC6E" w14:textId="77777777" w:rsidR="005D45D6" w:rsidRPr="009533B2" w:rsidRDefault="005D45D6" w:rsidP="001E006A">
      <w:pPr>
        <w:tabs>
          <w:tab w:val="left" w:pos="540"/>
          <w:tab w:val="left" w:pos="569"/>
        </w:tabs>
        <w:jc w:val="both"/>
        <w:rPr>
          <w:b/>
          <w:bCs/>
          <w:sz w:val="22"/>
          <w:szCs w:val="22"/>
          <w:lang w:val="sr-Latn-ME"/>
        </w:rPr>
      </w:pPr>
    </w:p>
    <w:p w14:paraId="6852E401" w14:textId="7535A78A" w:rsidR="005D45D6" w:rsidRPr="009533B2" w:rsidRDefault="005D45D6" w:rsidP="001E006A">
      <w:pPr>
        <w:pStyle w:val="Header"/>
        <w:tabs>
          <w:tab w:val="left" w:pos="284"/>
        </w:tabs>
        <w:jc w:val="both"/>
        <w:rPr>
          <w:sz w:val="22"/>
          <w:szCs w:val="22"/>
          <w:lang w:val="sr-Latn-ME"/>
        </w:rPr>
      </w:pPr>
      <w:r w:rsidRPr="009533B2">
        <w:rPr>
          <w:sz w:val="22"/>
          <w:szCs w:val="22"/>
          <w:lang w:val="sr-Latn-ME"/>
        </w:rPr>
        <w:t xml:space="preserve">U rijetkim slučajevima, kod pacijenata kod kojih je rađena resekcija crijeva/crijevna hirurgija u ileocekalnom regionu sa uklanjanjem ileocekalnog zalistka, zapaženo je da se </w:t>
      </w:r>
      <w:r w:rsidR="00EF079E">
        <w:rPr>
          <w:sz w:val="22"/>
          <w:szCs w:val="22"/>
          <w:lang w:val="sr-Latn-ME"/>
        </w:rPr>
        <w:t xml:space="preserve">lijek </w:t>
      </w:r>
      <w:r w:rsidRPr="009533B2">
        <w:rPr>
          <w:sz w:val="22"/>
          <w:szCs w:val="22"/>
          <w:lang w:val="sr-Latn-ME"/>
        </w:rPr>
        <w:t>Salofalk 500</w:t>
      </w:r>
      <w:r w:rsidR="00334374">
        <w:rPr>
          <w:sz w:val="22"/>
          <w:szCs w:val="22"/>
          <w:lang w:val="sr-Latn-ME"/>
        </w:rPr>
        <w:t> </w:t>
      </w:r>
      <w:r w:rsidRPr="009533B2">
        <w:rPr>
          <w:sz w:val="22"/>
          <w:szCs w:val="22"/>
          <w:lang w:val="sr-Latn-ME"/>
        </w:rPr>
        <w:t>mg</w:t>
      </w:r>
      <w:r w:rsidR="00EF079E">
        <w:rPr>
          <w:sz w:val="22"/>
          <w:szCs w:val="22"/>
          <w:lang w:val="sr-Latn-ME"/>
        </w:rPr>
        <w:t>,</w:t>
      </w:r>
      <w:r w:rsidR="00E85BD7" w:rsidRPr="00A0341F">
        <w:rPr>
          <w:lang w:val="sr-Latn-ME"/>
        </w:rPr>
        <w:t xml:space="preserve"> </w:t>
      </w:r>
      <w:r w:rsidR="00E85BD7" w:rsidRPr="00E85BD7">
        <w:rPr>
          <w:sz w:val="22"/>
          <w:szCs w:val="22"/>
          <w:lang w:val="sr-Latn-ME"/>
        </w:rPr>
        <w:t>gastrorezistentn</w:t>
      </w:r>
      <w:r w:rsidR="00EF079E">
        <w:rPr>
          <w:sz w:val="22"/>
          <w:szCs w:val="22"/>
          <w:lang w:val="sr-Latn-ME"/>
        </w:rPr>
        <w:t>a</w:t>
      </w:r>
      <w:r w:rsidR="00E85BD7" w:rsidRPr="00E85BD7">
        <w:rPr>
          <w:sz w:val="22"/>
          <w:szCs w:val="22"/>
          <w:lang w:val="sr-Latn-ME"/>
        </w:rPr>
        <w:t xml:space="preserve"> tablet</w:t>
      </w:r>
      <w:r w:rsidR="00EF079E">
        <w:rPr>
          <w:sz w:val="22"/>
          <w:szCs w:val="22"/>
          <w:lang w:val="sr-Latn-ME"/>
        </w:rPr>
        <w:t>a</w:t>
      </w:r>
      <w:r w:rsidRPr="00E85BD7">
        <w:rPr>
          <w:sz w:val="22"/>
          <w:szCs w:val="22"/>
          <w:lang w:val="sr-Latn-ME"/>
        </w:rPr>
        <w:t xml:space="preserve"> </w:t>
      </w:r>
      <w:r w:rsidRPr="009533B2">
        <w:rPr>
          <w:sz w:val="22"/>
          <w:szCs w:val="22"/>
          <w:lang w:val="sr-Latn-ME"/>
        </w:rPr>
        <w:t>eliminiš</w:t>
      </w:r>
      <w:r w:rsidR="00EF079E">
        <w:rPr>
          <w:sz w:val="22"/>
          <w:szCs w:val="22"/>
          <w:lang w:val="sr-Latn-ME"/>
        </w:rPr>
        <w:t>e</w:t>
      </w:r>
      <w:r w:rsidRPr="009533B2">
        <w:rPr>
          <w:sz w:val="22"/>
          <w:szCs w:val="22"/>
          <w:lang w:val="sr-Latn-ME"/>
        </w:rPr>
        <w:t xml:space="preserve"> nerastvoren</w:t>
      </w:r>
      <w:r w:rsidR="00EF079E">
        <w:rPr>
          <w:sz w:val="22"/>
          <w:szCs w:val="22"/>
          <w:lang w:val="sr-Latn-ME"/>
        </w:rPr>
        <w:t>o</w:t>
      </w:r>
      <w:r w:rsidRPr="009533B2">
        <w:rPr>
          <w:sz w:val="22"/>
          <w:szCs w:val="22"/>
          <w:lang w:val="sr-Latn-ME"/>
        </w:rPr>
        <w:t xml:space="preserve"> stolicom usljed izuzetno brzog intestinalnog prolaza.</w:t>
      </w:r>
    </w:p>
    <w:p w14:paraId="4F01D7A6" w14:textId="77777777" w:rsidR="005D45D6" w:rsidRPr="009533B2" w:rsidRDefault="005D45D6" w:rsidP="001E006A">
      <w:pPr>
        <w:pStyle w:val="Header"/>
        <w:tabs>
          <w:tab w:val="left" w:pos="284"/>
        </w:tabs>
        <w:jc w:val="both"/>
        <w:rPr>
          <w:sz w:val="22"/>
          <w:szCs w:val="22"/>
          <w:lang w:val="sr-Latn-ME"/>
        </w:rPr>
      </w:pPr>
    </w:p>
    <w:p w14:paraId="14BADA9E" w14:textId="336400AE" w:rsidR="005D45D6" w:rsidRPr="009533B2" w:rsidRDefault="00E63501" w:rsidP="001E006A">
      <w:pPr>
        <w:pStyle w:val="Header"/>
        <w:tabs>
          <w:tab w:val="left" w:pos="284"/>
        </w:tabs>
        <w:jc w:val="both"/>
        <w:rPr>
          <w:sz w:val="22"/>
          <w:szCs w:val="22"/>
          <w:lang w:val="sr-Latn-ME"/>
        </w:rPr>
      </w:pPr>
      <w:r>
        <w:rPr>
          <w:sz w:val="22"/>
          <w:szCs w:val="22"/>
          <w:lang w:val="sr-Latn-ME"/>
        </w:rPr>
        <w:t xml:space="preserve">Ovaj </w:t>
      </w:r>
      <w:r w:rsidR="00E85BD7">
        <w:rPr>
          <w:sz w:val="22"/>
          <w:szCs w:val="22"/>
          <w:lang w:val="sr-Latn-ME"/>
        </w:rPr>
        <w:t>lijek</w:t>
      </w:r>
      <w:r>
        <w:rPr>
          <w:sz w:val="22"/>
          <w:szCs w:val="22"/>
          <w:lang w:val="sr-Latn-ME"/>
        </w:rPr>
        <w:t xml:space="preserve"> sadrži 49 mg natrijuma po tableti što je jednako 2,5% preporučenog maksimalnog dnevnog unosa natrijuma </w:t>
      </w:r>
      <w:r w:rsidR="00EF079E">
        <w:rPr>
          <w:sz w:val="22"/>
          <w:szCs w:val="22"/>
          <w:lang w:val="sr-Latn-ME"/>
        </w:rPr>
        <w:t xml:space="preserve">preporučenog </w:t>
      </w:r>
      <w:r>
        <w:rPr>
          <w:sz w:val="22"/>
          <w:szCs w:val="22"/>
          <w:lang w:val="sr-Latn-ME"/>
        </w:rPr>
        <w:t>od strane Sv</w:t>
      </w:r>
      <w:r w:rsidR="009C718B">
        <w:rPr>
          <w:sz w:val="22"/>
          <w:szCs w:val="22"/>
          <w:lang w:val="sr-Latn-ME"/>
        </w:rPr>
        <w:t>j</w:t>
      </w:r>
      <w:r>
        <w:rPr>
          <w:sz w:val="22"/>
          <w:szCs w:val="22"/>
          <w:lang w:val="sr-Latn-ME"/>
        </w:rPr>
        <w:t>etske zdravstvene organizacije.</w:t>
      </w:r>
      <w:r w:rsidR="000A3F78">
        <w:rPr>
          <w:sz w:val="22"/>
          <w:szCs w:val="22"/>
          <w:lang w:val="sr-Latn-ME"/>
        </w:rPr>
        <w:t xml:space="preserve"> Maksimalni dnevn</w:t>
      </w:r>
      <w:r w:rsidR="00E85BD7">
        <w:rPr>
          <w:sz w:val="22"/>
          <w:szCs w:val="22"/>
          <w:lang w:val="sr-Latn-ME"/>
        </w:rPr>
        <w:t>a</w:t>
      </w:r>
      <w:r w:rsidR="00EF079E">
        <w:rPr>
          <w:sz w:val="22"/>
          <w:szCs w:val="22"/>
          <w:lang w:val="sr-Latn-ME"/>
        </w:rPr>
        <w:t xml:space="preserve"> </w:t>
      </w:r>
      <w:r w:rsidR="00E85BD7">
        <w:rPr>
          <w:sz w:val="22"/>
          <w:szCs w:val="22"/>
          <w:lang w:val="sr-Latn-ME"/>
        </w:rPr>
        <w:t xml:space="preserve">doza  </w:t>
      </w:r>
      <w:r w:rsidR="000A3F78">
        <w:rPr>
          <w:sz w:val="22"/>
          <w:szCs w:val="22"/>
          <w:lang w:val="sr-Latn-ME"/>
        </w:rPr>
        <w:t xml:space="preserve">ovog </w:t>
      </w:r>
      <w:r w:rsidR="00E85BD7">
        <w:rPr>
          <w:sz w:val="22"/>
          <w:szCs w:val="22"/>
          <w:lang w:val="sr-Latn-ME"/>
        </w:rPr>
        <w:t>lijeka</w:t>
      </w:r>
      <w:r w:rsidR="000A3F78">
        <w:rPr>
          <w:sz w:val="22"/>
          <w:szCs w:val="22"/>
          <w:lang w:val="sr-Latn-ME"/>
        </w:rPr>
        <w:t xml:space="preserve"> jednak</w:t>
      </w:r>
      <w:r w:rsidR="00E85BD7">
        <w:rPr>
          <w:sz w:val="22"/>
          <w:szCs w:val="22"/>
          <w:lang w:val="sr-Latn-ME"/>
        </w:rPr>
        <w:t>a</w:t>
      </w:r>
      <w:r w:rsidR="000A3F78">
        <w:rPr>
          <w:sz w:val="22"/>
          <w:szCs w:val="22"/>
          <w:lang w:val="sr-Latn-ME"/>
        </w:rPr>
        <w:t xml:space="preserve"> je 22% preporučenog maksimalnog dnevnog unosa natrijuma </w:t>
      </w:r>
      <w:r w:rsidR="00EF079E">
        <w:rPr>
          <w:sz w:val="22"/>
          <w:szCs w:val="22"/>
          <w:lang w:val="sr-Latn-ME"/>
        </w:rPr>
        <w:t xml:space="preserve">preporučenog </w:t>
      </w:r>
      <w:r w:rsidR="000A3F78">
        <w:rPr>
          <w:sz w:val="22"/>
          <w:szCs w:val="22"/>
          <w:lang w:val="sr-Latn-ME"/>
        </w:rPr>
        <w:t>od strane Sv</w:t>
      </w:r>
      <w:r w:rsidR="009C718B">
        <w:rPr>
          <w:sz w:val="22"/>
          <w:szCs w:val="22"/>
          <w:lang w:val="sr-Latn-ME"/>
        </w:rPr>
        <w:t>j</w:t>
      </w:r>
      <w:r w:rsidR="000A3F78">
        <w:rPr>
          <w:sz w:val="22"/>
          <w:szCs w:val="22"/>
          <w:lang w:val="sr-Latn-ME"/>
        </w:rPr>
        <w:t>etske zdravstvene organizacije. Smatra se da l</w:t>
      </w:r>
      <w:r w:rsidR="009C718B">
        <w:rPr>
          <w:sz w:val="22"/>
          <w:szCs w:val="22"/>
          <w:lang w:val="sr-Latn-ME"/>
        </w:rPr>
        <w:t>ij</w:t>
      </w:r>
      <w:r w:rsidR="000A3F78">
        <w:rPr>
          <w:sz w:val="22"/>
          <w:szCs w:val="22"/>
          <w:lang w:val="sr-Latn-ME"/>
        </w:rPr>
        <w:t xml:space="preserve">ek </w:t>
      </w:r>
      <w:r w:rsidR="000A3F78" w:rsidRPr="009533B2">
        <w:rPr>
          <w:sz w:val="22"/>
          <w:szCs w:val="22"/>
          <w:lang w:val="sr-Latn-ME"/>
        </w:rPr>
        <w:t>Salofalk 500</w:t>
      </w:r>
      <w:r w:rsidR="000A3F78">
        <w:rPr>
          <w:b/>
          <w:bCs/>
          <w:sz w:val="22"/>
          <w:szCs w:val="22"/>
          <w:lang w:val="sr-Latn-ME"/>
        </w:rPr>
        <w:t> </w:t>
      </w:r>
      <w:r w:rsidR="000A3F78" w:rsidRPr="003D5D38">
        <w:rPr>
          <w:bCs/>
          <w:sz w:val="22"/>
          <w:szCs w:val="22"/>
          <w:lang w:val="sr-Latn-ME"/>
        </w:rPr>
        <w:t>mg</w:t>
      </w:r>
      <w:r w:rsidR="00EF079E">
        <w:rPr>
          <w:bCs/>
          <w:sz w:val="22"/>
          <w:szCs w:val="22"/>
          <w:lang w:val="sr-Latn-ME"/>
        </w:rPr>
        <w:t>,</w:t>
      </w:r>
      <w:r w:rsidR="000A3F78" w:rsidRPr="009533B2">
        <w:rPr>
          <w:sz w:val="22"/>
          <w:szCs w:val="22"/>
          <w:lang w:val="sr-Latn-ME"/>
        </w:rPr>
        <w:t xml:space="preserve"> </w:t>
      </w:r>
      <w:r w:rsidR="000A3F78">
        <w:rPr>
          <w:sz w:val="22"/>
          <w:szCs w:val="22"/>
          <w:lang w:val="sr-Latn-ME"/>
        </w:rPr>
        <w:t>gastrorezistentn</w:t>
      </w:r>
      <w:r w:rsidR="00EF079E">
        <w:rPr>
          <w:sz w:val="22"/>
          <w:szCs w:val="22"/>
          <w:lang w:val="sr-Latn-ME"/>
        </w:rPr>
        <w:t>a</w:t>
      </w:r>
      <w:r w:rsidR="000A3F78">
        <w:rPr>
          <w:sz w:val="22"/>
          <w:szCs w:val="22"/>
          <w:lang w:val="sr-Latn-ME"/>
        </w:rPr>
        <w:t xml:space="preserve"> tablet</w:t>
      </w:r>
      <w:r w:rsidR="00EF079E">
        <w:rPr>
          <w:sz w:val="22"/>
          <w:szCs w:val="22"/>
          <w:lang w:val="sr-Latn-ME"/>
        </w:rPr>
        <w:t>a</w:t>
      </w:r>
      <w:r w:rsidR="000A3F78">
        <w:rPr>
          <w:sz w:val="22"/>
          <w:szCs w:val="22"/>
          <w:lang w:val="sr-Latn-ME"/>
        </w:rPr>
        <w:t xml:space="preserve"> ima visok sadržaj natrijuma. Ovo naročito treba uzeti u obzir za one koji su na režimu ishrane sa smanjenim unosom soli.</w:t>
      </w:r>
    </w:p>
    <w:p w14:paraId="5F6194AC" w14:textId="77777777" w:rsidR="00057E35" w:rsidRPr="009533B2" w:rsidRDefault="00057E35" w:rsidP="001E006A">
      <w:pPr>
        <w:tabs>
          <w:tab w:val="left" w:pos="540"/>
          <w:tab w:val="left" w:pos="569"/>
        </w:tabs>
        <w:jc w:val="both"/>
        <w:rPr>
          <w:bCs/>
          <w:sz w:val="22"/>
          <w:szCs w:val="22"/>
          <w:lang w:val="sr-Latn-ME"/>
        </w:rPr>
      </w:pPr>
    </w:p>
    <w:p w14:paraId="3D9169F2" w14:textId="77777777" w:rsidR="00411B4B" w:rsidRPr="009533B2" w:rsidRDefault="00411B4B" w:rsidP="001E006A">
      <w:pPr>
        <w:tabs>
          <w:tab w:val="left" w:pos="540"/>
          <w:tab w:val="left" w:pos="569"/>
        </w:tabs>
        <w:jc w:val="both"/>
        <w:rPr>
          <w:b/>
          <w:bCs/>
          <w:sz w:val="22"/>
          <w:szCs w:val="22"/>
          <w:lang w:val="sr-Latn-ME"/>
        </w:rPr>
      </w:pPr>
      <w:r w:rsidRPr="009533B2">
        <w:rPr>
          <w:b/>
          <w:bCs/>
          <w:sz w:val="22"/>
          <w:szCs w:val="22"/>
          <w:lang w:val="sr-Latn-ME"/>
        </w:rPr>
        <w:t>4.5.</w:t>
      </w:r>
      <w:r w:rsidR="000D60CC" w:rsidRPr="009533B2">
        <w:rPr>
          <w:b/>
          <w:bCs/>
          <w:sz w:val="22"/>
          <w:szCs w:val="22"/>
          <w:lang w:val="sr-Latn-ME"/>
        </w:rPr>
        <w:tab/>
      </w:r>
      <w:r w:rsidRPr="009533B2">
        <w:rPr>
          <w:b/>
          <w:bCs/>
          <w:sz w:val="22"/>
          <w:szCs w:val="22"/>
          <w:lang w:val="sr-Latn-ME"/>
        </w:rPr>
        <w:t>Interakcije sa drugim ljekovima i druge vrste interakcija</w:t>
      </w:r>
    </w:p>
    <w:p w14:paraId="0E9A2C21" w14:textId="77777777" w:rsidR="005D45D6" w:rsidRPr="009533B2" w:rsidRDefault="005D45D6" w:rsidP="001E006A">
      <w:pPr>
        <w:tabs>
          <w:tab w:val="left" w:pos="540"/>
          <w:tab w:val="left" w:pos="569"/>
        </w:tabs>
        <w:jc w:val="both"/>
        <w:rPr>
          <w:b/>
          <w:bCs/>
          <w:sz w:val="22"/>
          <w:szCs w:val="22"/>
          <w:lang w:val="sr-Latn-ME"/>
        </w:rPr>
      </w:pPr>
    </w:p>
    <w:p w14:paraId="4B9B9ED7" w14:textId="53A7F514" w:rsidR="005D45D6" w:rsidRPr="009533B2" w:rsidRDefault="005D45D6" w:rsidP="001E006A">
      <w:pPr>
        <w:pStyle w:val="Header"/>
        <w:tabs>
          <w:tab w:val="left" w:pos="284"/>
        </w:tabs>
        <w:jc w:val="both"/>
        <w:rPr>
          <w:sz w:val="22"/>
          <w:szCs w:val="22"/>
          <w:lang w:val="sr-Latn-ME"/>
        </w:rPr>
      </w:pPr>
      <w:r w:rsidRPr="009533B2">
        <w:rPr>
          <w:sz w:val="22"/>
          <w:szCs w:val="22"/>
          <w:lang w:val="sr-Latn-ME"/>
        </w:rPr>
        <w:t>Specifična ispitivanja interakcija ni</w:t>
      </w:r>
      <w:r w:rsidR="00EF079E">
        <w:rPr>
          <w:sz w:val="22"/>
          <w:szCs w:val="22"/>
          <w:lang w:val="sr-Latn-ME"/>
        </w:rPr>
        <w:t>je</w:t>
      </w:r>
      <w:r w:rsidRPr="009533B2">
        <w:rPr>
          <w:sz w:val="22"/>
          <w:szCs w:val="22"/>
          <w:lang w:val="sr-Latn-ME"/>
        </w:rPr>
        <w:t>su rađena.</w:t>
      </w:r>
    </w:p>
    <w:p w14:paraId="2C29886E" w14:textId="77777777" w:rsidR="005D45D6" w:rsidRPr="009533B2" w:rsidRDefault="005D45D6" w:rsidP="001E006A">
      <w:pPr>
        <w:pStyle w:val="Header"/>
        <w:tabs>
          <w:tab w:val="left" w:pos="284"/>
        </w:tabs>
        <w:jc w:val="both"/>
        <w:rPr>
          <w:sz w:val="22"/>
          <w:szCs w:val="22"/>
          <w:lang w:val="sr-Latn-ME"/>
        </w:rPr>
      </w:pPr>
    </w:p>
    <w:p w14:paraId="5063B422" w14:textId="0FFCBAFA" w:rsidR="005D45D6" w:rsidRPr="009533B2" w:rsidRDefault="005D45D6" w:rsidP="001E006A">
      <w:pPr>
        <w:pStyle w:val="Header"/>
        <w:tabs>
          <w:tab w:val="left" w:pos="284"/>
        </w:tabs>
        <w:jc w:val="both"/>
        <w:rPr>
          <w:sz w:val="22"/>
          <w:szCs w:val="22"/>
          <w:lang w:val="sr-Latn-ME"/>
        </w:rPr>
      </w:pPr>
      <w:r w:rsidRPr="009533B2">
        <w:rPr>
          <w:sz w:val="22"/>
          <w:szCs w:val="22"/>
          <w:lang w:val="sr-Latn-ME"/>
        </w:rPr>
        <w:t>Kod pacijenata koji su istovremeno na terapiji azatioprinom, 6</w:t>
      </w:r>
      <w:r w:rsidRPr="009533B2">
        <w:rPr>
          <w:sz w:val="22"/>
          <w:szCs w:val="22"/>
          <w:lang w:val="sr-Latn-ME"/>
        </w:rPr>
        <w:noBreakHyphen/>
        <w:t>merkaptopurinom ili tioguaninom treba imati u vidu moguće pojačavanje mijelosupresivnog dejstva azatioprina, 6-merkaptopurina ili tioguanina. Postoje slabi dokazi da mesalazin može smanjiti antikoagulantno dejstvo varfarina.</w:t>
      </w:r>
    </w:p>
    <w:p w14:paraId="22BC8FF0" w14:textId="77777777" w:rsidR="0072020E" w:rsidRPr="009533B2" w:rsidRDefault="0072020E" w:rsidP="001E006A">
      <w:pPr>
        <w:tabs>
          <w:tab w:val="left" w:pos="540"/>
          <w:tab w:val="left" w:pos="569"/>
        </w:tabs>
        <w:jc w:val="both"/>
        <w:rPr>
          <w:bCs/>
          <w:sz w:val="22"/>
          <w:szCs w:val="22"/>
          <w:lang w:val="sr-Latn-ME"/>
        </w:rPr>
      </w:pPr>
    </w:p>
    <w:p w14:paraId="36EAAE73" w14:textId="77777777" w:rsidR="0072020E" w:rsidRPr="009533B2" w:rsidRDefault="0072020E" w:rsidP="001E006A">
      <w:pPr>
        <w:tabs>
          <w:tab w:val="left" w:pos="540"/>
          <w:tab w:val="left" w:pos="569"/>
        </w:tabs>
        <w:jc w:val="both"/>
        <w:rPr>
          <w:b/>
          <w:sz w:val="22"/>
          <w:szCs w:val="22"/>
          <w:lang w:val="sr-Latn-ME"/>
        </w:rPr>
      </w:pPr>
      <w:r w:rsidRPr="009533B2">
        <w:rPr>
          <w:b/>
          <w:bCs/>
          <w:sz w:val="22"/>
          <w:szCs w:val="22"/>
          <w:lang w:val="sr-Latn-ME"/>
        </w:rPr>
        <w:t xml:space="preserve">4.6. </w:t>
      </w:r>
      <w:r w:rsidR="00480FB1" w:rsidRPr="009533B2">
        <w:rPr>
          <w:b/>
          <w:bCs/>
          <w:sz w:val="22"/>
          <w:szCs w:val="22"/>
          <w:lang w:val="sr-Latn-ME"/>
        </w:rPr>
        <w:tab/>
      </w:r>
      <w:r w:rsidR="006D20A5" w:rsidRPr="009533B2">
        <w:rPr>
          <w:b/>
          <w:sz w:val="22"/>
          <w:szCs w:val="22"/>
          <w:lang w:val="sr-Latn-ME"/>
        </w:rPr>
        <w:t>Plodnost, trudnoća i dojenje</w:t>
      </w:r>
    </w:p>
    <w:p w14:paraId="64333775" w14:textId="77777777" w:rsidR="002031B3" w:rsidRPr="009533B2" w:rsidRDefault="002031B3" w:rsidP="001E006A">
      <w:pPr>
        <w:tabs>
          <w:tab w:val="left" w:pos="540"/>
          <w:tab w:val="left" w:pos="569"/>
        </w:tabs>
        <w:jc w:val="both"/>
        <w:rPr>
          <w:sz w:val="22"/>
          <w:szCs w:val="22"/>
          <w:u w:val="single"/>
          <w:lang w:val="sr-Latn-ME"/>
        </w:rPr>
      </w:pPr>
    </w:p>
    <w:p w14:paraId="1BE380DD" w14:textId="63A78070" w:rsidR="003B48EF" w:rsidRPr="001E006A" w:rsidRDefault="007F1446" w:rsidP="001E006A">
      <w:pPr>
        <w:pStyle w:val="Header"/>
        <w:tabs>
          <w:tab w:val="left" w:pos="284"/>
        </w:tabs>
        <w:jc w:val="both"/>
        <w:rPr>
          <w:sz w:val="22"/>
          <w:szCs w:val="22"/>
          <w:u w:val="single"/>
          <w:lang w:val="sr-Latn-ME"/>
        </w:rPr>
      </w:pPr>
      <w:r w:rsidRPr="00804F26">
        <w:rPr>
          <w:sz w:val="22"/>
          <w:szCs w:val="22"/>
          <w:u w:val="single"/>
          <w:lang w:val="pl-PL"/>
        </w:rPr>
        <w:t>Trudnoća</w:t>
      </w:r>
    </w:p>
    <w:p w14:paraId="01D34D58" w14:textId="0C8F064F" w:rsidR="005D45D6" w:rsidRPr="009533B2" w:rsidRDefault="005D45D6" w:rsidP="001E006A">
      <w:pPr>
        <w:pStyle w:val="Header"/>
        <w:tabs>
          <w:tab w:val="left" w:pos="284"/>
        </w:tabs>
        <w:jc w:val="both"/>
        <w:rPr>
          <w:sz w:val="22"/>
          <w:szCs w:val="22"/>
          <w:lang w:val="sr-Latn-ME"/>
        </w:rPr>
      </w:pPr>
      <w:r w:rsidRPr="009533B2">
        <w:rPr>
          <w:sz w:val="22"/>
          <w:szCs w:val="22"/>
          <w:lang w:val="sr-Latn-ME"/>
        </w:rPr>
        <w:t xml:space="preserve">Nema adekvatnih podataka o upotrebi </w:t>
      </w:r>
      <w:r w:rsidR="007F1446">
        <w:rPr>
          <w:sz w:val="22"/>
          <w:szCs w:val="22"/>
          <w:lang w:val="sr-Latn-ME"/>
        </w:rPr>
        <w:t>mesalazina</w:t>
      </w:r>
      <w:r w:rsidRPr="009533B2">
        <w:rPr>
          <w:sz w:val="22"/>
          <w:szCs w:val="22"/>
          <w:lang w:val="sr-Latn-ME"/>
        </w:rPr>
        <w:t xml:space="preserve"> kod trudnica. Međutim, kod ograničenog broja trudnica liječenih mesalazinom ni</w:t>
      </w:r>
      <w:r w:rsidR="00EF079E">
        <w:rPr>
          <w:sz w:val="22"/>
          <w:szCs w:val="22"/>
          <w:lang w:val="sr-Latn-ME"/>
        </w:rPr>
        <w:t>je</w:t>
      </w:r>
      <w:r w:rsidRPr="009533B2">
        <w:rPr>
          <w:sz w:val="22"/>
          <w:szCs w:val="22"/>
          <w:lang w:val="sr-Latn-ME"/>
        </w:rPr>
        <w:t>su primijećeni negativni efekti na trudnoću niti na zdravlje fetusa /novorođenčeta. Za sada ne postoje dodatni relevantni epidemiološki podaci. Registrovan je jedan izolovani slučaj renalne insuficijencije kod novorođenčeta kada je majka, u toku trudnoće, dugotrajno primala visoke doze mesalazina (2</w:t>
      </w:r>
      <w:r w:rsidR="00EF079E">
        <w:rPr>
          <w:sz w:val="22"/>
          <w:szCs w:val="22"/>
          <w:lang w:val="sr-Latn-ME"/>
        </w:rPr>
        <w:t xml:space="preserve"> </w:t>
      </w:r>
      <w:r w:rsidR="001E7833">
        <w:rPr>
          <w:sz w:val="22"/>
          <w:szCs w:val="22"/>
          <w:lang w:val="sr-Latn-ME"/>
        </w:rPr>
        <w:t>–</w:t>
      </w:r>
      <w:r w:rsidR="00EF079E">
        <w:rPr>
          <w:sz w:val="22"/>
          <w:szCs w:val="22"/>
          <w:lang w:val="sr-Latn-ME"/>
        </w:rPr>
        <w:t xml:space="preserve"> </w:t>
      </w:r>
      <w:r w:rsidRPr="009533B2">
        <w:rPr>
          <w:sz w:val="22"/>
          <w:szCs w:val="22"/>
          <w:lang w:val="sr-Latn-ME"/>
        </w:rPr>
        <w:t>4</w:t>
      </w:r>
      <w:r w:rsidR="00EF2504">
        <w:rPr>
          <w:sz w:val="22"/>
          <w:szCs w:val="22"/>
          <w:lang w:val="sr-Latn-ME"/>
        </w:rPr>
        <w:t> </w:t>
      </w:r>
      <w:r w:rsidRPr="009533B2">
        <w:rPr>
          <w:sz w:val="22"/>
          <w:szCs w:val="22"/>
          <w:lang w:val="sr-Latn-ME"/>
        </w:rPr>
        <w:t>g/dan, oralno).</w:t>
      </w:r>
    </w:p>
    <w:p w14:paraId="224ADF25" w14:textId="77777777" w:rsidR="005D45D6" w:rsidRPr="009533B2" w:rsidRDefault="005D45D6" w:rsidP="001E006A">
      <w:pPr>
        <w:pStyle w:val="Header"/>
        <w:tabs>
          <w:tab w:val="left" w:pos="284"/>
        </w:tabs>
        <w:jc w:val="both"/>
        <w:rPr>
          <w:sz w:val="22"/>
          <w:szCs w:val="22"/>
          <w:lang w:val="sr-Latn-ME"/>
        </w:rPr>
      </w:pPr>
    </w:p>
    <w:p w14:paraId="2D5F4E6F" w14:textId="64AB7CEF" w:rsidR="005D45D6" w:rsidRPr="009533B2" w:rsidRDefault="005D45D6" w:rsidP="001E006A">
      <w:pPr>
        <w:jc w:val="both"/>
        <w:rPr>
          <w:sz w:val="22"/>
          <w:szCs w:val="22"/>
          <w:lang w:val="sr-Latn-ME"/>
        </w:rPr>
      </w:pPr>
      <w:r w:rsidRPr="009533B2">
        <w:rPr>
          <w:sz w:val="22"/>
          <w:szCs w:val="22"/>
          <w:lang w:val="sr-Latn-ME"/>
        </w:rPr>
        <w:t>Studije na životinjama sa primjenom oralnog mesalazina ni</w:t>
      </w:r>
      <w:r w:rsidR="00EF079E">
        <w:rPr>
          <w:sz w:val="22"/>
          <w:szCs w:val="22"/>
          <w:lang w:val="sr-Latn-ME"/>
        </w:rPr>
        <w:t>je</w:t>
      </w:r>
      <w:r w:rsidRPr="009533B2">
        <w:rPr>
          <w:sz w:val="22"/>
          <w:szCs w:val="22"/>
          <w:lang w:val="sr-Latn-ME"/>
        </w:rPr>
        <w:t>su pokazale nikakve direktne ili indirektne negativne efekte na trudnoću, embrionalni/fetalni razvoj, rođenje ili postnatalni razvoj.</w:t>
      </w:r>
    </w:p>
    <w:p w14:paraId="3C50C773" w14:textId="77777777" w:rsidR="005D45D6" w:rsidRPr="009533B2" w:rsidRDefault="005D45D6" w:rsidP="001E006A">
      <w:pPr>
        <w:jc w:val="both"/>
        <w:rPr>
          <w:sz w:val="22"/>
          <w:szCs w:val="22"/>
          <w:lang w:val="sr-Latn-ME"/>
        </w:rPr>
      </w:pPr>
    </w:p>
    <w:p w14:paraId="0200596D" w14:textId="69A622C4" w:rsidR="005D45D6" w:rsidRPr="009533B2" w:rsidRDefault="000A3F78" w:rsidP="001E006A">
      <w:pPr>
        <w:jc w:val="both"/>
        <w:rPr>
          <w:sz w:val="22"/>
          <w:szCs w:val="22"/>
          <w:lang w:val="sr-Latn-ME"/>
        </w:rPr>
      </w:pPr>
      <w:r>
        <w:rPr>
          <w:sz w:val="22"/>
          <w:szCs w:val="22"/>
          <w:lang w:val="sr-Latn-ME"/>
        </w:rPr>
        <w:t>L</w:t>
      </w:r>
      <w:r w:rsidR="009C718B">
        <w:rPr>
          <w:sz w:val="22"/>
          <w:szCs w:val="22"/>
          <w:lang w:val="sr-Latn-ME"/>
        </w:rPr>
        <w:t>ij</w:t>
      </w:r>
      <w:r>
        <w:rPr>
          <w:sz w:val="22"/>
          <w:szCs w:val="22"/>
          <w:lang w:val="sr-Latn-ME"/>
        </w:rPr>
        <w:t xml:space="preserve">ek </w:t>
      </w:r>
      <w:r w:rsidRPr="009533B2">
        <w:rPr>
          <w:sz w:val="22"/>
          <w:szCs w:val="22"/>
          <w:lang w:val="sr-Latn-ME"/>
        </w:rPr>
        <w:t>Salofalk 500</w:t>
      </w:r>
      <w:r>
        <w:rPr>
          <w:b/>
          <w:bCs/>
          <w:sz w:val="22"/>
          <w:szCs w:val="22"/>
          <w:lang w:val="sr-Latn-ME"/>
        </w:rPr>
        <w:t> </w:t>
      </w:r>
      <w:r w:rsidRPr="003D5D38">
        <w:rPr>
          <w:bCs/>
          <w:sz w:val="22"/>
          <w:szCs w:val="22"/>
          <w:lang w:val="sr-Latn-ME"/>
        </w:rPr>
        <w:t>mg</w:t>
      </w:r>
      <w:r w:rsidR="00EF079E">
        <w:rPr>
          <w:bCs/>
          <w:sz w:val="22"/>
          <w:szCs w:val="22"/>
          <w:lang w:val="sr-Latn-ME"/>
        </w:rPr>
        <w:t>,</w:t>
      </w:r>
      <w:r w:rsidRPr="009533B2">
        <w:rPr>
          <w:sz w:val="22"/>
          <w:szCs w:val="22"/>
          <w:lang w:val="sr-Latn-ME"/>
        </w:rPr>
        <w:t xml:space="preserve"> </w:t>
      </w:r>
      <w:r>
        <w:rPr>
          <w:sz w:val="22"/>
          <w:szCs w:val="22"/>
          <w:lang w:val="sr-Latn-ME"/>
        </w:rPr>
        <w:t>gastrorezistentn</w:t>
      </w:r>
      <w:r w:rsidR="00EF079E">
        <w:rPr>
          <w:sz w:val="22"/>
          <w:szCs w:val="22"/>
          <w:lang w:val="sr-Latn-ME"/>
        </w:rPr>
        <w:t>a</w:t>
      </w:r>
      <w:r>
        <w:rPr>
          <w:sz w:val="22"/>
          <w:szCs w:val="22"/>
          <w:lang w:val="sr-Latn-ME"/>
        </w:rPr>
        <w:t xml:space="preserve"> tablet</w:t>
      </w:r>
      <w:r w:rsidR="00EF079E">
        <w:rPr>
          <w:sz w:val="22"/>
          <w:szCs w:val="22"/>
          <w:lang w:val="sr-Latn-ME"/>
        </w:rPr>
        <w:t>a</w:t>
      </w:r>
      <w:r w:rsidR="00FC0B33">
        <w:rPr>
          <w:sz w:val="22"/>
          <w:szCs w:val="22"/>
          <w:lang w:val="sr-Latn-ME"/>
        </w:rPr>
        <w:t xml:space="preserve"> </w:t>
      </w:r>
      <w:r w:rsidR="005D45D6" w:rsidRPr="009533B2">
        <w:rPr>
          <w:sz w:val="22"/>
          <w:szCs w:val="22"/>
          <w:lang w:val="sr-Latn-ME"/>
        </w:rPr>
        <w:t>treba primjenjivati u trudnoći samo ukoliko potencijalna korist prevazilazi mogući rizik.</w:t>
      </w:r>
    </w:p>
    <w:p w14:paraId="62736B7C" w14:textId="77777777" w:rsidR="005D45D6" w:rsidRDefault="005D45D6" w:rsidP="001E006A">
      <w:pPr>
        <w:jc w:val="both"/>
        <w:rPr>
          <w:sz w:val="22"/>
          <w:szCs w:val="22"/>
          <w:lang w:val="sr-Latn-ME"/>
        </w:rPr>
      </w:pPr>
    </w:p>
    <w:p w14:paraId="00EF596E" w14:textId="77777777" w:rsidR="000A3F78" w:rsidRPr="001E006A" w:rsidRDefault="000A3F78" w:rsidP="001E006A">
      <w:pPr>
        <w:jc w:val="both"/>
        <w:rPr>
          <w:sz w:val="22"/>
          <w:szCs w:val="22"/>
          <w:u w:val="single"/>
          <w:lang w:val="sr-Latn-ME"/>
        </w:rPr>
      </w:pPr>
      <w:r w:rsidRPr="001E006A">
        <w:rPr>
          <w:sz w:val="22"/>
          <w:szCs w:val="22"/>
          <w:u w:val="single"/>
          <w:lang w:val="sr-Latn-ME"/>
        </w:rPr>
        <w:t>Dojenje</w:t>
      </w:r>
    </w:p>
    <w:p w14:paraId="79469238" w14:textId="3C567A41" w:rsidR="005D45D6" w:rsidRPr="009533B2" w:rsidRDefault="005D45D6" w:rsidP="001E006A">
      <w:pPr>
        <w:pStyle w:val="Header"/>
        <w:tabs>
          <w:tab w:val="left" w:pos="284"/>
        </w:tabs>
        <w:jc w:val="both"/>
        <w:rPr>
          <w:sz w:val="22"/>
          <w:szCs w:val="22"/>
          <w:lang w:val="sr-Latn-ME"/>
        </w:rPr>
      </w:pPr>
      <w:r w:rsidRPr="009533B2">
        <w:rPr>
          <w:sz w:val="22"/>
          <w:szCs w:val="22"/>
          <w:lang w:val="sr-Latn-ME"/>
        </w:rPr>
        <w:t>N</w:t>
      </w:r>
      <w:r w:rsidRPr="009533B2">
        <w:rPr>
          <w:sz w:val="22"/>
          <w:szCs w:val="22"/>
          <w:lang w:val="sr-Latn-ME"/>
        </w:rPr>
        <w:noBreakHyphen/>
        <w:t>acetil</w:t>
      </w:r>
      <w:r w:rsidRPr="009533B2">
        <w:rPr>
          <w:sz w:val="22"/>
          <w:szCs w:val="22"/>
          <w:lang w:val="sr-Latn-ME"/>
        </w:rPr>
        <w:noBreakHyphen/>
        <w:t>5</w:t>
      </w:r>
      <w:r w:rsidRPr="009533B2">
        <w:rPr>
          <w:sz w:val="22"/>
          <w:szCs w:val="22"/>
          <w:lang w:val="sr-Latn-ME"/>
        </w:rPr>
        <w:noBreakHyphen/>
        <w:t>aminosalicilna kiselina i, u manjoj mjeri, mesalazin, se izlučuju u majčino mlijeko. Iskustva sa primjenom</w:t>
      </w:r>
      <w:r w:rsidR="001878A9">
        <w:rPr>
          <w:sz w:val="22"/>
          <w:szCs w:val="22"/>
          <w:lang w:val="sr-Latn-ME"/>
        </w:rPr>
        <w:t xml:space="preserve"> </w:t>
      </w:r>
      <w:r w:rsidRPr="009533B2">
        <w:rPr>
          <w:sz w:val="22"/>
          <w:szCs w:val="22"/>
          <w:lang w:val="sr-Latn-ME"/>
        </w:rPr>
        <w:t xml:space="preserve">mesalazina u periodu dojenja su ograničena. Reakcije preosjetljivosti kod odojčeta kao što je dijareja se ne mogu isključiti. Stoga </w:t>
      </w:r>
      <w:r w:rsidR="000A3F78">
        <w:rPr>
          <w:sz w:val="22"/>
          <w:szCs w:val="22"/>
          <w:lang w:val="sr-Latn-ME"/>
        </w:rPr>
        <w:t>l</w:t>
      </w:r>
      <w:r w:rsidR="009C718B">
        <w:rPr>
          <w:sz w:val="22"/>
          <w:szCs w:val="22"/>
          <w:lang w:val="sr-Latn-ME"/>
        </w:rPr>
        <w:t>ij</w:t>
      </w:r>
      <w:r w:rsidR="000A3F78">
        <w:rPr>
          <w:sz w:val="22"/>
          <w:szCs w:val="22"/>
          <w:lang w:val="sr-Latn-ME"/>
        </w:rPr>
        <w:t xml:space="preserve">ek </w:t>
      </w:r>
      <w:r w:rsidR="000A3F78" w:rsidRPr="009533B2">
        <w:rPr>
          <w:sz w:val="22"/>
          <w:szCs w:val="22"/>
          <w:lang w:val="sr-Latn-ME"/>
        </w:rPr>
        <w:t>Salofalk 500</w:t>
      </w:r>
      <w:r w:rsidR="000A3F78">
        <w:rPr>
          <w:b/>
          <w:bCs/>
          <w:sz w:val="22"/>
          <w:szCs w:val="22"/>
          <w:lang w:val="sr-Latn-ME"/>
        </w:rPr>
        <w:t> </w:t>
      </w:r>
      <w:r w:rsidR="000A3F78" w:rsidRPr="003D5D38">
        <w:rPr>
          <w:bCs/>
          <w:sz w:val="22"/>
          <w:szCs w:val="22"/>
          <w:lang w:val="sr-Latn-ME"/>
        </w:rPr>
        <w:t>mg</w:t>
      </w:r>
      <w:r w:rsidR="00EF079E">
        <w:rPr>
          <w:bCs/>
          <w:sz w:val="22"/>
          <w:szCs w:val="22"/>
          <w:lang w:val="sr-Latn-ME"/>
        </w:rPr>
        <w:t>,</w:t>
      </w:r>
      <w:r w:rsidR="000A3F78" w:rsidRPr="009533B2">
        <w:rPr>
          <w:sz w:val="22"/>
          <w:szCs w:val="22"/>
          <w:lang w:val="sr-Latn-ME"/>
        </w:rPr>
        <w:t xml:space="preserve"> </w:t>
      </w:r>
      <w:r w:rsidR="000A3F78">
        <w:rPr>
          <w:sz w:val="22"/>
          <w:szCs w:val="22"/>
          <w:lang w:val="sr-Latn-ME"/>
        </w:rPr>
        <w:t>gastrorezistentn</w:t>
      </w:r>
      <w:r w:rsidR="00EF079E">
        <w:rPr>
          <w:sz w:val="22"/>
          <w:szCs w:val="22"/>
          <w:lang w:val="sr-Latn-ME"/>
        </w:rPr>
        <w:t>a</w:t>
      </w:r>
      <w:r w:rsidR="000A3F78">
        <w:rPr>
          <w:sz w:val="22"/>
          <w:szCs w:val="22"/>
          <w:lang w:val="sr-Latn-ME"/>
        </w:rPr>
        <w:t xml:space="preserve"> tablet</w:t>
      </w:r>
      <w:r w:rsidR="00EF079E">
        <w:rPr>
          <w:sz w:val="22"/>
          <w:szCs w:val="22"/>
          <w:lang w:val="sr-Latn-ME"/>
        </w:rPr>
        <w:t>a</w:t>
      </w:r>
      <w:r w:rsidR="006A39E7">
        <w:rPr>
          <w:sz w:val="22"/>
          <w:szCs w:val="22"/>
          <w:lang w:val="sr-Latn-ME"/>
        </w:rPr>
        <w:t xml:space="preserve"> </w:t>
      </w:r>
      <w:r w:rsidRPr="009533B2">
        <w:rPr>
          <w:sz w:val="22"/>
          <w:szCs w:val="22"/>
          <w:lang w:val="sr-Latn-ME"/>
        </w:rPr>
        <w:t>treba primjenjivati u periodu dojenja samo kada potencijalna korist prevazilazi mogući rizik. Ukoliko se kod odojčeta javi dijareja, dojenje treba odmah prekinuti.</w:t>
      </w:r>
    </w:p>
    <w:p w14:paraId="23647691" w14:textId="77777777" w:rsidR="00227BDB" w:rsidRPr="009533B2" w:rsidRDefault="00227BDB" w:rsidP="00396DFD">
      <w:pPr>
        <w:tabs>
          <w:tab w:val="left" w:pos="540"/>
          <w:tab w:val="left" w:pos="569"/>
        </w:tabs>
        <w:ind w:left="540" w:hanging="540"/>
        <w:rPr>
          <w:b/>
          <w:bCs/>
          <w:sz w:val="22"/>
          <w:szCs w:val="22"/>
          <w:lang w:val="sr-Latn-ME"/>
        </w:rPr>
      </w:pPr>
    </w:p>
    <w:p w14:paraId="6025603B" w14:textId="77777777" w:rsidR="0072020E" w:rsidRPr="009533B2" w:rsidRDefault="0072020E" w:rsidP="00396DFD">
      <w:pPr>
        <w:tabs>
          <w:tab w:val="left" w:pos="540"/>
          <w:tab w:val="left" w:pos="569"/>
        </w:tabs>
        <w:ind w:left="540" w:hanging="540"/>
        <w:rPr>
          <w:b/>
          <w:bCs/>
          <w:sz w:val="22"/>
          <w:szCs w:val="22"/>
          <w:lang w:val="sr-Latn-ME"/>
        </w:rPr>
      </w:pPr>
      <w:r w:rsidRPr="009533B2">
        <w:rPr>
          <w:b/>
          <w:bCs/>
          <w:sz w:val="22"/>
          <w:szCs w:val="22"/>
          <w:lang w:val="sr-Latn-ME"/>
        </w:rPr>
        <w:t xml:space="preserve">4.7. </w:t>
      </w:r>
      <w:r w:rsidR="00480FB1" w:rsidRPr="009533B2">
        <w:rPr>
          <w:b/>
          <w:bCs/>
          <w:sz w:val="22"/>
          <w:szCs w:val="22"/>
          <w:lang w:val="sr-Latn-ME"/>
        </w:rPr>
        <w:tab/>
      </w:r>
      <w:r w:rsidRPr="009533B2">
        <w:rPr>
          <w:b/>
          <w:bCs/>
          <w:sz w:val="22"/>
          <w:szCs w:val="22"/>
          <w:lang w:val="sr-Latn-ME"/>
        </w:rPr>
        <w:t xml:space="preserve">Uticaj na </w:t>
      </w:r>
      <w:r w:rsidR="002031B3" w:rsidRPr="009533B2">
        <w:rPr>
          <w:b/>
          <w:bCs/>
          <w:sz w:val="22"/>
          <w:szCs w:val="22"/>
          <w:lang w:val="sr-Latn-ME"/>
        </w:rPr>
        <w:t xml:space="preserve">sposobnost </w:t>
      </w:r>
      <w:r w:rsidR="00F34554" w:rsidRPr="009533B2">
        <w:rPr>
          <w:b/>
          <w:bCs/>
          <w:sz w:val="22"/>
          <w:szCs w:val="22"/>
          <w:lang w:val="sr-Latn-ME"/>
        </w:rPr>
        <w:t>upravljanja vozili</w:t>
      </w:r>
      <w:r w:rsidRPr="009533B2">
        <w:rPr>
          <w:b/>
          <w:bCs/>
          <w:sz w:val="22"/>
          <w:szCs w:val="22"/>
          <w:lang w:val="sr-Latn-ME"/>
        </w:rPr>
        <w:t>m</w:t>
      </w:r>
      <w:r w:rsidR="00F34554" w:rsidRPr="009533B2">
        <w:rPr>
          <w:b/>
          <w:bCs/>
          <w:sz w:val="22"/>
          <w:szCs w:val="22"/>
          <w:lang w:val="sr-Latn-ME"/>
        </w:rPr>
        <w:t>a</w:t>
      </w:r>
      <w:r w:rsidRPr="009533B2">
        <w:rPr>
          <w:b/>
          <w:bCs/>
          <w:sz w:val="22"/>
          <w:szCs w:val="22"/>
          <w:lang w:val="sr-Latn-ME"/>
        </w:rPr>
        <w:t xml:space="preserve"> i </w:t>
      </w:r>
      <w:r w:rsidR="000D3449" w:rsidRPr="009533B2">
        <w:rPr>
          <w:b/>
          <w:bCs/>
          <w:sz w:val="22"/>
          <w:szCs w:val="22"/>
          <w:lang w:val="sr-Latn-ME"/>
        </w:rPr>
        <w:t xml:space="preserve">rukovanje </w:t>
      </w:r>
      <w:r w:rsidRPr="009533B2">
        <w:rPr>
          <w:b/>
          <w:bCs/>
          <w:sz w:val="22"/>
          <w:szCs w:val="22"/>
          <w:lang w:val="sr-Latn-ME"/>
        </w:rPr>
        <w:t>mašinama</w:t>
      </w:r>
    </w:p>
    <w:p w14:paraId="14E9A32F" w14:textId="77777777" w:rsidR="005D45D6" w:rsidRPr="009533B2" w:rsidRDefault="005D45D6" w:rsidP="00396DFD">
      <w:pPr>
        <w:tabs>
          <w:tab w:val="left" w:pos="540"/>
          <w:tab w:val="left" w:pos="569"/>
        </w:tabs>
        <w:ind w:left="540" w:hanging="540"/>
        <w:rPr>
          <w:b/>
          <w:bCs/>
          <w:sz w:val="22"/>
          <w:szCs w:val="22"/>
          <w:lang w:val="sr-Latn-ME"/>
        </w:rPr>
      </w:pPr>
    </w:p>
    <w:p w14:paraId="6225FD31" w14:textId="4772646C" w:rsidR="005D45D6" w:rsidRPr="009533B2" w:rsidRDefault="005D45D6" w:rsidP="00396DFD">
      <w:pPr>
        <w:tabs>
          <w:tab w:val="left" w:pos="540"/>
          <w:tab w:val="left" w:pos="569"/>
        </w:tabs>
        <w:ind w:left="540" w:hanging="540"/>
        <w:rPr>
          <w:b/>
          <w:bCs/>
          <w:sz w:val="22"/>
          <w:szCs w:val="22"/>
          <w:lang w:val="sr-Latn-ME"/>
        </w:rPr>
      </w:pPr>
      <w:r w:rsidRPr="009533B2">
        <w:rPr>
          <w:sz w:val="22"/>
          <w:szCs w:val="22"/>
          <w:lang w:val="sr-Latn-ME"/>
        </w:rPr>
        <w:t>Nije zapažen uticaj</w:t>
      </w:r>
      <w:r w:rsidR="007F1446">
        <w:rPr>
          <w:sz w:val="22"/>
          <w:szCs w:val="22"/>
          <w:lang w:val="sr-Latn-ME"/>
        </w:rPr>
        <w:t xml:space="preserve"> mesalazina</w:t>
      </w:r>
      <w:r w:rsidRPr="009533B2">
        <w:rPr>
          <w:sz w:val="22"/>
          <w:szCs w:val="22"/>
          <w:lang w:val="sr-Latn-ME"/>
        </w:rPr>
        <w:t xml:space="preserve"> na sposobnost upravljanja vozilom i rukovanja mašinama.</w:t>
      </w:r>
    </w:p>
    <w:p w14:paraId="666F26B4" w14:textId="75BC5CAA" w:rsidR="0072020E" w:rsidRDefault="0072020E" w:rsidP="00480FB1">
      <w:pPr>
        <w:tabs>
          <w:tab w:val="left" w:pos="540"/>
          <w:tab w:val="left" w:pos="569"/>
        </w:tabs>
        <w:rPr>
          <w:b/>
          <w:bCs/>
          <w:sz w:val="22"/>
          <w:szCs w:val="22"/>
          <w:lang w:val="sr-Latn-ME"/>
        </w:rPr>
      </w:pPr>
    </w:p>
    <w:p w14:paraId="563BDF37" w14:textId="77777777" w:rsidR="001E006A" w:rsidRPr="009533B2" w:rsidRDefault="001E006A" w:rsidP="00480FB1">
      <w:pPr>
        <w:tabs>
          <w:tab w:val="left" w:pos="540"/>
          <w:tab w:val="left" w:pos="569"/>
        </w:tabs>
        <w:rPr>
          <w:b/>
          <w:bCs/>
          <w:sz w:val="22"/>
          <w:szCs w:val="22"/>
          <w:lang w:val="sr-Latn-ME"/>
        </w:rPr>
      </w:pPr>
    </w:p>
    <w:p w14:paraId="512CA26E" w14:textId="77777777" w:rsidR="0072020E" w:rsidRPr="009533B2" w:rsidRDefault="0072020E" w:rsidP="00480FB1">
      <w:pPr>
        <w:tabs>
          <w:tab w:val="left" w:pos="540"/>
          <w:tab w:val="left" w:pos="569"/>
        </w:tabs>
        <w:rPr>
          <w:b/>
          <w:bCs/>
          <w:sz w:val="22"/>
          <w:szCs w:val="22"/>
          <w:lang w:val="sr-Latn-ME"/>
        </w:rPr>
      </w:pPr>
      <w:r w:rsidRPr="009533B2">
        <w:rPr>
          <w:b/>
          <w:bCs/>
          <w:sz w:val="22"/>
          <w:szCs w:val="22"/>
          <w:lang w:val="sr-Latn-ME"/>
        </w:rPr>
        <w:t xml:space="preserve">4.8. </w:t>
      </w:r>
      <w:r w:rsidR="00480FB1" w:rsidRPr="009533B2">
        <w:rPr>
          <w:b/>
          <w:bCs/>
          <w:sz w:val="22"/>
          <w:szCs w:val="22"/>
          <w:lang w:val="sr-Latn-ME"/>
        </w:rPr>
        <w:tab/>
      </w:r>
      <w:r w:rsidRPr="009533B2">
        <w:rPr>
          <w:b/>
          <w:bCs/>
          <w:sz w:val="22"/>
          <w:szCs w:val="22"/>
          <w:lang w:val="sr-Latn-ME"/>
        </w:rPr>
        <w:t>Neželjena dejstva</w:t>
      </w:r>
    </w:p>
    <w:p w14:paraId="38602409" w14:textId="77777777" w:rsidR="005D45D6" w:rsidRDefault="005D45D6" w:rsidP="00480FB1">
      <w:pPr>
        <w:tabs>
          <w:tab w:val="left" w:pos="540"/>
          <w:tab w:val="left" w:pos="569"/>
        </w:tabs>
        <w:rPr>
          <w:b/>
          <w:bCs/>
          <w:sz w:val="22"/>
          <w:szCs w:val="22"/>
          <w:lang w:val="sr-Latn-ME"/>
        </w:rPr>
      </w:pPr>
    </w:p>
    <w:p w14:paraId="5B535173" w14:textId="78D5B464" w:rsidR="000B7EC2" w:rsidRPr="000B7EC2" w:rsidRDefault="000B7EC2" w:rsidP="000B7EC2">
      <w:pPr>
        <w:pStyle w:val="Header"/>
        <w:tabs>
          <w:tab w:val="left" w:pos="284"/>
        </w:tabs>
        <w:rPr>
          <w:sz w:val="22"/>
          <w:szCs w:val="22"/>
          <w:lang w:val="sr-Latn-ME"/>
        </w:rPr>
      </w:pPr>
      <w:r w:rsidRPr="00A23EE5">
        <w:rPr>
          <w:sz w:val="22"/>
          <w:szCs w:val="22"/>
          <w:lang w:val="sr-Latn-ME"/>
        </w:rPr>
        <w:t xml:space="preserve">Sljedeća neželjena dejstva su </w:t>
      </w:r>
      <w:r w:rsidR="00900F46">
        <w:rPr>
          <w:sz w:val="22"/>
          <w:szCs w:val="22"/>
          <w:lang w:val="sr-Latn-ME"/>
        </w:rPr>
        <w:t xml:space="preserve">primijećena </w:t>
      </w:r>
      <w:r w:rsidRPr="00A23EE5">
        <w:rPr>
          <w:sz w:val="22"/>
          <w:szCs w:val="22"/>
          <w:lang w:val="sr-Latn-ME"/>
        </w:rPr>
        <w:t xml:space="preserve"> nakon primjene mesalazina:</w:t>
      </w:r>
    </w:p>
    <w:tbl>
      <w:tblPr>
        <w:tblW w:w="9356" w:type="dxa"/>
        <w:tblLayout w:type="fixed"/>
        <w:tblLook w:val="0000" w:firstRow="0" w:lastRow="0" w:firstColumn="0" w:lastColumn="0" w:noHBand="0" w:noVBand="0"/>
      </w:tblPr>
      <w:tblGrid>
        <w:gridCol w:w="9356"/>
      </w:tblGrid>
      <w:tr w:rsidR="005D45D6" w:rsidRPr="001D78AB" w14:paraId="3ABA46E5" w14:textId="77777777" w:rsidTr="00804F26">
        <w:trPr>
          <w:trHeight w:val="1145"/>
        </w:trPr>
        <w:tc>
          <w:tcPr>
            <w:tcW w:w="9356" w:type="dxa"/>
            <w:vAlign w:val="center"/>
          </w:tcPr>
          <w:p w14:paraId="26687D00" w14:textId="77777777" w:rsidR="005D45D6" w:rsidRPr="009533B2" w:rsidRDefault="005D45D6" w:rsidP="00EC4C1F">
            <w:pPr>
              <w:pStyle w:val="Header"/>
              <w:tabs>
                <w:tab w:val="left" w:pos="284"/>
              </w:tabs>
              <w:rPr>
                <w:sz w:val="22"/>
                <w:szCs w:val="22"/>
                <w:lang w:val="sr-Latn-ME"/>
              </w:rPr>
            </w:pPr>
          </w:p>
          <w:tbl>
            <w:tblP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8"/>
              <w:gridCol w:w="1260"/>
              <w:gridCol w:w="1440"/>
              <w:gridCol w:w="1314"/>
              <w:gridCol w:w="1836"/>
              <w:gridCol w:w="1541"/>
            </w:tblGrid>
            <w:tr w:rsidR="000A3F78" w:rsidRPr="009533B2" w14:paraId="5521B97A" w14:textId="77777777" w:rsidTr="001D78AB">
              <w:trPr>
                <w:cantSplit/>
                <w:trHeight w:val="681"/>
              </w:trPr>
              <w:tc>
                <w:tcPr>
                  <w:tcW w:w="1688" w:type="dxa"/>
                  <w:tcBorders>
                    <w:top w:val="single" w:sz="4" w:space="0" w:color="auto"/>
                    <w:left w:val="single" w:sz="4" w:space="0" w:color="auto"/>
                    <w:bottom w:val="single" w:sz="4" w:space="0" w:color="auto"/>
                    <w:right w:val="single" w:sz="4" w:space="0" w:color="auto"/>
                  </w:tcBorders>
                </w:tcPr>
                <w:p w14:paraId="119022C6" w14:textId="77777777" w:rsidR="000A3F78" w:rsidRPr="001D78AB" w:rsidRDefault="000A3F78" w:rsidP="001D78AB">
                  <w:pPr>
                    <w:jc w:val="center"/>
                    <w:rPr>
                      <w:b/>
                      <w:i/>
                      <w:iCs/>
                      <w:sz w:val="22"/>
                      <w:szCs w:val="22"/>
                      <w:lang w:val="sr-Latn-ME"/>
                    </w:rPr>
                  </w:pPr>
                  <w:r w:rsidRPr="001D78AB">
                    <w:rPr>
                      <w:b/>
                      <w:i/>
                      <w:iCs/>
                      <w:sz w:val="22"/>
                      <w:szCs w:val="22"/>
                      <w:lang w:val="sr-Latn-ME"/>
                    </w:rPr>
                    <w:t>Klasa sistema organa</w:t>
                  </w:r>
                </w:p>
              </w:tc>
              <w:tc>
                <w:tcPr>
                  <w:tcW w:w="7391" w:type="dxa"/>
                  <w:gridSpan w:val="5"/>
                  <w:tcBorders>
                    <w:top w:val="single" w:sz="4" w:space="0" w:color="auto"/>
                    <w:left w:val="single" w:sz="4" w:space="0" w:color="auto"/>
                    <w:bottom w:val="single" w:sz="4" w:space="0" w:color="auto"/>
                    <w:right w:val="single" w:sz="4" w:space="0" w:color="auto"/>
                  </w:tcBorders>
                </w:tcPr>
                <w:p w14:paraId="6192BB21" w14:textId="39765D3C" w:rsidR="000A3F78" w:rsidRPr="00505F37" w:rsidRDefault="000A3F78" w:rsidP="001D78AB">
                  <w:pPr>
                    <w:jc w:val="center"/>
                    <w:rPr>
                      <w:b/>
                      <w:i/>
                      <w:iCs/>
                      <w:sz w:val="22"/>
                      <w:szCs w:val="22"/>
                      <w:lang w:val="sr-Latn-ME"/>
                    </w:rPr>
                  </w:pPr>
                  <w:r w:rsidRPr="001D78AB">
                    <w:rPr>
                      <w:b/>
                      <w:i/>
                      <w:iCs/>
                      <w:sz w:val="22"/>
                      <w:szCs w:val="22"/>
                      <w:lang w:val="sr-Latn-ME"/>
                    </w:rPr>
                    <w:t>Učestalost prema MedDRA konvenciji</w:t>
                  </w:r>
                </w:p>
              </w:tc>
            </w:tr>
            <w:tr w:rsidR="007F1446" w:rsidRPr="001D78AB" w14:paraId="7D335459" w14:textId="77777777" w:rsidTr="001D78AB">
              <w:tc>
                <w:tcPr>
                  <w:tcW w:w="1688" w:type="dxa"/>
                  <w:tcBorders>
                    <w:top w:val="single" w:sz="4" w:space="0" w:color="auto"/>
                    <w:left w:val="single" w:sz="4" w:space="0" w:color="auto"/>
                    <w:bottom w:val="single" w:sz="4" w:space="0" w:color="auto"/>
                    <w:right w:val="single" w:sz="4" w:space="0" w:color="auto"/>
                  </w:tcBorders>
                </w:tcPr>
                <w:p w14:paraId="09D56B05" w14:textId="77777777" w:rsidR="000A3F78" w:rsidRPr="009533B2" w:rsidRDefault="000A3F78" w:rsidP="000A3F78">
                  <w:pPr>
                    <w:rPr>
                      <w:i/>
                      <w:iCs/>
                      <w:sz w:val="22"/>
                      <w:szCs w:val="22"/>
                      <w:lang w:val="sr-Latn-ME"/>
                    </w:rPr>
                  </w:pPr>
                </w:p>
              </w:tc>
              <w:tc>
                <w:tcPr>
                  <w:tcW w:w="1260" w:type="dxa"/>
                  <w:tcBorders>
                    <w:top w:val="single" w:sz="4" w:space="0" w:color="auto"/>
                    <w:left w:val="single" w:sz="4" w:space="0" w:color="auto"/>
                    <w:bottom w:val="single" w:sz="4" w:space="0" w:color="auto"/>
                    <w:right w:val="single" w:sz="4" w:space="0" w:color="auto"/>
                  </w:tcBorders>
                </w:tcPr>
                <w:p w14:paraId="5B774F4B" w14:textId="77777777" w:rsidR="000A3F78" w:rsidRPr="001D78AB" w:rsidRDefault="00EC4C1F" w:rsidP="001D78AB">
                  <w:pPr>
                    <w:jc w:val="center"/>
                    <w:rPr>
                      <w:b/>
                      <w:iCs/>
                      <w:sz w:val="22"/>
                      <w:szCs w:val="22"/>
                      <w:lang w:val="sr-Latn-ME"/>
                    </w:rPr>
                  </w:pPr>
                  <w:r w:rsidRPr="001D78AB">
                    <w:rPr>
                      <w:b/>
                      <w:iCs/>
                      <w:sz w:val="22"/>
                      <w:szCs w:val="22"/>
                      <w:lang w:val="sr-Latn-ME"/>
                    </w:rPr>
                    <w:t>Česta</w:t>
                  </w:r>
                </w:p>
                <w:p w14:paraId="0B29DE18" w14:textId="62E014A7" w:rsidR="00EC4C1F" w:rsidRPr="001D78AB" w:rsidRDefault="00F23F3E" w:rsidP="001D78AB">
                  <w:pPr>
                    <w:jc w:val="center"/>
                    <w:rPr>
                      <w:b/>
                      <w:iCs/>
                      <w:sz w:val="22"/>
                      <w:szCs w:val="22"/>
                      <w:lang w:val="sr-Latn-ME"/>
                    </w:rPr>
                  </w:pPr>
                  <w:r w:rsidRPr="001D78AB">
                    <w:rPr>
                      <w:b/>
                      <w:iCs/>
                      <w:sz w:val="22"/>
                      <w:szCs w:val="22"/>
                      <w:lang w:val="sr-Latn-ME"/>
                    </w:rPr>
                    <w:t>(≥ 1/100 do</w:t>
                  </w:r>
                  <w:r w:rsidR="00EC4C1F" w:rsidRPr="001D78AB">
                    <w:rPr>
                      <w:b/>
                      <w:iCs/>
                      <w:sz w:val="22"/>
                      <w:szCs w:val="22"/>
                      <w:lang w:val="sr-Latn-ME"/>
                    </w:rPr>
                    <w:t> &lt;</w:t>
                  </w:r>
                  <w:r w:rsidR="00505F37" w:rsidRPr="001D78AB">
                    <w:rPr>
                      <w:b/>
                      <w:iCs/>
                      <w:sz w:val="22"/>
                      <w:szCs w:val="22"/>
                      <w:lang w:val="sr-Latn-ME"/>
                    </w:rPr>
                    <w:t xml:space="preserve"> </w:t>
                  </w:r>
                  <w:r w:rsidR="00EC4C1F" w:rsidRPr="001D78AB">
                    <w:rPr>
                      <w:b/>
                      <w:iCs/>
                      <w:sz w:val="22"/>
                      <w:szCs w:val="22"/>
                      <w:lang w:val="sr-Latn-ME"/>
                    </w:rPr>
                    <w:t>1/10)</w:t>
                  </w:r>
                </w:p>
              </w:tc>
              <w:tc>
                <w:tcPr>
                  <w:tcW w:w="1440" w:type="dxa"/>
                  <w:tcBorders>
                    <w:top w:val="single" w:sz="4" w:space="0" w:color="auto"/>
                    <w:left w:val="single" w:sz="4" w:space="0" w:color="auto"/>
                    <w:bottom w:val="single" w:sz="4" w:space="0" w:color="auto"/>
                    <w:right w:val="single" w:sz="4" w:space="0" w:color="auto"/>
                  </w:tcBorders>
                </w:tcPr>
                <w:p w14:paraId="6039FD22" w14:textId="77777777" w:rsidR="000A3F78" w:rsidRPr="001D78AB" w:rsidRDefault="00EC4C1F" w:rsidP="001D78AB">
                  <w:pPr>
                    <w:jc w:val="center"/>
                    <w:rPr>
                      <w:b/>
                      <w:iCs/>
                      <w:sz w:val="22"/>
                      <w:szCs w:val="22"/>
                      <w:lang w:val="sr-Latn-ME"/>
                    </w:rPr>
                  </w:pPr>
                  <w:r w:rsidRPr="001D78AB">
                    <w:rPr>
                      <w:b/>
                      <w:iCs/>
                      <w:sz w:val="22"/>
                      <w:szCs w:val="22"/>
                      <w:lang w:val="sr-Latn-ME"/>
                    </w:rPr>
                    <w:t>Manje česta</w:t>
                  </w:r>
                </w:p>
                <w:p w14:paraId="2BB0E6F5" w14:textId="3C6CD8A0" w:rsidR="00EC4C1F" w:rsidRPr="001D78AB" w:rsidRDefault="00EC4C1F" w:rsidP="001D78AB">
                  <w:pPr>
                    <w:jc w:val="center"/>
                    <w:rPr>
                      <w:b/>
                      <w:iCs/>
                      <w:sz w:val="22"/>
                      <w:szCs w:val="22"/>
                      <w:lang w:val="sr-Latn-ME"/>
                    </w:rPr>
                  </w:pPr>
                  <w:r w:rsidRPr="001D78AB">
                    <w:rPr>
                      <w:b/>
                      <w:iCs/>
                      <w:sz w:val="22"/>
                      <w:szCs w:val="22"/>
                      <w:lang w:val="sr-Latn-ME"/>
                    </w:rPr>
                    <w:t>(≥ 1/1</w:t>
                  </w:r>
                  <w:r w:rsidR="00F23F3E" w:rsidRPr="001D78AB">
                    <w:rPr>
                      <w:b/>
                      <w:iCs/>
                      <w:sz w:val="22"/>
                      <w:szCs w:val="22"/>
                      <w:lang w:val="sr-Latn-ME"/>
                    </w:rPr>
                    <w:t>000 do</w:t>
                  </w:r>
                  <w:r w:rsidRPr="001D78AB">
                    <w:rPr>
                      <w:b/>
                      <w:iCs/>
                      <w:sz w:val="22"/>
                      <w:szCs w:val="22"/>
                      <w:lang w:val="sr-Latn-ME"/>
                    </w:rPr>
                    <w:t> &lt;</w:t>
                  </w:r>
                  <w:r w:rsidR="00505F37" w:rsidRPr="001D78AB">
                    <w:rPr>
                      <w:b/>
                      <w:iCs/>
                      <w:sz w:val="22"/>
                      <w:szCs w:val="22"/>
                      <w:lang w:val="sr-Latn-ME"/>
                    </w:rPr>
                    <w:t xml:space="preserve"> </w:t>
                  </w:r>
                  <w:r w:rsidRPr="001D78AB">
                    <w:rPr>
                      <w:b/>
                      <w:iCs/>
                      <w:sz w:val="22"/>
                      <w:szCs w:val="22"/>
                      <w:lang w:val="sr-Latn-ME"/>
                    </w:rPr>
                    <w:t>1/100)</w:t>
                  </w:r>
                </w:p>
              </w:tc>
              <w:tc>
                <w:tcPr>
                  <w:tcW w:w="1314" w:type="dxa"/>
                  <w:tcBorders>
                    <w:top w:val="single" w:sz="4" w:space="0" w:color="auto"/>
                    <w:left w:val="single" w:sz="4" w:space="0" w:color="auto"/>
                    <w:bottom w:val="single" w:sz="4" w:space="0" w:color="auto"/>
                    <w:right w:val="single" w:sz="4" w:space="0" w:color="auto"/>
                  </w:tcBorders>
                </w:tcPr>
                <w:p w14:paraId="3C99042B" w14:textId="77777777" w:rsidR="000A3F78" w:rsidRPr="001D78AB" w:rsidRDefault="000A3F78" w:rsidP="001D78AB">
                  <w:pPr>
                    <w:jc w:val="center"/>
                    <w:rPr>
                      <w:b/>
                      <w:iCs/>
                      <w:sz w:val="22"/>
                      <w:szCs w:val="22"/>
                      <w:lang w:val="sr-Latn-ME"/>
                    </w:rPr>
                  </w:pPr>
                  <w:r w:rsidRPr="001D78AB">
                    <w:rPr>
                      <w:b/>
                      <w:iCs/>
                      <w:sz w:val="22"/>
                      <w:szCs w:val="22"/>
                      <w:lang w:val="sr-Latn-ME"/>
                    </w:rPr>
                    <w:t>Rijetka</w:t>
                  </w:r>
                </w:p>
                <w:p w14:paraId="5541C42E" w14:textId="77777777" w:rsidR="000A3F78" w:rsidRPr="001D78AB" w:rsidRDefault="000A3F78" w:rsidP="001D78AB">
                  <w:pPr>
                    <w:jc w:val="center"/>
                    <w:rPr>
                      <w:b/>
                      <w:iCs/>
                      <w:sz w:val="22"/>
                      <w:szCs w:val="22"/>
                      <w:lang w:val="sr-Latn-ME"/>
                    </w:rPr>
                  </w:pPr>
                  <w:r w:rsidRPr="001D78AB">
                    <w:rPr>
                      <w:b/>
                      <w:iCs/>
                      <w:sz w:val="22"/>
                      <w:szCs w:val="22"/>
                      <w:lang w:val="sr-Latn-ME"/>
                    </w:rPr>
                    <w:t>(≥ 1/10000; &lt; 1/1000)</w:t>
                  </w:r>
                </w:p>
              </w:tc>
              <w:tc>
                <w:tcPr>
                  <w:tcW w:w="1836" w:type="dxa"/>
                  <w:tcBorders>
                    <w:top w:val="single" w:sz="4" w:space="0" w:color="auto"/>
                    <w:left w:val="single" w:sz="4" w:space="0" w:color="auto"/>
                    <w:bottom w:val="single" w:sz="4" w:space="0" w:color="auto"/>
                    <w:right w:val="single" w:sz="4" w:space="0" w:color="auto"/>
                  </w:tcBorders>
                </w:tcPr>
                <w:p w14:paraId="570FFB64" w14:textId="77777777" w:rsidR="000A3F78" w:rsidRPr="001D78AB" w:rsidRDefault="000A3F78" w:rsidP="001D78AB">
                  <w:pPr>
                    <w:jc w:val="center"/>
                    <w:rPr>
                      <w:b/>
                      <w:iCs/>
                      <w:sz w:val="22"/>
                      <w:szCs w:val="22"/>
                      <w:lang w:val="sr-Latn-ME"/>
                    </w:rPr>
                  </w:pPr>
                  <w:r w:rsidRPr="001D78AB">
                    <w:rPr>
                      <w:b/>
                      <w:iCs/>
                      <w:sz w:val="22"/>
                      <w:szCs w:val="22"/>
                      <w:lang w:val="sr-Latn-ME"/>
                    </w:rPr>
                    <w:t>Veoma rijetka</w:t>
                  </w:r>
                </w:p>
                <w:p w14:paraId="1B2C0DA3" w14:textId="1C19B5AE" w:rsidR="000A3F78" w:rsidRPr="001D78AB" w:rsidRDefault="000A3F78" w:rsidP="001D78AB">
                  <w:pPr>
                    <w:jc w:val="center"/>
                    <w:rPr>
                      <w:b/>
                      <w:iCs/>
                      <w:sz w:val="22"/>
                      <w:szCs w:val="22"/>
                      <w:lang w:val="sr-Latn-ME"/>
                    </w:rPr>
                  </w:pPr>
                  <w:r w:rsidRPr="001D78AB">
                    <w:rPr>
                      <w:b/>
                      <w:iCs/>
                      <w:sz w:val="22"/>
                      <w:szCs w:val="22"/>
                      <w:lang w:val="sr-Latn-ME"/>
                    </w:rPr>
                    <w:t>(&lt;</w:t>
                  </w:r>
                  <w:r w:rsidR="00505F37" w:rsidRPr="001D78AB">
                    <w:rPr>
                      <w:b/>
                      <w:iCs/>
                      <w:sz w:val="22"/>
                      <w:szCs w:val="22"/>
                      <w:lang w:val="sr-Latn-ME"/>
                    </w:rPr>
                    <w:t xml:space="preserve"> </w:t>
                  </w:r>
                  <w:r w:rsidRPr="001D78AB">
                    <w:rPr>
                      <w:b/>
                      <w:iCs/>
                      <w:sz w:val="22"/>
                      <w:szCs w:val="22"/>
                      <w:lang w:val="sr-Latn-ME"/>
                    </w:rPr>
                    <w:t>1/10</w:t>
                  </w:r>
                  <w:r w:rsidR="00505F37" w:rsidRPr="001D78AB">
                    <w:rPr>
                      <w:b/>
                      <w:iCs/>
                      <w:sz w:val="22"/>
                      <w:szCs w:val="22"/>
                      <w:lang w:val="sr-Latn-ME"/>
                    </w:rPr>
                    <w:t xml:space="preserve"> </w:t>
                  </w:r>
                  <w:r w:rsidRPr="001D78AB">
                    <w:rPr>
                      <w:b/>
                      <w:iCs/>
                      <w:sz w:val="22"/>
                      <w:szCs w:val="22"/>
                      <w:lang w:val="sr-Latn-ME"/>
                    </w:rPr>
                    <w:t>000)</w:t>
                  </w:r>
                </w:p>
              </w:tc>
              <w:tc>
                <w:tcPr>
                  <w:tcW w:w="1541" w:type="dxa"/>
                  <w:tcBorders>
                    <w:top w:val="single" w:sz="4" w:space="0" w:color="auto"/>
                    <w:left w:val="single" w:sz="4" w:space="0" w:color="auto"/>
                    <w:bottom w:val="single" w:sz="4" w:space="0" w:color="auto"/>
                    <w:right w:val="single" w:sz="4" w:space="0" w:color="auto"/>
                  </w:tcBorders>
                </w:tcPr>
                <w:p w14:paraId="0413E5AF" w14:textId="77777777" w:rsidR="000A3F78" w:rsidRPr="001D78AB" w:rsidRDefault="003B48EF" w:rsidP="001D78AB">
                  <w:pPr>
                    <w:jc w:val="center"/>
                    <w:rPr>
                      <w:b/>
                      <w:iCs/>
                      <w:sz w:val="22"/>
                      <w:szCs w:val="22"/>
                      <w:lang w:val="sr-Latn-ME"/>
                    </w:rPr>
                  </w:pPr>
                  <w:r w:rsidRPr="001D78AB">
                    <w:rPr>
                      <w:b/>
                      <w:iCs/>
                      <w:sz w:val="22"/>
                      <w:szCs w:val="22"/>
                      <w:lang w:val="sr-Latn-ME"/>
                    </w:rPr>
                    <w:t>Nepoznata</w:t>
                  </w:r>
                </w:p>
                <w:p w14:paraId="0A5F1849" w14:textId="77777777" w:rsidR="00EC4C1F" w:rsidRPr="001D78AB" w:rsidRDefault="00EC4C1F" w:rsidP="001D78AB">
                  <w:pPr>
                    <w:jc w:val="center"/>
                    <w:rPr>
                      <w:b/>
                      <w:iCs/>
                      <w:sz w:val="22"/>
                      <w:szCs w:val="22"/>
                      <w:lang w:val="sr-Latn-ME"/>
                    </w:rPr>
                  </w:pPr>
                  <w:r w:rsidRPr="001D78AB">
                    <w:rPr>
                      <w:b/>
                      <w:iCs/>
                      <w:sz w:val="22"/>
                      <w:szCs w:val="22"/>
                      <w:lang w:val="sr-Latn-ME"/>
                    </w:rPr>
                    <w:t>(ne mogu se proc</w:t>
                  </w:r>
                  <w:r w:rsidR="009C718B" w:rsidRPr="001D78AB">
                    <w:rPr>
                      <w:b/>
                      <w:iCs/>
                      <w:sz w:val="22"/>
                      <w:szCs w:val="22"/>
                      <w:lang w:val="sr-Latn-ME"/>
                    </w:rPr>
                    <w:t>ij</w:t>
                  </w:r>
                  <w:r w:rsidRPr="001D78AB">
                    <w:rPr>
                      <w:b/>
                      <w:iCs/>
                      <w:sz w:val="22"/>
                      <w:szCs w:val="22"/>
                      <w:lang w:val="sr-Latn-ME"/>
                    </w:rPr>
                    <w:t>eniti na osnovu dostupnih podataka)</w:t>
                  </w:r>
                </w:p>
              </w:tc>
            </w:tr>
            <w:tr w:rsidR="007F1446" w:rsidRPr="001D78AB" w14:paraId="66CB843D" w14:textId="77777777" w:rsidTr="001D78AB">
              <w:tc>
                <w:tcPr>
                  <w:tcW w:w="1688" w:type="dxa"/>
                  <w:tcBorders>
                    <w:top w:val="single" w:sz="4" w:space="0" w:color="auto"/>
                    <w:left w:val="single" w:sz="4" w:space="0" w:color="auto"/>
                    <w:bottom w:val="single" w:sz="4" w:space="0" w:color="auto"/>
                    <w:right w:val="single" w:sz="4" w:space="0" w:color="auto"/>
                  </w:tcBorders>
                </w:tcPr>
                <w:p w14:paraId="3537E480" w14:textId="77777777" w:rsidR="000A3F78" w:rsidRPr="009533B2" w:rsidRDefault="000A3F78" w:rsidP="000A3F78">
                  <w:pPr>
                    <w:rPr>
                      <w:sz w:val="22"/>
                      <w:szCs w:val="22"/>
                      <w:lang w:val="sr-Latn-ME"/>
                    </w:rPr>
                  </w:pPr>
                  <w:r w:rsidRPr="009533B2">
                    <w:rPr>
                      <w:sz w:val="22"/>
                      <w:szCs w:val="22"/>
                      <w:lang w:val="sr-Latn-ME"/>
                    </w:rPr>
                    <w:t>Poremećaji krvi i limfnog sistema</w:t>
                  </w:r>
                </w:p>
              </w:tc>
              <w:tc>
                <w:tcPr>
                  <w:tcW w:w="1260" w:type="dxa"/>
                  <w:tcBorders>
                    <w:top w:val="single" w:sz="4" w:space="0" w:color="auto"/>
                    <w:left w:val="single" w:sz="4" w:space="0" w:color="auto"/>
                    <w:bottom w:val="single" w:sz="4" w:space="0" w:color="auto"/>
                    <w:right w:val="single" w:sz="4" w:space="0" w:color="auto"/>
                  </w:tcBorders>
                </w:tcPr>
                <w:p w14:paraId="3C45DA3E" w14:textId="77777777" w:rsidR="000A3F78" w:rsidRPr="009533B2" w:rsidRDefault="000A3F78" w:rsidP="000A3F78">
                  <w:pPr>
                    <w:rPr>
                      <w:sz w:val="22"/>
                      <w:szCs w:val="22"/>
                      <w:lang w:val="sr-Latn-ME"/>
                    </w:rPr>
                  </w:pPr>
                </w:p>
              </w:tc>
              <w:tc>
                <w:tcPr>
                  <w:tcW w:w="1440" w:type="dxa"/>
                  <w:tcBorders>
                    <w:top w:val="single" w:sz="4" w:space="0" w:color="auto"/>
                    <w:left w:val="single" w:sz="4" w:space="0" w:color="auto"/>
                    <w:bottom w:val="single" w:sz="4" w:space="0" w:color="auto"/>
                    <w:right w:val="single" w:sz="4" w:space="0" w:color="auto"/>
                  </w:tcBorders>
                </w:tcPr>
                <w:p w14:paraId="5ED24AE6" w14:textId="77777777" w:rsidR="000A3F78" w:rsidRPr="009533B2" w:rsidRDefault="000A3F78" w:rsidP="000A3F78">
                  <w:pPr>
                    <w:pStyle w:val="Header"/>
                    <w:tabs>
                      <w:tab w:val="left" w:pos="284"/>
                    </w:tabs>
                    <w:rPr>
                      <w:sz w:val="22"/>
                      <w:szCs w:val="22"/>
                      <w:lang w:val="sr-Latn-ME"/>
                    </w:rPr>
                  </w:pPr>
                </w:p>
              </w:tc>
              <w:tc>
                <w:tcPr>
                  <w:tcW w:w="1314" w:type="dxa"/>
                  <w:tcBorders>
                    <w:top w:val="single" w:sz="4" w:space="0" w:color="auto"/>
                    <w:left w:val="single" w:sz="4" w:space="0" w:color="auto"/>
                    <w:bottom w:val="single" w:sz="4" w:space="0" w:color="auto"/>
                    <w:right w:val="single" w:sz="4" w:space="0" w:color="auto"/>
                  </w:tcBorders>
                </w:tcPr>
                <w:p w14:paraId="4490333E" w14:textId="77777777" w:rsidR="000A3F78" w:rsidRPr="009533B2" w:rsidRDefault="000A3F78" w:rsidP="000A3F78">
                  <w:pPr>
                    <w:pStyle w:val="Header"/>
                    <w:tabs>
                      <w:tab w:val="left" w:pos="284"/>
                    </w:tabs>
                    <w:rPr>
                      <w:sz w:val="22"/>
                      <w:szCs w:val="22"/>
                      <w:lang w:val="sr-Latn-ME"/>
                    </w:rPr>
                  </w:pPr>
                </w:p>
              </w:tc>
              <w:tc>
                <w:tcPr>
                  <w:tcW w:w="1836" w:type="dxa"/>
                  <w:tcBorders>
                    <w:top w:val="single" w:sz="4" w:space="0" w:color="auto"/>
                    <w:left w:val="single" w:sz="4" w:space="0" w:color="auto"/>
                    <w:bottom w:val="single" w:sz="4" w:space="0" w:color="auto"/>
                    <w:right w:val="single" w:sz="4" w:space="0" w:color="auto"/>
                  </w:tcBorders>
                </w:tcPr>
                <w:p w14:paraId="6B0ABB9F" w14:textId="77777777" w:rsidR="000A3F78" w:rsidRPr="009533B2" w:rsidRDefault="000A3F78" w:rsidP="000A3F78">
                  <w:pPr>
                    <w:pStyle w:val="Header"/>
                    <w:tabs>
                      <w:tab w:val="left" w:pos="284"/>
                    </w:tabs>
                    <w:rPr>
                      <w:sz w:val="22"/>
                      <w:szCs w:val="22"/>
                      <w:lang w:val="sr-Latn-ME"/>
                    </w:rPr>
                  </w:pPr>
                  <w:r w:rsidRPr="009533B2">
                    <w:rPr>
                      <w:sz w:val="22"/>
                      <w:szCs w:val="22"/>
                      <w:lang w:val="sr-Latn-ME"/>
                    </w:rPr>
                    <w:t>Promjene krvne slike (aplastična anemija, agranulocitoza, pancitopenija, neutropenija, leukopenija, trombocitopenija)</w:t>
                  </w:r>
                </w:p>
              </w:tc>
              <w:tc>
                <w:tcPr>
                  <w:tcW w:w="1541" w:type="dxa"/>
                  <w:tcBorders>
                    <w:top w:val="single" w:sz="4" w:space="0" w:color="auto"/>
                    <w:left w:val="single" w:sz="4" w:space="0" w:color="auto"/>
                    <w:bottom w:val="single" w:sz="4" w:space="0" w:color="auto"/>
                    <w:right w:val="single" w:sz="4" w:space="0" w:color="auto"/>
                  </w:tcBorders>
                </w:tcPr>
                <w:p w14:paraId="15CCA465" w14:textId="77777777" w:rsidR="000A3F78" w:rsidRPr="009533B2" w:rsidRDefault="000A3F78" w:rsidP="000A3F78">
                  <w:pPr>
                    <w:pStyle w:val="Header"/>
                    <w:tabs>
                      <w:tab w:val="left" w:pos="284"/>
                    </w:tabs>
                    <w:rPr>
                      <w:sz w:val="22"/>
                      <w:szCs w:val="22"/>
                      <w:lang w:val="sr-Latn-ME"/>
                    </w:rPr>
                  </w:pPr>
                </w:p>
              </w:tc>
            </w:tr>
            <w:tr w:rsidR="007F1446" w:rsidRPr="001D78AB" w14:paraId="1032392D" w14:textId="77777777" w:rsidTr="001D78AB">
              <w:tc>
                <w:tcPr>
                  <w:tcW w:w="1688" w:type="dxa"/>
                  <w:tcBorders>
                    <w:top w:val="single" w:sz="4" w:space="0" w:color="auto"/>
                    <w:left w:val="single" w:sz="4" w:space="0" w:color="auto"/>
                    <w:bottom w:val="single" w:sz="4" w:space="0" w:color="auto"/>
                    <w:right w:val="single" w:sz="4" w:space="0" w:color="auto"/>
                  </w:tcBorders>
                  <w:shd w:val="clear" w:color="auto" w:fill="auto"/>
                </w:tcPr>
                <w:p w14:paraId="289D184A" w14:textId="77777777" w:rsidR="00EC4C1F" w:rsidRPr="009533B2" w:rsidRDefault="001E2C4E" w:rsidP="001E2C4E">
                  <w:pPr>
                    <w:rPr>
                      <w:sz w:val="22"/>
                      <w:szCs w:val="22"/>
                      <w:lang w:val="sr-Latn-ME"/>
                    </w:rPr>
                  </w:pPr>
                  <w:r>
                    <w:rPr>
                      <w:sz w:val="22"/>
                      <w:szCs w:val="22"/>
                      <w:lang w:val="sr-Latn-ME"/>
                    </w:rPr>
                    <w:t>Poremećaji imun</w:t>
                  </w:r>
                  <w:r w:rsidR="00EC4C1F">
                    <w:rPr>
                      <w:sz w:val="22"/>
                      <w:szCs w:val="22"/>
                      <w:lang w:val="sr-Latn-ME"/>
                    </w:rPr>
                    <w:t>og sistema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DB99996" w14:textId="77777777" w:rsidR="00EC4C1F" w:rsidRPr="009533B2" w:rsidRDefault="00EC4C1F" w:rsidP="000A3F78">
                  <w:pPr>
                    <w:rPr>
                      <w:sz w:val="22"/>
                      <w:szCs w:val="22"/>
                      <w:lang w:val="sr-Latn-ME"/>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445ED01" w14:textId="77777777" w:rsidR="00EC4C1F" w:rsidRPr="009533B2" w:rsidRDefault="00EC4C1F" w:rsidP="000A3F78">
                  <w:pPr>
                    <w:pStyle w:val="Header"/>
                    <w:tabs>
                      <w:tab w:val="left" w:pos="284"/>
                    </w:tabs>
                    <w:rPr>
                      <w:sz w:val="22"/>
                      <w:szCs w:val="22"/>
                      <w:lang w:val="sr-Latn-ME"/>
                    </w:rPr>
                  </w:pP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49A20D37" w14:textId="77777777" w:rsidR="00EC4C1F" w:rsidRPr="009533B2" w:rsidRDefault="00EC4C1F" w:rsidP="000A3F78">
                  <w:pPr>
                    <w:pStyle w:val="Header"/>
                    <w:tabs>
                      <w:tab w:val="left" w:pos="284"/>
                    </w:tabs>
                    <w:rPr>
                      <w:sz w:val="22"/>
                      <w:szCs w:val="22"/>
                      <w:lang w:val="sr-Latn-ME"/>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68E1C641" w14:textId="126B6C57" w:rsidR="00EC4C1F" w:rsidRPr="009533B2" w:rsidRDefault="00EC4C1F">
                  <w:pPr>
                    <w:pStyle w:val="Header"/>
                    <w:tabs>
                      <w:tab w:val="left" w:pos="284"/>
                    </w:tabs>
                    <w:rPr>
                      <w:sz w:val="22"/>
                      <w:szCs w:val="22"/>
                      <w:lang w:val="sr-Latn-ME"/>
                    </w:rPr>
                  </w:pPr>
                  <w:r w:rsidRPr="009533B2">
                    <w:rPr>
                      <w:sz w:val="22"/>
                      <w:szCs w:val="22"/>
                      <w:lang w:val="sr-Latn-ME"/>
                    </w:rPr>
                    <w:t>Reakcije preosjetljivosti</w:t>
                  </w:r>
                  <w:r>
                    <w:rPr>
                      <w:sz w:val="22"/>
                      <w:szCs w:val="22"/>
                      <w:lang w:val="sr-Latn-ME"/>
                    </w:rPr>
                    <w:t xml:space="preserve"> </w:t>
                  </w:r>
                  <w:r w:rsidRPr="009533B2">
                    <w:rPr>
                      <w:sz w:val="22"/>
                      <w:szCs w:val="22"/>
                      <w:lang w:val="sr-Latn-ME"/>
                    </w:rPr>
                    <w:t>kao što su alergijski egzantem,</w:t>
                  </w:r>
                  <w:r>
                    <w:rPr>
                      <w:sz w:val="22"/>
                      <w:szCs w:val="22"/>
                      <w:lang w:val="sr-Latn-ME"/>
                    </w:rPr>
                    <w:t xml:space="preserve"> </w:t>
                  </w:r>
                  <w:r w:rsidRPr="009533B2">
                    <w:rPr>
                      <w:sz w:val="22"/>
                      <w:szCs w:val="22"/>
                      <w:lang w:val="sr-Latn-ME"/>
                    </w:rPr>
                    <w:t>groznica</w:t>
                  </w:r>
                  <w:r w:rsidR="00900F46">
                    <w:rPr>
                      <w:sz w:val="22"/>
                      <w:szCs w:val="22"/>
                      <w:lang w:val="sr-Latn-ME"/>
                    </w:rPr>
                    <w:t xml:space="preserve"> uzrokovana ljekovima</w:t>
                  </w:r>
                  <w:r w:rsidRPr="009533B2">
                    <w:rPr>
                      <w:sz w:val="22"/>
                      <w:szCs w:val="22"/>
                      <w:lang w:val="sr-Latn-ME"/>
                    </w:rPr>
                    <w:t xml:space="preserve">, </w:t>
                  </w:r>
                  <w:r w:rsidR="00875FA4" w:rsidRPr="00875FA4">
                    <w:rPr>
                      <w:sz w:val="22"/>
                      <w:szCs w:val="22"/>
                      <w:lang w:val="sr-Latn-ME"/>
                    </w:rPr>
                    <w:t xml:space="preserve">sindrom </w:t>
                  </w:r>
                  <w:r w:rsidRPr="00900F46">
                    <w:rPr>
                      <w:sz w:val="22"/>
                      <w:szCs w:val="22"/>
                      <w:lang w:val="sr-Latn-ME"/>
                    </w:rPr>
                    <w:t>lupus</w:t>
                  </w:r>
                  <w:r w:rsidR="00875FA4">
                    <w:rPr>
                      <w:sz w:val="22"/>
                      <w:szCs w:val="22"/>
                      <w:lang w:val="sr-Latn-ME"/>
                    </w:rPr>
                    <w:t>a</w:t>
                  </w:r>
                  <w:r w:rsidRPr="00900F46">
                    <w:rPr>
                      <w:sz w:val="22"/>
                      <w:szCs w:val="22"/>
                      <w:lang w:val="sr-Latn-ME"/>
                    </w:rPr>
                    <w:t xml:space="preserve"> eritematozus</w:t>
                  </w:r>
                  <w:r w:rsidR="00875FA4">
                    <w:rPr>
                      <w:sz w:val="22"/>
                      <w:szCs w:val="22"/>
                      <w:lang w:val="sr-Latn-ME"/>
                    </w:rPr>
                    <w:t>a</w:t>
                  </w:r>
                  <w:r w:rsidRPr="00900F46">
                    <w:rPr>
                      <w:sz w:val="22"/>
                      <w:szCs w:val="22"/>
                      <w:lang w:val="sr-Latn-ME"/>
                    </w:rPr>
                    <w:t>,</w:t>
                  </w:r>
                  <w:r w:rsidRPr="009533B2">
                    <w:rPr>
                      <w:sz w:val="22"/>
                      <w:szCs w:val="22"/>
                      <w:lang w:val="sr-Latn-ME"/>
                    </w:rPr>
                    <w:t xml:space="preserve"> pankolitis</w:t>
                  </w:r>
                </w:p>
              </w:tc>
              <w:tc>
                <w:tcPr>
                  <w:tcW w:w="1541" w:type="dxa"/>
                  <w:tcBorders>
                    <w:top w:val="single" w:sz="4" w:space="0" w:color="auto"/>
                    <w:left w:val="single" w:sz="4" w:space="0" w:color="auto"/>
                    <w:bottom w:val="single" w:sz="4" w:space="0" w:color="auto"/>
                    <w:right w:val="single" w:sz="4" w:space="0" w:color="auto"/>
                  </w:tcBorders>
                  <w:shd w:val="clear" w:color="auto" w:fill="auto"/>
                </w:tcPr>
                <w:p w14:paraId="387F8C32" w14:textId="77777777" w:rsidR="00EC4C1F" w:rsidRPr="009533B2" w:rsidRDefault="00EC4C1F" w:rsidP="000A3F78">
                  <w:pPr>
                    <w:pStyle w:val="Header"/>
                    <w:tabs>
                      <w:tab w:val="left" w:pos="284"/>
                    </w:tabs>
                    <w:rPr>
                      <w:sz w:val="22"/>
                      <w:szCs w:val="22"/>
                      <w:lang w:val="sr-Latn-ME"/>
                    </w:rPr>
                  </w:pPr>
                </w:p>
              </w:tc>
            </w:tr>
            <w:tr w:rsidR="007F1446" w:rsidRPr="009533B2" w14:paraId="3CF430CF" w14:textId="77777777" w:rsidTr="001D78AB">
              <w:tc>
                <w:tcPr>
                  <w:tcW w:w="1688" w:type="dxa"/>
                  <w:tcBorders>
                    <w:top w:val="single" w:sz="4" w:space="0" w:color="auto"/>
                    <w:left w:val="single" w:sz="4" w:space="0" w:color="auto"/>
                    <w:bottom w:val="single" w:sz="4" w:space="0" w:color="auto"/>
                    <w:right w:val="single" w:sz="4" w:space="0" w:color="auto"/>
                  </w:tcBorders>
                </w:tcPr>
                <w:p w14:paraId="71C8331C" w14:textId="77777777" w:rsidR="000A3F78" w:rsidRPr="009533B2" w:rsidRDefault="000A3F78" w:rsidP="000A3F78">
                  <w:pPr>
                    <w:rPr>
                      <w:sz w:val="22"/>
                      <w:szCs w:val="22"/>
                      <w:lang w:val="sr-Latn-ME"/>
                    </w:rPr>
                  </w:pPr>
                  <w:r w:rsidRPr="009533B2">
                    <w:rPr>
                      <w:sz w:val="22"/>
                      <w:szCs w:val="22"/>
                      <w:lang w:val="sr-Latn-ME"/>
                    </w:rPr>
                    <w:t>Poremećaji nervnog sistema</w:t>
                  </w:r>
                </w:p>
                <w:p w14:paraId="285DA91E" w14:textId="77777777" w:rsidR="000A3F78" w:rsidRPr="009533B2" w:rsidRDefault="000A3F78" w:rsidP="000A3F78">
                  <w:pPr>
                    <w:rPr>
                      <w:sz w:val="22"/>
                      <w:szCs w:val="22"/>
                      <w:lang w:val="sr-Latn-ME"/>
                    </w:rPr>
                  </w:pPr>
                </w:p>
              </w:tc>
              <w:tc>
                <w:tcPr>
                  <w:tcW w:w="1260" w:type="dxa"/>
                  <w:tcBorders>
                    <w:top w:val="single" w:sz="4" w:space="0" w:color="auto"/>
                    <w:left w:val="single" w:sz="4" w:space="0" w:color="auto"/>
                    <w:bottom w:val="single" w:sz="4" w:space="0" w:color="auto"/>
                    <w:right w:val="single" w:sz="4" w:space="0" w:color="auto"/>
                  </w:tcBorders>
                </w:tcPr>
                <w:p w14:paraId="2C2DA5C3" w14:textId="77777777" w:rsidR="000A3F78" w:rsidRPr="009533B2" w:rsidRDefault="00EC4C1F" w:rsidP="000A3F78">
                  <w:pPr>
                    <w:rPr>
                      <w:sz w:val="22"/>
                      <w:szCs w:val="22"/>
                      <w:lang w:val="sr-Latn-ME"/>
                    </w:rPr>
                  </w:pPr>
                  <w:r>
                    <w:rPr>
                      <w:sz w:val="22"/>
                      <w:szCs w:val="22"/>
                      <w:lang w:val="sr-Latn-ME"/>
                    </w:rPr>
                    <w:t>Glavobolja</w:t>
                  </w:r>
                </w:p>
              </w:tc>
              <w:tc>
                <w:tcPr>
                  <w:tcW w:w="1440" w:type="dxa"/>
                  <w:tcBorders>
                    <w:top w:val="single" w:sz="4" w:space="0" w:color="auto"/>
                    <w:left w:val="single" w:sz="4" w:space="0" w:color="auto"/>
                    <w:bottom w:val="single" w:sz="4" w:space="0" w:color="auto"/>
                    <w:right w:val="single" w:sz="4" w:space="0" w:color="auto"/>
                  </w:tcBorders>
                </w:tcPr>
                <w:p w14:paraId="6E3CF6B7" w14:textId="77777777" w:rsidR="000A3F78" w:rsidRPr="009533B2" w:rsidRDefault="000A3F78" w:rsidP="000A3F78">
                  <w:pPr>
                    <w:rPr>
                      <w:sz w:val="22"/>
                      <w:szCs w:val="22"/>
                      <w:lang w:val="sr-Latn-ME"/>
                    </w:rPr>
                  </w:pPr>
                </w:p>
              </w:tc>
              <w:tc>
                <w:tcPr>
                  <w:tcW w:w="1314" w:type="dxa"/>
                  <w:tcBorders>
                    <w:top w:val="single" w:sz="4" w:space="0" w:color="auto"/>
                    <w:left w:val="single" w:sz="4" w:space="0" w:color="auto"/>
                    <w:bottom w:val="single" w:sz="4" w:space="0" w:color="auto"/>
                    <w:right w:val="single" w:sz="4" w:space="0" w:color="auto"/>
                  </w:tcBorders>
                </w:tcPr>
                <w:p w14:paraId="33D1B242" w14:textId="3E27FF3A" w:rsidR="000A3F78" w:rsidRPr="009533B2" w:rsidRDefault="00EC4C1F" w:rsidP="00EC4C1F">
                  <w:pPr>
                    <w:rPr>
                      <w:sz w:val="22"/>
                      <w:szCs w:val="22"/>
                      <w:lang w:val="sr-Latn-ME"/>
                    </w:rPr>
                  </w:pPr>
                  <w:r>
                    <w:rPr>
                      <w:sz w:val="22"/>
                      <w:szCs w:val="22"/>
                      <w:lang w:val="sr-Latn-ME"/>
                    </w:rPr>
                    <w:t>V</w:t>
                  </w:r>
                  <w:r w:rsidR="000A3F78" w:rsidRPr="009533B2">
                    <w:rPr>
                      <w:sz w:val="22"/>
                      <w:szCs w:val="22"/>
                      <w:lang w:val="sr-Latn-ME"/>
                    </w:rPr>
                    <w:t>rtoglavica</w:t>
                  </w:r>
                </w:p>
              </w:tc>
              <w:tc>
                <w:tcPr>
                  <w:tcW w:w="1836" w:type="dxa"/>
                  <w:tcBorders>
                    <w:top w:val="single" w:sz="4" w:space="0" w:color="auto"/>
                    <w:left w:val="single" w:sz="4" w:space="0" w:color="auto"/>
                    <w:bottom w:val="single" w:sz="4" w:space="0" w:color="auto"/>
                    <w:right w:val="single" w:sz="4" w:space="0" w:color="auto"/>
                  </w:tcBorders>
                </w:tcPr>
                <w:p w14:paraId="0EB0577C" w14:textId="77777777" w:rsidR="000A3F78" w:rsidRPr="009533B2" w:rsidRDefault="000A3F78" w:rsidP="000A3F78">
                  <w:pPr>
                    <w:rPr>
                      <w:sz w:val="22"/>
                      <w:szCs w:val="22"/>
                      <w:lang w:val="sr-Latn-ME"/>
                    </w:rPr>
                  </w:pPr>
                  <w:r w:rsidRPr="009533B2">
                    <w:rPr>
                      <w:sz w:val="22"/>
                      <w:szCs w:val="22"/>
                      <w:lang w:val="sr-Latn-ME"/>
                    </w:rPr>
                    <w:t>Periferna neuropatija</w:t>
                  </w:r>
                </w:p>
              </w:tc>
              <w:tc>
                <w:tcPr>
                  <w:tcW w:w="1541" w:type="dxa"/>
                  <w:tcBorders>
                    <w:top w:val="single" w:sz="4" w:space="0" w:color="auto"/>
                    <w:left w:val="single" w:sz="4" w:space="0" w:color="auto"/>
                    <w:bottom w:val="single" w:sz="4" w:space="0" w:color="auto"/>
                    <w:right w:val="single" w:sz="4" w:space="0" w:color="auto"/>
                  </w:tcBorders>
                </w:tcPr>
                <w:p w14:paraId="1E18EACB" w14:textId="77777777" w:rsidR="000A3F78" w:rsidRPr="009533B2" w:rsidRDefault="000A3F78" w:rsidP="000A3F78">
                  <w:pPr>
                    <w:rPr>
                      <w:sz w:val="22"/>
                      <w:szCs w:val="22"/>
                      <w:lang w:val="sr-Latn-ME"/>
                    </w:rPr>
                  </w:pPr>
                </w:p>
              </w:tc>
            </w:tr>
            <w:tr w:rsidR="007F1446" w:rsidRPr="009533B2" w14:paraId="513AE1B3" w14:textId="77777777" w:rsidTr="001D78AB">
              <w:tc>
                <w:tcPr>
                  <w:tcW w:w="1688" w:type="dxa"/>
                  <w:tcBorders>
                    <w:top w:val="single" w:sz="4" w:space="0" w:color="auto"/>
                    <w:left w:val="single" w:sz="4" w:space="0" w:color="auto"/>
                    <w:bottom w:val="single" w:sz="4" w:space="0" w:color="auto"/>
                    <w:right w:val="single" w:sz="4" w:space="0" w:color="auto"/>
                  </w:tcBorders>
                </w:tcPr>
                <w:p w14:paraId="7F013E7A" w14:textId="77777777" w:rsidR="000A3F78" w:rsidRPr="009533B2" w:rsidRDefault="000A3F78" w:rsidP="000A3F78">
                  <w:pPr>
                    <w:rPr>
                      <w:sz w:val="22"/>
                      <w:szCs w:val="22"/>
                      <w:lang w:val="sr-Latn-ME"/>
                    </w:rPr>
                  </w:pPr>
                  <w:r w:rsidRPr="009533B2">
                    <w:rPr>
                      <w:sz w:val="22"/>
                      <w:szCs w:val="22"/>
                      <w:lang w:val="sr-Latn-ME"/>
                    </w:rPr>
                    <w:t>Kardiološki poremećaji</w:t>
                  </w:r>
                </w:p>
                <w:p w14:paraId="6DC6C0E2" w14:textId="77777777" w:rsidR="000A3F78" w:rsidRPr="009533B2" w:rsidRDefault="000A3F78" w:rsidP="000A3F78">
                  <w:pPr>
                    <w:rPr>
                      <w:sz w:val="22"/>
                      <w:szCs w:val="22"/>
                      <w:lang w:val="sr-Latn-ME"/>
                    </w:rPr>
                  </w:pPr>
                </w:p>
              </w:tc>
              <w:tc>
                <w:tcPr>
                  <w:tcW w:w="1260" w:type="dxa"/>
                  <w:tcBorders>
                    <w:top w:val="single" w:sz="4" w:space="0" w:color="auto"/>
                    <w:left w:val="single" w:sz="4" w:space="0" w:color="auto"/>
                    <w:bottom w:val="single" w:sz="4" w:space="0" w:color="auto"/>
                    <w:right w:val="single" w:sz="4" w:space="0" w:color="auto"/>
                  </w:tcBorders>
                </w:tcPr>
                <w:p w14:paraId="7CE293F6" w14:textId="77777777" w:rsidR="000A3F78" w:rsidRPr="009533B2" w:rsidRDefault="000A3F78" w:rsidP="000A3F78">
                  <w:pPr>
                    <w:pStyle w:val="Header"/>
                    <w:tabs>
                      <w:tab w:val="left" w:pos="284"/>
                    </w:tabs>
                    <w:rPr>
                      <w:sz w:val="22"/>
                      <w:szCs w:val="22"/>
                      <w:lang w:val="sr-Latn-ME"/>
                    </w:rPr>
                  </w:pPr>
                </w:p>
              </w:tc>
              <w:tc>
                <w:tcPr>
                  <w:tcW w:w="1440" w:type="dxa"/>
                  <w:tcBorders>
                    <w:top w:val="single" w:sz="4" w:space="0" w:color="auto"/>
                    <w:left w:val="single" w:sz="4" w:space="0" w:color="auto"/>
                    <w:bottom w:val="single" w:sz="4" w:space="0" w:color="auto"/>
                    <w:right w:val="single" w:sz="4" w:space="0" w:color="auto"/>
                  </w:tcBorders>
                </w:tcPr>
                <w:p w14:paraId="1B5339EF" w14:textId="77777777" w:rsidR="000A3F78" w:rsidRPr="009533B2" w:rsidRDefault="000A3F78" w:rsidP="000A3F78">
                  <w:pPr>
                    <w:rPr>
                      <w:sz w:val="22"/>
                      <w:szCs w:val="22"/>
                      <w:lang w:val="sr-Latn-ME"/>
                    </w:rPr>
                  </w:pPr>
                </w:p>
              </w:tc>
              <w:tc>
                <w:tcPr>
                  <w:tcW w:w="1314" w:type="dxa"/>
                  <w:tcBorders>
                    <w:top w:val="single" w:sz="4" w:space="0" w:color="auto"/>
                    <w:left w:val="single" w:sz="4" w:space="0" w:color="auto"/>
                    <w:bottom w:val="single" w:sz="4" w:space="0" w:color="auto"/>
                    <w:right w:val="single" w:sz="4" w:space="0" w:color="auto"/>
                  </w:tcBorders>
                </w:tcPr>
                <w:p w14:paraId="62E23926" w14:textId="77777777" w:rsidR="000A3F78" w:rsidRPr="009533B2" w:rsidRDefault="000A3F78" w:rsidP="000A3F78">
                  <w:pPr>
                    <w:rPr>
                      <w:sz w:val="22"/>
                      <w:szCs w:val="22"/>
                      <w:lang w:val="sr-Latn-ME"/>
                    </w:rPr>
                  </w:pPr>
                  <w:r w:rsidRPr="009533B2">
                    <w:rPr>
                      <w:sz w:val="22"/>
                      <w:szCs w:val="22"/>
                      <w:lang w:val="sr-Latn-ME"/>
                    </w:rPr>
                    <w:t>Miokarditis, perikarditis</w:t>
                  </w:r>
                </w:p>
              </w:tc>
              <w:tc>
                <w:tcPr>
                  <w:tcW w:w="1836" w:type="dxa"/>
                  <w:tcBorders>
                    <w:top w:val="single" w:sz="4" w:space="0" w:color="auto"/>
                    <w:left w:val="single" w:sz="4" w:space="0" w:color="auto"/>
                    <w:bottom w:val="single" w:sz="4" w:space="0" w:color="auto"/>
                    <w:right w:val="single" w:sz="4" w:space="0" w:color="auto"/>
                  </w:tcBorders>
                </w:tcPr>
                <w:p w14:paraId="1BB750E8" w14:textId="77777777" w:rsidR="000A3F78" w:rsidRPr="009533B2" w:rsidRDefault="000A3F78" w:rsidP="000A3F78">
                  <w:pPr>
                    <w:rPr>
                      <w:sz w:val="22"/>
                      <w:szCs w:val="22"/>
                      <w:lang w:val="sr-Latn-ME"/>
                    </w:rPr>
                  </w:pPr>
                </w:p>
              </w:tc>
              <w:tc>
                <w:tcPr>
                  <w:tcW w:w="1541" w:type="dxa"/>
                  <w:tcBorders>
                    <w:top w:val="single" w:sz="4" w:space="0" w:color="auto"/>
                    <w:left w:val="single" w:sz="4" w:space="0" w:color="auto"/>
                    <w:bottom w:val="single" w:sz="4" w:space="0" w:color="auto"/>
                    <w:right w:val="single" w:sz="4" w:space="0" w:color="auto"/>
                  </w:tcBorders>
                </w:tcPr>
                <w:p w14:paraId="62A78F8C" w14:textId="77777777" w:rsidR="000A3F78" w:rsidRPr="009533B2" w:rsidRDefault="000A3F78" w:rsidP="000A3F78">
                  <w:pPr>
                    <w:rPr>
                      <w:sz w:val="22"/>
                      <w:szCs w:val="22"/>
                      <w:lang w:val="sr-Latn-ME"/>
                    </w:rPr>
                  </w:pPr>
                </w:p>
              </w:tc>
            </w:tr>
            <w:tr w:rsidR="007F1446" w:rsidRPr="001D78AB" w14:paraId="6D6E809B" w14:textId="77777777" w:rsidTr="001D78AB">
              <w:tc>
                <w:tcPr>
                  <w:tcW w:w="1688" w:type="dxa"/>
                  <w:tcBorders>
                    <w:top w:val="single" w:sz="4" w:space="0" w:color="auto"/>
                    <w:left w:val="single" w:sz="4" w:space="0" w:color="auto"/>
                    <w:bottom w:val="single" w:sz="4" w:space="0" w:color="auto"/>
                    <w:right w:val="single" w:sz="4" w:space="0" w:color="auto"/>
                  </w:tcBorders>
                </w:tcPr>
                <w:p w14:paraId="5AF162D2" w14:textId="77777777" w:rsidR="000A3F78" w:rsidRPr="009533B2" w:rsidRDefault="000A3F78" w:rsidP="000A3F78">
                  <w:pPr>
                    <w:rPr>
                      <w:sz w:val="22"/>
                      <w:szCs w:val="22"/>
                      <w:lang w:val="sr-Latn-ME"/>
                    </w:rPr>
                  </w:pPr>
                  <w:r w:rsidRPr="009533B2">
                    <w:rPr>
                      <w:sz w:val="22"/>
                      <w:szCs w:val="22"/>
                      <w:lang w:val="sr-Latn-ME"/>
                    </w:rPr>
                    <w:t>Respiratorni, torakalni i medijastinalni poremećaji</w:t>
                  </w:r>
                </w:p>
              </w:tc>
              <w:tc>
                <w:tcPr>
                  <w:tcW w:w="1260" w:type="dxa"/>
                  <w:tcBorders>
                    <w:top w:val="single" w:sz="4" w:space="0" w:color="auto"/>
                    <w:left w:val="single" w:sz="4" w:space="0" w:color="auto"/>
                    <w:bottom w:val="single" w:sz="4" w:space="0" w:color="auto"/>
                    <w:right w:val="single" w:sz="4" w:space="0" w:color="auto"/>
                  </w:tcBorders>
                </w:tcPr>
                <w:p w14:paraId="79690779" w14:textId="77777777" w:rsidR="000A3F78" w:rsidRPr="009533B2" w:rsidRDefault="000A3F78" w:rsidP="000A3F78">
                  <w:pPr>
                    <w:pStyle w:val="Header"/>
                    <w:tabs>
                      <w:tab w:val="left" w:pos="284"/>
                    </w:tabs>
                    <w:rPr>
                      <w:sz w:val="22"/>
                      <w:szCs w:val="22"/>
                      <w:lang w:val="sr-Latn-ME"/>
                    </w:rPr>
                  </w:pPr>
                </w:p>
              </w:tc>
              <w:tc>
                <w:tcPr>
                  <w:tcW w:w="1440" w:type="dxa"/>
                  <w:tcBorders>
                    <w:top w:val="single" w:sz="4" w:space="0" w:color="auto"/>
                    <w:left w:val="single" w:sz="4" w:space="0" w:color="auto"/>
                    <w:bottom w:val="single" w:sz="4" w:space="0" w:color="auto"/>
                    <w:right w:val="single" w:sz="4" w:space="0" w:color="auto"/>
                  </w:tcBorders>
                </w:tcPr>
                <w:p w14:paraId="4D50B075" w14:textId="77777777" w:rsidR="000A3F78" w:rsidRPr="009533B2" w:rsidRDefault="000A3F78" w:rsidP="000A3F78">
                  <w:pPr>
                    <w:rPr>
                      <w:sz w:val="22"/>
                      <w:szCs w:val="22"/>
                      <w:lang w:val="sr-Latn-ME"/>
                    </w:rPr>
                  </w:pPr>
                </w:p>
              </w:tc>
              <w:tc>
                <w:tcPr>
                  <w:tcW w:w="1314" w:type="dxa"/>
                  <w:tcBorders>
                    <w:top w:val="single" w:sz="4" w:space="0" w:color="auto"/>
                    <w:left w:val="single" w:sz="4" w:space="0" w:color="auto"/>
                    <w:bottom w:val="single" w:sz="4" w:space="0" w:color="auto"/>
                    <w:right w:val="single" w:sz="4" w:space="0" w:color="auto"/>
                  </w:tcBorders>
                </w:tcPr>
                <w:p w14:paraId="2B8E49F4" w14:textId="77777777" w:rsidR="000A3F78" w:rsidRPr="009533B2" w:rsidRDefault="000A3F78" w:rsidP="000A3F78">
                  <w:pPr>
                    <w:rPr>
                      <w:sz w:val="22"/>
                      <w:szCs w:val="22"/>
                      <w:lang w:val="sr-Latn-ME"/>
                    </w:rPr>
                  </w:pPr>
                </w:p>
              </w:tc>
              <w:tc>
                <w:tcPr>
                  <w:tcW w:w="1836" w:type="dxa"/>
                  <w:tcBorders>
                    <w:top w:val="single" w:sz="4" w:space="0" w:color="auto"/>
                    <w:left w:val="single" w:sz="4" w:space="0" w:color="auto"/>
                    <w:bottom w:val="single" w:sz="4" w:space="0" w:color="auto"/>
                    <w:right w:val="single" w:sz="4" w:space="0" w:color="auto"/>
                  </w:tcBorders>
                </w:tcPr>
                <w:p w14:paraId="0CB7DA21" w14:textId="5273BE99" w:rsidR="000A3F78" w:rsidRPr="009533B2" w:rsidRDefault="000A3F78" w:rsidP="000A3F78">
                  <w:pPr>
                    <w:rPr>
                      <w:sz w:val="22"/>
                      <w:szCs w:val="22"/>
                      <w:lang w:val="sr-Latn-ME"/>
                    </w:rPr>
                  </w:pPr>
                  <w:r w:rsidRPr="009533B2">
                    <w:rPr>
                      <w:sz w:val="22"/>
                      <w:szCs w:val="22"/>
                      <w:lang w:val="sr-Latn-ME"/>
                    </w:rPr>
                    <w:t>Plućne reakcije</w:t>
                  </w:r>
                  <w:r w:rsidR="00196095">
                    <w:rPr>
                      <w:sz w:val="22"/>
                      <w:szCs w:val="22"/>
                      <w:lang w:val="sr-Latn-ME"/>
                    </w:rPr>
                    <w:t xml:space="preserve"> </w:t>
                  </w:r>
                  <w:r w:rsidRPr="009533B2">
                    <w:rPr>
                      <w:sz w:val="22"/>
                      <w:szCs w:val="22"/>
                      <w:lang w:val="sr-Latn-ME"/>
                    </w:rPr>
                    <w:t>alergijskog i fibroznog tipa (uključujući dispneju, kašalj, bronhospaza</w:t>
                  </w:r>
                  <w:r w:rsidR="00BF6A71">
                    <w:rPr>
                      <w:sz w:val="22"/>
                      <w:szCs w:val="22"/>
                      <w:lang w:val="sr-Latn-ME"/>
                    </w:rPr>
                    <w:t>m</w:t>
                  </w:r>
                  <w:r w:rsidRPr="009533B2">
                    <w:rPr>
                      <w:sz w:val="22"/>
                      <w:szCs w:val="22"/>
                      <w:lang w:val="sr-Latn-ME"/>
                    </w:rPr>
                    <w:t xml:space="preserve">, </w:t>
                  </w:r>
                  <w:r w:rsidRPr="009533B2">
                    <w:rPr>
                      <w:sz w:val="22"/>
                      <w:szCs w:val="22"/>
                      <w:lang w:val="sr-Latn-ME"/>
                    </w:rPr>
                    <w:lastRenderedPageBreak/>
                    <w:t>alveolitis, plućnu eozinofiliju, infiltraciju pluća, pneumonitis)</w:t>
                  </w:r>
                </w:p>
              </w:tc>
              <w:tc>
                <w:tcPr>
                  <w:tcW w:w="1541" w:type="dxa"/>
                  <w:tcBorders>
                    <w:top w:val="single" w:sz="4" w:space="0" w:color="auto"/>
                    <w:left w:val="single" w:sz="4" w:space="0" w:color="auto"/>
                    <w:bottom w:val="single" w:sz="4" w:space="0" w:color="auto"/>
                    <w:right w:val="single" w:sz="4" w:space="0" w:color="auto"/>
                  </w:tcBorders>
                </w:tcPr>
                <w:p w14:paraId="0437D838" w14:textId="77777777" w:rsidR="000A3F78" w:rsidRPr="009533B2" w:rsidRDefault="000A3F78" w:rsidP="000A3F78">
                  <w:pPr>
                    <w:rPr>
                      <w:sz w:val="22"/>
                      <w:szCs w:val="22"/>
                      <w:lang w:val="sr-Latn-ME"/>
                    </w:rPr>
                  </w:pPr>
                </w:p>
              </w:tc>
            </w:tr>
            <w:tr w:rsidR="007F1446" w:rsidRPr="00CA286B" w14:paraId="405BEB26" w14:textId="77777777" w:rsidTr="001D78AB">
              <w:tc>
                <w:tcPr>
                  <w:tcW w:w="1688" w:type="dxa"/>
                  <w:tcBorders>
                    <w:top w:val="single" w:sz="4" w:space="0" w:color="auto"/>
                    <w:left w:val="single" w:sz="4" w:space="0" w:color="auto"/>
                    <w:bottom w:val="single" w:sz="4" w:space="0" w:color="auto"/>
                    <w:right w:val="single" w:sz="4" w:space="0" w:color="auto"/>
                  </w:tcBorders>
                </w:tcPr>
                <w:p w14:paraId="4348B737" w14:textId="77777777" w:rsidR="000A3F78" w:rsidRPr="009533B2" w:rsidRDefault="000A3F78" w:rsidP="000A3F78">
                  <w:pPr>
                    <w:rPr>
                      <w:sz w:val="22"/>
                      <w:szCs w:val="22"/>
                      <w:lang w:val="sr-Latn-ME"/>
                    </w:rPr>
                  </w:pPr>
                  <w:r w:rsidRPr="009533B2">
                    <w:rPr>
                      <w:sz w:val="22"/>
                      <w:szCs w:val="22"/>
                      <w:lang w:val="sr-Latn-ME"/>
                    </w:rPr>
                    <w:t>Gastrointestinalni poremećaji</w:t>
                  </w:r>
                </w:p>
              </w:tc>
              <w:tc>
                <w:tcPr>
                  <w:tcW w:w="1260" w:type="dxa"/>
                  <w:tcBorders>
                    <w:top w:val="single" w:sz="4" w:space="0" w:color="auto"/>
                    <w:left w:val="single" w:sz="4" w:space="0" w:color="auto"/>
                    <w:bottom w:val="single" w:sz="4" w:space="0" w:color="auto"/>
                    <w:right w:val="single" w:sz="4" w:space="0" w:color="auto"/>
                  </w:tcBorders>
                </w:tcPr>
                <w:p w14:paraId="57A98B07" w14:textId="77777777" w:rsidR="000A3F78" w:rsidRPr="009533B2" w:rsidRDefault="000A3F78" w:rsidP="000A3F78">
                  <w:pPr>
                    <w:pStyle w:val="Header"/>
                    <w:tabs>
                      <w:tab w:val="left" w:pos="284"/>
                    </w:tabs>
                    <w:rPr>
                      <w:sz w:val="22"/>
                      <w:szCs w:val="22"/>
                      <w:lang w:val="sr-Latn-ME"/>
                    </w:rPr>
                  </w:pPr>
                </w:p>
              </w:tc>
              <w:tc>
                <w:tcPr>
                  <w:tcW w:w="1440" w:type="dxa"/>
                  <w:tcBorders>
                    <w:top w:val="single" w:sz="4" w:space="0" w:color="auto"/>
                    <w:left w:val="single" w:sz="4" w:space="0" w:color="auto"/>
                    <w:bottom w:val="single" w:sz="4" w:space="0" w:color="auto"/>
                    <w:right w:val="single" w:sz="4" w:space="0" w:color="auto"/>
                  </w:tcBorders>
                </w:tcPr>
                <w:p w14:paraId="1E47616A" w14:textId="77777777" w:rsidR="000A3F78" w:rsidRPr="009533B2" w:rsidRDefault="00EC4C1F" w:rsidP="000A3F78">
                  <w:pPr>
                    <w:rPr>
                      <w:sz w:val="22"/>
                      <w:szCs w:val="22"/>
                      <w:lang w:val="sr-Latn-ME"/>
                    </w:rPr>
                  </w:pPr>
                  <w:r w:rsidRPr="009533B2">
                    <w:rPr>
                      <w:sz w:val="22"/>
                      <w:szCs w:val="22"/>
                      <w:lang w:val="sr-Latn-ME"/>
                    </w:rPr>
                    <w:t xml:space="preserve">Abdominalni bol, dijareja, </w:t>
                  </w:r>
                  <w:r>
                    <w:rPr>
                      <w:sz w:val="22"/>
                      <w:szCs w:val="22"/>
                      <w:lang w:val="sr-Latn-ME"/>
                    </w:rPr>
                    <w:t xml:space="preserve">dispepsija, </w:t>
                  </w:r>
                  <w:r w:rsidRPr="009533B2">
                    <w:rPr>
                      <w:sz w:val="22"/>
                      <w:szCs w:val="22"/>
                      <w:lang w:val="sr-Latn-ME"/>
                    </w:rPr>
                    <w:t>flatulencija, mučnina, povraćanje</w:t>
                  </w:r>
                  <w:r>
                    <w:rPr>
                      <w:sz w:val="22"/>
                      <w:szCs w:val="22"/>
                      <w:lang w:val="sr-Latn-ME"/>
                    </w:rPr>
                    <w:t>, akutni pankreatitis</w:t>
                  </w:r>
                </w:p>
              </w:tc>
              <w:tc>
                <w:tcPr>
                  <w:tcW w:w="1314" w:type="dxa"/>
                  <w:tcBorders>
                    <w:top w:val="single" w:sz="4" w:space="0" w:color="auto"/>
                    <w:left w:val="single" w:sz="4" w:space="0" w:color="auto"/>
                    <w:bottom w:val="single" w:sz="4" w:space="0" w:color="auto"/>
                    <w:right w:val="single" w:sz="4" w:space="0" w:color="auto"/>
                  </w:tcBorders>
                </w:tcPr>
                <w:p w14:paraId="3370D921" w14:textId="38548A66" w:rsidR="000A3F78" w:rsidRPr="009533B2" w:rsidRDefault="000A3F78" w:rsidP="000A3F78">
                  <w:pPr>
                    <w:rPr>
                      <w:sz w:val="22"/>
                      <w:szCs w:val="22"/>
                      <w:lang w:val="sr-Latn-ME"/>
                    </w:rPr>
                  </w:pPr>
                </w:p>
              </w:tc>
              <w:tc>
                <w:tcPr>
                  <w:tcW w:w="1836" w:type="dxa"/>
                  <w:tcBorders>
                    <w:top w:val="single" w:sz="4" w:space="0" w:color="auto"/>
                    <w:left w:val="single" w:sz="4" w:space="0" w:color="auto"/>
                    <w:bottom w:val="single" w:sz="4" w:space="0" w:color="auto"/>
                    <w:right w:val="single" w:sz="4" w:space="0" w:color="auto"/>
                  </w:tcBorders>
                </w:tcPr>
                <w:p w14:paraId="0B46949E" w14:textId="1E4E31A4" w:rsidR="000A3F78" w:rsidRPr="009533B2" w:rsidRDefault="000A3F78" w:rsidP="000A3F78">
                  <w:pPr>
                    <w:rPr>
                      <w:sz w:val="22"/>
                      <w:szCs w:val="22"/>
                      <w:lang w:val="sr-Latn-ME"/>
                    </w:rPr>
                  </w:pPr>
                </w:p>
              </w:tc>
              <w:tc>
                <w:tcPr>
                  <w:tcW w:w="1541" w:type="dxa"/>
                  <w:tcBorders>
                    <w:top w:val="single" w:sz="4" w:space="0" w:color="auto"/>
                    <w:left w:val="single" w:sz="4" w:space="0" w:color="auto"/>
                    <w:bottom w:val="single" w:sz="4" w:space="0" w:color="auto"/>
                    <w:right w:val="single" w:sz="4" w:space="0" w:color="auto"/>
                  </w:tcBorders>
                </w:tcPr>
                <w:p w14:paraId="2DC02BC5" w14:textId="77777777" w:rsidR="000A3F78" w:rsidRPr="009533B2" w:rsidRDefault="000A3F78" w:rsidP="000A3F78">
                  <w:pPr>
                    <w:rPr>
                      <w:sz w:val="22"/>
                      <w:szCs w:val="22"/>
                      <w:lang w:val="sr-Latn-ME"/>
                    </w:rPr>
                  </w:pPr>
                </w:p>
              </w:tc>
            </w:tr>
            <w:tr w:rsidR="007F1446" w:rsidRPr="009533B2" w14:paraId="098DDAE8" w14:textId="77777777" w:rsidTr="001D78AB">
              <w:tc>
                <w:tcPr>
                  <w:tcW w:w="1688" w:type="dxa"/>
                  <w:tcBorders>
                    <w:top w:val="single" w:sz="4" w:space="0" w:color="auto"/>
                    <w:left w:val="single" w:sz="4" w:space="0" w:color="auto"/>
                    <w:bottom w:val="single" w:sz="4" w:space="0" w:color="auto"/>
                    <w:right w:val="single" w:sz="4" w:space="0" w:color="auto"/>
                  </w:tcBorders>
                </w:tcPr>
                <w:p w14:paraId="2158EEB1" w14:textId="38D3181A" w:rsidR="000A3F78" w:rsidRPr="009533B2" w:rsidRDefault="00EC4C1F" w:rsidP="000A3F78">
                  <w:pPr>
                    <w:rPr>
                      <w:sz w:val="22"/>
                      <w:szCs w:val="22"/>
                      <w:lang w:val="sr-Latn-ME"/>
                    </w:rPr>
                  </w:pPr>
                  <w:r w:rsidRPr="009533B2">
                    <w:rPr>
                      <w:sz w:val="22"/>
                      <w:szCs w:val="22"/>
                      <w:lang w:val="sr-Latn-ME"/>
                    </w:rPr>
                    <w:t>Poremećaji hepatobilijarnog sistema</w:t>
                  </w:r>
                </w:p>
              </w:tc>
              <w:tc>
                <w:tcPr>
                  <w:tcW w:w="1260" w:type="dxa"/>
                  <w:tcBorders>
                    <w:top w:val="single" w:sz="4" w:space="0" w:color="auto"/>
                    <w:left w:val="single" w:sz="4" w:space="0" w:color="auto"/>
                    <w:bottom w:val="single" w:sz="4" w:space="0" w:color="auto"/>
                    <w:right w:val="single" w:sz="4" w:space="0" w:color="auto"/>
                  </w:tcBorders>
                </w:tcPr>
                <w:p w14:paraId="6BC9C6A1" w14:textId="77777777" w:rsidR="000A3F78" w:rsidRPr="009533B2" w:rsidRDefault="000A3F78" w:rsidP="000A3F78">
                  <w:pPr>
                    <w:rPr>
                      <w:sz w:val="22"/>
                      <w:szCs w:val="22"/>
                      <w:lang w:val="sr-Latn-ME"/>
                    </w:rPr>
                  </w:pPr>
                </w:p>
              </w:tc>
              <w:tc>
                <w:tcPr>
                  <w:tcW w:w="1440" w:type="dxa"/>
                  <w:tcBorders>
                    <w:top w:val="single" w:sz="4" w:space="0" w:color="auto"/>
                    <w:left w:val="single" w:sz="4" w:space="0" w:color="auto"/>
                    <w:bottom w:val="single" w:sz="4" w:space="0" w:color="auto"/>
                    <w:right w:val="single" w:sz="4" w:space="0" w:color="auto"/>
                  </w:tcBorders>
                </w:tcPr>
                <w:p w14:paraId="36D5EF85" w14:textId="77777777" w:rsidR="000A3F78" w:rsidRPr="009533B2" w:rsidRDefault="000A3F78" w:rsidP="000A3F78">
                  <w:pPr>
                    <w:rPr>
                      <w:sz w:val="22"/>
                      <w:szCs w:val="22"/>
                      <w:lang w:val="sr-Latn-ME"/>
                    </w:rPr>
                  </w:pPr>
                </w:p>
              </w:tc>
              <w:tc>
                <w:tcPr>
                  <w:tcW w:w="1314" w:type="dxa"/>
                  <w:tcBorders>
                    <w:top w:val="single" w:sz="4" w:space="0" w:color="auto"/>
                    <w:left w:val="single" w:sz="4" w:space="0" w:color="auto"/>
                    <w:bottom w:val="single" w:sz="4" w:space="0" w:color="auto"/>
                    <w:right w:val="single" w:sz="4" w:space="0" w:color="auto"/>
                  </w:tcBorders>
                </w:tcPr>
                <w:p w14:paraId="4852A3D9" w14:textId="77777777" w:rsidR="000A3F78" w:rsidRPr="009533B2" w:rsidRDefault="00EC4C1F" w:rsidP="000A3F78">
                  <w:pPr>
                    <w:rPr>
                      <w:sz w:val="22"/>
                      <w:szCs w:val="22"/>
                      <w:lang w:val="sr-Latn-ME"/>
                    </w:rPr>
                  </w:pPr>
                  <w:r>
                    <w:rPr>
                      <w:sz w:val="22"/>
                      <w:szCs w:val="22"/>
                      <w:lang w:val="sr-Latn-ME"/>
                    </w:rPr>
                    <w:t>Holestatički hepatitis</w:t>
                  </w:r>
                </w:p>
              </w:tc>
              <w:tc>
                <w:tcPr>
                  <w:tcW w:w="1836" w:type="dxa"/>
                  <w:tcBorders>
                    <w:top w:val="single" w:sz="4" w:space="0" w:color="auto"/>
                    <w:left w:val="single" w:sz="4" w:space="0" w:color="auto"/>
                    <w:bottom w:val="single" w:sz="4" w:space="0" w:color="auto"/>
                    <w:right w:val="single" w:sz="4" w:space="0" w:color="auto"/>
                  </w:tcBorders>
                </w:tcPr>
                <w:p w14:paraId="25649034" w14:textId="155067C7" w:rsidR="000A3F78" w:rsidRPr="009533B2" w:rsidRDefault="00EC4C1F" w:rsidP="000A3F78">
                  <w:pPr>
                    <w:rPr>
                      <w:sz w:val="22"/>
                      <w:szCs w:val="22"/>
                      <w:lang w:val="sr-Latn-ME"/>
                    </w:rPr>
                  </w:pPr>
                  <w:r>
                    <w:rPr>
                      <w:sz w:val="22"/>
                      <w:szCs w:val="22"/>
                      <w:lang w:val="sr-Latn-ME"/>
                    </w:rPr>
                    <w:t>Hepatitis</w:t>
                  </w:r>
                </w:p>
              </w:tc>
              <w:tc>
                <w:tcPr>
                  <w:tcW w:w="1541" w:type="dxa"/>
                  <w:tcBorders>
                    <w:top w:val="single" w:sz="4" w:space="0" w:color="auto"/>
                    <w:left w:val="single" w:sz="4" w:space="0" w:color="auto"/>
                    <w:bottom w:val="single" w:sz="4" w:space="0" w:color="auto"/>
                    <w:right w:val="single" w:sz="4" w:space="0" w:color="auto"/>
                  </w:tcBorders>
                </w:tcPr>
                <w:p w14:paraId="1DFCE299" w14:textId="77777777" w:rsidR="000A3F78" w:rsidRPr="009533B2" w:rsidRDefault="000A3F78" w:rsidP="000A3F78">
                  <w:pPr>
                    <w:rPr>
                      <w:sz w:val="22"/>
                      <w:szCs w:val="22"/>
                      <w:lang w:val="sr-Latn-ME"/>
                    </w:rPr>
                  </w:pPr>
                </w:p>
              </w:tc>
            </w:tr>
            <w:tr w:rsidR="007F1446" w:rsidRPr="001D78AB" w14:paraId="6AD03B1A" w14:textId="77777777" w:rsidTr="001D78AB">
              <w:tc>
                <w:tcPr>
                  <w:tcW w:w="1688" w:type="dxa"/>
                  <w:tcBorders>
                    <w:top w:val="single" w:sz="4" w:space="0" w:color="auto"/>
                    <w:left w:val="single" w:sz="4" w:space="0" w:color="auto"/>
                    <w:bottom w:val="single" w:sz="4" w:space="0" w:color="auto"/>
                    <w:right w:val="single" w:sz="4" w:space="0" w:color="auto"/>
                  </w:tcBorders>
                </w:tcPr>
                <w:p w14:paraId="2213A929" w14:textId="77777777" w:rsidR="000A3F78" w:rsidRPr="009533B2" w:rsidRDefault="000A3F78" w:rsidP="000A3F78">
                  <w:pPr>
                    <w:rPr>
                      <w:sz w:val="22"/>
                      <w:szCs w:val="22"/>
                      <w:lang w:val="sr-Latn-ME"/>
                    </w:rPr>
                  </w:pPr>
                  <w:r w:rsidRPr="009533B2">
                    <w:rPr>
                      <w:sz w:val="22"/>
                      <w:szCs w:val="22"/>
                      <w:lang w:val="sr-Latn-ME"/>
                    </w:rPr>
                    <w:t>Poremećaji kože i potkožnog tkiva</w:t>
                  </w:r>
                </w:p>
              </w:tc>
              <w:tc>
                <w:tcPr>
                  <w:tcW w:w="1260" w:type="dxa"/>
                  <w:tcBorders>
                    <w:top w:val="single" w:sz="4" w:space="0" w:color="auto"/>
                    <w:left w:val="single" w:sz="4" w:space="0" w:color="auto"/>
                    <w:bottom w:val="single" w:sz="4" w:space="0" w:color="auto"/>
                    <w:right w:val="single" w:sz="4" w:space="0" w:color="auto"/>
                  </w:tcBorders>
                </w:tcPr>
                <w:p w14:paraId="674D4A2E" w14:textId="0392091E" w:rsidR="000A3F78" w:rsidRPr="009533B2" w:rsidRDefault="007F1446" w:rsidP="000A3F78">
                  <w:pPr>
                    <w:rPr>
                      <w:sz w:val="22"/>
                      <w:szCs w:val="22"/>
                      <w:lang w:val="sr-Latn-ME"/>
                    </w:rPr>
                  </w:pPr>
                  <w:r>
                    <w:rPr>
                      <w:sz w:val="22"/>
                      <w:szCs w:val="22"/>
                      <w:lang w:val="sr-Latn-ME"/>
                    </w:rPr>
                    <w:t>Osip, pruritus</w:t>
                  </w:r>
                </w:p>
              </w:tc>
              <w:tc>
                <w:tcPr>
                  <w:tcW w:w="1440" w:type="dxa"/>
                  <w:tcBorders>
                    <w:top w:val="single" w:sz="4" w:space="0" w:color="auto"/>
                    <w:left w:val="single" w:sz="4" w:space="0" w:color="auto"/>
                    <w:bottom w:val="single" w:sz="4" w:space="0" w:color="auto"/>
                    <w:right w:val="single" w:sz="4" w:space="0" w:color="auto"/>
                  </w:tcBorders>
                </w:tcPr>
                <w:p w14:paraId="1B23C112" w14:textId="77777777" w:rsidR="000A3F78" w:rsidRPr="009533B2" w:rsidRDefault="000A3F78" w:rsidP="000A3F78">
                  <w:pPr>
                    <w:rPr>
                      <w:sz w:val="22"/>
                      <w:szCs w:val="22"/>
                      <w:lang w:val="sr-Latn-ME"/>
                    </w:rPr>
                  </w:pPr>
                </w:p>
              </w:tc>
              <w:tc>
                <w:tcPr>
                  <w:tcW w:w="1314" w:type="dxa"/>
                  <w:tcBorders>
                    <w:top w:val="single" w:sz="4" w:space="0" w:color="auto"/>
                    <w:left w:val="single" w:sz="4" w:space="0" w:color="auto"/>
                    <w:bottom w:val="single" w:sz="4" w:space="0" w:color="auto"/>
                    <w:right w:val="single" w:sz="4" w:space="0" w:color="auto"/>
                  </w:tcBorders>
                </w:tcPr>
                <w:p w14:paraId="45B29AC4" w14:textId="48A9F7F6" w:rsidR="000A3F78" w:rsidRPr="009533B2" w:rsidRDefault="000A3F78" w:rsidP="000A3F78">
                  <w:pPr>
                    <w:rPr>
                      <w:sz w:val="22"/>
                      <w:szCs w:val="22"/>
                      <w:lang w:val="sr-Latn-ME"/>
                    </w:rPr>
                  </w:pPr>
                  <w:r w:rsidRPr="009533B2">
                    <w:rPr>
                      <w:sz w:val="22"/>
                      <w:szCs w:val="22"/>
                      <w:lang w:val="sr-Latn-ME"/>
                    </w:rPr>
                    <w:t>Fotoosjetljivost</w:t>
                  </w:r>
                </w:p>
              </w:tc>
              <w:tc>
                <w:tcPr>
                  <w:tcW w:w="1836" w:type="dxa"/>
                  <w:tcBorders>
                    <w:top w:val="single" w:sz="4" w:space="0" w:color="auto"/>
                    <w:left w:val="single" w:sz="4" w:space="0" w:color="auto"/>
                    <w:bottom w:val="single" w:sz="4" w:space="0" w:color="auto"/>
                    <w:right w:val="single" w:sz="4" w:space="0" w:color="auto"/>
                  </w:tcBorders>
                </w:tcPr>
                <w:p w14:paraId="6FE83920" w14:textId="3B9A7AD3" w:rsidR="000A3F78" w:rsidRPr="009533B2" w:rsidRDefault="000A3F78" w:rsidP="00EC4C1F">
                  <w:pPr>
                    <w:rPr>
                      <w:sz w:val="22"/>
                      <w:szCs w:val="22"/>
                      <w:lang w:val="sr-Latn-ME"/>
                    </w:rPr>
                  </w:pPr>
                  <w:r w:rsidRPr="009533B2">
                    <w:rPr>
                      <w:sz w:val="22"/>
                      <w:szCs w:val="22"/>
                      <w:lang w:val="sr-Latn-ME"/>
                    </w:rPr>
                    <w:t>Alopecija</w:t>
                  </w:r>
                </w:p>
              </w:tc>
              <w:tc>
                <w:tcPr>
                  <w:tcW w:w="1541" w:type="dxa"/>
                  <w:tcBorders>
                    <w:top w:val="single" w:sz="4" w:space="0" w:color="auto"/>
                    <w:left w:val="single" w:sz="4" w:space="0" w:color="auto"/>
                    <w:bottom w:val="single" w:sz="4" w:space="0" w:color="auto"/>
                    <w:right w:val="single" w:sz="4" w:space="0" w:color="auto"/>
                  </w:tcBorders>
                </w:tcPr>
                <w:p w14:paraId="3AE47E5B" w14:textId="5C9CEFAC" w:rsidR="000A3F78" w:rsidRPr="009533B2" w:rsidRDefault="00196095" w:rsidP="000A3F78">
                  <w:pPr>
                    <w:rPr>
                      <w:sz w:val="22"/>
                      <w:szCs w:val="22"/>
                      <w:lang w:val="sr-Latn-ME"/>
                    </w:rPr>
                  </w:pPr>
                  <w:r>
                    <w:rPr>
                      <w:sz w:val="22"/>
                      <w:szCs w:val="22"/>
                      <w:lang w:val="sr-Latn-ME"/>
                    </w:rPr>
                    <w:t>R</w:t>
                  </w:r>
                  <w:r w:rsidR="007F1446" w:rsidRPr="007F1446">
                    <w:rPr>
                      <w:sz w:val="22"/>
                      <w:szCs w:val="22"/>
                      <w:lang w:val="sr-Latn-ME"/>
                    </w:rPr>
                    <w:t>eakcija na l</w:t>
                  </w:r>
                  <w:r w:rsidR="007F1446">
                    <w:rPr>
                      <w:sz w:val="22"/>
                      <w:szCs w:val="22"/>
                      <w:lang w:val="sr-Latn-ME"/>
                    </w:rPr>
                    <w:t>ij</w:t>
                  </w:r>
                  <w:r w:rsidR="007F1446" w:rsidRPr="007F1446">
                    <w:rPr>
                      <w:sz w:val="22"/>
                      <w:szCs w:val="22"/>
                      <w:lang w:val="sr-Latn-ME"/>
                    </w:rPr>
                    <w:t xml:space="preserve">ek sa eozinofilijom i sistemskim simptomima (DRESS), </w:t>
                  </w:r>
                  <w:r w:rsidR="00591A1D" w:rsidRPr="00591A1D">
                    <w:rPr>
                      <w:sz w:val="22"/>
                      <w:szCs w:val="22"/>
                      <w:lang w:val="sr-Latn-ME"/>
                    </w:rPr>
                    <w:t>Stivens-Johnson-ov sindrom (SJS), toksična epidermalna nekroliza (TEN)</w:t>
                  </w:r>
                </w:p>
              </w:tc>
            </w:tr>
            <w:tr w:rsidR="007F1446" w:rsidRPr="009533B2" w14:paraId="3D18EA15" w14:textId="77777777" w:rsidTr="001D78AB">
              <w:tc>
                <w:tcPr>
                  <w:tcW w:w="1688" w:type="dxa"/>
                  <w:tcBorders>
                    <w:top w:val="single" w:sz="4" w:space="0" w:color="auto"/>
                    <w:left w:val="single" w:sz="4" w:space="0" w:color="auto"/>
                    <w:bottom w:val="single" w:sz="4" w:space="0" w:color="auto"/>
                    <w:right w:val="single" w:sz="4" w:space="0" w:color="auto"/>
                  </w:tcBorders>
                </w:tcPr>
                <w:p w14:paraId="517850AD" w14:textId="77777777" w:rsidR="000A3F78" w:rsidRPr="009533B2" w:rsidRDefault="000A3F78" w:rsidP="000A3F78">
                  <w:pPr>
                    <w:rPr>
                      <w:sz w:val="22"/>
                      <w:szCs w:val="22"/>
                      <w:lang w:val="sr-Latn-ME"/>
                    </w:rPr>
                  </w:pPr>
                  <w:r w:rsidRPr="009533B2">
                    <w:rPr>
                      <w:sz w:val="22"/>
                      <w:szCs w:val="22"/>
                      <w:lang w:val="sr-Latn-ME"/>
                    </w:rPr>
                    <w:t>Poremećaji koštano-mišićnog sistema i vezivnog tkiva</w:t>
                  </w:r>
                </w:p>
              </w:tc>
              <w:tc>
                <w:tcPr>
                  <w:tcW w:w="1260" w:type="dxa"/>
                  <w:tcBorders>
                    <w:top w:val="single" w:sz="4" w:space="0" w:color="auto"/>
                    <w:left w:val="single" w:sz="4" w:space="0" w:color="auto"/>
                    <w:bottom w:val="single" w:sz="4" w:space="0" w:color="auto"/>
                    <w:right w:val="single" w:sz="4" w:space="0" w:color="auto"/>
                  </w:tcBorders>
                </w:tcPr>
                <w:p w14:paraId="0FBBDCFC" w14:textId="77777777" w:rsidR="000A3F78" w:rsidRPr="009533B2" w:rsidRDefault="000A3F78" w:rsidP="000A3F78">
                  <w:pPr>
                    <w:rPr>
                      <w:sz w:val="22"/>
                      <w:szCs w:val="22"/>
                      <w:lang w:val="sr-Latn-ME"/>
                    </w:rPr>
                  </w:pPr>
                </w:p>
              </w:tc>
              <w:tc>
                <w:tcPr>
                  <w:tcW w:w="1440" w:type="dxa"/>
                  <w:tcBorders>
                    <w:top w:val="single" w:sz="4" w:space="0" w:color="auto"/>
                    <w:left w:val="single" w:sz="4" w:space="0" w:color="auto"/>
                    <w:bottom w:val="single" w:sz="4" w:space="0" w:color="auto"/>
                    <w:right w:val="single" w:sz="4" w:space="0" w:color="auto"/>
                  </w:tcBorders>
                </w:tcPr>
                <w:p w14:paraId="351964BF" w14:textId="77777777" w:rsidR="000A3F78" w:rsidRPr="009533B2" w:rsidRDefault="000A3F78" w:rsidP="000A3F78">
                  <w:pPr>
                    <w:rPr>
                      <w:sz w:val="22"/>
                      <w:szCs w:val="22"/>
                      <w:lang w:val="sr-Latn-ME"/>
                    </w:rPr>
                  </w:pPr>
                </w:p>
              </w:tc>
              <w:tc>
                <w:tcPr>
                  <w:tcW w:w="1314" w:type="dxa"/>
                  <w:tcBorders>
                    <w:top w:val="single" w:sz="4" w:space="0" w:color="auto"/>
                    <w:left w:val="single" w:sz="4" w:space="0" w:color="auto"/>
                    <w:bottom w:val="single" w:sz="4" w:space="0" w:color="auto"/>
                    <w:right w:val="single" w:sz="4" w:space="0" w:color="auto"/>
                  </w:tcBorders>
                </w:tcPr>
                <w:p w14:paraId="2A3ACBE1" w14:textId="77777777" w:rsidR="000A3F78" w:rsidRPr="009533B2" w:rsidRDefault="00EC4C1F" w:rsidP="000A3F78">
                  <w:pPr>
                    <w:rPr>
                      <w:sz w:val="22"/>
                      <w:szCs w:val="22"/>
                      <w:lang w:val="sr-Latn-ME"/>
                    </w:rPr>
                  </w:pPr>
                  <w:r>
                    <w:rPr>
                      <w:sz w:val="22"/>
                      <w:szCs w:val="22"/>
                      <w:lang w:val="sr-Latn-ME"/>
                    </w:rPr>
                    <w:t>Artralgija</w:t>
                  </w:r>
                </w:p>
              </w:tc>
              <w:tc>
                <w:tcPr>
                  <w:tcW w:w="1836" w:type="dxa"/>
                  <w:tcBorders>
                    <w:top w:val="single" w:sz="4" w:space="0" w:color="auto"/>
                    <w:left w:val="single" w:sz="4" w:space="0" w:color="auto"/>
                    <w:bottom w:val="single" w:sz="4" w:space="0" w:color="auto"/>
                    <w:right w:val="single" w:sz="4" w:space="0" w:color="auto"/>
                  </w:tcBorders>
                </w:tcPr>
                <w:p w14:paraId="2CAC3E12" w14:textId="3066BE0E" w:rsidR="000A3F78" w:rsidRPr="009533B2" w:rsidRDefault="000A3F78" w:rsidP="00EC4C1F">
                  <w:pPr>
                    <w:rPr>
                      <w:sz w:val="22"/>
                      <w:szCs w:val="22"/>
                      <w:lang w:val="sr-Latn-ME"/>
                    </w:rPr>
                  </w:pPr>
                  <w:r w:rsidRPr="009533B2">
                    <w:rPr>
                      <w:sz w:val="22"/>
                      <w:szCs w:val="22"/>
                      <w:lang w:val="sr-Latn-ME"/>
                    </w:rPr>
                    <w:t>Mijalgija</w:t>
                  </w:r>
                </w:p>
              </w:tc>
              <w:tc>
                <w:tcPr>
                  <w:tcW w:w="1541" w:type="dxa"/>
                  <w:tcBorders>
                    <w:top w:val="single" w:sz="4" w:space="0" w:color="auto"/>
                    <w:left w:val="single" w:sz="4" w:space="0" w:color="auto"/>
                    <w:bottom w:val="single" w:sz="4" w:space="0" w:color="auto"/>
                    <w:right w:val="single" w:sz="4" w:space="0" w:color="auto"/>
                  </w:tcBorders>
                </w:tcPr>
                <w:p w14:paraId="66D60F61" w14:textId="77777777" w:rsidR="000A3F78" w:rsidRPr="009533B2" w:rsidRDefault="000A3F78" w:rsidP="000A3F78">
                  <w:pPr>
                    <w:rPr>
                      <w:sz w:val="22"/>
                      <w:szCs w:val="22"/>
                      <w:lang w:val="sr-Latn-ME"/>
                    </w:rPr>
                  </w:pPr>
                </w:p>
              </w:tc>
            </w:tr>
            <w:tr w:rsidR="007F1446" w:rsidRPr="009533B2" w14:paraId="0E634385" w14:textId="77777777" w:rsidTr="001D78AB">
              <w:tc>
                <w:tcPr>
                  <w:tcW w:w="1688" w:type="dxa"/>
                  <w:tcBorders>
                    <w:top w:val="single" w:sz="4" w:space="0" w:color="auto"/>
                    <w:left w:val="single" w:sz="4" w:space="0" w:color="auto"/>
                    <w:bottom w:val="single" w:sz="4" w:space="0" w:color="auto"/>
                    <w:right w:val="single" w:sz="4" w:space="0" w:color="auto"/>
                  </w:tcBorders>
                </w:tcPr>
                <w:p w14:paraId="7FD90C67" w14:textId="7095EAE9" w:rsidR="000A3F78" w:rsidRPr="009533B2" w:rsidRDefault="001E2C4E" w:rsidP="000A3F78">
                  <w:pPr>
                    <w:rPr>
                      <w:sz w:val="22"/>
                      <w:szCs w:val="22"/>
                      <w:lang w:val="sr-Latn-ME"/>
                    </w:rPr>
                  </w:pPr>
                  <w:r>
                    <w:rPr>
                      <w:sz w:val="22"/>
                      <w:szCs w:val="22"/>
                      <w:lang w:val="sr-Latn-ME"/>
                    </w:rPr>
                    <w:t>Poremećaji bubrega i urinarnog sistema</w:t>
                  </w:r>
                </w:p>
              </w:tc>
              <w:tc>
                <w:tcPr>
                  <w:tcW w:w="1260" w:type="dxa"/>
                  <w:tcBorders>
                    <w:top w:val="single" w:sz="4" w:space="0" w:color="auto"/>
                    <w:left w:val="single" w:sz="4" w:space="0" w:color="auto"/>
                    <w:bottom w:val="single" w:sz="4" w:space="0" w:color="auto"/>
                    <w:right w:val="single" w:sz="4" w:space="0" w:color="auto"/>
                  </w:tcBorders>
                </w:tcPr>
                <w:p w14:paraId="44BDD762" w14:textId="77777777" w:rsidR="000A3F78" w:rsidRPr="009533B2" w:rsidRDefault="000A3F78" w:rsidP="000A3F78">
                  <w:pPr>
                    <w:rPr>
                      <w:sz w:val="22"/>
                      <w:szCs w:val="22"/>
                      <w:lang w:val="sr-Latn-ME"/>
                    </w:rPr>
                  </w:pPr>
                </w:p>
              </w:tc>
              <w:tc>
                <w:tcPr>
                  <w:tcW w:w="1440" w:type="dxa"/>
                  <w:tcBorders>
                    <w:top w:val="single" w:sz="4" w:space="0" w:color="auto"/>
                    <w:left w:val="single" w:sz="4" w:space="0" w:color="auto"/>
                    <w:bottom w:val="single" w:sz="4" w:space="0" w:color="auto"/>
                    <w:right w:val="single" w:sz="4" w:space="0" w:color="auto"/>
                  </w:tcBorders>
                </w:tcPr>
                <w:p w14:paraId="41FCB021" w14:textId="77777777" w:rsidR="000A3F78" w:rsidRPr="009533B2" w:rsidRDefault="000A3F78" w:rsidP="000A3F78">
                  <w:pPr>
                    <w:rPr>
                      <w:sz w:val="22"/>
                      <w:szCs w:val="22"/>
                      <w:lang w:val="sr-Latn-ME"/>
                    </w:rPr>
                  </w:pPr>
                </w:p>
              </w:tc>
              <w:tc>
                <w:tcPr>
                  <w:tcW w:w="1314" w:type="dxa"/>
                  <w:tcBorders>
                    <w:top w:val="single" w:sz="4" w:space="0" w:color="auto"/>
                    <w:left w:val="single" w:sz="4" w:space="0" w:color="auto"/>
                    <w:bottom w:val="single" w:sz="4" w:space="0" w:color="auto"/>
                    <w:right w:val="single" w:sz="4" w:space="0" w:color="auto"/>
                  </w:tcBorders>
                </w:tcPr>
                <w:p w14:paraId="15FDC08D" w14:textId="77777777" w:rsidR="000A3F78" w:rsidRPr="009533B2" w:rsidRDefault="000A3F78" w:rsidP="000A3F78">
                  <w:pPr>
                    <w:rPr>
                      <w:sz w:val="22"/>
                      <w:szCs w:val="22"/>
                      <w:lang w:val="sr-Latn-ME"/>
                    </w:rPr>
                  </w:pPr>
                </w:p>
              </w:tc>
              <w:tc>
                <w:tcPr>
                  <w:tcW w:w="1836" w:type="dxa"/>
                  <w:tcBorders>
                    <w:top w:val="single" w:sz="4" w:space="0" w:color="auto"/>
                    <w:left w:val="single" w:sz="4" w:space="0" w:color="auto"/>
                    <w:bottom w:val="single" w:sz="4" w:space="0" w:color="auto"/>
                    <w:right w:val="single" w:sz="4" w:space="0" w:color="auto"/>
                  </w:tcBorders>
                </w:tcPr>
                <w:p w14:paraId="42D09D8A" w14:textId="4261E5F4" w:rsidR="000A3F78" w:rsidRPr="009533B2" w:rsidRDefault="00EC4C1F" w:rsidP="00EC4C1F">
                  <w:pPr>
                    <w:rPr>
                      <w:sz w:val="22"/>
                      <w:szCs w:val="22"/>
                      <w:lang w:val="sr-Latn-ME"/>
                    </w:rPr>
                  </w:pPr>
                  <w:r w:rsidRPr="009533B2">
                    <w:rPr>
                      <w:sz w:val="22"/>
                      <w:szCs w:val="22"/>
                      <w:lang w:val="sr-Latn-ME"/>
                    </w:rPr>
                    <w:t>Oštećenje bubrežne funkcije, uključujući akutni i hronični intersticijelni nefritis i bubrežnu insuficijenciju</w:t>
                  </w:r>
                  <w:r>
                    <w:rPr>
                      <w:sz w:val="22"/>
                      <w:szCs w:val="22"/>
                      <w:lang w:val="sr-Latn-ME"/>
                    </w:rPr>
                    <w:t xml:space="preserve"> </w:t>
                  </w:r>
                </w:p>
              </w:tc>
              <w:tc>
                <w:tcPr>
                  <w:tcW w:w="1541" w:type="dxa"/>
                  <w:tcBorders>
                    <w:top w:val="single" w:sz="4" w:space="0" w:color="auto"/>
                    <w:left w:val="single" w:sz="4" w:space="0" w:color="auto"/>
                    <w:bottom w:val="single" w:sz="4" w:space="0" w:color="auto"/>
                    <w:right w:val="single" w:sz="4" w:space="0" w:color="auto"/>
                  </w:tcBorders>
                </w:tcPr>
                <w:p w14:paraId="58389970" w14:textId="77777777" w:rsidR="000A3F78" w:rsidRPr="009533B2" w:rsidRDefault="00EC4C1F" w:rsidP="000A3F78">
                  <w:pPr>
                    <w:rPr>
                      <w:sz w:val="22"/>
                      <w:szCs w:val="22"/>
                      <w:lang w:val="sr-Latn-ME"/>
                    </w:rPr>
                  </w:pPr>
                  <w:r>
                    <w:rPr>
                      <w:sz w:val="22"/>
                      <w:szCs w:val="22"/>
                      <w:lang w:val="sr-Latn-ME"/>
                    </w:rPr>
                    <w:t>Nefrolitijaza*</w:t>
                  </w:r>
                </w:p>
              </w:tc>
            </w:tr>
            <w:tr w:rsidR="007F1446" w:rsidRPr="009533B2" w14:paraId="3142F1A7" w14:textId="77777777" w:rsidTr="001D78AB">
              <w:tc>
                <w:tcPr>
                  <w:tcW w:w="1688" w:type="dxa"/>
                  <w:tcBorders>
                    <w:top w:val="single" w:sz="4" w:space="0" w:color="auto"/>
                    <w:left w:val="single" w:sz="4" w:space="0" w:color="auto"/>
                    <w:bottom w:val="single" w:sz="4" w:space="0" w:color="auto"/>
                    <w:right w:val="single" w:sz="4" w:space="0" w:color="auto"/>
                  </w:tcBorders>
                </w:tcPr>
                <w:p w14:paraId="124937FB" w14:textId="77777777" w:rsidR="000A3F78" w:rsidRPr="009533B2" w:rsidRDefault="000A3F78" w:rsidP="000A3F78">
                  <w:pPr>
                    <w:rPr>
                      <w:sz w:val="22"/>
                      <w:szCs w:val="22"/>
                      <w:lang w:val="sr-Latn-ME"/>
                    </w:rPr>
                  </w:pPr>
                  <w:r w:rsidRPr="009533B2">
                    <w:rPr>
                      <w:sz w:val="22"/>
                      <w:szCs w:val="22"/>
                      <w:lang w:val="sr-Latn-ME"/>
                    </w:rPr>
                    <w:t>Poremećaji reproduktivnog sistema</w:t>
                  </w:r>
                  <w:r w:rsidR="001E2C4E">
                    <w:rPr>
                      <w:sz w:val="22"/>
                      <w:szCs w:val="22"/>
                      <w:lang w:val="sr-Latn-ME"/>
                    </w:rPr>
                    <w:t xml:space="preserve"> i dojki</w:t>
                  </w:r>
                </w:p>
                <w:p w14:paraId="1DF565BD" w14:textId="77777777" w:rsidR="000A3F78" w:rsidRPr="009533B2" w:rsidRDefault="000A3F78" w:rsidP="000A3F78">
                  <w:pPr>
                    <w:rPr>
                      <w:sz w:val="22"/>
                      <w:szCs w:val="22"/>
                      <w:lang w:val="sr-Latn-ME"/>
                    </w:rPr>
                  </w:pPr>
                </w:p>
              </w:tc>
              <w:tc>
                <w:tcPr>
                  <w:tcW w:w="1260" w:type="dxa"/>
                  <w:tcBorders>
                    <w:top w:val="single" w:sz="4" w:space="0" w:color="auto"/>
                    <w:left w:val="single" w:sz="4" w:space="0" w:color="auto"/>
                    <w:bottom w:val="single" w:sz="4" w:space="0" w:color="auto"/>
                    <w:right w:val="single" w:sz="4" w:space="0" w:color="auto"/>
                  </w:tcBorders>
                </w:tcPr>
                <w:p w14:paraId="6A4CB70F" w14:textId="77777777" w:rsidR="000A3F78" w:rsidRPr="009533B2" w:rsidRDefault="000A3F78" w:rsidP="000A3F78">
                  <w:pPr>
                    <w:rPr>
                      <w:sz w:val="22"/>
                      <w:szCs w:val="22"/>
                      <w:lang w:val="sr-Latn-ME"/>
                    </w:rPr>
                  </w:pPr>
                </w:p>
              </w:tc>
              <w:tc>
                <w:tcPr>
                  <w:tcW w:w="1440" w:type="dxa"/>
                  <w:tcBorders>
                    <w:top w:val="single" w:sz="4" w:space="0" w:color="auto"/>
                    <w:left w:val="single" w:sz="4" w:space="0" w:color="auto"/>
                    <w:bottom w:val="single" w:sz="4" w:space="0" w:color="auto"/>
                    <w:right w:val="single" w:sz="4" w:space="0" w:color="auto"/>
                  </w:tcBorders>
                </w:tcPr>
                <w:p w14:paraId="1C17AB85" w14:textId="77777777" w:rsidR="000A3F78" w:rsidRPr="009533B2" w:rsidRDefault="000A3F78" w:rsidP="000A3F78">
                  <w:pPr>
                    <w:rPr>
                      <w:sz w:val="22"/>
                      <w:szCs w:val="22"/>
                      <w:lang w:val="sr-Latn-ME"/>
                    </w:rPr>
                  </w:pPr>
                </w:p>
              </w:tc>
              <w:tc>
                <w:tcPr>
                  <w:tcW w:w="1314" w:type="dxa"/>
                  <w:tcBorders>
                    <w:top w:val="single" w:sz="4" w:space="0" w:color="auto"/>
                    <w:left w:val="single" w:sz="4" w:space="0" w:color="auto"/>
                    <w:bottom w:val="single" w:sz="4" w:space="0" w:color="auto"/>
                    <w:right w:val="single" w:sz="4" w:space="0" w:color="auto"/>
                  </w:tcBorders>
                </w:tcPr>
                <w:p w14:paraId="531BC476" w14:textId="77777777" w:rsidR="000A3F78" w:rsidRPr="009533B2" w:rsidRDefault="000A3F78" w:rsidP="000A3F78">
                  <w:pPr>
                    <w:rPr>
                      <w:sz w:val="22"/>
                      <w:szCs w:val="22"/>
                      <w:lang w:val="sr-Latn-ME"/>
                    </w:rPr>
                  </w:pPr>
                </w:p>
              </w:tc>
              <w:tc>
                <w:tcPr>
                  <w:tcW w:w="1836" w:type="dxa"/>
                  <w:tcBorders>
                    <w:top w:val="single" w:sz="4" w:space="0" w:color="auto"/>
                    <w:left w:val="single" w:sz="4" w:space="0" w:color="auto"/>
                    <w:bottom w:val="single" w:sz="4" w:space="0" w:color="auto"/>
                    <w:right w:val="single" w:sz="4" w:space="0" w:color="auto"/>
                  </w:tcBorders>
                </w:tcPr>
                <w:p w14:paraId="6B4CD714" w14:textId="77777777" w:rsidR="000A3F78" w:rsidRPr="009533B2" w:rsidRDefault="000A3F78" w:rsidP="000A3F78">
                  <w:pPr>
                    <w:rPr>
                      <w:sz w:val="22"/>
                      <w:szCs w:val="22"/>
                      <w:lang w:val="sr-Latn-ME"/>
                    </w:rPr>
                  </w:pPr>
                  <w:r w:rsidRPr="009533B2">
                    <w:rPr>
                      <w:sz w:val="22"/>
                      <w:szCs w:val="22"/>
                      <w:lang w:val="sr-Latn-ME"/>
                    </w:rPr>
                    <w:t>Oligospermija (reverzibilna)</w:t>
                  </w:r>
                </w:p>
              </w:tc>
              <w:tc>
                <w:tcPr>
                  <w:tcW w:w="1541" w:type="dxa"/>
                  <w:tcBorders>
                    <w:top w:val="single" w:sz="4" w:space="0" w:color="auto"/>
                    <w:left w:val="single" w:sz="4" w:space="0" w:color="auto"/>
                    <w:bottom w:val="single" w:sz="4" w:space="0" w:color="auto"/>
                    <w:right w:val="single" w:sz="4" w:space="0" w:color="auto"/>
                  </w:tcBorders>
                </w:tcPr>
                <w:p w14:paraId="7DE40FE6" w14:textId="77777777" w:rsidR="000A3F78" w:rsidRPr="009533B2" w:rsidRDefault="000A3F78" w:rsidP="000A3F78">
                  <w:pPr>
                    <w:rPr>
                      <w:sz w:val="22"/>
                      <w:szCs w:val="22"/>
                      <w:lang w:val="sr-Latn-ME"/>
                    </w:rPr>
                  </w:pPr>
                </w:p>
              </w:tc>
            </w:tr>
            <w:tr w:rsidR="007F1446" w:rsidRPr="009533B2" w14:paraId="03243158" w14:textId="77777777" w:rsidTr="001D78AB">
              <w:tc>
                <w:tcPr>
                  <w:tcW w:w="1688" w:type="dxa"/>
                  <w:tcBorders>
                    <w:top w:val="single" w:sz="4" w:space="0" w:color="auto"/>
                    <w:left w:val="single" w:sz="4" w:space="0" w:color="auto"/>
                    <w:bottom w:val="single" w:sz="4" w:space="0" w:color="auto"/>
                    <w:right w:val="single" w:sz="4" w:space="0" w:color="auto"/>
                  </w:tcBorders>
                </w:tcPr>
                <w:p w14:paraId="703D5A53" w14:textId="77777777" w:rsidR="00EC4C1F" w:rsidRPr="009533B2" w:rsidRDefault="00EC4C1F" w:rsidP="000A3F78">
                  <w:pPr>
                    <w:rPr>
                      <w:sz w:val="22"/>
                      <w:szCs w:val="22"/>
                      <w:lang w:val="sr-Latn-ME"/>
                    </w:rPr>
                  </w:pPr>
                  <w:r>
                    <w:rPr>
                      <w:sz w:val="22"/>
                      <w:szCs w:val="22"/>
                      <w:lang w:val="sr-Latn-ME"/>
                    </w:rPr>
                    <w:t>Opšti poremećaji</w:t>
                  </w:r>
                </w:p>
              </w:tc>
              <w:tc>
                <w:tcPr>
                  <w:tcW w:w="1260" w:type="dxa"/>
                  <w:tcBorders>
                    <w:top w:val="single" w:sz="4" w:space="0" w:color="auto"/>
                    <w:left w:val="single" w:sz="4" w:space="0" w:color="auto"/>
                    <w:bottom w:val="single" w:sz="4" w:space="0" w:color="auto"/>
                    <w:right w:val="single" w:sz="4" w:space="0" w:color="auto"/>
                  </w:tcBorders>
                </w:tcPr>
                <w:p w14:paraId="7CBF0701" w14:textId="77777777" w:rsidR="00EC4C1F" w:rsidRPr="009533B2" w:rsidRDefault="00EC4C1F" w:rsidP="000A3F78">
                  <w:pPr>
                    <w:rPr>
                      <w:sz w:val="22"/>
                      <w:szCs w:val="22"/>
                      <w:lang w:val="sr-Latn-ME"/>
                    </w:rPr>
                  </w:pPr>
                </w:p>
              </w:tc>
              <w:tc>
                <w:tcPr>
                  <w:tcW w:w="1440" w:type="dxa"/>
                  <w:tcBorders>
                    <w:top w:val="single" w:sz="4" w:space="0" w:color="auto"/>
                    <w:left w:val="single" w:sz="4" w:space="0" w:color="auto"/>
                    <w:bottom w:val="single" w:sz="4" w:space="0" w:color="auto"/>
                    <w:right w:val="single" w:sz="4" w:space="0" w:color="auto"/>
                  </w:tcBorders>
                </w:tcPr>
                <w:p w14:paraId="477C9E16" w14:textId="77777777" w:rsidR="00EC4C1F" w:rsidRPr="009533B2" w:rsidRDefault="00EC4C1F" w:rsidP="000A3F78">
                  <w:pPr>
                    <w:rPr>
                      <w:sz w:val="22"/>
                      <w:szCs w:val="22"/>
                      <w:lang w:val="sr-Latn-ME"/>
                    </w:rPr>
                  </w:pPr>
                </w:p>
              </w:tc>
              <w:tc>
                <w:tcPr>
                  <w:tcW w:w="1314" w:type="dxa"/>
                  <w:tcBorders>
                    <w:top w:val="single" w:sz="4" w:space="0" w:color="auto"/>
                    <w:left w:val="single" w:sz="4" w:space="0" w:color="auto"/>
                    <w:bottom w:val="single" w:sz="4" w:space="0" w:color="auto"/>
                    <w:right w:val="single" w:sz="4" w:space="0" w:color="auto"/>
                  </w:tcBorders>
                </w:tcPr>
                <w:p w14:paraId="12C97B0D" w14:textId="77777777" w:rsidR="00EC4C1F" w:rsidRPr="009533B2" w:rsidRDefault="00EC4C1F" w:rsidP="000A3F78">
                  <w:pPr>
                    <w:rPr>
                      <w:sz w:val="22"/>
                      <w:szCs w:val="22"/>
                      <w:lang w:val="sr-Latn-ME"/>
                    </w:rPr>
                  </w:pPr>
                  <w:r>
                    <w:rPr>
                      <w:sz w:val="22"/>
                      <w:szCs w:val="22"/>
                      <w:lang w:val="sr-Latn-ME"/>
                    </w:rPr>
                    <w:t>Astenija, zamor</w:t>
                  </w:r>
                </w:p>
              </w:tc>
              <w:tc>
                <w:tcPr>
                  <w:tcW w:w="1836" w:type="dxa"/>
                  <w:tcBorders>
                    <w:top w:val="single" w:sz="4" w:space="0" w:color="auto"/>
                    <w:left w:val="single" w:sz="4" w:space="0" w:color="auto"/>
                    <w:bottom w:val="single" w:sz="4" w:space="0" w:color="auto"/>
                    <w:right w:val="single" w:sz="4" w:space="0" w:color="auto"/>
                  </w:tcBorders>
                </w:tcPr>
                <w:p w14:paraId="56825905" w14:textId="77777777" w:rsidR="00EC4C1F" w:rsidRPr="009533B2" w:rsidRDefault="00EC4C1F" w:rsidP="000A3F78">
                  <w:pPr>
                    <w:rPr>
                      <w:sz w:val="22"/>
                      <w:szCs w:val="22"/>
                      <w:lang w:val="sr-Latn-ME"/>
                    </w:rPr>
                  </w:pPr>
                </w:p>
              </w:tc>
              <w:tc>
                <w:tcPr>
                  <w:tcW w:w="1541" w:type="dxa"/>
                  <w:tcBorders>
                    <w:top w:val="single" w:sz="4" w:space="0" w:color="auto"/>
                    <w:left w:val="single" w:sz="4" w:space="0" w:color="auto"/>
                    <w:bottom w:val="single" w:sz="4" w:space="0" w:color="auto"/>
                    <w:right w:val="single" w:sz="4" w:space="0" w:color="auto"/>
                  </w:tcBorders>
                </w:tcPr>
                <w:p w14:paraId="619DF09A" w14:textId="77777777" w:rsidR="00EC4C1F" w:rsidRPr="009533B2" w:rsidRDefault="00EC4C1F" w:rsidP="000A3F78">
                  <w:pPr>
                    <w:rPr>
                      <w:sz w:val="22"/>
                      <w:szCs w:val="22"/>
                      <w:lang w:val="sr-Latn-ME"/>
                    </w:rPr>
                  </w:pPr>
                </w:p>
              </w:tc>
            </w:tr>
            <w:tr w:rsidR="007F1446" w:rsidRPr="001D78AB" w14:paraId="3EBE82DE" w14:textId="77777777" w:rsidTr="001D78AB">
              <w:tc>
                <w:tcPr>
                  <w:tcW w:w="1688" w:type="dxa"/>
                  <w:tcBorders>
                    <w:top w:val="single" w:sz="4" w:space="0" w:color="auto"/>
                    <w:left w:val="single" w:sz="4" w:space="0" w:color="auto"/>
                    <w:bottom w:val="single" w:sz="4" w:space="0" w:color="auto"/>
                    <w:right w:val="single" w:sz="4" w:space="0" w:color="auto"/>
                  </w:tcBorders>
                </w:tcPr>
                <w:p w14:paraId="1E85B7F1" w14:textId="40BF9E7A" w:rsidR="00EC4C1F" w:rsidRDefault="00875FA4">
                  <w:pPr>
                    <w:rPr>
                      <w:sz w:val="22"/>
                      <w:szCs w:val="22"/>
                      <w:lang w:val="sr-Latn-ME"/>
                    </w:rPr>
                  </w:pPr>
                  <w:r>
                    <w:rPr>
                      <w:sz w:val="22"/>
                      <w:szCs w:val="22"/>
                      <w:lang w:val="sr-Latn-ME"/>
                    </w:rPr>
                    <w:t>Pretrage</w:t>
                  </w:r>
                </w:p>
              </w:tc>
              <w:tc>
                <w:tcPr>
                  <w:tcW w:w="1260" w:type="dxa"/>
                  <w:tcBorders>
                    <w:top w:val="single" w:sz="4" w:space="0" w:color="auto"/>
                    <w:left w:val="single" w:sz="4" w:space="0" w:color="auto"/>
                    <w:bottom w:val="single" w:sz="4" w:space="0" w:color="auto"/>
                    <w:right w:val="single" w:sz="4" w:space="0" w:color="auto"/>
                  </w:tcBorders>
                </w:tcPr>
                <w:p w14:paraId="0AEE4A29" w14:textId="77777777" w:rsidR="00EC4C1F" w:rsidRPr="009533B2" w:rsidRDefault="00EC4C1F" w:rsidP="000A3F78">
                  <w:pPr>
                    <w:rPr>
                      <w:sz w:val="22"/>
                      <w:szCs w:val="22"/>
                      <w:lang w:val="sr-Latn-ME"/>
                    </w:rPr>
                  </w:pPr>
                </w:p>
              </w:tc>
              <w:tc>
                <w:tcPr>
                  <w:tcW w:w="1440" w:type="dxa"/>
                  <w:tcBorders>
                    <w:top w:val="single" w:sz="4" w:space="0" w:color="auto"/>
                    <w:left w:val="single" w:sz="4" w:space="0" w:color="auto"/>
                    <w:bottom w:val="single" w:sz="4" w:space="0" w:color="auto"/>
                    <w:right w:val="single" w:sz="4" w:space="0" w:color="auto"/>
                  </w:tcBorders>
                </w:tcPr>
                <w:p w14:paraId="729FB473" w14:textId="77777777" w:rsidR="00EC4C1F" w:rsidRPr="009533B2" w:rsidRDefault="001E2C4E" w:rsidP="00EC4C1F">
                  <w:pPr>
                    <w:rPr>
                      <w:sz w:val="22"/>
                      <w:szCs w:val="22"/>
                      <w:lang w:val="sr-Latn-ME"/>
                    </w:rPr>
                  </w:pPr>
                  <w:r>
                    <w:rPr>
                      <w:sz w:val="22"/>
                      <w:szCs w:val="22"/>
                      <w:lang w:val="sr-Latn-ME"/>
                    </w:rPr>
                    <w:t>Prom</w:t>
                  </w:r>
                  <w:r w:rsidR="009C718B">
                    <w:rPr>
                      <w:sz w:val="22"/>
                      <w:szCs w:val="22"/>
                      <w:lang w:val="sr-Latn-ME"/>
                    </w:rPr>
                    <w:t>j</w:t>
                  </w:r>
                  <w:r>
                    <w:rPr>
                      <w:sz w:val="22"/>
                      <w:szCs w:val="22"/>
                      <w:lang w:val="sr-Latn-ME"/>
                    </w:rPr>
                    <w:t>ene vr</w:t>
                  </w:r>
                  <w:r w:rsidR="009C718B">
                    <w:rPr>
                      <w:sz w:val="22"/>
                      <w:szCs w:val="22"/>
                      <w:lang w:val="sr-Latn-ME"/>
                    </w:rPr>
                    <w:t>ij</w:t>
                  </w:r>
                  <w:r w:rsidR="00EC4C1F" w:rsidRPr="009533B2">
                    <w:rPr>
                      <w:sz w:val="22"/>
                      <w:szCs w:val="22"/>
                      <w:lang w:val="sr-Latn-ME"/>
                    </w:rPr>
                    <w:t xml:space="preserve">ednosti funkcionalnih hepatičkih parametara (porast nivoa transaminaza i parametara holestaze), </w:t>
                  </w:r>
                  <w:r w:rsidR="00EC4C1F">
                    <w:rPr>
                      <w:sz w:val="22"/>
                      <w:szCs w:val="22"/>
                      <w:lang w:val="sr-Latn-ME"/>
                    </w:rPr>
                    <w:t>prom</w:t>
                  </w:r>
                  <w:r w:rsidR="009C718B">
                    <w:rPr>
                      <w:sz w:val="22"/>
                      <w:szCs w:val="22"/>
                      <w:lang w:val="sr-Latn-ME"/>
                    </w:rPr>
                    <w:t>j</w:t>
                  </w:r>
                  <w:r w:rsidR="00EC4C1F">
                    <w:rPr>
                      <w:sz w:val="22"/>
                      <w:szCs w:val="22"/>
                      <w:lang w:val="sr-Latn-ME"/>
                    </w:rPr>
                    <w:t xml:space="preserve">ene </w:t>
                  </w:r>
                  <w:r w:rsidR="00EC4C1F">
                    <w:rPr>
                      <w:sz w:val="22"/>
                      <w:szCs w:val="22"/>
                      <w:lang w:val="sr-Latn-ME"/>
                    </w:rPr>
                    <w:lastRenderedPageBreak/>
                    <w:t>nivoa enzima pankreasa (povišen nivo lipaze i amilaze), povećanje broja eozinofila</w:t>
                  </w:r>
                </w:p>
              </w:tc>
              <w:tc>
                <w:tcPr>
                  <w:tcW w:w="1314" w:type="dxa"/>
                  <w:tcBorders>
                    <w:top w:val="single" w:sz="4" w:space="0" w:color="auto"/>
                    <w:left w:val="single" w:sz="4" w:space="0" w:color="auto"/>
                    <w:bottom w:val="single" w:sz="4" w:space="0" w:color="auto"/>
                    <w:right w:val="single" w:sz="4" w:space="0" w:color="auto"/>
                  </w:tcBorders>
                </w:tcPr>
                <w:p w14:paraId="73DA8A66" w14:textId="77777777" w:rsidR="00EC4C1F" w:rsidRDefault="00EC4C1F" w:rsidP="000A3F78">
                  <w:pPr>
                    <w:rPr>
                      <w:sz w:val="22"/>
                      <w:szCs w:val="22"/>
                      <w:lang w:val="sr-Latn-ME"/>
                    </w:rPr>
                  </w:pPr>
                </w:p>
              </w:tc>
              <w:tc>
                <w:tcPr>
                  <w:tcW w:w="1836" w:type="dxa"/>
                  <w:tcBorders>
                    <w:top w:val="single" w:sz="4" w:space="0" w:color="auto"/>
                    <w:left w:val="single" w:sz="4" w:space="0" w:color="auto"/>
                    <w:bottom w:val="single" w:sz="4" w:space="0" w:color="auto"/>
                    <w:right w:val="single" w:sz="4" w:space="0" w:color="auto"/>
                  </w:tcBorders>
                </w:tcPr>
                <w:p w14:paraId="21FC572E" w14:textId="77777777" w:rsidR="00EC4C1F" w:rsidRPr="009533B2" w:rsidRDefault="00EC4C1F" w:rsidP="000A3F78">
                  <w:pPr>
                    <w:rPr>
                      <w:sz w:val="22"/>
                      <w:szCs w:val="22"/>
                      <w:lang w:val="sr-Latn-ME"/>
                    </w:rPr>
                  </w:pPr>
                </w:p>
              </w:tc>
              <w:tc>
                <w:tcPr>
                  <w:tcW w:w="1541" w:type="dxa"/>
                  <w:tcBorders>
                    <w:top w:val="single" w:sz="4" w:space="0" w:color="auto"/>
                    <w:left w:val="single" w:sz="4" w:space="0" w:color="auto"/>
                    <w:bottom w:val="single" w:sz="4" w:space="0" w:color="auto"/>
                    <w:right w:val="single" w:sz="4" w:space="0" w:color="auto"/>
                  </w:tcBorders>
                </w:tcPr>
                <w:p w14:paraId="68A93761" w14:textId="77777777" w:rsidR="00EC4C1F" w:rsidRPr="009533B2" w:rsidRDefault="00EC4C1F" w:rsidP="000A3F78">
                  <w:pPr>
                    <w:rPr>
                      <w:sz w:val="22"/>
                      <w:szCs w:val="22"/>
                      <w:lang w:val="sr-Latn-ME"/>
                    </w:rPr>
                  </w:pPr>
                </w:p>
              </w:tc>
            </w:tr>
          </w:tbl>
          <w:p w14:paraId="2DAF5771" w14:textId="77777777" w:rsidR="005D45D6" w:rsidRPr="009533B2" w:rsidRDefault="005D45D6" w:rsidP="00EC4C1F">
            <w:pPr>
              <w:pStyle w:val="Header"/>
              <w:tabs>
                <w:tab w:val="left" w:pos="284"/>
              </w:tabs>
              <w:rPr>
                <w:sz w:val="22"/>
                <w:szCs w:val="22"/>
                <w:lang w:val="sr-Latn-ME"/>
              </w:rPr>
            </w:pPr>
          </w:p>
        </w:tc>
      </w:tr>
    </w:tbl>
    <w:p w14:paraId="2B80A780" w14:textId="77777777" w:rsidR="007F1446" w:rsidRPr="00804F26" w:rsidRDefault="007F1446" w:rsidP="00EC4C1F">
      <w:pPr>
        <w:rPr>
          <w:rFonts w:eastAsia="Calibri"/>
          <w:sz w:val="22"/>
          <w:szCs w:val="22"/>
          <w:lang w:val="sr-Latn-ME"/>
        </w:rPr>
      </w:pPr>
      <w:r w:rsidRPr="00804F26">
        <w:rPr>
          <w:rFonts w:eastAsia="Calibri"/>
          <w:sz w:val="22"/>
          <w:szCs w:val="22"/>
          <w:lang w:val="sr-Latn-ME"/>
        </w:rPr>
        <w:lastRenderedPageBreak/>
        <w:t>* Vidjeti dio 4.4 za dodatne informacije</w:t>
      </w:r>
    </w:p>
    <w:p w14:paraId="01A6979F" w14:textId="77777777" w:rsidR="007F1446" w:rsidRDefault="007F1446" w:rsidP="00F95C83">
      <w:pPr>
        <w:jc w:val="both"/>
        <w:rPr>
          <w:rFonts w:eastAsia="Calibri"/>
          <w:sz w:val="22"/>
          <w:szCs w:val="22"/>
          <w:u w:val="single"/>
          <w:lang w:val="sr-Latn-ME"/>
        </w:rPr>
      </w:pPr>
    </w:p>
    <w:p w14:paraId="6F135220" w14:textId="77777777" w:rsidR="007F1446" w:rsidRPr="00F95C83" w:rsidRDefault="007F1446" w:rsidP="00F95C83">
      <w:pPr>
        <w:jc w:val="both"/>
        <w:rPr>
          <w:rFonts w:eastAsia="Calibri"/>
          <w:sz w:val="22"/>
          <w:szCs w:val="22"/>
          <w:lang w:val="sr-Latn-ME"/>
        </w:rPr>
      </w:pPr>
      <w:r w:rsidRPr="00F95C83">
        <w:rPr>
          <w:rFonts w:eastAsia="Calibri"/>
          <w:sz w:val="22"/>
          <w:szCs w:val="22"/>
          <w:lang w:val="sr-Latn-ME"/>
        </w:rPr>
        <w:t xml:space="preserve">Prijavljene su teške kožne neželjene reakcije (engl. </w:t>
      </w:r>
      <w:r w:rsidRPr="001D78AB">
        <w:rPr>
          <w:rFonts w:eastAsia="Calibri"/>
          <w:i/>
          <w:sz w:val="22"/>
          <w:szCs w:val="22"/>
          <w:lang w:val="sr-Latn-ME"/>
        </w:rPr>
        <w:t>severe cutaneous adverse reactions</w:t>
      </w:r>
      <w:r w:rsidRPr="00F95C83">
        <w:rPr>
          <w:rFonts w:eastAsia="Calibri"/>
          <w:sz w:val="22"/>
          <w:szCs w:val="22"/>
          <w:lang w:val="sr-Latn-ME"/>
        </w:rPr>
        <w:t xml:space="preserve">, SCARs), uključujući </w:t>
      </w:r>
      <w:r w:rsidRPr="00F95C83">
        <w:rPr>
          <w:iCs/>
          <w:color w:val="000000" w:themeColor="text1"/>
          <w:szCs w:val="22"/>
          <w:lang w:val="sr-Latn-RS"/>
        </w:rPr>
        <w:t>reakciju na lijek sa eozinofilijom i sistemskim simptomima (DRESS),</w:t>
      </w:r>
      <w:r w:rsidRPr="007F1446">
        <w:rPr>
          <w:i/>
          <w:color w:val="000000" w:themeColor="text1"/>
          <w:szCs w:val="22"/>
          <w:lang w:val="sr-Latn-RS"/>
        </w:rPr>
        <w:t xml:space="preserve"> </w:t>
      </w:r>
      <w:r w:rsidRPr="00F95C83">
        <w:rPr>
          <w:rFonts w:eastAsia="Calibri"/>
          <w:sz w:val="22"/>
          <w:szCs w:val="22"/>
          <w:lang w:val="sr-Latn-ME"/>
        </w:rPr>
        <w:t xml:space="preserve"> Stivens-Johnson-ov sindrom (SJS) i toksičnu epidermalnu nekrolizu (TEN), povezane sa liječenjem mesalazinom (vidjeti dio 4.4).</w:t>
      </w:r>
    </w:p>
    <w:p w14:paraId="53428BA3" w14:textId="77777777" w:rsidR="007F1446" w:rsidRDefault="007F1446" w:rsidP="00EC4C1F">
      <w:pPr>
        <w:rPr>
          <w:rFonts w:eastAsia="Calibri"/>
          <w:sz w:val="22"/>
          <w:szCs w:val="22"/>
          <w:u w:val="single"/>
          <w:lang w:val="sr-Latn-ME"/>
        </w:rPr>
      </w:pPr>
    </w:p>
    <w:p w14:paraId="3AF3D4E4" w14:textId="77777777" w:rsidR="007F1446" w:rsidRPr="009533B2" w:rsidRDefault="007F1446" w:rsidP="00EC4C1F">
      <w:pPr>
        <w:rPr>
          <w:rFonts w:eastAsia="Calibri"/>
          <w:sz w:val="22"/>
          <w:szCs w:val="22"/>
          <w:u w:val="single"/>
          <w:lang w:val="sr-Latn-ME"/>
        </w:rPr>
      </w:pPr>
      <w:r w:rsidRPr="009533B2">
        <w:rPr>
          <w:rFonts w:eastAsia="Calibri"/>
          <w:sz w:val="22"/>
          <w:szCs w:val="22"/>
          <w:u w:val="single"/>
          <w:lang w:val="sr-Latn-ME"/>
        </w:rPr>
        <w:t xml:space="preserve">Fotoosjetljivost </w:t>
      </w:r>
    </w:p>
    <w:p w14:paraId="373AFF27" w14:textId="77777777" w:rsidR="007F1446" w:rsidRPr="009533B2" w:rsidRDefault="007F1446" w:rsidP="00F95C83">
      <w:pPr>
        <w:jc w:val="both"/>
        <w:rPr>
          <w:rFonts w:eastAsia="Calibri"/>
          <w:sz w:val="22"/>
          <w:szCs w:val="22"/>
          <w:u w:val="single"/>
          <w:lang w:val="sr-Latn-ME"/>
        </w:rPr>
      </w:pPr>
      <w:r w:rsidRPr="009533B2">
        <w:rPr>
          <w:rFonts w:eastAsia="Calibri"/>
          <w:sz w:val="22"/>
          <w:szCs w:val="22"/>
          <w:lang w:val="sr-Latn-ME"/>
        </w:rPr>
        <w:t>Teže reakcije zabilježene su kod pacijenata sa postojećim kožnim bolestima kao što su atopijski dermatitis i atopijski ekcem</w:t>
      </w:r>
      <w:r>
        <w:rPr>
          <w:rFonts w:eastAsia="Calibri"/>
          <w:sz w:val="22"/>
          <w:szCs w:val="22"/>
          <w:lang w:val="sr-Latn-ME"/>
        </w:rPr>
        <w:t>.</w:t>
      </w:r>
    </w:p>
    <w:p w14:paraId="6D5B4A37" w14:textId="77777777" w:rsidR="007F1446" w:rsidRPr="009533B2" w:rsidRDefault="007F1446" w:rsidP="00F95C83">
      <w:pPr>
        <w:jc w:val="both"/>
        <w:rPr>
          <w:rFonts w:eastAsia="Calibri"/>
          <w:sz w:val="22"/>
          <w:szCs w:val="22"/>
          <w:u w:val="single"/>
          <w:lang w:val="sr-Latn-ME"/>
        </w:rPr>
      </w:pPr>
    </w:p>
    <w:p w14:paraId="623B1205" w14:textId="77777777" w:rsidR="007F1446" w:rsidRPr="009533B2" w:rsidRDefault="007F1446" w:rsidP="00EC4C1F">
      <w:pPr>
        <w:spacing w:after="200" w:line="276" w:lineRule="auto"/>
        <w:rPr>
          <w:rFonts w:eastAsia="Calibri"/>
          <w:sz w:val="22"/>
          <w:szCs w:val="22"/>
          <w:u w:val="single"/>
          <w:lang w:val="sr-Latn-ME"/>
        </w:rPr>
      </w:pPr>
      <w:r w:rsidRPr="009533B2">
        <w:rPr>
          <w:rFonts w:eastAsia="Calibri"/>
          <w:sz w:val="22"/>
          <w:szCs w:val="22"/>
          <w:u w:val="single"/>
          <w:lang w:val="sr-Latn-ME"/>
        </w:rPr>
        <w:t>Prijavljivanje sumnji na neželjena dejstva</w:t>
      </w:r>
    </w:p>
    <w:p w14:paraId="0F2F3558" w14:textId="77777777" w:rsidR="007F1446" w:rsidRPr="00786071" w:rsidRDefault="007F1446" w:rsidP="007F1446">
      <w:pPr>
        <w:spacing w:after="200"/>
        <w:jc w:val="both"/>
        <w:rPr>
          <w:rFonts w:eastAsia="Calibri"/>
          <w:sz w:val="22"/>
          <w:szCs w:val="22"/>
          <w:lang w:val="sr-Latn-RS"/>
        </w:rPr>
      </w:pPr>
      <w:r w:rsidRPr="00786071">
        <w:rPr>
          <w:rFonts w:eastAsia="Calibri"/>
          <w:sz w:val="22"/>
          <w:szCs w:val="22"/>
          <w:lang w:val="sr-Latn-RS"/>
        </w:rPr>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sz w:val="22"/>
          <w:szCs w:val="22"/>
          <w:lang w:val="sr-Latn-RS"/>
        </w:rPr>
        <w:t>Institutu</w:t>
      </w:r>
      <w:r w:rsidRPr="00786071">
        <w:rPr>
          <w:rFonts w:eastAsia="Calibri"/>
          <w:sz w:val="22"/>
          <w:szCs w:val="22"/>
          <w:lang w:val="sr-Latn-RS"/>
        </w:rPr>
        <w:t xml:space="preserve"> za ljekove i medicinska sredstva</w:t>
      </w:r>
      <w:r>
        <w:rPr>
          <w:rFonts w:eastAsia="Calibri"/>
          <w:sz w:val="22"/>
          <w:szCs w:val="22"/>
          <w:lang w:val="sr-Latn-RS"/>
        </w:rPr>
        <w:t xml:space="preserve"> </w:t>
      </w:r>
      <w:r w:rsidRPr="00786071">
        <w:rPr>
          <w:rFonts w:eastAsia="Calibri"/>
          <w:sz w:val="22"/>
          <w:szCs w:val="22"/>
          <w:lang w:val="sr-Latn-RS"/>
        </w:rPr>
        <w:t>(C</w:t>
      </w:r>
      <w:r>
        <w:rPr>
          <w:rFonts w:eastAsia="Calibri"/>
          <w:sz w:val="22"/>
          <w:szCs w:val="22"/>
          <w:lang w:val="sr-Latn-RS"/>
        </w:rPr>
        <w:t>InMED</w:t>
      </w:r>
      <w:r w:rsidRPr="00786071">
        <w:rPr>
          <w:rFonts w:eastAsia="Calibri"/>
          <w:sz w:val="22"/>
          <w:szCs w:val="22"/>
          <w:lang w:val="sr-Latn-RS"/>
        </w:rPr>
        <w:t>):</w:t>
      </w:r>
    </w:p>
    <w:p w14:paraId="211E172F" w14:textId="77777777" w:rsidR="007F1446" w:rsidRPr="00786071" w:rsidRDefault="007F1446" w:rsidP="007F1446">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14:paraId="1A6C31FB" w14:textId="77777777" w:rsidR="007F1446" w:rsidRPr="00786071" w:rsidRDefault="007F1446" w:rsidP="007F1446">
      <w:pPr>
        <w:pStyle w:val="NoSpacing"/>
        <w:jc w:val="both"/>
        <w:rPr>
          <w:rFonts w:eastAsia="Calibri"/>
          <w:sz w:val="22"/>
          <w:szCs w:val="22"/>
          <w:lang w:val="sr-Latn-RS"/>
        </w:rPr>
      </w:pPr>
      <w:r w:rsidRPr="00786071">
        <w:rPr>
          <w:rFonts w:eastAsia="Calibri"/>
          <w:sz w:val="22"/>
          <w:szCs w:val="22"/>
          <w:lang w:val="sr-Latn-RS"/>
        </w:rPr>
        <w:t>Odjeljenje za farmakovigilancu</w:t>
      </w:r>
    </w:p>
    <w:p w14:paraId="43C61DBC" w14:textId="77777777" w:rsidR="007F1446" w:rsidRPr="00786071" w:rsidRDefault="007F1446" w:rsidP="007F1446">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226F8DF0" w14:textId="77777777" w:rsidR="007F1446" w:rsidRPr="00786071" w:rsidRDefault="007F1446" w:rsidP="007F1446">
      <w:pPr>
        <w:pStyle w:val="NoSpacing"/>
        <w:rPr>
          <w:rFonts w:eastAsia="Calibri"/>
          <w:sz w:val="22"/>
          <w:szCs w:val="22"/>
          <w:lang w:val="sr-Latn-RS"/>
        </w:rPr>
      </w:pPr>
    </w:p>
    <w:p w14:paraId="2CA50575" w14:textId="77777777" w:rsidR="007F1446" w:rsidRPr="00786071" w:rsidRDefault="007F1446" w:rsidP="007F1446">
      <w:pPr>
        <w:pStyle w:val="NoSpacing"/>
        <w:jc w:val="both"/>
        <w:rPr>
          <w:rFonts w:eastAsia="Calibri"/>
          <w:sz w:val="22"/>
          <w:szCs w:val="22"/>
          <w:lang w:val="sr-Latn-RS"/>
        </w:rPr>
      </w:pPr>
      <w:r w:rsidRPr="00786071">
        <w:rPr>
          <w:rFonts w:eastAsia="Calibri"/>
          <w:sz w:val="22"/>
          <w:szCs w:val="22"/>
          <w:lang w:val="sr-Latn-RS"/>
        </w:rPr>
        <w:t>tel: +382 (0) 20 310 280</w:t>
      </w:r>
    </w:p>
    <w:p w14:paraId="51CF281A" w14:textId="77777777" w:rsidR="007F1446" w:rsidRPr="00786071" w:rsidRDefault="007F1446" w:rsidP="007F1446">
      <w:pPr>
        <w:pStyle w:val="NoSpacing"/>
        <w:tabs>
          <w:tab w:val="left" w:pos="6720"/>
        </w:tabs>
        <w:jc w:val="both"/>
        <w:rPr>
          <w:rFonts w:eastAsia="Calibri"/>
          <w:sz w:val="22"/>
          <w:szCs w:val="22"/>
          <w:lang w:val="sr-Latn-RS"/>
        </w:rPr>
      </w:pPr>
      <w:r w:rsidRPr="00786071">
        <w:rPr>
          <w:rFonts w:eastAsia="Calibri"/>
          <w:sz w:val="22"/>
          <w:szCs w:val="22"/>
          <w:lang w:val="sr-Latn-RS"/>
        </w:rPr>
        <w:t>fax: +382 (0) 20 310 581</w:t>
      </w:r>
      <w:r>
        <w:rPr>
          <w:rFonts w:eastAsia="Calibri"/>
          <w:sz w:val="22"/>
          <w:szCs w:val="22"/>
          <w:lang w:val="sr-Latn-RS"/>
        </w:rPr>
        <w:tab/>
      </w:r>
    </w:p>
    <w:p w14:paraId="13425C0B" w14:textId="77777777" w:rsidR="007F1446" w:rsidRPr="00786071" w:rsidRDefault="004405D1" w:rsidP="007F1446">
      <w:pPr>
        <w:pStyle w:val="NoSpacing"/>
        <w:jc w:val="both"/>
        <w:rPr>
          <w:rFonts w:eastAsia="Calibri"/>
          <w:sz w:val="22"/>
          <w:szCs w:val="22"/>
          <w:lang w:val="sr-Latn-RS"/>
        </w:rPr>
      </w:pPr>
      <w:hyperlink r:id="rId8" w:history="1">
        <w:r w:rsidR="007F1446" w:rsidRPr="00B664A0">
          <w:rPr>
            <w:rStyle w:val="Hyperlink"/>
            <w:rFonts w:eastAsia="Calibri"/>
            <w:sz w:val="22"/>
            <w:szCs w:val="22"/>
            <w:lang w:val="sr-Latn-RS"/>
          </w:rPr>
          <w:t>www.cinmed.me</w:t>
        </w:r>
      </w:hyperlink>
    </w:p>
    <w:p w14:paraId="73D1C95E" w14:textId="77777777" w:rsidR="007F1446" w:rsidRPr="00786071" w:rsidRDefault="004405D1" w:rsidP="007F1446">
      <w:pPr>
        <w:pStyle w:val="NoSpacing"/>
        <w:jc w:val="both"/>
        <w:rPr>
          <w:rFonts w:eastAsia="Calibri"/>
          <w:color w:val="0000FF"/>
          <w:sz w:val="22"/>
          <w:szCs w:val="22"/>
          <w:u w:val="single"/>
          <w:lang w:val="sr-Latn-RS"/>
        </w:rPr>
      </w:pPr>
      <w:hyperlink r:id="rId9" w:history="1">
        <w:r w:rsidR="007F1446" w:rsidRPr="00B664A0">
          <w:rPr>
            <w:rStyle w:val="Hyperlink"/>
            <w:rFonts w:eastAsia="Calibri"/>
            <w:sz w:val="22"/>
            <w:szCs w:val="22"/>
            <w:lang w:val="sr-Latn-RS"/>
          </w:rPr>
          <w:t>nezeljenadejstva@cinmed.me</w:t>
        </w:r>
      </w:hyperlink>
    </w:p>
    <w:p w14:paraId="5226FDE7" w14:textId="77777777" w:rsidR="007F1446" w:rsidRDefault="007F1446" w:rsidP="007F1446">
      <w:pPr>
        <w:pStyle w:val="NoSpacing"/>
        <w:jc w:val="both"/>
        <w:rPr>
          <w:rFonts w:eastAsia="Calibri"/>
          <w:sz w:val="22"/>
          <w:szCs w:val="22"/>
          <w:lang w:val="sr-Latn-RS"/>
        </w:rPr>
      </w:pPr>
      <w:r w:rsidRPr="00786071">
        <w:rPr>
          <w:rFonts w:eastAsia="Calibri"/>
          <w:sz w:val="22"/>
          <w:szCs w:val="22"/>
          <w:lang w:val="sr-Latn-RS"/>
        </w:rPr>
        <w:t>putem IS zdravstvene zaštite</w:t>
      </w:r>
    </w:p>
    <w:p w14:paraId="3CE77058" w14:textId="77777777" w:rsidR="007F1446" w:rsidRDefault="007F1446" w:rsidP="007F1446">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15CDA940" w14:textId="77777777" w:rsidR="007F1446" w:rsidRDefault="007F1446" w:rsidP="007F1446">
      <w:pPr>
        <w:pStyle w:val="NoSpacing"/>
        <w:rPr>
          <w:rFonts w:eastAsia="Calibri"/>
          <w:sz w:val="22"/>
          <w:szCs w:val="22"/>
          <w:lang w:val="sr-Latn-RS"/>
        </w:rPr>
      </w:pPr>
    </w:p>
    <w:p w14:paraId="0DE2C875" w14:textId="77777777" w:rsidR="007F1446" w:rsidRDefault="007F1446" w:rsidP="007F1446">
      <w:pPr>
        <w:tabs>
          <w:tab w:val="left" w:pos="540"/>
          <w:tab w:val="left" w:pos="569"/>
        </w:tabs>
        <w:rPr>
          <w:b/>
          <w:bCs/>
          <w:sz w:val="22"/>
          <w:szCs w:val="22"/>
        </w:rPr>
      </w:pPr>
      <w:r w:rsidRPr="007F661E">
        <w:rPr>
          <w:b/>
          <w:bCs/>
          <w:noProof/>
          <w:sz w:val="22"/>
          <w:szCs w:val="22"/>
        </w:rPr>
        <w:drawing>
          <wp:inline distT="0" distB="0" distL="0" distR="0" wp14:anchorId="7D1757D4" wp14:editId="2DC21179">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EEBF84B" w14:textId="77777777" w:rsidR="007F1446" w:rsidRDefault="007F1446" w:rsidP="007F1446">
      <w:pPr>
        <w:tabs>
          <w:tab w:val="left" w:pos="540"/>
          <w:tab w:val="left" w:pos="569"/>
        </w:tabs>
        <w:rPr>
          <w:b/>
          <w:bCs/>
          <w:sz w:val="22"/>
          <w:szCs w:val="22"/>
        </w:rPr>
      </w:pPr>
    </w:p>
    <w:p w14:paraId="5030D990" w14:textId="047B2923" w:rsidR="007F1446" w:rsidRDefault="007F1446" w:rsidP="001D78AB">
      <w:pPr>
        <w:pStyle w:val="Header"/>
        <w:tabs>
          <w:tab w:val="left" w:pos="284"/>
        </w:tabs>
        <w:rPr>
          <w:b/>
          <w:bCs/>
          <w:sz w:val="22"/>
          <w:szCs w:val="22"/>
          <w:lang w:val="sr-Latn-ME"/>
        </w:rPr>
      </w:pPr>
      <w:r w:rsidRPr="009533B2">
        <w:rPr>
          <w:b/>
          <w:bCs/>
          <w:sz w:val="22"/>
          <w:szCs w:val="22"/>
          <w:lang w:val="sr-Latn-ME"/>
        </w:rPr>
        <w:t>4.9. Predoziranje</w:t>
      </w:r>
    </w:p>
    <w:p w14:paraId="03E5E0DC" w14:textId="77777777" w:rsidR="00187C44" w:rsidRPr="009533B2" w:rsidRDefault="00187C44" w:rsidP="001D78AB">
      <w:pPr>
        <w:pStyle w:val="Header"/>
        <w:tabs>
          <w:tab w:val="left" w:pos="284"/>
        </w:tabs>
        <w:rPr>
          <w:b/>
          <w:bCs/>
          <w:sz w:val="22"/>
          <w:szCs w:val="22"/>
          <w:lang w:val="sr-Latn-ME"/>
        </w:rPr>
      </w:pPr>
    </w:p>
    <w:p w14:paraId="300785D3" w14:textId="44D4FB13" w:rsidR="005D45D6" w:rsidRPr="009533B2" w:rsidRDefault="005D45D6" w:rsidP="001D78AB">
      <w:pPr>
        <w:pStyle w:val="Header"/>
        <w:tabs>
          <w:tab w:val="left" w:pos="284"/>
        </w:tabs>
        <w:jc w:val="both"/>
        <w:rPr>
          <w:sz w:val="22"/>
          <w:szCs w:val="22"/>
          <w:lang w:val="sr-Latn-ME"/>
        </w:rPr>
      </w:pPr>
      <w:r w:rsidRPr="009533B2">
        <w:rPr>
          <w:sz w:val="22"/>
          <w:szCs w:val="22"/>
          <w:lang w:val="sr-Latn-ME"/>
        </w:rPr>
        <w:t>Ima rijetkih podataka o predoziranju (kao što je namjera suicida sa visokim oralnim dozama mesalazina) koji ne ukazuju na renalnu ili hepatičku toksičnost. Specifičnog antidota nema i liječenje je simptomatsko i suportivno.</w:t>
      </w:r>
    </w:p>
    <w:p w14:paraId="2BA5C945" w14:textId="7212DB10" w:rsidR="00CD6F02" w:rsidRDefault="00CD6F02" w:rsidP="00480FB1">
      <w:pPr>
        <w:tabs>
          <w:tab w:val="left" w:pos="540"/>
          <w:tab w:val="left" w:pos="569"/>
        </w:tabs>
        <w:rPr>
          <w:b/>
          <w:bCs/>
          <w:sz w:val="22"/>
          <w:szCs w:val="22"/>
          <w:lang w:val="sr-Latn-ME"/>
        </w:rPr>
      </w:pPr>
    </w:p>
    <w:p w14:paraId="586AE0DC" w14:textId="77777777" w:rsidR="00187C44" w:rsidRDefault="00187C44" w:rsidP="00480FB1">
      <w:pPr>
        <w:tabs>
          <w:tab w:val="left" w:pos="540"/>
          <w:tab w:val="left" w:pos="569"/>
        </w:tabs>
        <w:rPr>
          <w:b/>
          <w:bCs/>
          <w:sz w:val="22"/>
          <w:szCs w:val="22"/>
          <w:lang w:val="sr-Latn-ME"/>
        </w:rPr>
      </w:pPr>
    </w:p>
    <w:p w14:paraId="00F08923" w14:textId="77777777" w:rsidR="0072020E" w:rsidRPr="009533B2" w:rsidRDefault="0072020E" w:rsidP="00480FB1">
      <w:pPr>
        <w:tabs>
          <w:tab w:val="left" w:pos="540"/>
          <w:tab w:val="left" w:pos="569"/>
        </w:tabs>
        <w:rPr>
          <w:b/>
          <w:bCs/>
          <w:sz w:val="22"/>
          <w:szCs w:val="22"/>
          <w:lang w:val="sr-Latn-ME"/>
        </w:rPr>
      </w:pPr>
      <w:r w:rsidRPr="009533B2">
        <w:rPr>
          <w:b/>
          <w:bCs/>
          <w:sz w:val="22"/>
          <w:szCs w:val="22"/>
          <w:lang w:val="sr-Latn-ME"/>
        </w:rPr>
        <w:t xml:space="preserve">5. </w:t>
      </w:r>
      <w:r w:rsidR="00480FB1" w:rsidRPr="009533B2">
        <w:rPr>
          <w:b/>
          <w:bCs/>
          <w:sz w:val="22"/>
          <w:szCs w:val="22"/>
          <w:lang w:val="sr-Latn-ME"/>
        </w:rPr>
        <w:tab/>
      </w:r>
      <w:r w:rsidRPr="009533B2">
        <w:rPr>
          <w:b/>
          <w:bCs/>
          <w:sz w:val="22"/>
          <w:szCs w:val="22"/>
          <w:lang w:val="sr-Latn-ME"/>
        </w:rPr>
        <w:t>FARMAKOLOŠK</w:t>
      </w:r>
      <w:r w:rsidR="000D425A" w:rsidRPr="009533B2">
        <w:rPr>
          <w:b/>
          <w:bCs/>
          <w:sz w:val="22"/>
          <w:szCs w:val="22"/>
          <w:lang w:val="sr-Latn-ME"/>
        </w:rPr>
        <w:t>I</w:t>
      </w:r>
      <w:r w:rsidRPr="009533B2">
        <w:rPr>
          <w:b/>
          <w:bCs/>
          <w:sz w:val="22"/>
          <w:szCs w:val="22"/>
          <w:lang w:val="sr-Latn-ME"/>
        </w:rPr>
        <w:t xml:space="preserve"> PODACI</w:t>
      </w:r>
    </w:p>
    <w:p w14:paraId="26C9AA74" w14:textId="77777777" w:rsidR="0072020E" w:rsidRPr="009533B2" w:rsidRDefault="0072020E" w:rsidP="00480FB1">
      <w:pPr>
        <w:tabs>
          <w:tab w:val="left" w:pos="540"/>
          <w:tab w:val="left" w:pos="569"/>
        </w:tabs>
        <w:rPr>
          <w:b/>
          <w:bCs/>
          <w:sz w:val="22"/>
          <w:szCs w:val="22"/>
          <w:lang w:val="sr-Latn-ME"/>
        </w:rPr>
      </w:pPr>
    </w:p>
    <w:p w14:paraId="219CFA76" w14:textId="2FEE31CC" w:rsidR="005D45D6" w:rsidRDefault="0072020E" w:rsidP="00480FB1">
      <w:pPr>
        <w:tabs>
          <w:tab w:val="left" w:pos="540"/>
          <w:tab w:val="left" w:pos="569"/>
        </w:tabs>
        <w:rPr>
          <w:b/>
          <w:bCs/>
          <w:sz w:val="22"/>
          <w:szCs w:val="22"/>
          <w:lang w:val="sr-Latn-ME"/>
        </w:rPr>
      </w:pPr>
      <w:r w:rsidRPr="009533B2">
        <w:rPr>
          <w:b/>
          <w:bCs/>
          <w:sz w:val="22"/>
          <w:szCs w:val="22"/>
          <w:lang w:val="sr-Latn-ME"/>
        </w:rPr>
        <w:t xml:space="preserve">5.1. </w:t>
      </w:r>
      <w:r w:rsidR="00480FB1" w:rsidRPr="009533B2">
        <w:rPr>
          <w:b/>
          <w:bCs/>
          <w:sz w:val="22"/>
          <w:szCs w:val="22"/>
          <w:lang w:val="sr-Latn-ME"/>
        </w:rPr>
        <w:tab/>
      </w:r>
      <w:r w:rsidRPr="009533B2">
        <w:rPr>
          <w:b/>
          <w:bCs/>
          <w:sz w:val="22"/>
          <w:szCs w:val="22"/>
          <w:lang w:val="sr-Latn-ME"/>
        </w:rPr>
        <w:t>Farmakodinamski podaci</w:t>
      </w:r>
      <w:r w:rsidR="003A7059" w:rsidRPr="009533B2">
        <w:rPr>
          <w:b/>
          <w:bCs/>
          <w:sz w:val="22"/>
          <w:szCs w:val="22"/>
          <w:lang w:val="sr-Latn-ME"/>
        </w:rPr>
        <w:t xml:space="preserve"> </w:t>
      </w:r>
    </w:p>
    <w:p w14:paraId="5FF93726" w14:textId="77777777" w:rsidR="00875FA4" w:rsidRPr="009533B2" w:rsidRDefault="00875FA4" w:rsidP="00480FB1">
      <w:pPr>
        <w:tabs>
          <w:tab w:val="left" w:pos="540"/>
          <w:tab w:val="left" w:pos="569"/>
        </w:tabs>
        <w:rPr>
          <w:b/>
          <w:bCs/>
          <w:sz w:val="22"/>
          <w:szCs w:val="22"/>
          <w:lang w:val="sr-Latn-ME"/>
        </w:rPr>
      </w:pPr>
    </w:p>
    <w:p w14:paraId="501C5308" w14:textId="13C30FC9" w:rsidR="007F1446" w:rsidRPr="007F1446" w:rsidRDefault="007F1446" w:rsidP="00EC4C1F">
      <w:pPr>
        <w:pStyle w:val="Header"/>
        <w:tabs>
          <w:tab w:val="left" w:pos="284"/>
        </w:tabs>
        <w:rPr>
          <w:sz w:val="22"/>
          <w:szCs w:val="22"/>
          <w:lang w:val="sr-Latn-ME"/>
        </w:rPr>
      </w:pPr>
      <w:r w:rsidRPr="00804F26">
        <w:rPr>
          <w:sz w:val="22"/>
          <w:szCs w:val="22"/>
          <w:lang w:val="sr-Latn-ME"/>
        </w:rPr>
        <w:t xml:space="preserve">Farmakoterapijska grupa: </w:t>
      </w:r>
      <w:r w:rsidRPr="007F1446">
        <w:rPr>
          <w:sz w:val="22"/>
          <w:szCs w:val="22"/>
          <w:lang w:val="sr-Latn-ME"/>
        </w:rPr>
        <w:t>intestinalni anti</w:t>
      </w:r>
      <w:r w:rsidR="00187C44">
        <w:rPr>
          <w:sz w:val="22"/>
          <w:szCs w:val="22"/>
          <w:lang w:val="sr-Latn-ME"/>
        </w:rPr>
        <w:t>-</w:t>
      </w:r>
      <w:r w:rsidRPr="007F1446">
        <w:rPr>
          <w:sz w:val="22"/>
          <w:szCs w:val="22"/>
          <w:lang w:val="sr-Latn-ME"/>
        </w:rPr>
        <w:t>inflamatorni ljekovi, aminosalicilna kiselina i slični agensi</w:t>
      </w:r>
    </w:p>
    <w:p w14:paraId="71282D2B" w14:textId="77777777" w:rsidR="00187C44" w:rsidRDefault="00187C44" w:rsidP="00EC4C1F">
      <w:pPr>
        <w:pStyle w:val="Header"/>
        <w:tabs>
          <w:tab w:val="left" w:pos="284"/>
        </w:tabs>
        <w:rPr>
          <w:b/>
          <w:sz w:val="22"/>
          <w:szCs w:val="22"/>
          <w:lang w:val="sr-Latn-ME"/>
        </w:rPr>
      </w:pPr>
    </w:p>
    <w:p w14:paraId="44EE5143" w14:textId="310A3F39" w:rsidR="007F1446" w:rsidRDefault="007F1446" w:rsidP="00EC4C1F">
      <w:pPr>
        <w:pStyle w:val="Header"/>
        <w:tabs>
          <w:tab w:val="left" w:pos="284"/>
        </w:tabs>
        <w:rPr>
          <w:sz w:val="22"/>
          <w:szCs w:val="22"/>
          <w:lang w:val="sr-Latn-ME"/>
        </w:rPr>
      </w:pPr>
      <w:r w:rsidRPr="001D78AB">
        <w:rPr>
          <w:b/>
          <w:sz w:val="22"/>
          <w:szCs w:val="22"/>
          <w:lang w:val="sr-Latn-ME"/>
        </w:rPr>
        <w:t>ATC kod</w:t>
      </w:r>
      <w:r w:rsidRPr="00804F26">
        <w:rPr>
          <w:sz w:val="22"/>
          <w:szCs w:val="22"/>
          <w:lang w:val="sr-Latn-ME"/>
        </w:rPr>
        <w:t xml:space="preserve">: </w:t>
      </w:r>
      <w:r w:rsidRPr="007F1446">
        <w:rPr>
          <w:sz w:val="22"/>
          <w:szCs w:val="22"/>
          <w:lang w:val="sr-Latn-ME"/>
        </w:rPr>
        <w:t>A07EC02</w:t>
      </w:r>
    </w:p>
    <w:p w14:paraId="01738544" w14:textId="77777777" w:rsidR="007F1446" w:rsidRPr="007F1446" w:rsidRDefault="007F1446" w:rsidP="00EC4C1F">
      <w:pPr>
        <w:pStyle w:val="Header"/>
        <w:tabs>
          <w:tab w:val="left" w:pos="284"/>
        </w:tabs>
        <w:rPr>
          <w:sz w:val="22"/>
          <w:szCs w:val="22"/>
          <w:lang w:val="sr-Latn-ME"/>
        </w:rPr>
      </w:pPr>
    </w:p>
    <w:p w14:paraId="05B0480B" w14:textId="77777777" w:rsidR="007F1446" w:rsidRPr="001E006A" w:rsidRDefault="007F1446" w:rsidP="00EC4C1F">
      <w:pPr>
        <w:pStyle w:val="Header"/>
        <w:tabs>
          <w:tab w:val="left" w:pos="284"/>
        </w:tabs>
        <w:rPr>
          <w:sz w:val="22"/>
          <w:szCs w:val="22"/>
          <w:u w:val="single"/>
          <w:lang w:val="sr-Latn-ME"/>
        </w:rPr>
      </w:pPr>
      <w:r w:rsidRPr="001E006A">
        <w:rPr>
          <w:sz w:val="22"/>
          <w:szCs w:val="22"/>
          <w:u w:val="single"/>
          <w:lang w:val="sr-Latn-ME"/>
        </w:rPr>
        <w:t>Mehanizam dejstva</w:t>
      </w:r>
    </w:p>
    <w:p w14:paraId="56C87329" w14:textId="4B5514C9" w:rsidR="007F1446" w:rsidRPr="009533B2" w:rsidRDefault="007F1446" w:rsidP="001E006A">
      <w:pPr>
        <w:pStyle w:val="Header"/>
        <w:tabs>
          <w:tab w:val="left" w:pos="284"/>
        </w:tabs>
        <w:jc w:val="both"/>
        <w:rPr>
          <w:sz w:val="22"/>
          <w:szCs w:val="22"/>
          <w:lang w:val="sr-Latn-ME"/>
        </w:rPr>
      </w:pPr>
      <w:r w:rsidRPr="009533B2">
        <w:rPr>
          <w:sz w:val="22"/>
          <w:szCs w:val="22"/>
          <w:lang w:val="sr-Latn-ME"/>
        </w:rPr>
        <w:t>Mehanizam anti</w:t>
      </w:r>
      <w:r w:rsidR="00187C44">
        <w:rPr>
          <w:sz w:val="22"/>
          <w:szCs w:val="22"/>
          <w:lang w:val="sr-Latn-ME"/>
        </w:rPr>
        <w:t>-</w:t>
      </w:r>
      <w:r w:rsidRPr="009533B2">
        <w:rPr>
          <w:sz w:val="22"/>
          <w:szCs w:val="22"/>
          <w:lang w:val="sr-Latn-ME"/>
        </w:rPr>
        <w:t xml:space="preserve">inflamatornog djelovanja nije poznat. Rezultati </w:t>
      </w:r>
      <w:r w:rsidRPr="009533B2">
        <w:rPr>
          <w:i/>
          <w:sz w:val="22"/>
          <w:szCs w:val="22"/>
          <w:lang w:val="sr-Latn-ME"/>
        </w:rPr>
        <w:t>in vitro</w:t>
      </w:r>
      <w:r w:rsidRPr="009533B2">
        <w:rPr>
          <w:sz w:val="22"/>
          <w:szCs w:val="22"/>
          <w:lang w:val="sr-Latn-ME"/>
        </w:rPr>
        <w:t xml:space="preserve"> studija pokazuju da inhibicija lipoksigenaze može biti od značaja za mehanizam anti</w:t>
      </w:r>
      <w:r w:rsidR="00187C44">
        <w:rPr>
          <w:sz w:val="22"/>
          <w:szCs w:val="22"/>
          <w:lang w:val="sr-Latn-ME"/>
        </w:rPr>
        <w:t>-</w:t>
      </w:r>
      <w:r w:rsidRPr="009533B2">
        <w:rPr>
          <w:sz w:val="22"/>
          <w:szCs w:val="22"/>
          <w:lang w:val="sr-Latn-ME"/>
        </w:rPr>
        <w:t>inflamatornog djelovanja.</w:t>
      </w:r>
    </w:p>
    <w:p w14:paraId="62F6C954" w14:textId="77777777" w:rsidR="007F1446" w:rsidRDefault="007F1446" w:rsidP="001E006A">
      <w:pPr>
        <w:pStyle w:val="Header"/>
        <w:tabs>
          <w:tab w:val="left" w:pos="284"/>
        </w:tabs>
        <w:jc w:val="both"/>
        <w:rPr>
          <w:sz w:val="22"/>
          <w:szCs w:val="22"/>
          <w:lang w:val="sr-Latn-ME"/>
        </w:rPr>
      </w:pPr>
      <w:r w:rsidRPr="009533B2">
        <w:rPr>
          <w:sz w:val="22"/>
          <w:szCs w:val="22"/>
          <w:lang w:val="sr-Latn-ME"/>
        </w:rPr>
        <w:t>Takođe su pokazani efekti mesalazina na koncentraciju prostaglandina u intestinalnoj mukozi. Mesalazin (5</w:t>
      </w:r>
      <w:r w:rsidRPr="009533B2">
        <w:rPr>
          <w:sz w:val="22"/>
          <w:szCs w:val="22"/>
          <w:lang w:val="sr-Latn-ME"/>
        </w:rPr>
        <w:noBreakHyphen/>
        <w:t>aminosalicilna kiselina/5</w:t>
      </w:r>
      <w:r w:rsidRPr="009533B2">
        <w:rPr>
          <w:sz w:val="22"/>
          <w:szCs w:val="22"/>
          <w:lang w:val="sr-Latn-ME"/>
        </w:rPr>
        <w:noBreakHyphen/>
      </w:r>
      <w:r w:rsidRPr="009533B2">
        <w:rPr>
          <w:caps/>
          <w:sz w:val="22"/>
          <w:szCs w:val="22"/>
          <w:lang w:val="sr-Latn-ME"/>
        </w:rPr>
        <w:t xml:space="preserve">ASA), </w:t>
      </w:r>
      <w:r w:rsidRPr="009533B2">
        <w:rPr>
          <w:sz w:val="22"/>
          <w:szCs w:val="22"/>
          <w:lang w:val="sr-Latn-ME"/>
        </w:rPr>
        <w:t xml:space="preserve">takođe, može da djeluje kao </w:t>
      </w:r>
      <w:r>
        <w:rPr>
          <w:sz w:val="22"/>
          <w:szCs w:val="22"/>
          <w:lang w:val="sr-Latn-ME"/>
        </w:rPr>
        <w:t>„</w:t>
      </w:r>
      <w:r w:rsidRPr="009533B2">
        <w:rPr>
          <w:sz w:val="22"/>
          <w:szCs w:val="22"/>
          <w:lang w:val="sr-Latn-ME"/>
        </w:rPr>
        <w:t>sakupljač</w:t>
      </w:r>
      <w:r>
        <w:rPr>
          <w:sz w:val="22"/>
          <w:szCs w:val="22"/>
          <w:lang w:val="sr-Latn-ME"/>
        </w:rPr>
        <w:t>“</w:t>
      </w:r>
      <w:r w:rsidRPr="009533B2">
        <w:rPr>
          <w:sz w:val="22"/>
          <w:szCs w:val="22"/>
          <w:lang w:val="sr-Latn-ME"/>
        </w:rPr>
        <w:t xml:space="preserve"> slobodnih radikala koji potiču od reaktivnih kiseoničnih jedinjenja. </w:t>
      </w:r>
    </w:p>
    <w:p w14:paraId="309688C3" w14:textId="77777777" w:rsidR="007F1446" w:rsidRPr="009533B2" w:rsidRDefault="007F1446" w:rsidP="001E006A">
      <w:pPr>
        <w:pStyle w:val="Header"/>
        <w:tabs>
          <w:tab w:val="left" w:pos="284"/>
        </w:tabs>
        <w:jc w:val="both"/>
        <w:rPr>
          <w:sz w:val="22"/>
          <w:szCs w:val="22"/>
          <w:lang w:val="sr-Latn-ME"/>
        </w:rPr>
      </w:pPr>
    </w:p>
    <w:p w14:paraId="1A09743D" w14:textId="77777777" w:rsidR="007F1446" w:rsidRPr="001E006A" w:rsidRDefault="007F1446" w:rsidP="001E006A">
      <w:pPr>
        <w:pStyle w:val="Header"/>
        <w:tabs>
          <w:tab w:val="left" w:pos="284"/>
        </w:tabs>
        <w:jc w:val="both"/>
        <w:rPr>
          <w:sz w:val="22"/>
          <w:szCs w:val="22"/>
          <w:u w:val="single"/>
          <w:lang w:val="sr-Latn-ME"/>
        </w:rPr>
      </w:pPr>
      <w:r w:rsidRPr="001E006A">
        <w:rPr>
          <w:sz w:val="22"/>
          <w:szCs w:val="22"/>
          <w:u w:val="single"/>
          <w:lang w:val="sr-Latn-ME"/>
        </w:rPr>
        <w:t>Farmakodinamska dejstva</w:t>
      </w:r>
    </w:p>
    <w:p w14:paraId="2902C2E5" w14:textId="27FA6BB2" w:rsidR="007F1446" w:rsidRPr="009533B2" w:rsidRDefault="007F1446" w:rsidP="001D78AB">
      <w:pPr>
        <w:pStyle w:val="Header"/>
        <w:tabs>
          <w:tab w:val="left" w:pos="284"/>
        </w:tabs>
        <w:jc w:val="both"/>
        <w:rPr>
          <w:sz w:val="22"/>
          <w:szCs w:val="22"/>
          <w:lang w:val="sr-Latn-ME"/>
        </w:rPr>
      </w:pPr>
      <w:r w:rsidRPr="009533B2">
        <w:rPr>
          <w:sz w:val="22"/>
          <w:szCs w:val="22"/>
          <w:lang w:val="sr-Latn-ME"/>
        </w:rPr>
        <w:t>Primijenjen oralno, mesalazin predominantno djeluje lokalno, na intestinalnu mukozu i submukozu. Stoga je važno da mesalazin bude dostupan u području inflamacije. Sistemska bioraspoloživost i koncentracija mesalazina u plazmi ni</w:t>
      </w:r>
      <w:r w:rsidR="00187C44">
        <w:rPr>
          <w:sz w:val="22"/>
          <w:szCs w:val="22"/>
          <w:lang w:val="sr-Latn-ME"/>
        </w:rPr>
        <w:t>je</w:t>
      </w:r>
      <w:r w:rsidRPr="009533B2">
        <w:rPr>
          <w:sz w:val="22"/>
          <w:szCs w:val="22"/>
          <w:lang w:val="sr-Latn-ME"/>
        </w:rPr>
        <w:t>su relevantni za terapijsku efikasnost lijeka, ali su bitne za njegova sistemska neželjena</w:t>
      </w:r>
      <w:r>
        <w:rPr>
          <w:sz w:val="22"/>
          <w:szCs w:val="22"/>
          <w:lang w:val="sr-Latn-ME"/>
        </w:rPr>
        <w:t xml:space="preserve"> </w:t>
      </w:r>
      <w:r w:rsidRPr="009533B2">
        <w:rPr>
          <w:sz w:val="22"/>
          <w:szCs w:val="22"/>
          <w:lang w:val="sr-Latn-ME"/>
        </w:rPr>
        <w:t xml:space="preserve">dejstva. Da bi se ostvarilo lokalno djelovanje mesalazina na mukozu crijeva, </w:t>
      </w:r>
      <w:r>
        <w:rPr>
          <w:sz w:val="22"/>
          <w:szCs w:val="22"/>
          <w:lang w:val="sr-Latn-ME"/>
        </w:rPr>
        <w:t xml:space="preserve">lijek </w:t>
      </w:r>
      <w:r w:rsidRPr="009533B2">
        <w:rPr>
          <w:sz w:val="22"/>
          <w:szCs w:val="22"/>
          <w:lang w:val="sr-Latn-ME"/>
        </w:rPr>
        <w:t>Salofalk 500</w:t>
      </w:r>
      <w:r>
        <w:rPr>
          <w:b/>
          <w:bCs/>
          <w:sz w:val="22"/>
          <w:szCs w:val="22"/>
          <w:lang w:val="sr-Latn-ME"/>
        </w:rPr>
        <w:t> </w:t>
      </w:r>
      <w:r w:rsidRPr="003D5D38">
        <w:rPr>
          <w:bCs/>
          <w:sz w:val="22"/>
          <w:szCs w:val="22"/>
          <w:lang w:val="sr-Latn-ME"/>
        </w:rPr>
        <w:t>mg</w:t>
      </w:r>
      <w:r w:rsidR="00187C44">
        <w:rPr>
          <w:bCs/>
          <w:sz w:val="22"/>
          <w:szCs w:val="22"/>
          <w:lang w:val="sr-Latn-ME"/>
        </w:rPr>
        <w:t>,</w:t>
      </w:r>
      <w:r w:rsidRPr="009533B2">
        <w:rPr>
          <w:sz w:val="22"/>
          <w:szCs w:val="22"/>
          <w:lang w:val="sr-Latn-ME"/>
        </w:rPr>
        <w:t xml:space="preserve"> </w:t>
      </w:r>
      <w:r>
        <w:rPr>
          <w:sz w:val="22"/>
          <w:szCs w:val="22"/>
          <w:lang w:val="sr-Latn-ME"/>
        </w:rPr>
        <w:t>gastrorezistentn</w:t>
      </w:r>
      <w:r w:rsidR="00187C44">
        <w:rPr>
          <w:sz w:val="22"/>
          <w:szCs w:val="22"/>
          <w:lang w:val="sr-Latn-ME"/>
        </w:rPr>
        <w:t>a</w:t>
      </w:r>
      <w:r>
        <w:rPr>
          <w:sz w:val="22"/>
          <w:szCs w:val="22"/>
          <w:lang w:val="sr-Latn-ME"/>
        </w:rPr>
        <w:t xml:space="preserve"> tablet</w:t>
      </w:r>
      <w:r w:rsidR="00187C44">
        <w:rPr>
          <w:sz w:val="22"/>
          <w:szCs w:val="22"/>
          <w:lang w:val="sr-Latn-ME"/>
        </w:rPr>
        <w:t>a</w:t>
      </w:r>
      <w:r>
        <w:rPr>
          <w:sz w:val="22"/>
          <w:szCs w:val="22"/>
          <w:lang w:val="sr-Latn-ME"/>
        </w:rPr>
        <w:t xml:space="preserve"> </w:t>
      </w:r>
      <w:r w:rsidRPr="009533B2">
        <w:rPr>
          <w:sz w:val="22"/>
          <w:szCs w:val="22"/>
          <w:lang w:val="sr-Latn-ME"/>
        </w:rPr>
        <w:t>su obložene gastrorezistentnom oblogom od Eudragit-a L te</w:t>
      </w:r>
      <w:r>
        <w:rPr>
          <w:sz w:val="22"/>
          <w:szCs w:val="22"/>
          <w:lang w:val="sr-Latn-ME"/>
        </w:rPr>
        <w:t xml:space="preserve"> </w:t>
      </w:r>
      <w:r w:rsidRPr="009533B2">
        <w:rPr>
          <w:sz w:val="22"/>
          <w:szCs w:val="22"/>
          <w:lang w:val="sr-Latn-ME"/>
        </w:rPr>
        <w:t>oslobađanje mesalazina zavisi od pH vrijednosti u crijevima.</w:t>
      </w:r>
    </w:p>
    <w:p w14:paraId="4C9536ED" w14:textId="77777777" w:rsidR="002E37A5" w:rsidRPr="009533B2" w:rsidRDefault="002E37A5" w:rsidP="00480FB1">
      <w:pPr>
        <w:tabs>
          <w:tab w:val="left" w:pos="540"/>
          <w:tab w:val="left" w:pos="569"/>
        </w:tabs>
        <w:rPr>
          <w:b/>
          <w:bCs/>
          <w:sz w:val="22"/>
          <w:szCs w:val="22"/>
          <w:lang w:val="sr-Latn-ME"/>
        </w:rPr>
      </w:pPr>
    </w:p>
    <w:p w14:paraId="13691258" w14:textId="77777777" w:rsidR="0072020E" w:rsidRPr="009533B2" w:rsidRDefault="0072020E" w:rsidP="00480FB1">
      <w:pPr>
        <w:tabs>
          <w:tab w:val="left" w:pos="540"/>
          <w:tab w:val="left" w:pos="569"/>
        </w:tabs>
        <w:rPr>
          <w:b/>
          <w:bCs/>
          <w:sz w:val="22"/>
          <w:szCs w:val="22"/>
          <w:lang w:val="sr-Latn-ME"/>
        </w:rPr>
      </w:pPr>
      <w:r w:rsidRPr="009533B2">
        <w:rPr>
          <w:b/>
          <w:bCs/>
          <w:sz w:val="22"/>
          <w:szCs w:val="22"/>
          <w:lang w:val="sr-Latn-ME"/>
        </w:rPr>
        <w:t xml:space="preserve">5.2. </w:t>
      </w:r>
      <w:r w:rsidR="00480FB1" w:rsidRPr="009533B2">
        <w:rPr>
          <w:b/>
          <w:bCs/>
          <w:sz w:val="22"/>
          <w:szCs w:val="22"/>
          <w:lang w:val="sr-Latn-ME"/>
        </w:rPr>
        <w:tab/>
      </w:r>
      <w:r w:rsidRPr="009533B2">
        <w:rPr>
          <w:b/>
          <w:bCs/>
          <w:sz w:val="22"/>
          <w:szCs w:val="22"/>
          <w:lang w:val="sr-Latn-ME"/>
        </w:rPr>
        <w:t>Farmakokinetički podaci</w:t>
      </w:r>
      <w:r w:rsidR="003A7059" w:rsidRPr="009533B2">
        <w:rPr>
          <w:b/>
          <w:bCs/>
          <w:sz w:val="22"/>
          <w:szCs w:val="22"/>
          <w:lang w:val="sr-Latn-ME"/>
        </w:rPr>
        <w:t xml:space="preserve"> </w:t>
      </w:r>
    </w:p>
    <w:p w14:paraId="40F17131" w14:textId="77777777" w:rsidR="005D45D6" w:rsidRPr="001E006A" w:rsidRDefault="005D45D6" w:rsidP="00480FB1">
      <w:pPr>
        <w:tabs>
          <w:tab w:val="left" w:pos="540"/>
          <w:tab w:val="left" w:pos="569"/>
        </w:tabs>
        <w:rPr>
          <w:b/>
          <w:bCs/>
          <w:sz w:val="22"/>
          <w:szCs w:val="22"/>
          <w:u w:val="single"/>
          <w:lang w:val="sr-Latn-ME"/>
        </w:rPr>
      </w:pPr>
    </w:p>
    <w:p w14:paraId="099039A0" w14:textId="77777777" w:rsidR="005D45D6" w:rsidRPr="001E006A" w:rsidRDefault="005D45D6" w:rsidP="005D45D6">
      <w:pPr>
        <w:pStyle w:val="Header"/>
        <w:tabs>
          <w:tab w:val="left" w:pos="284"/>
        </w:tabs>
        <w:rPr>
          <w:sz w:val="22"/>
          <w:szCs w:val="22"/>
          <w:u w:val="single"/>
          <w:lang w:val="sr-Latn-ME"/>
        </w:rPr>
      </w:pPr>
      <w:r w:rsidRPr="001E006A">
        <w:rPr>
          <w:sz w:val="22"/>
          <w:szCs w:val="22"/>
          <w:u w:val="single"/>
          <w:lang w:val="sr-Latn-ME"/>
        </w:rPr>
        <w:t>Opšte farmakokinetičke karakteristike mesalazina:</w:t>
      </w:r>
    </w:p>
    <w:p w14:paraId="7CFF53E9" w14:textId="77777777" w:rsidR="005D45D6" w:rsidRPr="001D78AB" w:rsidRDefault="005D45D6" w:rsidP="005D45D6">
      <w:pPr>
        <w:pStyle w:val="Header"/>
        <w:tabs>
          <w:tab w:val="left" w:pos="284"/>
        </w:tabs>
        <w:rPr>
          <w:sz w:val="22"/>
          <w:szCs w:val="22"/>
          <w:u w:val="single"/>
          <w:lang w:val="sr-Latn-ME"/>
        </w:rPr>
      </w:pPr>
    </w:p>
    <w:p w14:paraId="6A4318F6" w14:textId="4D026607" w:rsidR="005D45D6" w:rsidRPr="001D78AB" w:rsidRDefault="005D45D6" w:rsidP="005D45D6">
      <w:pPr>
        <w:pStyle w:val="Header"/>
        <w:tabs>
          <w:tab w:val="left" w:pos="284"/>
        </w:tabs>
        <w:rPr>
          <w:sz w:val="22"/>
          <w:szCs w:val="22"/>
          <w:u w:val="single"/>
          <w:lang w:val="sr-Latn-ME"/>
        </w:rPr>
      </w:pPr>
      <w:r w:rsidRPr="001D78AB">
        <w:rPr>
          <w:sz w:val="22"/>
          <w:szCs w:val="22"/>
          <w:u w:val="single"/>
          <w:lang w:val="sr-Latn-ME"/>
        </w:rPr>
        <w:t>Resorpcija</w:t>
      </w:r>
    </w:p>
    <w:p w14:paraId="2B21975F" w14:textId="77777777" w:rsidR="005D45D6" w:rsidRPr="007F1446" w:rsidRDefault="005D45D6" w:rsidP="001E006A">
      <w:pPr>
        <w:pStyle w:val="Header"/>
        <w:tabs>
          <w:tab w:val="left" w:pos="284"/>
        </w:tabs>
        <w:jc w:val="both"/>
        <w:rPr>
          <w:sz w:val="22"/>
          <w:szCs w:val="22"/>
          <w:lang w:val="sr-Latn-ME"/>
        </w:rPr>
      </w:pPr>
      <w:r w:rsidRPr="007F1446">
        <w:rPr>
          <w:sz w:val="22"/>
          <w:szCs w:val="22"/>
          <w:lang w:val="sr-Latn-ME"/>
        </w:rPr>
        <w:t>Resorpcija mesalazina je najveća u proksimalnim djelovima crijeva, a najniža u distalnim djelovima crijeva.</w:t>
      </w:r>
    </w:p>
    <w:p w14:paraId="42B8D09B" w14:textId="77777777" w:rsidR="005D45D6" w:rsidRPr="007F1446" w:rsidRDefault="005D45D6" w:rsidP="001E006A">
      <w:pPr>
        <w:pStyle w:val="Header"/>
        <w:tabs>
          <w:tab w:val="left" w:pos="284"/>
        </w:tabs>
        <w:jc w:val="both"/>
        <w:rPr>
          <w:sz w:val="22"/>
          <w:szCs w:val="22"/>
          <w:lang w:val="sr-Latn-ME"/>
        </w:rPr>
      </w:pPr>
    </w:p>
    <w:p w14:paraId="4727B3E2" w14:textId="7010F6A1" w:rsidR="005D45D6" w:rsidRPr="001D78AB" w:rsidRDefault="005D45D6" w:rsidP="001E006A">
      <w:pPr>
        <w:pStyle w:val="Header"/>
        <w:tabs>
          <w:tab w:val="left" w:pos="284"/>
        </w:tabs>
        <w:jc w:val="both"/>
        <w:rPr>
          <w:sz w:val="22"/>
          <w:szCs w:val="22"/>
          <w:u w:val="single"/>
          <w:lang w:val="sr-Latn-ME"/>
        </w:rPr>
      </w:pPr>
      <w:r w:rsidRPr="001D78AB">
        <w:rPr>
          <w:sz w:val="22"/>
          <w:szCs w:val="22"/>
          <w:u w:val="single"/>
          <w:lang w:val="sr-Latn-ME"/>
        </w:rPr>
        <w:t>Metabolizam</w:t>
      </w:r>
    </w:p>
    <w:p w14:paraId="592CBC51" w14:textId="77777777" w:rsidR="005D45D6" w:rsidRPr="007F1446" w:rsidRDefault="005D45D6" w:rsidP="001E006A">
      <w:pPr>
        <w:pStyle w:val="Header"/>
        <w:tabs>
          <w:tab w:val="left" w:pos="284"/>
        </w:tabs>
        <w:jc w:val="both"/>
        <w:rPr>
          <w:sz w:val="22"/>
          <w:szCs w:val="22"/>
          <w:lang w:val="sr-Latn-ME"/>
        </w:rPr>
      </w:pPr>
      <w:r w:rsidRPr="007F1446">
        <w:rPr>
          <w:sz w:val="22"/>
          <w:szCs w:val="22"/>
          <w:lang w:val="sr-Latn-ME"/>
        </w:rPr>
        <w:t>Mesalazin se metaboliše presistemski, u intestinalnoj mukozi i jetri, do farmakološki inaktivnog metabolita N</w:t>
      </w:r>
      <w:r w:rsidRPr="007F1446">
        <w:rPr>
          <w:sz w:val="22"/>
          <w:szCs w:val="22"/>
          <w:lang w:val="sr-Latn-ME"/>
        </w:rPr>
        <w:noBreakHyphen/>
        <w:t>acetil</w:t>
      </w:r>
      <w:r w:rsidRPr="007F1446">
        <w:rPr>
          <w:sz w:val="22"/>
          <w:szCs w:val="22"/>
          <w:lang w:val="sr-Latn-ME"/>
        </w:rPr>
        <w:noBreakHyphen/>
        <w:t>5</w:t>
      </w:r>
      <w:r w:rsidRPr="007F1446">
        <w:rPr>
          <w:sz w:val="22"/>
          <w:szCs w:val="22"/>
          <w:lang w:val="sr-Latn-ME"/>
        </w:rPr>
        <w:noBreakHyphen/>
        <w:t>aminosalicilne kiseline (N</w:t>
      </w:r>
      <w:r w:rsidRPr="007F1446">
        <w:rPr>
          <w:sz w:val="22"/>
          <w:szCs w:val="22"/>
          <w:lang w:val="sr-Latn-ME"/>
        </w:rPr>
        <w:noBreakHyphen/>
        <w:t>Ac</w:t>
      </w:r>
      <w:r w:rsidRPr="007F1446">
        <w:rPr>
          <w:sz w:val="22"/>
          <w:szCs w:val="22"/>
          <w:lang w:val="sr-Latn-ME"/>
        </w:rPr>
        <w:noBreakHyphen/>
        <w:t>5</w:t>
      </w:r>
      <w:r w:rsidRPr="007F1446">
        <w:rPr>
          <w:sz w:val="22"/>
          <w:szCs w:val="22"/>
          <w:lang w:val="sr-Latn-ME"/>
        </w:rPr>
        <w:noBreakHyphen/>
        <w:t>ASA). Izgleda da acetilacija ne zavisi od fenotipa acetilatora. Izvjesna količina mesalazina se acetiluje i djelovanjem bakterija u kolonu. Vezivanje mesalazina i N</w:t>
      </w:r>
      <w:r w:rsidRPr="007F1446">
        <w:rPr>
          <w:sz w:val="22"/>
          <w:szCs w:val="22"/>
          <w:lang w:val="sr-Latn-ME"/>
        </w:rPr>
        <w:noBreakHyphen/>
        <w:t>Ac</w:t>
      </w:r>
      <w:r w:rsidRPr="007F1446">
        <w:rPr>
          <w:sz w:val="22"/>
          <w:szCs w:val="22"/>
          <w:lang w:val="sr-Latn-ME"/>
        </w:rPr>
        <w:noBreakHyphen/>
        <w:t>5</w:t>
      </w:r>
      <w:r w:rsidRPr="007F1446">
        <w:rPr>
          <w:sz w:val="22"/>
          <w:szCs w:val="22"/>
          <w:lang w:val="sr-Latn-ME"/>
        </w:rPr>
        <w:noBreakHyphen/>
        <w:t>ASA za proteine iznosi 43%, odnosno 78%.</w:t>
      </w:r>
    </w:p>
    <w:p w14:paraId="244159C0" w14:textId="77777777" w:rsidR="005D45D6" w:rsidRPr="007F1446" w:rsidRDefault="005D45D6" w:rsidP="001E006A">
      <w:pPr>
        <w:pStyle w:val="Header"/>
        <w:tabs>
          <w:tab w:val="left" w:pos="284"/>
        </w:tabs>
        <w:jc w:val="both"/>
        <w:rPr>
          <w:sz w:val="22"/>
          <w:szCs w:val="22"/>
          <w:lang w:val="sr-Latn-ME"/>
        </w:rPr>
      </w:pPr>
    </w:p>
    <w:p w14:paraId="7A1CEAEC" w14:textId="55D26165" w:rsidR="005D45D6" w:rsidRPr="001D78AB" w:rsidRDefault="005D45D6" w:rsidP="001E006A">
      <w:pPr>
        <w:pStyle w:val="Header"/>
        <w:tabs>
          <w:tab w:val="left" w:pos="284"/>
        </w:tabs>
        <w:jc w:val="both"/>
        <w:rPr>
          <w:sz w:val="22"/>
          <w:szCs w:val="22"/>
          <w:u w:val="single"/>
          <w:lang w:val="sr-Latn-ME"/>
        </w:rPr>
      </w:pPr>
      <w:r w:rsidRPr="001D78AB">
        <w:rPr>
          <w:sz w:val="22"/>
          <w:szCs w:val="22"/>
          <w:u w:val="single"/>
          <w:lang w:val="sr-Latn-ME"/>
        </w:rPr>
        <w:t>Eliminacija</w:t>
      </w:r>
    </w:p>
    <w:p w14:paraId="74F7ADDD" w14:textId="77777777" w:rsidR="00EF04B7" w:rsidRDefault="005D45D6" w:rsidP="001E006A">
      <w:pPr>
        <w:pStyle w:val="Header"/>
        <w:tabs>
          <w:tab w:val="left" w:pos="284"/>
        </w:tabs>
        <w:jc w:val="both"/>
        <w:rPr>
          <w:sz w:val="22"/>
          <w:szCs w:val="22"/>
          <w:lang w:val="sr-Latn-ME"/>
        </w:rPr>
      </w:pPr>
      <w:r w:rsidRPr="009533B2">
        <w:rPr>
          <w:sz w:val="22"/>
          <w:szCs w:val="22"/>
          <w:lang w:val="sr-Latn-ME"/>
        </w:rPr>
        <w:t>Mesalazin i njegov metabolit N</w:t>
      </w:r>
      <w:r w:rsidRPr="009533B2">
        <w:rPr>
          <w:sz w:val="22"/>
          <w:szCs w:val="22"/>
          <w:lang w:val="sr-Latn-ME"/>
        </w:rPr>
        <w:noBreakHyphen/>
        <w:t>Ac</w:t>
      </w:r>
      <w:r w:rsidRPr="009533B2">
        <w:rPr>
          <w:sz w:val="22"/>
          <w:szCs w:val="22"/>
          <w:lang w:val="sr-Latn-ME"/>
        </w:rPr>
        <w:noBreakHyphen/>
        <w:t>5</w:t>
      </w:r>
      <w:r w:rsidRPr="009533B2">
        <w:rPr>
          <w:sz w:val="22"/>
          <w:szCs w:val="22"/>
          <w:lang w:val="sr-Latn-ME"/>
        </w:rPr>
        <w:noBreakHyphen/>
        <w:t>ASA se najvećim dijelom eliminišu fecesom, zatim putem bubrega (između 20 i 50%, u zavisnosti od načina primjene, farmaceutskog oblika i načina oslobađanja mesalazina) i putem žuči (najmanji dio). Putem bubrega se uglavnom izlučuje N</w:t>
      </w:r>
      <w:r w:rsidRPr="009533B2">
        <w:rPr>
          <w:sz w:val="22"/>
          <w:szCs w:val="22"/>
          <w:lang w:val="sr-Latn-ME"/>
        </w:rPr>
        <w:noBreakHyphen/>
        <w:t>Ac</w:t>
      </w:r>
      <w:r w:rsidRPr="009533B2">
        <w:rPr>
          <w:sz w:val="22"/>
          <w:szCs w:val="22"/>
          <w:lang w:val="sr-Latn-ME"/>
        </w:rPr>
        <w:noBreakHyphen/>
        <w:t>5</w:t>
      </w:r>
      <w:r w:rsidRPr="009533B2">
        <w:rPr>
          <w:sz w:val="22"/>
          <w:szCs w:val="22"/>
          <w:lang w:val="sr-Latn-ME"/>
        </w:rPr>
        <w:noBreakHyphen/>
        <w:t xml:space="preserve">ASA. </w:t>
      </w:r>
    </w:p>
    <w:p w14:paraId="7551B69C" w14:textId="4CE47F62" w:rsidR="005D45D6" w:rsidRPr="009533B2" w:rsidRDefault="005D45D6" w:rsidP="001E006A">
      <w:pPr>
        <w:pStyle w:val="Header"/>
        <w:tabs>
          <w:tab w:val="left" w:pos="284"/>
        </w:tabs>
        <w:jc w:val="both"/>
        <w:rPr>
          <w:sz w:val="22"/>
          <w:szCs w:val="22"/>
          <w:lang w:val="sr-Latn-ME"/>
        </w:rPr>
      </w:pPr>
      <w:r w:rsidRPr="009533B2">
        <w:rPr>
          <w:sz w:val="22"/>
          <w:szCs w:val="22"/>
          <w:lang w:val="sr-Latn-ME"/>
        </w:rPr>
        <w:t>Oko 1% primijenjene oralne doze mesalazina se izlučuje u majčino mlijeko, uglavnom kao N</w:t>
      </w:r>
      <w:r w:rsidRPr="009533B2">
        <w:rPr>
          <w:sz w:val="22"/>
          <w:szCs w:val="22"/>
          <w:lang w:val="sr-Latn-ME"/>
        </w:rPr>
        <w:noBreakHyphen/>
        <w:t>Ac</w:t>
      </w:r>
      <w:r w:rsidRPr="009533B2">
        <w:rPr>
          <w:sz w:val="22"/>
          <w:szCs w:val="22"/>
          <w:lang w:val="sr-Latn-ME"/>
        </w:rPr>
        <w:noBreakHyphen/>
        <w:t>5</w:t>
      </w:r>
      <w:r w:rsidRPr="009533B2">
        <w:rPr>
          <w:sz w:val="22"/>
          <w:szCs w:val="22"/>
          <w:lang w:val="sr-Latn-ME"/>
        </w:rPr>
        <w:noBreakHyphen/>
        <w:t>ASA.</w:t>
      </w:r>
    </w:p>
    <w:p w14:paraId="5AD77043" w14:textId="77777777" w:rsidR="005D45D6" w:rsidRPr="009533B2" w:rsidRDefault="005D45D6" w:rsidP="001E006A">
      <w:pPr>
        <w:pStyle w:val="Header"/>
        <w:tabs>
          <w:tab w:val="left" w:pos="284"/>
        </w:tabs>
        <w:jc w:val="both"/>
        <w:rPr>
          <w:sz w:val="22"/>
          <w:szCs w:val="22"/>
          <w:lang w:val="sr-Latn-ME"/>
        </w:rPr>
      </w:pPr>
    </w:p>
    <w:p w14:paraId="15FAA245" w14:textId="2D25F799" w:rsidR="005D45D6" w:rsidRPr="009533B2" w:rsidRDefault="005D45D6" w:rsidP="001E006A">
      <w:pPr>
        <w:pStyle w:val="Header"/>
        <w:tabs>
          <w:tab w:val="left" w:pos="284"/>
        </w:tabs>
        <w:jc w:val="both"/>
        <w:rPr>
          <w:sz w:val="22"/>
          <w:szCs w:val="22"/>
          <w:lang w:val="sr-Latn-ME"/>
        </w:rPr>
      </w:pPr>
      <w:r w:rsidRPr="009533B2">
        <w:rPr>
          <w:b/>
          <w:sz w:val="22"/>
          <w:szCs w:val="22"/>
          <w:lang w:val="sr-Latn-ME"/>
        </w:rPr>
        <w:t>Specifične karakteristike</w:t>
      </w:r>
      <w:r w:rsidR="001E2C4E">
        <w:rPr>
          <w:b/>
          <w:sz w:val="22"/>
          <w:szCs w:val="22"/>
          <w:lang w:val="sr-Latn-ME"/>
        </w:rPr>
        <w:t xml:space="preserve"> l</w:t>
      </w:r>
      <w:r w:rsidR="009C718B">
        <w:rPr>
          <w:b/>
          <w:sz w:val="22"/>
          <w:szCs w:val="22"/>
          <w:lang w:val="sr-Latn-ME"/>
        </w:rPr>
        <w:t>ij</w:t>
      </w:r>
      <w:r w:rsidR="001E2C4E">
        <w:rPr>
          <w:b/>
          <w:sz w:val="22"/>
          <w:szCs w:val="22"/>
          <w:lang w:val="sr-Latn-ME"/>
        </w:rPr>
        <w:t>eka</w:t>
      </w:r>
      <w:r w:rsidRPr="009533B2">
        <w:rPr>
          <w:b/>
          <w:sz w:val="22"/>
          <w:szCs w:val="22"/>
          <w:lang w:val="sr-Latn-ME"/>
        </w:rPr>
        <w:t xml:space="preserve"> Salofalk 500</w:t>
      </w:r>
      <w:r w:rsidR="00D90E02">
        <w:rPr>
          <w:b/>
          <w:bCs/>
          <w:sz w:val="22"/>
          <w:szCs w:val="22"/>
          <w:lang w:val="sr-Latn-ME"/>
        </w:rPr>
        <w:t> mg</w:t>
      </w:r>
      <w:r w:rsidR="00187C44">
        <w:rPr>
          <w:b/>
          <w:bCs/>
          <w:sz w:val="22"/>
          <w:szCs w:val="22"/>
          <w:lang w:val="sr-Latn-ME"/>
        </w:rPr>
        <w:t>,</w:t>
      </w:r>
      <w:r w:rsidR="00D90E02">
        <w:rPr>
          <w:b/>
          <w:bCs/>
          <w:sz w:val="22"/>
          <w:szCs w:val="22"/>
          <w:lang w:val="sr-Latn-ME"/>
        </w:rPr>
        <w:t xml:space="preserve"> gastrorezistentn</w:t>
      </w:r>
      <w:r w:rsidR="00187C44">
        <w:rPr>
          <w:b/>
          <w:bCs/>
          <w:sz w:val="22"/>
          <w:szCs w:val="22"/>
          <w:lang w:val="sr-Latn-ME"/>
        </w:rPr>
        <w:t>a</w:t>
      </w:r>
      <w:r w:rsidRPr="009533B2">
        <w:rPr>
          <w:b/>
          <w:sz w:val="22"/>
          <w:szCs w:val="22"/>
          <w:lang w:val="sr-Latn-ME"/>
        </w:rPr>
        <w:t xml:space="preserve"> </w:t>
      </w:r>
      <w:r w:rsidR="00EF04B7" w:rsidRPr="009533B2">
        <w:rPr>
          <w:b/>
          <w:sz w:val="22"/>
          <w:szCs w:val="22"/>
          <w:lang w:val="sr-Latn-ME"/>
        </w:rPr>
        <w:t>tablet</w:t>
      </w:r>
      <w:r w:rsidR="00187C44">
        <w:rPr>
          <w:b/>
          <w:sz w:val="22"/>
          <w:szCs w:val="22"/>
          <w:lang w:val="sr-Latn-ME"/>
        </w:rPr>
        <w:t>a</w:t>
      </w:r>
      <w:r w:rsidRPr="009533B2">
        <w:rPr>
          <w:sz w:val="22"/>
          <w:szCs w:val="22"/>
          <w:lang w:val="sr-Latn-ME"/>
        </w:rPr>
        <w:t>:</w:t>
      </w:r>
    </w:p>
    <w:p w14:paraId="4B2FE212" w14:textId="77777777" w:rsidR="005D45D6" w:rsidRPr="009533B2" w:rsidRDefault="005D45D6" w:rsidP="001E006A">
      <w:pPr>
        <w:pStyle w:val="Header"/>
        <w:tabs>
          <w:tab w:val="left" w:pos="284"/>
        </w:tabs>
        <w:jc w:val="both"/>
        <w:rPr>
          <w:sz w:val="22"/>
          <w:szCs w:val="22"/>
          <w:lang w:val="sr-Latn-ME"/>
        </w:rPr>
      </w:pPr>
    </w:p>
    <w:p w14:paraId="07009E71" w14:textId="24987DC8" w:rsidR="005D45D6" w:rsidRPr="001D78AB" w:rsidRDefault="005D45D6" w:rsidP="001E006A">
      <w:pPr>
        <w:pStyle w:val="Header"/>
        <w:tabs>
          <w:tab w:val="left" w:pos="284"/>
        </w:tabs>
        <w:jc w:val="both"/>
        <w:rPr>
          <w:bCs/>
          <w:sz w:val="22"/>
          <w:szCs w:val="22"/>
          <w:u w:val="single"/>
          <w:lang w:val="sr-Latn-ME"/>
        </w:rPr>
      </w:pPr>
      <w:r w:rsidRPr="001D78AB">
        <w:rPr>
          <w:bCs/>
          <w:sz w:val="22"/>
          <w:szCs w:val="22"/>
          <w:u w:val="single"/>
          <w:lang w:val="sr-Latn-ME"/>
        </w:rPr>
        <w:t>Distribucija</w:t>
      </w:r>
    </w:p>
    <w:p w14:paraId="3DCAF69E" w14:textId="39DA1512" w:rsidR="005D45D6" w:rsidRPr="009533B2" w:rsidRDefault="005D45D6" w:rsidP="001E006A">
      <w:pPr>
        <w:pStyle w:val="Header"/>
        <w:tabs>
          <w:tab w:val="left" w:pos="284"/>
        </w:tabs>
        <w:jc w:val="both"/>
        <w:rPr>
          <w:sz w:val="22"/>
          <w:szCs w:val="22"/>
          <w:lang w:val="sr-Latn-ME"/>
        </w:rPr>
      </w:pPr>
      <w:r w:rsidRPr="009533B2">
        <w:rPr>
          <w:sz w:val="22"/>
          <w:szCs w:val="22"/>
          <w:lang w:val="sr-Latn-ME"/>
        </w:rPr>
        <w:t xml:space="preserve">Kombinovana farmakoscintigrafska/farmakokinetička studija je pokazala da </w:t>
      </w:r>
      <w:r w:rsidR="00695573">
        <w:rPr>
          <w:sz w:val="22"/>
          <w:szCs w:val="22"/>
          <w:lang w:val="sr-Latn-ME"/>
        </w:rPr>
        <w:t>l</w:t>
      </w:r>
      <w:r w:rsidR="009C718B">
        <w:rPr>
          <w:sz w:val="22"/>
          <w:szCs w:val="22"/>
          <w:lang w:val="sr-Latn-ME"/>
        </w:rPr>
        <w:t>ij</w:t>
      </w:r>
      <w:r w:rsidR="00695573">
        <w:rPr>
          <w:sz w:val="22"/>
          <w:szCs w:val="22"/>
          <w:lang w:val="sr-Latn-ME"/>
        </w:rPr>
        <w:t xml:space="preserve">ek </w:t>
      </w:r>
      <w:r w:rsidRPr="009533B2">
        <w:rPr>
          <w:sz w:val="22"/>
          <w:szCs w:val="22"/>
          <w:lang w:val="sr-Latn-ME"/>
        </w:rPr>
        <w:t>Salofalk 500</w:t>
      </w:r>
      <w:r w:rsidR="00DD68B2">
        <w:rPr>
          <w:sz w:val="22"/>
          <w:szCs w:val="22"/>
          <w:lang w:val="sr-Latn-ME"/>
        </w:rPr>
        <w:t> </w:t>
      </w:r>
      <w:r w:rsidRPr="009533B2">
        <w:rPr>
          <w:sz w:val="22"/>
          <w:szCs w:val="22"/>
          <w:lang w:val="sr-Latn-ME"/>
        </w:rPr>
        <w:t>mg</w:t>
      </w:r>
      <w:r w:rsidR="00B852A9">
        <w:rPr>
          <w:sz w:val="22"/>
          <w:szCs w:val="22"/>
          <w:lang w:val="sr-Latn-ME"/>
        </w:rPr>
        <w:t>,</w:t>
      </w:r>
      <w:r w:rsidRPr="009533B2">
        <w:rPr>
          <w:sz w:val="22"/>
          <w:szCs w:val="22"/>
          <w:lang w:val="sr-Latn-ME"/>
        </w:rPr>
        <w:t xml:space="preserve"> gastrorezistentn</w:t>
      </w:r>
      <w:r w:rsidR="00B852A9">
        <w:rPr>
          <w:sz w:val="22"/>
          <w:szCs w:val="22"/>
          <w:lang w:val="sr-Latn-ME"/>
        </w:rPr>
        <w:t>a</w:t>
      </w:r>
      <w:r w:rsidRPr="009533B2">
        <w:rPr>
          <w:sz w:val="22"/>
          <w:szCs w:val="22"/>
          <w:lang w:val="sr-Latn-ME"/>
        </w:rPr>
        <w:t xml:space="preserve"> tablet</w:t>
      </w:r>
      <w:r w:rsidR="00B852A9">
        <w:rPr>
          <w:sz w:val="22"/>
          <w:szCs w:val="22"/>
          <w:lang w:val="sr-Latn-ME"/>
        </w:rPr>
        <w:t>a</w:t>
      </w:r>
      <w:r w:rsidR="00695573">
        <w:rPr>
          <w:sz w:val="22"/>
          <w:szCs w:val="22"/>
          <w:lang w:val="sr-Latn-ME"/>
        </w:rPr>
        <w:t xml:space="preserve"> </w:t>
      </w:r>
      <w:r w:rsidRPr="009533B2">
        <w:rPr>
          <w:sz w:val="22"/>
          <w:szCs w:val="22"/>
          <w:lang w:val="sr-Latn-ME"/>
        </w:rPr>
        <w:t xml:space="preserve">dat ispitanicima na prazan </w:t>
      </w:r>
      <w:r w:rsidR="00E32002">
        <w:rPr>
          <w:sz w:val="22"/>
          <w:szCs w:val="22"/>
          <w:lang w:val="sr-Latn-ME"/>
        </w:rPr>
        <w:t>želudac</w:t>
      </w:r>
      <w:r w:rsidR="00E32002" w:rsidRPr="009533B2">
        <w:rPr>
          <w:sz w:val="22"/>
          <w:szCs w:val="22"/>
          <w:lang w:val="sr-Latn-ME"/>
        </w:rPr>
        <w:t xml:space="preserve"> </w:t>
      </w:r>
      <w:r w:rsidR="00B852A9">
        <w:rPr>
          <w:sz w:val="22"/>
          <w:szCs w:val="22"/>
          <w:lang w:val="sr-Latn-ME"/>
        </w:rPr>
        <w:t>dospijeva</w:t>
      </w:r>
      <w:r w:rsidR="00B852A9" w:rsidRPr="009533B2">
        <w:rPr>
          <w:sz w:val="22"/>
          <w:szCs w:val="22"/>
          <w:lang w:val="sr-Latn-ME"/>
        </w:rPr>
        <w:t xml:space="preserve"> </w:t>
      </w:r>
      <w:r w:rsidRPr="009533B2">
        <w:rPr>
          <w:sz w:val="22"/>
          <w:szCs w:val="22"/>
          <w:lang w:val="sr-Latn-ME"/>
        </w:rPr>
        <w:t>u ileocekalnu regiju</w:t>
      </w:r>
      <w:r w:rsidR="00695573">
        <w:rPr>
          <w:sz w:val="22"/>
          <w:szCs w:val="22"/>
          <w:lang w:val="sr-Latn-ME"/>
        </w:rPr>
        <w:t xml:space="preserve"> </w:t>
      </w:r>
      <w:r w:rsidRPr="009533B2">
        <w:rPr>
          <w:sz w:val="22"/>
          <w:szCs w:val="22"/>
          <w:lang w:val="sr-Latn-ME"/>
        </w:rPr>
        <w:t>poslije 3</w:t>
      </w:r>
      <w:r w:rsidR="00B852A9">
        <w:rPr>
          <w:sz w:val="22"/>
          <w:szCs w:val="22"/>
          <w:lang w:val="sr-Latn-ME"/>
        </w:rPr>
        <w:t xml:space="preserve"> </w:t>
      </w:r>
      <w:r w:rsidRPr="009533B2">
        <w:rPr>
          <w:sz w:val="22"/>
          <w:szCs w:val="22"/>
          <w:lang w:val="sr-Latn-ME"/>
        </w:rPr>
        <w:t>-4</w:t>
      </w:r>
      <w:r w:rsidR="00D90E02">
        <w:rPr>
          <w:b/>
          <w:bCs/>
          <w:sz w:val="22"/>
          <w:szCs w:val="22"/>
          <w:lang w:val="sr-Latn-ME"/>
        </w:rPr>
        <w:t> </w:t>
      </w:r>
      <w:r w:rsidRPr="009533B2">
        <w:rPr>
          <w:sz w:val="22"/>
          <w:szCs w:val="22"/>
          <w:lang w:val="sr-Latn-ME"/>
        </w:rPr>
        <w:t>sata, a do ascendentnog kolona za oko 4</w:t>
      </w:r>
      <w:r w:rsidR="00B852A9">
        <w:rPr>
          <w:sz w:val="22"/>
          <w:szCs w:val="22"/>
          <w:lang w:val="sr-Latn-ME"/>
        </w:rPr>
        <w:t xml:space="preserve"> </w:t>
      </w:r>
      <w:r w:rsidR="00645E1C">
        <w:rPr>
          <w:sz w:val="22"/>
          <w:szCs w:val="22"/>
          <w:lang w:val="sr-Latn-ME"/>
        </w:rPr>
        <w:t>–</w:t>
      </w:r>
      <w:r w:rsidR="00B852A9">
        <w:rPr>
          <w:sz w:val="22"/>
          <w:szCs w:val="22"/>
          <w:lang w:val="sr-Latn-ME"/>
        </w:rPr>
        <w:t xml:space="preserve"> </w:t>
      </w:r>
      <w:r w:rsidRPr="009533B2">
        <w:rPr>
          <w:sz w:val="22"/>
          <w:szCs w:val="22"/>
          <w:lang w:val="sr-Latn-ME"/>
        </w:rPr>
        <w:t>5</w:t>
      </w:r>
      <w:r w:rsidR="00D90E02">
        <w:rPr>
          <w:b/>
          <w:bCs/>
          <w:sz w:val="22"/>
          <w:szCs w:val="22"/>
          <w:lang w:val="sr-Latn-ME"/>
        </w:rPr>
        <w:t> </w:t>
      </w:r>
      <w:r w:rsidRPr="009533B2">
        <w:rPr>
          <w:sz w:val="22"/>
          <w:szCs w:val="22"/>
          <w:lang w:val="sr-Latn-ME"/>
        </w:rPr>
        <w:t>sati. Ukupno vrijeme prolaza kroz debelo crijevo iznosi oko 17</w:t>
      </w:r>
      <w:r w:rsidR="00D90E02">
        <w:rPr>
          <w:b/>
          <w:bCs/>
          <w:sz w:val="22"/>
          <w:szCs w:val="22"/>
          <w:lang w:val="sr-Latn-ME"/>
        </w:rPr>
        <w:t> </w:t>
      </w:r>
      <w:r w:rsidRPr="009533B2">
        <w:rPr>
          <w:sz w:val="22"/>
          <w:szCs w:val="22"/>
          <w:lang w:val="sr-Latn-ME"/>
        </w:rPr>
        <w:t>sati.</w:t>
      </w:r>
    </w:p>
    <w:p w14:paraId="2E63F3A0" w14:textId="77777777" w:rsidR="005D45D6" w:rsidRPr="009533B2" w:rsidRDefault="005D45D6" w:rsidP="001E006A">
      <w:pPr>
        <w:pStyle w:val="Header"/>
        <w:tabs>
          <w:tab w:val="left" w:pos="284"/>
        </w:tabs>
        <w:jc w:val="both"/>
        <w:rPr>
          <w:sz w:val="22"/>
          <w:szCs w:val="22"/>
          <w:lang w:val="sr-Latn-ME"/>
        </w:rPr>
      </w:pPr>
    </w:p>
    <w:p w14:paraId="4B860E00" w14:textId="7E67377D" w:rsidR="005D45D6" w:rsidRPr="001D78AB" w:rsidRDefault="005D45D6" w:rsidP="001E006A">
      <w:pPr>
        <w:pStyle w:val="Header"/>
        <w:tabs>
          <w:tab w:val="left" w:pos="284"/>
        </w:tabs>
        <w:jc w:val="both"/>
        <w:rPr>
          <w:bCs/>
          <w:sz w:val="22"/>
          <w:szCs w:val="22"/>
          <w:u w:val="single"/>
          <w:lang w:val="sr-Latn-ME"/>
        </w:rPr>
      </w:pPr>
      <w:r w:rsidRPr="001D78AB">
        <w:rPr>
          <w:bCs/>
          <w:sz w:val="22"/>
          <w:szCs w:val="22"/>
          <w:u w:val="single"/>
          <w:lang w:val="sr-Latn-ME"/>
        </w:rPr>
        <w:t>Resorpcija</w:t>
      </w:r>
    </w:p>
    <w:p w14:paraId="70D3FDC6" w14:textId="58C8C273" w:rsidR="005D45D6" w:rsidRPr="007F1446" w:rsidRDefault="005D45D6" w:rsidP="001E006A">
      <w:pPr>
        <w:pStyle w:val="Header"/>
        <w:tabs>
          <w:tab w:val="left" w:pos="284"/>
        </w:tabs>
        <w:jc w:val="both"/>
        <w:rPr>
          <w:bCs/>
          <w:sz w:val="22"/>
          <w:szCs w:val="22"/>
          <w:lang w:val="sr-Latn-ME"/>
        </w:rPr>
      </w:pPr>
      <w:r w:rsidRPr="007F1446">
        <w:rPr>
          <w:bCs/>
          <w:sz w:val="22"/>
          <w:szCs w:val="22"/>
          <w:lang w:val="sr-Latn-ME"/>
        </w:rPr>
        <w:t>Oslobađanje mesalazina iz</w:t>
      </w:r>
      <w:r w:rsidR="00B852A9">
        <w:rPr>
          <w:bCs/>
          <w:sz w:val="22"/>
          <w:szCs w:val="22"/>
          <w:lang w:val="sr-Latn-ME"/>
        </w:rPr>
        <w:t xml:space="preserve"> lijeka</w:t>
      </w:r>
      <w:r w:rsidRPr="007F1446">
        <w:rPr>
          <w:bCs/>
          <w:sz w:val="22"/>
          <w:szCs w:val="22"/>
          <w:lang w:val="sr-Latn-ME"/>
        </w:rPr>
        <w:t xml:space="preserve"> Salofalk 500</w:t>
      </w:r>
      <w:r w:rsidR="009D7D15" w:rsidRPr="007F1446">
        <w:rPr>
          <w:bCs/>
          <w:sz w:val="22"/>
          <w:szCs w:val="22"/>
          <w:lang w:val="sr-Latn-ME"/>
        </w:rPr>
        <w:t> </w:t>
      </w:r>
      <w:r w:rsidRPr="007F1446">
        <w:rPr>
          <w:bCs/>
          <w:sz w:val="22"/>
          <w:szCs w:val="22"/>
          <w:lang w:val="sr-Latn-ME"/>
        </w:rPr>
        <w:t>mg</w:t>
      </w:r>
      <w:r w:rsidR="00B852A9">
        <w:rPr>
          <w:bCs/>
          <w:sz w:val="22"/>
          <w:szCs w:val="22"/>
          <w:lang w:val="sr-Latn-ME"/>
        </w:rPr>
        <w:t>,</w:t>
      </w:r>
      <w:r w:rsidRPr="007F1446">
        <w:rPr>
          <w:bCs/>
          <w:sz w:val="22"/>
          <w:szCs w:val="22"/>
          <w:lang w:val="sr-Latn-ME"/>
        </w:rPr>
        <w:t xml:space="preserve"> </w:t>
      </w:r>
      <w:r w:rsidR="00FF5AB4" w:rsidRPr="007F1446">
        <w:rPr>
          <w:bCs/>
          <w:sz w:val="22"/>
          <w:szCs w:val="22"/>
          <w:lang w:val="sr-Latn-ME"/>
        </w:rPr>
        <w:t>gastrorezistentn</w:t>
      </w:r>
      <w:r w:rsidR="00B852A9">
        <w:rPr>
          <w:bCs/>
          <w:sz w:val="22"/>
          <w:szCs w:val="22"/>
          <w:lang w:val="sr-Latn-ME"/>
        </w:rPr>
        <w:t>a</w:t>
      </w:r>
      <w:r w:rsidR="00FF5AB4" w:rsidRPr="007F1446">
        <w:rPr>
          <w:bCs/>
          <w:sz w:val="22"/>
          <w:szCs w:val="22"/>
          <w:lang w:val="sr-Latn-ME"/>
        </w:rPr>
        <w:t xml:space="preserve"> </w:t>
      </w:r>
      <w:r w:rsidRPr="007F1446">
        <w:rPr>
          <w:bCs/>
          <w:sz w:val="22"/>
          <w:szCs w:val="22"/>
          <w:lang w:val="sr-Latn-ME"/>
        </w:rPr>
        <w:t>tableta počinje poslije perioda odlaganja od oko 3</w:t>
      </w:r>
      <w:r w:rsidR="00B852A9">
        <w:rPr>
          <w:bCs/>
          <w:sz w:val="22"/>
          <w:szCs w:val="22"/>
          <w:lang w:val="sr-Latn-ME"/>
        </w:rPr>
        <w:t xml:space="preserve"> </w:t>
      </w:r>
      <w:r w:rsidR="00C325E3" w:rsidRPr="007F1446">
        <w:rPr>
          <w:bCs/>
          <w:sz w:val="22"/>
          <w:szCs w:val="22"/>
          <w:lang w:val="sr-Latn-ME"/>
        </w:rPr>
        <w:t>–</w:t>
      </w:r>
      <w:r w:rsidR="00B852A9">
        <w:rPr>
          <w:bCs/>
          <w:sz w:val="22"/>
          <w:szCs w:val="22"/>
          <w:lang w:val="sr-Latn-ME"/>
        </w:rPr>
        <w:t xml:space="preserve"> </w:t>
      </w:r>
      <w:r w:rsidRPr="007F1446">
        <w:rPr>
          <w:bCs/>
          <w:sz w:val="22"/>
          <w:szCs w:val="22"/>
          <w:lang w:val="sr-Latn-ME"/>
        </w:rPr>
        <w:t>4</w:t>
      </w:r>
      <w:r w:rsidR="00D90E02" w:rsidRPr="00804F26">
        <w:rPr>
          <w:bCs/>
          <w:sz w:val="22"/>
          <w:szCs w:val="22"/>
          <w:lang w:val="sr-Latn-ME"/>
        </w:rPr>
        <w:t> </w:t>
      </w:r>
      <w:r w:rsidRPr="007F1446">
        <w:rPr>
          <w:bCs/>
          <w:sz w:val="22"/>
          <w:szCs w:val="22"/>
          <w:lang w:val="sr-Latn-ME"/>
        </w:rPr>
        <w:t>sata. Maksimalne koncentracije u plazmi se postižu poslije 5</w:t>
      </w:r>
      <w:r w:rsidR="00D90E02" w:rsidRPr="00804F26">
        <w:rPr>
          <w:bCs/>
          <w:sz w:val="22"/>
          <w:szCs w:val="22"/>
          <w:lang w:val="sr-Latn-ME"/>
        </w:rPr>
        <w:t> </w:t>
      </w:r>
      <w:r w:rsidRPr="007F1446">
        <w:rPr>
          <w:bCs/>
          <w:sz w:val="22"/>
          <w:szCs w:val="22"/>
          <w:lang w:val="sr-Latn-ME"/>
        </w:rPr>
        <w:t>sati (resorpcija iz ileocekalne regije) i nakon primjene doze od 3 x 500</w:t>
      </w:r>
      <w:r w:rsidR="0021156D" w:rsidRPr="007F1446">
        <w:rPr>
          <w:bCs/>
          <w:sz w:val="22"/>
          <w:szCs w:val="22"/>
          <w:lang w:val="sr-Latn-ME"/>
        </w:rPr>
        <w:t> </w:t>
      </w:r>
      <w:r w:rsidRPr="007F1446">
        <w:rPr>
          <w:bCs/>
          <w:sz w:val="22"/>
          <w:szCs w:val="22"/>
          <w:lang w:val="sr-Latn-ME"/>
        </w:rPr>
        <w:t xml:space="preserve">mg mesalazina/dan, u stanju </w:t>
      </w:r>
      <w:r w:rsidR="00B852A9">
        <w:rPr>
          <w:bCs/>
          <w:sz w:val="22"/>
          <w:szCs w:val="22"/>
          <w:lang w:val="sr-Latn-ME"/>
        </w:rPr>
        <w:t xml:space="preserve">dinamičke </w:t>
      </w:r>
      <w:r w:rsidRPr="007F1446">
        <w:rPr>
          <w:bCs/>
          <w:sz w:val="22"/>
          <w:szCs w:val="22"/>
          <w:lang w:val="sr-Latn-ME"/>
        </w:rPr>
        <w:t>ravnoteže, iznosile su 3,0±1,6</w:t>
      </w:r>
      <w:r w:rsidR="00F91089" w:rsidRPr="007F1446">
        <w:rPr>
          <w:bCs/>
          <w:sz w:val="22"/>
          <w:szCs w:val="22"/>
          <w:lang w:val="sr-Latn-ME"/>
        </w:rPr>
        <w:t> </w:t>
      </w:r>
      <w:r w:rsidRPr="007F1446">
        <w:rPr>
          <w:bCs/>
          <w:sz w:val="22"/>
          <w:szCs w:val="22"/>
          <w:lang w:val="sr-Latn-ME"/>
        </w:rPr>
        <w:sym w:font="Symbol" w:char="F06D"/>
      </w:r>
      <w:r w:rsidRPr="007F1446">
        <w:rPr>
          <w:bCs/>
          <w:sz w:val="22"/>
          <w:szCs w:val="22"/>
          <w:lang w:val="sr-Latn-ME"/>
        </w:rPr>
        <w:t>g/ml za mesalazin i 3,4±1,6</w:t>
      </w:r>
      <w:r w:rsidR="00524605" w:rsidRPr="007F1446">
        <w:rPr>
          <w:bCs/>
          <w:sz w:val="22"/>
          <w:szCs w:val="22"/>
          <w:lang w:val="sr-Latn-ME"/>
        </w:rPr>
        <w:t> </w:t>
      </w:r>
      <w:r w:rsidRPr="007F1446">
        <w:rPr>
          <w:bCs/>
          <w:sz w:val="22"/>
          <w:szCs w:val="22"/>
          <w:lang w:val="sr-Latn-ME"/>
        </w:rPr>
        <w:sym w:font="Symbol" w:char="F06D"/>
      </w:r>
      <w:r w:rsidRPr="007F1446">
        <w:rPr>
          <w:bCs/>
          <w:sz w:val="22"/>
          <w:szCs w:val="22"/>
          <w:lang w:val="sr-Latn-ME"/>
        </w:rPr>
        <w:t>g/ml za metabolit N</w:t>
      </w:r>
      <w:r w:rsidRPr="007F1446">
        <w:rPr>
          <w:bCs/>
          <w:sz w:val="22"/>
          <w:szCs w:val="22"/>
          <w:lang w:val="sr-Latn-ME"/>
        </w:rPr>
        <w:noBreakHyphen/>
        <w:t>Ac</w:t>
      </w:r>
      <w:r w:rsidRPr="007F1446">
        <w:rPr>
          <w:bCs/>
          <w:sz w:val="22"/>
          <w:szCs w:val="22"/>
          <w:lang w:val="sr-Latn-ME"/>
        </w:rPr>
        <w:noBreakHyphen/>
        <w:t>5</w:t>
      </w:r>
      <w:r w:rsidRPr="007F1446">
        <w:rPr>
          <w:bCs/>
          <w:sz w:val="22"/>
          <w:szCs w:val="22"/>
          <w:lang w:val="sr-Latn-ME"/>
        </w:rPr>
        <w:noBreakHyphen/>
        <w:t xml:space="preserve">ASA. </w:t>
      </w:r>
    </w:p>
    <w:p w14:paraId="0FBB84BA" w14:textId="77777777" w:rsidR="005D45D6" w:rsidRPr="007F1446" w:rsidRDefault="005D45D6" w:rsidP="005D45D6">
      <w:pPr>
        <w:pStyle w:val="Header"/>
        <w:tabs>
          <w:tab w:val="left" w:pos="284"/>
        </w:tabs>
        <w:rPr>
          <w:bCs/>
          <w:sz w:val="22"/>
          <w:szCs w:val="22"/>
          <w:lang w:val="sr-Latn-ME"/>
        </w:rPr>
      </w:pPr>
    </w:p>
    <w:p w14:paraId="27DF8759" w14:textId="28D8A25A" w:rsidR="005D45D6" w:rsidRPr="001D78AB" w:rsidRDefault="005D45D6" w:rsidP="005D45D6">
      <w:pPr>
        <w:pStyle w:val="Header"/>
        <w:tabs>
          <w:tab w:val="left" w:pos="284"/>
        </w:tabs>
        <w:rPr>
          <w:bCs/>
          <w:sz w:val="22"/>
          <w:szCs w:val="22"/>
          <w:u w:val="single"/>
          <w:lang w:val="sr-Latn-ME"/>
        </w:rPr>
      </w:pPr>
      <w:r w:rsidRPr="001D78AB">
        <w:rPr>
          <w:bCs/>
          <w:sz w:val="22"/>
          <w:szCs w:val="22"/>
          <w:u w:val="single"/>
          <w:lang w:val="sr-Latn-ME"/>
        </w:rPr>
        <w:t>Eliminacija</w:t>
      </w:r>
    </w:p>
    <w:p w14:paraId="45582884" w14:textId="19D911BE" w:rsidR="005D45D6" w:rsidRPr="009533B2" w:rsidRDefault="005D45D6" w:rsidP="001E006A">
      <w:pPr>
        <w:pStyle w:val="Header"/>
        <w:tabs>
          <w:tab w:val="left" w:pos="284"/>
        </w:tabs>
        <w:jc w:val="both"/>
        <w:rPr>
          <w:sz w:val="22"/>
          <w:szCs w:val="22"/>
          <w:lang w:val="sr-Latn-ME"/>
        </w:rPr>
      </w:pPr>
      <w:r w:rsidRPr="007F1446">
        <w:rPr>
          <w:bCs/>
          <w:sz w:val="22"/>
          <w:szCs w:val="22"/>
          <w:lang w:val="sr-Latn-ME"/>
        </w:rPr>
        <w:t>Ukupna renalna eliminacija</w:t>
      </w:r>
      <w:r w:rsidRPr="009533B2">
        <w:rPr>
          <w:sz w:val="22"/>
          <w:szCs w:val="22"/>
          <w:lang w:val="sr-Latn-ME"/>
        </w:rPr>
        <w:t xml:space="preserve"> mesalazina i N</w:t>
      </w:r>
      <w:r w:rsidRPr="009533B2">
        <w:rPr>
          <w:sz w:val="22"/>
          <w:szCs w:val="22"/>
          <w:lang w:val="sr-Latn-ME"/>
        </w:rPr>
        <w:noBreakHyphen/>
        <w:t>Ac</w:t>
      </w:r>
      <w:r w:rsidRPr="009533B2">
        <w:rPr>
          <w:sz w:val="22"/>
          <w:szCs w:val="22"/>
          <w:lang w:val="sr-Latn-ME"/>
        </w:rPr>
        <w:noBreakHyphen/>
        <w:t>5</w:t>
      </w:r>
      <w:r w:rsidRPr="009533B2">
        <w:rPr>
          <w:sz w:val="22"/>
          <w:szCs w:val="22"/>
          <w:lang w:val="sr-Latn-ME"/>
        </w:rPr>
        <w:noBreakHyphen/>
        <w:t>ASA za 24</w:t>
      </w:r>
      <w:r w:rsidR="00D90E02">
        <w:rPr>
          <w:b/>
          <w:bCs/>
          <w:sz w:val="22"/>
          <w:szCs w:val="22"/>
          <w:lang w:val="sr-Latn-ME"/>
        </w:rPr>
        <w:t> </w:t>
      </w:r>
      <w:r w:rsidRPr="009533B2">
        <w:rPr>
          <w:sz w:val="22"/>
          <w:szCs w:val="22"/>
          <w:lang w:val="sr-Latn-ME"/>
        </w:rPr>
        <w:t>sata tokom pon</w:t>
      </w:r>
      <w:r w:rsidR="006A39E7">
        <w:rPr>
          <w:sz w:val="22"/>
          <w:szCs w:val="22"/>
          <w:lang w:val="sr-Latn-ME"/>
        </w:rPr>
        <w:t>o</w:t>
      </w:r>
      <w:r w:rsidRPr="009533B2">
        <w:rPr>
          <w:sz w:val="22"/>
          <w:szCs w:val="22"/>
          <w:lang w:val="sr-Latn-ME"/>
        </w:rPr>
        <w:t>vljene</w:t>
      </w:r>
      <w:r w:rsidR="003106BB">
        <w:rPr>
          <w:sz w:val="22"/>
          <w:szCs w:val="22"/>
          <w:lang w:val="sr-Latn-ME"/>
        </w:rPr>
        <w:t xml:space="preserve"> </w:t>
      </w:r>
      <w:r w:rsidRPr="009533B2">
        <w:rPr>
          <w:sz w:val="22"/>
          <w:szCs w:val="22"/>
          <w:lang w:val="sr-Latn-ME"/>
        </w:rPr>
        <w:t>primjene</w:t>
      </w:r>
      <w:r w:rsidR="003106BB">
        <w:rPr>
          <w:sz w:val="22"/>
          <w:szCs w:val="22"/>
          <w:lang w:val="sr-Latn-ME"/>
        </w:rPr>
        <w:t xml:space="preserve"> </w:t>
      </w:r>
      <w:r w:rsidRPr="009533B2">
        <w:rPr>
          <w:sz w:val="22"/>
          <w:szCs w:val="22"/>
          <w:lang w:val="sr-Latn-ME"/>
        </w:rPr>
        <w:t>(3</w:t>
      </w:r>
      <w:r w:rsidR="00D90E02">
        <w:rPr>
          <w:b/>
          <w:bCs/>
          <w:sz w:val="22"/>
          <w:szCs w:val="22"/>
          <w:lang w:val="sr-Latn-ME"/>
        </w:rPr>
        <w:t> </w:t>
      </w:r>
      <w:r w:rsidRPr="009533B2">
        <w:rPr>
          <w:sz w:val="22"/>
          <w:szCs w:val="22"/>
          <w:lang w:val="sr-Latn-ME"/>
        </w:rPr>
        <w:t>x</w:t>
      </w:r>
      <w:r w:rsidR="00D90E02">
        <w:rPr>
          <w:b/>
          <w:bCs/>
          <w:sz w:val="22"/>
          <w:szCs w:val="22"/>
          <w:lang w:val="sr-Latn-ME"/>
        </w:rPr>
        <w:t> </w:t>
      </w:r>
      <w:r w:rsidRPr="009533B2">
        <w:rPr>
          <w:sz w:val="22"/>
          <w:szCs w:val="22"/>
          <w:lang w:val="sr-Latn-ME"/>
        </w:rPr>
        <w:t>1 tableta</w:t>
      </w:r>
      <w:r w:rsidR="003106BB">
        <w:rPr>
          <w:sz w:val="22"/>
          <w:szCs w:val="22"/>
          <w:lang w:val="sr-Latn-ME"/>
        </w:rPr>
        <w:t xml:space="preserve"> </w:t>
      </w:r>
      <w:r w:rsidRPr="009533B2">
        <w:rPr>
          <w:sz w:val="22"/>
          <w:szCs w:val="22"/>
          <w:lang w:val="sr-Latn-ME"/>
        </w:rPr>
        <w:t>500</w:t>
      </w:r>
      <w:r w:rsidR="003106BB">
        <w:rPr>
          <w:sz w:val="22"/>
          <w:szCs w:val="22"/>
          <w:lang w:val="sr-Latn-ME"/>
        </w:rPr>
        <w:t> </w:t>
      </w:r>
      <w:r w:rsidRPr="009533B2">
        <w:rPr>
          <w:sz w:val="22"/>
          <w:szCs w:val="22"/>
          <w:lang w:val="sr-Latn-ME"/>
        </w:rPr>
        <w:t>mg</w:t>
      </w:r>
      <w:r w:rsidR="003106BB">
        <w:rPr>
          <w:sz w:val="22"/>
          <w:szCs w:val="22"/>
          <w:lang w:val="sr-Latn-ME"/>
        </w:rPr>
        <w:t xml:space="preserve"> </w:t>
      </w:r>
      <w:r w:rsidRPr="009533B2">
        <w:rPr>
          <w:sz w:val="22"/>
          <w:szCs w:val="22"/>
          <w:lang w:val="sr-Latn-ME"/>
        </w:rPr>
        <w:t>tokom 2</w:t>
      </w:r>
      <w:r w:rsidR="00D90E02">
        <w:rPr>
          <w:b/>
          <w:bCs/>
          <w:sz w:val="22"/>
          <w:szCs w:val="22"/>
          <w:lang w:val="sr-Latn-ME"/>
        </w:rPr>
        <w:t> </w:t>
      </w:r>
      <w:r w:rsidRPr="009533B2">
        <w:rPr>
          <w:sz w:val="22"/>
          <w:szCs w:val="22"/>
          <w:lang w:val="sr-Latn-ME"/>
        </w:rPr>
        <w:t>dana i 1</w:t>
      </w:r>
      <w:r w:rsidR="00D90E02">
        <w:rPr>
          <w:b/>
          <w:bCs/>
          <w:sz w:val="22"/>
          <w:szCs w:val="22"/>
          <w:lang w:val="sr-Latn-ME"/>
        </w:rPr>
        <w:t> </w:t>
      </w:r>
      <w:r w:rsidRPr="009533B2">
        <w:rPr>
          <w:sz w:val="22"/>
          <w:szCs w:val="22"/>
          <w:lang w:val="sr-Latn-ME"/>
        </w:rPr>
        <w:t>tableta 3.</w:t>
      </w:r>
      <w:r w:rsidR="00D90E02" w:rsidRPr="00D90E02">
        <w:rPr>
          <w:b/>
          <w:bCs/>
          <w:sz w:val="22"/>
          <w:szCs w:val="22"/>
          <w:lang w:val="sr-Latn-ME"/>
        </w:rPr>
        <w:t xml:space="preserve"> </w:t>
      </w:r>
      <w:r w:rsidRPr="009533B2">
        <w:rPr>
          <w:sz w:val="22"/>
          <w:szCs w:val="22"/>
          <w:lang w:val="sr-Latn-ME"/>
        </w:rPr>
        <w:t>dana</w:t>
      </w:r>
      <w:r w:rsidR="003106BB">
        <w:rPr>
          <w:sz w:val="22"/>
          <w:szCs w:val="22"/>
          <w:lang w:val="sr-Latn-ME"/>
        </w:rPr>
        <w:t>,</w:t>
      </w:r>
      <w:r w:rsidRPr="009533B2">
        <w:rPr>
          <w:sz w:val="22"/>
          <w:szCs w:val="22"/>
          <w:lang w:val="sr-Latn-ME"/>
        </w:rPr>
        <w:t xml:space="preserve"> odnosno na dan ispitivanja) iznosila je oko 60%. Udio neizmijenjenog mesalazina u urinu iznosio je oko 10%.</w:t>
      </w:r>
    </w:p>
    <w:p w14:paraId="621718DB" w14:textId="77777777" w:rsidR="0072020E" w:rsidRPr="009533B2" w:rsidRDefault="0072020E" w:rsidP="001E006A">
      <w:pPr>
        <w:tabs>
          <w:tab w:val="left" w:pos="540"/>
          <w:tab w:val="left" w:pos="569"/>
        </w:tabs>
        <w:jc w:val="both"/>
        <w:rPr>
          <w:bCs/>
          <w:sz w:val="22"/>
          <w:szCs w:val="22"/>
          <w:lang w:val="sr-Latn-ME"/>
        </w:rPr>
      </w:pPr>
    </w:p>
    <w:p w14:paraId="2B217FA6" w14:textId="77777777" w:rsidR="0072020E" w:rsidRPr="009533B2" w:rsidRDefault="0072020E" w:rsidP="001E006A">
      <w:pPr>
        <w:tabs>
          <w:tab w:val="left" w:pos="540"/>
          <w:tab w:val="left" w:pos="569"/>
        </w:tabs>
        <w:jc w:val="both"/>
        <w:rPr>
          <w:b/>
          <w:bCs/>
          <w:sz w:val="22"/>
          <w:szCs w:val="22"/>
          <w:lang w:val="sr-Latn-ME"/>
        </w:rPr>
      </w:pPr>
      <w:r w:rsidRPr="009533B2">
        <w:rPr>
          <w:b/>
          <w:bCs/>
          <w:sz w:val="22"/>
          <w:szCs w:val="22"/>
          <w:lang w:val="sr-Latn-ME"/>
        </w:rPr>
        <w:t xml:space="preserve">5.3. </w:t>
      </w:r>
      <w:r w:rsidR="00480FB1" w:rsidRPr="009533B2">
        <w:rPr>
          <w:b/>
          <w:bCs/>
          <w:sz w:val="22"/>
          <w:szCs w:val="22"/>
          <w:lang w:val="sr-Latn-ME"/>
        </w:rPr>
        <w:tab/>
      </w:r>
      <w:r w:rsidRPr="009533B2">
        <w:rPr>
          <w:b/>
          <w:bCs/>
          <w:sz w:val="22"/>
          <w:szCs w:val="22"/>
          <w:lang w:val="sr-Latn-ME"/>
        </w:rPr>
        <w:t xml:space="preserve">Pretklinički podaci o bezbjednosti </w:t>
      </w:r>
    </w:p>
    <w:p w14:paraId="3F2AC0F9" w14:textId="77777777" w:rsidR="005D45D6" w:rsidRPr="009533B2" w:rsidRDefault="005D45D6" w:rsidP="001E006A">
      <w:pPr>
        <w:pStyle w:val="Header"/>
        <w:tabs>
          <w:tab w:val="left" w:pos="284"/>
        </w:tabs>
        <w:jc w:val="both"/>
        <w:rPr>
          <w:sz w:val="22"/>
          <w:szCs w:val="22"/>
          <w:lang w:val="sr-Latn-ME"/>
        </w:rPr>
      </w:pPr>
    </w:p>
    <w:p w14:paraId="6639D6BD" w14:textId="643E1C45" w:rsidR="005D45D6" w:rsidRPr="009533B2" w:rsidRDefault="005D45D6" w:rsidP="001E006A">
      <w:pPr>
        <w:pStyle w:val="Header"/>
        <w:tabs>
          <w:tab w:val="left" w:pos="284"/>
        </w:tabs>
        <w:jc w:val="both"/>
        <w:rPr>
          <w:sz w:val="22"/>
          <w:szCs w:val="22"/>
          <w:lang w:val="sr-Latn-ME"/>
        </w:rPr>
      </w:pPr>
      <w:r w:rsidRPr="009533B2">
        <w:rPr>
          <w:sz w:val="22"/>
          <w:szCs w:val="22"/>
          <w:lang w:val="sr-Latn-ME"/>
        </w:rPr>
        <w:t>Pretklinički podaci dobijeni u konvencionalnim studijama ispitivanja farmakološke bezbjednosti lijeka, genotoksičnosti, karcinogenosti (na pacovima) ili reproduktivne toksičnosti, ni</w:t>
      </w:r>
      <w:r w:rsidR="00B852A9">
        <w:rPr>
          <w:sz w:val="22"/>
          <w:szCs w:val="22"/>
          <w:lang w:val="sr-Latn-ME"/>
        </w:rPr>
        <w:t>je</w:t>
      </w:r>
      <w:r w:rsidRPr="009533B2">
        <w:rPr>
          <w:sz w:val="22"/>
          <w:szCs w:val="22"/>
          <w:lang w:val="sr-Latn-ME"/>
        </w:rPr>
        <w:t>su otkrili posebnu opasnost za ljude.</w:t>
      </w:r>
    </w:p>
    <w:p w14:paraId="53EFF909" w14:textId="77777777" w:rsidR="005D45D6" w:rsidRPr="009533B2" w:rsidRDefault="005D45D6" w:rsidP="001E006A">
      <w:pPr>
        <w:pStyle w:val="Header"/>
        <w:tabs>
          <w:tab w:val="left" w:pos="284"/>
        </w:tabs>
        <w:jc w:val="both"/>
        <w:rPr>
          <w:sz w:val="22"/>
          <w:szCs w:val="22"/>
          <w:lang w:val="sr-Latn-ME"/>
        </w:rPr>
      </w:pPr>
    </w:p>
    <w:p w14:paraId="3831A915" w14:textId="77777777" w:rsidR="005D45D6" w:rsidRPr="009533B2" w:rsidRDefault="005D45D6" w:rsidP="001E006A">
      <w:pPr>
        <w:pStyle w:val="Header"/>
        <w:tabs>
          <w:tab w:val="left" w:pos="284"/>
        </w:tabs>
        <w:jc w:val="both"/>
        <w:rPr>
          <w:sz w:val="22"/>
          <w:szCs w:val="22"/>
          <w:lang w:val="sr-Latn-ME"/>
        </w:rPr>
      </w:pPr>
      <w:r w:rsidRPr="009533B2">
        <w:rPr>
          <w:sz w:val="22"/>
          <w:szCs w:val="22"/>
          <w:lang w:val="sr-Latn-ME"/>
        </w:rPr>
        <w:t>Renalna toksičnost (renalna papilarna nekroza i oštećenje epitela proksimalnih tubula ili cijelog nefrona) je uočena u studijama ispitivanja toksičnosti nakon ponovljene primjene visokih oralnih doza mesalazina. Klinički značaj ovih rezultata nije poznat.</w:t>
      </w:r>
    </w:p>
    <w:p w14:paraId="64306A29" w14:textId="77777777" w:rsidR="00836B35" w:rsidRPr="009533B2" w:rsidRDefault="00836B35" w:rsidP="00480FB1">
      <w:pPr>
        <w:tabs>
          <w:tab w:val="left" w:pos="540"/>
          <w:tab w:val="left" w:pos="569"/>
        </w:tabs>
        <w:rPr>
          <w:bCs/>
          <w:sz w:val="22"/>
          <w:szCs w:val="22"/>
          <w:lang w:val="sr-Latn-ME"/>
        </w:rPr>
      </w:pPr>
    </w:p>
    <w:p w14:paraId="30659770" w14:textId="77777777" w:rsidR="00396DFD" w:rsidRPr="009533B2" w:rsidRDefault="00396DFD" w:rsidP="00480FB1">
      <w:pPr>
        <w:tabs>
          <w:tab w:val="left" w:pos="540"/>
          <w:tab w:val="left" w:pos="569"/>
        </w:tabs>
        <w:rPr>
          <w:b/>
          <w:bCs/>
          <w:sz w:val="22"/>
          <w:szCs w:val="22"/>
          <w:lang w:val="sr-Latn-ME"/>
        </w:rPr>
      </w:pPr>
    </w:p>
    <w:p w14:paraId="446F76C8" w14:textId="77777777" w:rsidR="0072020E" w:rsidRPr="009533B2" w:rsidRDefault="0072020E" w:rsidP="00480FB1">
      <w:pPr>
        <w:tabs>
          <w:tab w:val="left" w:pos="540"/>
          <w:tab w:val="left" w:pos="569"/>
        </w:tabs>
        <w:rPr>
          <w:b/>
          <w:bCs/>
          <w:sz w:val="22"/>
          <w:szCs w:val="22"/>
          <w:lang w:val="sr-Latn-ME"/>
        </w:rPr>
      </w:pPr>
      <w:r w:rsidRPr="009533B2">
        <w:rPr>
          <w:b/>
          <w:bCs/>
          <w:sz w:val="22"/>
          <w:szCs w:val="22"/>
          <w:lang w:val="sr-Latn-ME"/>
        </w:rPr>
        <w:t xml:space="preserve">6. </w:t>
      </w:r>
      <w:r w:rsidR="00480FB1" w:rsidRPr="009533B2">
        <w:rPr>
          <w:b/>
          <w:bCs/>
          <w:sz w:val="22"/>
          <w:szCs w:val="22"/>
          <w:lang w:val="sr-Latn-ME"/>
        </w:rPr>
        <w:tab/>
      </w:r>
      <w:r w:rsidRPr="009533B2">
        <w:rPr>
          <w:b/>
          <w:bCs/>
          <w:sz w:val="22"/>
          <w:szCs w:val="22"/>
          <w:lang w:val="sr-Latn-ME"/>
        </w:rPr>
        <w:t>FARMACEUTSKI PODACI</w:t>
      </w:r>
    </w:p>
    <w:p w14:paraId="032CC15C" w14:textId="77777777" w:rsidR="00836B35" w:rsidRPr="009533B2" w:rsidRDefault="00836B35" w:rsidP="00480FB1">
      <w:pPr>
        <w:tabs>
          <w:tab w:val="left" w:pos="540"/>
          <w:tab w:val="left" w:pos="569"/>
        </w:tabs>
        <w:rPr>
          <w:bCs/>
          <w:sz w:val="22"/>
          <w:szCs w:val="22"/>
          <w:lang w:val="sr-Latn-ME"/>
        </w:rPr>
      </w:pPr>
    </w:p>
    <w:p w14:paraId="67028CB5" w14:textId="77777777" w:rsidR="0072020E" w:rsidRPr="009533B2" w:rsidRDefault="0072020E" w:rsidP="00480FB1">
      <w:pPr>
        <w:tabs>
          <w:tab w:val="left" w:pos="540"/>
          <w:tab w:val="left" w:pos="569"/>
        </w:tabs>
        <w:rPr>
          <w:b/>
          <w:bCs/>
          <w:sz w:val="22"/>
          <w:szCs w:val="22"/>
          <w:lang w:val="sr-Latn-ME"/>
        </w:rPr>
      </w:pPr>
      <w:r w:rsidRPr="009533B2">
        <w:rPr>
          <w:b/>
          <w:bCs/>
          <w:sz w:val="22"/>
          <w:szCs w:val="22"/>
          <w:lang w:val="sr-Latn-ME"/>
        </w:rPr>
        <w:t xml:space="preserve">6.1. </w:t>
      </w:r>
      <w:r w:rsidR="00480FB1" w:rsidRPr="009533B2">
        <w:rPr>
          <w:b/>
          <w:bCs/>
          <w:sz w:val="22"/>
          <w:szCs w:val="22"/>
          <w:lang w:val="sr-Latn-ME"/>
        </w:rPr>
        <w:tab/>
      </w:r>
      <w:r w:rsidRPr="009533B2">
        <w:rPr>
          <w:b/>
          <w:bCs/>
          <w:sz w:val="22"/>
          <w:szCs w:val="22"/>
          <w:lang w:val="sr-Latn-ME"/>
        </w:rPr>
        <w:t>Lista pomoćnih supstanci</w:t>
      </w:r>
      <w:r w:rsidR="002E0135" w:rsidRPr="009533B2">
        <w:rPr>
          <w:b/>
          <w:bCs/>
          <w:sz w:val="22"/>
          <w:szCs w:val="22"/>
          <w:lang w:val="sr-Latn-ME"/>
        </w:rPr>
        <w:t xml:space="preserve"> (ekscipijenasa)</w:t>
      </w:r>
    </w:p>
    <w:p w14:paraId="67DCF4FD" w14:textId="77777777" w:rsidR="005D45D6" w:rsidRPr="009533B2" w:rsidRDefault="005D45D6" w:rsidP="00480FB1">
      <w:pPr>
        <w:tabs>
          <w:tab w:val="left" w:pos="540"/>
          <w:tab w:val="left" w:pos="569"/>
        </w:tabs>
        <w:rPr>
          <w:b/>
          <w:bCs/>
          <w:sz w:val="22"/>
          <w:szCs w:val="22"/>
          <w:lang w:val="sr-Latn-ME"/>
        </w:rPr>
      </w:pPr>
    </w:p>
    <w:p w14:paraId="22AF7AB5" w14:textId="77777777" w:rsidR="005D45D6" w:rsidRPr="009533B2" w:rsidRDefault="005D45D6" w:rsidP="001D78AB">
      <w:pPr>
        <w:autoSpaceDE w:val="0"/>
        <w:autoSpaceDN w:val="0"/>
        <w:adjustRightInd w:val="0"/>
        <w:jc w:val="both"/>
        <w:rPr>
          <w:i/>
          <w:iCs/>
          <w:sz w:val="22"/>
          <w:szCs w:val="22"/>
          <w:lang w:val="sr-Latn-ME"/>
        </w:rPr>
      </w:pPr>
      <w:r w:rsidRPr="001D78AB">
        <w:rPr>
          <w:bCs/>
          <w:i/>
          <w:sz w:val="22"/>
          <w:szCs w:val="22"/>
          <w:u w:val="single"/>
          <w:lang w:val="sr-Latn-ME"/>
        </w:rPr>
        <w:t>Jezgro tablete</w:t>
      </w:r>
      <w:r w:rsidRPr="009533B2">
        <w:rPr>
          <w:i/>
          <w:iCs/>
          <w:sz w:val="22"/>
          <w:szCs w:val="22"/>
          <w:lang w:val="sr-Latn-ME"/>
        </w:rPr>
        <w:t>:</w:t>
      </w:r>
    </w:p>
    <w:p w14:paraId="410341B4" w14:textId="378A5E98" w:rsidR="005D45D6" w:rsidRPr="00EF04B7" w:rsidRDefault="00412547" w:rsidP="001D78AB">
      <w:pPr>
        <w:autoSpaceDE w:val="0"/>
        <w:autoSpaceDN w:val="0"/>
        <w:adjustRightInd w:val="0"/>
        <w:jc w:val="both"/>
        <w:rPr>
          <w:sz w:val="22"/>
          <w:szCs w:val="22"/>
          <w:lang w:val="sr-Latn-ME"/>
        </w:rPr>
      </w:pPr>
      <w:r>
        <w:rPr>
          <w:sz w:val="22"/>
          <w:szCs w:val="22"/>
          <w:lang w:val="sr-Latn-ME"/>
        </w:rPr>
        <w:t>- n</w:t>
      </w:r>
      <w:r w:rsidR="005D45D6" w:rsidRPr="00EF04B7">
        <w:rPr>
          <w:sz w:val="22"/>
          <w:szCs w:val="22"/>
          <w:lang w:val="sr-Latn-ME"/>
        </w:rPr>
        <w:t>atrijum karbonat</w:t>
      </w:r>
      <w:r>
        <w:rPr>
          <w:sz w:val="22"/>
          <w:szCs w:val="22"/>
          <w:lang w:val="sr-Latn-ME"/>
        </w:rPr>
        <w:t>,</w:t>
      </w:r>
    </w:p>
    <w:p w14:paraId="34FC68F6" w14:textId="525BCC60" w:rsidR="005D45D6" w:rsidRPr="00EF04B7" w:rsidRDefault="00412547" w:rsidP="001D78AB">
      <w:pPr>
        <w:pStyle w:val="Header"/>
        <w:jc w:val="both"/>
        <w:rPr>
          <w:sz w:val="22"/>
          <w:szCs w:val="22"/>
          <w:lang w:val="sr-Latn-ME"/>
        </w:rPr>
      </w:pPr>
      <w:r>
        <w:rPr>
          <w:sz w:val="22"/>
          <w:szCs w:val="22"/>
          <w:lang w:val="sr-Latn-ME"/>
        </w:rPr>
        <w:t>- g</w:t>
      </w:r>
      <w:r w:rsidR="005D45D6" w:rsidRPr="00EF04B7">
        <w:rPr>
          <w:sz w:val="22"/>
          <w:szCs w:val="22"/>
          <w:lang w:val="sr-Latn-ME"/>
        </w:rPr>
        <w:t>licin</w:t>
      </w:r>
      <w:r>
        <w:rPr>
          <w:sz w:val="22"/>
          <w:szCs w:val="22"/>
          <w:lang w:val="sr-Latn-ME"/>
        </w:rPr>
        <w:t>,</w:t>
      </w:r>
    </w:p>
    <w:p w14:paraId="525385A6" w14:textId="269248E4" w:rsidR="005D45D6" w:rsidRPr="00EF04B7" w:rsidRDefault="00412547" w:rsidP="001D78AB">
      <w:pPr>
        <w:pStyle w:val="Header"/>
        <w:jc w:val="both"/>
        <w:rPr>
          <w:sz w:val="22"/>
          <w:szCs w:val="22"/>
          <w:lang w:val="sr-Latn-ME"/>
        </w:rPr>
      </w:pPr>
      <w:r>
        <w:rPr>
          <w:sz w:val="22"/>
          <w:szCs w:val="22"/>
          <w:lang w:val="sr-Latn-ME"/>
        </w:rPr>
        <w:t>- p</w:t>
      </w:r>
      <w:r w:rsidR="005D45D6" w:rsidRPr="00EF04B7">
        <w:rPr>
          <w:sz w:val="22"/>
          <w:szCs w:val="22"/>
          <w:lang w:val="sr-Latn-ME"/>
        </w:rPr>
        <w:t>ovidon [K 25]</w:t>
      </w:r>
      <w:r>
        <w:rPr>
          <w:sz w:val="22"/>
          <w:szCs w:val="22"/>
          <w:lang w:val="sr-Latn-ME"/>
        </w:rPr>
        <w:t>,</w:t>
      </w:r>
    </w:p>
    <w:p w14:paraId="693B1ACD" w14:textId="5503154A" w:rsidR="005D45D6" w:rsidRPr="00EF04B7" w:rsidRDefault="00412547" w:rsidP="001D78AB">
      <w:pPr>
        <w:pStyle w:val="Header"/>
        <w:jc w:val="both"/>
        <w:rPr>
          <w:sz w:val="22"/>
          <w:szCs w:val="22"/>
          <w:lang w:val="sr-Latn-ME"/>
        </w:rPr>
      </w:pPr>
      <w:r>
        <w:rPr>
          <w:sz w:val="22"/>
          <w:szCs w:val="22"/>
          <w:lang w:val="sr-Latn-ME"/>
        </w:rPr>
        <w:t>- c</w:t>
      </w:r>
      <w:r w:rsidR="005D45D6" w:rsidRPr="00EF04B7">
        <w:rPr>
          <w:sz w:val="22"/>
          <w:szCs w:val="22"/>
          <w:lang w:val="sr-Latn-ME"/>
        </w:rPr>
        <w:t>eluloza, mikrokristalna</w:t>
      </w:r>
      <w:r>
        <w:rPr>
          <w:sz w:val="22"/>
          <w:szCs w:val="22"/>
          <w:lang w:val="sr-Latn-ME"/>
        </w:rPr>
        <w:t>,</w:t>
      </w:r>
    </w:p>
    <w:p w14:paraId="1B802116" w14:textId="4A11F3C0" w:rsidR="005D45D6" w:rsidRPr="00EF04B7" w:rsidRDefault="00412547" w:rsidP="001D78AB">
      <w:pPr>
        <w:pStyle w:val="Header"/>
        <w:jc w:val="both"/>
        <w:rPr>
          <w:sz w:val="22"/>
          <w:szCs w:val="22"/>
          <w:lang w:val="sr-Latn-ME"/>
        </w:rPr>
      </w:pPr>
      <w:r>
        <w:rPr>
          <w:sz w:val="22"/>
          <w:szCs w:val="22"/>
          <w:lang w:val="sr-Latn-ME"/>
        </w:rPr>
        <w:t>- k</w:t>
      </w:r>
      <w:r w:rsidR="005D45D6" w:rsidRPr="00EF04B7">
        <w:rPr>
          <w:sz w:val="22"/>
          <w:szCs w:val="22"/>
          <w:lang w:val="sr-Latn-ME"/>
        </w:rPr>
        <w:t>roskarmeloza natrijum</w:t>
      </w:r>
      <w:r>
        <w:rPr>
          <w:sz w:val="22"/>
          <w:szCs w:val="22"/>
          <w:lang w:val="sr-Latn-ME"/>
        </w:rPr>
        <w:t>,</w:t>
      </w:r>
    </w:p>
    <w:p w14:paraId="1D821113" w14:textId="2DC0F80C" w:rsidR="005D45D6" w:rsidRPr="00EF04B7" w:rsidRDefault="00412547" w:rsidP="001D78AB">
      <w:pPr>
        <w:pStyle w:val="Header"/>
        <w:jc w:val="both"/>
        <w:rPr>
          <w:sz w:val="22"/>
          <w:szCs w:val="22"/>
          <w:lang w:val="sr-Latn-ME"/>
        </w:rPr>
      </w:pPr>
      <w:r>
        <w:rPr>
          <w:sz w:val="22"/>
          <w:szCs w:val="22"/>
          <w:lang w:val="sr-Latn-ME"/>
        </w:rPr>
        <w:t>- s</w:t>
      </w:r>
      <w:r w:rsidR="005D45D6" w:rsidRPr="00EF04B7">
        <w:rPr>
          <w:sz w:val="22"/>
          <w:szCs w:val="22"/>
          <w:lang w:val="sr-Latn-ME"/>
        </w:rPr>
        <w:t>ilicijum dioksid, koloidni anhidrovani</w:t>
      </w:r>
      <w:r>
        <w:rPr>
          <w:sz w:val="22"/>
          <w:szCs w:val="22"/>
          <w:lang w:val="sr-Latn-ME"/>
        </w:rPr>
        <w:t>,</w:t>
      </w:r>
    </w:p>
    <w:p w14:paraId="21D5D5B4" w14:textId="5EF8C265" w:rsidR="005D45D6" w:rsidRPr="00EF04B7" w:rsidRDefault="00412547" w:rsidP="001D78AB">
      <w:pPr>
        <w:pStyle w:val="Header"/>
        <w:jc w:val="both"/>
        <w:rPr>
          <w:sz w:val="22"/>
          <w:szCs w:val="22"/>
          <w:lang w:val="sr-Latn-ME"/>
        </w:rPr>
      </w:pPr>
      <w:r>
        <w:rPr>
          <w:sz w:val="22"/>
          <w:szCs w:val="22"/>
          <w:lang w:val="sr-Latn-ME"/>
        </w:rPr>
        <w:t>- k</w:t>
      </w:r>
      <w:r w:rsidR="005D45D6" w:rsidRPr="00EF04B7">
        <w:rPr>
          <w:sz w:val="22"/>
          <w:szCs w:val="22"/>
          <w:lang w:val="sr-Latn-ME"/>
        </w:rPr>
        <w:t>alcijum stearat</w:t>
      </w:r>
      <w:r>
        <w:rPr>
          <w:sz w:val="22"/>
          <w:szCs w:val="22"/>
          <w:lang w:val="sr-Latn-ME"/>
        </w:rPr>
        <w:t>.</w:t>
      </w:r>
    </w:p>
    <w:p w14:paraId="0F3B0144" w14:textId="77777777" w:rsidR="00412547" w:rsidRDefault="00412547" w:rsidP="001D78AB">
      <w:pPr>
        <w:pStyle w:val="Header"/>
        <w:jc w:val="both"/>
        <w:rPr>
          <w:b/>
          <w:sz w:val="22"/>
          <w:szCs w:val="22"/>
          <w:lang w:val="sr-Latn-ME"/>
        </w:rPr>
      </w:pPr>
    </w:p>
    <w:p w14:paraId="23741F07" w14:textId="4CB32263" w:rsidR="005D45D6" w:rsidRPr="001D78AB" w:rsidRDefault="005D45D6" w:rsidP="001D78AB">
      <w:pPr>
        <w:pStyle w:val="Header"/>
        <w:jc w:val="both"/>
        <w:rPr>
          <w:i/>
          <w:sz w:val="22"/>
          <w:szCs w:val="22"/>
          <w:u w:val="single"/>
          <w:lang w:val="sr-Latn-ME"/>
        </w:rPr>
      </w:pPr>
      <w:r w:rsidRPr="001D78AB">
        <w:rPr>
          <w:i/>
          <w:sz w:val="22"/>
          <w:szCs w:val="22"/>
          <w:u w:val="single"/>
          <w:lang w:val="sr-Latn-ME"/>
        </w:rPr>
        <w:t>Omotač:</w:t>
      </w:r>
    </w:p>
    <w:p w14:paraId="38D711B5" w14:textId="084674F6" w:rsidR="005D45D6" w:rsidRPr="00EF04B7" w:rsidRDefault="00412547" w:rsidP="001D78AB">
      <w:pPr>
        <w:pStyle w:val="Header"/>
        <w:jc w:val="both"/>
        <w:rPr>
          <w:sz w:val="22"/>
          <w:szCs w:val="22"/>
          <w:lang w:val="sr-Latn-ME"/>
        </w:rPr>
      </w:pPr>
      <w:r>
        <w:rPr>
          <w:sz w:val="22"/>
          <w:szCs w:val="22"/>
          <w:lang w:val="sr-Latn-ME"/>
        </w:rPr>
        <w:t>- h</w:t>
      </w:r>
      <w:r w:rsidR="005D45D6" w:rsidRPr="00EF04B7">
        <w:rPr>
          <w:sz w:val="22"/>
          <w:szCs w:val="22"/>
          <w:lang w:val="sr-Latn-ME"/>
        </w:rPr>
        <w:t>ipromeloza</w:t>
      </w:r>
      <w:r>
        <w:rPr>
          <w:sz w:val="22"/>
          <w:szCs w:val="22"/>
          <w:lang w:val="sr-Latn-ME"/>
        </w:rPr>
        <w:t>,</w:t>
      </w:r>
      <w:r w:rsidR="005D45D6" w:rsidRPr="00EF04B7">
        <w:rPr>
          <w:sz w:val="22"/>
          <w:szCs w:val="22"/>
          <w:lang w:val="sr-Latn-ME"/>
        </w:rPr>
        <w:t xml:space="preserve"> </w:t>
      </w:r>
    </w:p>
    <w:p w14:paraId="2DCF0F24" w14:textId="1201B3CC" w:rsidR="005D45D6" w:rsidRPr="00EF04B7" w:rsidRDefault="00412547" w:rsidP="001D78AB">
      <w:pPr>
        <w:pStyle w:val="Header"/>
        <w:jc w:val="both"/>
        <w:rPr>
          <w:sz w:val="22"/>
          <w:szCs w:val="22"/>
          <w:lang w:val="sr-Latn-ME"/>
        </w:rPr>
      </w:pPr>
      <w:r>
        <w:rPr>
          <w:sz w:val="22"/>
          <w:szCs w:val="22"/>
          <w:lang w:val="sr-Latn-ME"/>
        </w:rPr>
        <w:t>- m</w:t>
      </w:r>
      <w:r w:rsidR="005D45D6" w:rsidRPr="00EF04B7">
        <w:rPr>
          <w:sz w:val="22"/>
          <w:szCs w:val="22"/>
          <w:lang w:val="sr-Latn-ME"/>
        </w:rPr>
        <w:t>etakrilna kiselina metil metakrilat</w:t>
      </w:r>
      <w:r>
        <w:rPr>
          <w:sz w:val="22"/>
          <w:szCs w:val="22"/>
          <w:lang w:val="sr-Latn-ME"/>
        </w:rPr>
        <w:t>,</w:t>
      </w:r>
    </w:p>
    <w:p w14:paraId="7B84AF5E" w14:textId="0A7087D3" w:rsidR="005D45D6" w:rsidRPr="00EF04B7" w:rsidRDefault="00412547" w:rsidP="001D78AB">
      <w:pPr>
        <w:pStyle w:val="Header"/>
        <w:jc w:val="both"/>
        <w:rPr>
          <w:sz w:val="22"/>
          <w:szCs w:val="22"/>
          <w:lang w:val="sr-Latn-ME"/>
        </w:rPr>
      </w:pPr>
      <w:r>
        <w:rPr>
          <w:sz w:val="22"/>
          <w:szCs w:val="22"/>
          <w:lang w:val="sr-Latn-ME"/>
        </w:rPr>
        <w:t xml:space="preserve">- </w:t>
      </w:r>
      <w:r w:rsidR="005D45D6" w:rsidRPr="00EF04B7">
        <w:rPr>
          <w:sz w:val="22"/>
          <w:szCs w:val="22"/>
          <w:lang w:val="sr-Latn-ME"/>
        </w:rPr>
        <w:t>kopolimer (1:1) [Eudragit L 100]</w:t>
      </w:r>
      <w:r>
        <w:rPr>
          <w:sz w:val="22"/>
          <w:szCs w:val="22"/>
          <w:lang w:val="sr-Latn-ME"/>
        </w:rPr>
        <w:t>,</w:t>
      </w:r>
      <w:r w:rsidR="005D45D6" w:rsidRPr="00EF04B7">
        <w:rPr>
          <w:sz w:val="22"/>
          <w:szCs w:val="22"/>
          <w:lang w:val="sr-Latn-ME"/>
        </w:rPr>
        <w:t xml:space="preserve"> </w:t>
      </w:r>
    </w:p>
    <w:p w14:paraId="2C489A71" w14:textId="665B55F3" w:rsidR="005D45D6" w:rsidRPr="00EF04B7" w:rsidRDefault="00412547" w:rsidP="001D78AB">
      <w:pPr>
        <w:pStyle w:val="Header"/>
        <w:jc w:val="both"/>
        <w:rPr>
          <w:sz w:val="22"/>
          <w:szCs w:val="22"/>
          <w:lang w:val="sr-Latn-ME"/>
        </w:rPr>
      </w:pPr>
      <w:r>
        <w:rPr>
          <w:sz w:val="22"/>
          <w:szCs w:val="22"/>
          <w:lang w:val="sr-Latn-ME"/>
        </w:rPr>
        <w:t>- m</w:t>
      </w:r>
      <w:r w:rsidR="005D45D6" w:rsidRPr="00EF04B7">
        <w:rPr>
          <w:sz w:val="22"/>
          <w:szCs w:val="22"/>
          <w:lang w:val="sr-Latn-ME"/>
        </w:rPr>
        <w:t>akrogol 6000</w:t>
      </w:r>
      <w:r>
        <w:rPr>
          <w:sz w:val="22"/>
          <w:szCs w:val="22"/>
          <w:lang w:val="sr-Latn-ME"/>
        </w:rPr>
        <w:t>,</w:t>
      </w:r>
      <w:r w:rsidR="005D45D6" w:rsidRPr="00EF04B7">
        <w:rPr>
          <w:sz w:val="22"/>
          <w:szCs w:val="22"/>
          <w:lang w:val="sr-Latn-ME"/>
        </w:rPr>
        <w:t xml:space="preserve"> </w:t>
      </w:r>
    </w:p>
    <w:p w14:paraId="7859AD1A" w14:textId="58FD37FF" w:rsidR="005D45D6" w:rsidRPr="00EF04B7" w:rsidRDefault="00412547" w:rsidP="001D78AB">
      <w:pPr>
        <w:pStyle w:val="Header"/>
        <w:jc w:val="both"/>
        <w:rPr>
          <w:sz w:val="22"/>
          <w:szCs w:val="22"/>
          <w:lang w:val="sr-Latn-ME"/>
        </w:rPr>
      </w:pPr>
      <w:r>
        <w:rPr>
          <w:sz w:val="22"/>
          <w:szCs w:val="22"/>
          <w:lang w:val="sr-Latn-ME"/>
        </w:rPr>
        <w:t>- t</w:t>
      </w:r>
      <w:r w:rsidR="005D45D6" w:rsidRPr="00EF04B7">
        <w:rPr>
          <w:sz w:val="22"/>
          <w:szCs w:val="22"/>
          <w:lang w:val="sr-Latn-ME"/>
        </w:rPr>
        <w:t>alk</w:t>
      </w:r>
      <w:r>
        <w:rPr>
          <w:sz w:val="22"/>
          <w:szCs w:val="22"/>
          <w:lang w:val="sr-Latn-ME"/>
        </w:rPr>
        <w:t>,</w:t>
      </w:r>
      <w:r w:rsidR="005D45D6" w:rsidRPr="00EF04B7">
        <w:rPr>
          <w:sz w:val="22"/>
          <w:szCs w:val="22"/>
          <w:lang w:val="sr-Latn-ME"/>
        </w:rPr>
        <w:t xml:space="preserve"> </w:t>
      </w:r>
    </w:p>
    <w:p w14:paraId="2352A64C" w14:textId="055A20FC" w:rsidR="005D45D6" w:rsidRPr="00EF04B7" w:rsidRDefault="00412547" w:rsidP="001D78AB">
      <w:pPr>
        <w:pStyle w:val="Header"/>
        <w:jc w:val="both"/>
        <w:rPr>
          <w:sz w:val="22"/>
          <w:szCs w:val="22"/>
          <w:lang w:val="sr-Latn-ME"/>
        </w:rPr>
      </w:pPr>
      <w:r>
        <w:rPr>
          <w:sz w:val="22"/>
          <w:szCs w:val="22"/>
          <w:lang w:val="sr-Latn-ME"/>
        </w:rPr>
        <w:t>- t</w:t>
      </w:r>
      <w:r w:rsidR="005D45D6" w:rsidRPr="00EF04B7">
        <w:rPr>
          <w:sz w:val="22"/>
          <w:szCs w:val="22"/>
          <w:lang w:val="sr-Latn-ME"/>
        </w:rPr>
        <w:t>itanijum dioksid</w:t>
      </w:r>
      <w:r>
        <w:rPr>
          <w:sz w:val="22"/>
          <w:szCs w:val="22"/>
          <w:lang w:val="sr-Latn-ME"/>
        </w:rPr>
        <w:t>,</w:t>
      </w:r>
    </w:p>
    <w:p w14:paraId="34C28229" w14:textId="6DB013E0" w:rsidR="005D45D6" w:rsidRPr="00EF04B7" w:rsidRDefault="00412547" w:rsidP="001D78AB">
      <w:pPr>
        <w:pStyle w:val="Header"/>
        <w:jc w:val="both"/>
        <w:rPr>
          <w:sz w:val="22"/>
          <w:szCs w:val="22"/>
          <w:lang w:val="sr-Latn-ME"/>
        </w:rPr>
      </w:pPr>
      <w:r>
        <w:rPr>
          <w:sz w:val="22"/>
          <w:szCs w:val="22"/>
          <w:lang w:val="sr-Latn-ME"/>
        </w:rPr>
        <w:t>- g</w:t>
      </w:r>
      <w:r w:rsidR="005D45D6" w:rsidRPr="00EF04B7">
        <w:rPr>
          <w:sz w:val="22"/>
          <w:szCs w:val="22"/>
          <w:lang w:val="sr-Latn-ME"/>
        </w:rPr>
        <w:t>voždje (III) oksid žuti</w:t>
      </w:r>
      <w:r>
        <w:rPr>
          <w:sz w:val="22"/>
          <w:szCs w:val="22"/>
          <w:lang w:val="sr-Latn-ME"/>
        </w:rPr>
        <w:t>,</w:t>
      </w:r>
    </w:p>
    <w:p w14:paraId="25081C7D" w14:textId="16F75849" w:rsidR="005D45D6" w:rsidRPr="009533B2" w:rsidRDefault="00412547" w:rsidP="001D78AB">
      <w:pPr>
        <w:tabs>
          <w:tab w:val="left" w:pos="540"/>
          <w:tab w:val="left" w:pos="569"/>
        </w:tabs>
        <w:jc w:val="both"/>
        <w:rPr>
          <w:b/>
          <w:bCs/>
          <w:sz w:val="22"/>
          <w:szCs w:val="22"/>
          <w:lang w:val="sr-Latn-ME"/>
        </w:rPr>
      </w:pPr>
      <w:r>
        <w:rPr>
          <w:sz w:val="22"/>
          <w:szCs w:val="22"/>
          <w:lang w:val="sr-Latn-ME"/>
        </w:rPr>
        <w:t>- b</w:t>
      </w:r>
      <w:r w:rsidR="005D45D6" w:rsidRPr="00EF04B7">
        <w:rPr>
          <w:sz w:val="22"/>
          <w:szCs w:val="22"/>
          <w:lang w:val="sr-Latn-ME"/>
        </w:rPr>
        <w:t>azni butil metakrilat kopolimer (=Eudragit E)</w:t>
      </w:r>
      <w:r>
        <w:rPr>
          <w:sz w:val="22"/>
          <w:szCs w:val="22"/>
          <w:lang w:val="sr-Latn-ME"/>
        </w:rPr>
        <w:t>.</w:t>
      </w:r>
    </w:p>
    <w:p w14:paraId="4339A6BA" w14:textId="77777777" w:rsidR="0072020E" w:rsidRPr="009533B2" w:rsidRDefault="0072020E" w:rsidP="00480FB1">
      <w:pPr>
        <w:tabs>
          <w:tab w:val="left" w:pos="540"/>
          <w:tab w:val="left" w:pos="569"/>
        </w:tabs>
        <w:rPr>
          <w:bCs/>
          <w:sz w:val="22"/>
          <w:szCs w:val="22"/>
          <w:lang w:val="sr-Latn-ME"/>
        </w:rPr>
      </w:pPr>
    </w:p>
    <w:p w14:paraId="15BDF3B5" w14:textId="77777777" w:rsidR="0072020E" w:rsidRPr="009533B2" w:rsidRDefault="0072020E" w:rsidP="00480FB1">
      <w:pPr>
        <w:tabs>
          <w:tab w:val="left" w:pos="540"/>
          <w:tab w:val="left" w:pos="569"/>
        </w:tabs>
        <w:rPr>
          <w:b/>
          <w:bCs/>
          <w:sz w:val="22"/>
          <w:szCs w:val="22"/>
          <w:lang w:val="sr-Latn-ME"/>
        </w:rPr>
      </w:pPr>
      <w:r w:rsidRPr="009533B2">
        <w:rPr>
          <w:b/>
          <w:bCs/>
          <w:sz w:val="22"/>
          <w:szCs w:val="22"/>
          <w:lang w:val="sr-Latn-ME"/>
        </w:rPr>
        <w:t xml:space="preserve">6.2. </w:t>
      </w:r>
      <w:r w:rsidR="00480FB1" w:rsidRPr="009533B2">
        <w:rPr>
          <w:b/>
          <w:bCs/>
          <w:sz w:val="22"/>
          <w:szCs w:val="22"/>
          <w:lang w:val="sr-Latn-ME"/>
        </w:rPr>
        <w:tab/>
      </w:r>
      <w:r w:rsidRPr="009533B2">
        <w:rPr>
          <w:b/>
          <w:bCs/>
          <w:sz w:val="22"/>
          <w:szCs w:val="22"/>
          <w:lang w:val="sr-Latn-ME"/>
        </w:rPr>
        <w:t>Inkompatibilnost</w:t>
      </w:r>
      <w:r w:rsidR="002846DB" w:rsidRPr="009533B2">
        <w:rPr>
          <w:b/>
          <w:bCs/>
          <w:sz w:val="22"/>
          <w:szCs w:val="22"/>
          <w:lang w:val="sr-Latn-ME"/>
        </w:rPr>
        <w:t>i</w:t>
      </w:r>
    </w:p>
    <w:p w14:paraId="333B1AD5" w14:textId="77777777" w:rsidR="005D45D6" w:rsidRPr="009533B2" w:rsidRDefault="005D45D6" w:rsidP="00480FB1">
      <w:pPr>
        <w:tabs>
          <w:tab w:val="left" w:pos="540"/>
          <w:tab w:val="left" w:pos="569"/>
        </w:tabs>
        <w:rPr>
          <w:b/>
          <w:bCs/>
          <w:sz w:val="22"/>
          <w:szCs w:val="22"/>
          <w:lang w:val="sr-Latn-ME"/>
        </w:rPr>
      </w:pPr>
    </w:p>
    <w:p w14:paraId="7D811A11" w14:textId="77777777" w:rsidR="005D45D6" w:rsidRPr="009533B2" w:rsidRDefault="005D45D6" w:rsidP="001D78AB">
      <w:pPr>
        <w:tabs>
          <w:tab w:val="left" w:pos="540"/>
          <w:tab w:val="left" w:pos="569"/>
        </w:tabs>
        <w:jc w:val="both"/>
        <w:rPr>
          <w:b/>
          <w:bCs/>
          <w:sz w:val="22"/>
          <w:szCs w:val="22"/>
          <w:lang w:val="sr-Latn-ME"/>
        </w:rPr>
      </w:pPr>
      <w:r w:rsidRPr="009533B2">
        <w:rPr>
          <w:sz w:val="22"/>
          <w:szCs w:val="22"/>
          <w:lang w:val="sr-Latn-ME"/>
        </w:rPr>
        <w:t>Nije primjenjivo.</w:t>
      </w:r>
    </w:p>
    <w:p w14:paraId="5CD20352" w14:textId="77777777" w:rsidR="0072020E" w:rsidRPr="009533B2" w:rsidRDefault="0072020E" w:rsidP="00480FB1">
      <w:pPr>
        <w:tabs>
          <w:tab w:val="left" w:pos="540"/>
          <w:tab w:val="left" w:pos="569"/>
        </w:tabs>
        <w:rPr>
          <w:bCs/>
          <w:sz w:val="22"/>
          <w:szCs w:val="22"/>
          <w:lang w:val="sr-Latn-ME"/>
        </w:rPr>
      </w:pPr>
    </w:p>
    <w:p w14:paraId="7FD65872" w14:textId="77777777" w:rsidR="0072020E" w:rsidRPr="009533B2" w:rsidRDefault="0072020E" w:rsidP="00480FB1">
      <w:pPr>
        <w:tabs>
          <w:tab w:val="left" w:pos="540"/>
          <w:tab w:val="left" w:pos="569"/>
        </w:tabs>
        <w:rPr>
          <w:b/>
          <w:bCs/>
          <w:sz w:val="22"/>
          <w:szCs w:val="22"/>
          <w:lang w:val="sr-Latn-ME"/>
        </w:rPr>
      </w:pPr>
      <w:r w:rsidRPr="009533B2">
        <w:rPr>
          <w:b/>
          <w:bCs/>
          <w:sz w:val="22"/>
          <w:szCs w:val="22"/>
          <w:lang w:val="sr-Latn-ME"/>
        </w:rPr>
        <w:t>6.3.</w:t>
      </w:r>
      <w:r w:rsidR="00C05DF8" w:rsidRPr="009533B2">
        <w:rPr>
          <w:b/>
          <w:bCs/>
          <w:sz w:val="22"/>
          <w:szCs w:val="22"/>
          <w:lang w:val="sr-Latn-ME"/>
        </w:rPr>
        <w:t xml:space="preserve"> </w:t>
      </w:r>
      <w:r w:rsidR="00480FB1" w:rsidRPr="009533B2">
        <w:rPr>
          <w:b/>
          <w:bCs/>
          <w:sz w:val="22"/>
          <w:szCs w:val="22"/>
          <w:lang w:val="sr-Latn-ME"/>
        </w:rPr>
        <w:tab/>
      </w:r>
      <w:r w:rsidRPr="009533B2">
        <w:rPr>
          <w:b/>
          <w:bCs/>
          <w:sz w:val="22"/>
          <w:szCs w:val="22"/>
          <w:lang w:val="sr-Latn-ME"/>
        </w:rPr>
        <w:t>Rok upotrebe</w:t>
      </w:r>
    </w:p>
    <w:p w14:paraId="5D0C10B0" w14:textId="77777777" w:rsidR="0072020E" w:rsidRPr="009533B2" w:rsidRDefault="0072020E" w:rsidP="00480FB1">
      <w:pPr>
        <w:tabs>
          <w:tab w:val="left" w:pos="540"/>
          <w:tab w:val="left" w:pos="569"/>
        </w:tabs>
        <w:rPr>
          <w:bCs/>
          <w:sz w:val="22"/>
          <w:szCs w:val="22"/>
          <w:lang w:val="sr-Latn-ME"/>
        </w:rPr>
      </w:pPr>
    </w:p>
    <w:p w14:paraId="32E912C5" w14:textId="77777777" w:rsidR="005D45D6" w:rsidRPr="009533B2" w:rsidRDefault="005D45D6" w:rsidP="001D78AB">
      <w:pPr>
        <w:tabs>
          <w:tab w:val="left" w:pos="540"/>
          <w:tab w:val="left" w:pos="569"/>
        </w:tabs>
        <w:jc w:val="both"/>
        <w:rPr>
          <w:sz w:val="22"/>
          <w:szCs w:val="22"/>
          <w:lang w:val="sr-Latn-ME"/>
        </w:rPr>
      </w:pPr>
      <w:r w:rsidRPr="009533B2">
        <w:rPr>
          <w:sz w:val="22"/>
          <w:szCs w:val="22"/>
          <w:lang w:val="sr-Latn-ME"/>
        </w:rPr>
        <w:t>3 godine</w:t>
      </w:r>
    </w:p>
    <w:p w14:paraId="3281D972" w14:textId="77777777" w:rsidR="005D45D6" w:rsidRPr="009533B2" w:rsidRDefault="005D45D6" w:rsidP="00480FB1">
      <w:pPr>
        <w:tabs>
          <w:tab w:val="left" w:pos="540"/>
          <w:tab w:val="left" w:pos="569"/>
        </w:tabs>
        <w:rPr>
          <w:bCs/>
          <w:sz w:val="22"/>
          <w:szCs w:val="22"/>
          <w:lang w:val="sr-Latn-ME"/>
        </w:rPr>
      </w:pPr>
    </w:p>
    <w:p w14:paraId="3A7FC800" w14:textId="77777777" w:rsidR="0072020E" w:rsidRPr="009533B2" w:rsidRDefault="0072020E" w:rsidP="00480FB1">
      <w:pPr>
        <w:tabs>
          <w:tab w:val="left" w:pos="540"/>
          <w:tab w:val="left" w:pos="569"/>
        </w:tabs>
        <w:rPr>
          <w:b/>
          <w:bCs/>
          <w:sz w:val="22"/>
          <w:szCs w:val="22"/>
          <w:lang w:val="sr-Latn-ME"/>
        </w:rPr>
      </w:pPr>
      <w:r w:rsidRPr="009533B2">
        <w:rPr>
          <w:b/>
          <w:bCs/>
          <w:sz w:val="22"/>
          <w:szCs w:val="22"/>
          <w:lang w:val="sr-Latn-ME"/>
        </w:rPr>
        <w:t xml:space="preserve">6.4. </w:t>
      </w:r>
      <w:r w:rsidR="00480FB1" w:rsidRPr="009533B2">
        <w:rPr>
          <w:b/>
          <w:bCs/>
          <w:sz w:val="22"/>
          <w:szCs w:val="22"/>
          <w:lang w:val="sr-Latn-ME"/>
        </w:rPr>
        <w:tab/>
      </w:r>
      <w:r w:rsidRPr="009533B2">
        <w:rPr>
          <w:b/>
          <w:bCs/>
          <w:sz w:val="22"/>
          <w:szCs w:val="22"/>
          <w:lang w:val="sr-Latn-ME"/>
        </w:rPr>
        <w:t>Posebne mjere upozorenja pri čuvanju</w:t>
      </w:r>
      <w:r w:rsidR="00F8570A" w:rsidRPr="009533B2">
        <w:rPr>
          <w:b/>
          <w:bCs/>
          <w:sz w:val="22"/>
          <w:szCs w:val="22"/>
          <w:lang w:val="sr-Latn-ME"/>
        </w:rPr>
        <w:t xml:space="preserve"> lijeka</w:t>
      </w:r>
    </w:p>
    <w:p w14:paraId="53287CD1" w14:textId="77777777" w:rsidR="00EC2532" w:rsidRPr="009533B2" w:rsidRDefault="00EC2532" w:rsidP="00480FB1">
      <w:pPr>
        <w:tabs>
          <w:tab w:val="left" w:pos="540"/>
          <w:tab w:val="left" w:pos="569"/>
        </w:tabs>
        <w:rPr>
          <w:bCs/>
          <w:sz w:val="22"/>
          <w:szCs w:val="22"/>
          <w:lang w:val="sr-Latn-ME"/>
        </w:rPr>
      </w:pPr>
    </w:p>
    <w:p w14:paraId="53494F71" w14:textId="77777777" w:rsidR="005D45D6" w:rsidRPr="009533B2" w:rsidRDefault="005D45D6" w:rsidP="001D78AB">
      <w:pPr>
        <w:pStyle w:val="Header"/>
        <w:tabs>
          <w:tab w:val="left" w:pos="284"/>
        </w:tabs>
        <w:jc w:val="both"/>
        <w:rPr>
          <w:sz w:val="22"/>
          <w:szCs w:val="22"/>
          <w:lang w:val="sr-Latn-ME"/>
        </w:rPr>
      </w:pPr>
      <w:r w:rsidRPr="009533B2">
        <w:rPr>
          <w:sz w:val="22"/>
          <w:szCs w:val="22"/>
          <w:lang w:val="sr-Latn-ME"/>
        </w:rPr>
        <w:t>Čuvati na temperaturi do 25</w:t>
      </w:r>
      <w:r w:rsidR="00D90E02">
        <w:rPr>
          <w:b/>
          <w:bCs/>
          <w:sz w:val="22"/>
          <w:szCs w:val="22"/>
          <w:lang w:val="sr-Latn-ME"/>
        </w:rPr>
        <w:t> </w:t>
      </w:r>
      <w:r w:rsidRPr="009533B2">
        <w:rPr>
          <w:sz w:val="22"/>
          <w:szCs w:val="22"/>
          <w:lang w:val="sr-Latn-ME"/>
        </w:rPr>
        <w:sym w:font="Symbol" w:char="F0B0"/>
      </w:r>
      <w:r w:rsidRPr="009533B2">
        <w:rPr>
          <w:sz w:val="22"/>
          <w:szCs w:val="22"/>
          <w:lang w:val="sr-Latn-ME"/>
        </w:rPr>
        <w:t>C.</w:t>
      </w:r>
    </w:p>
    <w:p w14:paraId="56A3BF37" w14:textId="77777777" w:rsidR="005D45D6" w:rsidRPr="009533B2" w:rsidRDefault="005D45D6" w:rsidP="00480FB1">
      <w:pPr>
        <w:tabs>
          <w:tab w:val="left" w:pos="540"/>
          <w:tab w:val="left" w:pos="569"/>
        </w:tabs>
        <w:rPr>
          <w:bCs/>
          <w:sz w:val="22"/>
          <w:szCs w:val="22"/>
          <w:lang w:val="sr-Latn-ME"/>
        </w:rPr>
      </w:pPr>
    </w:p>
    <w:p w14:paraId="62EB7280" w14:textId="77777777" w:rsidR="0072020E" w:rsidRPr="009533B2" w:rsidRDefault="0072020E" w:rsidP="00480FB1">
      <w:pPr>
        <w:tabs>
          <w:tab w:val="left" w:pos="540"/>
          <w:tab w:val="left" w:pos="569"/>
        </w:tabs>
        <w:rPr>
          <w:b/>
          <w:bCs/>
          <w:sz w:val="22"/>
          <w:szCs w:val="22"/>
          <w:lang w:val="sr-Latn-ME"/>
        </w:rPr>
      </w:pPr>
      <w:r w:rsidRPr="009533B2">
        <w:rPr>
          <w:b/>
          <w:bCs/>
          <w:sz w:val="22"/>
          <w:szCs w:val="22"/>
          <w:lang w:val="sr-Latn-ME"/>
        </w:rPr>
        <w:t xml:space="preserve">6.5. </w:t>
      </w:r>
      <w:r w:rsidR="00480FB1" w:rsidRPr="009533B2">
        <w:rPr>
          <w:b/>
          <w:bCs/>
          <w:sz w:val="22"/>
          <w:szCs w:val="22"/>
          <w:lang w:val="sr-Latn-ME"/>
        </w:rPr>
        <w:tab/>
      </w:r>
      <w:r w:rsidR="002846DB" w:rsidRPr="009533B2">
        <w:rPr>
          <w:b/>
          <w:bCs/>
          <w:sz w:val="22"/>
          <w:szCs w:val="22"/>
          <w:lang w:val="sr-Latn-ME"/>
        </w:rPr>
        <w:t xml:space="preserve">Vrsta i sadržaj </w:t>
      </w:r>
      <w:r w:rsidR="00F8570A" w:rsidRPr="009533B2">
        <w:rPr>
          <w:b/>
          <w:bCs/>
          <w:sz w:val="22"/>
          <w:szCs w:val="22"/>
          <w:lang w:val="sr-Latn-ME"/>
        </w:rPr>
        <w:t>pakovanja</w:t>
      </w:r>
      <w:r w:rsidR="00C06864" w:rsidRPr="009533B2">
        <w:rPr>
          <w:b/>
          <w:bCs/>
          <w:sz w:val="22"/>
          <w:szCs w:val="22"/>
          <w:lang w:val="sr-Latn-ME"/>
        </w:rPr>
        <w:t xml:space="preserve"> </w:t>
      </w:r>
    </w:p>
    <w:p w14:paraId="7D948A50" w14:textId="77777777" w:rsidR="005D45D6" w:rsidRPr="009533B2" w:rsidRDefault="005D45D6" w:rsidP="00480FB1">
      <w:pPr>
        <w:tabs>
          <w:tab w:val="left" w:pos="540"/>
          <w:tab w:val="left" w:pos="569"/>
        </w:tabs>
        <w:rPr>
          <w:b/>
          <w:bCs/>
          <w:sz w:val="22"/>
          <w:szCs w:val="22"/>
          <w:lang w:val="sr-Latn-ME"/>
        </w:rPr>
      </w:pPr>
    </w:p>
    <w:p w14:paraId="0E241C9E" w14:textId="1AA008A0" w:rsidR="00412547" w:rsidRDefault="00412547" w:rsidP="00412547">
      <w:pPr>
        <w:tabs>
          <w:tab w:val="left" w:pos="540"/>
          <w:tab w:val="left" w:pos="569"/>
        </w:tabs>
        <w:rPr>
          <w:sz w:val="22"/>
          <w:szCs w:val="22"/>
          <w:lang w:val="sr-Latn-ME"/>
        </w:rPr>
      </w:pPr>
      <w:r w:rsidRPr="00412547">
        <w:rPr>
          <w:sz w:val="22"/>
          <w:szCs w:val="22"/>
          <w:lang w:val="sr-Latn-ME"/>
        </w:rPr>
        <w:t>Unutrašnje pakovanje je PVC/PVDC/Alu blister sa po 10 gastrorezistentnih tableta.</w:t>
      </w:r>
    </w:p>
    <w:p w14:paraId="0877983A" w14:textId="77777777" w:rsidR="00412547" w:rsidRPr="00412547" w:rsidRDefault="00412547" w:rsidP="00412547">
      <w:pPr>
        <w:tabs>
          <w:tab w:val="left" w:pos="540"/>
          <w:tab w:val="left" w:pos="569"/>
        </w:tabs>
        <w:rPr>
          <w:sz w:val="22"/>
          <w:szCs w:val="22"/>
          <w:lang w:val="sr-Latn-ME"/>
        </w:rPr>
      </w:pPr>
    </w:p>
    <w:p w14:paraId="6992E5D3" w14:textId="77777777" w:rsidR="00412547" w:rsidRDefault="00412547" w:rsidP="00480FB1">
      <w:pPr>
        <w:tabs>
          <w:tab w:val="left" w:pos="540"/>
          <w:tab w:val="left" w:pos="569"/>
        </w:tabs>
        <w:rPr>
          <w:sz w:val="22"/>
          <w:szCs w:val="22"/>
          <w:lang w:val="sr-Latn-ME"/>
        </w:rPr>
      </w:pPr>
      <w:r w:rsidRPr="00412547">
        <w:rPr>
          <w:sz w:val="22"/>
          <w:szCs w:val="22"/>
          <w:lang w:val="sr-Latn-ME"/>
        </w:rPr>
        <w:t>Spoljašnje pakovanje je kartonska kutija u kojoj se nalazi 5 blistera sa po 10 gastrorezistentnih tableta (50 gastrorezistentnih tableta) i Uputstvo za lijek.</w:t>
      </w:r>
    </w:p>
    <w:p w14:paraId="34866FED" w14:textId="77777777" w:rsidR="0072020E" w:rsidRPr="009533B2" w:rsidRDefault="0072020E" w:rsidP="00480FB1">
      <w:pPr>
        <w:tabs>
          <w:tab w:val="left" w:pos="540"/>
          <w:tab w:val="left" w:pos="569"/>
        </w:tabs>
        <w:rPr>
          <w:bCs/>
          <w:sz w:val="22"/>
          <w:szCs w:val="22"/>
          <w:lang w:val="sr-Latn-ME"/>
        </w:rPr>
      </w:pPr>
    </w:p>
    <w:p w14:paraId="2480B296" w14:textId="77777777" w:rsidR="002846DB" w:rsidRPr="009533B2" w:rsidRDefault="0072020E" w:rsidP="00480FB1">
      <w:pPr>
        <w:tabs>
          <w:tab w:val="left" w:pos="540"/>
          <w:tab w:val="left" w:pos="569"/>
        </w:tabs>
        <w:rPr>
          <w:b/>
          <w:bCs/>
          <w:sz w:val="22"/>
          <w:szCs w:val="22"/>
          <w:lang w:val="sr-Latn-ME"/>
        </w:rPr>
      </w:pPr>
      <w:r w:rsidRPr="009533B2">
        <w:rPr>
          <w:b/>
          <w:bCs/>
          <w:sz w:val="22"/>
          <w:szCs w:val="22"/>
          <w:lang w:val="sr-Latn-ME"/>
        </w:rPr>
        <w:t xml:space="preserve">6.6. </w:t>
      </w:r>
      <w:r w:rsidR="00480FB1" w:rsidRPr="009533B2">
        <w:rPr>
          <w:b/>
          <w:bCs/>
          <w:sz w:val="22"/>
          <w:szCs w:val="22"/>
          <w:lang w:val="sr-Latn-ME"/>
        </w:rPr>
        <w:tab/>
      </w:r>
      <w:r w:rsidRPr="009533B2">
        <w:rPr>
          <w:b/>
          <w:bCs/>
          <w:color w:val="000000"/>
          <w:sz w:val="22"/>
          <w:szCs w:val="22"/>
          <w:lang w:val="sr-Latn-ME"/>
        </w:rPr>
        <w:t>Posebne mjere opreza pri odlaganju materijala koji treba odbaciti nakon primjene lijeka</w:t>
      </w:r>
      <w:r w:rsidRPr="009533B2">
        <w:rPr>
          <w:b/>
          <w:bCs/>
          <w:sz w:val="22"/>
          <w:szCs w:val="22"/>
          <w:lang w:val="sr-Latn-ME"/>
        </w:rPr>
        <w:t xml:space="preserve"> </w:t>
      </w:r>
      <w:r w:rsidR="00310F03" w:rsidRPr="009533B2">
        <w:rPr>
          <w:b/>
          <w:bCs/>
          <w:sz w:val="22"/>
          <w:szCs w:val="22"/>
          <w:lang w:val="sr-Latn-ME"/>
        </w:rPr>
        <w:t>(i druga uputs</w:t>
      </w:r>
      <w:r w:rsidR="005A67AD">
        <w:rPr>
          <w:b/>
          <w:bCs/>
          <w:sz w:val="22"/>
          <w:szCs w:val="22"/>
          <w:lang w:val="sr-Latn-ME"/>
        </w:rPr>
        <w:t>t</w:t>
      </w:r>
      <w:r w:rsidR="00310F03" w:rsidRPr="009533B2">
        <w:rPr>
          <w:b/>
          <w:bCs/>
          <w:sz w:val="22"/>
          <w:szCs w:val="22"/>
          <w:lang w:val="sr-Latn-ME"/>
        </w:rPr>
        <w:t xml:space="preserve">va za rukovanje lijekom) </w:t>
      </w:r>
    </w:p>
    <w:p w14:paraId="784FF603" w14:textId="77777777" w:rsidR="005D45D6" w:rsidRPr="009533B2" w:rsidRDefault="005D45D6" w:rsidP="001D78AB">
      <w:pPr>
        <w:tabs>
          <w:tab w:val="left" w:pos="540"/>
          <w:tab w:val="left" w:pos="569"/>
        </w:tabs>
        <w:jc w:val="both"/>
        <w:rPr>
          <w:b/>
          <w:bCs/>
          <w:sz w:val="22"/>
          <w:szCs w:val="22"/>
          <w:lang w:val="sr-Latn-ME"/>
        </w:rPr>
      </w:pPr>
    </w:p>
    <w:p w14:paraId="2E9DC2E8" w14:textId="77777777" w:rsidR="005D45D6" w:rsidRPr="009533B2" w:rsidRDefault="005D45D6">
      <w:pPr>
        <w:pStyle w:val="Header"/>
        <w:tabs>
          <w:tab w:val="left" w:pos="284"/>
        </w:tabs>
        <w:jc w:val="both"/>
        <w:rPr>
          <w:sz w:val="22"/>
          <w:szCs w:val="22"/>
          <w:lang w:val="sr-Latn-ME"/>
        </w:rPr>
      </w:pPr>
      <w:r w:rsidRPr="009533B2">
        <w:rPr>
          <w:sz w:val="22"/>
          <w:szCs w:val="22"/>
          <w:lang w:val="sr-Latn-ME"/>
        </w:rPr>
        <w:t>Nema posebnih zahtjeva.</w:t>
      </w:r>
    </w:p>
    <w:p w14:paraId="754B14D2" w14:textId="77777777" w:rsidR="005D45D6" w:rsidRPr="009533B2" w:rsidRDefault="005D45D6">
      <w:pPr>
        <w:pStyle w:val="Header"/>
        <w:tabs>
          <w:tab w:val="left" w:pos="284"/>
        </w:tabs>
        <w:jc w:val="both"/>
        <w:rPr>
          <w:sz w:val="22"/>
          <w:szCs w:val="22"/>
          <w:lang w:val="sr-Latn-ME"/>
        </w:rPr>
      </w:pPr>
    </w:p>
    <w:p w14:paraId="5C6AB49F" w14:textId="77777777" w:rsidR="005D45D6" w:rsidRPr="009533B2" w:rsidRDefault="005D45D6">
      <w:pPr>
        <w:pStyle w:val="Header"/>
        <w:tabs>
          <w:tab w:val="left" w:pos="284"/>
        </w:tabs>
        <w:jc w:val="both"/>
        <w:rPr>
          <w:sz w:val="22"/>
          <w:szCs w:val="22"/>
          <w:lang w:val="sr-Latn-ME"/>
        </w:rPr>
      </w:pPr>
      <w:r w:rsidRPr="009533B2">
        <w:rPr>
          <w:sz w:val="22"/>
          <w:szCs w:val="22"/>
          <w:lang w:val="sr-Latn-ME"/>
        </w:rPr>
        <w:lastRenderedPageBreak/>
        <w:t>Svu neiskorišćenu količinu lijeka ili otpadnog materijala nakon njegove upotrebe treba ukloniti u skladu sa važećim propisima.</w:t>
      </w:r>
    </w:p>
    <w:p w14:paraId="04A02D2E" w14:textId="77777777" w:rsidR="005D45D6" w:rsidRPr="009533B2" w:rsidRDefault="005D45D6" w:rsidP="00480FB1">
      <w:pPr>
        <w:tabs>
          <w:tab w:val="left" w:pos="540"/>
          <w:tab w:val="left" w:pos="569"/>
        </w:tabs>
        <w:rPr>
          <w:b/>
          <w:bCs/>
          <w:sz w:val="22"/>
          <w:szCs w:val="22"/>
          <w:lang w:val="sr-Latn-ME"/>
        </w:rPr>
      </w:pPr>
    </w:p>
    <w:p w14:paraId="56258638" w14:textId="77777777" w:rsidR="00F8570A" w:rsidRPr="009533B2" w:rsidRDefault="0072020E" w:rsidP="00480FB1">
      <w:pPr>
        <w:tabs>
          <w:tab w:val="left" w:pos="540"/>
          <w:tab w:val="left" w:pos="569"/>
        </w:tabs>
        <w:rPr>
          <w:b/>
          <w:bCs/>
          <w:sz w:val="22"/>
          <w:szCs w:val="22"/>
          <w:lang w:val="sr-Latn-ME"/>
        </w:rPr>
      </w:pPr>
      <w:r w:rsidRPr="009533B2">
        <w:rPr>
          <w:b/>
          <w:bCs/>
          <w:sz w:val="22"/>
          <w:szCs w:val="22"/>
          <w:lang w:val="sr-Latn-ME"/>
        </w:rPr>
        <w:t xml:space="preserve">7. </w:t>
      </w:r>
      <w:r w:rsidR="00480FB1" w:rsidRPr="009533B2">
        <w:rPr>
          <w:b/>
          <w:bCs/>
          <w:sz w:val="22"/>
          <w:szCs w:val="22"/>
          <w:lang w:val="sr-Latn-ME"/>
        </w:rPr>
        <w:tab/>
      </w:r>
      <w:r w:rsidRPr="009533B2">
        <w:rPr>
          <w:b/>
          <w:bCs/>
          <w:sz w:val="22"/>
          <w:szCs w:val="22"/>
          <w:lang w:val="sr-Latn-ME"/>
        </w:rPr>
        <w:t>NOSILAC DOZVOLE</w:t>
      </w:r>
      <w:r w:rsidR="00483928" w:rsidRPr="009533B2">
        <w:rPr>
          <w:b/>
          <w:bCs/>
          <w:sz w:val="22"/>
          <w:szCs w:val="22"/>
          <w:lang w:val="sr-Latn-ME"/>
        </w:rPr>
        <w:t xml:space="preserve"> </w:t>
      </w:r>
    </w:p>
    <w:p w14:paraId="789AF8FE" w14:textId="77777777" w:rsidR="00C61BE0" w:rsidRPr="009533B2" w:rsidRDefault="00C61BE0" w:rsidP="00480FB1">
      <w:pPr>
        <w:tabs>
          <w:tab w:val="left" w:pos="540"/>
          <w:tab w:val="left" w:pos="569"/>
        </w:tabs>
        <w:rPr>
          <w:bCs/>
          <w:sz w:val="22"/>
          <w:szCs w:val="22"/>
          <w:lang w:val="sr-Latn-ME"/>
        </w:rPr>
      </w:pPr>
    </w:p>
    <w:p w14:paraId="6C4F22A1" w14:textId="2D4E6C45" w:rsidR="00C37FD7" w:rsidRPr="009533B2" w:rsidRDefault="00591A1D" w:rsidP="001D78AB">
      <w:pPr>
        <w:tabs>
          <w:tab w:val="left" w:pos="540"/>
          <w:tab w:val="left" w:pos="569"/>
        </w:tabs>
        <w:jc w:val="both"/>
        <w:rPr>
          <w:sz w:val="22"/>
          <w:szCs w:val="22"/>
          <w:lang w:val="sr-Latn-ME"/>
        </w:rPr>
      </w:pPr>
      <w:r>
        <w:rPr>
          <w:sz w:val="22"/>
          <w:szCs w:val="22"/>
          <w:lang w:val="sr-Latn-ME"/>
        </w:rPr>
        <w:t xml:space="preserve">Evropa Lek Pharma </w:t>
      </w:r>
      <w:r w:rsidR="005D45D6" w:rsidRPr="009533B2">
        <w:rPr>
          <w:sz w:val="22"/>
          <w:szCs w:val="22"/>
          <w:lang w:val="sr-Latn-ME"/>
        </w:rPr>
        <w:t xml:space="preserve"> d.o.o.</w:t>
      </w:r>
      <w:r>
        <w:rPr>
          <w:sz w:val="22"/>
          <w:szCs w:val="22"/>
          <w:lang w:val="sr-Latn-ME"/>
        </w:rPr>
        <w:t xml:space="preserve"> Podgorica</w:t>
      </w:r>
      <w:r w:rsidR="005D45D6" w:rsidRPr="009533B2">
        <w:rPr>
          <w:sz w:val="22"/>
          <w:szCs w:val="22"/>
          <w:lang w:val="sr-Latn-ME"/>
        </w:rPr>
        <w:t>, Kritskog odreda 4/1, 81000 Podgorica</w:t>
      </w:r>
    </w:p>
    <w:p w14:paraId="32F06C28" w14:textId="1666E54D" w:rsidR="005D45D6" w:rsidRDefault="005D45D6" w:rsidP="00480FB1">
      <w:pPr>
        <w:tabs>
          <w:tab w:val="left" w:pos="540"/>
          <w:tab w:val="left" w:pos="569"/>
        </w:tabs>
        <w:rPr>
          <w:bCs/>
          <w:sz w:val="22"/>
          <w:szCs w:val="22"/>
          <w:lang w:val="sr-Latn-ME"/>
        </w:rPr>
      </w:pPr>
    </w:p>
    <w:p w14:paraId="04776A55" w14:textId="77777777" w:rsidR="00412547" w:rsidRPr="009533B2" w:rsidRDefault="00412547" w:rsidP="00480FB1">
      <w:pPr>
        <w:tabs>
          <w:tab w:val="left" w:pos="540"/>
          <w:tab w:val="left" w:pos="569"/>
        </w:tabs>
        <w:rPr>
          <w:bCs/>
          <w:sz w:val="22"/>
          <w:szCs w:val="22"/>
          <w:lang w:val="sr-Latn-ME"/>
        </w:rPr>
      </w:pPr>
    </w:p>
    <w:p w14:paraId="4C720323" w14:textId="77777777" w:rsidR="0072020E" w:rsidRPr="009533B2" w:rsidRDefault="0072020E" w:rsidP="00480FB1">
      <w:pPr>
        <w:tabs>
          <w:tab w:val="left" w:pos="540"/>
          <w:tab w:val="left" w:pos="569"/>
        </w:tabs>
        <w:rPr>
          <w:b/>
          <w:bCs/>
          <w:sz w:val="22"/>
          <w:szCs w:val="22"/>
          <w:lang w:val="sr-Latn-ME"/>
        </w:rPr>
      </w:pPr>
      <w:r w:rsidRPr="009533B2">
        <w:rPr>
          <w:b/>
          <w:bCs/>
          <w:sz w:val="22"/>
          <w:szCs w:val="22"/>
          <w:lang w:val="sr-Latn-ME"/>
        </w:rPr>
        <w:t xml:space="preserve">8. </w:t>
      </w:r>
      <w:r w:rsidR="00480FB1" w:rsidRPr="009533B2">
        <w:rPr>
          <w:b/>
          <w:bCs/>
          <w:sz w:val="22"/>
          <w:szCs w:val="22"/>
          <w:lang w:val="sr-Latn-ME"/>
        </w:rPr>
        <w:tab/>
      </w:r>
      <w:r w:rsidRPr="009533B2">
        <w:rPr>
          <w:b/>
          <w:bCs/>
          <w:sz w:val="22"/>
          <w:szCs w:val="22"/>
          <w:lang w:val="sr-Latn-ME"/>
        </w:rPr>
        <w:t>BROJ DOZVOLE</w:t>
      </w:r>
      <w:r w:rsidR="008A6D43" w:rsidRPr="009533B2">
        <w:rPr>
          <w:b/>
          <w:bCs/>
          <w:sz w:val="22"/>
          <w:szCs w:val="22"/>
          <w:lang w:val="sr-Latn-ME"/>
        </w:rPr>
        <w:t xml:space="preserve"> ZA STAVLJANJE LIJEKA U PROMET</w:t>
      </w:r>
    </w:p>
    <w:p w14:paraId="4CEF2FEE" w14:textId="77777777" w:rsidR="005D45D6" w:rsidRPr="009533B2" w:rsidRDefault="005D45D6" w:rsidP="00480FB1">
      <w:pPr>
        <w:tabs>
          <w:tab w:val="left" w:pos="540"/>
          <w:tab w:val="left" w:pos="569"/>
        </w:tabs>
        <w:rPr>
          <w:b/>
          <w:bCs/>
          <w:sz w:val="22"/>
          <w:szCs w:val="22"/>
          <w:lang w:val="sr-Latn-ME"/>
        </w:rPr>
      </w:pPr>
    </w:p>
    <w:p w14:paraId="0F0E8B9D" w14:textId="6F03971C" w:rsidR="0072020E" w:rsidRPr="009533B2" w:rsidRDefault="005D45D6" w:rsidP="001D78AB">
      <w:pPr>
        <w:tabs>
          <w:tab w:val="left" w:pos="720"/>
        </w:tabs>
        <w:autoSpaceDE w:val="0"/>
        <w:autoSpaceDN w:val="0"/>
        <w:adjustRightInd w:val="0"/>
        <w:jc w:val="both"/>
        <w:rPr>
          <w:sz w:val="22"/>
          <w:lang w:val="sr-Latn-ME"/>
        </w:rPr>
      </w:pPr>
      <w:r w:rsidRPr="009533B2">
        <w:rPr>
          <w:sz w:val="22"/>
          <w:lang w:val="sr-Latn-ME"/>
        </w:rPr>
        <w:t xml:space="preserve">2030/15/277 – 1600 </w:t>
      </w:r>
    </w:p>
    <w:p w14:paraId="3C0ECAD2" w14:textId="6FDE797F" w:rsidR="00F45F77" w:rsidRDefault="00F45F77" w:rsidP="00480FB1">
      <w:pPr>
        <w:tabs>
          <w:tab w:val="left" w:pos="540"/>
          <w:tab w:val="left" w:pos="569"/>
        </w:tabs>
        <w:rPr>
          <w:bCs/>
          <w:sz w:val="22"/>
          <w:szCs w:val="22"/>
          <w:lang w:val="sr-Latn-ME"/>
        </w:rPr>
      </w:pPr>
    </w:p>
    <w:p w14:paraId="44E7E97C" w14:textId="77777777" w:rsidR="00412547" w:rsidRPr="009533B2" w:rsidRDefault="00412547" w:rsidP="00480FB1">
      <w:pPr>
        <w:tabs>
          <w:tab w:val="left" w:pos="540"/>
          <w:tab w:val="left" w:pos="569"/>
        </w:tabs>
        <w:rPr>
          <w:bCs/>
          <w:sz w:val="22"/>
          <w:szCs w:val="22"/>
          <w:lang w:val="sr-Latn-ME"/>
        </w:rPr>
      </w:pPr>
    </w:p>
    <w:p w14:paraId="1E87AA64" w14:textId="62C777B8" w:rsidR="0072020E" w:rsidRDefault="0072020E" w:rsidP="00480FB1">
      <w:pPr>
        <w:tabs>
          <w:tab w:val="left" w:pos="540"/>
          <w:tab w:val="left" w:pos="569"/>
        </w:tabs>
        <w:rPr>
          <w:b/>
          <w:bCs/>
          <w:sz w:val="22"/>
          <w:szCs w:val="22"/>
          <w:lang w:val="sr-Latn-ME"/>
        </w:rPr>
      </w:pPr>
      <w:r w:rsidRPr="009533B2">
        <w:rPr>
          <w:b/>
          <w:bCs/>
          <w:sz w:val="22"/>
          <w:szCs w:val="22"/>
          <w:lang w:val="sr-Latn-ME"/>
        </w:rPr>
        <w:t xml:space="preserve">9. </w:t>
      </w:r>
      <w:r w:rsidR="00480FB1" w:rsidRPr="009533B2">
        <w:rPr>
          <w:b/>
          <w:bCs/>
          <w:sz w:val="22"/>
          <w:szCs w:val="22"/>
          <w:lang w:val="sr-Latn-ME"/>
        </w:rPr>
        <w:tab/>
      </w:r>
      <w:r w:rsidRPr="009533B2">
        <w:rPr>
          <w:b/>
          <w:bCs/>
          <w:sz w:val="22"/>
          <w:szCs w:val="22"/>
          <w:lang w:val="sr-Latn-ME"/>
        </w:rPr>
        <w:t xml:space="preserve">DATUM </w:t>
      </w:r>
      <w:r w:rsidR="00C05DF8" w:rsidRPr="009533B2">
        <w:rPr>
          <w:b/>
          <w:bCs/>
          <w:sz w:val="22"/>
          <w:szCs w:val="22"/>
          <w:lang w:val="sr-Latn-ME"/>
        </w:rPr>
        <w:t xml:space="preserve">PRVE </w:t>
      </w:r>
      <w:r w:rsidR="008A6D43" w:rsidRPr="009533B2">
        <w:rPr>
          <w:b/>
          <w:bCs/>
          <w:sz w:val="22"/>
          <w:szCs w:val="22"/>
          <w:lang w:val="sr-Latn-ME"/>
        </w:rPr>
        <w:t>DOZVOLE</w:t>
      </w:r>
      <w:r w:rsidR="00C05DF8" w:rsidRPr="009533B2">
        <w:rPr>
          <w:b/>
          <w:bCs/>
          <w:sz w:val="22"/>
          <w:szCs w:val="22"/>
          <w:lang w:val="sr-Latn-ME"/>
        </w:rPr>
        <w:t>/OBNOVE DOZVOLE</w:t>
      </w:r>
      <w:r w:rsidR="008A6D43" w:rsidRPr="009533B2">
        <w:rPr>
          <w:b/>
          <w:bCs/>
          <w:sz w:val="22"/>
          <w:szCs w:val="22"/>
          <w:lang w:val="sr-Latn-ME"/>
        </w:rPr>
        <w:t xml:space="preserve"> ZA STAVLJANJE LIJEKA U PROMET</w:t>
      </w:r>
    </w:p>
    <w:p w14:paraId="1948B6BF" w14:textId="77777777" w:rsidR="00412547" w:rsidRPr="009533B2" w:rsidRDefault="00412547" w:rsidP="001D78AB">
      <w:pPr>
        <w:tabs>
          <w:tab w:val="left" w:pos="540"/>
          <w:tab w:val="left" w:pos="569"/>
        </w:tabs>
        <w:jc w:val="both"/>
        <w:rPr>
          <w:b/>
          <w:bCs/>
          <w:sz w:val="22"/>
          <w:szCs w:val="22"/>
          <w:lang w:val="sr-Latn-ME"/>
        </w:rPr>
      </w:pPr>
    </w:p>
    <w:p w14:paraId="55A07879" w14:textId="4DC4F12A" w:rsidR="00836B35" w:rsidRDefault="005D45D6" w:rsidP="001D78AB">
      <w:pPr>
        <w:tabs>
          <w:tab w:val="left" w:pos="720"/>
        </w:tabs>
        <w:autoSpaceDE w:val="0"/>
        <w:autoSpaceDN w:val="0"/>
        <w:adjustRightInd w:val="0"/>
        <w:rPr>
          <w:sz w:val="22"/>
          <w:lang w:val="sr-Latn-ME"/>
        </w:rPr>
      </w:pPr>
      <w:r w:rsidRPr="009533B2">
        <w:rPr>
          <w:sz w:val="22"/>
          <w:lang w:val="sr-Latn-ME"/>
        </w:rPr>
        <w:t>15.07.2015. godine</w:t>
      </w:r>
    </w:p>
    <w:p w14:paraId="083A9200" w14:textId="1006A4FE" w:rsidR="008D741A" w:rsidRDefault="008D741A" w:rsidP="001D78AB">
      <w:pPr>
        <w:tabs>
          <w:tab w:val="left" w:pos="720"/>
        </w:tabs>
        <w:autoSpaceDE w:val="0"/>
        <w:autoSpaceDN w:val="0"/>
        <w:adjustRightInd w:val="0"/>
        <w:rPr>
          <w:sz w:val="22"/>
          <w:lang w:val="sr-Latn-ME"/>
        </w:rPr>
      </w:pPr>
    </w:p>
    <w:p w14:paraId="69F464EF" w14:textId="77777777" w:rsidR="00412547" w:rsidRPr="009533B2" w:rsidRDefault="00412547" w:rsidP="001D78AB">
      <w:pPr>
        <w:tabs>
          <w:tab w:val="left" w:pos="720"/>
        </w:tabs>
        <w:autoSpaceDE w:val="0"/>
        <w:autoSpaceDN w:val="0"/>
        <w:adjustRightInd w:val="0"/>
        <w:rPr>
          <w:sz w:val="22"/>
          <w:lang w:val="sr-Latn-ME"/>
        </w:rPr>
      </w:pPr>
    </w:p>
    <w:p w14:paraId="49FFCDE2" w14:textId="77777777" w:rsidR="003F6A59" w:rsidRPr="009533B2" w:rsidRDefault="0072020E" w:rsidP="005D45D6">
      <w:pPr>
        <w:tabs>
          <w:tab w:val="left" w:pos="540"/>
          <w:tab w:val="left" w:pos="569"/>
        </w:tabs>
        <w:ind w:left="540" w:hanging="540"/>
        <w:rPr>
          <w:bCs/>
          <w:sz w:val="22"/>
          <w:szCs w:val="22"/>
          <w:lang w:val="sr-Latn-ME"/>
        </w:rPr>
      </w:pPr>
      <w:r w:rsidRPr="009533B2">
        <w:rPr>
          <w:b/>
          <w:bCs/>
          <w:sz w:val="22"/>
          <w:szCs w:val="22"/>
          <w:lang w:val="sr-Latn-ME"/>
        </w:rPr>
        <w:t xml:space="preserve">10. </w:t>
      </w:r>
      <w:r w:rsidR="00480FB1" w:rsidRPr="009533B2">
        <w:rPr>
          <w:b/>
          <w:bCs/>
          <w:sz w:val="22"/>
          <w:szCs w:val="22"/>
          <w:lang w:val="sr-Latn-ME"/>
        </w:rPr>
        <w:tab/>
      </w:r>
      <w:r w:rsidR="002846DB" w:rsidRPr="009533B2">
        <w:rPr>
          <w:b/>
          <w:bCs/>
          <w:sz w:val="22"/>
          <w:szCs w:val="22"/>
          <w:lang w:val="sr-Latn-ME"/>
        </w:rPr>
        <w:t>D</w:t>
      </w:r>
      <w:r w:rsidR="00EC2532" w:rsidRPr="009533B2">
        <w:rPr>
          <w:b/>
          <w:bCs/>
          <w:sz w:val="22"/>
          <w:szCs w:val="22"/>
          <w:lang w:val="sr-Latn-ME"/>
        </w:rPr>
        <w:t xml:space="preserve">ATUM REVIZIJE TEKSTA </w:t>
      </w:r>
    </w:p>
    <w:p w14:paraId="37B3764F" w14:textId="77777777" w:rsidR="00D46A8F" w:rsidRDefault="00D46A8F" w:rsidP="005D45D6">
      <w:pPr>
        <w:tabs>
          <w:tab w:val="left" w:pos="540"/>
          <w:tab w:val="left" w:pos="569"/>
        </w:tabs>
        <w:rPr>
          <w:bCs/>
          <w:sz w:val="22"/>
          <w:szCs w:val="22"/>
          <w:lang w:val="sr-Latn-ME"/>
        </w:rPr>
      </w:pPr>
    </w:p>
    <w:p w14:paraId="758A46AB" w14:textId="2FA02F2E" w:rsidR="003F6A59" w:rsidRPr="009533B2" w:rsidRDefault="006254E6" w:rsidP="005D45D6">
      <w:pPr>
        <w:tabs>
          <w:tab w:val="left" w:pos="540"/>
          <w:tab w:val="left" w:pos="569"/>
        </w:tabs>
        <w:rPr>
          <w:bCs/>
          <w:sz w:val="22"/>
          <w:szCs w:val="22"/>
          <w:lang w:val="sr-Latn-ME"/>
        </w:rPr>
      </w:pPr>
      <w:r>
        <w:rPr>
          <w:bCs/>
          <w:sz w:val="22"/>
          <w:szCs w:val="22"/>
          <w:lang w:val="sr-Latn-ME"/>
        </w:rPr>
        <w:t>Jun</w:t>
      </w:r>
      <w:r w:rsidR="00412547">
        <w:rPr>
          <w:bCs/>
          <w:sz w:val="22"/>
          <w:szCs w:val="22"/>
          <w:lang w:val="sr-Latn-ME"/>
        </w:rPr>
        <w:t xml:space="preserve">, </w:t>
      </w:r>
      <w:r w:rsidR="007B7F11">
        <w:rPr>
          <w:bCs/>
          <w:sz w:val="22"/>
          <w:szCs w:val="22"/>
          <w:lang w:val="sr-Latn-ME"/>
        </w:rPr>
        <w:t>202</w:t>
      </w:r>
      <w:r w:rsidR="00412547">
        <w:rPr>
          <w:bCs/>
          <w:sz w:val="22"/>
          <w:szCs w:val="22"/>
          <w:lang w:val="sr-Latn-ME"/>
        </w:rPr>
        <w:t>5. godine</w:t>
      </w:r>
      <w:r w:rsidR="007B7F11">
        <w:rPr>
          <w:bCs/>
          <w:sz w:val="22"/>
          <w:szCs w:val="22"/>
          <w:lang w:val="sr-Latn-ME"/>
        </w:rPr>
        <w:t xml:space="preserve"> </w:t>
      </w:r>
      <w:bookmarkStart w:id="0" w:name="_GoBack"/>
      <w:bookmarkEnd w:id="0"/>
    </w:p>
    <w:sectPr w:rsidR="003F6A59" w:rsidRPr="009533B2"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FD7E3" w14:textId="77777777" w:rsidR="004405D1" w:rsidRDefault="004405D1">
      <w:r>
        <w:separator/>
      </w:r>
    </w:p>
  </w:endnote>
  <w:endnote w:type="continuationSeparator" w:id="0">
    <w:p w14:paraId="0BD15F90" w14:textId="77777777" w:rsidR="004405D1" w:rsidRDefault="0044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B8AFB" w14:textId="3379687F" w:rsidR="00670CC6" w:rsidRPr="00804F26" w:rsidRDefault="00FC4B29" w:rsidP="007F1446">
    <w:pPr>
      <w:pStyle w:val="Footer"/>
      <w:rPr>
        <w:sz w:val="22"/>
        <w:szCs w:val="22"/>
        <w:lang w:val="da-DK"/>
      </w:rPr>
    </w:pPr>
    <w:r w:rsidRPr="00804F26">
      <w:rPr>
        <w:lang w:val="da-DK"/>
      </w:rPr>
      <w:tab/>
    </w:r>
    <w:r w:rsidRPr="00804F26">
      <w:rPr>
        <w:sz w:val="22"/>
        <w:szCs w:val="22"/>
        <w:lang w:val="de-DE"/>
      </w:rPr>
      <w:fldChar w:fldCharType="begin"/>
    </w:r>
    <w:r w:rsidRPr="00804F26">
      <w:rPr>
        <w:sz w:val="22"/>
        <w:szCs w:val="22"/>
        <w:lang w:val="da-DK"/>
      </w:rPr>
      <w:instrText xml:space="preserve"> PAGE   \* MERGEFORMAT </w:instrText>
    </w:r>
    <w:r w:rsidRPr="00804F26">
      <w:rPr>
        <w:sz w:val="22"/>
        <w:szCs w:val="22"/>
        <w:lang w:val="de-DE"/>
      </w:rPr>
      <w:fldChar w:fldCharType="separate"/>
    </w:r>
    <w:r w:rsidR="006254E6">
      <w:rPr>
        <w:noProof/>
        <w:sz w:val="22"/>
        <w:szCs w:val="22"/>
        <w:lang w:val="da-DK"/>
      </w:rPr>
      <w:t>8</w:t>
    </w:r>
    <w:r w:rsidRPr="00804F26">
      <w:rPr>
        <w:sz w:val="22"/>
        <w:szCs w:val="22"/>
        <w:lang w:val="de-DE"/>
      </w:rPr>
      <w:fldChar w:fldCharType="end"/>
    </w:r>
    <w:r w:rsidRPr="00804F26">
      <w:rPr>
        <w:sz w:val="22"/>
        <w:szCs w:val="22"/>
        <w:lang w:val="da-DK"/>
      </w:rPr>
      <w:t> / </w:t>
    </w:r>
    <w:r w:rsidRPr="00804F26">
      <w:rPr>
        <w:sz w:val="22"/>
        <w:szCs w:val="22"/>
        <w:lang w:val="de-DE"/>
      </w:rPr>
      <w:fldChar w:fldCharType="begin"/>
    </w:r>
    <w:r w:rsidRPr="00804F26">
      <w:rPr>
        <w:sz w:val="22"/>
        <w:szCs w:val="22"/>
        <w:lang w:val="da-DK"/>
      </w:rPr>
      <w:instrText xml:space="preserve"> NUMPAGES   \* MERGEFORMAT </w:instrText>
    </w:r>
    <w:r w:rsidRPr="00804F26">
      <w:rPr>
        <w:sz w:val="22"/>
        <w:szCs w:val="22"/>
        <w:lang w:val="de-DE"/>
      </w:rPr>
      <w:fldChar w:fldCharType="separate"/>
    </w:r>
    <w:r w:rsidR="006254E6">
      <w:rPr>
        <w:noProof/>
        <w:sz w:val="22"/>
        <w:szCs w:val="22"/>
        <w:lang w:val="da-DK"/>
      </w:rPr>
      <w:t>9</w:t>
    </w:r>
    <w:r w:rsidRPr="00804F26">
      <w:rPr>
        <w:sz w:val="22"/>
        <w:szCs w:val="22"/>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F0290" w14:textId="77777777" w:rsidR="004405D1" w:rsidRDefault="004405D1">
      <w:r>
        <w:separator/>
      </w:r>
    </w:p>
  </w:footnote>
  <w:footnote w:type="continuationSeparator" w:id="0">
    <w:p w14:paraId="4978DEE7" w14:textId="77777777" w:rsidR="004405D1" w:rsidRDefault="00440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65pt;height:14.4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DB40C4"/>
    <w:multiLevelType w:val="hybridMultilevel"/>
    <w:tmpl w:val="CD745D62"/>
    <w:lvl w:ilvl="0" w:tplc="4F96A0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E1B74AE"/>
    <w:multiLevelType w:val="hybridMultilevel"/>
    <w:tmpl w:val="FF4811A6"/>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19932B7"/>
    <w:multiLevelType w:val="hybridMultilevel"/>
    <w:tmpl w:val="8D406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C74100"/>
    <w:multiLevelType w:val="hybridMultilevel"/>
    <w:tmpl w:val="20721D0C"/>
    <w:lvl w:ilvl="0" w:tplc="4F96A004">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66102A3"/>
    <w:multiLevelType w:val="hybridMultilevel"/>
    <w:tmpl w:val="AA74D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0"/>
  </w:num>
  <w:num w:numId="4">
    <w:abstractNumId w:val="12"/>
  </w:num>
  <w:num w:numId="5">
    <w:abstractNumId w:val="5"/>
  </w:num>
  <w:num w:numId="6">
    <w:abstractNumId w:val="2"/>
  </w:num>
  <w:num w:numId="7">
    <w:abstractNumId w:val="9"/>
  </w:num>
  <w:num w:numId="8">
    <w:abstractNumId w:val="4"/>
  </w:num>
  <w:num w:numId="9">
    <w:abstractNumId w:val="7"/>
  </w:num>
  <w:num w:numId="10">
    <w:abstractNumId w:val="15"/>
  </w:num>
  <w:num w:numId="11">
    <w:abstractNumId w:val="6"/>
  </w:num>
  <w:num w:numId="12">
    <w:abstractNumId w:val="8"/>
  </w:num>
  <w:num w:numId="13">
    <w:abstractNumId w:val="11"/>
  </w:num>
  <w:num w:numId="14">
    <w:abstractNumId w:val="1"/>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43436"/>
    <w:rsid w:val="00057E35"/>
    <w:rsid w:val="00076726"/>
    <w:rsid w:val="00080303"/>
    <w:rsid w:val="00081866"/>
    <w:rsid w:val="000A3F58"/>
    <w:rsid w:val="000A3F78"/>
    <w:rsid w:val="000B7EC2"/>
    <w:rsid w:val="000D2343"/>
    <w:rsid w:val="000D3449"/>
    <w:rsid w:val="000D425A"/>
    <w:rsid w:val="000D60CC"/>
    <w:rsid w:val="000E2084"/>
    <w:rsid w:val="000E6F55"/>
    <w:rsid w:val="000F77FA"/>
    <w:rsid w:val="00107BF7"/>
    <w:rsid w:val="001246E3"/>
    <w:rsid w:val="00126F53"/>
    <w:rsid w:val="00127F8A"/>
    <w:rsid w:val="0014766D"/>
    <w:rsid w:val="001536CC"/>
    <w:rsid w:val="0016605A"/>
    <w:rsid w:val="001749BB"/>
    <w:rsid w:val="00186CF6"/>
    <w:rsid w:val="001878A9"/>
    <w:rsid w:val="00187C44"/>
    <w:rsid w:val="00196095"/>
    <w:rsid w:val="001A3FBA"/>
    <w:rsid w:val="001A5518"/>
    <w:rsid w:val="001B1C6A"/>
    <w:rsid w:val="001B493D"/>
    <w:rsid w:val="001C1263"/>
    <w:rsid w:val="001C1417"/>
    <w:rsid w:val="001D78AB"/>
    <w:rsid w:val="001E006A"/>
    <w:rsid w:val="001E2C4E"/>
    <w:rsid w:val="001E390B"/>
    <w:rsid w:val="001E7833"/>
    <w:rsid w:val="001F42FB"/>
    <w:rsid w:val="001F719A"/>
    <w:rsid w:val="002031B3"/>
    <w:rsid w:val="0021156D"/>
    <w:rsid w:val="00215931"/>
    <w:rsid w:val="00216A90"/>
    <w:rsid w:val="002203AD"/>
    <w:rsid w:val="00227BDB"/>
    <w:rsid w:val="00234CB1"/>
    <w:rsid w:val="002352F8"/>
    <w:rsid w:val="002478FD"/>
    <w:rsid w:val="002510A5"/>
    <w:rsid w:val="00254A0A"/>
    <w:rsid w:val="00266046"/>
    <w:rsid w:val="0027585C"/>
    <w:rsid w:val="002846DB"/>
    <w:rsid w:val="00284CCD"/>
    <w:rsid w:val="002C6637"/>
    <w:rsid w:val="002E0135"/>
    <w:rsid w:val="002E37A5"/>
    <w:rsid w:val="002F256F"/>
    <w:rsid w:val="003106BB"/>
    <w:rsid w:val="00310F03"/>
    <w:rsid w:val="003247D2"/>
    <w:rsid w:val="00333BE9"/>
    <w:rsid w:val="00334374"/>
    <w:rsid w:val="003445C1"/>
    <w:rsid w:val="00355B61"/>
    <w:rsid w:val="00357203"/>
    <w:rsid w:val="00362686"/>
    <w:rsid w:val="00371510"/>
    <w:rsid w:val="0037352D"/>
    <w:rsid w:val="00396DFD"/>
    <w:rsid w:val="003A7059"/>
    <w:rsid w:val="003B48EF"/>
    <w:rsid w:val="003B49CD"/>
    <w:rsid w:val="003B6E71"/>
    <w:rsid w:val="003B7A36"/>
    <w:rsid w:val="003C17AB"/>
    <w:rsid w:val="003C7823"/>
    <w:rsid w:val="003D5ABD"/>
    <w:rsid w:val="003E1DCC"/>
    <w:rsid w:val="003F6A59"/>
    <w:rsid w:val="00405223"/>
    <w:rsid w:val="004065C8"/>
    <w:rsid w:val="00411B4B"/>
    <w:rsid w:val="00412547"/>
    <w:rsid w:val="00415BEE"/>
    <w:rsid w:val="004261E0"/>
    <w:rsid w:val="00427F85"/>
    <w:rsid w:val="00433554"/>
    <w:rsid w:val="00435C58"/>
    <w:rsid w:val="00436F42"/>
    <w:rsid w:val="004378B4"/>
    <w:rsid w:val="004405D1"/>
    <w:rsid w:val="00451314"/>
    <w:rsid w:val="00452E9D"/>
    <w:rsid w:val="004534C7"/>
    <w:rsid w:val="0046141A"/>
    <w:rsid w:val="004671AA"/>
    <w:rsid w:val="00480FB1"/>
    <w:rsid w:val="00483928"/>
    <w:rsid w:val="00484F9F"/>
    <w:rsid w:val="004949D6"/>
    <w:rsid w:val="004951DA"/>
    <w:rsid w:val="004A6C52"/>
    <w:rsid w:val="004D0D78"/>
    <w:rsid w:val="004D2B14"/>
    <w:rsid w:val="004D2CEF"/>
    <w:rsid w:val="004D6103"/>
    <w:rsid w:val="004D709A"/>
    <w:rsid w:val="004E3BCE"/>
    <w:rsid w:val="004F0E97"/>
    <w:rsid w:val="00505F37"/>
    <w:rsid w:val="0050602D"/>
    <w:rsid w:val="00511B6D"/>
    <w:rsid w:val="0051475B"/>
    <w:rsid w:val="00515C21"/>
    <w:rsid w:val="00524605"/>
    <w:rsid w:val="00530BD7"/>
    <w:rsid w:val="00545CD2"/>
    <w:rsid w:val="005476F3"/>
    <w:rsid w:val="0056448F"/>
    <w:rsid w:val="00572527"/>
    <w:rsid w:val="00573E40"/>
    <w:rsid w:val="00575720"/>
    <w:rsid w:val="00576348"/>
    <w:rsid w:val="00591A1D"/>
    <w:rsid w:val="00595AC3"/>
    <w:rsid w:val="00597714"/>
    <w:rsid w:val="005A0B2E"/>
    <w:rsid w:val="005A23D2"/>
    <w:rsid w:val="005A36CB"/>
    <w:rsid w:val="005A67AD"/>
    <w:rsid w:val="005A73D4"/>
    <w:rsid w:val="005B2572"/>
    <w:rsid w:val="005B49B8"/>
    <w:rsid w:val="005C0741"/>
    <w:rsid w:val="005C5EF4"/>
    <w:rsid w:val="005D45D6"/>
    <w:rsid w:val="005E2E0B"/>
    <w:rsid w:val="005E7A7D"/>
    <w:rsid w:val="00623FF3"/>
    <w:rsid w:val="006254E6"/>
    <w:rsid w:val="00626236"/>
    <w:rsid w:val="00645E1C"/>
    <w:rsid w:val="00646BD1"/>
    <w:rsid w:val="006561C2"/>
    <w:rsid w:val="00670CC6"/>
    <w:rsid w:val="00671CB3"/>
    <w:rsid w:val="00674BAF"/>
    <w:rsid w:val="00682200"/>
    <w:rsid w:val="00691917"/>
    <w:rsid w:val="00695573"/>
    <w:rsid w:val="006A1497"/>
    <w:rsid w:val="006A39E7"/>
    <w:rsid w:val="006B0BD1"/>
    <w:rsid w:val="006D20A5"/>
    <w:rsid w:val="006D37BF"/>
    <w:rsid w:val="00702E22"/>
    <w:rsid w:val="00707E43"/>
    <w:rsid w:val="0071569D"/>
    <w:rsid w:val="0072020E"/>
    <w:rsid w:val="00766A04"/>
    <w:rsid w:val="007741EF"/>
    <w:rsid w:val="00786071"/>
    <w:rsid w:val="007A3ECB"/>
    <w:rsid w:val="007A5EA5"/>
    <w:rsid w:val="007B7F11"/>
    <w:rsid w:val="007D0DC9"/>
    <w:rsid w:val="007F1446"/>
    <w:rsid w:val="00804F26"/>
    <w:rsid w:val="008061BC"/>
    <w:rsid w:val="008066B4"/>
    <w:rsid w:val="0081774E"/>
    <w:rsid w:val="00821632"/>
    <w:rsid w:val="00824AB9"/>
    <w:rsid w:val="00836B35"/>
    <w:rsid w:val="00843BDE"/>
    <w:rsid w:val="0085730C"/>
    <w:rsid w:val="00875FA4"/>
    <w:rsid w:val="0089705C"/>
    <w:rsid w:val="008A6D43"/>
    <w:rsid w:val="008B491E"/>
    <w:rsid w:val="008C1A28"/>
    <w:rsid w:val="008C2E98"/>
    <w:rsid w:val="008D741A"/>
    <w:rsid w:val="008E49BD"/>
    <w:rsid w:val="008E53E9"/>
    <w:rsid w:val="008E5771"/>
    <w:rsid w:val="00900F46"/>
    <w:rsid w:val="009129FF"/>
    <w:rsid w:val="00924966"/>
    <w:rsid w:val="009323D1"/>
    <w:rsid w:val="00940A4E"/>
    <w:rsid w:val="00940B9B"/>
    <w:rsid w:val="009533B2"/>
    <w:rsid w:val="00953943"/>
    <w:rsid w:val="00954685"/>
    <w:rsid w:val="0095676E"/>
    <w:rsid w:val="00956983"/>
    <w:rsid w:val="00963CF0"/>
    <w:rsid w:val="00964BB1"/>
    <w:rsid w:val="009675C6"/>
    <w:rsid w:val="009775D9"/>
    <w:rsid w:val="0097797A"/>
    <w:rsid w:val="00997175"/>
    <w:rsid w:val="009A1847"/>
    <w:rsid w:val="009B062A"/>
    <w:rsid w:val="009C31B1"/>
    <w:rsid w:val="009C718B"/>
    <w:rsid w:val="009D7D15"/>
    <w:rsid w:val="009E7C6F"/>
    <w:rsid w:val="009F1793"/>
    <w:rsid w:val="009F2D23"/>
    <w:rsid w:val="00A01D69"/>
    <w:rsid w:val="00A02335"/>
    <w:rsid w:val="00A0341F"/>
    <w:rsid w:val="00A052D2"/>
    <w:rsid w:val="00A0544C"/>
    <w:rsid w:val="00A20417"/>
    <w:rsid w:val="00A46ACF"/>
    <w:rsid w:val="00A46C9A"/>
    <w:rsid w:val="00A619F3"/>
    <w:rsid w:val="00A62A73"/>
    <w:rsid w:val="00A74F1E"/>
    <w:rsid w:val="00A74F4B"/>
    <w:rsid w:val="00A87FF6"/>
    <w:rsid w:val="00AA0A3B"/>
    <w:rsid w:val="00AB50CA"/>
    <w:rsid w:val="00AC53CE"/>
    <w:rsid w:val="00AD2193"/>
    <w:rsid w:val="00AE1460"/>
    <w:rsid w:val="00AE51C8"/>
    <w:rsid w:val="00AE7A7C"/>
    <w:rsid w:val="00AF104A"/>
    <w:rsid w:val="00AF2AC7"/>
    <w:rsid w:val="00AF74CE"/>
    <w:rsid w:val="00B208DB"/>
    <w:rsid w:val="00B23F69"/>
    <w:rsid w:val="00B300D4"/>
    <w:rsid w:val="00B32333"/>
    <w:rsid w:val="00B433B0"/>
    <w:rsid w:val="00B60619"/>
    <w:rsid w:val="00B66A70"/>
    <w:rsid w:val="00B67366"/>
    <w:rsid w:val="00B76CCD"/>
    <w:rsid w:val="00B80EE1"/>
    <w:rsid w:val="00B84135"/>
    <w:rsid w:val="00B852A9"/>
    <w:rsid w:val="00B9526D"/>
    <w:rsid w:val="00BF6A71"/>
    <w:rsid w:val="00C04D34"/>
    <w:rsid w:val="00C05DF8"/>
    <w:rsid w:val="00C06864"/>
    <w:rsid w:val="00C10F54"/>
    <w:rsid w:val="00C23D8D"/>
    <w:rsid w:val="00C325E3"/>
    <w:rsid w:val="00C37AA3"/>
    <w:rsid w:val="00C37FD7"/>
    <w:rsid w:val="00C43419"/>
    <w:rsid w:val="00C44CF3"/>
    <w:rsid w:val="00C61BE0"/>
    <w:rsid w:val="00C63DA6"/>
    <w:rsid w:val="00C70B0E"/>
    <w:rsid w:val="00C743A0"/>
    <w:rsid w:val="00C773CA"/>
    <w:rsid w:val="00C77490"/>
    <w:rsid w:val="00C83785"/>
    <w:rsid w:val="00C94C0D"/>
    <w:rsid w:val="00CA1FEB"/>
    <w:rsid w:val="00CA286B"/>
    <w:rsid w:val="00CC3534"/>
    <w:rsid w:val="00CC4DA2"/>
    <w:rsid w:val="00CC6A6E"/>
    <w:rsid w:val="00CD4F85"/>
    <w:rsid w:val="00CD6F02"/>
    <w:rsid w:val="00CE246D"/>
    <w:rsid w:val="00CF07A0"/>
    <w:rsid w:val="00CF3E03"/>
    <w:rsid w:val="00CF4727"/>
    <w:rsid w:val="00D0082A"/>
    <w:rsid w:val="00D21455"/>
    <w:rsid w:val="00D46A8F"/>
    <w:rsid w:val="00D47634"/>
    <w:rsid w:val="00D709B3"/>
    <w:rsid w:val="00D85EFC"/>
    <w:rsid w:val="00D90E02"/>
    <w:rsid w:val="00DA2ED6"/>
    <w:rsid w:val="00DA5240"/>
    <w:rsid w:val="00DB3ED2"/>
    <w:rsid w:val="00DB76B8"/>
    <w:rsid w:val="00DC2EA1"/>
    <w:rsid w:val="00DD2493"/>
    <w:rsid w:val="00DD68B2"/>
    <w:rsid w:val="00DD6AAF"/>
    <w:rsid w:val="00DE3F5C"/>
    <w:rsid w:val="00DF1D20"/>
    <w:rsid w:val="00E048C0"/>
    <w:rsid w:val="00E0730C"/>
    <w:rsid w:val="00E075D9"/>
    <w:rsid w:val="00E21324"/>
    <w:rsid w:val="00E246B9"/>
    <w:rsid w:val="00E31FEA"/>
    <w:rsid w:val="00E32002"/>
    <w:rsid w:val="00E427A5"/>
    <w:rsid w:val="00E45169"/>
    <w:rsid w:val="00E47787"/>
    <w:rsid w:val="00E51C30"/>
    <w:rsid w:val="00E626FD"/>
    <w:rsid w:val="00E63501"/>
    <w:rsid w:val="00E64180"/>
    <w:rsid w:val="00E74AEE"/>
    <w:rsid w:val="00E85BD7"/>
    <w:rsid w:val="00E868E5"/>
    <w:rsid w:val="00E9237A"/>
    <w:rsid w:val="00E939FA"/>
    <w:rsid w:val="00EA5765"/>
    <w:rsid w:val="00EC2532"/>
    <w:rsid w:val="00EC4C1F"/>
    <w:rsid w:val="00ED7812"/>
    <w:rsid w:val="00EF04B7"/>
    <w:rsid w:val="00EF079E"/>
    <w:rsid w:val="00EF2504"/>
    <w:rsid w:val="00EF3B86"/>
    <w:rsid w:val="00F23F3E"/>
    <w:rsid w:val="00F317E9"/>
    <w:rsid w:val="00F34554"/>
    <w:rsid w:val="00F45F77"/>
    <w:rsid w:val="00F5167F"/>
    <w:rsid w:val="00F52258"/>
    <w:rsid w:val="00F8570A"/>
    <w:rsid w:val="00F91089"/>
    <w:rsid w:val="00F91C7B"/>
    <w:rsid w:val="00FC0B33"/>
    <w:rsid w:val="00FC4B29"/>
    <w:rsid w:val="00FC6F38"/>
    <w:rsid w:val="00FF0C8E"/>
    <w:rsid w:val="00FF5AB4"/>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03713"/>
  <w15:docId w15:val="{BC45716F-6511-49C2-9C7C-128CDF75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6">
    <w:name w:val="heading 6"/>
    <w:basedOn w:val="Normal"/>
    <w:next w:val="Normal"/>
    <w:link w:val="Heading6Char"/>
    <w:semiHidden/>
    <w:unhideWhenUsed/>
    <w:qFormat/>
    <w:rsid w:val="003B48EF"/>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5D45D6"/>
    <w:rPr>
      <w:sz w:val="24"/>
      <w:szCs w:val="24"/>
      <w:lang w:val="en-US" w:eastAsia="en-US"/>
    </w:rPr>
  </w:style>
  <w:style w:type="paragraph" w:styleId="ListParagraph">
    <w:name w:val="List Paragraph"/>
    <w:basedOn w:val="Normal"/>
    <w:uiPriority w:val="34"/>
    <w:qFormat/>
    <w:rsid w:val="005D45D6"/>
    <w:pPr>
      <w:ind w:left="720"/>
      <w:contextualSpacing/>
    </w:pPr>
  </w:style>
  <w:style w:type="paragraph" w:styleId="Revision">
    <w:name w:val="Revision"/>
    <w:hidden/>
    <w:uiPriority w:val="99"/>
    <w:semiHidden/>
    <w:rsid w:val="003B48EF"/>
    <w:rPr>
      <w:sz w:val="24"/>
      <w:szCs w:val="24"/>
      <w:lang w:val="en-US" w:eastAsia="en-US"/>
    </w:rPr>
  </w:style>
  <w:style w:type="character" w:customStyle="1" w:styleId="Heading6Char">
    <w:name w:val="Heading 6 Char"/>
    <w:basedOn w:val="DefaultParagraphFont"/>
    <w:link w:val="Heading6"/>
    <w:semiHidden/>
    <w:rsid w:val="003B48EF"/>
    <w:rPr>
      <w:rFonts w:asciiTheme="majorHAnsi" w:eastAsiaTheme="majorEastAsia" w:hAnsiTheme="majorHAnsi" w:cstheme="majorBidi"/>
      <w:i/>
      <w:iCs/>
      <w:color w:val="1F4D78" w:themeColor="accent1" w:themeShade="7F"/>
      <w:sz w:val="24"/>
      <w:szCs w:val="24"/>
      <w:lang w:val="en-US" w:eastAsia="en-US"/>
    </w:rPr>
  </w:style>
  <w:style w:type="character" w:customStyle="1" w:styleId="FooterChar">
    <w:name w:val="Footer Char"/>
    <w:link w:val="Footer"/>
    <w:uiPriority w:val="99"/>
    <w:rsid w:val="004D2B14"/>
    <w:rPr>
      <w:sz w:val="24"/>
      <w:szCs w:val="24"/>
      <w:lang w:val="en-US" w:eastAsia="en-US"/>
    </w:rPr>
  </w:style>
  <w:style w:type="character" w:styleId="Hyperlink">
    <w:name w:val="Hyperlink"/>
    <w:basedOn w:val="DefaultParagraphFont"/>
    <w:unhideWhenUsed/>
    <w:rsid w:val="00591A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25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960E2-C8E0-4EB0-8035-9745104A8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2570</Words>
  <Characters>14649</Characters>
  <Application>Microsoft Office Word</Application>
  <DocSecurity>0</DocSecurity>
  <Lines>122</Lines>
  <Paragraphs>34</Paragraphs>
  <ScaleCrop>false</ScaleCrop>
  <HeadingPairs>
    <vt:vector size="6" baseType="variant">
      <vt:variant>
        <vt:lpstr>Title</vt:lpstr>
      </vt:variant>
      <vt:variant>
        <vt:i4>1</vt:i4>
      </vt:variant>
      <vt:variant>
        <vt:lpstr>Titel</vt:lpstr>
      </vt:variant>
      <vt:variant>
        <vt:i4>1</vt:i4>
      </vt:variant>
      <vt:variant>
        <vt:lpstr>Naslov</vt:lpstr>
      </vt:variant>
      <vt:variant>
        <vt:i4>1</vt:i4>
      </vt:variant>
    </vt:vector>
  </HeadingPairs>
  <TitlesOfParts>
    <vt:vector size="3" baseType="lpstr">
      <vt:lpstr/>
      <vt:lpstr/>
      <vt:lpstr>SAŽETAK KARAKTERISTIKA LIJEKA</vt:lpstr>
    </vt:vector>
  </TitlesOfParts>
  <Company>mt-g</Company>
  <LinksUpToDate>false</LinksUpToDate>
  <CharactersWithSpaces>17185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mt-g</dc:creator>
  <cp:lastModifiedBy>Aleksandra Minić</cp:lastModifiedBy>
  <cp:revision>3</cp:revision>
  <dcterms:created xsi:type="dcterms:W3CDTF">2025-05-26T06:11:00Z</dcterms:created>
  <dcterms:modified xsi:type="dcterms:W3CDTF">2025-06-05T10:02:00Z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