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6A1F7" w14:textId="77777777" w:rsidR="007006F4" w:rsidRPr="00E43CDC" w:rsidRDefault="00F15505" w:rsidP="00CB0A81">
      <w:pPr>
        <w:tabs>
          <w:tab w:val="clear" w:pos="567"/>
        </w:tabs>
        <w:spacing w:line="240" w:lineRule="auto"/>
        <w:jc w:val="center"/>
        <w:rPr>
          <w:b/>
          <w:bCs/>
          <w:iCs/>
          <w:szCs w:val="22"/>
          <w:u w:val="single"/>
          <w:lang w:val="sr-Latn-RS"/>
        </w:rPr>
      </w:pPr>
      <w:r w:rsidRPr="00E43CDC">
        <w:rPr>
          <w:b/>
          <w:bCs/>
          <w:iCs/>
          <w:szCs w:val="22"/>
          <w:u w:val="single"/>
          <w:lang w:val="sr-Latn-RS"/>
        </w:rPr>
        <w:t>SAŽETAK KARAKTERISTIKA LIJEKA</w:t>
      </w:r>
    </w:p>
    <w:p w14:paraId="0350AA17" w14:textId="77777777" w:rsidR="007006F4" w:rsidRPr="00E43CDC" w:rsidRDefault="007006F4" w:rsidP="00CB0A81">
      <w:pPr>
        <w:tabs>
          <w:tab w:val="left" w:pos="540"/>
        </w:tabs>
        <w:spacing w:line="240" w:lineRule="auto"/>
        <w:jc w:val="both"/>
        <w:rPr>
          <w:szCs w:val="22"/>
          <w:lang w:val="sr-Latn-RS"/>
        </w:rPr>
      </w:pPr>
    </w:p>
    <w:p w14:paraId="4899E91B" w14:textId="77777777" w:rsidR="007006F4" w:rsidRPr="00E43CDC" w:rsidRDefault="007006F4" w:rsidP="00CB0A81">
      <w:pPr>
        <w:tabs>
          <w:tab w:val="left" w:pos="540"/>
        </w:tabs>
        <w:spacing w:line="240" w:lineRule="auto"/>
        <w:jc w:val="both"/>
        <w:rPr>
          <w:bCs/>
          <w:szCs w:val="22"/>
          <w:lang w:val="sr-Latn-RS"/>
        </w:rPr>
      </w:pPr>
    </w:p>
    <w:p w14:paraId="539085DB" w14:textId="77777777" w:rsidR="007006F4" w:rsidRPr="00E43CDC" w:rsidRDefault="00F15505" w:rsidP="00CB0A81">
      <w:pPr>
        <w:tabs>
          <w:tab w:val="left" w:pos="540"/>
        </w:tabs>
        <w:spacing w:line="240" w:lineRule="auto"/>
        <w:jc w:val="both"/>
        <w:rPr>
          <w:b/>
          <w:bCs/>
          <w:szCs w:val="22"/>
          <w:lang w:val="sr-Latn-RS"/>
        </w:rPr>
      </w:pPr>
      <w:r w:rsidRPr="00E43CDC">
        <w:rPr>
          <w:b/>
          <w:bCs/>
          <w:szCs w:val="22"/>
          <w:lang w:val="sr-Latn-RS"/>
        </w:rPr>
        <w:t>1.</w:t>
      </w:r>
      <w:r w:rsidRPr="00E43CDC">
        <w:rPr>
          <w:b/>
          <w:bCs/>
          <w:szCs w:val="22"/>
          <w:lang w:val="sr-Latn-RS"/>
        </w:rPr>
        <w:tab/>
        <w:t>NAZIV LIJEKA</w:t>
      </w:r>
    </w:p>
    <w:p w14:paraId="6A6BF341" w14:textId="77777777" w:rsidR="007006F4" w:rsidRPr="00E43CDC" w:rsidRDefault="007006F4" w:rsidP="00CB0A81">
      <w:pPr>
        <w:tabs>
          <w:tab w:val="clear" w:pos="567"/>
        </w:tabs>
        <w:spacing w:line="240" w:lineRule="auto"/>
        <w:jc w:val="both"/>
        <w:rPr>
          <w:szCs w:val="22"/>
          <w:lang w:val="sr-Latn-RS"/>
        </w:rPr>
      </w:pPr>
    </w:p>
    <w:p w14:paraId="4A5FF681" w14:textId="77777777" w:rsidR="007006F4" w:rsidRPr="00E43CDC" w:rsidRDefault="00F15505" w:rsidP="00CB0A81">
      <w:pPr>
        <w:tabs>
          <w:tab w:val="clear" w:pos="567"/>
        </w:tabs>
        <w:spacing w:line="240" w:lineRule="auto"/>
        <w:jc w:val="both"/>
        <w:rPr>
          <w:iCs/>
          <w:szCs w:val="22"/>
          <w:lang w:val="sr-Latn-RS"/>
        </w:rPr>
      </w:pPr>
      <w:r w:rsidRPr="00E43CDC">
        <w:rPr>
          <w:iCs/>
          <w:szCs w:val="22"/>
          <w:lang w:val="sr-Latn-RS"/>
        </w:rPr>
        <w:t>Tenox, 5 mg, tableta</w:t>
      </w:r>
    </w:p>
    <w:p w14:paraId="5E80904C" w14:textId="77777777" w:rsidR="007006F4" w:rsidRPr="00E43CDC" w:rsidRDefault="00F15505" w:rsidP="00CB0A81">
      <w:pPr>
        <w:tabs>
          <w:tab w:val="clear" w:pos="567"/>
        </w:tabs>
        <w:spacing w:line="240" w:lineRule="auto"/>
        <w:jc w:val="both"/>
        <w:rPr>
          <w:iCs/>
          <w:szCs w:val="22"/>
          <w:lang w:val="sr-Latn-RS"/>
        </w:rPr>
      </w:pPr>
      <w:r w:rsidRPr="00E43CDC">
        <w:rPr>
          <w:iCs/>
          <w:szCs w:val="22"/>
          <w:lang w:val="sr-Latn-RS"/>
        </w:rPr>
        <w:t>Tenox, 10 mg, tableta</w:t>
      </w:r>
    </w:p>
    <w:p w14:paraId="052CA0DC" w14:textId="77777777" w:rsidR="007006F4" w:rsidRPr="00E43CDC" w:rsidRDefault="007006F4" w:rsidP="00CB0A81">
      <w:pPr>
        <w:tabs>
          <w:tab w:val="clear" w:pos="567"/>
        </w:tabs>
        <w:spacing w:line="240" w:lineRule="auto"/>
        <w:jc w:val="both"/>
        <w:rPr>
          <w:bCs/>
          <w:szCs w:val="22"/>
          <w:lang w:val="sr-Latn-RS"/>
        </w:rPr>
      </w:pPr>
    </w:p>
    <w:p w14:paraId="1C23C4F5" w14:textId="77777777" w:rsidR="007006F4" w:rsidRPr="00E43CDC" w:rsidRDefault="00F15505" w:rsidP="00CB0A81">
      <w:pPr>
        <w:tabs>
          <w:tab w:val="clear" w:pos="567"/>
        </w:tabs>
        <w:spacing w:line="240" w:lineRule="auto"/>
        <w:jc w:val="both"/>
        <w:rPr>
          <w:szCs w:val="22"/>
          <w:lang w:val="sr-Latn-RS"/>
        </w:rPr>
      </w:pPr>
      <w:r w:rsidRPr="00E43CDC">
        <w:rPr>
          <w:szCs w:val="22"/>
          <w:lang w:val="sr-Latn-RS"/>
        </w:rPr>
        <w:t>INN: amlodipin</w:t>
      </w:r>
    </w:p>
    <w:p w14:paraId="2347A4DA" w14:textId="77777777" w:rsidR="007006F4" w:rsidRPr="00E43CDC" w:rsidRDefault="007006F4" w:rsidP="00CB0A81">
      <w:pPr>
        <w:tabs>
          <w:tab w:val="clear" w:pos="567"/>
        </w:tabs>
        <w:spacing w:line="240" w:lineRule="auto"/>
        <w:jc w:val="both"/>
        <w:rPr>
          <w:bCs/>
          <w:szCs w:val="22"/>
          <w:lang w:val="sr-Latn-RS"/>
        </w:rPr>
      </w:pPr>
    </w:p>
    <w:p w14:paraId="0E8BFB5E" w14:textId="77777777" w:rsidR="007006F4" w:rsidRPr="00E43CDC" w:rsidRDefault="007006F4" w:rsidP="00CB0A81">
      <w:pPr>
        <w:tabs>
          <w:tab w:val="clear" w:pos="567"/>
        </w:tabs>
        <w:spacing w:line="240" w:lineRule="auto"/>
        <w:jc w:val="both"/>
        <w:rPr>
          <w:bCs/>
          <w:szCs w:val="22"/>
          <w:lang w:val="sr-Latn-RS"/>
        </w:rPr>
      </w:pPr>
    </w:p>
    <w:p w14:paraId="2B36F328" w14:textId="77777777" w:rsidR="007006F4" w:rsidRPr="00E43CDC" w:rsidRDefault="00F15505" w:rsidP="00CB0A81">
      <w:pPr>
        <w:tabs>
          <w:tab w:val="left" w:pos="540"/>
        </w:tabs>
        <w:spacing w:line="240" w:lineRule="auto"/>
        <w:jc w:val="both"/>
        <w:rPr>
          <w:b/>
          <w:bCs/>
          <w:szCs w:val="22"/>
          <w:lang w:val="sr-Latn-RS"/>
        </w:rPr>
      </w:pPr>
      <w:r w:rsidRPr="00E43CDC">
        <w:rPr>
          <w:b/>
          <w:bCs/>
          <w:szCs w:val="22"/>
          <w:lang w:val="sr-Latn-RS"/>
        </w:rPr>
        <w:t xml:space="preserve">2. </w:t>
      </w:r>
      <w:r w:rsidRPr="00E43CDC">
        <w:rPr>
          <w:b/>
          <w:bCs/>
          <w:szCs w:val="22"/>
          <w:lang w:val="sr-Latn-RS"/>
        </w:rPr>
        <w:tab/>
        <w:t>KVALITATIVNI I KVANTITATIVNI SASTAV</w:t>
      </w:r>
    </w:p>
    <w:p w14:paraId="761B0D3C" w14:textId="77777777" w:rsidR="007006F4" w:rsidRPr="00E43CDC" w:rsidRDefault="007006F4" w:rsidP="00CB0A81">
      <w:pPr>
        <w:tabs>
          <w:tab w:val="clear" w:pos="567"/>
        </w:tabs>
        <w:spacing w:line="240" w:lineRule="auto"/>
        <w:jc w:val="both"/>
        <w:rPr>
          <w:szCs w:val="22"/>
          <w:lang w:val="sr-Latn-RS"/>
        </w:rPr>
      </w:pPr>
    </w:p>
    <w:p w14:paraId="06D7B07C" w14:textId="77777777" w:rsidR="007006F4" w:rsidRPr="00E43CDC" w:rsidRDefault="00F15505" w:rsidP="00CB0A81">
      <w:pPr>
        <w:tabs>
          <w:tab w:val="clear" w:pos="567"/>
        </w:tabs>
        <w:spacing w:line="240" w:lineRule="auto"/>
        <w:jc w:val="both"/>
        <w:rPr>
          <w:iCs/>
          <w:szCs w:val="22"/>
          <w:u w:val="single"/>
          <w:lang w:val="sr-Latn-RS"/>
        </w:rPr>
      </w:pPr>
      <w:r w:rsidRPr="00E43CDC">
        <w:rPr>
          <w:iCs/>
          <w:szCs w:val="22"/>
          <w:u w:val="single"/>
          <w:lang w:val="sr-Latn-RS"/>
        </w:rPr>
        <w:t>Tenox, 5 mg, tableta</w:t>
      </w:r>
    </w:p>
    <w:p w14:paraId="1B9A37ED" w14:textId="5616F3E9" w:rsidR="007006F4" w:rsidRPr="00E43CDC" w:rsidRDefault="00F15505" w:rsidP="00CB0A81">
      <w:pPr>
        <w:tabs>
          <w:tab w:val="clear" w:pos="567"/>
        </w:tabs>
        <w:spacing w:line="240" w:lineRule="auto"/>
        <w:jc w:val="both"/>
        <w:rPr>
          <w:szCs w:val="22"/>
          <w:lang w:val="sr-Latn-RS"/>
        </w:rPr>
      </w:pPr>
      <w:r w:rsidRPr="00E43CDC">
        <w:rPr>
          <w:szCs w:val="22"/>
          <w:lang w:val="sr-Latn-RS"/>
        </w:rPr>
        <w:t>Svaka tableta sadrži 5 mg amlodipina što odgovara količini od 6,42 mg amlodipin maleat</w:t>
      </w:r>
      <w:r w:rsidR="007A2D21" w:rsidRPr="00E43CDC">
        <w:rPr>
          <w:szCs w:val="22"/>
          <w:lang w:val="sr-Latn-RS"/>
        </w:rPr>
        <w:t>a</w:t>
      </w:r>
      <w:r w:rsidRPr="00E43CDC">
        <w:rPr>
          <w:szCs w:val="22"/>
          <w:lang w:val="sr-Latn-RS"/>
        </w:rPr>
        <w:t>.</w:t>
      </w:r>
    </w:p>
    <w:p w14:paraId="6EEA1FB3" w14:textId="77777777" w:rsidR="007A2D21" w:rsidRPr="00E43CDC" w:rsidRDefault="007A2D21" w:rsidP="00CB0A81">
      <w:pPr>
        <w:tabs>
          <w:tab w:val="clear" w:pos="567"/>
        </w:tabs>
        <w:spacing w:line="240" w:lineRule="auto"/>
        <w:jc w:val="both"/>
        <w:rPr>
          <w:szCs w:val="22"/>
          <w:lang w:val="sr-Latn-RS"/>
        </w:rPr>
      </w:pPr>
    </w:p>
    <w:p w14:paraId="06603F64" w14:textId="77777777" w:rsidR="007006F4" w:rsidRPr="00E43CDC" w:rsidRDefault="00F15505" w:rsidP="00CB0A81">
      <w:pPr>
        <w:tabs>
          <w:tab w:val="clear" w:pos="567"/>
        </w:tabs>
        <w:spacing w:line="240" w:lineRule="auto"/>
        <w:jc w:val="both"/>
        <w:rPr>
          <w:iCs/>
          <w:szCs w:val="22"/>
          <w:u w:val="single"/>
          <w:lang w:val="sr-Latn-RS"/>
        </w:rPr>
      </w:pPr>
      <w:r w:rsidRPr="00E43CDC">
        <w:rPr>
          <w:iCs/>
          <w:szCs w:val="22"/>
          <w:u w:val="single"/>
          <w:lang w:val="sr-Latn-RS"/>
        </w:rPr>
        <w:t>Tenox, 10 mg, tableta</w:t>
      </w:r>
    </w:p>
    <w:p w14:paraId="356C8CF6" w14:textId="73E24DD6" w:rsidR="007006F4" w:rsidRPr="00E43CDC" w:rsidRDefault="00F15505" w:rsidP="00CB0A81">
      <w:pPr>
        <w:tabs>
          <w:tab w:val="clear" w:pos="567"/>
        </w:tabs>
        <w:spacing w:line="240" w:lineRule="auto"/>
        <w:jc w:val="both"/>
        <w:rPr>
          <w:szCs w:val="22"/>
          <w:lang w:val="sr-Latn-RS"/>
        </w:rPr>
      </w:pPr>
      <w:r w:rsidRPr="00E43CDC">
        <w:rPr>
          <w:szCs w:val="22"/>
          <w:lang w:val="sr-Latn-RS"/>
        </w:rPr>
        <w:t>Svaka tableta sadrži 10 mg amlodipina što odgovara količini od 12,84 mg amlodipin maleat</w:t>
      </w:r>
      <w:r w:rsidR="007A2D21" w:rsidRPr="00E43CDC">
        <w:rPr>
          <w:szCs w:val="22"/>
          <w:lang w:val="sr-Latn-RS"/>
        </w:rPr>
        <w:t>a</w:t>
      </w:r>
      <w:r w:rsidRPr="00E43CDC">
        <w:rPr>
          <w:szCs w:val="22"/>
          <w:lang w:val="sr-Latn-RS"/>
        </w:rPr>
        <w:t>.</w:t>
      </w:r>
    </w:p>
    <w:p w14:paraId="20688499" w14:textId="77777777" w:rsidR="007006F4" w:rsidRPr="00E43CDC" w:rsidRDefault="007006F4" w:rsidP="00CB0A81">
      <w:pPr>
        <w:tabs>
          <w:tab w:val="clear" w:pos="567"/>
        </w:tabs>
        <w:spacing w:line="240" w:lineRule="auto"/>
        <w:jc w:val="both"/>
        <w:rPr>
          <w:szCs w:val="22"/>
          <w:lang w:val="sr-Latn-RS"/>
        </w:rPr>
      </w:pPr>
    </w:p>
    <w:p w14:paraId="64B3A324" w14:textId="77777777" w:rsidR="007006F4" w:rsidRPr="00E43CDC" w:rsidRDefault="00F15505" w:rsidP="00CB0A81">
      <w:pPr>
        <w:tabs>
          <w:tab w:val="clear" w:pos="567"/>
        </w:tabs>
        <w:spacing w:line="240" w:lineRule="auto"/>
        <w:jc w:val="both"/>
        <w:rPr>
          <w:szCs w:val="22"/>
          <w:lang w:val="sr-Latn-RS"/>
        </w:rPr>
      </w:pPr>
      <w:r w:rsidRPr="00E43CDC">
        <w:rPr>
          <w:szCs w:val="22"/>
          <w:lang w:val="sr-Latn-RS"/>
        </w:rPr>
        <w:t>Za spisak svih ekscipijenasa, pogledati dio 6.1.</w:t>
      </w:r>
    </w:p>
    <w:p w14:paraId="5A8699CE" w14:textId="77777777" w:rsidR="007006F4" w:rsidRPr="00E43CDC" w:rsidRDefault="007006F4" w:rsidP="00CB0A81">
      <w:pPr>
        <w:tabs>
          <w:tab w:val="clear" w:pos="567"/>
        </w:tabs>
        <w:spacing w:line="240" w:lineRule="auto"/>
        <w:jc w:val="both"/>
        <w:rPr>
          <w:szCs w:val="22"/>
          <w:lang w:val="sr-Latn-RS"/>
        </w:rPr>
      </w:pPr>
    </w:p>
    <w:p w14:paraId="78C76C18" w14:textId="77777777" w:rsidR="007006F4" w:rsidRPr="00E43CDC" w:rsidRDefault="007006F4" w:rsidP="00CB0A81">
      <w:pPr>
        <w:tabs>
          <w:tab w:val="clear" w:pos="567"/>
        </w:tabs>
        <w:spacing w:line="240" w:lineRule="auto"/>
        <w:jc w:val="both"/>
        <w:rPr>
          <w:szCs w:val="22"/>
          <w:lang w:val="sr-Latn-RS"/>
        </w:rPr>
      </w:pPr>
    </w:p>
    <w:p w14:paraId="158AC304" w14:textId="77777777" w:rsidR="007006F4" w:rsidRPr="00E43CDC" w:rsidRDefault="00F15505" w:rsidP="00CB0A81">
      <w:pPr>
        <w:tabs>
          <w:tab w:val="left" w:pos="540"/>
        </w:tabs>
        <w:spacing w:line="240" w:lineRule="auto"/>
        <w:jc w:val="both"/>
        <w:rPr>
          <w:b/>
          <w:bCs/>
          <w:szCs w:val="22"/>
          <w:lang w:val="sr-Latn-RS"/>
        </w:rPr>
      </w:pPr>
      <w:r w:rsidRPr="00E43CDC">
        <w:rPr>
          <w:b/>
          <w:bCs/>
          <w:szCs w:val="22"/>
          <w:lang w:val="sr-Latn-RS"/>
        </w:rPr>
        <w:t xml:space="preserve">3. </w:t>
      </w:r>
      <w:r w:rsidRPr="00E43CDC">
        <w:rPr>
          <w:b/>
          <w:bCs/>
          <w:szCs w:val="22"/>
          <w:lang w:val="sr-Latn-RS"/>
        </w:rPr>
        <w:tab/>
        <w:t xml:space="preserve">FARMACEUTSKI OBLIK </w:t>
      </w:r>
    </w:p>
    <w:p w14:paraId="07683252" w14:textId="77777777" w:rsidR="007006F4" w:rsidRPr="00E43CDC" w:rsidRDefault="007006F4" w:rsidP="00CB0A81">
      <w:pPr>
        <w:tabs>
          <w:tab w:val="clear" w:pos="567"/>
        </w:tabs>
        <w:spacing w:line="240" w:lineRule="auto"/>
        <w:jc w:val="both"/>
        <w:rPr>
          <w:bCs/>
          <w:szCs w:val="22"/>
          <w:lang w:val="sr-Latn-RS"/>
        </w:rPr>
      </w:pPr>
    </w:p>
    <w:p w14:paraId="435F1A4D" w14:textId="32DF70F5" w:rsidR="007006F4" w:rsidRPr="00E43CDC" w:rsidRDefault="00F15505" w:rsidP="00CB0A81">
      <w:pPr>
        <w:tabs>
          <w:tab w:val="clear" w:pos="567"/>
        </w:tabs>
        <w:spacing w:line="240" w:lineRule="auto"/>
        <w:jc w:val="both"/>
        <w:rPr>
          <w:bCs/>
          <w:szCs w:val="22"/>
          <w:lang w:val="sr-Latn-RS"/>
        </w:rPr>
      </w:pPr>
      <w:r w:rsidRPr="00E43CDC">
        <w:rPr>
          <w:bCs/>
          <w:szCs w:val="22"/>
          <w:lang w:val="sr-Latn-RS"/>
        </w:rPr>
        <w:t>Tablet</w:t>
      </w:r>
      <w:r w:rsidR="007A2D21" w:rsidRPr="00E43CDC">
        <w:rPr>
          <w:bCs/>
          <w:szCs w:val="22"/>
          <w:lang w:val="sr-Latn-RS"/>
        </w:rPr>
        <w:t>a</w:t>
      </w:r>
      <w:r w:rsidRPr="00E43CDC">
        <w:rPr>
          <w:bCs/>
          <w:szCs w:val="22"/>
          <w:lang w:val="sr-Latn-RS"/>
        </w:rPr>
        <w:t>.</w:t>
      </w:r>
    </w:p>
    <w:p w14:paraId="036C9E9F" w14:textId="77777777" w:rsidR="007A2D21" w:rsidRPr="00E43CDC" w:rsidRDefault="007A2D21" w:rsidP="00CB0A81">
      <w:pPr>
        <w:tabs>
          <w:tab w:val="clear" w:pos="567"/>
        </w:tabs>
        <w:spacing w:line="240" w:lineRule="auto"/>
        <w:jc w:val="both"/>
        <w:rPr>
          <w:bCs/>
          <w:szCs w:val="22"/>
          <w:lang w:val="sr-Latn-RS"/>
        </w:rPr>
      </w:pPr>
    </w:p>
    <w:p w14:paraId="3280E3C0" w14:textId="336FBEC7" w:rsidR="007006F4" w:rsidRPr="00E43CDC" w:rsidRDefault="00F15505" w:rsidP="00CB0A81">
      <w:pPr>
        <w:tabs>
          <w:tab w:val="clear" w:pos="567"/>
        </w:tabs>
        <w:spacing w:line="240" w:lineRule="auto"/>
        <w:jc w:val="both"/>
        <w:rPr>
          <w:bCs/>
          <w:szCs w:val="22"/>
          <w:lang w:val="sr-Latn-RS"/>
        </w:rPr>
      </w:pPr>
      <w:r w:rsidRPr="00E43CDC">
        <w:rPr>
          <w:bCs/>
          <w:szCs w:val="22"/>
          <w:lang w:val="sr-Latn-RS"/>
        </w:rPr>
        <w:t>Bijel</w:t>
      </w:r>
      <w:r w:rsidR="004C00CD" w:rsidRPr="00E43CDC">
        <w:rPr>
          <w:bCs/>
          <w:szCs w:val="22"/>
          <w:lang w:val="sr-Latn-RS"/>
        </w:rPr>
        <w:t>a</w:t>
      </w:r>
      <w:r w:rsidRPr="00E43CDC">
        <w:rPr>
          <w:bCs/>
          <w:szCs w:val="22"/>
          <w:lang w:val="sr-Latn-RS"/>
        </w:rPr>
        <w:t>, okrugl</w:t>
      </w:r>
      <w:r w:rsidR="004C00CD" w:rsidRPr="00E43CDC">
        <w:rPr>
          <w:bCs/>
          <w:szCs w:val="22"/>
          <w:lang w:val="sr-Latn-RS"/>
        </w:rPr>
        <w:t>a</w:t>
      </w:r>
      <w:r w:rsidRPr="00E43CDC">
        <w:rPr>
          <w:bCs/>
          <w:szCs w:val="22"/>
          <w:lang w:val="sr-Latn-RS"/>
        </w:rPr>
        <w:t xml:space="preserve">, blago </w:t>
      </w:r>
      <w:r w:rsidR="004C00CD" w:rsidRPr="00E43CDC">
        <w:rPr>
          <w:bCs/>
          <w:szCs w:val="22"/>
          <w:lang w:val="sr-Latn-RS"/>
        </w:rPr>
        <w:t>bikonveksna tableta sa zakošenim ivicama i</w:t>
      </w:r>
      <w:r w:rsidRPr="00E43CDC">
        <w:rPr>
          <w:bCs/>
          <w:szCs w:val="22"/>
          <w:lang w:val="sr-Latn-RS"/>
        </w:rPr>
        <w:t xml:space="preserve"> podionom </w:t>
      </w:r>
      <w:r w:rsidR="004C00CD" w:rsidRPr="00E43CDC">
        <w:rPr>
          <w:bCs/>
          <w:szCs w:val="22"/>
          <w:lang w:val="sr-Latn-RS"/>
        </w:rPr>
        <w:t xml:space="preserve">linijom </w:t>
      </w:r>
      <w:r w:rsidRPr="00E43CDC">
        <w:rPr>
          <w:bCs/>
          <w:szCs w:val="22"/>
          <w:lang w:val="sr-Latn-RS"/>
        </w:rPr>
        <w:t>na jednoj strani.</w:t>
      </w:r>
      <w:r w:rsidR="0006757D" w:rsidRPr="00E43CDC">
        <w:rPr>
          <w:bCs/>
          <w:szCs w:val="22"/>
          <w:lang w:val="sr-Latn-RS"/>
        </w:rPr>
        <w:t xml:space="preserve"> </w:t>
      </w:r>
      <w:r w:rsidR="0006757D" w:rsidRPr="00E43CDC">
        <w:rPr>
          <w:szCs w:val="22"/>
          <w:lang w:val="sr-Latn-RS"/>
        </w:rPr>
        <w:t>Tableta se može podijeliti na jednake doze.</w:t>
      </w:r>
    </w:p>
    <w:p w14:paraId="15AE062F" w14:textId="77777777" w:rsidR="007006F4" w:rsidRPr="00E43CDC" w:rsidRDefault="007006F4" w:rsidP="00CB0A81">
      <w:pPr>
        <w:tabs>
          <w:tab w:val="clear" w:pos="567"/>
        </w:tabs>
        <w:spacing w:line="240" w:lineRule="auto"/>
        <w:jc w:val="both"/>
        <w:rPr>
          <w:bCs/>
          <w:szCs w:val="22"/>
          <w:lang w:val="sr-Latn-RS"/>
        </w:rPr>
      </w:pPr>
    </w:p>
    <w:p w14:paraId="502FECD9" w14:textId="77777777" w:rsidR="007006F4" w:rsidRPr="00E43CDC" w:rsidRDefault="007006F4" w:rsidP="00CB0A81">
      <w:pPr>
        <w:tabs>
          <w:tab w:val="clear" w:pos="567"/>
        </w:tabs>
        <w:spacing w:line="240" w:lineRule="auto"/>
        <w:jc w:val="both"/>
        <w:rPr>
          <w:bCs/>
          <w:szCs w:val="22"/>
          <w:lang w:val="sr-Latn-RS"/>
        </w:rPr>
      </w:pPr>
    </w:p>
    <w:p w14:paraId="599E2E60" w14:textId="77777777" w:rsidR="007006F4" w:rsidRPr="00E43CDC" w:rsidRDefault="00F15505" w:rsidP="00CB0A81">
      <w:pPr>
        <w:tabs>
          <w:tab w:val="left" w:pos="540"/>
        </w:tabs>
        <w:spacing w:line="240" w:lineRule="auto"/>
        <w:jc w:val="both"/>
        <w:rPr>
          <w:b/>
          <w:bCs/>
          <w:szCs w:val="22"/>
          <w:lang w:val="sr-Latn-RS"/>
        </w:rPr>
      </w:pPr>
      <w:r w:rsidRPr="00E43CDC">
        <w:rPr>
          <w:b/>
          <w:bCs/>
          <w:szCs w:val="22"/>
          <w:lang w:val="sr-Latn-RS"/>
        </w:rPr>
        <w:t xml:space="preserve">4. </w:t>
      </w:r>
      <w:r w:rsidRPr="00E43CDC">
        <w:rPr>
          <w:b/>
          <w:bCs/>
          <w:szCs w:val="22"/>
          <w:lang w:val="sr-Latn-RS"/>
        </w:rPr>
        <w:tab/>
        <w:t>KLINIČKI PODACI</w:t>
      </w:r>
    </w:p>
    <w:p w14:paraId="24660825" w14:textId="77777777" w:rsidR="007006F4" w:rsidRPr="00E43CDC" w:rsidRDefault="007006F4" w:rsidP="00CB0A81">
      <w:pPr>
        <w:tabs>
          <w:tab w:val="left" w:pos="540"/>
        </w:tabs>
        <w:spacing w:line="240" w:lineRule="auto"/>
        <w:jc w:val="both"/>
        <w:rPr>
          <w:bCs/>
          <w:szCs w:val="22"/>
          <w:lang w:val="sr-Latn-RS"/>
        </w:rPr>
      </w:pPr>
    </w:p>
    <w:p w14:paraId="79534329" w14:textId="77777777" w:rsidR="007006F4" w:rsidRPr="00E43CDC" w:rsidRDefault="00F15505" w:rsidP="00CB0A81">
      <w:pPr>
        <w:tabs>
          <w:tab w:val="left" w:pos="540"/>
        </w:tabs>
        <w:spacing w:line="240" w:lineRule="auto"/>
        <w:jc w:val="both"/>
        <w:rPr>
          <w:b/>
          <w:bCs/>
          <w:szCs w:val="22"/>
          <w:lang w:val="sr-Latn-RS"/>
        </w:rPr>
      </w:pPr>
      <w:r w:rsidRPr="00E43CDC">
        <w:rPr>
          <w:b/>
          <w:bCs/>
          <w:szCs w:val="22"/>
          <w:lang w:val="sr-Latn-RS"/>
        </w:rPr>
        <w:t xml:space="preserve">4.1. </w:t>
      </w:r>
      <w:r w:rsidRPr="00E43CDC">
        <w:rPr>
          <w:b/>
          <w:bCs/>
          <w:szCs w:val="22"/>
          <w:lang w:val="sr-Latn-RS"/>
        </w:rPr>
        <w:tab/>
        <w:t>Terapijske indikacije</w:t>
      </w:r>
    </w:p>
    <w:p w14:paraId="0A44864A" w14:textId="77777777" w:rsidR="007006F4" w:rsidRPr="00E43CDC" w:rsidRDefault="007006F4" w:rsidP="00CB0A81">
      <w:pPr>
        <w:tabs>
          <w:tab w:val="left" w:pos="540"/>
        </w:tabs>
        <w:spacing w:line="240" w:lineRule="auto"/>
        <w:jc w:val="both"/>
        <w:rPr>
          <w:b/>
          <w:bCs/>
          <w:szCs w:val="22"/>
          <w:lang w:val="sr-Latn-RS"/>
        </w:rPr>
      </w:pPr>
    </w:p>
    <w:p w14:paraId="01E08B3F" w14:textId="77777777" w:rsidR="007006F4" w:rsidRPr="00E43CDC" w:rsidRDefault="00F15505" w:rsidP="00CB0A81">
      <w:pPr>
        <w:tabs>
          <w:tab w:val="left" w:pos="540"/>
        </w:tabs>
        <w:spacing w:line="240" w:lineRule="auto"/>
        <w:jc w:val="both"/>
        <w:rPr>
          <w:bCs/>
          <w:szCs w:val="22"/>
          <w:lang w:val="sr-Latn-RS"/>
        </w:rPr>
      </w:pPr>
      <w:r w:rsidRPr="00E43CDC">
        <w:rPr>
          <w:bCs/>
          <w:szCs w:val="22"/>
          <w:lang w:val="sr-Latn-RS"/>
        </w:rPr>
        <w:t>Hipertenzija</w:t>
      </w:r>
    </w:p>
    <w:p w14:paraId="1E4A9282" w14:textId="77777777" w:rsidR="007006F4" w:rsidRPr="00E43CDC" w:rsidRDefault="00F15505" w:rsidP="00CB0A81">
      <w:pPr>
        <w:tabs>
          <w:tab w:val="left" w:pos="540"/>
        </w:tabs>
        <w:spacing w:line="240" w:lineRule="auto"/>
        <w:jc w:val="both"/>
        <w:rPr>
          <w:bCs/>
          <w:szCs w:val="22"/>
          <w:lang w:val="sr-Latn-RS"/>
        </w:rPr>
      </w:pPr>
      <w:r w:rsidRPr="00E43CDC">
        <w:rPr>
          <w:bCs/>
          <w:szCs w:val="22"/>
          <w:lang w:val="sr-Latn-RS"/>
        </w:rPr>
        <w:t>Hronična stabilna angina pektoris</w:t>
      </w:r>
    </w:p>
    <w:p w14:paraId="2DE3358F" w14:textId="77777777" w:rsidR="007006F4" w:rsidRPr="00E43CDC" w:rsidRDefault="00F15505" w:rsidP="00CB0A81">
      <w:pPr>
        <w:tabs>
          <w:tab w:val="left" w:pos="540"/>
        </w:tabs>
        <w:spacing w:line="240" w:lineRule="auto"/>
        <w:jc w:val="both"/>
        <w:rPr>
          <w:bCs/>
          <w:szCs w:val="22"/>
          <w:lang w:val="sr-Latn-RS"/>
        </w:rPr>
      </w:pPr>
      <w:r w:rsidRPr="00E43CDC">
        <w:rPr>
          <w:bCs/>
          <w:szCs w:val="22"/>
          <w:lang w:val="sr-Latn-RS"/>
        </w:rPr>
        <w:t>Vazospastična (Prinzmetal-ova) angina</w:t>
      </w:r>
    </w:p>
    <w:p w14:paraId="008A7F80" w14:textId="77777777" w:rsidR="007006F4" w:rsidRPr="00E43CDC" w:rsidRDefault="007006F4" w:rsidP="00CB0A81">
      <w:pPr>
        <w:tabs>
          <w:tab w:val="left" w:pos="540"/>
        </w:tabs>
        <w:spacing w:line="240" w:lineRule="auto"/>
        <w:jc w:val="both"/>
        <w:rPr>
          <w:bCs/>
          <w:szCs w:val="22"/>
          <w:lang w:val="sr-Latn-RS"/>
        </w:rPr>
      </w:pPr>
    </w:p>
    <w:p w14:paraId="5C4A0F17" w14:textId="77777777" w:rsidR="007006F4" w:rsidRPr="00E43CDC" w:rsidRDefault="00F15505" w:rsidP="00CB0A81">
      <w:pPr>
        <w:tabs>
          <w:tab w:val="left" w:pos="540"/>
        </w:tabs>
        <w:spacing w:line="240" w:lineRule="auto"/>
        <w:jc w:val="both"/>
        <w:rPr>
          <w:b/>
          <w:bCs/>
          <w:szCs w:val="22"/>
          <w:lang w:val="sr-Latn-RS"/>
        </w:rPr>
      </w:pPr>
      <w:r w:rsidRPr="00E43CDC">
        <w:rPr>
          <w:b/>
          <w:bCs/>
          <w:szCs w:val="22"/>
          <w:lang w:val="sr-Latn-RS"/>
        </w:rPr>
        <w:t xml:space="preserve">4.2. </w:t>
      </w:r>
      <w:r w:rsidRPr="00E43CDC">
        <w:rPr>
          <w:b/>
          <w:bCs/>
          <w:szCs w:val="22"/>
          <w:lang w:val="sr-Latn-RS"/>
        </w:rPr>
        <w:tab/>
        <w:t>Doziranje i način primjene</w:t>
      </w:r>
    </w:p>
    <w:p w14:paraId="2031CB09" w14:textId="77777777" w:rsidR="007006F4" w:rsidRPr="00E43CDC" w:rsidRDefault="007006F4" w:rsidP="00CB0A81">
      <w:pPr>
        <w:tabs>
          <w:tab w:val="left" w:pos="540"/>
        </w:tabs>
        <w:spacing w:line="240" w:lineRule="auto"/>
        <w:jc w:val="both"/>
        <w:rPr>
          <w:bCs/>
          <w:szCs w:val="22"/>
          <w:lang w:val="sr-Latn-RS"/>
        </w:rPr>
      </w:pPr>
    </w:p>
    <w:p w14:paraId="3146E9DE" w14:textId="77777777" w:rsidR="007006F4" w:rsidRPr="00E43CDC" w:rsidRDefault="00F15505" w:rsidP="00CB0A81">
      <w:pPr>
        <w:tabs>
          <w:tab w:val="left" w:pos="540"/>
        </w:tabs>
        <w:spacing w:line="240" w:lineRule="auto"/>
        <w:jc w:val="both"/>
        <w:rPr>
          <w:bCs/>
          <w:szCs w:val="22"/>
          <w:u w:val="single"/>
          <w:lang w:val="sr-Latn-RS"/>
        </w:rPr>
      </w:pPr>
      <w:r w:rsidRPr="00E43CDC">
        <w:rPr>
          <w:bCs/>
          <w:szCs w:val="22"/>
          <w:u w:val="single"/>
          <w:lang w:val="sr-Latn-RS"/>
        </w:rPr>
        <w:t>Doziranje</w:t>
      </w:r>
    </w:p>
    <w:p w14:paraId="57DCB44E" w14:textId="77777777" w:rsidR="00E43CDC" w:rsidRDefault="00E43CDC" w:rsidP="00CB0A81">
      <w:pPr>
        <w:tabs>
          <w:tab w:val="left" w:pos="540"/>
        </w:tabs>
        <w:spacing w:line="240" w:lineRule="auto"/>
        <w:jc w:val="both"/>
        <w:rPr>
          <w:bCs/>
          <w:i/>
          <w:szCs w:val="22"/>
          <w:u w:val="single"/>
          <w:lang w:val="sr-Latn-RS"/>
        </w:rPr>
      </w:pPr>
    </w:p>
    <w:p w14:paraId="33E9D0E3" w14:textId="62E0745B" w:rsidR="007006F4" w:rsidRPr="00E43CDC" w:rsidRDefault="00F15505" w:rsidP="00CB0A81">
      <w:pPr>
        <w:tabs>
          <w:tab w:val="left" w:pos="540"/>
        </w:tabs>
        <w:spacing w:line="240" w:lineRule="auto"/>
        <w:jc w:val="both"/>
        <w:rPr>
          <w:bCs/>
          <w:i/>
          <w:szCs w:val="22"/>
          <w:u w:val="single"/>
          <w:lang w:val="sr-Latn-RS"/>
        </w:rPr>
      </w:pPr>
      <w:r w:rsidRPr="00E43CDC">
        <w:rPr>
          <w:bCs/>
          <w:i/>
          <w:szCs w:val="22"/>
          <w:u w:val="single"/>
          <w:lang w:val="sr-Latn-RS"/>
        </w:rPr>
        <w:t>Odrasli</w:t>
      </w:r>
    </w:p>
    <w:p w14:paraId="2BFF5FD8" w14:textId="77777777" w:rsidR="007006F4" w:rsidRPr="00E43CDC" w:rsidRDefault="00F15505" w:rsidP="00CB0A81">
      <w:pPr>
        <w:tabs>
          <w:tab w:val="left" w:pos="540"/>
        </w:tabs>
        <w:spacing w:line="240" w:lineRule="auto"/>
        <w:jc w:val="both"/>
        <w:rPr>
          <w:bCs/>
          <w:szCs w:val="22"/>
          <w:lang w:val="sr-Latn-RS"/>
        </w:rPr>
      </w:pPr>
      <w:r w:rsidRPr="00E43CDC">
        <w:rPr>
          <w:bCs/>
          <w:szCs w:val="22"/>
          <w:lang w:val="sr-Latn-RS"/>
        </w:rPr>
        <w:t>Uobičajena početna doza za liječenje hipertenzije i angine pektoris je 5 mg lijeka Tenox jednom dnevno koja se može povećati maksimalno do 10 mg u zavisnosti od individualnog odgovora pacijenta.</w:t>
      </w:r>
    </w:p>
    <w:p w14:paraId="7F0CB0F7" w14:textId="77777777" w:rsidR="007006F4" w:rsidRPr="00E43CDC" w:rsidRDefault="007006F4" w:rsidP="00CB0A81">
      <w:pPr>
        <w:tabs>
          <w:tab w:val="left" w:pos="540"/>
        </w:tabs>
        <w:spacing w:line="240" w:lineRule="auto"/>
        <w:jc w:val="both"/>
        <w:rPr>
          <w:bCs/>
          <w:szCs w:val="22"/>
          <w:lang w:val="sr-Latn-RS"/>
        </w:rPr>
      </w:pPr>
    </w:p>
    <w:p w14:paraId="24EDE938" w14:textId="23DCBB69" w:rsidR="007006F4" w:rsidRPr="00E43CDC" w:rsidRDefault="00F15505" w:rsidP="00CB0A81">
      <w:pPr>
        <w:tabs>
          <w:tab w:val="left" w:pos="540"/>
        </w:tabs>
        <w:spacing w:line="240" w:lineRule="auto"/>
        <w:jc w:val="both"/>
        <w:rPr>
          <w:bCs/>
          <w:szCs w:val="22"/>
          <w:lang w:val="sr-Latn-RS"/>
        </w:rPr>
      </w:pPr>
      <w:r w:rsidRPr="00E43CDC">
        <w:rPr>
          <w:bCs/>
          <w:szCs w:val="22"/>
          <w:lang w:val="sr-Latn-RS"/>
        </w:rPr>
        <w:t>Kod hipertenzivnih pacijenata, lijek Tenox se može primjenjivati u kombinaciji sa tiazidnim diuretikom, alfa blokatorom, beta blokatorom ili inhibitorom angiotenzin konvertujućeg enzima (ACE inhibitori). U terapiji angine pektoris, amlodipin se može primjenjivati kao monoterapija ili u kombinaciji sa drugim ljekovima za liječenje angine pektoris, kod pacijenata sa anginom koja ne reaguje na nitrate i/ili na odgovarajuće doze beta blokatora.</w:t>
      </w:r>
    </w:p>
    <w:p w14:paraId="5618DBFD" w14:textId="77777777" w:rsidR="007006F4" w:rsidRPr="00E43CDC" w:rsidRDefault="007006F4" w:rsidP="00CB0A81">
      <w:pPr>
        <w:tabs>
          <w:tab w:val="left" w:pos="540"/>
        </w:tabs>
        <w:spacing w:line="240" w:lineRule="auto"/>
        <w:jc w:val="both"/>
        <w:rPr>
          <w:bCs/>
          <w:szCs w:val="22"/>
          <w:lang w:val="sr-Latn-RS"/>
        </w:rPr>
      </w:pPr>
    </w:p>
    <w:p w14:paraId="12BC602A" w14:textId="77777777" w:rsidR="007006F4" w:rsidRPr="00E43CDC" w:rsidRDefault="00F15505" w:rsidP="00CB0A81">
      <w:pPr>
        <w:tabs>
          <w:tab w:val="left" w:pos="540"/>
        </w:tabs>
        <w:spacing w:line="240" w:lineRule="auto"/>
        <w:jc w:val="both"/>
        <w:rPr>
          <w:bCs/>
          <w:szCs w:val="22"/>
          <w:lang w:val="sr-Latn-RS"/>
        </w:rPr>
      </w:pPr>
      <w:r w:rsidRPr="00E43CDC">
        <w:rPr>
          <w:bCs/>
          <w:szCs w:val="22"/>
          <w:lang w:val="sr-Latn-RS"/>
        </w:rPr>
        <w:t>Nije potrebno prilagođavati dozu amlodipina pri istovremenoj upotrebi tiazidnih diuretika, beta blokatora i inhibitora angiotenzin konvertujućeg enzima.</w:t>
      </w:r>
    </w:p>
    <w:p w14:paraId="4A5E49A3" w14:textId="77777777" w:rsidR="00E43CDC" w:rsidRDefault="00E43CDC" w:rsidP="00CB0A81">
      <w:pPr>
        <w:tabs>
          <w:tab w:val="left" w:pos="540"/>
        </w:tabs>
        <w:spacing w:line="240" w:lineRule="auto"/>
        <w:jc w:val="both"/>
        <w:rPr>
          <w:bCs/>
          <w:szCs w:val="22"/>
          <w:lang w:val="sr-Latn-RS"/>
        </w:rPr>
      </w:pPr>
    </w:p>
    <w:p w14:paraId="1BFDED19" w14:textId="77777777" w:rsidR="00E43CDC" w:rsidRDefault="00E43CDC" w:rsidP="00CB0A81">
      <w:pPr>
        <w:tabs>
          <w:tab w:val="left" w:pos="540"/>
        </w:tabs>
        <w:spacing w:line="240" w:lineRule="auto"/>
        <w:jc w:val="both"/>
        <w:rPr>
          <w:bCs/>
          <w:szCs w:val="22"/>
          <w:lang w:val="sr-Latn-RS"/>
        </w:rPr>
      </w:pPr>
    </w:p>
    <w:p w14:paraId="652DEF66" w14:textId="77777777" w:rsidR="00E43CDC" w:rsidRDefault="00E43CDC" w:rsidP="00CB0A81">
      <w:pPr>
        <w:tabs>
          <w:tab w:val="left" w:pos="540"/>
        </w:tabs>
        <w:spacing w:line="240" w:lineRule="auto"/>
        <w:jc w:val="both"/>
        <w:rPr>
          <w:bCs/>
          <w:szCs w:val="22"/>
          <w:u w:val="single"/>
          <w:lang w:val="sr-Latn-RS"/>
        </w:rPr>
      </w:pPr>
    </w:p>
    <w:p w14:paraId="571CEDA5" w14:textId="3730C623" w:rsidR="007006F4" w:rsidRPr="00E43CDC" w:rsidRDefault="00F15505" w:rsidP="00CB0A81">
      <w:pPr>
        <w:tabs>
          <w:tab w:val="left" w:pos="540"/>
        </w:tabs>
        <w:spacing w:line="240" w:lineRule="auto"/>
        <w:jc w:val="both"/>
        <w:rPr>
          <w:bCs/>
          <w:i/>
          <w:szCs w:val="22"/>
          <w:lang w:val="sr-Latn-RS"/>
        </w:rPr>
      </w:pPr>
      <w:r w:rsidRPr="00E43CDC">
        <w:rPr>
          <w:bCs/>
          <w:szCs w:val="22"/>
          <w:u w:val="single"/>
          <w:lang w:val="sr-Latn-RS"/>
        </w:rPr>
        <w:lastRenderedPageBreak/>
        <w:t>Posebne populacije</w:t>
      </w:r>
    </w:p>
    <w:p w14:paraId="0BD5B480" w14:textId="77777777" w:rsidR="007006F4" w:rsidRPr="00E43CDC" w:rsidRDefault="00F15505" w:rsidP="00CB0A81">
      <w:pPr>
        <w:tabs>
          <w:tab w:val="left" w:pos="540"/>
        </w:tabs>
        <w:spacing w:line="240" w:lineRule="auto"/>
        <w:jc w:val="both"/>
        <w:rPr>
          <w:bCs/>
          <w:i/>
          <w:szCs w:val="22"/>
          <w:lang w:val="sr-Latn-RS"/>
        </w:rPr>
      </w:pPr>
      <w:r w:rsidRPr="00E43CDC">
        <w:rPr>
          <w:bCs/>
          <w:i/>
          <w:szCs w:val="22"/>
          <w:lang w:val="sr-Latn-RS"/>
        </w:rPr>
        <w:t>Stariji</w:t>
      </w:r>
    </w:p>
    <w:p w14:paraId="207A5903" w14:textId="77777777" w:rsidR="007006F4" w:rsidRPr="00E43CDC" w:rsidRDefault="00F15505" w:rsidP="00CB0A81">
      <w:pPr>
        <w:tabs>
          <w:tab w:val="left" w:pos="540"/>
        </w:tabs>
        <w:spacing w:line="240" w:lineRule="auto"/>
        <w:jc w:val="both"/>
        <w:rPr>
          <w:bCs/>
          <w:szCs w:val="22"/>
          <w:lang w:val="sr-Latn-RS"/>
        </w:rPr>
      </w:pPr>
      <w:r w:rsidRPr="00E43CDC">
        <w:rPr>
          <w:bCs/>
          <w:szCs w:val="22"/>
          <w:lang w:val="sr-Latn-RS"/>
        </w:rPr>
        <w:t>Amlodipin koji se primjenjuje u sličnim dozama kod starijih ili mlađih pacijenata jednako se dobro podnosi. Kod starijih pacijenata se preporučuju uobičajene doze, međutim kod povećanja doze neophodan je oprez (vidjeti djelove 4.4 i 5.2).</w:t>
      </w:r>
    </w:p>
    <w:p w14:paraId="10B578A6" w14:textId="77777777" w:rsidR="007006F4" w:rsidRPr="00E43CDC" w:rsidRDefault="007006F4" w:rsidP="00CB0A81">
      <w:pPr>
        <w:tabs>
          <w:tab w:val="left" w:pos="540"/>
        </w:tabs>
        <w:spacing w:line="240" w:lineRule="auto"/>
        <w:jc w:val="both"/>
        <w:rPr>
          <w:bCs/>
          <w:i/>
          <w:szCs w:val="22"/>
          <w:lang w:val="sr-Latn-RS"/>
        </w:rPr>
      </w:pPr>
    </w:p>
    <w:p w14:paraId="1CE22065" w14:textId="77777777" w:rsidR="007006F4" w:rsidRPr="00E43CDC" w:rsidRDefault="00F15505" w:rsidP="00CB0A81">
      <w:pPr>
        <w:tabs>
          <w:tab w:val="left" w:pos="540"/>
        </w:tabs>
        <w:spacing w:line="240" w:lineRule="auto"/>
        <w:jc w:val="both"/>
        <w:rPr>
          <w:bCs/>
          <w:i/>
          <w:szCs w:val="22"/>
          <w:lang w:val="sr-Latn-RS"/>
        </w:rPr>
      </w:pPr>
      <w:r w:rsidRPr="00E43CDC">
        <w:rPr>
          <w:bCs/>
          <w:i/>
          <w:szCs w:val="22"/>
          <w:lang w:val="sr-Latn-RS"/>
        </w:rPr>
        <w:t>Oštećenje jetre</w:t>
      </w:r>
    </w:p>
    <w:p w14:paraId="2A017CFD" w14:textId="77777777" w:rsidR="007006F4" w:rsidRPr="00E43CDC" w:rsidRDefault="00F15505" w:rsidP="00CB0A81">
      <w:pPr>
        <w:tabs>
          <w:tab w:val="left" w:pos="540"/>
        </w:tabs>
        <w:spacing w:line="240" w:lineRule="auto"/>
        <w:jc w:val="both"/>
        <w:rPr>
          <w:bCs/>
          <w:szCs w:val="22"/>
          <w:lang w:val="sr-Latn-RS"/>
        </w:rPr>
      </w:pPr>
      <w:r w:rsidRPr="00E43CDC">
        <w:rPr>
          <w:bCs/>
          <w:szCs w:val="22"/>
          <w:lang w:val="sr-Latn-RS"/>
        </w:rPr>
        <w:t>Preporuke za doziranje nijesu ustanovljene kod pacijenata sa blagim do umjerenim oštećenjem jetre, stoga se odabir doze mora sprovesti sa oprezom počevši od donje granice doznog opsega (vidjeti djelove 4.4 i 5.2). Farmakokinetika amlodipina nije proučavana kod pacijenata s teškim oštećenjem jetre. Kod pacijenata s teškim oštećenjem jetre terapiju amlodipinom treba započeti sa najnižom dozom uz dalju postepenu titraciju.</w:t>
      </w:r>
    </w:p>
    <w:p w14:paraId="1624B587" w14:textId="77777777" w:rsidR="007006F4" w:rsidRPr="00E43CDC" w:rsidRDefault="007006F4" w:rsidP="00CB0A81">
      <w:pPr>
        <w:tabs>
          <w:tab w:val="left" w:pos="540"/>
        </w:tabs>
        <w:spacing w:line="240" w:lineRule="auto"/>
        <w:jc w:val="both"/>
        <w:rPr>
          <w:bCs/>
          <w:i/>
          <w:szCs w:val="22"/>
          <w:lang w:val="sr-Latn-RS"/>
        </w:rPr>
      </w:pPr>
    </w:p>
    <w:p w14:paraId="1954B7B0" w14:textId="77777777" w:rsidR="007006F4" w:rsidRPr="00E43CDC" w:rsidRDefault="00F15505" w:rsidP="00CB0A81">
      <w:pPr>
        <w:tabs>
          <w:tab w:val="left" w:pos="540"/>
        </w:tabs>
        <w:spacing w:line="240" w:lineRule="auto"/>
        <w:jc w:val="both"/>
        <w:rPr>
          <w:bCs/>
          <w:i/>
          <w:szCs w:val="22"/>
          <w:lang w:val="sr-Latn-RS"/>
        </w:rPr>
      </w:pPr>
      <w:r w:rsidRPr="00E43CDC">
        <w:rPr>
          <w:bCs/>
          <w:i/>
          <w:szCs w:val="22"/>
          <w:lang w:val="sr-Latn-RS"/>
        </w:rPr>
        <w:t>Oštećenje bubrega</w:t>
      </w:r>
    </w:p>
    <w:p w14:paraId="6217A4E4" w14:textId="77777777" w:rsidR="007006F4" w:rsidRPr="00E43CDC" w:rsidRDefault="00F15505" w:rsidP="00CB0A81">
      <w:pPr>
        <w:tabs>
          <w:tab w:val="left" w:pos="540"/>
        </w:tabs>
        <w:spacing w:line="240" w:lineRule="auto"/>
        <w:jc w:val="both"/>
        <w:rPr>
          <w:bCs/>
          <w:szCs w:val="22"/>
          <w:lang w:val="sr-Latn-RS"/>
        </w:rPr>
      </w:pPr>
      <w:r w:rsidRPr="00E43CDC">
        <w:rPr>
          <w:bCs/>
          <w:szCs w:val="22"/>
          <w:lang w:val="sr-Latn-RS"/>
        </w:rPr>
        <w:t>Promjene u koncentraciji amlodipina u plazmi nijesu povezane sa stepenom oštećenja bubrega, pa se preporučuje primjena uobičajenih doza. Amlodipin se ne može odstraniti dijalizom.</w:t>
      </w:r>
    </w:p>
    <w:p w14:paraId="401DA362" w14:textId="77777777" w:rsidR="007006F4" w:rsidRPr="00E43CDC" w:rsidRDefault="007006F4" w:rsidP="00CB0A81">
      <w:pPr>
        <w:tabs>
          <w:tab w:val="left" w:pos="540"/>
        </w:tabs>
        <w:spacing w:line="240" w:lineRule="auto"/>
        <w:jc w:val="both"/>
        <w:rPr>
          <w:bCs/>
          <w:szCs w:val="22"/>
          <w:lang w:val="sr-Latn-RS"/>
        </w:rPr>
      </w:pPr>
    </w:p>
    <w:p w14:paraId="4C11B74D" w14:textId="77777777" w:rsidR="007006F4" w:rsidRPr="00E43CDC" w:rsidRDefault="00F15505" w:rsidP="00CB0A81">
      <w:pPr>
        <w:tabs>
          <w:tab w:val="left" w:pos="540"/>
        </w:tabs>
        <w:spacing w:line="240" w:lineRule="auto"/>
        <w:jc w:val="both"/>
        <w:rPr>
          <w:bCs/>
          <w:i/>
          <w:szCs w:val="22"/>
          <w:lang w:val="sr-Latn-RS"/>
        </w:rPr>
      </w:pPr>
      <w:r w:rsidRPr="00E43CDC">
        <w:rPr>
          <w:bCs/>
          <w:i/>
          <w:szCs w:val="22"/>
          <w:lang w:val="sr-Latn-RS"/>
        </w:rPr>
        <w:t>Pedijatrijska populacija</w:t>
      </w:r>
    </w:p>
    <w:p w14:paraId="5EB1D080" w14:textId="77777777" w:rsidR="007006F4" w:rsidRPr="00E43CDC" w:rsidRDefault="00F15505" w:rsidP="00CB0A81">
      <w:pPr>
        <w:tabs>
          <w:tab w:val="left" w:pos="540"/>
        </w:tabs>
        <w:spacing w:line="240" w:lineRule="auto"/>
        <w:jc w:val="both"/>
        <w:rPr>
          <w:bCs/>
          <w:i/>
          <w:szCs w:val="22"/>
          <w:lang w:val="sr-Latn-RS"/>
        </w:rPr>
      </w:pPr>
      <w:r w:rsidRPr="00E43CDC">
        <w:rPr>
          <w:bCs/>
          <w:i/>
          <w:szCs w:val="22"/>
          <w:lang w:val="sr-Latn-RS"/>
        </w:rPr>
        <w:t>Djeca i adolescenti sa hipertenzijom uzrasta od 6 godina do 17 godina.</w:t>
      </w:r>
    </w:p>
    <w:p w14:paraId="66989BEF" w14:textId="58AC57A6" w:rsidR="007006F4" w:rsidRPr="00E43CDC" w:rsidRDefault="00F15505" w:rsidP="00CB0A81">
      <w:pPr>
        <w:tabs>
          <w:tab w:val="left" w:pos="540"/>
        </w:tabs>
        <w:spacing w:line="240" w:lineRule="auto"/>
        <w:jc w:val="both"/>
        <w:rPr>
          <w:bCs/>
          <w:szCs w:val="22"/>
          <w:lang w:val="sr-Latn-RS"/>
        </w:rPr>
      </w:pPr>
      <w:r w:rsidRPr="00E43CDC">
        <w:rPr>
          <w:bCs/>
          <w:szCs w:val="22"/>
          <w:lang w:val="sr-Latn-RS"/>
        </w:rPr>
        <w:t>Preporučena antihipertenzivna oralna doza kod pedijatrijskih pacijenata uzrasta od 6-17 godina je 2,5 mg jed</w:t>
      </w:r>
      <w:r w:rsidR="007D336B" w:rsidRPr="00E43CDC">
        <w:rPr>
          <w:bCs/>
          <w:szCs w:val="22"/>
          <w:lang w:val="sr-Latn-RS"/>
        </w:rPr>
        <w:t>nom dnevno</w:t>
      </w:r>
      <w:r w:rsidRPr="00E43CDC">
        <w:rPr>
          <w:bCs/>
          <w:szCs w:val="22"/>
          <w:lang w:val="sr-Latn-RS"/>
        </w:rPr>
        <w:t>, koja se može titrirati do 5 mg jedanom dnevno ukoliko se ciljne vrijednosti krvnog pritisaka ne postignu nakon četiri nedjelje terapije. Primjena doza koje premašuju 5 mg nije ispitivana u pedijatrijskoj populaciji (vidjeti djelove 5.1 i 5.2).</w:t>
      </w:r>
    </w:p>
    <w:p w14:paraId="07A30D13" w14:textId="77777777" w:rsidR="007006F4" w:rsidRPr="00E43CDC" w:rsidRDefault="007006F4" w:rsidP="00CB0A81">
      <w:pPr>
        <w:tabs>
          <w:tab w:val="left" w:pos="540"/>
        </w:tabs>
        <w:spacing w:line="240" w:lineRule="auto"/>
        <w:jc w:val="both"/>
        <w:rPr>
          <w:bCs/>
          <w:szCs w:val="22"/>
          <w:lang w:val="sr-Latn-RS"/>
        </w:rPr>
      </w:pPr>
    </w:p>
    <w:p w14:paraId="15393EF0" w14:textId="77777777" w:rsidR="007006F4" w:rsidRPr="00E43CDC" w:rsidRDefault="00F15505" w:rsidP="00CB0A81">
      <w:pPr>
        <w:tabs>
          <w:tab w:val="left" w:pos="540"/>
        </w:tabs>
        <w:spacing w:line="240" w:lineRule="auto"/>
        <w:jc w:val="both"/>
        <w:rPr>
          <w:bCs/>
          <w:i/>
          <w:szCs w:val="22"/>
          <w:lang w:val="sr-Latn-RS"/>
        </w:rPr>
      </w:pPr>
      <w:r w:rsidRPr="00E43CDC">
        <w:rPr>
          <w:bCs/>
          <w:i/>
          <w:szCs w:val="22"/>
          <w:lang w:val="sr-Latn-RS"/>
        </w:rPr>
        <w:t>Djeca mlađa od 6 godina</w:t>
      </w:r>
    </w:p>
    <w:p w14:paraId="50303708" w14:textId="77777777" w:rsidR="007006F4" w:rsidRPr="00E43CDC" w:rsidRDefault="00F15505" w:rsidP="00CB0A81">
      <w:pPr>
        <w:tabs>
          <w:tab w:val="left" w:pos="540"/>
        </w:tabs>
        <w:spacing w:line="240" w:lineRule="auto"/>
        <w:jc w:val="both"/>
        <w:rPr>
          <w:bCs/>
          <w:szCs w:val="22"/>
          <w:lang w:val="sr-Latn-RS"/>
        </w:rPr>
      </w:pPr>
      <w:r w:rsidRPr="00E43CDC">
        <w:rPr>
          <w:bCs/>
          <w:szCs w:val="22"/>
          <w:lang w:val="sr-Latn-RS"/>
        </w:rPr>
        <w:t>Nema podataka.</w:t>
      </w:r>
    </w:p>
    <w:p w14:paraId="64BC106F" w14:textId="77777777" w:rsidR="007006F4" w:rsidRPr="00E43CDC" w:rsidRDefault="007006F4" w:rsidP="00CB0A81">
      <w:pPr>
        <w:tabs>
          <w:tab w:val="left" w:pos="540"/>
        </w:tabs>
        <w:spacing w:line="240" w:lineRule="auto"/>
        <w:jc w:val="both"/>
        <w:rPr>
          <w:bCs/>
          <w:szCs w:val="22"/>
          <w:u w:val="single"/>
          <w:lang w:val="sr-Latn-RS"/>
        </w:rPr>
      </w:pPr>
    </w:p>
    <w:p w14:paraId="3997A028" w14:textId="05BAE38D" w:rsidR="007006F4" w:rsidRPr="00E43CDC" w:rsidRDefault="00F15505" w:rsidP="00CB0A81">
      <w:pPr>
        <w:tabs>
          <w:tab w:val="left" w:pos="540"/>
        </w:tabs>
        <w:spacing w:line="240" w:lineRule="auto"/>
        <w:jc w:val="both"/>
        <w:rPr>
          <w:bCs/>
          <w:szCs w:val="22"/>
          <w:u w:val="single"/>
          <w:lang w:val="sr-Latn-RS"/>
        </w:rPr>
      </w:pPr>
      <w:r w:rsidRPr="00E43CDC">
        <w:rPr>
          <w:bCs/>
          <w:szCs w:val="22"/>
          <w:u w:val="single"/>
          <w:lang w:val="sr-Latn-RS"/>
        </w:rPr>
        <w:t>Način primjene</w:t>
      </w:r>
    </w:p>
    <w:p w14:paraId="08E7F1DB" w14:textId="77777777" w:rsidR="007006F4" w:rsidRPr="00E43CDC" w:rsidRDefault="00F15505" w:rsidP="00CB0A81">
      <w:pPr>
        <w:tabs>
          <w:tab w:val="clear" w:pos="567"/>
        </w:tabs>
        <w:spacing w:line="240" w:lineRule="auto"/>
        <w:jc w:val="both"/>
        <w:rPr>
          <w:szCs w:val="22"/>
          <w:lang w:val="sr-Latn-RS"/>
        </w:rPr>
      </w:pPr>
      <w:r w:rsidRPr="00E43CDC">
        <w:rPr>
          <w:szCs w:val="22"/>
          <w:lang w:val="sr-Latn-RS"/>
        </w:rPr>
        <w:t>Tableta za oralnu upotrebu.</w:t>
      </w:r>
    </w:p>
    <w:p w14:paraId="4536116F" w14:textId="77777777" w:rsidR="007006F4" w:rsidRPr="00E43CDC" w:rsidRDefault="007006F4" w:rsidP="00CB0A81">
      <w:pPr>
        <w:tabs>
          <w:tab w:val="left" w:pos="540"/>
        </w:tabs>
        <w:spacing w:line="240" w:lineRule="auto"/>
        <w:jc w:val="both"/>
        <w:rPr>
          <w:bCs/>
          <w:szCs w:val="22"/>
          <w:lang w:val="sr-Latn-RS"/>
        </w:rPr>
      </w:pPr>
    </w:p>
    <w:p w14:paraId="4647B5FA" w14:textId="77777777" w:rsidR="007006F4" w:rsidRPr="00E43CDC" w:rsidRDefault="00F15505" w:rsidP="00CB0A81">
      <w:pPr>
        <w:tabs>
          <w:tab w:val="left" w:pos="540"/>
        </w:tabs>
        <w:spacing w:line="240" w:lineRule="auto"/>
        <w:jc w:val="both"/>
        <w:rPr>
          <w:b/>
          <w:bCs/>
          <w:szCs w:val="22"/>
          <w:lang w:val="sr-Latn-RS"/>
        </w:rPr>
      </w:pPr>
      <w:r w:rsidRPr="00E43CDC">
        <w:rPr>
          <w:b/>
          <w:bCs/>
          <w:szCs w:val="22"/>
          <w:lang w:val="sr-Latn-RS"/>
        </w:rPr>
        <w:t xml:space="preserve">4.3. </w:t>
      </w:r>
      <w:r w:rsidRPr="00E43CDC">
        <w:rPr>
          <w:b/>
          <w:bCs/>
          <w:szCs w:val="22"/>
          <w:lang w:val="sr-Latn-RS"/>
        </w:rPr>
        <w:tab/>
        <w:t>Kontraindikacije</w:t>
      </w:r>
    </w:p>
    <w:p w14:paraId="481D0BD1" w14:textId="77777777" w:rsidR="007006F4" w:rsidRPr="00E43CDC" w:rsidRDefault="007006F4" w:rsidP="00CB0A81">
      <w:pPr>
        <w:tabs>
          <w:tab w:val="left" w:pos="540"/>
        </w:tabs>
        <w:spacing w:line="240" w:lineRule="auto"/>
        <w:jc w:val="both"/>
        <w:rPr>
          <w:b/>
          <w:bCs/>
          <w:szCs w:val="22"/>
          <w:lang w:val="sr-Latn-RS"/>
        </w:rPr>
      </w:pPr>
    </w:p>
    <w:p w14:paraId="1D5B1C28" w14:textId="77777777" w:rsidR="007006F4" w:rsidRPr="00E43CDC" w:rsidRDefault="00F15505" w:rsidP="00CB0A81">
      <w:pPr>
        <w:tabs>
          <w:tab w:val="left" w:pos="540"/>
        </w:tabs>
        <w:spacing w:line="240" w:lineRule="auto"/>
        <w:jc w:val="both"/>
        <w:rPr>
          <w:bCs/>
          <w:szCs w:val="22"/>
          <w:lang w:val="sr-Latn-RS"/>
        </w:rPr>
      </w:pPr>
      <w:r w:rsidRPr="00E43CDC">
        <w:rPr>
          <w:bCs/>
          <w:szCs w:val="22"/>
          <w:lang w:val="sr-Latn-RS"/>
        </w:rPr>
        <w:t>Amlodipin je kontraindikovan kod pacijenata sa:</w:t>
      </w:r>
    </w:p>
    <w:p w14:paraId="4B53EC18" w14:textId="77777777" w:rsidR="007006F4" w:rsidRPr="00E43CDC" w:rsidRDefault="00F15505" w:rsidP="00CB0A81">
      <w:pPr>
        <w:numPr>
          <w:ilvl w:val="0"/>
          <w:numId w:val="31"/>
        </w:numPr>
        <w:tabs>
          <w:tab w:val="clear" w:pos="567"/>
          <w:tab w:val="left" w:pos="540"/>
        </w:tabs>
        <w:spacing w:line="240" w:lineRule="auto"/>
        <w:jc w:val="both"/>
        <w:rPr>
          <w:bCs/>
          <w:szCs w:val="22"/>
          <w:lang w:val="sr-Latn-RS"/>
        </w:rPr>
      </w:pPr>
      <w:r w:rsidRPr="00E43CDC">
        <w:rPr>
          <w:bCs/>
          <w:szCs w:val="22"/>
          <w:lang w:val="sr-Latn-RS"/>
        </w:rPr>
        <w:t>poznatom preosjetljivošću na dihidropiridinske derivate, amlodipin ili na neku od pomoćnih supstanci navedenih u dijelu 6.1</w:t>
      </w:r>
    </w:p>
    <w:p w14:paraId="6D952C15" w14:textId="77777777" w:rsidR="007006F4" w:rsidRPr="00E43CDC" w:rsidRDefault="00F15505" w:rsidP="00CB0A81">
      <w:pPr>
        <w:numPr>
          <w:ilvl w:val="0"/>
          <w:numId w:val="31"/>
        </w:numPr>
        <w:tabs>
          <w:tab w:val="clear" w:pos="567"/>
          <w:tab w:val="left" w:pos="540"/>
        </w:tabs>
        <w:spacing w:line="240" w:lineRule="auto"/>
        <w:jc w:val="both"/>
        <w:rPr>
          <w:bCs/>
          <w:szCs w:val="22"/>
          <w:lang w:val="sr-Latn-RS"/>
        </w:rPr>
      </w:pPr>
      <w:r w:rsidRPr="00E43CDC">
        <w:rPr>
          <w:bCs/>
          <w:szCs w:val="22"/>
          <w:lang w:val="sr-Latn-RS"/>
        </w:rPr>
        <w:t>teškom hipotenzijom</w:t>
      </w:r>
    </w:p>
    <w:p w14:paraId="0EC919E4" w14:textId="77777777" w:rsidR="007006F4" w:rsidRPr="00E43CDC" w:rsidRDefault="00F15505" w:rsidP="00CB0A81">
      <w:pPr>
        <w:numPr>
          <w:ilvl w:val="0"/>
          <w:numId w:val="31"/>
        </w:numPr>
        <w:tabs>
          <w:tab w:val="clear" w:pos="567"/>
          <w:tab w:val="left" w:pos="540"/>
        </w:tabs>
        <w:spacing w:line="240" w:lineRule="auto"/>
        <w:jc w:val="both"/>
        <w:rPr>
          <w:bCs/>
          <w:szCs w:val="22"/>
          <w:lang w:val="sr-Latn-RS"/>
        </w:rPr>
      </w:pPr>
      <w:r w:rsidRPr="00E43CDC">
        <w:rPr>
          <w:bCs/>
          <w:szCs w:val="22"/>
          <w:lang w:val="sr-Latn-RS"/>
        </w:rPr>
        <w:t>šokom (uključujući i kardiogeni šok)</w:t>
      </w:r>
    </w:p>
    <w:p w14:paraId="53F307D5" w14:textId="77777777" w:rsidR="007006F4" w:rsidRPr="00E43CDC" w:rsidRDefault="00F15505" w:rsidP="00CB0A81">
      <w:pPr>
        <w:numPr>
          <w:ilvl w:val="0"/>
          <w:numId w:val="31"/>
        </w:numPr>
        <w:tabs>
          <w:tab w:val="clear" w:pos="567"/>
          <w:tab w:val="left" w:pos="540"/>
        </w:tabs>
        <w:spacing w:line="240" w:lineRule="auto"/>
        <w:jc w:val="both"/>
        <w:rPr>
          <w:bCs/>
          <w:szCs w:val="22"/>
          <w:lang w:val="sr-Latn-RS"/>
        </w:rPr>
      </w:pPr>
      <w:r w:rsidRPr="00E43CDC">
        <w:rPr>
          <w:bCs/>
          <w:szCs w:val="22"/>
          <w:lang w:val="sr-Latn-RS"/>
        </w:rPr>
        <w:t>opstrukcijom izlaznog trakta lijeve komore (npr. stenoza aorte visokog stepena)</w:t>
      </w:r>
    </w:p>
    <w:p w14:paraId="2D806593" w14:textId="77777777" w:rsidR="007006F4" w:rsidRPr="00E43CDC" w:rsidRDefault="00F15505" w:rsidP="00CB0A81">
      <w:pPr>
        <w:numPr>
          <w:ilvl w:val="0"/>
          <w:numId w:val="31"/>
        </w:numPr>
        <w:tabs>
          <w:tab w:val="clear" w:pos="567"/>
          <w:tab w:val="left" w:pos="540"/>
        </w:tabs>
        <w:spacing w:line="240" w:lineRule="auto"/>
        <w:jc w:val="both"/>
        <w:rPr>
          <w:bCs/>
          <w:szCs w:val="22"/>
          <w:lang w:val="sr-Latn-RS"/>
        </w:rPr>
      </w:pPr>
      <w:r w:rsidRPr="00E43CDC">
        <w:rPr>
          <w:bCs/>
          <w:szCs w:val="22"/>
          <w:lang w:val="sr-Latn-RS"/>
        </w:rPr>
        <w:t>hemodinamski nestabilnom srčanom insuficijencijom nakon akutnog infarkta miokarda.</w:t>
      </w:r>
    </w:p>
    <w:p w14:paraId="31C58129" w14:textId="77777777" w:rsidR="007006F4" w:rsidRPr="00E43CDC" w:rsidRDefault="007006F4" w:rsidP="00CB0A81">
      <w:pPr>
        <w:tabs>
          <w:tab w:val="left" w:pos="540"/>
        </w:tabs>
        <w:spacing w:line="240" w:lineRule="auto"/>
        <w:jc w:val="both"/>
        <w:rPr>
          <w:bCs/>
          <w:szCs w:val="22"/>
          <w:lang w:val="sr-Latn-RS"/>
        </w:rPr>
      </w:pPr>
    </w:p>
    <w:p w14:paraId="00F8C3B0" w14:textId="77777777" w:rsidR="007006F4" w:rsidRPr="00E43CDC" w:rsidRDefault="00F15505" w:rsidP="00CB0A81">
      <w:pPr>
        <w:tabs>
          <w:tab w:val="left" w:pos="540"/>
        </w:tabs>
        <w:spacing w:line="240" w:lineRule="auto"/>
        <w:jc w:val="both"/>
        <w:rPr>
          <w:b/>
          <w:bCs/>
          <w:szCs w:val="22"/>
          <w:lang w:val="sr-Latn-RS"/>
        </w:rPr>
      </w:pPr>
      <w:r w:rsidRPr="00E43CDC">
        <w:rPr>
          <w:b/>
          <w:bCs/>
          <w:szCs w:val="22"/>
          <w:lang w:val="sr-Latn-RS"/>
        </w:rPr>
        <w:t xml:space="preserve">4.4. </w:t>
      </w:r>
      <w:r w:rsidRPr="00E43CDC">
        <w:rPr>
          <w:b/>
          <w:bCs/>
          <w:szCs w:val="22"/>
          <w:lang w:val="sr-Latn-RS"/>
        </w:rPr>
        <w:tab/>
        <w:t>Posebna upozorenja i mjere opreza pri upotrebi lijeka</w:t>
      </w:r>
    </w:p>
    <w:p w14:paraId="6277D67B" w14:textId="77777777" w:rsidR="007006F4" w:rsidRPr="00E43CDC" w:rsidRDefault="007006F4" w:rsidP="00CB0A81">
      <w:pPr>
        <w:tabs>
          <w:tab w:val="left" w:pos="540"/>
        </w:tabs>
        <w:spacing w:line="240" w:lineRule="auto"/>
        <w:jc w:val="both"/>
        <w:rPr>
          <w:bCs/>
          <w:szCs w:val="22"/>
          <w:lang w:val="sr-Latn-RS"/>
        </w:rPr>
      </w:pPr>
    </w:p>
    <w:p w14:paraId="2A6C1895" w14:textId="77777777" w:rsidR="007006F4" w:rsidRPr="00E43CDC" w:rsidRDefault="00F15505" w:rsidP="00CB0A81">
      <w:pPr>
        <w:tabs>
          <w:tab w:val="left" w:pos="540"/>
        </w:tabs>
        <w:spacing w:line="240" w:lineRule="auto"/>
        <w:jc w:val="both"/>
        <w:rPr>
          <w:szCs w:val="22"/>
          <w:lang w:val="sr-Latn-RS"/>
        </w:rPr>
      </w:pPr>
      <w:r w:rsidRPr="00E43CDC">
        <w:rPr>
          <w:szCs w:val="22"/>
          <w:lang w:val="sr-Latn-RS"/>
        </w:rPr>
        <w:t>Bezbjednost i efikasnost amlodipina u hipertenzivnoj krizi nije utvrđena.</w:t>
      </w:r>
    </w:p>
    <w:p w14:paraId="0FF7E0A7" w14:textId="77777777" w:rsidR="007006F4" w:rsidRPr="00E43CDC" w:rsidRDefault="007006F4" w:rsidP="00CB0A81">
      <w:pPr>
        <w:tabs>
          <w:tab w:val="left" w:pos="540"/>
        </w:tabs>
        <w:spacing w:line="240" w:lineRule="auto"/>
        <w:jc w:val="both"/>
        <w:rPr>
          <w:szCs w:val="22"/>
          <w:lang w:val="sr-Latn-RS"/>
        </w:rPr>
      </w:pPr>
    </w:p>
    <w:p w14:paraId="337215F3" w14:textId="77777777" w:rsidR="007006F4" w:rsidRPr="00E43CDC" w:rsidRDefault="00F15505" w:rsidP="00CB0A81">
      <w:pPr>
        <w:tabs>
          <w:tab w:val="left" w:pos="540"/>
        </w:tabs>
        <w:spacing w:line="240" w:lineRule="auto"/>
        <w:jc w:val="both"/>
        <w:rPr>
          <w:i/>
          <w:szCs w:val="22"/>
          <w:lang w:val="sr-Latn-RS"/>
        </w:rPr>
      </w:pPr>
      <w:r w:rsidRPr="00E43CDC">
        <w:rPr>
          <w:i/>
          <w:szCs w:val="22"/>
          <w:lang w:val="sr-Latn-RS"/>
        </w:rPr>
        <w:t>Pacijenti sa insuficijencijom srca</w:t>
      </w:r>
    </w:p>
    <w:p w14:paraId="3AC0D65B" w14:textId="533F980F" w:rsidR="007006F4" w:rsidRPr="00E43CDC" w:rsidRDefault="00F15505" w:rsidP="00CB0A81">
      <w:pPr>
        <w:tabs>
          <w:tab w:val="left" w:pos="540"/>
        </w:tabs>
        <w:spacing w:line="240" w:lineRule="auto"/>
        <w:jc w:val="both"/>
        <w:rPr>
          <w:szCs w:val="22"/>
          <w:lang w:val="sr-Latn-RS"/>
        </w:rPr>
      </w:pPr>
      <w:r w:rsidRPr="00E43CDC">
        <w:rPr>
          <w:szCs w:val="22"/>
          <w:lang w:val="sr-Latn-RS"/>
        </w:rPr>
        <w:t xml:space="preserve">U liječenju pacijenata sa srčanom insuficijencijom neophodan je oprez. U dugotrajnom ispitivanju u kojem su uključeni pacijenti sa teškom srčanom insuficijencijom (NYHA klase III i IV), prijavljena incidenca pulmonalnog edema bila je viša u grupi liječenoj amlodipinom nego u </w:t>
      </w:r>
      <w:r w:rsidR="007D336B" w:rsidRPr="00E43CDC">
        <w:rPr>
          <w:szCs w:val="22"/>
          <w:lang w:val="sr-Latn-RS"/>
        </w:rPr>
        <w:t xml:space="preserve">grupi </w:t>
      </w:r>
      <w:r w:rsidRPr="00E43CDC">
        <w:rPr>
          <w:szCs w:val="22"/>
          <w:lang w:val="sr-Latn-RS"/>
        </w:rPr>
        <w:t>na placeb</w:t>
      </w:r>
      <w:r w:rsidR="002D24E6" w:rsidRPr="00E43CDC">
        <w:rPr>
          <w:szCs w:val="22"/>
          <w:lang w:val="sr-Latn-RS"/>
        </w:rPr>
        <w:t>u</w:t>
      </w:r>
      <w:r w:rsidR="007D336B" w:rsidRPr="00E43CDC">
        <w:rPr>
          <w:szCs w:val="22"/>
          <w:lang w:val="sr-Latn-RS"/>
        </w:rPr>
        <w:t xml:space="preserve"> </w:t>
      </w:r>
      <w:r w:rsidRPr="00E43CDC">
        <w:rPr>
          <w:szCs w:val="22"/>
          <w:lang w:val="sr-Latn-RS"/>
        </w:rPr>
        <w:t xml:space="preserve"> (vidjeti dio 5.1). Blokatore kalcijumskih kanala, uključujući amlodipin, treba primjenjivati s oprezom kod pacijenata sa kongestivnom srčanom insuficijencijom, jer mogu povećati rizik od budućih kardiovaskularnih događaja i mortaliteta.</w:t>
      </w:r>
    </w:p>
    <w:p w14:paraId="12EC3B0D" w14:textId="77777777" w:rsidR="007006F4" w:rsidRPr="00E43CDC" w:rsidRDefault="007006F4" w:rsidP="00CB0A81">
      <w:pPr>
        <w:tabs>
          <w:tab w:val="left" w:pos="540"/>
        </w:tabs>
        <w:spacing w:line="240" w:lineRule="auto"/>
        <w:jc w:val="both"/>
        <w:rPr>
          <w:szCs w:val="22"/>
          <w:lang w:val="sr-Latn-RS"/>
        </w:rPr>
      </w:pPr>
    </w:p>
    <w:p w14:paraId="0BA21AF9" w14:textId="46AAD80B" w:rsidR="007006F4" w:rsidRPr="00E43CDC" w:rsidRDefault="007D336B" w:rsidP="00CB0A81">
      <w:pPr>
        <w:tabs>
          <w:tab w:val="left" w:pos="540"/>
        </w:tabs>
        <w:spacing w:line="240" w:lineRule="auto"/>
        <w:jc w:val="both"/>
        <w:rPr>
          <w:szCs w:val="22"/>
          <w:lang w:val="sr-Latn-RS"/>
        </w:rPr>
      </w:pPr>
      <w:r w:rsidRPr="00E43CDC">
        <w:rPr>
          <w:i/>
          <w:szCs w:val="22"/>
          <w:lang w:val="sr-Latn-RS"/>
        </w:rPr>
        <w:t>P</w:t>
      </w:r>
      <w:r w:rsidR="00F15505" w:rsidRPr="00E43CDC">
        <w:rPr>
          <w:i/>
          <w:szCs w:val="22"/>
          <w:lang w:val="sr-Latn-RS"/>
        </w:rPr>
        <w:t>acijenat</w:t>
      </w:r>
      <w:r w:rsidRPr="00E43CDC">
        <w:rPr>
          <w:i/>
          <w:szCs w:val="22"/>
          <w:lang w:val="sr-Latn-RS"/>
        </w:rPr>
        <w:t>i</w:t>
      </w:r>
      <w:r w:rsidR="00F15505" w:rsidRPr="00E43CDC">
        <w:rPr>
          <w:i/>
          <w:szCs w:val="22"/>
          <w:lang w:val="sr-Latn-RS"/>
        </w:rPr>
        <w:t xml:space="preserve"> sa oštećenom funkcijom jetre</w:t>
      </w:r>
    </w:p>
    <w:p w14:paraId="64F16D3D" w14:textId="232F034D" w:rsidR="007006F4" w:rsidRPr="00E43CDC" w:rsidRDefault="00F15505" w:rsidP="00CB0A81">
      <w:pPr>
        <w:tabs>
          <w:tab w:val="left" w:pos="540"/>
        </w:tabs>
        <w:spacing w:line="240" w:lineRule="auto"/>
        <w:jc w:val="both"/>
        <w:rPr>
          <w:szCs w:val="22"/>
          <w:lang w:val="sr-Latn-RS"/>
        </w:rPr>
      </w:pPr>
      <w:r w:rsidRPr="00E43CDC">
        <w:rPr>
          <w:szCs w:val="22"/>
          <w:lang w:val="sr-Latn-RS"/>
        </w:rPr>
        <w:t xml:space="preserve">Kod pacijenata sa oštećenjem funkcije jetre poluvrijeme eliminacije amlodipina je produženo i vrijednosti PIK su povećane, međutim preporuke za doziranje nijesu ustanovljene. Prema tome, kod ovih pacijenata lijek treba uvesti u terapiju u dozi koja odgovara donjoj granici doznog opsega i oprezno </w:t>
      </w:r>
      <w:r w:rsidRPr="00E43CDC">
        <w:rPr>
          <w:szCs w:val="22"/>
          <w:lang w:val="sr-Latn-RS"/>
        </w:rPr>
        <w:lastRenderedPageBreak/>
        <w:t>ga primjenjivati kako na početku terapije tako i prilikom povećanja doze. Kod pacijenata sa teškim oštećenjem jetre potrebna je postepena titracija doze i pažljivo praćenje stanja pacijenta.</w:t>
      </w:r>
    </w:p>
    <w:p w14:paraId="1CF8B280" w14:textId="77777777" w:rsidR="007006F4" w:rsidRPr="00E43CDC" w:rsidRDefault="007006F4" w:rsidP="00CB0A81">
      <w:pPr>
        <w:tabs>
          <w:tab w:val="left" w:pos="540"/>
        </w:tabs>
        <w:spacing w:line="240" w:lineRule="auto"/>
        <w:jc w:val="both"/>
        <w:rPr>
          <w:i/>
          <w:szCs w:val="22"/>
          <w:lang w:val="sr-Latn-RS"/>
        </w:rPr>
      </w:pPr>
    </w:p>
    <w:p w14:paraId="0BE49D36" w14:textId="2B4475DE" w:rsidR="007006F4" w:rsidRPr="00E43CDC" w:rsidRDefault="007D336B" w:rsidP="00CB0A81">
      <w:pPr>
        <w:tabs>
          <w:tab w:val="left" w:pos="540"/>
        </w:tabs>
        <w:spacing w:line="240" w:lineRule="auto"/>
        <w:jc w:val="both"/>
        <w:rPr>
          <w:i/>
          <w:szCs w:val="22"/>
          <w:lang w:val="sr-Latn-RS"/>
        </w:rPr>
      </w:pPr>
      <w:r w:rsidRPr="00E43CDC">
        <w:rPr>
          <w:i/>
          <w:szCs w:val="22"/>
          <w:lang w:val="sr-Latn-RS"/>
        </w:rPr>
        <w:t>S</w:t>
      </w:r>
      <w:r w:rsidR="00F15505" w:rsidRPr="00E43CDC">
        <w:rPr>
          <w:i/>
          <w:szCs w:val="22"/>
          <w:lang w:val="sr-Latn-RS"/>
        </w:rPr>
        <w:t>tarij</w:t>
      </w:r>
      <w:r w:rsidRPr="00E43CDC">
        <w:rPr>
          <w:i/>
          <w:szCs w:val="22"/>
          <w:lang w:val="sr-Latn-RS"/>
        </w:rPr>
        <w:t>e</w:t>
      </w:r>
      <w:r w:rsidR="00F15505" w:rsidRPr="00E43CDC">
        <w:rPr>
          <w:i/>
          <w:szCs w:val="22"/>
          <w:lang w:val="sr-Latn-RS"/>
        </w:rPr>
        <w:t xml:space="preserve"> </w:t>
      </w:r>
      <w:r w:rsidRPr="00E43CDC">
        <w:rPr>
          <w:i/>
          <w:szCs w:val="22"/>
          <w:lang w:val="sr-Latn-RS"/>
        </w:rPr>
        <w:t>osobe</w:t>
      </w:r>
    </w:p>
    <w:p w14:paraId="5C6FE9BF" w14:textId="77777777" w:rsidR="007006F4" w:rsidRPr="00E43CDC" w:rsidRDefault="00F15505" w:rsidP="00CB0A81">
      <w:pPr>
        <w:tabs>
          <w:tab w:val="left" w:pos="540"/>
        </w:tabs>
        <w:spacing w:line="240" w:lineRule="auto"/>
        <w:jc w:val="both"/>
        <w:rPr>
          <w:szCs w:val="22"/>
          <w:lang w:val="sr-Latn-RS"/>
        </w:rPr>
      </w:pPr>
      <w:r w:rsidRPr="00E43CDC">
        <w:rPr>
          <w:szCs w:val="22"/>
          <w:lang w:val="sr-Latn-RS"/>
        </w:rPr>
        <w:t>Prilikom povećanja doze kod starijih pacijenata neophodan je oprez (vidjeti djelove 4.2 i 5.2).</w:t>
      </w:r>
    </w:p>
    <w:p w14:paraId="4C672904" w14:textId="77777777" w:rsidR="007006F4" w:rsidRPr="00E43CDC" w:rsidRDefault="007006F4" w:rsidP="00CB0A81">
      <w:pPr>
        <w:tabs>
          <w:tab w:val="left" w:pos="540"/>
        </w:tabs>
        <w:spacing w:line="240" w:lineRule="auto"/>
        <w:jc w:val="both"/>
        <w:rPr>
          <w:szCs w:val="22"/>
          <w:lang w:val="sr-Latn-RS"/>
        </w:rPr>
      </w:pPr>
    </w:p>
    <w:p w14:paraId="2C9D561F" w14:textId="36D070B0" w:rsidR="007006F4" w:rsidRPr="00E43CDC" w:rsidRDefault="00D93CE3" w:rsidP="00CB0A81">
      <w:pPr>
        <w:tabs>
          <w:tab w:val="left" w:pos="540"/>
        </w:tabs>
        <w:spacing w:line="240" w:lineRule="auto"/>
        <w:jc w:val="both"/>
        <w:rPr>
          <w:i/>
          <w:szCs w:val="22"/>
          <w:lang w:val="sr-Latn-RS"/>
        </w:rPr>
      </w:pPr>
      <w:r w:rsidRPr="00E43CDC">
        <w:rPr>
          <w:i/>
          <w:szCs w:val="22"/>
          <w:lang w:val="sr-Latn-RS"/>
        </w:rPr>
        <w:t>P</w:t>
      </w:r>
      <w:r w:rsidR="00F15505" w:rsidRPr="00E43CDC">
        <w:rPr>
          <w:i/>
          <w:szCs w:val="22"/>
          <w:lang w:val="sr-Latn-RS"/>
        </w:rPr>
        <w:t>acijenat</w:t>
      </w:r>
      <w:r w:rsidRPr="00E43CDC">
        <w:rPr>
          <w:i/>
          <w:szCs w:val="22"/>
          <w:lang w:val="sr-Latn-RS"/>
        </w:rPr>
        <w:t>i</w:t>
      </w:r>
      <w:r w:rsidR="00F15505" w:rsidRPr="00E43CDC">
        <w:rPr>
          <w:i/>
          <w:szCs w:val="22"/>
          <w:lang w:val="sr-Latn-RS"/>
        </w:rPr>
        <w:t xml:space="preserve"> sa </w:t>
      </w:r>
      <w:r w:rsidRPr="00E43CDC">
        <w:rPr>
          <w:i/>
          <w:szCs w:val="22"/>
          <w:lang w:val="sr-Latn-RS"/>
        </w:rPr>
        <w:t xml:space="preserve">oštećenom </w:t>
      </w:r>
      <w:r w:rsidR="00F15505" w:rsidRPr="00E43CDC">
        <w:rPr>
          <w:i/>
          <w:szCs w:val="22"/>
          <w:lang w:val="sr-Latn-RS"/>
        </w:rPr>
        <w:t>funkcij</w:t>
      </w:r>
      <w:r w:rsidRPr="00E43CDC">
        <w:rPr>
          <w:i/>
          <w:szCs w:val="22"/>
          <w:lang w:val="sr-Latn-RS"/>
        </w:rPr>
        <w:t>om</w:t>
      </w:r>
      <w:r w:rsidR="00F15505" w:rsidRPr="00E43CDC">
        <w:rPr>
          <w:i/>
          <w:szCs w:val="22"/>
          <w:lang w:val="sr-Latn-RS"/>
        </w:rPr>
        <w:t xml:space="preserve"> bubrega</w:t>
      </w:r>
    </w:p>
    <w:p w14:paraId="2AFDAAAC" w14:textId="77777777" w:rsidR="007006F4" w:rsidRPr="00E43CDC" w:rsidRDefault="00F15505" w:rsidP="00CB0A81">
      <w:pPr>
        <w:tabs>
          <w:tab w:val="left" w:pos="540"/>
        </w:tabs>
        <w:spacing w:line="240" w:lineRule="auto"/>
        <w:jc w:val="both"/>
        <w:rPr>
          <w:szCs w:val="22"/>
          <w:lang w:val="sr-Latn-RS"/>
        </w:rPr>
      </w:pPr>
      <w:r w:rsidRPr="00E43CDC">
        <w:rPr>
          <w:szCs w:val="22"/>
          <w:lang w:val="sr-Latn-RS"/>
        </w:rPr>
        <w:t>Amlodipin se može primjenjivati kod takvih pacijenata u uobičajenim dozama. Promjene u plazmatskoj koncentraciji amlodipina nijesu povezane sa nivoom oštećenja bubrega. Amlodipin se ne može odstraniti dijalizom.</w:t>
      </w:r>
    </w:p>
    <w:p w14:paraId="60893FEE" w14:textId="77777777" w:rsidR="007006F4" w:rsidRPr="00E43CDC" w:rsidRDefault="007006F4" w:rsidP="00CB0A81">
      <w:pPr>
        <w:tabs>
          <w:tab w:val="left" w:pos="540"/>
        </w:tabs>
        <w:spacing w:line="240" w:lineRule="auto"/>
        <w:jc w:val="both"/>
        <w:rPr>
          <w:bCs/>
          <w:szCs w:val="22"/>
          <w:lang w:val="sr-Latn-RS"/>
        </w:rPr>
      </w:pPr>
    </w:p>
    <w:p w14:paraId="0C667730" w14:textId="77777777" w:rsidR="007006F4" w:rsidRPr="00E43CDC" w:rsidRDefault="00F15505" w:rsidP="00CB0A81">
      <w:pPr>
        <w:tabs>
          <w:tab w:val="left" w:pos="284"/>
          <w:tab w:val="center" w:pos="4153"/>
          <w:tab w:val="right" w:pos="8306"/>
        </w:tabs>
        <w:spacing w:line="240" w:lineRule="auto"/>
        <w:jc w:val="both"/>
        <w:rPr>
          <w:i/>
          <w:szCs w:val="22"/>
          <w:lang w:val="sr-Latn-RS"/>
        </w:rPr>
      </w:pPr>
      <w:r w:rsidRPr="00E43CDC">
        <w:rPr>
          <w:i/>
          <w:szCs w:val="22"/>
          <w:lang w:val="sr-Latn-RS"/>
        </w:rPr>
        <w:t>Natrijum</w:t>
      </w:r>
    </w:p>
    <w:p w14:paraId="51F72B3A" w14:textId="77777777" w:rsidR="007006F4" w:rsidRPr="00E43CDC" w:rsidRDefault="00F15505" w:rsidP="00CB0A81">
      <w:pPr>
        <w:tabs>
          <w:tab w:val="left" w:pos="284"/>
          <w:tab w:val="center" w:pos="4153"/>
          <w:tab w:val="right" w:pos="8306"/>
        </w:tabs>
        <w:spacing w:line="240" w:lineRule="auto"/>
        <w:jc w:val="both"/>
        <w:rPr>
          <w:szCs w:val="22"/>
          <w:lang w:val="sr-Latn-RS"/>
        </w:rPr>
      </w:pPr>
      <w:r w:rsidRPr="00E43CDC">
        <w:rPr>
          <w:szCs w:val="22"/>
          <w:lang w:val="sr-Latn-RS"/>
        </w:rPr>
        <w:t>Ovaj lijek sadrži manje od 1 mmol (23 mg) natrijuma po dozi, tj.</w:t>
      </w:r>
      <w:r w:rsidR="00D93CE3" w:rsidRPr="00E43CDC">
        <w:rPr>
          <w:szCs w:val="22"/>
          <w:lang w:val="sr-Latn-RS"/>
        </w:rPr>
        <w:t xml:space="preserve"> </w:t>
      </w:r>
      <w:r w:rsidRPr="00E43CDC">
        <w:rPr>
          <w:szCs w:val="22"/>
          <w:lang w:val="sr-Latn-RS"/>
        </w:rPr>
        <w:t>zanemarljive količine natrijuma.</w:t>
      </w:r>
    </w:p>
    <w:p w14:paraId="12423228" w14:textId="77777777" w:rsidR="007006F4" w:rsidRPr="00E43CDC" w:rsidRDefault="007006F4" w:rsidP="00CB0A81">
      <w:pPr>
        <w:tabs>
          <w:tab w:val="left" w:pos="540"/>
        </w:tabs>
        <w:spacing w:line="240" w:lineRule="auto"/>
        <w:jc w:val="both"/>
        <w:rPr>
          <w:bCs/>
          <w:szCs w:val="22"/>
          <w:lang w:val="sr-Latn-RS"/>
        </w:rPr>
      </w:pPr>
    </w:p>
    <w:p w14:paraId="108AD318" w14:textId="77777777" w:rsidR="007006F4" w:rsidRPr="00E43CDC" w:rsidRDefault="00F15505" w:rsidP="00CB0A81">
      <w:pPr>
        <w:tabs>
          <w:tab w:val="left" w:pos="540"/>
        </w:tabs>
        <w:spacing w:line="240" w:lineRule="auto"/>
        <w:jc w:val="both"/>
        <w:rPr>
          <w:b/>
          <w:bCs/>
          <w:szCs w:val="22"/>
          <w:lang w:val="sr-Latn-RS"/>
        </w:rPr>
      </w:pPr>
      <w:r w:rsidRPr="00E43CDC">
        <w:rPr>
          <w:b/>
          <w:bCs/>
          <w:szCs w:val="22"/>
          <w:lang w:val="sr-Latn-RS"/>
        </w:rPr>
        <w:t>4.5.</w:t>
      </w:r>
      <w:r w:rsidRPr="00E43CDC">
        <w:rPr>
          <w:b/>
          <w:bCs/>
          <w:szCs w:val="22"/>
          <w:lang w:val="sr-Latn-RS"/>
        </w:rPr>
        <w:tab/>
        <w:t>Interakcije sa drugim ljekovima i druge vrste interakcija</w:t>
      </w:r>
    </w:p>
    <w:p w14:paraId="38D0F9CA" w14:textId="77777777" w:rsidR="007006F4" w:rsidRPr="00E43CDC" w:rsidRDefault="007006F4" w:rsidP="00CB0A81">
      <w:pPr>
        <w:tabs>
          <w:tab w:val="left" w:pos="540"/>
        </w:tabs>
        <w:spacing w:line="240" w:lineRule="auto"/>
        <w:jc w:val="both"/>
        <w:rPr>
          <w:b/>
          <w:bCs/>
          <w:szCs w:val="22"/>
          <w:lang w:val="sr-Latn-RS"/>
        </w:rPr>
      </w:pPr>
    </w:p>
    <w:p w14:paraId="440B8B75" w14:textId="77777777" w:rsidR="007006F4" w:rsidRPr="00E43CDC" w:rsidRDefault="00F15505" w:rsidP="00CB0A81">
      <w:pPr>
        <w:tabs>
          <w:tab w:val="clear" w:pos="567"/>
        </w:tabs>
        <w:spacing w:line="240" w:lineRule="auto"/>
        <w:jc w:val="both"/>
        <w:rPr>
          <w:szCs w:val="22"/>
          <w:u w:val="single"/>
          <w:lang w:val="sr-Latn-RS"/>
        </w:rPr>
      </w:pPr>
      <w:r w:rsidRPr="00E43CDC">
        <w:rPr>
          <w:szCs w:val="22"/>
          <w:u w:val="single"/>
          <w:lang w:val="sr-Latn-RS"/>
        </w:rPr>
        <w:t>Dejstva drugih ljekova na amlodipin</w:t>
      </w:r>
    </w:p>
    <w:p w14:paraId="09F1CF83" w14:textId="77777777" w:rsidR="007006F4" w:rsidRPr="00E43CDC" w:rsidRDefault="007006F4" w:rsidP="00CB0A81">
      <w:pPr>
        <w:tabs>
          <w:tab w:val="clear" w:pos="567"/>
        </w:tabs>
        <w:spacing w:line="240" w:lineRule="auto"/>
        <w:jc w:val="both"/>
        <w:rPr>
          <w:i/>
          <w:szCs w:val="22"/>
          <w:lang w:val="sr-Latn-RS"/>
        </w:rPr>
      </w:pPr>
    </w:p>
    <w:p w14:paraId="1CB29D6C" w14:textId="77777777" w:rsidR="007006F4" w:rsidRPr="00E43CDC" w:rsidRDefault="00F15505" w:rsidP="00CB0A81">
      <w:pPr>
        <w:tabs>
          <w:tab w:val="clear" w:pos="567"/>
        </w:tabs>
        <w:spacing w:line="240" w:lineRule="auto"/>
        <w:jc w:val="both"/>
        <w:rPr>
          <w:szCs w:val="22"/>
          <w:lang w:val="sr-Latn-RS"/>
        </w:rPr>
      </w:pPr>
      <w:r w:rsidRPr="00E43CDC">
        <w:rPr>
          <w:i/>
          <w:szCs w:val="22"/>
          <w:lang w:val="sr-Latn-RS"/>
        </w:rPr>
        <w:t>CYP3A4 inhibitori:</w:t>
      </w:r>
      <w:r w:rsidRPr="00E43CDC">
        <w:rPr>
          <w:szCs w:val="22"/>
          <w:lang w:val="sr-Latn-RS"/>
        </w:rPr>
        <w:t xml:space="preserve"> </w:t>
      </w:r>
    </w:p>
    <w:p w14:paraId="0B4E00FE" w14:textId="5D4CECC5" w:rsidR="007006F4" w:rsidRPr="00E43CDC" w:rsidRDefault="00F15505" w:rsidP="00CB0A81">
      <w:pPr>
        <w:tabs>
          <w:tab w:val="clear" w:pos="567"/>
        </w:tabs>
        <w:spacing w:line="240" w:lineRule="auto"/>
        <w:jc w:val="both"/>
        <w:rPr>
          <w:szCs w:val="22"/>
          <w:lang w:val="sr-Latn-RS"/>
        </w:rPr>
      </w:pPr>
      <w:r w:rsidRPr="00E43CDC">
        <w:rPr>
          <w:szCs w:val="22"/>
          <w:lang w:val="sr-Latn-RS"/>
        </w:rPr>
        <w:t>Istovremena primjena amlodipina sa jakim ili umjerenim CYP3A4 inhibitorima (inhibitori proteaze, azolni anti</w:t>
      </w:r>
      <w:r w:rsidR="00D93CE3" w:rsidRPr="00E43CDC">
        <w:rPr>
          <w:szCs w:val="22"/>
          <w:lang w:val="sr-Latn-RS"/>
        </w:rPr>
        <w:t>fungici</w:t>
      </w:r>
      <w:r w:rsidRPr="00E43CDC">
        <w:rPr>
          <w:szCs w:val="22"/>
          <w:lang w:val="sr-Latn-RS"/>
        </w:rPr>
        <w:t>, makrolidni antibiotici poput eritromicina ili klaritromicina, verapamil ili diltiazem) može dovesti do značajnog povećanja izloženosti amlodipinu. Klinički značaj ovih farmakokinetičkih varijacija može biti izraženije kod starijih osoba, što može zahtijevati kliničko praćenje i prilagođavanje doze.</w:t>
      </w:r>
    </w:p>
    <w:p w14:paraId="4A88D20F" w14:textId="77777777" w:rsidR="007006F4" w:rsidRPr="00E43CDC" w:rsidRDefault="007006F4" w:rsidP="00CB0A81">
      <w:pPr>
        <w:tabs>
          <w:tab w:val="clear" w:pos="567"/>
        </w:tabs>
        <w:spacing w:line="240" w:lineRule="auto"/>
        <w:jc w:val="both"/>
        <w:rPr>
          <w:szCs w:val="22"/>
          <w:lang w:val="sr-Latn-RS"/>
        </w:rPr>
      </w:pPr>
    </w:p>
    <w:p w14:paraId="7DEF75B8" w14:textId="77777777" w:rsidR="007006F4" w:rsidRPr="00E43CDC" w:rsidRDefault="00F15505" w:rsidP="00CB0A81">
      <w:pPr>
        <w:keepLines/>
        <w:tabs>
          <w:tab w:val="clear" w:pos="567"/>
          <w:tab w:val="center" w:pos="6804"/>
        </w:tabs>
        <w:spacing w:line="240" w:lineRule="auto"/>
        <w:jc w:val="both"/>
        <w:rPr>
          <w:color w:val="212121"/>
          <w:szCs w:val="22"/>
          <w:shd w:val="clear" w:color="auto" w:fill="FFFFFF"/>
          <w:lang w:val="sr-Latn-RS"/>
        </w:rPr>
      </w:pPr>
      <w:r w:rsidRPr="00E43CDC">
        <w:rPr>
          <w:i/>
          <w:szCs w:val="22"/>
          <w:lang w:val="sr-Latn-RS"/>
        </w:rPr>
        <w:t>CYP3A4 induktori:</w:t>
      </w:r>
      <w:r w:rsidRPr="00E43CDC">
        <w:rPr>
          <w:color w:val="212121"/>
          <w:szCs w:val="22"/>
          <w:shd w:val="clear" w:color="auto" w:fill="FFFFFF"/>
          <w:lang w:val="sr-Latn-RS"/>
        </w:rPr>
        <w:t xml:space="preserve"> </w:t>
      </w:r>
    </w:p>
    <w:p w14:paraId="6683FFBD" w14:textId="19B83F98" w:rsidR="007006F4" w:rsidRPr="00E43CDC" w:rsidRDefault="00D93CE3" w:rsidP="00CB0A81">
      <w:pPr>
        <w:keepLines/>
        <w:tabs>
          <w:tab w:val="clear" w:pos="567"/>
          <w:tab w:val="center" w:pos="6804"/>
        </w:tabs>
        <w:spacing w:line="240" w:lineRule="auto"/>
        <w:jc w:val="both"/>
        <w:rPr>
          <w:szCs w:val="22"/>
          <w:lang w:val="sr-Latn-RS"/>
        </w:rPr>
      </w:pPr>
      <w:r w:rsidRPr="00E43CDC">
        <w:rPr>
          <w:color w:val="212121"/>
          <w:szCs w:val="22"/>
          <w:shd w:val="clear" w:color="auto" w:fill="FFFFFF"/>
          <w:lang w:val="sr-Latn-RS"/>
        </w:rPr>
        <w:t xml:space="preserve">Pri </w:t>
      </w:r>
      <w:r w:rsidR="00F15505" w:rsidRPr="00E43CDC">
        <w:rPr>
          <w:color w:val="212121"/>
          <w:szCs w:val="22"/>
          <w:shd w:val="clear" w:color="auto" w:fill="FFFFFF"/>
          <w:lang w:val="sr-Latn-RS"/>
        </w:rPr>
        <w:t>istovremen</w:t>
      </w:r>
      <w:r w:rsidRPr="00E43CDC">
        <w:rPr>
          <w:color w:val="212121"/>
          <w:szCs w:val="22"/>
          <w:shd w:val="clear" w:color="auto" w:fill="FFFFFF"/>
          <w:lang w:val="sr-Latn-RS"/>
        </w:rPr>
        <w:t>oj</w:t>
      </w:r>
      <w:r w:rsidR="00F15505" w:rsidRPr="00E43CDC">
        <w:rPr>
          <w:color w:val="212121"/>
          <w:szCs w:val="22"/>
          <w:shd w:val="clear" w:color="auto" w:fill="FFFFFF"/>
          <w:lang w:val="sr-Latn-RS"/>
        </w:rPr>
        <w:t xml:space="preserve"> primjen</w:t>
      </w:r>
      <w:r w:rsidRPr="00E43CDC">
        <w:rPr>
          <w:color w:val="212121"/>
          <w:szCs w:val="22"/>
          <w:shd w:val="clear" w:color="auto" w:fill="FFFFFF"/>
          <w:lang w:val="sr-Latn-RS"/>
        </w:rPr>
        <w:t>i</w:t>
      </w:r>
      <w:r w:rsidR="00F15505" w:rsidRPr="00E43CDC">
        <w:rPr>
          <w:color w:val="212121"/>
          <w:szCs w:val="22"/>
          <w:shd w:val="clear" w:color="auto" w:fill="FFFFFF"/>
          <w:lang w:val="sr-Latn-RS"/>
        </w:rPr>
        <w:t xml:space="preserve"> poznatih induktora CYP3A4, koncentracija amlodipina u plazmi može s</w:t>
      </w:r>
      <w:r w:rsidRPr="00E43CDC">
        <w:rPr>
          <w:color w:val="212121"/>
          <w:szCs w:val="22"/>
          <w:shd w:val="clear" w:color="auto" w:fill="FFFFFF"/>
          <w:lang w:val="sr-Latn-RS"/>
        </w:rPr>
        <w:t>e razlikovati</w:t>
      </w:r>
      <w:r w:rsidR="00F15505" w:rsidRPr="00E43CDC">
        <w:rPr>
          <w:color w:val="212121"/>
          <w:szCs w:val="22"/>
          <w:shd w:val="clear" w:color="auto" w:fill="FFFFFF"/>
          <w:lang w:val="sr-Latn-RS"/>
        </w:rPr>
        <w:t>. Stoga</w:t>
      </w:r>
      <w:r w:rsidRPr="00E43CDC">
        <w:rPr>
          <w:color w:val="212121"/>
          <w:szCs w:val="22"/>
          <w:shd w:val="clear" w:color="auto" w:fill="FFFFFF"/>
          <w:lang w:val="sr-Latn-RS"/>
        </w:rPr>
        <w:t xml:space="preserve"> je potrebno pratiti</w:t>
      </w:r>
      <w:r w:rsidR="00F15505" w:rsidRPr="00E43CDC">
        <w:rPr>
          <w:color w:val="212121"/>
          <w:szCs w:val="22"/>
          <w:shd w:val="clear" w:color="auto" w:fill="FFFFFF"/>
          <w:lang w:val="sr-Latn-RS"/>
        </w:rPr>
        <w:t xml:space="preserve"> krvni pritisak i prilagoditi dozu i tokom i nakon istovremenog liječenja, naročito kod jakih induktora CYP3A4 (npr. rifampicin, </w:t>
      </w:r>
      <w:r w:rsidRPr="00E43CDC">
        <w:rPr>
          <w:i/>
          <w:color w:val="212121"/>
          <w:szCs w:val="22"/>
          <w:shd w:val="clear" w:color="auto" w:fill="FFFFFF"/>
          <w:lang w:val="sr-Latn-RS"/>
        </w:rPr>
        <w:t>H</w:t>
      </w:r>
      <w:r w:rsidR="00F15505" w:rsidRPr="00E43CDC">
        <w:rPr>
          <w:i/>
          <w:color w:val="212121"/>
          <w:szCs w:val="22"/>
          <w:shd w:val="clear" w:color="auto" w:fill="FFFFFF"/>
          <w:lang w:val="sr-Latn-RS"/>
        </w:rPr>
        <w:t>ypericum perforatum</w:t>
      </w:r>
      <w:r w:rsidR="00F15505" w:rsidRPr="00E43CDC">
        <w:rPr>
          <w:color w:val="212121"/>
          <w:szCs w:val="22"/>
          <w:shd w:val="clear" w:color="auto" w:fill="FFFFFF"/>
          <w:lang w:val="sr-Latn-RS"/>
        </w:rPr>
        <w:t>).</w:t>
      </w:r>
    </w:p>
    <w:p w14:paraId="70F6E513" w14:textId="77777777" w:rsidR="007006F4" w:rsidRPr="00E43CDC" w:rsidRDefault="007006F4" w:rsidP="00CB0A81">
      <w:pPr>
        <w:numPr>
          <w:ilvl w:val="12"/>
          <w:numId w:val="0"/>
        </w:numPr>
        <w:tabs>
          <w:tab w:val="clear" w:pos="567"/>
          <w:tab w:val="left" w:pos="8505"/>
        </w:tabs>
        <w:spacing w:line="240" w:lineRule="auto"/>
        <w:ind w:right="-2"/>
        <w:jc w:val="both"/>
        <w:rPr>
          <w:szCs w:val="22"/>
          <w:lang w:val="sr-Latn-RS"/>
        </w:rPr>
      </w:pPr>
    </w:p>
    <w:p w14:paraId="4ABF0DED" w14:textId="4C6C5F58" w:rsidR="007006F4" w:rsidRPr="00E43CDC" w:rsidRDefault="00F15505" w:rsidP="00CB0A81">
      <w:pPr>
        <w:numPr>
          <w:ilvl w:val="12"/>
          <w:numId w:val="0"/>
        </w:numPr>
        <w:tabs>
          <w:tab w:val="clear" w:pos="567"/>
          <w:tab w:val="left" w:pos="8505"/>
        </w:tabs>
        <w:spacing w:line="240" w:lineRule="auto"/>
        <w:ind w:right="-2"/>
        <w:jc w:val="both"/>
        <w:rPr>
          <w:szCs w:val="22"/>
          <w:lang w:val="sr-Latn-RS"/>
        </w:rPr>
      </w:pPr>
      <w:r w:rsidRPr="00E43CDC">
        <w:rPr>
          <w:szCs w:val="22"/>
          <w:lang w:val="sr-Latn-RS"/>
        </w:rPr>
        <w:t>Primjena amlodipina s grejpfrutom ili sokom od grejpfruta se ne preporučuje jer to može dovesti do povećane bioraspoloživosti amlodipina kod nekih pacijenata i posljedično do pojačanog uticaja na sniž</w:t>
      </w:r>
      <w:r w:rsidR="00D93CE3" w:rsidRPr="00E43CDC">
        <w:rPr>
          <w:szCs w:val="22"/>
          <w:lang w:val="sr-Latn-RS"/>
        </w:rPr>
        <w:t>avanje</w:t>
      </w:r>
      <w:r w:rsidRPr="00E43CDC">
        <w:rPr>
          <w:szCs w:val="22"/>
          <w:lang w:val="sr-Latn-RS"/>
        </w:rPr>
        <w:t xml:space="preserve"> krvnog pritiska.</w:t>
      </w:r>
    </w:p>
    <w:p w14:paraId="1E861909" w14:textId="77777777" w:rsidR="007006F4" w:rsidRPr="00E43CDC" w:rsidRDefault="007006F4" w:rsidP="00CB0A81">
      <w:pPr>
        <w:numPr>
          <w:ilvl w:val="12"/>
          <w:numId w:val="0"/>
        </w:numPr>
        <w:tabs>
          <w:tab w:val="clear" w:pos="567"/>
          <w:tab w:val="left" w:pos="8505"/>
        </w:tabs>
        <w:spacing w:line="240" w:lineRule="auto"/>
        <w:ind w:right="-2"/>
        <w:jc w:val="both"/>
        <w:rPr>
          <w:i/>
          <w:szCs w:val="22"/>
          <w:lang w:val="sr-Latn-RS"/>
        </w:rPr>
      </w:pPr>
    </w:p>
    <w:p w14:paraId="197B433E" w14:textId="77777777" w:rsidR="007006F4" w:rsidRPr="00E43CDC" w:rsidRDefault="00F15505" w:rsidP="00CB0A81">
      <w:pPr>
        <w:numPr>
          <w:ilvl w:val="12"/>
          <w:numId w:val="0"/>
        </w:numPr>
        <w:tabs>
          <w:tab w:val="clear" w:pos="567"/>
          <w:tab w:val="left" w:pos="8505"/>
        </w:tabs>
        <w:spacing w:line="240" w:lineRule="auto"/>
        <w:ind w:right="-2"/>
        <w:jc w:val="both"/>
        <w:rPr>
          <w:szCs w:val="22"/>
          <w:lang w:val="sr-Latn-RS"/>
        </w:rPr>
      </w:pPr>
      <w:r w:rsidRPr="00E43CDC">
        <w:rPr>
          <w:i/>
          <w:szCs w:val="22"/>
          <w:lang w:val="sr-Latn-RS"/>
        </w:rPr>
        <w:t>Dantrolen (infuzija):</w:t>
      </w:r>
      <w:r w:rsidRPr="00E43CDC">
        <w:rPr>
          <w:szCs w:val="22"/>
          <w:lang w:val="sr-Latn-RS"/>
        </w:rPr>
        <w:t xml:space="preserve"> </w:t>
      </w:r>
    </w:p>
    <w:p w14:paraId="28CF5440" w14:textId="77777777" w:rsidR="007006F4" w:rsidRPr="00E43CDC" w:rsidRDefault="00F15505" w:rsidP="00CB0A81">
      <w:pPr>
        <w:numPr>
          <w:ilvl w:val="12"/>
          <w:numId w:val="0"/>
        </w:numPr>
        <w:tabs>
          <w:tab w:val="clear" w:pos="567"/>
          <w:tab w:val="left" w:pos="8505"/>
        </w:tabs>
        <w:spacing w:line="240" w:lineRule="auto"/>
        <w:ind w:right="-2"/>
        <w:jc w:val="both"/>
        <w:rPr>
          <w:szCs w:val="22"/>
          <w:lang w:val="sr-Latn-RS"/>
        </w:rPr>
      </w:pPr>
      <w:r w:rsidRPr="00E43CDC">
        <w:rPr>
          <w:szCs w:val="22"/>
          <w:lang w:val="sr-Latn-RS"/>
        </w:rPr>
        <w:t>Nakon primjene verapamila i intravenoskog dantrolena kod životinja su zapažene letalne ventrikularne fibrilacije i kardiovaskularni kolaps povezani sa hiperkalijemijom. Zbog opasnosti od hiperkalijemije, preporučuje se izbjegavanje istovremene primjene blokatora kalcijumskih kanala kao što je amlodipin kod pacijenata koji su skloni razvoju maligne hipertermije, kao i u terapiji zbrinjavanja maligne hipertermije.</w:t>
      </w:r>
    </w:p>
    <w:p w14:paraId="34DFF3F7" w14:textId="77777777" w:rsidR="007006F4" w:rsidRPr="00E43CDC" w:rsidRDefault="007006F4" w:rsidP="00CB0A81">
      <w:pPr>
        <w:tabs>
          <w:tab w:val="clear" w:pos="567"/>
        </w:tabs>
        <w:spacing w:line="240" w:lineRule="auto"/>
        <w:jc w:val="both"/>
        <w:rPr>
          <w:szCs w:val="22"/>
          <w:lang w:val="sr-Latn-RS"/>
        </w:rPr>
      </w:pPr>
    </w:p>
    <w:p w14:paraId="0E9F26F8" w14:textId="77777777" w:rsidR="007006F4" w:rsidRPr="00E43CDC" w:rsidRDefault="00F15505" w:rsidP="00CB0A81">
      <w:pPr>
        <w:tabs>
          <w:tab w:val="clear" w:pos="567"/>
        </w:tabs>
        <w:spacing w:line="240" w:lineRule="auto"/>
        <w:jc w:val="both"/>
        <w:rPr>
          <w:szCs w:val="22"/>
          <w:u w:val="single"/>
          <w:lang w:val="sr-Latn-RS"/>
        </w:rPr>
      </w:pPr>
      <w:r w:rsidRPr="00E43CDC">
        <w:rPr>
          <w:szCs w:val="22"/>
          <w:u w:val="single"/>
          <w:lang w:val="sr-Latn-RS"/>
        </w:rPr>
        <w:t>Dejstvo amlodipina na druge ljekove</w:t>
      </w:r>
    </w:p>
    <w:p w14:paraId="0AA6C293" w14:textId="77777777" w:rsidR="007006F4" w:rsidRPr="00E43CDC" w:rsidRDefault="007006F4" w:rsidP="00CB0A81">
      <w:pPr>
        <w:tabs>
          <w:tab w:val="clear" w:pos="567"/>
        </w:tabs>
        <w:spacing w:line="240" w:lineRule="auto"/>
        <w:jc w:val="both"/>
        <w:rPr>
          <w:i/>
          <w:szCs w:val="22"/>
          <w:lang w:val="sr-Latn-RS"/>
        </w:rPr>
      </w:pPr>
    </w:p>
    <w:p w14:paraId="3A834A02" w14:textId="77777777" w:rsidR="007006F4" w:rsidRPr="00E43CDC" w:rsidRDefault="00F15505" w:rsidP="00CB0A81">
      <w:pPr>
        <w:tabs>
          <w:tab w:val="clear" w:pos="567"/>
        </w:tabs>
        <w:spacing w:line="240" w:lineRule="auto"/>
        <w:jc w:val="both"/>
        <w:rPr>
          <w:szCs w:val="22"/>
          <w:lang w:val="sr-Latn-RS"/>
        </w:rPr>
      </w:pPr>
      <w:r w:rsidRPr="00E43CDC">
        <w:rPr>
          <w:szCs w:val="22"/>
          <w:lang w:val="sr-Latn-RS"/>
        </w:rPr>
        <w:t>Efekti amlodipina na snižavanje krvnog pritiska doprinose efektima na sniženje krvnog pritiska drugih antihipertenzivnih ljekova.</w:t>
      </w:r>
    </w:p>
    <w:p w14:paraId="59BB08F0" w14:textId="77777777" w:rsidR="007006F4" w:rsidRPr="00E43CDC" w:rsidRDefault="007006F4" w:rsidP="00CB0A81">
      <w:pPr>
        <w:tabs>
          <w:tab w:val="clear" w:pos="567"/>
        </w:tabs>
        <w:spacing w:line="240" w:lineRule="auto"/>
        <w:jc w:val="both"/>
        <w:rPr>
          <w:szCs w:val="22"/>
          <w:lang w:val="sr-Latn-RS"/>
        </w:rPr>
      </w:pPr>
    </w:p>
    <w:p w14:paraId="7752D3B3" w14:textId="77777777" w:rsidR="007006F4" w:rsidRPr="00E43CDC" w:rsidRDefault="00F15505" w:rsidP="00CB0A81">
      <w:pPr>
        <w:tabs>
          <w:tab w:val="clear" w:pos="567"/>
        </w:tabs>
        <w:spacing w:line="240" w:lineRule="auto"/>
        <w:jc w:val="both"/>
        <w:rPr>
          <w:i/>
          <w:color w:val="212121"/>
          <w:szCs w:val="22"/>
          <w:shd w:val="clear" w:color="auto" w:fill="FFFFFF"/>
          <w:lang w:val="sr-Latn-RS"/>
        </w:rPr>
      </w:pPr>
      <w:r w:rsidRPr="00E43CDC">
        <w:rPr>
          <w:i/>
          <w:color w:val="212121"/>
          <w:szCs w:val="22"/>
          <w:shd w:val="clear" w:color="auto" w:fill="FFFFFF"/>
          <w:lang w:val="sr-Latn-RS"/>
        </w:rPr>
        <w:t>Takrolimus:</w:t>
      </w:r>
    </w:p>
    <w:p w14:paraId="3F90652D" w14:textId="57C3049D" w:rsidR="007006F4" w:rsidRPr="00E43CDC" w:rsidRDefault="00F15505" w:rsidP="00CB0A81">
      <w:pPr>
        <w:tabs>
          <w:tab w:val="clear" w:pos="567"/>
        </w:tabs>
        <w:spacing w:line="240" w:lineRule="auto"/>
        <w:jc w:val="both"/>
        <w:rPr>
          <w:color w:val="212121"/>
          <w:szCs w:val="22"/>
          <w:shd w:val="clear" w:color="auto" w:fill="FFFFFF"/>
          <w:lang w:val="sr-Latn-RS"/>
        </w:rPr>
      </w:pPr>
      <w:r w:rsidRPr="00E43CDC">
        <w:rPr>
          <w:color w:val="212121"/>
          <w:szCs w:val="22"/>
          <w:shd w:val="clear" w:color="auto" w:fill="FFFFFF"/>
          <w:lang w:val="sr-Latn-RS"/>
        </w:rPr>
        <w:t xml:space="preserve">Kod istovremene primjene takrolimusa i amlodipina postoji rizik od povećanja koncentracije takrolimusa u krvi, mada farmakokinetički mehanizam ove interakcije nije u potpunosti razjašnjen. Kako bi se izbjegla toksičnost takrolimusa, prilikom primjene amlodipina kod pacijenata koji su na terapiji takrolimusom </w:t>
      </w:r>
      <w:r w:rsidR="00D93CE3" w:rsidRPr="00E43CDC">
        <w:rPr>
          <w:color w:val="212121"/>
          <w:szCs w:val="22"/>
          <w:shd w:val="clear" w:color="auto" w:fill="FFFFFF"/>
          <w:lang w:val="sr-Latn-RS"/>
        </w:rPr>
        <w:t>zahtijeva praćenje</w:t>
      </w:r>
      <w:r w:rsidRPr="00E43CDC">
        <w:rPr>
          <w:color w:val="212121"/>
          <w:szCs w:val="22"/>
          <w:shd w:val="clear" w:color="auto" w:fill="FFFFFF"/>
          <w:lang w:val="sr-Latn-RS"/>
        </w:rPr>
        <w:t xml:space="preserve"> koncentracij</w:t>
      </w:r>
      <w:r w:rsidR="00D93CE3" w:rsidRPr="00E43CDC">
        <w:rPr>
          <w:color w:val="212121"/>
          <w:szCs w:val="22"/>
          <w:shd w:val="clear" w:color="auto" w:fill="FFFFFF"/>
          <w:lang w:val="sr-Latn-RS"/>
        </w:rPr>
        <w:t>e</w:t>
      </w:r>
      <w:r w:rsidRPr="00E43CDC">
        <w:rPr>
          <w:color w:val="212121"/>
          <w:szCs w:val="22"/>
          <w:shd w:val="clear" w:color="auto" w:fill="FFFFFF"/>
          <w:lang w:val="sr-Latn-RS"/>
        </w:rPr>
        <w:t xml:space="preserve"> takrolimusa u krvi i prilago</w:t>
      </w:r>
      <w:r w:rsidR="00D93CE3" w:rsidRPr="00E43CDC">
        <w:rPr>
          <w:color w:val="212121"/>
          <w:szCs w:val="22"/>
          <w:shd w:val="clear" w:color="auto" w:fill="FFFFFF"/>
          <w:lang w:val="sr-Latn-RS"/>
        </w:rPr>
        <w:t>đavanje</w:t>
      </w:r>
      <w:r w:rsidRPr="00E43CDC">
        <w:rPr>
          <w:color w:val="212121"/>
          <w:szCs w:val="22"/>
          <w:shd w:val="clear" w:color="auto" w:fill="FFFFFF"/>
          <w:lang w:val="sr-Latn-RS"/>
        </w:rPr>
        <w:t xml:space="preserve"> doze takrolimusa kada je to potrebno.</w:t>
      </w:r>
    </w:p>
    <w:p w14:paraId="21863F99" w14:textId="77777777" w:rsidR="007006F4" w:rsidRPr="00E43CDC" w:rsidRDefault="007006F4" w:rsidP="00CB0A81">
      <w:pPr>
        <w:tabs>
          <w:tab w:val="clear" w:pos="567"/>
        </w:tabs>
        <w:spacing w:line="240" w:lineRule="auto"/>
        <w:jc w:val="both"/>
        <w:rPr>
          <w:szCs w:val="22"/>
          <w:lang w:val="sr-Latn-RS"/>
        </w:rPr>
      </w:pPr>
    </w:p>
    <w:p w14:paraId="364298AA" w14:textId="77777777" w:rsidR="00A32260" w:rsidRPr="00E43CDC" w:rsidRDefault="00A32260" w:rsidP="00CB0A81">
      <w:pPr>
        <w:tabs>
          <w:tab w:val="clear" w:pos="567"/>
        </w:tabs>
        <w:spacing w:line="240" w:lineRule="auto"/>
        <w:jc w:val="both"/>
        <w:rPr>
          <w:i/>
          <w:szCs w:val="22"/>
          <w:lang w:val="sr-Latn-RS"/>
        </w:rPr>
      </w:pPr>
      <w:r w:rsidRPr="00E43CDC">
        <w:rPr>
          <w:i/>
          <w:szCs w:val="22"/>
          <w:lang w:val="sr-Latn-RS"/>
        </w:rPr>
        <w:t>Klaritromicin</w:t>
      </w:r>
    </w:p>
    <w:p w14:paraId="33E7818F" w14:textId="6F94CD01" w:rsidR="007006F4" w:rsidRPr="00E43CDC" w:rsidRDefault="00F15505" w:rsidP="00CB0A81">
      <w:pPr>
        <w:tabs>
          <w:tab w:val="clear" w:pos="567"/>
        </w:tabs>
        <w:spacing w:line="240" w:lineRule="auto"/>
        <w:jc w:val="both"/>
        <w:rPr>
          <w:szCs w:val="22"/>
          <w:lang w:val="sr-Latn-RS"/>
        </w:rPr>
      </w:pPr>
      <w:r w:rsidRPr="00E43CDC">
        <w:rPr>
          <w:szCs w:val="22"/>
          <w:lang w:val="sr-Latn-RS"/>
        </w:rPr>
        <w:t xml:space="preserve">Lijek klaritromicin je inhibitor CYP3A4. Postoji povećan rizik od hipotenzije kod pacijenata koji istovremeno koriste klaritromicin i amlodipin. Preporučuje se pažljivo praćenje pacijenata ukoliko </w:t>
      </w:r>
      <w:r w:rsidR="00EE22CC" w:rsidRPr="00E43CDC">
        <w:rPr>
          <w:szCs w:val="22"/>
          <w:lang w:val="sr-Latn-RS"/>
        </w:rPr>
        <w:t xml:space="preserve">istovremeno </w:t>
      </w:r>
      <w:r w:rsidRPr="00E43CDC">
        <w:rPr>
          <w:szCs w:val="22"/>
          <w:lang w:val="sr-Latn-RS"/>
        </w:rPr>
        <w:t>koriste ova dva lijeka.</w:t>
      </w:r>
    </w:p>
    <w:p w14:paraId="53620F95" w14:textId="77777777" w:rsidR="007006F4" w:rsidRPr="00E43CDC" w:rsidRDefault="007006F4" w:rsidP="00CB0A81">
      <w:pPr>
        <w:tabs>
          <w:tab w:val="clear" w:pos="567"/>
        </w:tabs>
        <w:spacing w:line="240" w:lineRule="auto"/>
        <w:jc w:val="both"/>
        <w:rPr>
          <w:szCs w:val="22"/>
          <w:lang w:val="sr-Latn-RS"/>
        </w:rPr>
      </w:pPr>
    </w:p>
    <w:p w14:paraId="73FCAFA7" w14:textId="3A8994A0" w:rsidR="007006F4" w:rsidRPr="00E43CDC" w:rsidRDefault="00C142DC" w:rsidP="00CB0A81">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12121"/>
          <w:szCs w:val="22"/>
          <w:lang w:val="sr-Latn-RS" w:eastAsia="sr-Latn-RS"/>
        </w:rPr>
      </w:pPr>
      <w:r w:rsidRPr="00E43CDC">
        <w:rPr>
          <w:i/>
          <w:color w:val="212121"/>
          <w:szCs w:val="22"/>
          <w:lang w:val="sr-Latn-RS" w:eastAsia="sr-Latn-RS"/>
        </w:rPr>
        <w:t xml:space="preserve">Inhibitori ciljnog molekula rapamicina kod sisara </w:t>
      </w:r>
      <w:r w:rsidR="00F15505" w:rsidRPr="00E43CDC">
        <w:rPr>
          <w:i/>
          <w:color w:val="212121"/>
          <w:szCs w:val="22"/>
          <w:lang w:val="sr-Latn-RS" w:eastAsia="sr-Latn-RS"/>
        </w:rPr>
        <w:t>(</w:t>
      </w:r>
      <w:r w:rsidRPr="00E43CDC">
        <w:rPr>
          <w:szCs w:val="22"/>
          <w:lang w:val="sr-Latn-RS"/>
        </w:rPr>
        <w:t xml:space="preserve"> </w:t>
      </w:r>
      <w:r w:rsidRPr="00E43CDC">
        <w:rPr>
          <w:i/>
          <w:szCs w:val="22"/>
          <w:lang w:val="sr-Latn-RS"/>
        </w:rPr>
        <w:t>e</w:t>
      </w:r>
      <w:r w:rsidRPr="00E43CDC">
        <w:rPr>
          <w:i/>
          <w:color w:val="212121"/>
          <w:szCs w:val="22"/>
          <w:lang w:val="sr-Latn-RS" w:eastAsia="sr-Latn-RS"/>
        </w:rPr>
        <w:t xml:space="preserve">ngl. mammalian/mechanistic target of rapamycin, </w:t>
      </w:r>
      <w:r w:rsidR="00F15505" w:rsidRPr="00E43CDC">
        <w:rPr>
          <w:i/>
          <w:color w:val="212121"/>
          <w:szCs w:val="22"/>
          <w:lang w:val="sr-Latn-RS" w:eastAsia="sr-Latn-RS"/>
        </w:rPr>
        <w:t>mTOR):</w:t>
      </w:r>
      <w:r w:rsidR="00F15505" w:rsidRPr="00E43CDC">
        <w:rPr>
          <w:color w:val="212121"/>
          <w:szCs w:val="22"/>
          <w:lang w:val="sr-Latn-RS" w:eastAsia="sr-Latn-RS"/>
        </w:rPr>
        <w:t xml:space="preserve"> </w:t>
      </w:r>
    </w:p>
    <w:p w14:paraId="3FEB826B" w14:textId="4B17A24E" w:rsidR="007006F4" w:rsidRPr="00E43CDC" w:rsidRDefault="00F15505" w:rsidP="00CB0A81">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12121"/>
          <w:szCs w:val="22"/>
          <w:lang w:val="sr-Latn-RS" w:eastAsia="sr-Latn-RS"/>
        </w:rPr>
      </w:pPr>
      <w:r w:rsidRPr="00E43CDC">
        <w:rPr>
          <w:color w:val="212121"/>
          <w:szCs w:val="22"/>
          <w:lang w:val="sr-Latn-RS" w:eastAsia="sr-Latn-RS"/>
        </w:rPr>
        <w:t>Inhibitori mTOR kao što su sirolimus, temsirolimus i everolimus su supstrati CYP3A. Amlodipin je slab inhibitor CYP3A. Kod istovremene primjene inhibitora mTOR, amlodipin može povećati izloženost inhibitor</w:t>
      </w:r>
      <w:r w:rsidR="00C142DC" w:rsidRPr="00E43CDC">
        <w:rPr>
          <w:color w:val="212121"/>
          <w:szCs w:val="22"/>
          <w:lang w:val="sr-Latn-RS" w:eastAsia="sr-Latn-RS"/>
        </w:rPr>
        <w:t>ima</w:t>
      </w:r>
      <w:r w:rsidRPr="00E43CDC">
        <w:rPr>
          <w:color w:val="212121"/>
          <w:szCs w:val="22"/>
          <w:lang w:val="sr-Latn-RS" w:eastAsia="sr-Latn-RS"/>
        </w:rPr>
        <w:t xml:space="preserve"> mTOR.</w:t>
      </w:r>
    </w:p>
    <w:p w14:paraId="48F71A50" w14:textId="77777777" w:rsidR="007006F4" w:rsidRPr="00E43CDC" w:rsidRDefault="007006F4" w:rsidP="00CB0A81">
      <w:pPr>
        <w:tabs>
          <w:tab w:val="clear" w:pos="567"/>
        </w:tabs>
        <w:spacing w:line="240" w:lineRule="auto"/>
        <w:jc w:val="both"/>
        <w:rPr>
          <w:szCs w:val="22"/>
          <w:lang w:val="sr-Latn-RS"/>
        </w:rPr>
      </w:pPr>
    </w:p>
    <w:p w14:paraId="4AB947ED" w14:textId="77777777" w:rsidR="007006F4" w:rsidRPr="00E43CDC" w:rsidRDefault="00F15505" w:rsidP="00CB0A81">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12121"/>
          <w:szCs w:val="22"/>
          <w:lang w:val="sr-Latn-RS" w:eastAsia="sr-Latn-RS"/>
        </w:rPr>
      </w:pPr>
      <w:r w:rsidRPr="00E43CDC">
        <w:rPr>
          <w:i/>
          <w:color w:val="212121"/>
          <w:szCs w:val="22"/>
          <w:lang w:val="sr-Latn-RS" w:eastAsia="sr-Latn-RS"/>
        </w:rPr>
        <w:t>Ciklosporin:</w:t>
      </w:r>
    </w:p>
    <w:p w14:paraId="41093945" w14:textId="64BA5E8E" w:rsidR="007006F4" w:rsidRPr="00E43CDC" w:rsidRDefault="00F15505" w:rsidP="00CB0A81">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12121"/>
          <w:szCs w:val="22"/>
          <w:lang w:val="sr-Latn-RS" w:eastAsia="sr-Latn-RS"/>
        </w:rPr>
      </w:pPr>
      <w:r w:rsidRPr="00E43CDC">
        <w:rPr>
          <w:color w:val="212121"/>
          <w:szCs w:val="22"/>
          <w:lang w:val="sr-Latn-RS" w:eastAsia="sr-Latn-RS"/>
        </w:rPr>
        <w:t>Nijesu sprovedena ispitivanja interakcija između ​​ciklosporina i amlodipina kod zdravih dobrovoljaca ili drugih populacija osim kod pacijenata kod kojih je izvršena transplantacija bubrega, gdje je primijećeno varijabilno povećanje koncentracija ciklosporina  (u prosjeku 0% - 40%). Potrebno je razmotriti praćenje koncentracije ciklosporina kod pacijenata na amlodipinu kod kojih je izvršena transplantacija bubrega, a po potrebi smanjiti dozu ciklosporina.</w:t>
      </w:r>
    </w:p>
    <w:p w14:paraId="19E6F4AB" w14:textId="77777777" w:rsidR="007006F4" w:rsidRPr="00E43CDC" w:rsidRDefault="007006F4" w:rsidP="00CB0A81">
      <w:pPr>
        <w:tabs>
          <w:tab w:val="clear" w:pos="567"/>
        </w:tabs>
        <w:spacing w:line="240" w:lineRule="auto"/>
        <w:jc w:val="both"/>
        <w:rPr>
          <w:szCs w:val="22"/>
          <w:lang w:val="sr-Latn-RS"/>
        </w:rPr>
      </w:pPr>
    </w:p>
    <w:p w14:paraId="4C450D7A" w14:textId="77777777" w:rsidR="007006F4" w:rsidRPr="00E43CDC" w:rsidRDefault="00F15505" w:rsidP="00CB0A81">
      <w:pPr>
        <w:numPr>
          <w:ilvl w:val="12"/>
          <w:numId w:val="0"/>
        </w:numPr>
        <w:tabs>
          <w:tab w:val="clear" w:pos="567"/>
          <w:tab w:val="left" w:pos="8505"/>
        </w:tabs>
        <w:spacing w:line="240" w:lineRule="auto"/>
        <w:ind w:right="-2"/>
        <w:jc w:val="both"/>
        <w:rPr>
          <w:szCs w:val="22"/>
          <w:lang w:val="sr-Latn-RS"/>
        </w:rPr>
      </w:pPr>
      <w:r w:rsidRPr="00E43CDC">
        <w:rPr>
          <w:i/>
          <w:szCs w:val="22"/>
          <w:lang w:val="sr-Latn-RS"/>
        </w:rPr>
        <w:t>Simvastatin:</w:t>
      </w:r>
      <w:r w:rsidRPr="00E43CDC">
        <w:rPr>
          <w:szCs w:val="22"/>
          <w:lang w:val="sr-Latn-RS"/>
        </w:rPr>
        <w:t xml:space="preserve"> </w:t>
      </w:r>
    </w:p>
    <w:p w14:paraId="1022D47E" w14:textId="77777777" w:rsidR="007006F4" w:rsidRPr="00E43CDC" w:rsidRDefault="00F15505" w:rsidP="00CB0A81">
      <w:pPr>
        <w:numPr>
          <w:ilvl w:val="12"/>
          <w:numId w:val="0"/>
        </w:numPr>
        <w:tabs>
          <w:tab w:val="clear" w:pos="567"/>
          <w:tab w:val="left" w:pos="8505"/>
        </w:tabs>
        <w:spacing w:line="240" w:lineRule="auto"/>
        <w:ind w:right="-2"/>
        <w:jc w:val="both"/>
        <w:rPr>
          <w:szCs w:val="22"/>
          <w:lang w:val="sr-Latn-RS"/>
        </w:rPr>
      </w:pPr>
      <w:r w:rsidRPr="00E43CDC">
        <w:rPr>
          <w:szCs w:val="22"/>
          <w:lang w:val="sr-Latn-RS"/>
        </w:rPr>
        <w:t>Istovremena primjena ponovljenih doza amlodipina od 10 mg i simvastatina od 80 mg dovela je do povećanja izloženosti simvastatinu od 77% u odnosu na primjenu samo simvastatina. Kod pacijenata koji primjenjuju amlodipin dozu simvastatina treba ograničiti na 20 mg dnevno.</w:t>
      </w:r>
    </w:p>
    <w:p w14:paraId="233EB114" w14:textId="77777777" w:rsidR="007006F4" w:rsidRPr="00E43CDC" w:rsidRDefault="007006F4" w:rsidP="00CB0A81">
      <w:pPr>
        <w:tabs>
          <w:tab w:val="clear" w:pos="567"/>
        </w:tabs>
        <w:spacing w:line="240" w:lineRule="auto"/>
        <w:jc w:val="both"/>
        <w:rPr>
          <w:szCs w:val="22"/>
          <w:lang w:val="sr-Latn-RS"/>
        </w:rPr>
      </w:pPr>
    </w:p>
    <w:p w14:paraId="371C14CC" w14:textId="77777777" w:rsidR="007006F4" w:rsidRPr="00E43CDC" w:rsidRDefault="00F15505" w:rsidP="00CB0A81">
      <w:pPr>
        <w:numPr>
          <w:ilvl w:val="12"/>
          <w:numId w:val="0"/>
        </w:numPr>
        <w:tabs>
          <w:tab w:val="clear" w:pos="567"/>
          <w:tab w:val="left" w:pos="8505"/>
        </w:tabs>
        <w:spacing w:line="240" w:lineRule="auto"/>
        <w:ind w:right="-2"/>
        <w:jc w:val="both"/>
        <w:rPr>
          <w:szCs w:val="22"/>
          <w:lang w:val="sr-Latn-RS"/>
        </w:rPr>
      </w:pPr>
      <w:r w:rsidRPr="00E43CDC">
        <w:rPr>
          <w:szCs w:val="22"/>
          <w:lang w:val="sr-Latn-RS"/>
        </w:rPr>
        <w:t>U kliničkim ispitivanjima interakcije ljekova, amlodipin nije uticao na farmakokinetiku atorvastatina, digoksina, varfarina ili ciklosporina.</w:t>
      </w:r>
    </w:p>
    <w:p w14:paraId="4B56A95B" w14:textId="77777777" w:rsidR="007006F4" w:rsidRPr="00E43CDC" w:rsidRDefault="007006F4" w:rsidP="00CB0A81">
      <w:pPr>
        <w:tabs>
          <w:tab w:val="left" w:pos="540"/>
        </w:tabs>
        <w:spacing w:line="240" w:lineRule="auto"/>
        <w:jc w:val="both"/>
        <w:rPr>
          <w:bCs/>
          <w:szCs w:val="22"/>
          <w:lang w:val="sr-Latn-RS"/>
        </w:rPr>
      </w:pPr>
    </w:p>
    <w:p w14:paraId="56ABDA54" w14:textId="77777777" w:rsidR="007006F4" w:rsidRPr="00E43CDC" w:rsidRDefault="00F15505" w:rsidP="00CB0A81">
      <w:pPr>
        <w:tabs>
          <w:tab w:val="left" w:pos="540"/>
        </w:tabs>
        <w:spacing w:line="240" w:lineRule="auto"/>
        <w:jc w:val="both"/>
        <w:rPr>
          <w:b/>
          <w:szCs w:val="22"/>
          <w:lang w:val="sr-Latn-RS"/>
        </w:rPr>
      </w:pPr>
      <w:r w:rsidRPr="00E43CDC">
        <w:rPr>
          <w:b/>
          <w:bCs/>
          <w:szCs w:val="22"/>
          <w:lang w:val="sr-Latn-RS"/>
        </w:rPr>
        <w:t xml:space="preserve">4.6. </w:t>
      </w:r>
      <w:r w:rsidRPr="00E43CDC">
        <w:rPr>
          <w:b/>
          <w:bCs/>
          <w:szCs w:val="22"/>
          <w:lang w:val="sr-Latn-RS"/>
        </w:rPr>
        <w:tab/>
      </w:r>
      <w:r w:rsidRPr="00E43CDC">
        <w:rPr>
          <w:b/>
          <w:szCs w:val="22"/>
          <w:lang w:val="sr-Latn-RS"/>
        </w:rPr>
        <w:t>Plodnost, trudnoća i dojenje</w:t>
      </w:r>
    </w:p>
    <w:p w14:paraId="19E3B34B" w14:textId="77777777" w:rsidR="007006F4" w:rsidRPr="00E43CDC" w:rsidRDefault="007006F4" w:rsidP="00CB0A81">
      <w:pPr>
        <w:tabs>
          <w:tab w:val="left" w:pos="540"/>
        </w:tabs>
        <w:spacing w:line="240" w:lineRule="auto"/>
        <w:jc w:val="both"/>
        <w:rPr>
          <w:szCs w:val="22"/>
          <w:u w:val="single"/>
          <w:lang w:val="sr-Latn-RS"/>
        </w:rPr>
      </w:pPr>
    </w:p>
    <w:p w14:paraId="7B7AB09C" w14:textId="5CCA4DB8" w:rsidR="007006F4" w:rsidRPr="00E43CDC" w:rsidRDefault="00F15505" w:rsidP="00CB0A81">
      <w:pPr>
        <w:tabs>
          <w:tab w:val="left" w:pos="540"/>
        </w:tabs>
        <w:spacing w:line="240" w:lineRule="auto"/>
        <w:jc w:val="both"/>
        <w:rPr>
          <w:szCs w:val="22"/>
          <w:u w:val="single"/>
          <w:lang w:val="sr-Latn-RS"/>
        </w:rPr>
      </w:pPr>
      <w:r w:rsidRPr="00E43CDC">
        <w:rPr>
          <w:szCs w:val="22"/>
          <w:u w:val="single"/>
          <w:lang w:val="sr-Latn-RS"/>
        </w:rPr>
        <w:t>Plodnost</w:t>
      </w:r>
    </w:p>
    <w:p w14:paraId="2CD64D34" w14:textId="77777777" w:rsidR="007006F4" w:rsidRPr="00E43CDC" w:rsidRDefault="00F15505" w:rsidP="00CB0A81">
      <w:pPr>
        <w:tabs>
          <w:tab w:val="left" w:pos="540"/>
        </w:tabs>
        <w:spacing w:line="240" w:lineRule="auto"/>
        <w:jc w:val="both"/>
        <w:rPr>
          <w:szCs w:val="22"/>
          <w:lang w:val="sr-Latn-RS"/>
        </w:rPr>
      </w:pPr>
      <w:r w:rsidRPr="00E43CDC">
        <w:rPr>
          <w:szCs w:val="22"/>
          <w:lang w:val="sr-Latn-RS"/>
        </w:rPr>
        <w:t>Reverzibilne biohemijske promjene glave spermatozoida zabilježene su kod nekih pacijenata liječenih blokatorima kalcijumskih kanala. Nema dovoljno kliničkih podataka o mogućem efektu amlodipina na plodnost. U jednoj studiji na pacovima, zabilježeni su štetni efekti na mušku plodnost (vidjeti dio 5.3).</w:t>
      </w:r>
    </w:p>
    <w:p w14:paraId="345C9989" w14:textId="77777777" w:rsidR="007006F4" w:rsidRPr="00E43CDC" w:rsidRDefault="007006F4" w:rsidP="00CB0A81">
      <w:pPr>
        <w:tabs>
          <w:tab w:val="left" w:pos="540"/>
        </w:tabs>
        <w:spacing w:line="240" w:lineRule="auto"/>
        <w:jc w:val="both"/>
        <w:rPr>
          <w:szCs w:val="22"/>
          <w:u w:val="single"/>
          <w:lang w:val="sr-Latn-RS"/>
        </w:rPr>
      </w:pPr>
    </w:p>
    <w:p w14:paraId="091D49D3" w14:textId="58146768" w:rsidR="007006F4" w:rsidRPr="00E43CDC" w:rsidRDefault="00F15505" w:rsidP="00CB0A81">
      <w:pPr>
        <w:tabs>
          <w:tab w:val="left" w:pos="540"/>
        </w:tabs>
        <w:spacing w:line="240" w:lineRule="auto"/>
        <w:jc w:val="both"/>
        <w:rPr>
          <w:szCs w:val="22"/>
          <w:u w:val="single"/>
          <w:lang w:val="sr-Latn-RS"/>
        </w:rPr>
      </w:pPr>
      <w:r w:rsidRPr="00E43CDC">
        <w:rPr>
          <w:szCs w:val="22"/>
          <w:u w:val="single"/>
          <w:lang w:val="sr-Latn-RS"/>
        </w:rPr>
        <w:t>Trudnoća</w:t>
      </w:r>
    </w:p>
    <w:p w14:paraId="43A5DCE6" w14:textId="77777777" w:rsidR="007006F4" w:rsidRPr="00E43CDC" w:rsidRDefault="00F15505" w:rsidP="00CB0A81">
      <w:pPr>
        <w:numPr>
          <w:ilvl w:val="12"/>
          <w:numId w:val="0"/>
        </w:numPr>
        <w:tabs>
          <w:tab w:val="clear" w:pos="567"/>
          <w:tab w:val="left" w:pos="8505"/>
        </w:tabs>
        <w:spacing w:line="240" w:lineRule="auto"/>
        <w:ind w:right="-2"/>
        <w:jc w:val="both"/>
        <w:rPr>
          <w:szCs w:val="22"/>
          <w:lang w:val="sr-Latn-RS"/>
        </w:rPr>
      </w:pPr>
      <w:r w:rsidRPr="00E43CDC">
        <w:rPr>
          <w:szCs w:val="22"/>
          <w:lang w:val="sr-Latn-RS"/>
        </w:rPr>
        <w:t>Bezbjednost amlodipina u trudnoći nije utvrđena.</w:t>
      </w:r>
    </w:p>
    <w:p w14:paraId="4D1834B4" w14:textId="77777777" w:rsidR="007006F4" w:rsidRPr="00E43CDC" w:rsidRDefault="00F15505" w:rsidP="00CB0A81">
      <w:pPr>
        <w:numPr>
          <w:ilvl w:val="12"/>
          <w:numId w:val="0"/>
        </w:numPr>
        <w:tabs>
          <w:tab w:val="clear" w:pos="567"/>
          <w:tab w:val="left" w:pos="8505"/>
        </w:tabs>
        <w:spacing w:line="240" w:lineRule="auto"/>
        <w:ind w:right="-2"/>
        <w:jc w:val="both"/>
        <w:rPr>
          <w:szCs w:val="22"/>
          <w:lang w:val="sr-Latn-RS"/>
        </w:rPr>
      </w:pPr>
      <w:r w:rsidRPr="00E43CDC">
        <w:rPr>
          <w:szCs w:val="22"/>
          <w:lang w:val="sr-Latn-RS"/>
        </w:rPr>
        <w:t xml:space="preserve"> </w:t>
      </w:r>
    </w:p>
    <w:p w14:paraId="34AAAC5E" w14:textId="77777777" w:rsidR="007006F4" w:rsidRPr="00E43CDC" w:rsidRDefault="00F15505" w:rsidP="00CB0A81">
      <w:pPr>
        <w:numPr>
          <w:ilvl w:val="12"/>
          <w:numId w:val="0"/>
        </w:numPr>
        <w:tabs>
          <w:tab w:val="clear" w:pos="567"/>
          <w:tab w:val="left" w:pos="8505"/>
        </w:tabs>
        <w:spacing w:line="240" w:lineRule="auto"/>
        <w:ind w:right="-2"/>
        <w:jc w:val="both"/>
        <w:rPr>
          <w:szCs w:val="22"/>
          <w:lang w:val="sr-Latn-RS"/>
        </w:rPr>
      </w:pPr>
      <w:r w:rsidRPr="00E43CDC">
        <w:rPr>
          <w:szCs w:val="22"/>
          <w:lang w:val="sr-Latn-RS"/>
        </w:rPr>
        <w:t xml:space="preserve">U istraživanjima na životinjama zapažena je reproduktivna toksičnost pri visokim dozama (vidjeti dio 5.3). </w:t>
      </w:r>
    </w:p>
    <w:p w14:paraId="12A356DC" w14:textId="77777777" w:rsidR="007006F4" w:rsidRPr="00E43CDC" w:rsidRDefault="007006F4" w:rsidP="00CB0A81">
      <w:pPr>
        <w:numPr>
          <w:ilvl w:val="12"/>
          <w:numId w:val="0"/>
        </w:numPr>
        <w:tabs>
          <w:tab w:val="clear" w:pos="567"/>
          <w:tab w:val="left" w:pos="8505"/>
        </w:tabs>
        <w:spacing w:line="240" w:lineRule="auto"/>
        <w:ind w:right="-2"/>
        <w:jc w:val="both"/>
        <w:rPr>
          <w:szCs w:val="22"/>
          <w:lang w:val="sr-Latn-RS"/>
        </w:rPr>
      </w:pPr>
    </w:p>
    <w:p w14:paraId="1F47FF0E" w14:textId="77777777" w:rsidR="007006F4" w:rsidRPr="00E43CDC" w:rsidRDefault="00F15505" w:rsidP="00CB0A81">
      <w:pPr>
        <w:numPr>
          <w:ilvl w:val="12"/>
          <w:numId w:val="0"/>
        </w:numPr>
        <w:tabs>
          <w:tab w:val="clear" w:pos="567"/>
          <w:tab w:val="left" w:pos="8505"/>
        </w:tabs>
        <w:spacing w:line="240" w:lineRule="auto"/>
        <w:ind w:right="-2"/>
        <w:jc w:val="both"/>
        <w:rPr>
          <w:szCs w:val="22"/>
          <w:lang w:val="sr-Latn-RS"/>
        </w:rPr>
      </w:pPr>
      <w:r w:rsidRPr="00E43CDC">
        <w:rPr>
          <w:szCs w:val="22"/>
          <w:lang w:val="sr-Latn-RS"/>
        </w:rPr>
        <w:t>Primjena amlodipina u trudnoći se može primijeniti samo u slučajevima kada ne postoji bezbjednija alternativna terapija i kada sama bolest nosi veći rizik za majku i fetus.</w:t>
      </w:r>
    </w:p>
    <w:p w14:paraId="28107A5A" w14:textId="77777777" w:rsidR="007006F4" w:rsidRPr="00E43CDC" w:rsidRDefault="007006F4" w:rsidP="00CB0A81">
      <w:pPr>
        <w:tabs>
          <w:tab w:val="left" w:pos="540"/>
        </w:tabs>
        <w:spacing w:line="240" w:lineRule="auto"/>
        <w:jc w:val="both"/>
        <w:rPr>
          <w:szCs w:val="22"/>
          <w:u w:val="single"/>
          <w:lang w:val="sr-Latn-RS"/>
        </w:rPr>
      </w:pPr>
    </w:p>
    <w:p w14:paraId="01250532" w14:textId="21CFD946" w:rsidR="007006F4" w:rsidRPr="00E43CDC" w:rsidRDefault="00F15505" w:rsidP="00CB0A81">
      <w:pPr>
        <w:tabs>
          <w:tab w:val="left" w:pos="540"/>
        </w:tabs>
        <w:spacing w:line="240" w:lineRule="auto"/>
        <w:jc w:val="both"/>
        <w:rPr>
          <w:szCs w:val="22"/>
          <w:u w:val="single"/>
          <w:lang w:val="sr-Latn-RS"/>
        </w:rPr>
      </w:pPr>
      <w:r w:rsidRPr="00E43CDC">
        <w:rPr>
          <w:szCs w:val="22"/>
          <w:u w:val="single"/>
          <w:lang w:val="sr-Latn-RS"/>
        </w:rPr>
        <w:t xml:space="preserve">Dojenje </w:t>
      </w:r>
    </w:p>
    <w:p w14:paraId="0445069D" w14:textId="77777777" w:rsidR="007006F4" w:rsidRPr="00E43CDC" w:rsidRDefault="00F15505" w:rsidP="00CB0A81">
      <w:pPr>
        <w:numPr>
          <w:ilvl w:val="12"/>
          <w:numId w:val="0"/>
        </w:numPr>
        <w:tabs>
          <w:tab w:val="left" w:pos="8505"/>
        </w:tabs>
        <w:spacing w:line="240" w:lineRule="auto"/>
        <w:ind w:right="-2"/>
        <w:jc w:val="both"/>
        <w:rPr>
          <w:szCs w:val="22"/>
          <w:lang w:val="sr-Latn-RS"/>
        </w:rPr>
      </w:pPr>
      <w:r w:rsidRPr="00E43CDC">
        <w:rPr>
          <w:szCs w:val="22"/>
          <w:lang w:val="sr-Latn-RS"/>
        </w:rPr>
        <w:t>Amlodipin se izlučuje u majčino mlijeko. Procijenjen je udio majčine doze koju primi odojče, i njegov interkvartilni raspon iznosio je 3 –7%, uz maksimum od 15%. Efekat amlodipina na odojčad nije poznat. Odluku o nastavku/prekidu dojenja ili nastavku/prekidu terapije amlodipinom treba donijeti uzimajući u obzir korist dojenja za dijete i korist terapije amlodipinom za majku.</w:t>
      </w:r>
    </w:p>
    <w:p w14:paraId="671B7865" w14:textId="77777777" w:rsidR="007006F4" w:rsidRPr="00E43CDC" w:rsidRDefault="007006F4" w:rsidP="00CB0A81">
      <w:pPr>
        <w:tabs>
          <w:tab w:val="left" w:pos="540"/>
        </w:tabs>
        <w:spacing w:line="240" w:lineRule="auto"/>
        <w:jc w:val="both"/>
        <w:rPr>
          <w:b/>
          <w:bCs/>
          <w:szCs w:val="22"/>
          <w:lang w:val="sr-Latn-RS"/>
        </w:rPr>
      </w:pPr>
    </w:p>
    <w:p w14:paraId="23E6AB58" w14:textId="77777777" w:rsidR="007006F4" w:rsidRPr="00E43CDC" w:rsidRDefault="00F15505" w:rsidP="00CB0A81">
      <w:pPr>
        <w:tabs>
          <w:tab w:val="left" w:pos="540"/>
        </w:tabs>
        <w:spacing w:line="240" w:lineRule="auto"/>
        <w:ind w:left="540" w:hanging="540"/>
        <w:jc w:val="both"/>
        <w:rPr>
          <w:b/>
          <w:bCs/>
          <w:szCs w:val="22"/>
          <w:lang w:val="sr-Latn-RS"/>
        </w:rPr>
      </w:pPr>
      <w:r w:rsidRPr="00E43CDC">
        <w:rPr>
          <w:b/>
          <w:bCs/>
          <w:szCs w:val="22"/>
          <w:lang w:val="sr-Latn-RS"/>
        </w:rPr>
        <w:t xml:space="preserve">4.7. </w:t>
      </w:r>
      <w:r w:rsidRPr="00E43CDC">
        <w:rPr>
          <w:b/>
          <w:bCs/>
          <w:szCs w:val="22"/>
          <w:lang w:val="sr-Latn-RS"/>
        </w:rPr>
        <w:tab/>
        <w:t>Uticaj na sposobnost upravljanja vozilima i rukovanje mašinama</w:t>
      </w:r>
    </w:p>
    <w:p w14:paraId="634811BA" w14:textId="77777777" w:rsidR="007006F4" w:rsidRPr="00E43CDC" w:rsidRDefault="007006F4" w:rsidP="00CB0A81">
      <w:pPr>
        <w:tabs>
          <w:tab w:val="left" w:pos="540"/>
        </w:tabs>
        <w:spacing w:line="240" w:lineRule="auto"/>
        <w:ind w:left="540" w:hanging="540"/>
        <w:jc w:val="both"/>
        <w:rPr>
          <w:b/>
          <w:bCs/>
          <w:szCs w:val="22"/>
          <w:lang w:val="sr-Latn-RS"/>
        </w:rPr>
      </w:pPr>
    </w:p>
    <w:p w14:paraId="5EDD06B4" w14:textId="77777777" w:rsidR="007006F4" w:rsidRPr="00E43CDC" w:rsidRDefault="00F15505" w:rsidP="00CB0A81">
      <w:pPr>
        <w:tabs>
          <w:tab w:val="clear" w:pos="567"/>
        </w:tabs>
        <w:spacing w:line="240" w:lineRule="auto"/>
        <w:ind w:right="-483"/>
        <w:jc w:val="both"/>
        <w:rPr>
          <w:szCs w:val="22"/>
          <w:lang w:val="sr-Latn-RS"/>
        </w:rPr>
      </w:pPr>
      <w:r w:rsidRPr="00E43CDC">
        <w:rPr>
          <w:szCs w:val="22"/>
          <w:lang w:val="sr-Latn-RS"/>
        </w:rPr>
        <w:t>Amlodipin može imati blagi ili umjereni uticaj na sposobnost upravljanja vozilima i rukovanje mašinama. Ako pacijenti koji koriste amlodipin pate od vrtoglavice, glavobolje, umora ili mučnine njihova sposobnost reagovanja može biti umanjena. Preporučuje se oprez naročito na početku liječenja.</w:t>
      </w:r>
    </w:p>
    <w:p w14:paraId="60570413" w14:textId="77777777" w:rsidR="007006F4" w:rsidRPr="00E43CDC" w:rsidRDefault="007006F4" w:rsidP="00CB0A81">
      <w:pPr>
        <w:tabs>
          <w:tab w:val="left" w:pos="540"/>
        </w:tabs>
        <w:spacing w:line="240" w:lineRule="auto"/>
        <w:jc w:val="both"/>
        <w:rPr>
          <w:b/>
          <w:bCs/>
          <w:szCs w:val="22"/>
          <w:lang w:val="sr-Latn-RS"/>
        </w:rPr>
      </w:pPr>
    </w:p>
    <w:p w14:paraId="05444132" w14:textId="77777777" w:rsidR="007006F4" w:rsidRPr="00E43CDC" w:rsidRDefault="00F15505" w:rsidP="00CB0A81">
      <w:pPr>
        <w:tabs>
          <w:tab w:val="left" w:pos="540"/>
        </w:tabs>
        <w:spacing w:line="240" w:lineRule="auto"/>
        <w:jc w:val="both"/>
        <w:rPr>
          <w:b/>
          <w:bCs/>
          <w:szCs w:val="22"/>
          <w:lang w:val="sr-Latn-RS"/>
        </w:rPr>
      </w:pPr>
      <w:r w:rsidRPr="00E43CDC">
        <w:rPr>
          <w:b/>
          <w:bCs/>
          <w:szCs w:val="22"/>
          <w:lang w:val="sr-Latn-RS"/>
        </w:rPr>
        <w:t xml:space="preserve">4.8. </w:t>
      </w:r>
      <w:r w:rsidRPr="00E43CDC">
        <w:rPr>
          <w:b/>
          <w:bCs/>
          <w:szCs w:val="22"/>
          <w:lang w:val="sr-Latn-RS"/>
        </w:rPr>
        <w:tab/>
        <w:t>Neželjena dejstva</w:t>
      </w:r>
    </w:p>
    <w:p w14:paraId="2685CB0C" w14:textId="77777777" w:rsidR="007006F4" w:rsidRPr="00E43CDC" w:rsidRDefault="007006F4" w:rsidP="00CB0A81">
      <w:pPr>
        <w:tabs>
          <w:tab w:val="left" w:pos="540"/>
        </w:tabs>
        <w:spacing w:line="240" w:lineRule="auto"/>
        <w:jc w:val="both"/>
        <w:rPr>
          <w:b/>
          <w:bCs/>
          <w:szCs w:val="22"/>
          <w:lang w:val="sr-Latn-RS"/>
        </w:rPr>
      </w:pPr>
    </w:p>
    <w:p w14:paraId="119B04E4" w14:textId="3DCF19C3" w:rsidR="007006F4" w:rsidRPr="00E43CDC" w:rsidRDefault="00F15505" w:rsidP="00CB0A81">
      <w:pPr>
        <w:tabs>
          <w:tab w:val="clear" w:pos="567"/>
        </w:tabs>
        <w:autoSpaceDE w:val="0"/>
        <w:autoSpaceDN w:val="0"/>
        <w:adjustRightInd w:val="0"/>
        <w:spacing w:line="240" w:lineRule="auto"/>
        <w:jc w:val="both"/>
        <w:rPr>
          <w:szCs w:val="22"/>
          <w:lang w:val="sr-Latn-RS"/>
        </w:rPr>
      </w:pPr>
      <w:r w:rsidRPr="00E43CDC">
        <w:rPr>
          <w:szCs w:val="22"/>
          <w:u w:val="single"/>
          <w:lang w:val="sr-Latn-RS"/>
        </w:rPr>
        <w:t>Sažetak bezbjednosnog profila</w:t>
      </w:r>
    </w:p>
    <w:p w14:paraId="03175B26" w14:textId="77777777" w:rsidR="007006F4" w:rsidRPr="00E43CDC" w:rsidRDefault="00F15505" w:rsidP="00CB0A81">
      <w:pPr>
        <w:tabs>
          <w:tab w:val="clear" w:pos="567"/>
        </w:tabs>
        <w:autoSpaceDE w:val="0"/>
        <w:autoSpaceDN w:val="0"/>
        <w:adjustRightInd w:val="0"/>
        <w:spacing w:line="240" w:lineRule="auto"/>
        <w:jc w:val="both"/>
        <w:rPr>
          <w:szCs w:val="22"/>
          <w:lang w:val="sr-Latn-RS"/>
        </w:rPr>
      </w:pPr>
      <w:r w:rsidRPr="00E43CDC">
        <w:rPr>
          <w:szCs w:val="22"/>
          <w:lang w:val="sr-Latn-RS"/>
        </w:rPr>
        <w:t>Najčešće zabilježena neželjena dejstva tokom liječenja su pospanost, vrtoglavica, glavobolja, lupanje srca, naleti crvenila, bol u stomaku, mučnina, oticanje gležnjeva, edem i umor.</w:t>
      </w:r>
    </w:p>
    <w:p w14:paraId="32107CC0" w14:textId="77777777" w:rsidR="007006F4" w:rsidRPr="00E43CDC" w:rsidRDefault="007006F4" w:rsidP="00CB0A81">
      <w:pPr>
        <w:tabs>
          <w:tab w:val="clear" w:pos="567"/>
        </w:tabs>
        <w:autoSpaceDE w:val="0"/>
        <w:autoSpaceDN w:val="0"/>
        <w:adjustRightInd w:val="0"/>
        <w:spacing w:line="240" w:lineRule="auto"/>
        <w:jc w:val="both"/>
        <w:rPr>
          <w:szCs w:val="22"/>
          <w:lang w:val="sr-Latn-RS"/>
        </w:rPr>
      </w:pPr>
    </w:p>
    <w:p w14:paraId="12F2D49B" w14:textId="77777777" w:rsidR="00E43CDC" w:rsidRDefault="00E43CDC" w:rsidP="00CB0A81">
      <w:pPr>
        <w:tabs>
          <w:tab w:val="clear" w:pos="567"/>
        </w:tabs>
        <w:autoSpaceDE w:val="0"/>
        <w:autoSpaceDN w:val="0"/>
        <w:adjustRightInd w:val="0"/>
        <w:spacing w:line="240" w:lineRule="auto"/>
        <w:jc w:val="both"/>
        <w:rPr>
          <w:szCs w:val="22"/>
          <w:u w:val="single"/>
          <w:lang w:val="sr-Latn-RS"/>
        </w:rPr>
      </w:pPr>
    </w:p>
    <w:p w14:paraId="2165D60E" w14:textId="0DEB323C" w:rsidR="007006F4" w:rsidRPr="00E43CDC" w:rsidRDefault="00F15505" w:rsidP="00CB0A81">
      <w:pPr>
        <w:tabs>
          <w:tab w:val="clear" w:pos="567"/>
        </w:tabs>
        <w:autoSpaceDE w:val="0"/>
        <w:autoSpaceDN w:val="0"/>
        <w:adjustRightInd w:val="0"/>
        <w:spacing w:line="240" w:lineRule="auto"/>
        <w:jc w:val="both"/>
        <w:rPr>
          <w:szCs w:val="22"/>
          <w:lang w:val="sr-Latn-RS"/>
        </w:rPr>
      </w:pPr>
      <w:r w:rsidRPr="00E43CDC">
        <w:rPr>
          <w:szCs w:val="22"/>
          <w:u w:val="single"/>
          <w:lang w:val="sr-Latn-RS"/>
        </w:rPr>
        <w:lastRenderedPageBreak/>
        <w:t>Tabelarni prikaz neželjenih dejstava</w:t>
      </w:r>
    </w:p>
    <w:p w14:paraId="5AD1A037" w14:textId="77777777" w:rsidR="007006F4" w:rsidRPr="00E43CDC" w:rsidRDefault="00F15505" w:rsidP="00CB0A81">
      <w:pPr>
        <w:tabs>
          <w:tab w:val="clear" w:pos="567"/>
        </w:tabs>
        <w:autoSpaceDE w:val="0"/>
        <w:autoSpaceDN w:val="0"/>
        <w:adjustRightInd w:val="0"/>
        <w:spacing w:line="240" w:lineRule="auto"/>
        <w:jc w:val="both"/>
        <w:rPr>
          <w:szCs w:val="22"/>
          <w:lang w:val="sr-Latn-RS"/>
        </w:rPr>
      </w:pPr>
      <w:r w:rsidRPr="00E43CDC">
        <w:rPr>
          <w:szCs w:val="22"/>
          <w:lang w:val="sr-Latn-RS"/>
        </w:rPr>
        <w:t>Neželjena dejstva koja se mogu javiti tokom liječenja lijekom Tenox razvrstana su s obzirom na učestalost u sljedeće grupe:</w:t>
      </w:r>
    </w:p>
    <w:p w14:paraId="36FC429C" w14:textId="77777777" w:rsidR="007006F4" w:rsidRPr="00E43CDC" w:rsidRDefault="00F15505" w:rsidP="00CB0A81">
      <w:pPr>
        <w:numPr>
          <w:ilvl w:val="0"/>
          <w:numId w:val="32"/>
        </w:numPr>
        <w:tabs>
          <w:tab w:val="clear" w:pos="567"/>
          <w:tab w:val="num" w:pos="540"/>
        </w:tabs>
        <w:autoSpaceDE w:val="0"/>
        <w:autoSpaceDN w:val="0"/>
        <w:adjustRightInd w:val="0"/>
        <w:spacing w:line="240" w:lineRule="auto"/>
        <w:ind w:left="540" w:hanging="540"/>
        <w:jc w:val="both"/>
        <w:rPr>
          <w:szCs w:val="22"/>
          <w:lang w:val="sr-Latn-RS"/>
        </w:rPr>
      </w:pPr>
      <w:r w:rsidRPr="00E43CDC">
        <w:rPr>
          <w:szCs w:val="22"/>
          <w:lang w:val="sr-Latn-RS"/>
        </w:rPr>
        <w:t>veoma česta (≥</w:t>
      </w:r>
      <w:r w:rsidR="00AB7061" w:rsidRPr="00E43CDC">
        <w:rPr>
          <w:szCs w:val="22"/>
          <w:lang w:val="sr-Latn-RS"/>
        </w:rPr>
        <w:t xml:space="preserve"> </w:t>
      </w:r>
      <w:r w:rsidRPr="00E43CDC">
        <w:rPr>
          <w:szCs w:val="22"/>
          <w:lang w:val="sr-Latn-RS"/>
        </w:rPr>
        <w:t>1/10),</w:t>
      </w:r>
    </w:p>
    <w:p w14:paraId="06943258" w14:textId="77777777" w:rsidR="007006F4" w:rsidRPr="00E43CDC" w:rsidRDefault="00F15505" w:rsidP="00CB0A81">
      <w:pPr>
        <w:numPr>
          <w:ilvl w:val="0"/>
          <w:numId w:val="32"/>
        </w:numPr>
        <w:tabs>
          <w:tab w:val="clear" w:pos="567"/>
          <w:tab w:val="num" w:pos="540"/>
        </w:tabs>
        <w:autoSpaceDE w:val="0"/>
        <w:autoSpaceDN w:val="0"/>
        <w:adjustRightInd w:val="0"/>
        <w:spacing w:line="240" w:lineRule="auto"/>
        <w:ind w:left="540" w:hanging="540"/>
        <w:jc w:val="both"/>
        <w:rPr>
          <w:szCs w:val="22"/>
          <w:lang w:val="sr-Latn-RS"/>
        </w:rPr>
      </w:pPr>
      <w:r w:rsidRPr="00E43CDC">
        <w:rPr>
          <w:szCs w:val="22"/>
          <w:lang w:val="sr-Latn-RS"/>
        </w:rPr>
        <w:t>česta (≥</w:t>
      </w:r>
      <w:r w:rsidR="00AB7061" w:rsidRPr="00E43CDC">
        <w:rPr>
          <w:szCs w:val="22"/>
          <w:lang w:val="sr-Latn-RS"/>
        </w:rPr>
        <w:t xml:space="preserve"> </w:t>
      </w:r>
      <w:r w:rsidRPr="00E43CDC">
        <w:rPr>
          <w:szCs w:val="22"/>
          <w:lang w:val="sr-Latn-RS"/>
        </w:rPr>
        <w:t>1/100 i &lt;</w:t>
      </w:r>
      <w:r w:rsidR="00AB7061" w:rsidRPr="00E43CDC">
        <w:rPr>
          <w:szCs w:val="22"/>
          <w:lang w:val="sr-Latn-RS"/>
        </w:rPr>
        <w:t xml:space="preserve"> </w:t>
      </w:r>
      <w:r w:rsidRPr="00E43CDC">
        <w:rPr>
          <w:szCs w:val="22"/>
          <w:lang w:val="sr-Latn-RS"/>
        </w:rPr>
        <w:t>1/10),</w:t>
      </w:r>
    </w:p>
    <w:p w14:paraId="7E5BFB02" w14:textId="77777777" w:rsidR="007006F4" w:rsidRPr="00E43CDC" w:rsidRDefault="00F15505" w:rsidP="00CB0A81">
      <w:pPr>
        <w:numPr>
          <w:ilvl w:val="0"/>
          <w:numId w:val="32"/>
        </w:numPr>
        <w:tabs>
          <w:tab w:val="clear" w:pos="567"/>
          <w:tab w:val="num" w:pos="540"/>
        </w:tabs>
        <w:autoSpaceDE w:val="0"/>
        <w:autoSpaceDN w:val="0"/>
        <w:adjustRightInd w:val="0"/>
        <w:spacing w:line="240" w:lineRule="auto"/>
        <w:ind w:left="540" w:hanging="540"/>
        <w:jc w:val="both"/>
        <w:rPr>
          <w:szCs w:val="22"/>
          <w:lang w:val="sr-Latn-RS"/>
        </w:rPr>
      </w:pPr>
      <w:r w:rsidRPr="00E43CDC">
        <w:rPr>
          <w:szCs w:val="22"/>
          <w:lang w:val="sr-Latn-RS"/>
        </w:rPr>
        <w:t>povremena (≥</w:t>
      </w:r>
      <w:r w:rsidR="00AB7061" w:rsidRPr="00E43CDC">
        <w:rPr>
          <w:szCs w:val="22"/>
          <w:lang w:val="sr-Latn-RS"/>
        </w:rPr>
        <w:t xml:space="preserve"> </w:t>
      </w:r>
      <w:r w:rsidRPr="00E43CDC">
        <w:rPr>
          <w:szCs w:val="22"/>
          <w:lang w:val="sr-Latn-RS"/>
        </w:rPr>
        <w:t>1/1000 i &lt;</w:t>
      </w:r>
      <w:r w:rsidR="00AB7061" w:rsidRPr="00E43CDC">
        <w:rPr>
          <w:szCs w:val="22"/>
          <w:lang w:val="sr-Latn-RS"/>
        </w:rPr>
        <w:t xml:space="preserve"> </w:t>
      </w:r>
      <w:r w:rsidRPr="00E43CDC">
        <w:rPr>
          <w:szCs w:val="22"/>
          <w:lang w:val="sr-Latn-RS"/>
        </w:rPr>
        <w:t>1/100),</w:t>
      </w:r>
    </w:p>
    <w:p w14:paraId="29B97FE7" w14:textId="77777777" w:rsidR="007006F4" w:rsidRPr="00E43CDC" w:rsidRDefault="00F15505" w:rsidP="00CB0A81">
      <w:pPr>
        <w:numPr>
          <w:ilvl w:val="0"/>
          <w:numId w:val="32"/>
        </w:numPr>
        <w:tabs>
          <w:tab w:val="clear" w:pos="567"/>
          <w:tab w:val="num" w:pos="540"/>
        </w:tabs>
        <w:autoSpaceDE w:val="0"/>
        <w:autoSpaceDN w:val="0"/>
        <w:adjustRightInd w:val="0"/>
        <w:spacing w:line="240" w:lineRule="auto"/>
        <w:ind w:left="540" w:hanging="540"/>
        <w:jc w:val="both"/>
        <w:rPr>
          <w:szCs w:val="22"/>
          <w:lang w:val="sr-Latn-RS"/>
        </w:rPr>
      </w:pPr>
      <w:r w:rsidRPr="00E43CDC">
        <w:rPr>
          <w:szCs w:val="22"/>
          <w:lang w:val="sr-Latn-RS"/>
        </w:rPr>
        <w:t>rijetka (≥</w:t>
      </w:r>
      <w:r w:rsidR="00AB7061" w:rsidRPr="00E43CDC">
        <w:rPr>
          <w:szCs w:val="22"/>
          <w:lang w:val="sr-Latn-RS"/>
        </w:rPr>
        <w:t xml:space="preserve"> </w:t>
      </w:r>
      <w:r w:rsidRPr="00E43CDC">
        <w:rPr>
          <w:szCs w:val="22"/>
          <w:lang w:val="sr-Latn-RS"/>
        </w:rPr>
        <w:t>1/10</w:t>
      </w:r>
      <w:r w:rsidR="00AB7061" w:rsidRPr="00E43CDC">
        <w:rPr>
          <w:szCs w:val="22"/>
          <w:lang w:val="sr-Latn-RS"/>
        </w:rPr>
        <w:t xml:space="preserve"> </w:t>
      </w:r>
      <w:r w:rsidRPr="00E43CDC">
        <w:rPr>
          <w:szCs w:val="22"/>
          <w:lang w:val="sr-Latn-RS"/>
        </w:rPr>
        <w:t>000 i &lt;1/1000),</w:t>
      </w:r>
    </w:p>
    <w:p w14:paraId="4C6C8447" w14:textId="77777777" w:rsidR="007006F4" w:rsidRPr="00E43CDC" w:rsidRDefault="00F15505" w:rsidP="00CB0A81">
      <w:pPr>
        <w:numPr>
          <w:ilvl w:val="0"/>
          <w:numId w:val="32"/>
        </w:numPr>
        <w:tabs>
          <w:tab w:val="clear" w:pos="567"/>
          <w:tab w:val="num" w:pos="540"/>
        </w:tabs>
        <w:spacing w:line="240" w:lineRule="auto"/>
        <w:ind w:left="540" w:hanging="540"/>
        <w:jc w:val="both"/>
        <w:rPr>
          <w:szCs w:val="22"/>
          <w:lang w:val="sr-Latn-RS"/>
        </w:rPr>
      </w:pPr>
      <w:r w:rsidRPr="00E43CDC">
        <w:rPr>
          <w:szCs w:val="22"/>
          <w:lang w:val="sr-Latn-RS"/>
        </w:rPr>
        <w:t>veoma rijetka (&lt;1/10</w:t>
      </w:r>
      <w:r w:rsidR="00AB7061" w:rsidRPr="00E43CDC">
        <w:rPr>
          <w:szCs w:val="22"/>
          <w:lang w:val="sr-Latn-RS"/>
        </w:rPr>
        <w:t xml:space="preserve"> </w:t>
      </w:r>
      <w:r w:rsidRPr="00E43CDC">
        <w:rPr>
          <w:szCs w:val="22"/>
          <w:lang w:val="sr-Latn-RS"/>
        </w:rPr>
        <w:t xml:space="preserve">000), </w:t>
      </w:r>
    </w:p>
    <w:p w14:paraId="7A1B7CF1" w14:textId="77777777" w:rsidR="007006F4" w:rsidRPr="00E43CDC" w:rsidRDefault="00F15505" w:rsidP="00CB0A81">
      <w:pPr>
        <w:numPr>
          <w:ilvl w:val="0"/>
          <w:numId w:val="32"/>
        </w:numPr>
        <w:tabs>
          <w:tab w:val="clear" w:pos="567"/>
          <w:tab w:val="num" w:pos="540"/>
        </w:tabs>
        <w:spacing w:line="240" w:lineRule="auto"/>
        <w:ind w:left="540" w:hanging="540"/>
        <w:jc w:val="both"/>
        <w:rPr>
          <w:szCs w:val="22"/>
          <w:lang w:val="sr-Latn-RS"/>
        </w:rPr>
      </w:pPr>
      <w:r w:rsidRPr="00E43CDC">
        <w:rPr>
          <w:szCs w:val="22"/>
          <w:lang w:val="sr-Latn-RS"/>
        </w:rPr>
        <w:t>nepoznata učestalost (ne može se procijeniti iz dostupnih podataka).</w:t>
      </w:r>
    </w:p>
    <w:p w14:paraId="0B953200" w14:textId="77777777" w:rsidR="007006F4" w:rsidRPr="00E43CDC" w:rsidRDefault="007006F4" w:rsidP="00CB0A81">
      <w:pPr>
        <w:tabs>
          <w:tab w:val="clear" w:pos="567"/>
        </w:tabs>
        <w:spacing w:line="240" w:lineRule="auto"/>
        <w:jc w:val="both"/>
        <w:rPr>
          <w:szCs w:val="22"/>
          <w:lang w:val="sr-Latn-RS"/>
        </w:rPr>
      </w:pPr>
    </w:p>
    <w:p w14:paraId="75ABD4A2" w14:textId="77777777" w:rsidR="007006F4" w:rsidRPr="00E43CDC" w:rsidRDefault="00F15505" w:rsidP="00CB0A81">
      <w:pPr>
        <w:tabs>
          <w:tab w:val="clear" w:pos="567"/>
        </w:tabs>
        <w:spacing w:line="240" w:lineRule="auto"/>
        <w:jc w:val="both"/>
        <w:rPr>
          <w:szCs w:val="22"/>
          <w:lang w:val="sr-Latn-RS"/>
        </w:rPr>
      </w:pPr>
      <w:r w:rsidRPr="00E43CDC">
        <w:rPr>
          <w:szCs w:val="22"/>
          <w:lang w:val="sr-Latn-RS"/>
        </w:rPr>
        <w:t>Unutar svake grupe učestalosti, neželjena dejstva su navedena prema ozbiljnosti, silaznim redosljedom.</w:t>
      </w:r>
    </w:p>
    <w:p w14:paraId="5C093240" w14:textId="77777777" w:rsidR="007006F4" w:rsidRPr="00E43CDC" w:rsidRDefault="007006F4" w:rsidP="00CB0A81">
      <w:pPr>
        <w:widowControl w:val="0"/>
        <w:tabs>
          <w:tab w:val="clear" w:pos="567"/>
        </w:tabs>
        <w:spacing w:line="240" w:lineRule="auto"/>
        <w:jc w:val="both"/>
        <w:rPr>
          <w:szCs w:val="22"/>
          <w:lang w:val="sr-Latn-RS"/>
        </w:rPr>
      </w:pPr>
    </w:p>
    <w:tbl>
      <w:tblPr>
        <w:tblW w:w="5000" w:type="pct"/>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275"/>
        <w:gridCol w:w="2377"/>
        <w:gridCol w:w="2386"/>
        <w:gridCol w:w="13"/>
      </w:tblGrid>
      <w:tr w:rsidR="007006F4" w:rsidRPr="00E43CDC" w14:paraId="27E6BFFE" w14:textId="77777777" w:rsidTr="003B503F">
        <w:trPr>
          <w:gridAfter w:val="1"/>
          <w:wAfter w:w="7" w:type="pct"/>
        </w:trPr>
        <w:tc>
          <w:tcPr>
            <w:tcW w:w="4279" w:type="dxa"/>
            <w:tcBorders>
              <w:top w:val="single" w:sz="8" w:space="0" w:color="000000"/>
              <w:bottom w:val="single" w:sz="8" w:space="0" w:color="000000"/>
              <w:right w:val="single" w:sz="8" w:space="0" w:color="000000"/>
            </w:tcBorders>
          </w:tcPr>
          <w:p w14:paraId="67D9B490"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b/>
                <w:bCs/>
                <w:color w:val="000000"/>
                <w:szCs w:val="22"/>
                <w:lang w:val="sr-Latn-RS"/>
              </w:rPr>
              <w:t>Sistem organa</w:t>
            </w:r>
          </w:p>
        </w:tc>
        <w:tc>
          <w:tcPr>
            <w:tcW w:w="2379" w:type="dxa"/>
            <w:tcBorders>
              <w:top w:val="single" w:sz="8" w:space="0" w:color="000000"/>
              <w:left w:val="single" w:sz="8" w:space="0" w:color="000000"/>
              <w:bottom w:val="single" w:sz="8" w:space="0" w:color="000000"/>
              <w:right w:val="single" w:sz="8" w:space="0" w:color="000000"/>
            </w:tcBorders>
          </w:tcPr>
          <w:p w14:paraId="25F0E70F"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b/>
                <w:bCs/>
                <w:color w:val="000000"/>
                <w:szCs w:val="22"/>
                <w:lang w:val="sr-Latn-RS"/>
              </w:rPr>
              <w:t>Učestalost</w:t>
            </w:r>
          </w:p>
        </w:tc>
        <w:tc>
          <w:tcPr>
            <w:tcW w:w="2379" w:type="dxa"/>
            <w:tcBorders>
              <w:top w:val="single" w:sz="8" w:space="0" w:color="000000"/>
              <w:left w:val="single" w:sz="8" w:space="0" w:color="000000"/>
              <w:bottom w:val="single" w:sz="8" w:space="0" w:color="000000"/>
            </w:tcBorders>
          </w:tcPr>
          <w:p w14:paraId="25DCEFC3"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b/>
                <w:bCs/>
                <w:color w:val="000000"/>
                <w:szCs w:val="22"/>
                <w:lang w:val="sr-Latn-RS"/>
              </w:rPr>
              <w:t xml:space="preserve">Neželjena dejstva </w:t>
            </w:r>
          </w:p>
        </w:tc>
      </w:tr>
      <w:tr w:rsidR="007006F4" w:rsidRPr="00E43CDC" w14:paraId="70F7A925" w14:textId="77777777" w:rsidTr="003B503F">
        <w:trPr>
          <w:gridAfter w:val="1"/>
          <w:wAfter w:w="7" w:type="pct"/>
        </w:trPr>
        <w:tc>
          <w:tcPr>
            <w:tcW w:w="4279" w:type="dxa"/>
            <w:tcBorders>
              <w:top w:val="single" w:sz="8" w:space="0" w:color="000000"/>
              <w:bottom w:val="single" w:sz="8" w:space="0" w:color="000000"/>
              <w:right w:val="single" w:sz="8" w:space="0" w:color="000000"/>
            </w:tcBorders>
          </w:tcPr>
          <w:p w14:paraId="5A6036EF" w14:textId="77777777" w:rsidR="007006F4" w:rsidRPr="00E43CDC" w:rsidRDefault="00F15505" w:rsidP="00F64091">
            <w:pPr>
              <w:widowControl w:val="0"/>
              <w:tabs>
                <w:tab w:val="clear" w:pos="567"/>
              </w:tabs>
              <w:autoSpaceDE w:val="0"/>
              <w:autoSpaceDN w:val="0"/>
              <w:adjustRightInd w:val="0"/>
              <w:spacing w:line="240" w:lineRule="auto"/>
              <w:rPr>
                <w:b/>
                <w:color w:val="000000"/>
                <w:szCs w:val="22"/>
                <w:lang w:val="sr-Latn-RS"/>
              </w:rPr>
            </w:pPr>
            <w:r w:rsidRPr="00E43CDC">
              <w:rPr>
                <w:b/>
                <w:szCs w:val="22"/>
                <w:lang w:val="sr-Latn-RS"/>
              </w:rPr>
              <w:t>Poremećaji krvi i limfnog sistema</w:t>
            </w:r>
            <w:r w:rsidRPr="00E43CDC">
              <w:rPr>
                <w:b/>
                <w:bCs/>
                <w:color w:val="000000"/>
                <w:szCs w:val="22"/>
                <w:lang w:val="sr-Latn-RS"/>
              </w:rPr>
              <w:t xml:space="preserve"> </w:t>
            </w:r>
          </w:p>
        </w:tc>
        <w:tc>
          <w:tcPr>
            <w:tcW w:w="2379" w:type="dxa"/>
            <w:tcBorders>
              <w:top w:val="single" w:sz="8" w:space="0" w:color="000000"/>
              <w:left w:val="single" w:sz="8" w:space="0" w:color="000000"/>
              <w:bottom w:val="single" w:sz="8" w:space="0" w:color="000000"/>
              <w:right w:val="single" w:sz="8" w:space="0" w:color="000000"/>
            </w:tcBorders>
          </w:tcPr>
          <w:p w14:paraId="3828497D"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color w:val="000000"/>
                <w:szCs w:val="22"/>
                <w:lang w:val="sr-Latn-RS"/>
              </w:rPr>
              <w:t>Veoma rijetko</w:t>
            </w:r>
          </w:p>
        </w:tc>
        <w:tc>
          <w:tcPr>
            <w:tcW w:w="2379" w:type="dxa"/>
            <w:tcBorders>
              <w:top w:val="single" w:sz="8" w:space="0" w:color="000000"/>
              <w:left w:val="single" w:sz="8" w:space="0" w:color="000000"/>
              <w:bottom w:val="single" w:sz="8" w:space="0" w:color="000000"/>
            </w:tcBorders>
          </w:tcPr>
          <w:p w14:paraId="7C981201"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color w:val="000000"/>
                <w:szCs w:val="22"/>
                <w:lang w:val="sr-Latn-RS"/>
              </w:rPr>
              <w:t xml:space="preserve">Leukocitopenija, trombocitopenija </w:t>
            </w:r>
          </w:p>
        </w:tc>
      </w:tr>
      <w:tr w:rsidR="007006F4" w:rsidRPr="00E43CDC" w14:paraId="5348EC70" w14:textId="77777777" w:rsidTr="003B503F">
        <w:trPr>
          <w:gridAfter w:val="1"/>
          <w:wAfter w:w="7" w:type="pct"/>
        </w:trPr>
        <w:tc>
          <w:tcPr>
            <w:tcW w:w="4279" w:type="dxa"/>
            <w:tcBorders>
              <w:top w:val="single" w:sz="8" w:space="0" w:color="000000"/>
              <w:bottom w:val="single" w:sz="8" w:space="0" w:color="000000"/>
              <w:right w:val="single" w:sz="8" w:space="0" w:color="000000"/>
            </w:tcBorders>
          </w:tcPr>
          <w:p w14:paraId="6820E926"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b/>
                <w:bCs/>
                <w:color w:val="000000"/>
                <w:szCs w:val="22"/>
                <w:lang w:val="sr-Latn-RS"/>
              </w:rPr>
              <w:t xml:space="preserve">Poremećaji imunog sistema </w:t>
            </w:r>
          </w:p>
        </w:tc>
        <w:tc>
          <w:tcPr>
            <w:tcW w:w="2379" w:type="dxa"/>
            <w:tcBorders>
              <w:top w:val="single" w:sz="8" w:space="0" w:color="000000"/>
              <w:left w:val="single" w:sz="8" w:space="0" w:color="000000"/>
              <w:bottom w:val="single" w:sz="8" w:space="0" w:color="000000"/>
              <w:right w:val="single" w:sz="8" w:space="0" w:color="000000"/>
            </w:tcBorders>
          </w:tcPr>
          <w:p w14:paraId="519D489F"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color w:val="000000"/>
                <w:szCs w:val="22"/>
                <w:lang w:val="sr-Latn-RS"/>
              </w:rPr>
              <w:t>Veoma rijetko</w:t>
            </w:r>
          </w:p>
        </w:tc>
        <w:tc>
          <w:tcPr>
            <w:tcW w:w="2379" w:type="dxa"/>
            <w:tcBorders>
              <w:top w:val="single" w:sz="8" w:space="0" w:color="000000"/>
              <w:left w:val="single" w:sz="8" w:space="0" w:color="000000"/>
              <w:bottom w:val="single" w:sz="8" w:space="0" w:color="000000"/>
            </w:tcBorders>
          </w:tcPr>
          <w:p w14:paraId="19F7D23B"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color w:val="000000"/>
                <w:szCs w:val="22"/>
                <w:lang w:val="sr-Latn-RS"/>
              </w:rPr>
              <w:t xml:space="preserve">Alergijske reakcije </w:t>
            </w:r>
          </w:p>
        </w:tc>
      </w:tr>
      <w:tr w:rsidR="007006F4" w:rsidRPr="00E43CDC" w14:paraId="775C09C8" w14:textId="77777777" w:rsidTr="003B503F">
        <w:trPr>
          <w:gridAfter w:val="1"/>
          <w:wAfter w:w="7" w:type="pct"/>
        </w:trPr>
        <w:tc>
          <w:tcPr>
            <w:tcW w:w="4279" w:type="dxa"/>
            <w:tcBorders>
              <w:top w:val="single" w:sz="8" w:space="0" w:color="000000"/>
              <w:bottom w:val="single" w:sz="8" w:space="0" w:color="000000"/>
              <w:right w:val="single" w:sz="8" w:space="0" w:color="000000"/>
            </w:tcBorders>
          </w:tcPr>
          <w:p w14:paraId="2FA357B6"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b/>
                <w:bCs/>
                <w:color w:val="000000"/>
                <w:szCs w:val="22"/>
                <w:lang w:val="sr-Latn-RS"/>
              </w:rPr>
              <w:t>Poremećaji metabolizma i ishrane</w:t>
            </w:r>
          </w:p>
        </w:tc>
        <w:tc>
          <w:tcPr>
            <w:tcW w:w="2379" w:type="dxa"/>
            <w:tcBorders>
              <w:top w:val="single" w:sz="8" w:space="0" w:color="000000"/>
              <w:left w:val="single" w:sz="8" w:space="0" w:color="000000"/>
              <w:bottom w:val="single" w:sz="8" w:space="0" w:color="000000"/>
              <w:right w:val="single" w:sz="8" w:space="0" w:color="000000"/>
            </w:tcBorders>
          </w:tcPr>
          <w:p w14:paraId="28689E7C"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color w:val="000000"/>
                <w:szCs w:val="22"/>
                <w:lang w:val="sr-Latn-RS"/>
              </w:rPr>
              <w:t>Veoma rijetko</w:t>
            </w:r>
          </w:p>
        </w:tc>
        <w:tc>
          <w:tcPr>
            <w:tcW w:w="2379" w:type="dxa"/>
            <w:tcBorders>
              <w:top w:val="single" w:sz="8" w:space="0" w:color="000000"/>
              <w:left w:val="single" w:sz="8" w:space="0" w:color="000000"/>
              <w:bottom w:val="single" w:sz="8" w:space="0" w:color="000000"/>
            </w:tcBorders>
          </w:tcPr>
          <w:p w14:paraId="5094CBD2"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color w:val="000000"/>
                <w:szCs w:val="22"/>
                <w:lang w:val="sr-Latn-RS"/>
              </w:rPr>
              <w:t>Hiperglikemija</w:t>
            </w:r>
          </w:p>
        </w:tc>
      </w:tr>
      <w:tr w:rsidR="007006F4" w:rsidRPr="00E43CDC" w14:paraId="60701F7A" w14:textId="77777777" w:rsidTr="003B503F">
        <w:trPr>
          <w:gridAfter w:val="1"/>
          <w:wAfter w:w="7" w:type="pct"/>
        </w:trPr>
        <w:tc>
          <w:tcPr>
            <w:tcW w:w="4279" w:type="dxa"/>
            <w:vMerge w:val="restart"/>
            <w:tcBorders>
              <w:top w:val="single" w:sz="8" w:space="0" w:color="000000"/>
              <w:bottom w:val="single" w:sz="8" w:space="0" w:color="000000"/>
              <w:right w:val="single" w:sz="8" w:space="0" w:color="000000"/>
            </w:tcBorders>
          </w:tcPr>
          <w:p w14:paraId="20F03D56"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b/>
                <w:bCs/>
                <w:color w:val="000000"/>
                <w:szCs w:val="22"/>
                <w:lang w:val="sr-Latn-RS"/>
              </w:rPr>
              <w:t xml:space="preserve">Psihijatrijski poremećaji </w:t>
            </w:r>
          </w:p>
        </w:tc>
        <w:tc>
          <w:tcPr>
            <w:tcW w:w="2379" w:type="dxa"/>
            <w:tcBorders>
              <w:top w:val="single" w:sz="8" w:space="0" w:color="000000"/>
              <w:left w:val="single" w:sz="8" w:space="0" w:color="000000"/>
              <w:bottom w:val="single" w:sz="8" w:space="0" w:color="000000"/>
              <w:right w:val="single" w:sz="8" w:space="0" w:color="000000"/>
            </w:tcBorders>
          </w:tcPr>
          <w:p w14:paraId="3B6DD380"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color w:val="000000"/>
                <w:szCs w:val="22"/>
                <w:lang w:val="sr-Latn-RS"/>
              </w:rPr>
              <w:t>Povremeno</w:t>
            </w:r>
          </w:p>
        </w:tc>
        <w:tc>
          <w:tcPr>
            <w:tcW w:w="2379" w:type="dxa"/>
            <w:tcBorders>
              <w:top w:val="single" w:sz="8" w:space="0" w:color="000000"/>
              <w:left w:val="single" w:sz="8" w:space="0" w:color="000000"/>
              <w:bottom w:val="single" w:sz="8" w:space="0" w:color="000000"/>
            </w:tcBorders>
          </w:tcPr>
          <w:p w14:paraId="7F57A55F"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color w:val="000000"/>
                <w:szCs w:val="22"/>
                <w:lang w:val="sr-Latn-RS"/>
              </w:rPr>
              <w:t>Depresija, promjene raspoloženja (uključujući anksioznost), insomnija</w:t>
            </w:r>
          </w:p>
        </w:tc>
      </w:tr>
      <w:tr w:rsidR="007006F4" w:rsidRPr="00E43CDC" w14:paraId="509ABA31" w14:textId="77777777" w:rsidTr="003B503F">
        <w:tc>
          <w:tcPr>
            <w:tcW w:w="4279" w:type="dxa"/>
            <w:vMerge/>
            <w:tcBorders>
              <w:top w:val="single" w:sz="8" w:space="0" w:color="000000"/>
              <w:bottom w:val="single" w:sz="8" w:space="0" w:color="000000"/>
              <w:right w:val="single" w:sz="8" w:space="0" w:color="000000"/>
            </w:tcBorders>
          </w:tcPr>
          <w:p w14:paraId="48746FCD" w14:textId="77777777" w:rsidR="007006F4" w:rsidRPr="00E43CDC" w:rsidRDefault="007006F4" w:rsidP="00F64091">
            <w:pPr>
              <w:widowControl w:val="0"/>
              <w:tabs>
                <w:tab w:val="clear" w:pos="567"/>
              </w:tabs>
              <w:autoSpaceDE w:val="0"/>
              <w:autoSpaceDN w:val="0"/>
              <w:adjustRightInd w:val="0"/>
              <w:spacing w:line="240" w:lineRule="auto"/>
              <w:rPr>
                <w:szCs w:val="22"/>
                <w:lang w:val="sr-Latn-RS"/>
              </w:rPr>
            </w:pPr>
          </w:p>
        </w:tc>
        <w:tc>
          <w:tcPr>
            <w:tcW w:w="2379" w:type="dxa"/>
            <w:tcBorders>
              <w:top w:val="single" w:sz="8" w:space="0" w:color="000000"/>
              <w:left w:val="single" w:sz="8" w:space="0" w:color="000000"/>
              <w:bottom w:val="single" w:sz="8" w:space="0" w:color="000000"/>
              <w:right w:val="single" w:sz="8" w:space="0" w:color="000000"/>
            </w:tcBorders>
          </w:tcPr>
          <w:p w14:paraId="35F1D534"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color w:val="000000"/>
                <w:szCs w:val="22"/>
                <w:lang w:val="sr-Latn-RS"/>
              </w:rPr>
              <w:t>Rijetko</w:t>
            </w:r>
          </w:p>
        </w:tc>
        <w:tc>
          <w:tcPr>
            <w:tcW w:w="2393" w:type="dxa"/>
            <w:gridSpan w:val="2"/>
            <w:tcBorders>
              <w:top w:val="single" w:sz="8" w:space="0" w:color="000000"/>
              <w:left w:val="single" w:sz="8" w:space="0" w:color="000000"/>
              <w:bottom w:val="single" w:sz="8" w:space="0" w:color="000000"/>
            </w:tcBorders>
          </w:tcPr>
          <w:p w14:paraId="198CFB8B"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color w:val="000000"/>
                <w:szCs w:val="22"/>
                <w:lang w:val="sr-Latn-RS"/>
              </w:rPr>
              <w:t>Konfuzija</w:t>
            </w:r>
          </w:p>
        </w:tc>
      </w:tr>
      <w:tr w:rsidR="007006F4" w:rsidRPr="00E43CDC" w14:paraId="7EE60BD9" w14:textId="77777777" w:rsidTr="003B503F">
        <w:trPr>
          <w:gridAfter w:val="1"/>
          <w:wAfter w:w="7" w:type="pct"/>
        </w:trPr>
        <w:tc>
          <w:tcPr>
            <w:tcW w:w="4279" w:type="dxa"/>
            <w:vMerge w:val="restart"/>
            <w:tcBorders>
              <w:top w:val="single" w:sz="8" w:space="0" w:color="000000"/>
              <w:right w:val="single" w:sz="8" w:space="0" w:color="000000"/>
            </w:tcBorders>
          </w:tcPr>
          <w:p w14:paraId="5AE5DA91"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b/>
                <w:bCs/>
                <w:color w:val="000000"/>
                <w:szCs w:val="22"/>
                <w:lang w:val="sr-Latn-RS"/>
              </w:rPr>
              <w:t xml:space="preserve">Poremećaji nervnog sistema </w:t>
            </w:r>
          </w:p>
        </w:tc>
        <w:tc>
          <w:tcPr>
            <w:tcW w:w="2379" w:type="dxa"/>
            <w:tcBorders>
              <w:top w:val="single" w:sz="8" w:space="0" w:color="000000"/>
              <w:left w:val="single" w:sz="8" w:space="0" w:color="000000"/>
              <w:bottom w:val="single" w:sz="8" w:space="0" w:color="000000"/>
              <w:right w:val="single" w:sz="8" w:space="0" w:color="000000"/>
            </w:tcBorders>
          </w:tcPr>
          <w:p w14:paraId="3EFED4AD"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color w:val="000000"/>
                <w:szCs w:val="22"/>
                <w:lang w:val="sr-Latn-RS"/>
              </w:rPr>
              <w:t>Često</w:t>
            </w:r>
          </w:p>
        </w:tc>
        <w:tc>
          <w:tcPr>
            <w:tcW w:w="2379" w:type="dxa"/>
            <w:tcBorders>
              <w:top w:val="single" w:sz="8" w:space="0" w:color="000000"/>
              <w:left w:val="single" w:sz="8" w:space="0" w:color="000000"/>
              <w:bottom w:val="single" w:sz="8" w:space="0" w:color="000000"/>
            </w:tcBorders>
          </w:tcPr>
          <w:p w14:paraId="5131CF2F"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color w:val="000000"/>
                <w:szCs w:val="22"/>
                <w:lang w:val="sr-Latn-RS"/>
              </w:rPr>
              <w:t xml:space="preserve">Somnolencija, vrtoglavica, glavobolja (naročito na početku liječenja) </w:t>
            </w:r>
          </w:p>
        </w:tc>
      </w:tr>
      <w:tr w:rsidR="007006F4" w:rsidRPr="00E43CDC" w14:paraId="732BF237" w14:textId="77777777" w:rsidTr="003B503F">
        <w:trPr>
          <w:gridAfter w:val="1"/>
          <w:wAfter w:w="7" w:type="pct"/>
        </w:trPr>
        <w:tc>
          <w:tcPr>
            <w:tcW w:w="4279" w:type="dxa"/>
            <w:vMerge/>
            <w:tcBorders>
              <w:right w:val="single" w:sz="8" w:space="0" w:color="000000"/>
            </w:tcBorders>
          </w:tcPr>
          <w:p w14:paraId="5A617280" w14:textId="77777777" w:rsidR="007006F4" w:rsidRPr="00E43CDC" w:rsidRDefault="007006F4" w:rsidP="00F64091">
            <w:pPr>
              <w:widowControl w:val="0"/>
              <w:tabs>
                <w:tab w:val="clear" w:pos="567"/>
              </w:tabs>
              <w:autoSpaceDE w:val="0"/>
              <w:autoSpaceDN w:val="0"/>
              <w:adjustRightInd w:val="0"/>
              <w:spacing w:line="240" w:lineRule="auto"/>
              <w:rPr>
                <w:szCs w:val="22"/>
                <w:lang w:val="sr-Latn-RS"/>
              </w:rPr>
            </w:pPr>
          </w:p>
        </w:tc>
        <w:tc>
          <w:tcPr>
            <w:tcW w:w="2379" w:type="dxa"/>
            <w:tcBorders>
              <w:top w:val="single" w:sz="8" w:space="0" w:color="000000"/>
              <w:left w:val="single" w:sz="8" w:space="0" w:color="000000"/>
              <w:bottom w:val="single" w:sz="8" w:space="0" w:color="000000"/>
              <w:right w:val="single" w:sz="8" w:space="0" w:color="000000"/>
            </w:tcBorders>
          </w:tcPr>
          <w:p w14:paraId="67727D47"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color w:val="000000"/>
                <w:szCs w:val="22"/>
                <w:lang w:val="sr-Latn-RS"/>
              </w:rPr>
              <w:t>Povremeno</w:t>
            </w:r>
          </w:p>
        </w:tc>
        <w:tc>
          <w:tcPr>
            <w:tcW w:w="2379" w:type="dxa"/>
            <w:tcBorders>
              <w:top w:val="single" w:sz="8" w:space="0" w:color="000000"/>
              <w:left w:val="single" w:sz="8" w:space="0" w:color="000000"/>
              <w:bottom w:val="single" w:sz="8" w:space="0" w:color="000000"/>
            </w:tcBorders>
          </w:tcPr>
          <w:p w14:paraId="2E3CF266"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color w:val="000000"/>
                <w:szCs w:val="22"/>
                <w:lang w:val="sr-Latn-RS"/>
              </w:rPr>
              <w:t xml:space="preserve">Tremor, disgeuzija, sinkopa, parestezija, hipoestezija </w:t>
            </w:r>
          </w:p>
        </w:tc>
      </w:tr>
      <w:tr w:rsidR="007006F4" w:rsidRPr="00E43CDC" w14:paraId="0C7F2CF3" w14:textId="77777777" w:rsidTr="003B503F">
        <w:trPr>
          <w:gridAfter w:val="1"/>
          <w:wAfter w:w="7" w:type="pct"/>
        </w:trPr>
        <w:tc>
          <w:tcPr>
            <w:tcW w:w="4279" w:type="dxa"/>
            <w:vMerge/>
            <w:tcBorders>
              <w:right w:val="single" w:sz="8" w:space="0" w:color="000000"/>
            </w:tcBorders>
          </w:tcPr>
          <w:p w14:paraId="77F82CE6" w14:textId="77777777" w:rsidR="007006F4" w:rsidRPr="00E43CDC" w:rsidRDefault="007006F4" w:rsidP="00F64091">
            <w:pPr>
              <w:widowControl w:val="0"/>
              <w:tabs>
                <w:tab w:val="clear" w:pos="567"/>
              </w:tabs>
              <w:autoSpaceDE w:val="0"/>
              <w:autoSpaceDN w:val="0"/>
              <w:adjustRightInd w:val="0"/>
              <w:spacing w:line="240" w:lineRule="auto"/>
              <w:rPr>
                <w:szCs w:val="22"/>
                <w:lang w:val="sr-Latn-RS"/>
              </w:rPr>
            </w:pPr>
          </w:p>
        </w:tc>
        <w:tc>
          <w:tcPr>
            <w:tcW w:w="2379" w:type="dxa"/>
            <w:tcBorders>
              <w:top w:val="single" w:sz="8" w:space="0" w:color="000000"/>
              <w:left w:val="single" w:sz="8" w:space="0" w:color="000000"/>
              <w:bottom w:val="single" w:sz="8" w:space="0" w:color="000000"/>
              <w:right w:val="single" w:sz="8" w:space="0" w:color="000000"/>
            </w:tcBorders>
          </w:tcPr>
          <w:p w14:paraId="06DF7CC1"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color w:val="000000"/>
                <w:szCs w:val="22"/>
                <w:lang w:val="sr-Latn-RS"/>
              </w:rPr>
              <w:t>Veoma rijetko</w:t>
            </w:r>
          </w:p>
        </w:tc>
        <w:tc>
          <w:tcPr>
            <w:tcW w:w="2379" w:type="dxa"/>
            <w:tcBorders>
              <w:top w:val="single" w:sz="8" w:space="0" w:color="000000"/>
              <w:left w:val="single" w:sz="8" w:space="0" w:color="000000"/>
              <w:bottom w:val="single" w:sz="8" w:space="0" w:color="000000"/>
            </w:tcBorders>
          </w:tcPr>
          <w:p w14:paraId="46C19BB4"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color w:val="000000"/>
                <w:szCs w:val="22"/>
                <w:lang w:val="sr-Latn-RS"/>
              </w:rPr>
              <w:t xml:space="preserve">Hipertonija, periferna neuropatija </w:t>
            </w:r>
          </w:p>
        </w:tc>
      </w:tr>
      <w:tr w:rsidR="007006F4" w:rsidRPr="00E43CDC" w14:paraId="1B9D4BA2" w14:textId="77777777" w:rsidTr="003B503F">
        <w:trPr>
          <w:gridAfter w:val="1"/>
          <w:wAfter w:w="7" w:type="pct"/>
        </w:trPr>
        <w:tc>
          <w:tcPr>
            <w:tcW w:w="4279" w:type="dxa"/>
            <w:tcBorders>
              <w:right w:val="single" w:sz="8" w:space="0" w:color="000000"/>
            </w:tcBorders>
          </w:tcPr>
          <w:p w14:paraId="05EC109E" w14:textId="77777777" w:rsidR="007006F4" w:rsidRPr="00E43CDC" w:rsidRDefault="007006F4" w:rsidP="00F64091">
            <w:pPr>
              <w:widowControl w:val="0"/>
              <w:tabs>
                <w:tab w:val="clear" w:pos="567"/>
              </w:tabs>
              <w:autoSpaceDE w:val="0"/>
              <w:autoSpaceDN w:val="0"/>
              <w:adjustRightInd w:val="0"/>
              <w:spacing w:line="240" w:lineRule="auto"/>
              <w:rPr>
                <w:szCs w:val="22"/>
                <w:lang w:val="sr-Latn-RS"/>
              </w:rPr>
            </w:pPr>
          </w:p>
        </w:tc>
        <w:tc>
          <w:tcPr>
            <w:tcW w:w="2379" w:type="dxa"/>
            <w:tcBorders>
              <w:top w:val="single" w:sz="8" w:space="0" w:color="000000"/>
              <w:left w:val="single" w:sz="8" w:space="0" w:color="000000"/>
              <w:bottom w:val="single" w:sz="8" w:space="0" w:color="000000"/>
              <w:right w:val="single" w:sz="8" w:space="0" w:color="000000"/>
            </w:tcBorders>
          </w:tcPr>
          <w:p w14:paraId="4C462290"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color w:val="000000"/>
                <w:szCs w:val="22"/>
                <w:lang w:val="sr-Latn-RS"/>
              </w:rPr>
              <w:t>Nepoznato</w:t>
            </w:r>
          </w:p>
        </w:tc>
        <w:tc>
          <w:tcPr>
            <w:tcW w:w="2379" w:type="dxa"/>
            <w:tcBorders>
              <w:top w:val="single" w:sz="8" w:space="0" w:color="000000"/>
              <w:left w:val="single" w:sz="8" w:space="0" w:color="000000"/>
              <w:bottom w:val="single" w:sz="8" w:space="0" w:color="000000"/>
            </w:tcBorders>
          </w:tcPr>
          <w:p w14:paraId="39A8CBC0"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szCs w:val="22"/>
                <w:lang w:val="sr-Latn-RS"/>
              </w:rPr>
              <w:t>Ekstrapiramidalni poremećaj</w:t>
            </w:r>
          </w:p>
        </w:tc>
      </w:tr>
      <w:tr w:rsidR="007006F4" w:rsidRPr="00E43CDC" w14:paraId="3648709F" w14:textId="77777777" w:rsidTr="003B503F">
        <w:trPr>
          <w:gridAfter w:val="1"/>
          <w:wAfter w:w="7" w:type="pct"/>
        </w:trPr>
        <w:tc>
          <w:tcPr>
            <w:tcW w:w="4279" w:type="dxa"/>
            <w:tcBorders>
              <w:top w:val="single" w:sz="8" w:space="0" w:color="000000"/>
              <w:bottom w:val="single" w:sz="8" w:space="0" w:color="000000"/>
              <w:right w:val="single" w:sz="8" w:space="0" w:color="000000"/>
            </w:tcBorders>
          </w:tcPr>
          <w:p w14:paraId="7C6B593E"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b/>
                <w:bCs/>
                <w:color w:val="000000"/>
                <w:szCs w:val="22"/>
                <w:lang w:val="sr-Latn-RS"/>
              </w:rPr>
              <w:t xml:space="preserve">Poremećaji vida </w:t>
            </w:r>
          </w:p>
        </w:tc>
        <w:tc>
          <w:tcPr>
            <w:tcW w:w="2379" w:type="dxa"/>
            <w:tcBorders>
              <w:top w:val="single" w:sz="8" w:space="0" w:color="000000"/>
              <w:left w:val="single" w:sz="8" w:space="0" w:color="000000"/>
              <w:bottom w:val="single" w:sz="8" w:space="0" w:color="000000"/>
              <w:right w:val="single" w:sz="8" w:space="0" w:color="000000"/>
            </w:tcBorders>
          </w:tcPr>
          <w:p w14:paraId="3D4BA618"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color w:val="000000"/>
                <w:szCs w:val="22"/>
                <w:lang w:val="sr-Latn-RS"/>
              </w:rPr>
              <w:t>Često</w:t>
            </w:r>
          </w:p>
        </w:tc>
        <w:tc>
          <w:tcPr>
            <w:tcW w:w="2379" w:type="dxa"/>
            <w:tcBorders>
              <w:top w:val="single" w:sz="8" w:space="0" w:color="000000"/>
              <w:left w:val="single" w:sz="8" w:space="0" w:color="000000"/>
              <w:bottom w:val="single" w:sz="8" w:space="0" w:color="000000"/>
            </w:tcBorders>
          </w:tcPr>
          <w:p w14:paraId="1A2FC941"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color w:val="000000"/>
                <w:szCs w:val="22"/>
                <w:lang w:val="sr-Latn-RS"/>
              </w:rPr>
              <w:t xml:space="preserve">Poremećaji vida (uključujući diplopiju) </w:t>
            </w:r>
          </w:p>
        </w:tc>
      </w:tr>
      <w:tr w:rsidR="007006F4" w:rsidRPr="00E43CDC" w14:paraId="2B828E8A" w14:textId="77777777" w:rsidTr="003B503F">
        <w:trPr>
          <w:gridAfter w:val="1"/>
          <w:wAfter w:w="7" w:type="pct"/>
        </w:trPr>
        <w:tc>
          <w:tcPr>
            <w:tcW w:w="4279" w:type="dxa"/>
            <w:tcBorders>
              <w:top w:val="single" w:sz="8" w:space="0" w:color="000000"/>
              <w:bottom w:val="single" w:sz="8" w:space="0" w:color="000000"/>
              <w:right w:val="single" w:sz="8" w:space="0" w:color="000000"/>
            </w:tcBorders>
          </w:tcPr>
          <w:p w14:paraId="14154B79"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b/>
                <w:bCs/>
                <w:color w:val="000000"/>
                <w:szCs w:val="22"/>
                <w:lang w:val="sr-Latn-RS"/>
              </w:rPr>
              <w:t xml:space="preserve">Poremećaji uha i labirinta </w:t>
            </w:r>
          </w:p>
        </w:tc>
        <w:tc>
          <w:tcPr>
            <w:tcW w:w="2379" w:type="dxa"/>
            <w:tcBorders>
              <w:top w:val="single" w:sz="8" w:space="0" w:color="000000"/>
              <w:left w:val="single" w:sz="8" w:space="0" w:color="000000"/>
              <w:bottom w:val="single" w:sz="8" w:space="0" w:color="000000"/>
              <w:right w:val="single" w:sz="8" w:space="0" w:color="000000"/>
            </w:tcBorders>
          </w:tcPr>
          <w:p w14:paraId="0FFD0DEB"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color w:val="000000"/>
                <w:szCs w:val="22"/>
                <w:lang w:val="sr-Latn-RS"/>
              </w:rPr>
              <w:t>Povremeno</w:t>
            </w:r>
          </w:p>
        </w:tc>
        <w:tc>
          <w:tcPr>
            <w:tcW w:w="2379" w:type="dxa"/>
            <w:tcBorders>
              <w:top w:val="single" w:sz="8" w:space="0" w:color="000000"/>
              <w:left w:val="single" w:sz="8" w:space="0" w:color="000000"/>
              <w:bottom w:val="single" w:sz="8" w:space="0" w:color="000000"/>
            </w:tcBorders>
          </w:tcPr>
          <w:p w14:paraId="7A0BA33F"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color w:val="000000"/>
                <w:szCs w:val="22"/>
                <w:lang w:val="sr-Latn-RS"/>
              </w:rPr>
              <w:t xml:space="preserve">Tinitus </w:t>
            </w:r>
          </w:p>
        </w:tc>
      </w:tr>
      <w:tr w:rsidR="007006F4" w:rsidRPr="00E43CDC" w14:paraId="205A8A21" w14:textId="77777777" w:rsidTr="003B503F">
        <w:trPr>
          <w:gridAfter w:val="1"/>
          <w:wAfter w:w="7" w:type="pct"/>
        </w:trPr>
        <w:tc>
          <w:tcPr>
            <w:tcW w:w="4279" w:type="dxa"/>
            <w:vMerge w:val="restart"/>
            <w:tcBorders>
              <w:top w:val="single" w:sz="8" w:space="0" w:color="000000"/>
              <w:bottom w:val="single" w:sz="8" w:space="0" w:color="000000"/>
              <w:right w:val="single" w:sz="8" w:space="0" w:color="000000"/>
            </w:tcBorders>
          </w:tcPr>
          <w:p w14:paraId="4AA31847"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b/>
                <w:bCs/>
                <w:color w:val="000000"/>
                <w:szCs w:val="22"/>
                <w:lang w:val="sr-Latn-RS"/>
              </w:rPr>
              <w:t xml:space="preserve">Kardiološki poremećaji </w:t>
            </w:r>
          </w:p>
        </w:tc>
        <w:tc>
          <w:tcPr>
            <w:tcW w:w="2379" w:type="dxa"/>
            <w:tcBorders>
              <w:top w:val="single" w:sz="8" w:space="0" w:color="000000"/>
              <w:left w:val="single" w:sz="8" w:space="0" w:color="000000"/>
              <w:bottom w:val="single" w:sz="8" w:space="0" w:color="000000"/>
              <w:right w:val="single" w:sz="8" w:space="0" w:color="000000"/>
            </w:tcBorders>
          </w:tcPr>
          <w:p w14:paraId="6DE734F5"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color w:val="000000"/>
                <w:szCs w:val="22"/>
                <w:lang w:val="sr-Latn-RS"/>
              </w:rPr>
              <w:t>Često</w:t>
            </w:r>
          </w:p>
        </w:tc>
        <w:tc>
          <w:tcPr>
            <w:tcW w:w="2379" w:type="dxa"/>
            <w:tcBorders>
              <w:top w:val="single" w:sz="8" w:space="0" w:color="000000"/>
              <w:left w:val="single" w:sz="8" w:space="0" w:color="000000"/>
              <w:bottom w:val="single" w:sz="8" w:space="0" w:color="000000"/>
            </w:tcBorders>
          </w:tcPr>
          <w:p w14:paraId="59E77AB0"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color w:val="000000"/>
                <w:szCs w:val="22"/>
                <w:lang w:val="sr-Latn-RS"/>
              </w:rPr>
              <w:t>Palpitacije</w:t>
            </w:r>
          </w:p>
        </w:tc>
      </w:tr>
      <w:tr w:rsidR="007006F4" w:rsidRPr="00E43CDC" w14:paraId="6B0AFB0B" w14:textId="77777777" w:rsidTr="003B503F">
        <w:trPr>
          <w:gridAfter w:val="1"/>
          <w:wAfter w:w="7" w:type="pct"/>
        </w:trPr>
        <w:tc>
          <w:tcPr>
            <w:tcW w:w="4279" w:type="dxa"/>
            <w:vMerge/>
            <w:tcBorders>
              <w:top w:val="single" w:sz="8" w:space="0" w:color="000000"/>
              <w:bottom w:val="single" w:sz="8" w:space="0" w:color="000000"/>
              <w:right w:val="single" w:sz="8" w:space="0" w:color="000000"/>
            </w:tcBorders>
          </w:tcPr>
          <w:p w14:paraId="4C71E5CF" w14:textId="77777777" w:rsidR="007006F4" w:rsidRPr="00E43CDC" w:rsidRDefault="007006F4" w:rsidP="00CB0A81">
            <w:pPr>
              <w:widowControl w:val="0"/>
              <w:tabs>
                <w:tab w:val="clear" w:pos="567"/>
              </w:tabs>
              <w:autoSpaceDE w:val="0"/>
              <w:autoSpaceDN w:val="0"/>
              <w:adjustRightInd w:val="0"/>
              <w:spacing w:line="240" w:lineRule="auto"/>
              <w:jc w:val="both"/>
              <w:rPr>
                <w:b/>
                <w:bCs/>
                <w:color w:val="000000"/>
                <w:szCs w:val="22"/>
                <w:lang w:val="sr-Latn-RS"/>
              </w:rPr>
            </w:pPr>
          </w:p>
        </w:tc>
        <w:tc>
          <w:tcPr>
            <w:tcW w:w="2379" w:type="dxa"/>
            <w:tcBorders>
              <w:top w:val="single" w:sz="8" w:space="0" w:color="000000"/>
              <w:left w:val="single" w:sz="8" w:space="0" w:color="000000"/>
              <w:bottom w:val="single" w:sz="8" w:space="0" w:color="000000"/>
              <w:right w:val="single" w:sz="8" w:space="0" w:color="000000"/>
            </w:tcBorders>
          </w:tcPr>
          <w:p w14:paraId="488A1D86"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color w:val="000000"/>
                <w:szCs w:val="22"/>
                <w:lang w:val="sr-Latn-RS"/>
              </w:rPr>
              <w:t>Povremeno</w:t>
            </w:r>
          </w:p>
        </w:tc>
        <w:tc>
          <w:tcPr>
            <w:tcW w:w="2379" w:type="dxa"/>
            <w:tcBorders>
              <w:top w:val="single" w:sz="8" w:space="0" w:color="000000"/>
              <w:left w:val="single" w:sz="8" w:space="0" w:color="000000"/>
              <w:bottom w:val="single" w:sz="8" w:space="0" w:color="000000"/>
            </w:tcBorders>
          </w:tcPr>
          <w:p w14:paraId="759B8A06"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color w:val="000000"/>
                <w:szCs w:val="22"/>
                <w:lang w:val="sr-Latn-RS"/>
              </w:rPr>
              <w:t>Aritmija (uključujući bradikardiju, ventrikularnu tahikardiju i atrijalnu fibrilaciju)</w:t>
            </w:r>
          </w:p>
        </w:tc>
      </w:tr>
      <w:tr w:rsidR="007006F4" w:rsidRPr="00E43CDC" w14:paraId="37B28F1E" w14:textId="77777777" w:rsidTr="003B503F">
        <w:trPr>
          <w:gridAfter w:val="1"/>
          <w:wAfter w:w="7" w:type="pct"/>
        </w:trPr>
        <w:tc>
          <w:tcPr>
            <w:tcW w:w="4279" w:type="dxa"/>
            <w:vMerge/>
            <w:tcBorders>
              <w:top w:val="single" w:sz="8" w:space="0" w:color="000000"/>
              <w:bottom w:val="single" w:sz="8" w:space="0" w:color="000000"/>
              <w:right w:val="single" w:sz="8" w:space="0" w:color="000000"/>
            </w:tcBorders>
          </w:tcPr>
          <w:p w14:paraId="1F4DC05F" w14:textId="77777777" w:rsidR="007006F4" w:rsidRPr="00E43CDC" w:rsidRDefault="007006F4" w:rsidP="00CB0A81">
            <w:pPr>
              <w:widowControl w:val="0"/>
              <w:tabs>
                <w:tab w:val="clear" w:pos="567"/>
              </w:tabs>
              <w:autoSpaceDE w:val="0"/>
              <w:autoSpaceDN w:val="0"/>
              <w:adjustRightInd w:val="0"/>
              <w:spacing w:line="240" w:lineRule="auto"/>
              <w:jc w:val="both"/>
              <w:rPr>
                <w:szCs w:val="22"/>
                <w:lang w:val="sr-Latn-RS"/>
              </w:rPr>
            </w:pPr>
          </w:p>
        </w:tc>
        <w:tc>
          <w:tcPr>
            <w:tcW w:w="2379" w:type="dxa"/>
            <w:tcBorders>
              <w:top w:val="single" w:sz="8" w:space="0" w:color="000000"/>
              <w:left w:val="single" w:sz="8" w:space="0" w:color="000000"/>
              <w:bottom w:val="single" w:sz="8" w:space="0" w:color="000000"/>
              <w:right w:val="single" w:sz="8" w:space="0" w:color="000000"/>
            </w:tcBorders>
          </w:tcPr>
          <w:p w14:paraId="04D9BB3B"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color w:val="000000"/>
                <w:szCs w:val="22"/>
                <w:lang w:val="sr-Latn-RS"/>
              </w:rPr>
              <w:t>Veoma rijetko</w:t>
            </w:r>
          </w:p>
        </w:tc>
        <w:tc>
          <w:tcPr>
            <w:tcW w:w="2379" w:type="dxa"/>
            <w:tcBorders>
              <w:top w:val="single" w:sz="8" w:space="0" w:color="000000"/>
              <w:left w:val="single" w:sz="8" w:space="0" w:color="000000"/>
              <w:bottom w:val="single" w:sz="8" w:space="0" w:color="000000"/>
            </w:tcBorders>
          </w:tcPr>
          <w:p w14:paraId="2FF07B2F"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color w:val="000000"/>
                <w:szCs w:val="22"/>
                <w:lang w:val="sr-Latn-RS"/>
              </w:rPr>
              <w:t>Infarkt miokarda</w:t>
            </w:r>
          </w:p>
        </w:tc>
      </w:tr>
      <w:tr w:rsidR="007006F4" w:rsidRPr="00E43CDC" w14:paraId="2CAC5F1F" w14:textId="77777777" w:rsidTr="003B503F">
        <w:trPr>
          <w:gridAfter w:val="1"/>
          <w:wAfter w:w="7" w:type="pct"/>
        </w:trPr>
        <w:tc>
          <w:tcPr>
            <w:tcW w:w="4279" w:type="dxa"/>
            <w:vMerge w:val="restart"/>
            <w:tcBorders>
              <w:top w:val="single" w:sz="8" w:space="0" w:color="000000"/>
              <w:bottom w:val="single" w:sz="8" w:space="0" w:color="000000"/>
              <w:right w:val="single" w:sz="8" w:space="0" w:color="000000"/>
            </w:tcBorders>
          </w:tcPr>
          <w:p w14:paraId="582951F5"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b/>
                <w:bCs/>
                <w:color w:val="000000"/>
                <w:szCs w:val="22"/>
                <w:lang w:val="sr-Latn-RS"/>
              </w:rPr>
              <w:t xml:space="preserve">Vaskularni poremećaji </w:t>
            </w:r>
          </w:p>
        </w:tc>
        <w:tc>
          <w:tcPr>
            <w:tcW w:w="2379" w:type="dxa"/>
            <w:tcBorders>
              <w:top w:val="single" w:sz="8" w:space="0" w:color="000000"/>
              <w:left w:val="single" w:sz="8" w:space="0" w:color="000000"/>
              <w:bottom w:val="single" w:sz="8" w:space="0" w:color="000000"/>
              <w:right w:val="single" w:sz="8" w:space="0" w:color="000000"/>
            </w:tcBorders>
          </w:tcPr>
          <w:p w14:paraId="4439F899"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color w:val="000000"/>
                <w:szCs w:val="22"/>
                <w:lang w:val="sr-Latn-RS"/>
              </w:rPr>
              <w:t>Često</w:t>
            </w:r>
          </w:p>
        </w:tc>
        <w:tc>
          <w:tcPr>
            <w:tcW w:w="2379" w:type="dxa"/>
            <w:tcBorders>
              <w:top w:val="single" w:sz="8" w:space="0" w:color="000000"/>
              <w:left w:val="single" w:sz="8" w:space="0" w:color="000000"/>
              <w:bottom w:val="single" w:sz="8" w:space="0" w:color="000000"/>
            </w:tcBorders>
          </w:tcPr>
          <w:p w14:paraId="7F02E231" w14:textId="700C9EDD" w:rsidR="007006F4" w:rsidRPr="00E43CDC" w:rsidRDefault="0066152A" w:rsidP="00F64091">
            <w:pPr>
              <w:widowControl w:val="0"/>
              <w:tabs>
                <w:tab w:val="clear" w:pos="567"/>
              </w:tabs>
              <w:autoSpaceDE w:val="0"/>
              <w:autoSpaceDN w:val="0"/>
              <w:adjustRightInd w:val="0"/>
              <w:spacing w:line="240" w:lineRule="auto"/>
              <w:rPr>
                <w:color w:val="000000"/>
                <w:szCs w:val="22"/>
                <w:lang w:val="sr-Latn-RS"/>
              </w:rPr>
            </w:pPr>
            <w:r w:rsidRPr="00E43CDC">
              <w:rPr>
                <w:color w:val="000000"/>
                <w:szCs w:val="22"/>
                <w:lang w:val="sr-Latn-RS"/>
              </w:rPr>
              <w:t>Naleti c</w:t>
            </w:r>
            <w:r w:rsidR="00F15505" w:rsidRPr="00E43CDC">
              <w:rPr>
                <w:color w:val="000000"/>
                <w:szCs w:val="22"/>
                <w:lang w:val="sr-Latn-RS"/>
              </w:rPr>
              <w:t>rvenil</w:t>
            </w:r>
            <w:r w:rsidRPr="00E43CDC">
              <w:rPr>
                <w:color w:val="000000"/>
                <w:szCs w:val="22"/>
                <w:lang w:val="sr-Latn-RS"/>
              </w:rPr>
              <w:t>a i vrućine</w:t>
            </w:r>
          </w:p>
        </w:tc>
      </w:tr>
      <w:tr w:rsidR="007006F4" w:rsidRPr="00E43CDC" w14:paraId="5099D779" w14:textId="77777777" w:rsidTr="003B503F">
        <w:trPr>
          <w:gridAfter w:val="1"/>
          <w:wAfter w:w="7" w:type="pct"/>
        </w:trPr>
        <w:tc>
          <w:tcPr>
            <w:tcW w:w="4279" w:type="dxa"/>
            <w:vMerge/>
            <w:tcBorders>
              <w:top w:val="single" w:sz="8" w:space="0" w:color="000000"/>
              <w:bottom w:val="single" w:sz="8" w:space="0" w:color="000000"/>
              <w:right w:val="single" w:sz="8" w:space="0" w:color="000000"/>
            </w:tcBorders>
          </w:tcPr>
          <w:p w14:paraId="6BCA02B3" w14:textId="77777777" w:rsidR="007006F4" w:rsidRPr="00E43CDC" w:rsidRDefault="007006F4" w:rsidP="00F64091">
            <w:pPr>
              <w:widowControl w:val="0"/>
              <w:tabs>
                <w:tab w:val="clear" w:pos="567"/>
              </w:tabs>
              <w:autoSpaceDE w:val="0"/>
              <w:autoSpaceDN w:val="0"/>
              <w:adjustRightInd w:val="0"/>
              <w:spacing w:line="240" w:lineRule="auto"/>
              <w:rPr>
                <w:szCs w:val="22"/>
                <w:lang w:val="sr-Latn-RS"/>
              </w:rPr>
            </w:pPr>
          </w:p>
        </w:tc>
        <w:tc>
          <w:tcPr>
            <w:tcW w:w="2379" w:type="dxa"/>
            <w:tcBorders>
              <w:top w:val="single" w:sz="8" w:space="0" w:color="000000"/>
              <w:left w:val="single" w:sz="8" w:space="0" w:color="000000"/>
              <w:bottom w:val="single" w:sz="8" w:space="0" w:color="000000"/>
              <w:right w:val="single" w:sz="8" w:space="0" w:color="000000"/>
            </w:tcBorders>
          </w:tcPr>
          <w:p w14:paraId="3FD67015"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color w:val="000000"/>
                <w:szCs w:val="22"/>
                <w:lang w:val="sr-Latn-RS"/>
              </w:rPr>
              <w:t>Povremeno</w:t>
            </w:r>
          </w:p>
        </w:tc>
        <w:tc>
          <w:tcPr>
            <w:tcW w:w="2379" w:type="dxa"/>
            <w:tcBorders>
              <w:top w:val="single" w:sz="8" w:space="0" w:color="000000"/>
              <w:left w:val="single" w:sz="8" w:space="0" w:color="000000"/>
              <w:bottom w:val="single" w:sz="8" w:space="0" w:color="000000"/>
            </w:tcBorders>
          </w:tcPr>
          <w:p w14:paraId="2096B491"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color w:val="000000"/>
                <w:szCs w:val="22"/>
                <w:lang w:val="sr-Latn-RS"/>
              </w:rPr>
              <w:t xml:space="preserve">Hipotenzija </w:t>
            </w:r>
          </w:p>
        </w:tc>
      </w:tr>
      <w:tr w:rsidR="007006F4" w:rsidRPr="00E43CDC" w14:paraId="28724CBD" w14:textId="77777777" w:rsidTr="003B503F">
        <w:trPr>
          <w:gridAfter w:val="1"/>
          <w:wAfter w:w="7" w:type="pct"/>
        </w:trPr>
        <w:tc>
          <w:tcPr>
            <w:tcW w:w="4279" w:type="dxa"/>
            <w:vMerge/>
            <w:tcBorders>
              <w:top w:val="single" w:sz="8" w:space="0" w:color="000000"/>
              <w:bottom w:val="single" w:sz="8" w:space="0" w:color="000000"/>
              <w:right w:val="single" w:sz="8" w:space="0" w:color="000000"/>
            </w:tcBorders>
          </w:tcPr>
          <w:p w14:paraId="38EC0AA9" w14:textId="77777777" w:rsidR="007006F4" w:rsidRPr="00E43CDC" w:rsidRDefault="007006F4" w:rsidP="00F64091">
            <w:pPr>
              <w:widowControl w:val="0"/>
              <w:tabs>
                <w:tab w:val="clear" w:pos="567"/>
              </w:tabs>
              <w:autoSpaceDE w:val="0"/>
              <w:autoSpaceDN w:val="0"/>
              <w:adjustRightInd w:val="0"/>
              <w:spacing w:line="240" w:lineRule="auto"/>
              <w:rPr>
                <w:szCs w:val="22"/>
                <w:lang w:val="sr-Latn-RS"/>
              </w:rPr>
            </w:pPr>
          </w:p>
        </w:tc>
        <w:tc>
          <w:tcPr>
            <w:tcW w:w="2379" w:type="dxa"/>
            <w:tcBorders>
              <w:top w:val="single" w:sz="8" w:space="0" w:color="000000"/>
              <w:left w:val="single" w:sz="8" w:space="0" w:color="000000"/>
              <w:bottom w:val="single" w:sz="8" w:space="0" w:color="000000"/>
              <w:right w:val="single" w:sz="8" w:space="0" w:color="000000"/>
            </w:tcBorders>
          </w:tcPr>
          <w:p w14:paraId="5261B6BB"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color w:val="000000"/>
                <w:szCs w:val="22"/>
                <w:lang w:val="sr-Latn-RS"/>
              </w:rPr>
              <w:t>Veoma rijetko</w:t>
            </w:r>
          </w:p>
        </w:tc>
        <w:tc>
          <w:tcPr>
            <w:tcW w:w="2379" w:type="dxa"/>
            <w:tcBorders>
              <w:top w:val="single" w:sz="8" w:space="0" w:color="000000"/>
              <w:left w:val="single" w:sz="8" w:space="0" w:color="000000"/>
              <w:bottom w:val="single" w:sz="8" w:space="0" w:color="000000"/>
            </w:tcBorders>
          </w:tcPr>
          <w:p w14:paraId="09AC0CC3"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color w:val="000000"/>
                <w:szCs w:val="22"/>
                <w:lang w:val="sr-Latn-RS"/>
              </w:rPr>
              <w:t xml:space="preserve">Vaskulitis </w:t>
            </w:r>
          </w:p>
        </w:tc>
      </w:tr>
      <w:tr w:rsidR="007006F4" w:rsidRPr="00E43CDC" w14:paraId="726B9298" w14:textId="77777777" w:rsidTr="003B503F">
        <w:trPr>
          <w:gridAfter w:val="1"/>
          <w:wAfter w:w="7" w:type="pct"/>
        </w:trPr>
        <w:tc>
          <w:tcPr>
            <w:tcW w:w="4279" w:type="dxa"/>
            <w:vMerge w:val="restart"/>
            <w:tcBorders>
              <w:top w:val="single" w:sz="8" w:space="0" w:color="000000"/>
              <w:bottom w:val="single" w:sz="8" w:space="0" w:color="000000"/>
              <w:right w:val="single" w:sz="8" w:space="0" w:color="000000"/>
            </w:tcBorders>
          </w:tcPr>
          <w:p w14:paraId="43F6B578"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b/>
                <w:szCs w:val="22"/>
                <w:lang w:val="sr-Latn-RS"/>
              </w:rPr>
              <w:t xml:space="preserve">Respiratorni, torakalni i poremećaji medijastinuma </w:t>
            </w:r>
          </w:p>
        </w:tc>
        <w:tc>
          <w:tcPr>
            <w:tcW w:w="2379" w:type="dxa"/>
            <w:tcBorders>
              <w:top w:val="single" w:sz="8" w:space="0" w:color="000000"/>
              <w:left w:val="single" w:sz="8" w:space="0" w:color="000000"/>
              <w:bottom w:val="single" w:sz="8" w:space="0" w:color="000000"/>
              <w:right w:val="single" w:sz="8" w:space="0" w:color="000000"/>
            </w:tcBorders>
          </w:tcPr>
          <w:p w14:paraId="6A9C8905"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color w:val="000000"/>
                <w:szCs w:val="22"/>
                <w:lang w:val="sr-Latn-RS"/>
              </w:rPr>
              <w:t>Često</w:t>
            </w:r>
          </w:p>
        </w:tc>
        <w:tc>
          <w:tcPr>
            <w:tcW w:w="2379" w:type="dxa"/>
            <w:tcBorders>
              <w:top w:val="single" w:sz="8" w:space="0" w:color="000000"/>
              <w:left w:val="single" w:sz="8" w:space="0" w:color="000000"/>
              <w:bottom w:val="single" w:sz="8" w:space="0" w:color="000000"/>
            </w:tcBorders>
          </w:tcPr>
          <w:p w14:paraId="12416926"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color w:val="000000"/>
                <w:szCs w:val="22"/>
                <w:lang w:val="sr-Latn-RS"/>
              </w:rPr>
              <w:t>Dispneja</w:t>
            </w:r>
          </w:p>
        </w:tc>
      </w:tr>
      <w:tr w:rsidR="007006F4" w:rsidRPr="00E43CDC" w14:paraId="49C6F754" w14:textId="77777777" w:rsidTr="003B503F">
        <w:trPr>
          <w:gridAfter w:val="1"/>
          <w:wAfter w:w="7" w:type="pct"/>
        </w:trPr>
        <w:tc>
          <w:tcPr>
            <w:tcW w:w="4279" w:type="dxa"/>
            <w:vMerge/>
            <w:tcBorders>
              <w:top w:val="single" w:sz="8" w:space="0" w:color="000000"/>
              <w:bottom w:val="single" w:sz="8" w:space="0" w:color="000000"/>
              <w:right w:val="single" w:sz="8" w:space="0" w:color="000000"/>
            </w:tcBorders>
          </w:tcPr>
          <w:p w14:paraId="23E3CF7A" w14:textId="77777777" w:rsidR="007006F4" w:rsidRPr="00E43CDC" w:rsidRDefault="007006F4" w:rsidP="00F64091">
            <w:pPr>
              <w:widowControl w:val="0"/>
              <w:tabs>
                <w:tab w:val="clear" w:pos="567"/>
              </w:tabs>
              <w:autoSpaceDE w:val="0"/>
              <w:autoSpaceDN w:val="0"/>
              <w:adjustRightInd w:val="0"/>
              <w:spacing w:line="240" w:lineRule="auto"/>
              <w:rPr>
                <w:szCs w:val="22"/>
                <w:lang w:val="sr-Latn-RS"/>
              </w:rPr>
            </w:pPr>
          </w:p>
        </w:tc>
        <w:tc>
          <w:tcPr>
            <w:tcW w:w="2379" w:type="dxa"/>
            <w:tcBorders>
              <w:top w:val="single" w:sz="8" w:space="0" w:color="000000"/>
              <w:left w:val="single" w:sz="8" w:space="0" w:color="000000"/>
              <w:bottom w:val="single" w:sz="8" w:space="0" w:color="000000"/>
              <w:right w:val="single" w:sz="8" w:space="0" w:color="000000"/>
            </w:tcBorders>
          </w:tcPr>
          <w:p w14:paraId="759B3157"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color w:val="000000"/>
                <w:szCs w:val="22"/>
                <w:lang w:val="sr-Latn-RS"/>
              </w:rPr>
              <w:t>Povremeno</w:t>
            </w:r>
          </w:p>
        </w:tc>
        <w:tc>
          <w:tcPr>
            <w:tcW w:w="2379" w:type="dxa"/>
            <w:tcBorders>
              <w:top w:val="single" w:sz="8" w:space="0" w:color="000000"/>
              <w:left w:val="single" w:sz="8" w:space="0" w:color="000000"/>
              <w:bottom w:val="single" w:sz="8" w:space="0" w:color="000000"/>
            </w:tcBorders>
          </w:tcPr>
          <w:p w14:paraId="5DC0D562"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color w:val="000000"/>
                <w:szCs w:val="22"/>
                <w:lang w:val="sr-Latn-RS"/>
              </w:rPr>
              <w:t>Kašalj, rinitis</w:t>
            </w:r>
          </w:p>
        </w:tc>
      </w:tr>
      <w:tr w:rsidR="007006F4" w:rsidRPr="00E43CDC" w14:paraId="76C0BF49" w14:textId="77777777" w:rsidTr="003B503F">
        <w:trPr>
          <w:gridAfter w:val="1"/>
          <w:wAfter w:w="7" w:type="pct"/>
        </w:trPr>
        <w:tc>
          <w:tcPr>
            <w:tcW w:w="4279" w:type="dxa"/>
            <w:vMerge w:val="restart"/>
            <w:tcBorders>
              <w:top w:val="single" w:sz="8" w:space="0" w:color="000000"/>
              <w:bottom w:val="single" w:sz="8" w:space="0" w:color="000000"/>
              <w:right w:val="single" w:sz="8" w:space="0" w:color="000000"/>
            </w:tcBorders>
          </w:tcPr>
          <w:p w14:paraId="710B2C7A"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b/>
                <w:bCs/>
                <w:color w:val="000000"/>
                <w:szCs w:val="22"/>
                <w:lang w:val="sr-Latn-RS"/>
              </w:rPr>
              <w:t>Gastrointestinalni poremećaji</w:t>
            </w:r>
          </w:p>
        </w:tc>
        <w:tc>
          <w:tcPr>
            <w:tcW w:w="2379" w:type="dxa"/>
            <w:tcBorders>
              <w:top w:val="single" w:sz="8" w:space="0" w:color="000000"/>
              <w:left w:val="single" w:sz="8" w:space="0" w:color="000000"/>
              <w:bottom w:val="single" w:sz="8" w:space="0" w:color="000000"/>
              <w:right w:val="single" w:sz="8" w:space="0" w:color="000000"/>
            </w:tcBorders>
          </w:tcPr>
          <w:p w14:paraId="54B631CA"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color w:val="000000"/>
                <w:szCs w:val="22"/>
                <w:lang w:val="sr-Latn-RS"/>
              </w:rPr>
              <w:t>Često</w:t>
            </w:r>
          </w:p>
        </w:tc>
        <w:tc>
          <w:tcPr>
            <w:tcW w:w="2379" w:type="dxa"/>
            <w:tcBorders>
              <w:top w:val="single" w:sz="8" w:space="0" w:color="000000"/>
              <w:left w:val="single" w:sz="8" w:space="0" w:color="000000"/>
              <w:bottom w:val="single" w:sz="8" w:space="0" w:color="000000"/>
            </w:tcBorders>
          </w:tcPr>
          <w:p w14:paraId="6CA0FAC1"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color w:val="000000"/>
                <w:szCs w:val="22"/>
                <w:lang w:val="sr-Latn-RS"/>
              </w:rPr>
              <w:t>Bol u abdomenu, mučnina, dispepsija, promijenjene navike crijeva (uključujući dijareju i konstipaciju)</w:t>
            </w:r>
          </w:p>
        </w:tc>
      </w:tr>
      <w:tr w:rsidR="007006F4" w:rsidRPr="00E43CDC" w14:paraId="6F539F83" w14:textId="77777777" w:rsidTr="003B503F">
        <w:trPr>
          <w:gridAfter w:val="1"/>
          <w:wAfter w:w="7" w:type="pct"/>
        </w:trPr>
        <w:tc>
          <w:tcPr>
            <w:tcW w:w="4279" w:type="dxa"/>
            <w:vMerge/>
            <w:tcBorders>
              <w:top w:val="single" w:sz="8" w:space="0" w:color="000000"/>
              <w:bottom w:val="single" w:sz="8" w:space="0" w:color="000000"/>
              <w:right w:val="single" w:sz="8" w:space="0" w:color="000000"/>
            </w:tcBorders>
          </w:tcPr>
          <w:p w14:paraId="5B77596A" w14:textId="77777777" w:rsidR="007006F4" w:rsidRPr="00E43CDC" w:rsidRDefault="007006F4" w:rsidP="00F64091">
            <w:pPr>
              <w:widowControl w:val="0"/>
              <w:tabs>
                <w:tab w:val="clear" w:pos="567"/>
              </w:tabs>
              <w:autoSpaceDE w:val="0"/>
              <w:autoSpaceDN w:val="0"/>
              <w:adjustRightInd w:val="0"/>
              <w:spacing w:line="240" w:lineRule="auto"/>
              <w:rPr>
                <w:szCs w:val="22"/>
                <w:lang w:val="sr-Latn-RS"/>
              </w:rPr>
            </w:pPr>
          </w:p>
        </w:tc>
        <w:tc>
          <w:tcPr>
            <w:tcW w:w="2379" w:type="dxa"/>
            <w:tcBorders>
              <w:top w:val="single" w:sz="8" w:space="0" w:color="000000"/>
              <w:left w:val="single" w:sz="8" w:space="0" w:color="000000"/>
              <w:bottom w:val="single" w:sz="8" w:space="0" w:color="000000"/>
              <w:right w:val="single" w:sz="8" w:space="0" w:color="000000"/>
            </w:tcBorders>
          </w:tcPr>
          <w:p w14:paraId="0CAE2821"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color w:val="000000"/>
                <w:szCs w:val="22"/>
                <w:lang w:val="sr-Latn-RS"/>
              </w:rPr>
              <w:t>Povremeno</w:t>
            </w:r>
          </w:p>
        </w:tc>
        <w:tc>
          <w:tcPr>
            <w:tcW w:w="2379" w:type="dxa"/>
            <w:tcBorders>
              <w:top w:val="single" w:sz="8" w:space="0" w:color="000000"/>
              <w:left w:val="single" w:sz="8" w:space="0" w:color="000000"/>
              <w:bottom w:val="single" w:sz="8" w:space="0" w:color="000000"/>
            </w:tcBorders>
          </w:tcPr>
          <w:p w14:paraId="10462DB1"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color w:val="000000"/>
                <w:szCs w:val="22"/>
                <w:lang w:val="sr-Latn-RS"/>
              </w:rPr>
              <w:t>Povraćanje, suva usta</w:t>
            </w:r>
          </w:p>
        </w:tc>
      </w:tr>
      <w:tr w:rsidR="007006F4" w:rsidRPr="00E43CDC" w14:paraId="6ECF18C3" w14:textId="77777777" w:rsidTr="003B503F">
        <w:trPr>
          <w:gridAfter w:val="1"/>
          <w:wAfter w:w="7" w:type="pct"/>
        </w:trPr>
        <w:tc>
          <w:tcPr>
            <w:tcW w:w="4279" w:type="dxa"/>
            <w:vMerge/>
            <w:tcBorders>
              <w:top w:val="single" w:sz="8" w:space="0" w:color="000000"/>
              <w:bottom w:val="single" w:sz="8" w:space="0" w:color="000000"/>
              <w:right w:val="single" w:sz="8" w:space="0" w:color="000000"/>
            </w:tcBorders>
          </w:tcPr>
          <w:p w14:paraId="761B57FA" w14:textId="77777777" w:rsidR="007006F4" w:rsidRPr="00E43CDC" w:rsidRDefault="007006F4" w:rsidP="00F64091">
            <w:pPr>
              <w:widowControl w:val="0"/>
              <w:tabs>
                <w:tab w:val="clear" w:pos="567"/>
              </w:tabs>
              <w:autoSpaceDE w:val="0"/>
              <w:autoSpaceDN w:val="0"/>
              <w:adjustRightInd w:val="0"/>
              <w:spacing w:line="240" w:lineRule="auto"/>
              <w:rPr>
                <w:szCs w:val="22"/>
                <w:lang w:val="sr-Latn-RS"/>
              </w:rPr>
            </w:pPr>
          </w:p>
        </w:tc>
        <w:tc>
          <w:tcPr>
            <w:tcW w:w="2379" w:type="dxa"/>
            <w:tcBorders>
              <w:top w:val="single" w:sz="8" w:space="0" w:color="000000"/>
              <w:left w:val="single" w:sz="8" w:space="0" w:color="000000"/>
              <w:bottom w:val="single" w:sz="8" w:space="0" w:color="000000"/>
              <w:right w:val="single" w:sz="8" w:space="0" w:color="000000"/>
            </w:tcBorders>
          </w:tcPr>
          <w:p w14:paraId="120B0789"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rPr>
            </w:pPr>
            <w:r w:rsidRPr="00E43CDC">
              <w:rPr>
                <w:color w:val="000000"/>
                <w:szCs w:val="22"/>
                <w:lang w:val="sr-Latn-RS"/>
              </w:rPr>
              <w:t>Veoma rijetko</w:t>
            </w:r>
          </w:p>
        </w:tc>
        <w:tc>
          <w:tcPr>
            <w:tcW w:w="2379" w:type="dxa"/>
            <w:tcBorders>
              <w:top w:val="single" w:sz="8" w:space="0" w:color="000000"/>
              <w:left w:val="single" w:sz="8" w:space="0" w:color="000000"/>
              <w:bottom w:val="single" w:sz="8" w:space="0" w:color="000000"/>
            </w:tcBorders>
          </w:tcPr>
          <w:p w14:paraId="4C2CD408"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rPr>
            </w:pPr>
            <w:r w:rsidRPr="00E43CDC">
              <w:rPr>
                <w:color w:val="000000"/>
                <w:szCs w:val="22"/>
                <w:lang w:val="sr-Latn-RS"/>
              </w:rPr>
              <w:t xml:space="preserve">Pankreatitis, gastritis, </w:t>
            </w:r>
            <w:r w:rsidRPr="00E43CDC">
              <w:rPr>
                <w:color w:val="000000"/>
                <w:szCs w:val="22"/>
                <w:lang w:val="sr-Latn-RS"/>
              </w:rPr>
              <w:lastRenderedPageBreak/>
              <w:t xml:space="preserve">hiperplazija desni </w:t>
            </w:r>
          </w:p>
        </w:tc>
      </w:tr>
      <w:tr w:rsidR="007006F4" w:rsidRPr="00E43CDC" w14:paraId="79FE4200" w14:textId="77777777" w:rsidTr="003B503F">
        <w:trPr>
          <w:gridAfter w:val="1"/>
          <w:wAfter w:w="7" w:type="pct"/>
        </w:trPr>
        <w:tc>
          <w:tcPr>
            <w:tcW w:w="4279" w:type="dxa"/>
            <w:tcBorders>
              <w:top w:val="single" w:sz="8" w:space="0" w:color="000000"/>
              <w:bottom w:val="single" w:sz="8" w:space="0" w:color="000000"/>
              <w:right w:val="single" w:sz="8" w:space="0" w:color="000000"/>
            </w:tcBorders>
          </w:tcPr>
          <w:p w14:paraId="19F5D339"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eastAsia="sl-SI"/>
              </w:rPr>
            </w:pPr>
            <w:r w:rsidRPr="00E43CDC">
              <w:rPr>
                <w:b/>
                <w:bCs/>
                <w:color w:val="000000"/>
                <w:szCs w:val="22"/>
                <w:lang w:val="sr-Latn-RS" w:eastAsia="sl-SI"/>
              </w:rPr>
              <w:lastRenderedPageBreak/>
              <w:t xml:space="preserve">Poremećaji jetre i žuči </w:t>
            </w:r>
          </w:p>
        </w:tc>
        <w:tc>
          <w:tcPr>
            <w:tcW w:w="2379" w:type="dxa"/>
            <w:tcBorders>
              <w:top w:val="single" w:sz="8" w:space="0" w:color="000000"/>
              <w:left w:val="single" w:sz="8" w:space="0" w:color="000000"/>
              <w:bottom w:val="single" w:sz="8" w:space="0" w:color="000000"/>
              <w:right w:val="single" w:sz="8" w:space="0" w:color="000000"/>
            </w:tcBorders>
          </w:tcPr>
          <w:p w14:paraId="06B4F838"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eastAsia="sl-SI"/>
              </w:rPr>
            </w:pPr>
            <w:r w:rsidRPr="00E43CDC">
              <w:rPr>
                <w:color w:val="000000"/>
                <w:szCs w:val="22"/>
                <w:lang w:val="sr-Latn-RS" w:eastAsia="sl-SI"/>
              </w:rPr>
              <w:t>Veoma rijetko</w:t>
            </w:r>
          </w:p>
        </w:tc>
        <w:tc>
          <w:tcPr>
            <w:tcW w:w="2379" w:type="dxa"/>
            <w:tcBorders>
              <w:top w:val="single" w:sz="8" w:space="0" w:color="000000"/>
              <w:left w:val="single" w:sz="8" w:space="0" w:color="000000"/>
              <w:bottom w:val="single" w:sz="8" w:space="0" w:color="000000"/>
            </w:tcBorders>
          </w:tcPr>
          <w:p w14:paraId="67A32CE5"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eastAsia="sl-SI"/>
              </w:rPr>
            </w:pPr>
            <w:r w:rsidRPr="00E43CDC">
              <w:rPr>
                <w:color w:val="000000"/>
                <w:szCs w:val="22"/>
                <w:lang w:val="sr-Latn-RS" w:eastAsia="sl-SI"/>
              </w:rPr>
              <w:t>Hepatitis, žutica, povećanje nivoa enzima jetre*</w:t>
            </w:r>
          </w:p>
        </w:tc>
      </w:tr>
      <w:tr w:rsidR="007006F4" w:rsidRPr="00E43CDC" w14:paraId="4E4214D9" w14:textId="77777777" w:rsidTr="003B503F">
        <w:trPr>
          <w:gridAfter w:val="1"/>
          <w:wAfter w:w="7" w:type="pct"/>
        </w:trPr>
        <w:tc>
          <w:tcPr>
            <w:tcW w:w="4279" w:type="dxa"/>
            <w:vMerge w:val="restart"/>
            <w:tcBorders>
              <w:top w:val="single" w:sz="8" w:space="0" w:color="000000"/>
              <w:right w:val="single" w:sz="8" w:space="0" w:color="000000"/>
            </w:tcBorders>
          </w:tcPr>
          <w:p w14:paraId="2A370106"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eastAsia="sl-SI"/>
              </w:rPr>
            </w:pPr>
            <w:r w:rsidRPr="00E43CDC">
              <w:rPr>
                <w:b/>
                <w:bCs/>
                <w:color w:val="000000"/>
                <w:szCs w:val="22"/>
                <w:lang w:val="sr-Latn-RS" w:eastAsia="sl-SI"/>
              </w:rPr>
              <w:t xml:space="preserve">Poremećaji kože i potkožnog tkiva </w:t>
            </w:r>
          </w:p>
        </w:tc>
        <w:tc>
          <w:tcPr>
            <w:tcW w:w="2379" w:type="dxa"/>
            <w:tcBorders>
              <w:top w:val="single" w:sz="8" w:space="0" w:color="000000"/>
              <w:left w:val="single" w:sz="8" w:space="0" w:color="000000"/>
              <w:bottom w:val="single" w:sz="8" w:space="0" w:color="000000"/>
              <w:right w:val="single" w:sz="8" w:space="0" w:color="000000"/>
            </w:tcBorders>
          </w:tcPr>
          <w:p w14:paraId="1B2F02F2"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eastAsia="sl-SI"/>
              </w:rPr>
            </w:pPr>
            <w:r w:rsidRPr="00E43CDC">
              <w:rPr>
                <w:color w:val="000000"/>
                <w:szCs w:val="22"/>
                <w:lang w:val="sr-Latn-RS" w:eastAsia="sl-SI"/>
              </w:rPr>
              <w:t>Povremeno</w:t>
            </w:r>
          </w:p>
        </w:tc>
        <w:tc>
          <w:tcPr>
            <w:tcW w:w="2379" w:type="dxa"/>
            <w:tcBorders>
              <w:top w:val="single" w:sz="8" w:space="0" w:color="000000"/>
              <w:left w:val="single" w:sz="8" w:space="0" w:color="000000"/>
              <w:bottom w:val="single" w:sz="8" w:space="0" w:color="000000"/>
            </w:tcBorders>
          </w:tcPr>
          <w:p w14:paraId="7590C77E"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eastAsia="sl-SI"/>
              </w:rPr>
            </w:pPr>
            <w:r w:rsidRPr="00E43CDC">
              <w:rPr>
                <w:color w:val="000000"/>
                <w:szCs w:val="22"/>
                <w:lang w:val="sr-Latn-RS" w:eastAsia="sl-SI"/>
              </w:rPr>
              <w:t>Alopecija, purpura, promjena boje kože, pruritus, osip, urtikarija, egzantem, hiperhidroza</w:t>
            </w:r>
          </w:p>
        </w:tc>
      </w:tr>
      <w:tr w:rsidR="007006F4" w:rsidRPr="00E43CDC" w14:paraId="6B93DFF1" w14:textId="77777777" w:rsidTr="003B503F">
        <w:trPr>
          <w:gridAfter w:val="1"/>
          <w:wAfter w:w="7" w:type="pct"/>
        </w:trPr>
        <w:tc>
          <w:tcPr>
            <w:tcW w:w="4279" w:type="dxa"/>
            <w:vMerge/>
            <w:tcBorders>
              <w:right w:val="single" w:sz="8" w:space="0" w:color="000000"/>
            </w:tcBorders>
          </w:tcPr>
          <w:p w14:paraId="5826AE35" w14:textId="77777777" w:rsidR="007006F4" w:rsidRPr="00E43CDC" w:rsidRDefault="007006F4" w:rsidP="00CB0A81">
            <w:pPr>
              <w:widowControl w:val="0"/>
              <w:tabs>
                <w:tab w:val="clear" w:pos="567"/>
              </w:tabs>
              <w:autoSpaceDE w:val="0"/>
              <w:autoSpaceDN w:val="0"/>
              <w:adjustRightInd w:val="0"/>
              <w:spacing w:line="240" w:lineRule="auto"/>
              <w:jc w:val="both"/>
              <w:rPr>
                <w:szCs w:val="22"/>
                <w:lang w:val="sr-Latn-RS" w:eastAsia="sl-SI"/>
              </w:rPr>
            </w:pPr>
          </w:p>
        </w:tc>
        <w:tc>
          <w:tcPr>
            <w:tcW w:w="2379" w:type="dxa"/>
            <w:tcBorders>
              <w:top w:val="single" w:sz="8" w:space="0" w:color="000000"/>
              <w:left w:val="single" w:sz="8" w:space="0" w:color="000000"/>
              <w:bottom w:val="single" w:sz="8" w:space="0" w:color="000000"/>
              <w:right w:val="single" w:sz="8" w:space="0" w:color="000000"/>
            </w:tcBorders>
          </w:tcPr>
          <w:p w14:paraId="5EF61E3D"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eastAsia="sl-SI"/>
              </w:rPr>
            </w:pPr>
            <w:r w:rsidRPr="00E43CDC">
              <w:rPr>
                <w:color w:val="000000"/>
                <w:szCs w:val="22"/>
                <w:lang w:val="sr-Latn-RS" w:eastAsia="sl-SI"/>
              </w:rPr>
              <w:t>Veoma rijetko</w:t>
            </w:r>
          </w:p>
        </w:tc>
        <w:tc>
          <w:tcPr>
            <w:tcW w:w="2379" w:type="dxa"/>
            <w:tcBorders>
              <w:top w:val="single" w:sz="8" w:space="0" w:color="000000"/>
              <w:left w:val="single" w:sz="8" w:space="0" w:color="000000"/>
              <w:bottom w:val="single" w:sz="8" w:space="0" w:color="000000"/>
            </w:tcBorders>
          </w:tcPr>
          <w:p w14:paraId="5DB1082F" w14:textId="08F35667" w:rsidR="007006F4" w:rsidRPr="00E43CDC" w:rsidRDefault="00F15505" w:rsidP="003B503F">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Cs w:val="22"/>
                <w:lang w:val="sr-Latn-RS" w:eastAsia="sl-SI"/>
              </w:rPr>
            </w:pPr>
            <w:r w:rsidRPr="00E43CDC">
              <w:rPr>
                <w:szCs w:val="22"/>
                <w:lang w:val="sr-Latn-RS" w:eastAsia="sr-Latn-RS"/>
              </w:rPr>
              <w:t xml:space="preserve">Angioedem, </w:t>
            </w:r>
            <w:r w:rsidRPr="00E43CDC">
              <w:rPr>
                <w:color w:val="212121"/>
                <w:szCs w:val="22"/>
                <w:lang w:val="sr-Latn-RS" w:eastAsia="sr-Latn-RS"/>
              </w:rPr>
              <w:t>multiformni eritem, eksfolijativni dermatitis, Stevens-Johnsonov sindrom, Quincke edem, fotoosjetljivost</w:t>
            </w:r>
          </w:p>
        </w:tc>
      </w:tr>
      <w:tr w:rsidR="007006F4" w:rsidRPr="00E43CDC" w14:paraId="01466F77" w14:textId="77777777" w:rsidTr="003B503F">
        <w:trPr>
          <w:gridAfter w:val="1"/>
          <w:wAfter w:w="7" w:type="pct"/>
        </w:trPr>
        <w:tc>
          <w:tcPr>
            <w:tcW w:w="4279" w:type="dxa"/>
            <w:vMerge/>
            <w:tcBorders>
              <w:bottom w:val="single" w:sz="8" w:space="0" w:color="000000"/>
              <w:right w:val="single" w:sz="8" w:space="0" w:color="000000"/>
            </w:tcBorders>
          </w:tcPr>
          <w:p w14:paraId="23031DD5" w14:textId="77777777" w:rsidR="007006F4" w:rsidRPr="00E43CDC" w:rsidRDefault="007006F4" w:rsidP="00CB0A81">
            <w:pPr>
              <w:widowControl w:val="0"/>
              <w:tabs>
                <w:tab w:val="clear" w:pos="567"/>
              </w:tabs>
              <w:autoSpaceDE w:val="0"/>
              <w:autoSpaceDN w:val="0"/>
              <w:adjustRightInd w:val="0"/>
              <w:spacing w:line="240" w:lineRule="auto"/>
              <w:jc w:val="both"/>
              <w:rPr>
                <w:szCs w:val="22"/>
                <w:lang w:val="sr-Latn-RS" w:eastAsia="sl-SI"/>
              </w:rPr>
            </w:pPr>
          </w:p>
        </w:tc>
        <w:tc>
          <w:tcPr>
            <w:tcW w:w="2379" w:type="dxa"/>
            <w:tcBorders>
              <w:top w:val="single" w:sz="8" w:space="0" w:color="000000"/>
              <w:left w:val="single" w:sz="8" w:space="0" w:color="000000"/>
              <w:bottom w:val="single" w:sz="8" w:space="0" w:color="000000"/>
              <w:right w:val="single" w:sz="8" w:space="0" w:color="000000"/>
            </w:tcBorders>
          </w:tcPr>
          <w:p w14:paraId="499C42D4"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eastAsia="sl-SI"/>
              </w:rPr>
            </w:pPr>
            <w:r w:rsidRPr="00E43CDC">
              <w:rPr>
                <w:color w:val="000000"/>
                <w:szCs w:val="22"/>
                <w:lang w:val="sr-Latn-RS" w:eastAsia="sl-SI"/>
              </w:rPr>
              <w:t>Nepoznato</w:t>
            </w:r>
          </w:p>
        </w:tc>
        <w:tc>
          <w:tcPr>
            <w:tcW w:w="2379" w:type="dxa"/>
            <w:tcBorders>
              <w:top w:val="single" w:sz="8" w:space="0" w:color="000000"/>
              <w:left w:val="single" w:sz="8" w:space="0" w:color="000000"/>
              <w:bottom w:val="single" w:sz="8" w:space="0" w:color="000000"/>
            </w:tcBorders>
          </w:tcPr>
          <w:p w14:paraId="0ABC9FAD"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eastAsia="sl-SI"/>
              </w:rPr>
            </w:pPr>
            <w:r w:rsidRPr="00E43CDC">
              <w:rPr>
                <w:color w:val="000000"/>
                <w:szCs w:val="22"/>
                <w:lang w:val="sr-Latn-RS" w:eastAsia="sl-SI"/>
              </w:rPr>
              <w:t>Toksična epidermalna nekroliza</w:t>
            </w:r>
          </w:p>
        </w:tc>
      </w:tr>
      <w:tr w:rsidR="007006F4" w:rsidRPr="00E43CDC" w14:paraId="0C23226C" w14:textId="77777777" w:rsidTr="003B503F">
        <w:trPr>
          <w:gridAfter w:val="1"/>
          <w:wAfter w:w="7" w:type="pct"/>
        </w:trPr>
        <w:tc>
          <w:tcPr>
            <w:tcW w:w="4279" w:type="dxa"/>
            <w:vMerge w:val="restart"/>
            <w:tcBorders>
              <w:top w:val="single" w:sz="8" w:space="0" w:color="000000"/>
              <w:bottom w:val="single" w:sz="8" w:space="0" w:color="000000"/>
              <w:right w:val="single" w:sz="8" w:space="0" w:color="000000"/>
            </w:tcBorders>
          </w:tcPr>
          <w:p w14:paraId="062EE3E1"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eastAsia="sl-SI"/>
              </w:rPr>
            </w:pPr>
            <w:r w:rsidRPr="00E43CDC">
              <w:rPr>
                <w:b/>
                <w:bCs/>
                <w:color w:val="000000"/>
                <w:szCs w:val="22"/>
                <w:lang w:val="sr-Latn-RS" w:eastAsia="sl-SI"/>
              </w:rPr>
              <w:t xml:space="preserve">Poremećaji mišićno koštanog sistema i vezivnog tkiva </w:t>
            </w:r>
          </w:p>
        </w:tc>
        <w:tc>
          <w:tcPr>
            <w:tcW w:w="2379" w:type="dxa"/>
            <w:tcBorders>
              <w:top w:val="single" w:sz="8" w:space="0" w:color="000000"/>
              <w:left w:val="single" w:sz="8" w:space="0" w:color="000000"/>
              <w:bottom w:val="single" w:sz="8" w:space="0" w:color="000000"/>
              <w:right w:val="single" w:sz="8" w:space="0" w:color="000000"/>
            </w:tcBorders>
          </w:tcPr>
          <w:p w14:paraId="4FE8D254"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eastAsia="sl-SI"/>
              </w:rPr>
            </w:pPr>
            <w:r w:rsidRPr="00E43CDC">
              <w:rPr>
                <w:color w:val="000000"/>
                <w:szCs w:val="22"/>
                <w:lang w:val="sr-Latn-RS" w:eastAsia="sl-SI"/>
              </w:rPr>
              <w:t>Često</w:t>
            </w:r>
          </w:p>
        </w:tc>
        <w:tc>
          <w:tcPr>
            <w:tcW w:w="2379" w:type="dxa"/>
            <w:tcBorders>
              <w:top w:val="single" w:sz="8" w:space="0" w:color="000000"/>
              <w:left w:val="single" w:sz="8" w:space="0" w:color="000000"/>
              <w:bottom w:val="single" w:sz="8" w:space="0" w:color="000000"/>
            </w:tcBorders>
          </w:tcPr>
          <w:p w14:paraId="31D9D091" w14:textId="7BE60EFD" w:rsidR="007006F4" w:rsidRPr="00E43CDC" w:rsidRDefault="00F15505" w:rsidP="00F64091">
            <w:pPr>
              <w:widowControl w:val="0"/>
              <w:tabs>
                <w:tab w:val="clear" w:pos="567"/>
              </w:tabs>
              <w:autoSpaceDE w:val="0"/>
              <w:autoSpaceDN w:val="0"/>
              <w:adjustRightInd w:val="0"/>
              <w:spacing w:line="240" w:lineRule="auto"/>
              <w:rPr>
                <w:color w:val="000000"/>
                <w:szCs w:val="22"/>
                <w:lang w:val="sr-Latn-RS" w:eastAsia="sl-SI"/>
              </w:rPr>
            </w:pPr>
            <w:r w:rsidRPr="00E43CDC">
              <w:rPr>
                <w:color w:val="000000"/>
                <w:szCs w:val="22"/>
                <w:lang w:val="sr-Latn-RS" w:eastAsia="sl-SI"/>
              </w:rPr>
              <w:t xml:space="preserve">Oticanje </w:t>
            </w:r>
            <w:r w:rsidR="0066152A" w:rsidRPr="00E43CDC">
              <w:rPr>
                <w:color w:val="000000"/>
                <w:szCs w:val="22"/>
                <w:lang w:val="sr-Latn-RS" w:eastAsia="sl-SI"/>
              </w:rPr>
              <w:t>zglobova</w:t>
            </w:r>
            <w:r w:rsidRPr="00E43CDC">
              <w:rPr>
                <w:color w:val="000000"/>
                <w:szCs w:val="22"/>
                <w:lang w:val="sr-Latn-RS" w:eastAsia="sl-SI"/>
              </w:rPr>
              <w:t>, grčevi</w:t>
            </w:r>
            <w:r w:rsidR="0066152A" w:rsidRPr="00E43CDC">
              <w:rPr>
                <w:color w:val="000000"/>
                <w:szCs w:val="22"/>
                <w:lang w:val="sr-Latn-RS" w:eastAsia="sl-SI"/>
              </w:rPr>
              <w:t xml:space="preserve"> u</w:t>
            </w:r>
            <w:r w:rsidRPr="00E43CDC">
              <w:rPr>
                <w:color w:val="000000"/>
                <w:szCs w:val="22"/>
                <w:lang w:val="sr-Latn-RS" w:eastAsia="sl-SI"/>
              </w:rPr>
              <w:t xml:space="preserve"> mišić</w:t>
            </w:r>
            <w:r w:rsidR="0066152A" w:rsidRPr="00E43CDC">
              <w:rPr>
                <w:color w:val="000000"/>
                <w:szCs w:val="22"/>
                <w:lang w:val="sr-Latn-RS" w:eastAsia="sl-SI"/>
              </w:rPr>
              <w:t>ima</w:t>
            </w:r>
          </w:p>
        </w:tc>
      </w:tr>
      <w:tr w:rsidR="007006F4" w:rsidRPr="00E43CDC" w14:paraId="259EAC22" w14:textId="77777777" w:rsidTr="003B503F">
        <w:trPr>
          <w:gridAfter w:val="1"/>
          <w:wAfter w:w="7" w:type="pct"/>
        </w:trPr>
        <w:tc>
          <w:tcPr>
            <w:tcW w:w="4279" w:type="dxa"/>
            <w:vMerge/>
            <w:tcBorders>
              <w:top w:val="single" w:sz="8" w:space="0" w:color="000000"/>
              <w:bottom w:val="single" w:sz="8" w:space="0" w:color="000000"/>
              <w:right w:val="single" w:sz="8" w:space="0" w:color="000000"/>
            </w:tcBorders>
          </w:tcPr>
          <w:p w14:paraId="3AEC313F" w14:textId="77777777" w:rsidR="007006F4" w:rsidRPr="00E43CDC" w:rsidRDefault="007006F4" w:rsidP="00F64091">
            <w:pPr>
              <w:widowControl w:val="0"/>
              <w:tabs>
                <w:tab w:val="clear" w:pos="567"/>
              </w:tabs>
              <w:autoSpaceDE w:val="0"/>
              <w:autoSpaceDN w:val="0"/>
              <w:adjustRightInd w:val="0"/>
              <w:spacing w:line="240" w:lineRule="auto"/>
              <w:rPr>
                <w:szCs w:val="22"/>
                <w:lang w:val="sr-Latn-RS" w:eastAsia="sl-SI"/>
              </w:rPr>
            </w:pPr>
          </w:p>
        </w:tc>
        <w:tc>
          <w:tcPr>
            <w:tcW w:w="2379" w:type="dxa"/>
            <w:tcBorders>
              <w:top w:val="single" w:sz="8" w:space="0" w:color="000000"/>
              <w:left w:val="single" w:sz="8" w:space="0" w:color="000000"/>
              <w:bottom w:val="single" w:sz="8" w:space="0" w:color="000000"/>
              <w:right w:val="single" w:sz="8" w:space="0" w:color="000000"/>
            </w:tcBorders>
          </w:tcPr>
          <w:p w14:paraId="122A1794"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eastAsia="sl-SI"/>
              </w:rPr>
            </w:pPr>
            <w:r w:rsidRPr="00E43CDC">
              <w:rPr>
                <w:color w:val="000000"/>
                <w:szCs w:val="22"/>
                <w:lang w:val="sr-Latn-RS" w:eastAsia="sl-SI"/>
              </w:rPr>
              <w:t>Povremeno</w:t>
            </w:r>
          </w:p>
        </w:tc>
        <w:tc>
          <w:tcPr>
            <w:tcW w:w="2379" w:type="dxa"/>
            <w:tcBorders>
              <w:top w:val="single" w:sz="8" w:space="0" w:color="000000"/>
              <w:left w:val="single" w:sz="8" w:space="0" w:color="000000"/>
              <w:bottom w:val="single" w:sz="8" w:space="0" w:color="000000"/>
            </w:tcBorders>
          </w:tcPr>
          <w:p w14:paraId="73D74C7F"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eastAsia="sl-SI"/>
              </w:rPr>
            </w:pPr>
            <w:r w:rsidRPr="00E43CDC">
              <w:rPr>
                <w:color w:val="000000"/>
                <w:szCs w:val="22"/>
                <w:lang w:val="sr-Latn-RS" w:eastAsia="sl-SI"/>
              </w:rPr>
              <w:t xml:space="preserve">Artralgija, mijalgija, bolovi u leđima </w:t>
            </w:r>
          </w:p>
        </w:tc>
      </w:tr>
      <w:tr w:rsidR="007006F4" w:rsidRPr="00E43CDC" w14:paraId="3DFB494E" w14:textId="77777777" w:rsidTr="003B503F">
        <w:trPr>
          <w:gridAfter w:val="1"/>
          <w:wAfter w:w="7" w:type="pct"/>
        </w:trPr>
        <w:tc>
          <w:tcPr>
            <w:tcW w:w="4279" w:type="dxa"/>
            <w:tcBorders>
              <w:top w:val="single" w:sz="8" w:space="0" w:color="000000"/>
              <w:bottom w:val="single" w:sz="8" w:space="0" w:color="000000"/>
              <w:right w:val="single" w:sz="8" w:space="0" w:color="000000"/>
            </w:tcBorders>
          </w:tcPr>
          <w:p w14:paraId="533E61E7"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eastAsia="sl-SI"/>
              </w:rPr>
            </w:pPr>
            <w:r w:rsidRPr="00E43CDC">
              <w:rPr>
                <w:b/>
                <w:bCs/>
                <w:color w:val="000000"/>
                <w:szCs w:val="22"/>
                <w:lang w:val="sr-Latn-RS" w:eastAsia="sl-SI"/>
              </w:rPr>
              <w:t xml:space="preserve">Poremećaji bubrega i urinarnog sistema </w:t>
            </w:r>
          </w:p>
        </w:tc>
        <w:tc>
          <w:tcPr>
            <w:tcW w:w="2379" w:type="dxa"/>
            <w:tcBorders>
              <w:top w:val="single" w:sz="8" w:space="0" w:color="000000"/>
              <w:left w:val="single" w:sz="8" w:space="0" w:color="000000"/>
              <w:bottom w:val="single" w:sz="8" w:space="0" w:color="000000"/>
              <w:right w:val="single" w:sz="8" w:space="0" w:color="000000"/>
            </w:tcBorders>
          </w:tcPr>
          <w:p w14:paraId="1B3EB4AF"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eastAsia="sl-SI"/>
              </w:rPr>
            </w:pPr>
            <w:r w:rsidRPr="00E43CDC">
              <w:rPr>
                <w:color w:val="000000"/>
                <w:szCs w:val="22"/>
                <w:lang w:val="sr-Latn-RS" w:eastAsia="sl-SI"/>
              </w:rPr>
              <w:t>Povremeno</w:t>
            </w:r>
          </w:p>
        </w:tc>
        <w:tc>
          <w:tcPr>
            <w:tcW w:w="2379" w:type="dxa"/>
            <w:tcBorders>
              <w:top w:val="single" w:sz="8" w:space="0" w:color="000000"/>
              <w:left w:val="single" w:sz="8" w:space="0" w:color="000000"/>
              <w:bottom w:val="single" w:sz="8" w:space="0" w:color="000000"/>
            </w:tcBorders>
          </w:tcPr>
          <w:p w14:paraId="4FA66847"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eastAsia="sl-SI"/>
              </w:rPr>
            </w:pPr>
            <w:r w:rsidRPr="00E43CDC">
              <w:rPr>
                <w:color w:val="000000"/>
                <w:szCs w:val="22"/>
                <w:lang w:val="sr-Latn-RS" w:eastAsia="sl-SI"/>
              </w:rPr>
              <w:t>Poremećaj mokrenja, nokturija, povećana učestalost mokrenja</w:t>
            </w:r>
          </w:p>
        </w:tc>
      </w:tr>
      <w:tr w:rsidR="007006F4" w:rsidRPr="00E43CDC" w14:paraId="4D8B4EC7" w14:textId="77777777" w:rsidTr="003B503F">
        <w:trPr>
          <w:gridAfter w:val="1"/>
          <w:wAfter w:w="7" w:type="pct"/>
        </w:trPr>
        <w:tc>
          <w:tcPr>
            <w:tcW w:w="4279" w:type="dxa"/>
            <w:tcBorders>
              <w:top w:val="single" w:sz="8" w:space="0" w:color="000000"/>
              <w:bottom w:val="single" w:sz="8" w:space="0" w:color="000000"/>
              <w:right w:val="single" w:sz="8" w:space="0" w:color="000000"/>
            </w:tcBorders>
          </w:tcPr>
          <w:p w14:paraId="6C38032F"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eastAsia="sl-SI"/>
              </w:rPr>
            </w:pPr>
            <w:r w:rsidRPr="00E43CDC">
              <w:rPr>
                <w:b/>
                <w:bCs/>
                <w:color w:val="000000"/>
                <w:szCs w:val="22"/>
                <w:lang w:val="sr-Latn-RS" w:eastAsia="sl-SI"/>
              </w:rPr>
              <w:t xml:space="preserve">Poremećaji reproduktivnog sistema i grudi </w:t>
            </w:r>
          </w:p>
        </w:tc>
        <w:tc>
          <w:tcPr>
            <w:tcW w:w="2379" w:type="dxa"/>
            <w:tcBorders>
              <w:top w:val="single" w:sz="8" w:space="0" w:color="000000"/>
              <w:left w:val="single" w:sz="8" w:space="0" w:color="000000"/>
              <w:bottom w:val="single" w:sz="8" w:space="0" w:color="000000"/>
              <w:right w:val="single" w:sz="8" w:space="0" w:color="000000"/>
            </w:tcBorders>
          </w:tcPr>
          <w:p w14:paraId="3BDF17B6"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eastAsia="sl-SI"/>
              </w:rPr>
            </w:pPr>
            <w:r w:rsidRPr="00E43CDC">
              <w:rPr>
                <w:color w:val="000000"/>
                <w:szCs w:val="22"/>
                <w:lang w:val="sr-Latn-RS" w:eastAsia="sl-SI"/>
              </w:rPr>
              <w:t>Povremeno</w:t>
            </w:r>
          </w:p>
        </w:tc>
        <w:tc>
          <w:tcPr>
            <w:tcW w:w="2379" w:type="dxa"/>
            <w:tcBorders>
              <w:top w:val="single" w:sz="8" w:space="0" w:color="000000"/>
              <w:left w:val="single" w:sz="8" w:space="0" w:color="000000"/>
              <w:bottom w:val="single" w:sz="8" w:space="0" w:color="000000"/>
            </w:tcBorders>
          </w:tcPr>
          <w:p w14:paraId="789D81D9"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eastAsia="sl-SI"/>
              </w:rPr>
            </w:pPr>
            <w:r w:rsidRPr="00E43CDC">
              <w:rPr>
                <w:color w:val="000000"/>
                <w:szCs w:val="22"/>
                <w:lang w:val="sr-Latn-RS" w:eastAsia="sl-SI"/>
              </w:rPr>
              <w:t xml:space="preserve">Impotencija, ginekomastija </w:t>
            </w:r>
          </w:p>
        </w:tc>
      </w:tr>
      <w:tr w:rsidR="007006F4" w:rsidRPr="00E43CDC" w14:paraId="0057215D" w14:textId="77777777" w:rsidTr="003B503F">
        <w:trPr>
          <w:gridAfter w:val="1"/>
          <w:wAfter w:w="7" w:type="pct"/>
        </w:trPr>
        <w:tc>
          <w:tcPr>
            <w:tcW w:w="4279" w:type="dxa"/>
            <w:vMerge w:val="restart"/>
            <w:tcBorders>
              <w:top w:val="single" w:sz="8" w:space="0" w:color="000000"/>
              <w:bottom w:val="single" w:sz="8" w:space="0" w:color="000000"/>
              <w:right w:val="single" w:sz="8" w:space="0" w:color="000000"/>
            </w:tcBorders>
          </w:tcPr>
          <w:p w14:paraId="745A0653"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eastAsia="sl-SI"/>
              </w:rPr>
            </w:pPr>
            <w:r w:rsidRPr="00E43CDC">
              <w:rPr>
                <w:b/>
                <w:color w:val="000000"/>
                <w:szCs w:val="22"/>
                <w:lang w:val="sr-Latn-RS" w:eastAsia="sl-SI"/>
              </w:rPr>
              <w:t>Opšti poremećaji i reakcije na mjestu primjene</w:t>
            </w:r>
          </w:p>
        </w:tc>
        <w:tc>
          <w:tcPr>
            <w:tcW w:w="2379" w:type="dxa"/>
            <w:tcBorders>
              <w:top w:val="single" w:sz="8" w:space="0" w:color="000000"/>
              <w:left w:val="single" w:sz="8" w:space="0" w:color="000000"/>
              <w:bottom w:val="single" w:sz="8" w:space="0" w:color="000000"/>
              <w:right w:val="single" w:sz="8" w:space="0" w:color="000000"/>
            </w:tcBorders>
          </w:tcPr>
          <w:p w14:paraId="3CB19CC8"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eastAsia="sl-SI"/>
              </w:rPr>
            </w:pPr>
            <w:r w:rsidRPr="00E43CDC">
              <w:rPr>
                <w:color w:val="000000"/>
                <w:szCs w:val="22"/>
                <w:lang w:val="sr-Latn-RS" w:eastAsia="sl-SI"/>
              </w:rPr>
              <w:t xml:space="preserve">Veoma često </w:t>
            </w:r>
          </w:p>
        </w:tc>
        <w:tc>
          <w:tcPr>
            <w:tcW w:w="2379" w:type="dxa"/>
            <w:tcBorders>
              <w:top w:val="single" w:sz="8" w:space="0" w:color="000000"/>
              <w:left w:val="single" w:sz="8" w:space="0" w:color="000000"/>
              <w:bottom w:val="single" w:sz="8" w:space="0" w:color="000000"/>
            </w:tcBorders>
          </w:tcPr>
          <w:p w14:paraId="04D87D9A"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eastAsia="sl-SI"/>
              </w:rPr>
            </w:pPr>
            <w:r w:rsidRPr="00E43CDC">
              <w:rPr>
                <w:color w:val="000000"/>
                <w:szCs w:val="22"/>
                <w:lang w:val="sr-Latn-RS" w:eastAsia="sl-SI"/>
              </w:rPr>
              <w:t xml:space="preserve">Edem </w:t>
            </w:r>
          </w:p>
        </w:tc>
      </w:tr>
      <w:tr w:rsidR="007006F4" w:rsidRPr="00E43CDC" w14:paraId="2D5D18DF" w14:textId="77777777" w:rsidTr="003B503F">
        <w:trPr>
          <w:gridAfter w:val="1"/>
          <w:wAfter w:w="7" w:type="pct"/>
        </w:trPr>
        <w:tc>
          <w:tcPr>
            <w:tcW w:w="4279" w:type="dxa"/>
            <w:vMerge/>
            <w:tcBorders>
              <w:top w:val="single" w:sz="8" w:space="0" w:color="000000"/>
              <w:bottom w:val="single" w:sz="8" w:space="0" w:color="000000"/>
              <w:right w:val="single" w:sz="8" w:space="0" w:color="000000"/>
            </w:tcBorders>
          </w:tcPr>
          <w:p w14:paraId="29A7AAE7" w14:textId="77777777" w:rsidR="007006F4" w:rsidRPr="00E43CDC" w:rsidRDefault="007006F4" w:rsidP="00F64091">
            <w:pPr>
              <w:widowControl w:val="0"/>
              <w:tabs>
                <w:tab w:val="clear" w:pos="567"/>
              </w:tabs>
              <w:autoSpaceDE w:val="0"/>
              <w:autoSpaceDN w:val="0"/>
              <w:adjustRightInd w:val="0"/>
              <w:spacing w:line="240" w:lineRule="auto"/>
              <w:rPr>
                <w:b/>
                <w:bCs/>
                <w:color w:val="000000"/>
                <w:szCs w:val="22"/>
                <w:lang w:val="sr-Latn-RS" w:eastAsia="sl-SI"/>
              </w:rPr>
            </w:pPr>
          </w:p>
        </w:tc>
        <w:tc>
          <w:tcPr>
            <w:tcW w:w="2379" w:type="dxa"/>
            <w:tcBorders>
              <w:top w:val="single" w:sz="8" w:space="0" w:color="000000"/>
              <w:left w:val="single" w:sz="8" w:space="0" w:color="000000"/>
              <w:bottom w:val="single" w:sz="8" w:space="0" w:color="000000"/>
              <w:right w:val="single" w:sz="8" w:space="0" w:color="000000"/>
            </w:tcBorders>
          </w:tcPr>
          <w:p w14:paraId="205429A7"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eastAsia="sl-SI"/>
              </w:rPr>
            </w:pPr>
            <w:r w:rsidRPr="00E43CDC">
              <w:rPr>
                <w:color w:val="000000"/>
                <w:szCs w:val="22"/>
                <w:lang w:val="sr-Latn-RS" w:eastAsia="sl-SI"/>
              </w:rPr>
              <w:t>Često</w:t>
            </w:r>
          </w:p>
        </w:tc>
        <w:tc>
          <w:tcPr>
            <w:tcW w:w="2379" w:type="dxa"/>
            <w:tcBorders>
              <w:top w:val="single" w:sz="8" w:space="0" w:color="000000"/>
              <w:left w:val="single" w:sz="8" w:space="0" w:color="000000"/>
              <w:bottom w:val="single" w:sz="8" w:space="0" w:color="000000"/>
            </w:tcBorders>
          </w:tcPr>
          <w:p w14:paraId="57CEA357"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eastAsia="sl-SI"/>
              </w:rPr>
            </w:pPr>
            <w:r w:rsidRPr="00E43CDC">
              <w:rPr>
                <w:color w:val="000000"/>
                <w:szCs w:val="22"/>
                <w:lang w:val="sr-Latn-RS" w:eastAsia="sl-SI"/>
              </w:rPr>
              <w:t>Umor, astenija</w:t>
            </w:r>
          </w:p>
        </w:tc>
      </w:tr>
      <w:tr w:rsidR="007006F4" w:rsidRPr="00E43CDC" w14:paraId="4B091905" w14:textId="77777777" w:rsidTr="003B503F">
        <w:trPr>
          <w:gridAfter w:val="1"/>
          <w:wAfter w:w="7" w:type="pct"/>
        </w:trPr>
        <w:tc>
          <w:tcPr>
            <w:tcW w:w="4279" w:type="dxa"/>
            <w:vMerge/>
            <w:tcBorders>
              <w:top w:val="single" w:sz="8" w:space="0" w:color="000000"/>
              <w:bottom w:val="single" w:sz="8" w:space="0" w:color="000000"/>
              <w:right w:val="single" w:sz="8" w:space="0" w:color="000000"/>
            </w:tcBorders>
          </w:tcPr>
          <w:p w14:paraId="678FFBCD" w14:textId="77777777" w:rsidR="007006F4" w:rsidRPr="00E43CDC" w:rsidRDefault="007006F4" w:rsidP="00F64091">
            <w:pPr>
              <w:widowControl w:val="0"/>
              <w:tabs>
                <w:tab w:val="clear" w:pos="567"/>
              </w:tabs>
              <w:autoSpaceDE w:val="0"/>
              <w:autoSpaceDN w:val="0"/>
              <w:adjustRightInd w:val="0"/>
              <w:spacing w:line="240" w:lineRule="auto"/>
              <w:rPr>
                <w:szCs w:val="22"/>
                <w:lang w:val="sr-Latn-RS" w:eastAsia="sl-SI"/>
              </w:rPr>
            </w:pPr>
          </w:p>
        </w:tc>
        <w:tc>
          <w:tcPr>
            <w:tcW w:w="2379" w:type="dxa"/>
            <w:tcBorders>
              <w:top w:val="single" w:sz="8" w:space="0" w:color="000000"/>
              <w:left w:val="single" w:sz="8" w:space="0" w:color="000000"/>
              <w:bottom w:val="single" w:sz="8" w:space="0" w:color="000000"/>
              <w:right w:val="single" w:sz="8" w:space="0" w:color="000000"/>
            </w:tcBorders>
          </w:tcPr>
          <w:p w14:paraId="19BBCAAE"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eastAsia="sl-SI"/>
              </w:rPr>
            </w:pPr>
            <w:r w:rsidRPr="00E43CDC">
              <w:rPr>
                <w:color w:val="000000"/>
                <w:szCs w:val="22"/>
                <w:lang w:val="sr-Latn-RS" w:eastAsia="sl-SI"/>
              </w:rPr>
              <w:t>Povremeno</w:t>
            </w:r>
          </w:p>
        </w:tc>
        <w:tc>
          <w:tcPr>
            <w:tcW w:w="2379" w:type="dxa"/>
            <w:tcBorders>
              <w:top w:val="single" w:sz="8" w:space="0" w:color="000000"/>
              <w:left w:val="single" w:sz="8" w:space="0" w:color="000000"/>
              <w:bottom w:val="single" w:sz="8" w:space="0" w:color="000000"/>
            </w:tcBorders>
          </w:tcPr>
          <w:p w14:paraId="545B3B91"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eastAsia="sl-SI"/>
              </w:rPr>
            </w:pPr>
            <w:r w:rsidRPr="00E43CDC">
              <w:rPr>
                <w:color w:val="000000"/>
                <w:szCs w:val="22"/>
                <w:lang w:val="sr-Latn-RS" w:eastAsia="sl-SI"/>
              </w:rPr>
              <w:t>Bol u grudima, bol, slabost</w:t>
            </w:r>
          </w:p>
        </w:tc>
      </w:tr>
      <w:tr w:rsidR="007006F4" w:rsidRPr="00E43CDC" w14:paraId="03EBBC5F" w14:textId="77777777" w:rsidTr="003B503F">
        <w:trPr>
          <w:gridAfter w:val="1"/>
          <w:wAfter w:w="7" w:type="pct"/>
        </w:trPr>
        <w:tc>
          <w:tcPr>
            <w:tcW w:w="4279" w:type="dxa"/>
            <w:tcBorders>
              <w:top w:val="single" w:sz="8" w:space="0" w:color="000000"/>
              <w:bottom w:val="single" w:sz="8" w:space="0" w:color="000000"/>
              <w:right w:val="single" w:sz="8" w:space="0" w:color="000000"/>
            </w:tcBorders>
          </w:tcPr>
          <w:p w14:paraId="3711AB82" w14:textId="77777777" w:rsidR="007006F4" w:rsidRPr="00E43CDC" w:rsidRDefault="00F15505" w:rsidP="00F64091">
            <w:pPr>
              <w:widowControl w:val="0"/>
              <w:tabs>
                <w:tab w:val="clear" w:pos="567"/>
              </w:tabs>
              <w:autoSpaceDE w:val="0"/>
              <w:autoSpaceDN w:val="0"/>
              <w:adjustRightInd w:val="0"/>
              <w:spacing w:line="240" w:lineRule="auto"/>
              <w:rPr>
                <w:color w:val="000000"/>
                <w:szCs w:val="22"/>
                <w:lang w:val="sr-Latn-RS" w:eastAsia="sl-SI"/>
              </w:rPr>
            </w:pPr>
            <w:r w:rsidRPr="00E43CDC">
              <w:rPr>
                <w:b/>
                <w:bCs/>
                <w:color w:val="000000"/>
                <w:szCs w:val="22"/>
                <w:lang w:val="sr-Latn-RS" w:eastAsia="sl-SI"/>
              </w:rPr>
              <w:t xml:space="preserve">Nalazi </w:t>
            </w:r>
          </w:p>
        </w:tc>
        <w:tc>
          <w:tcPr>
            <w:tcW w:w="2379" w:type="dxa"/>
            <w:tcBorders>
              <w:top w:val="single" w:sz="8" w:space="0" w:color="000000"/>
              <w:left w:val="single" w:sz="8" w:space="0" w:color="000000"/>
              <w:bottom w:val="single" w:sz="8" w:space="0" w:color="000000"/>
              <w:right w:val="single" w:sz="8" w:space="0" w:color="000000"/>
            </w:tcBorders>
          </w:tcPr>
          <w:p w14:paraId="3BED7A23" w14:textId="77777777" w:rsidR="007006F4" w:rsidRPr="00E43CDC" w:rsidRDefault="00F15505" w:rsidP="00CB0A81">
            <w:pPr>
              <w:widowControl w:val="0"/>
              <w:tabs>
                <w:tab w:val="clear" w:pos="567"/>
              </w:tabs>
              <w:autoSpaceDE w:val="0"/>
              <w:autoSpaceDN w:val="0"/>
              <w:adjustRightInd w:val="0"/>
              <w:spacing w:line="240" w:lineRule="auto"/>
              <w:jc w:val="both"/>
              <w:rPr>
                <w:color w:val="000000"/>
                <w:szCs w:val="22"/>
                <w:lang w:val="sr-Latn-RS" w:eastAsia="sl-SI"/>
              </w:rPr>
            </w:pPr>
            <w:r w:rsidRPr="00E43CDC">
              <w:rPr>
                <w:color w:val="000000"/>
                <w:szCs w:val="22"/>
                <w:lang w:val="sr-Latn-RS" w:eastAsia="sl-SI"/>
              </w:rPr>
              <w:t>Povremeno</w:t>
            </w:r>
          </w:p>
        </w:tc>
        <w:tc>
          <w:tcPr>
            <w:tcW w:w="2379" w:type="dxa"/>
            <w:tcBorders>
              <w:top w:val="single" w:sz="8" w:space="0" w:color="000000"/>
              <w:left w:val="single" w:sz="8" w:space="0" w:color="000000"/>
              <w:bottom w:val="single" w:sz="8" w:space="0" w:color="000000"/>
            </w:tcBorders>
          </w:tcPr>
          <w:p w14:paraId="20735760" w14:textId="1DF84236" w:rsidR="007006F4" w:rsidRPr="00E43CDC" w:rsidRDefault="00F15505" w:rsidP="00F64091">
            <w:pPr>
              <w:widowControl w:val="0"/>
              <w:tabs>
                <w:tab w:val="clear" w:pos="567"/>
              </w:tabs>
              <w:autoSpaceDE w:val="0"/>
              <w:autoSpaceDN w:val="0"/>
              <w:adjustRightInd w:val="0"/>
              <w:spacing w:line="240" w:lineRule="auto"/>
              <w:rPr>
                <w:color w:val="000000"/>
                <w:szCs w:val="22"/>
                <w:lang w:val="sr-Latn-RS" w:eastAsia="sl-SI"/>
              </w:rPr>
            </w:pPr>
            <w:r w:rsidRPr="00E43CDC">
              <w:rPr>
                <w:color w:val="000000"/>
                <w:szCs w:val="22"/>
                <w:lang w:val="sr-Latn-RS" w:eastAsia="sl-SI"/>
              </w:rPr>
              <w:t xml:space="preserve">Povećanje tjelesne </w:t>
            </w:r>
            <w:r w:rsidR="0066152A" w:rsidRPr="00E43CDC">
              <w:rPr>
                <w:color w:val="000000"/>
                <w:szCs w:val="22"/>
                <w:lang w:val="sr-Latn-RS" w:eastAsia="sl-SI"/>
              </w:rPr>
              <w:t>mase</w:t>
            </w:r>
            <w:r w:rsidRPr="00E43CDC">
              <w:rPr>
                <w:color w:val="000000"/>
                <w:szCs w:val="22"/>
                <w:lang w:val="sr-Latn-RS" w:eastAsia="sl-SI"/>
              </w:rPr>
              <w:t xml:space="preserve">, smanjenje tjelesne </w:t>
            </w:r>
            <w:r w:rsidR="0066152A" w:rsidRPr="00E43CDC">
              <w:rPr>
                <w:color w:val="000000"/>
                <w:szCs w:val="22"/>
                <w:lang w:val="sr-Latn-RS" w:eastAsia="sl-SI"/>
              </w:rPr>
              <w:t>mase</w:t>
            </w:r>
          </w:p>
        </w:tc>
      </w:tr>
    </w:tbl>
    <w:p w14:paraId="05A6285C" w14:textId="77777777" w:rsidR="007006F4" w:rsidRPr="00E43CDC" w:rsidRDefault="00F15505" w:rsidP="00CB0A81">
      <w:pPr>
        <w:tabs>
          <w:tab w:val="clear" w:pos="567"/>
        </w:tabs>
        <w:spacing w:line="240" w:lineRule="auto"/>
        <w:jc w:val="both"/>
        <w:rPr>
          <w:szCs w:val="22"/>
          <w:lang w:val="sr-Latn-RS"/>
        </w:rPr>
      </w:pPr>
      <w:r w:rsidRPr="00E43CDC">
        <w:rPr>
          <w:szCs w:val="22"/>
          <w:lang w:val="sr-Latn-RS"/>
        </w:rPr>
        <w:t>*uglavnom u skladu s holestazom</w:t>
      </w:r>
    </w:p>
    <w:p w14:paraId="52670C77" w14:textId="77777777" w:rsidR="007006F4" w:rsidRPr="00E43CDC" w:rsidRDefault="007006F4" w:rsidP="00CB0A81">
      <w:pPr>
        <w:tabs>
          <w:tab w:val="clear" w:pos="567"/>
        </w:tabs>
        <w:spacing w:line="240" w:lineRule="auto"/>
        <w:jc w:val="both"/>
        <w:rPr>
          <w:szCs w:val="22"/>
          <w:lang w:val="sr-Latn-RS"/>
        </w:rPr>
      </w:pPr>
    </w:p>
    <w:p w14:paraId="5656102A" w14:textId="77777777" w:rsidR="007006F4" w:rsidRPr="00E43CDC" w:rsidRDefault="00F15505" w:rsidP="00CB0A81">
      <w:pPr>
        <w:tabs>
          <w:tab w:val="clear" w:pos="567"/>
        </w:tabs>
        <w:spacing w:line="240" w:lineRule="auto"/>
        <w:jc w:val="both"/>
        <w:rPr>
          <w:szCs w:val="22"/>
          <w:lang w:val="sr-Latn-RS"/>
        </w:rPr>
      </w:pPr>
      <w:r w:rsidRPr="00E43CDC">
        <w:rPr>
          <w:szCs w:val="22"/>
          <w:lang w:val="sr-Latn-RS"/>
        </w:rPr>
        <w:t>Zabilježeni su izuzetni slučajevi ekstrapiramidalnog sindroma.</w:t>
      </w:r>
    </w:p>
    <w:p w14:paraId="0CB1A893" w14:textId="77777777" w:rsidR="007006F4" w:rsidRPr="00E43CDC" w:rsidRDefault="007006F4" w:rsidP="00CB0A81">
      <w:pPr>
        <w:tabs>
          <w:tab w:val="left" w:pos="540"/>
        </w:tabs>
        <w:spacing w:line="240" w:lineRule="auto"/>
        <w:jc w:val="both"/>
        <w:rPr>
          <w:b/>
          <w:bCs/>
          <w:szCs w:val="22"/>
          <w:lang w:val="sr-Latn-RS"/>
        </w:rPr>
      </w:pPr>
    </w:p>
    <w:p w14:paraId="169CD0BE" w14:textId="77777777" w:rsidR="007006F4" w:rsidRPr="00E43CDC" w:rsidRDefault="00F15505" w:rsidP="00CB0A81">
      <w:pPr>
        <w:tabs>
          <w:tab w:val="clear" w:pos="567"/>
        </w:tabs>
        <w:spacing w:line="240" w:lineRule="auto"/>
        <w:jc w:val="both"/>
        <w:rPr>
          <w:rFonts w:eastAsia="Calibri"/>
          <w:szCs w:val="22"/>
          <w:u w:val="single"/>
          <w:lang w:val="sr-Latn-RS"/>
        </w:rPr>
      </w:pPr>
      <w:r w:rsidRPr="00E43CDC">
        <w:rPr>
          <w:rFonts w:eastAsia="Calibri"/>
          <w:szCs w:val="22"/>
          <w:u w:val="single"/>
          <w:lang w:val="sr-Latn-RS"/>
        </w:rPr>
        <w:t>Prijavljivanje sumnji na neželjena dejstva</w:t>
      </w:r>
    </w:p>
    <w:p w14:paraId="1900CB7D" w14:textId="4F7310CA" w:rsidR="007006F4" w:rsidRPr="00E43CDC" w:rsidRDefault="00F15505" w:rsidP="00CB0A81">
      <w:pPr>
        <w:tabs>
          <w:tab w:val="clear" w:pos="567"/>
        </w:tabs>
        <w:spacing w:line="240" w:lineRule="auto"/>
        <w:jc w:val="both"/>
        <w:rPr>
          <w:rFonts w:eastAsia="Calibri"/>
          <w:szCs w:val="22"/>
          <w:lang w:val="sr-Latn-RS"/>
        </w:rPr>
      </w:pPr>
      <w:r w:rsidRPr="00E43CDC">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C57FC43" w14:textId="77777777" w:rsidR="00595DE8" w:rsidRPr="00E43CDC" w:rsidRDefault="00595DE8" w:rsidP="00CB0A81">
      <w:pPr>
        <w:tabs>
          <w:tab w:val="clear" w:pos="567"/>
        </w:tabs>
        <w:spacing w:line="240" w:lineRule="auto"/>
        <w:jc w:val="both"/>
        <w:rPr>
          <w:rFonts w:eastAsia="Calibri"/>
          <w:szCs w:val="22"/>
          <w:lang w:val="sr-Latn-RS"/>
        </w:rPr>
      </w:pPr>
    </w:p>
    <w:p w14:paraId="4E8B324E" w14:textId="77777777" w:rsidR="007006F4" w:rsidRPr="00E43CDC" w:rsidRDefault="00F15505" w:rsidP="00CB0A81">
      <w:pPr>
        <w:tabs>
          <w:tab w:val="clear" w:pos="567"/>
        </w:tabs>
        <w:spacing w:line="240" w:lineRule="auto"/>
        <w:jc w:val="both"/>
        <w:rPr>
          <w:rFonts w:eastAsia="Calibri"/>
          <w:szCs w:val="22"/>
          <w:lang w:val="sr-Latn-RS"/>
        </w:rPr>
      </w:pPr>
      <w:r w:rsidRPr="00E43CDC">
        <w:rPr>
          <w:rFonts w:eastAsia="Calibri"/>
          <w:szCs w:val="22"/>
          <w:lang w:val="sr-Latn-RS"/>
        </w:rPr>
        <w:t xml:space="preserve">Institut za ljekove i medicinska sredstva </w:t>
      </w:r>
    </w:p>
    <w:p w14:paraId="4D15C782" w14:textId="77777777" w:rsidR="007006F4" w:rsidRPr="00E43CDC" w:rsidRDefault="00F15505" w:rsidP="00CB0A81">
      <w:pPr>
        <w:tabs>
          <w:tab w:val="clear" w:pos="567"/>
        </w:tabs>
        <w:spacing w:line="240" w:lineRule="auto"/>
        <w:jc w:val="both"/>
        <w:rPr>
          <w:rFonts w:eastAsia="Calibri"/>
          <w:szCs w:val="22"/>
          <w:lang w:val="sr-Latn-RS"/>
        </w:rPr>
      </w:pPr>
      <w:r w:rsidRPr="00E43CDC">
        <w:rPr>
          <w:rFonts w:eastAsia="Calibri"/>
          <w:szCs w:val="22"/>
          <w:lang w:val="sr-Latn-RS"/>
        </w:rPr>
        <w:t>Odjeljenje za farmakovigilancu</w:t>
      </w:r>
    </w:p>
    <w:p w14:paraId="579392A7" w14:textId="77777777" w:rsidR="007006F4" w:rsidRPr="00E43CDC" w:rsidRDefault="00F15505" w:rsidP="00CB0A81">
      <w:pPr>
        <w:tabs>
          <w:tab w:val="clear" w:pos="567"/>
        </w:tabs>
        <w:spacing w:line="240" w:lineRule="auto"/>
        <w:jc w:val="both"/>
        <w:rPr>
          <w:rFonts w:eastAsia="Calibri"/>
          <w:szCs w:val="22"/>
          <w:lang w:val="sr-Latn-RS"/>
        </w:rPr>
      </w:pPr>
      <w:r w:rsidRPr="00E43CDC">
        <w:rPr>
          <w:rFonts w:eastAsia="Calibri"/>
          <w:szCs w:val="22"/>
          <w:lang w:val="sr-Latn-RS"/>
        </w:rPr>
        <w:t>Bulevar Ivana Crnojevića 64a, 81000 Podgorica</w:t>
      </w:r>
    </w:p>
    <w:p w14:paraId="536DF4FF" w14:textId="77777777" w:rsidR="007006F4" w:rsidRPr="00E43CDC" w:rsidRDefault="007006F4" w:rsidP="00CB0A81">
      <w:pPr>
        <w:tabs>
          <w:tab w:val="clear" w:pos="567"/>
        </w:tabs>
        <w:spacing w:line="240" w:lineRule="auto"/>
        <w:jc w:val="both"/>
        <w:rPr>
          <w:rFonts w:eastAsia="Calibri"/>
          <w:szCs w:val="22"/>
          <w:lang w:val="sr-Latn-RS"/>
        </w:rPr>
      </w:pPr>
    </w:p>
    <w:p w14:paraId="3C5CBCCB" w14:textId="77777777" w:rsidR="007006F4" w:rsidRPr="00E43CDC" w:rsidRDefault="00F15505" w:rsidP="00CB0A81">
      <w:pPr>
        <w:tabs>
          <w:tab w:val="clear" w:pos="567"/>
        </w:tabs>
        <w:spacing w:line="240" w:lineRule="auto"/>
        <w:jc w:val="both"/>
        <w:rPr>
          <w:rFonts w:eastAsia="Calibri"/>
          <w:szCs w:val="22"/>
          <w:lang w:val="sr-Latn-RS"/>
        </w:rPr>
      </w:pPr>
      <w:r w:rsidRPr="00E43CDC">
        <w:rPr>
          <w:rFonts w:eastAsia="Calibri"/>
          <w:szCs w:val="22"/>
          <w:lang w:val="sr-Latn-RS"/>
        </w:rPr>
        <w:t>tel: +382 (0) 20 310 280</w:t>
      </w:r>
    </w:p>
    <w:p w14:paraId="4CC38FA3" w14:textId="77777777" w:rsidR="007006F4" w:rsidRPr="00E43CDC" w:rsidRDefault="00F15505" w:rsidP="00CB0A81">
      <w:pPr>
        <w:tabs>
          <w:tab w:val="clear" w:pos="567"/>
          <w:tab w:val="left" w:pos="6720"/>
        </w:tabs>
        <w:spacing w:line="240" w:lineRule="auto"/>
        <w:jc w:val="both"/>
        <w:rPr>
          <w:rFonts w:eastAsia="Calibri"/>
          <w:szCs w:val="22"/>
          <w:lang w:val="sr-Latn-RS"/>
        </w:rPr>
      </w:pPr>
      <w:r w:rsidRPr="00E43CDC">
        <w:rPr>
          <w:rFonts w:eastAsia="Calibri"/>
          <w:szCs w:val="22"/>
          <w:lang w:val="sr-Latn-RS"/>
        </w:rPr>
        <w:t>fax: +382 (0) 20 310 581</w:t>
      </w:r>
      <w:r w:rsidRPr="00E43CDC">
        <w:rPr>
          <w:rFonts w:eastAsia="Calibri"/>
          <w:szCs w:val="22"/>
          <w:lang w:val="sr-Latn-RS"/>
        </w:rPr>
        <w:tab/>
      </w:r>
    </w:p>
    <w:p w14:paraId="056A3C88" w14:textId="77777777" w:rsidR="007006F4" w:rsidRPr="00E43CDC" w:rsidRDefault="00E43CDC" w:rsidP="00CB0A81">
      <w:pPr>
        <w:tabs>
          <w:tab w:val="clear" w:pos="567"/>
        </w:tabs>
        <w:spacing w:line="240" w:lineRule="auto"/>
        <w:jc w:val="both"/>
        <w:rPr>
          <w:rFonts w:eastAsia="Calibri"/>
          <w:szCs w:val="22"/>
          <w:lang w:val="sr-Latn-RS"/>
        </w:rPr>
      </w:pPr>
      <w:hyperlink r:id="rId7" w:history="1">
        <w:r w:rsidR="00F15505" w:rsidRPr="00E43CDC">
          <w:rPr>
            <w:rFonts w:eastAsia="Calibri"/>
            <w:color w:val="0563C1"/>
            <w:szCs w:val="22"/>
            <w:u w:val="single"/>
            <w:lang w:val="sr-Latn-RS"/>
          </w:rPr>
          <w:t>www.cinmed.me</w:t>
        </w:r>
      </w:hyperlink>
    </w:p>
    <w:p w14:paraId="57A0D87D" w14:textId="77777777" w:rsidR="007006F4" w:rsidRPr="00E43CDC" w:rsidRDefault="00E43CDC" w:rsidP="00CB0A81">
      <w:pPr>
        <w:tabs>
          <w:tab w:val="clear" w:pos="567"/>
        </w:tabs>
        <w:spacing w:line="240" w:lineRule="auto"/>
        <w:jc w:val="both"/>
        <w:rPr>
          <w:rFonts w:eastAsia="Calibri"/>
          <w:color w:val="0000FF"/>
          <w:szCs w:val="22"/>
          <w:u w:val="single"/>
          <w:lang w:val="sr-Latn-RS"/>
        </w:rPr>
      </w:pPr>
      <w:hyperlink r:id="rId8" w:history="1">
        <w:r w:rsidR="00F15505" w:rsidRPr="00E43CDC">
          <w:rPr>
            <w:rFonts w:eastAsia="Calibri"/>
            <w:color w:val="0563C1"/>
            <w:szCs w:val="22"/>
            <w:u w:val="single"/>
            <w:lang w:val="sr-Latn-RS"/>
          </w:rPr>
          <w:t>nezeljenadejstva@cinmed.me</w:t>
        </w:r>
      </w:hyperlink>
    </w:p>
    <w:p w14:paraId="509E1E42" w14:textId="77777777" w:rsidR="007006F4" w:rsidRPr="00E43CDC" w:rsidRDefault="00F15505" w:rsidP="00CB0A81">
      <w:pPr>
        <w:tabs>
          <w:tab w:val="clear" w:pos="567"/>
        </w:tabs>
        <w:spacing w:line="240" w:lineRule="auto"/>
        <w:jc w:val="both"/>
        <w:rPr>
          <w:rFonts w:eastAsia="Calibri"/>
          <w:szCs w:val="22"/>
          <w:lang w:val="sr-Latn-RS"/>
        </w:rPr>
      </w:pPr>
      <w:r w:rsidRPr="00E43CDC">
        <w:rPr>
          <w:rFonts w:eastAsia="Calibri"/>
          <w:szCs w:val="22"/>
          <w:lang w:val="sr-Latn-RS"/>
        </w:rPr>
        <w:t>putem IS zdravstvene zaštite</w:t>
      </w:r>
    </w:p>
    <w:p w14:paraId="6FA93A8A" w14:textId="77777777" w:rsidR="00E43CDC" w:rsidRDefault="00E43CDC" w:rsidP="00CB0A81">
      <w:pPr>
        <w:tabs>
          <w:tab w:val="clear" w:pos="567"/>
        </w:tabs>
        <w:spacing w:line="240" w:lineRule="auto"/>
        <w:jc w:val="both"/>
        <w:rPr>
          <w:rFonts w:eastAsia="Calibri"/>
          <w:szCs w:val="22"/>
          <w:lang w:val="sr-Latn-RS"/>
        </w:rPr>
      </w:pPr>
    </w:p>
    <w:p w14:paraId="3750E389" w14:textId="77777777" w:rsidR="00E43CDC" w:rsidRDefault="00E43CDC" w:rsidP="00CB0A81">
      <w:pPr>
        <w:tabs>
          <w:tab w:val="clear" w:pos="567"/>
        </w:tabs>
        <w:spacing w:line="240" w:lineRule="auto"/>
        <w:jc w:val="both"/>
        <w:rPr>
          <w:rFonts w:eastAsia="Calibri"/>
          <w:szCs w:val="22"/>
          <w:lang w:val="sr-Latn-RS"/>
        </w:rPr>
      </w:pPr>
    </w:p>
    <w:p w14:paraId="6879C9AC" w14:textId="77777777" w:rsidR="00E43CDC" w:rsidRDefault="00E43CDC" w:rsidP="00CB0A81">
      <w:pPr>
        <w:tabs>
          <w:tab w:val="clear" w:pos="567"/>
        </w:tabs>
        <w:spacing w:line="240" w:lineRule="auto"/>
        <w:jc w:val="both"/>
        <w:rPr>
          <w:rFonts w:eastAsia="Calibri"/>
          <w:szCs w:val="22"/>
          <w:lang w:val="sr-Latn-RS"/>
        </w:rPr>
      </w:pPr>
    </w:p>
    <w:p w14:paraId="7A448A89" w14:textId="77777777" w:rsidR="00E43CDC" w:rsidRDefault="00E43CDC" w:rsidP="00CB0A81">
      <w:pPr>
        <w:tabs>
          <w:tab w:val="clear" w:pos="567"/>
        </w:tabs>
        <w:spacing w:line="240" w:lineRule="auto"/>
        <w:jc w:val="both"/>
        <w:rPr>
          <w:rFonts w:eastAsia="Calibri"/>
          <w:szCs w:val="22"/>
          <w:lang w:val="sr-Latn-RS"/>
        </w:rPr>
      </w:pPr>
    </w:p>
    <w:p w14:paraId="1D0DDC90" w14:textId="77777777" w:rsidR="00E43CDC" w:rsidRDefault="00E43CDC" w:rsidP="00CB0A81">
      <w:pPr>
        <w:tabs>
          <w:tab w:val="clear" w:pos="567"/>
        </w:tabs>
        <w:spacing w:line="240" w:lineRule="auto"/>
        <w:jc w:val="both"/>
        <w:rPr>
          <w:rFonts w:eastAsia="Calibri"/>
          <w:szCs w:val="22"/>
          <w:lang w:val="sr-Latn-RS"/>
        </w:rPr>
      </w:pPr>
    </w:p>
    <w:p w14:paraId="05689EF8" w14:textId="77777777" w:rsidR="00E43CDC" w:rsidRDefault="00E43CDC" w:rsidP="00CB0A81">
      <w:pPr>
        <w:tabs>
          <w:tab w:val="clear" w:pos="567"/>
        </w:tabs>
        <w:spacing w:line="240" w:lineRule="auto"/>
        <w:jc w:val="both"/>
        <w:rPr>
          <w:rFonts w:eastAsia="Calibri"/>
          <w:szCs w:val="22"/>
          <w:lang w:val="sr-Latn-RS"/>
        </w:rPr>
      </w:pPr>
    </w:p>
    <w:p w14:paraId="5CFBA490" w14:textId="7B2CEC0D" w:rsidR="007006F4" w:rsidRPr="00E43CDC" w:rsidRDefault="00F15505" w:rsidP="00CB0A81">
      <w:pPr>
        <w:tabs>
          <w:tab w:val="clear" w:pos="567"/>
        </w:tabs>
        <w:spacing w:line="240" w:lineRule="auto"/>
        <w:jc w:val="both"/>
        <w:rPr>
          <w:rFonts w:eastAsia="Calibri"/>
          <w:szCs w:val="22"/>
          <w:lang w:val="sr-Latn-RS"/>
        </w:rPr>
      </w:pPr>
      <w:r w:rsidRPr="00E43CDC">
        <w:rPr>
          <w:rFonts w:eastAsia="Calibri"/>
          <w:szCs w:val="22"/>
          <w:lang w:val="sr-Latn-RS"/>
        </w:rPr>
        <w:lastRenderedPageBreak/>
        <w:t>QR kod za online prijavu sumnje na neželjeno dejstvo lijeka:</w:t>
      </w:r>
    </w:p>
    <w:p w14:paraId="3CE5194E" w14:textId="77777777" w:rsidR="007006F4" w:rsidRPr="00E43CDC" w:rsidRDefault="007006F4" w:rsidP="00CB0A81">
      <w:pPr>
        <w:tabs>
          <w:tab w:val="clear" w:pos="567"/>
        </w:tabs>
        <w:spacing w:line="240" w:lineRule="auto"/>
        <w:jc w:val="both"/>
        <w:rPr>
          <w:rFonts w:eastAsia="Calibri"/>
          <w:szCs w:val="22"/>
          <w:lang w:val="sr-Latn-RS"/>
        </w:rPr>
      </w:pPr>
    </w:p>
    <w:p w14:paraId="3C089BE1" w14:textId="66AB6B9F" w:rsidR="007006F4" w:rsidRPr="00E43CDC" w:rsidRDefault="00FF260D" w:rsidP="00CB0A81">
      <w:pPr>
        <w:tabs>
          <w:tab w:val="clear" w:pos="567"/>
        </w:tabs>
        <w:spacing w:line="240" w:lineRule="auto"/>
        <w:jc w:val="both"/>
        <w:rPr>
          <w:rFonts w:eastAsia="Calibri"/>
          <w:szCs w:val="22"/>
          <w:lang w:val="sr-Latn-RS"/>
        </w:rPr>
      </w:pPr>
      <w:r w:rsidRPr="00E43CDC">
        <w:rPr>
          <w:b/>
          <w:bCs/>
          <w:noProof/>
          <w:szCs w:val="22"/>
          <w:lang w:val="sr-Latn-RS"/>
        </w:rPr>
        <w:drawing>
          <wp:inline distT="0" distB="0" distL="0" distR="0" wp14:anchorId="0437671D" wp14:editId="5C7B743D">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150D8B6" w14:textId="77777777" w:rsidR="007006F4" w:rsidRPr="00E43CDC" w:rsidRDefault="007006F4" w:rsidP="00CB0A81">
      <w:pPr>
        <w:tabs>
          <w:tab w:val="left" w:pos="540"/>
        </w:tabs>
        <w:spacing w:line="240" w:lineRule="auto"/>
        <w:jc w:val="both"/>
        <w:rPr>
          <w:b/>
          <w:bCs/>
          <w:szCs w:val="22"/>
          <w:lang w:val="sr-Latn-RS"/>
        </w:rPr>
      </w:pPr>
    </w:p>
    <w:p w14:paraId="05968D05" w14:textId="77777777" w:rsidR="007006F4" w:rsidRPr="00E43CDC" w:rsidRDefault="00F15505" w:rsidP="00CB0A81">
      <w:pPr>
        <w:tabs>
          <w:tab w:val="left" w:pos="540"/>
        </w:tabs>
        <w:spacing w:line="240" w:lineRule="auto"/>
        <w:jc w:val="both"/>
        <w:rPr>
          <w:b/>
          <w:bCs/>
          <w:szCs w:val="22"/>
          <w:lang w:val="sr-Latn-RS"/>
        </w:rPr>
      </w:pPr>
      <w:r w:rsidRPr="00E43CDC">
        <w:rPr>
          <w:b/>
          <w:bCs/>
          <w:szCs w:val="22"/>
          <w:lang w:val="sr-Latn-RS"/>
        </w:rPr>
        <w:t xml:space="preserve">4.9. </w:t>
      </w:r>
      <w:r w:rsidRPr="00E43CDC">
        <w:rPr>
          <w:b/>
          <w:bCs/>
          <w:szCs w:val="22"/>
          <w:lang w:val="sr-Latn-RS"/>
        </w:rPr>
        <w:tab/>
        <w:t xml:space="preserve">Predoziranje </w:t>
      </w:r>
    </w:p>
    <w:p w14:paraId="7BACB68E" w14:textId="77777777" w:rsidR="00CB0A81" w:rsidRPr="00E43CDC" w:rsidRDefault="00CB0A81" w:rsidP="00CB0A81">
      <w:pPr>
        <w:tabs>
          <w:tab w:val="left" w:pos="540"/>
        </w:tabs>
        <w:spacing w:line="240" w:lineRule="auto"/>
        <w:jc w:val="both"/>
        <w:rPr>
          <w:b/>
          <w:bCs/>
          <w:szCs w:val="22"/>
          <w:lang w:val="sr-Latn-RS"/>
        </w:rPr>
      </w:pPr>
    </w:p>
    <w:p w14:paraId="2BE45934" w14:textId="77777777" w:rsidR="007006F4" w:rsidRPr="00E43CDC" w:rsidRDefault="00F15505" w:rsidP="00CB0A81">
      <w:pPr>
        <w:tabs>
          <w:tab w:val="left" w:pos="540"/>
        </w:tabs>
        <w:spacing w:line="240" w:lineRule="auto"/>
        <w:jc w:val="both"/>
        <w:rPr>
          <w:bCs/>
          <w:szCs w:val="22"/>
          <w:lang w:val="sr-Latn-RS"/>
        </w:rPr>
      </w:pPr>
      <w:r w:rsidRPr="00E43CDC">
        <w:rPr>
          <w:bCs/>
          <w:szCs w:val="22"/>
          <w:lang w:val="sr-Latn-RS"/>
        </w:rPr>
        <w:t>Podaci o namjernom predoziranju kod ljudi su ograničeni.</w:t>
      </w:r>
    </w:p>
    <w:p w14:paraId="723EDDDB" w14:textId="77777777" w:rsidR="007006F4" w:rsidRPr="00E43CDC" w:rsidRDefault="007006F4" w:rsidP="00CB0A81">
      <w:pPr>
        <w:tabs>
          <w:tab w:val="left" w:pos="540"/>
        </w:tabs>
        <w:spacing w:line="240" w:lineRule="auto"/>
        <w:jc w:val="both"/>
        <w:rPr>
          <w:bCs/>
          <w:i/>
          <w:szCs w:val="22"/>
          <w:lang w:val="sr-Latn-RS"/>
        </w:rPr>
      </w:pPr>
    </w:p>
    <w:p w14:paraId="70D1FCB6" w14:textId="77777777" w:rsidR="007006F4" w:rsidRPr="00E43CDC" w:rsidRDefault="00F15505" w:rsidP="00CB0A81">
      <w:pPr>
        <w:tabs>
          <w:tab w:val="left" w:pos="540"/>
        </w:tabs>
        <w:spacing w:line="240" w:lineRule="auto"/>
        <w:jc w:val="both"/>
        <w:rPr>
          <w:bCs/>
          <w:i/>
          <w:szCs w:val="22"/>
          <w:u w:val="single"/>
          <w:lang w:val="sr-Latn-RS"/>
        </w:rPr>
      </w:pPr>
      <w:r w:rsidRPr="00E43CDC">
        <w:rPr>
          <w:bCs/>
          <w:i/>
          <w:szCs w:val="22"/>
          <w:u w:val="single"/>
          <w:lang w:val="sr-Latn-RS"/>
        </w:rPr>
        <w:t>Simptomi</w:t>
      </w:r>
    </w:p>
    <w:p w14:paraId="42D8D085" w14:textId="77777777" w:rsidR="007006F4" w:rsidRPr="00E43CDC" w:rsidRDefault="00F15505" w:rsidP="00CB0A81">
      <w:pPr>
        <w:tabs>
          <w:tab w:val="left" w:pos="540"/>
        </w:tabs>
        <w:spacing w:line="240" w:lineRule="auto"/>
        <w:jc w:val="both"/>
        <w:rPr>
          <w:bCs/>
          <w:szCs w:val="22"/>
          <w:lang w:val="sr-Latn-RS"/>
        </w:rPr>
      </w:pPr>
      <w:r w:rsidRPr="00E43CDC">
        <w:rPr>
          <w:bCs/>
          <w:szCs w:val="22"/>
          <w:lang w:val="sr-Latn-RS"/>
        </w:rPr>
        <w:t>Dostupni podaci ukazuju na to da bi značajno predoziranje moglo izazvati prekomjernu perifernu vazodilataciju i moguću refleksnu tahikardiju. Zabilježeni su i slučajevi značajne i vjerovatno produžene sistemske hipotenzije sve do šoka sa smrtnim ishodom.</w:t>
      </w:r>
    </w:p>
    <w:p w14:paraId="12C468A5" w14:textId="77777777" w:rsidR="007006F4" w:rsidRPr="00E43CDC" w:rsidRDefault="007006F4" w:rsidP="00CB0A81">
      <w:pPr>
        <w:tabs>
          <w:tab w:val="left" w:pos="540"/>
        </w:tabs>
        <w:spacing w:line="240" w:lineRule="auto"/>
        <w:jc w:val="both"/>
        <w:rPr>
          <w:bCs/>
          <w:szCs w:val="22"/>
          <w:lang w:val="sr-Latn-RS"/>
        </w:rPr>
      </w:pPr>
    </w:p>
    <w:p w14:paraId="13EF2BC1" w14:textId="77777777" w:rsidR="007006F4" w:rsidRPr="00E43CDC" w:rsidRDefault="00F15505" w:rsidP="00CB0A81">
      <w:pPr>
        <w:tabs>
          <w:tab w:val="left" w:pos="540"/>
        </w:tabs>
        <w:spacing w:line="240" w:lineRule="auto"/>
        <w:jc w:val="both"/>
        <w:rPr>
          <w:szCs w:val="22"/>
          <w:lang w:val="sr-Latn-RS"/>
        </w:rPr>
      </w:pPr>
      <w:r w:rsidRPr="00E43CDC">
        <w:rPr>
          <w:szCs w:val="22"/>
          <w:lang w:val="sr-Latn-RS"/>
        </w:rPr>
        <w:t>Nekardiogeni plućni edem je, u rijetkim slučajevima, bio prijavljen kao posl</w:t>
      </w:r>
      <w:r w:rsidR="0066152A" w:rsidRPr="00E43CDC">
        <w:rPr>
          <w:szCs w:val="22"/>
          <w:lang w:val="sr-Latn-RS"/>
        </w:rPr>
        <w:t>j</w:t>
      </w:r>
      <w:r w:rsidRPr="00E43CDC">
        <w:rPr>
          <w:szCs w:val="22"/>
          <w:lang w:val="sr-Latn-RS"/>
        </w:rPr>
        <w:t>edica predoziranja lijekom amlodipin, sa odloženim početkom (24 – 48 sati nakon uzimanja lijeka) pri čemu je neophodna respiratorna podrška. Rane mjere reanimacije (uključujući preopterećenje tečnošću) za održavanje perfuzije i minutnog volumena srca mogu biti precipitirajući faktori.</w:t>
      </w:r>
    </w:p>
    <w:p w14:paraId="596E4C3A" w14:textId="77777777" w:rsidR="007006F4" w:rsidRPr="00E43CDC" w:rsidRDefault="007006F4" w:rsidP="00CB0A81">
      <w:pPr>
        <w:tabs>
          <w:tab w:val="left" w:pos="540"/>
        </w:tabs>
        <w:spacing w:line="240" w:lineRule="auto"/>
        <w:jc w:val="both"/>
        <w:rPr>
          <w:bCs/>
          <w:i/>
          <w:szCs w:val="22"/>
          <w:u w:val="single"/>
          <w:lang w:val="sr-Latn-RS"/>
        </w:rPr>
      </w:pPr>
    </w:p>
    <w:p w14:paraId="776F20FD" w14:textId="77777777" w:rsidR="007006F4" w:rsidRPr="00E43CDC" w:rsidRDefault="00F15505" w:rsidP="00CB0A81">
      <w:pPr>
        <w:tabs>
          <w:tab w:val="left" w:pos="540"/>
        </w:tabs>
        <w:spacing w:line="240" w:lineRule="auto"/>
        <w:jc w:val="both"/>
        <w:rPr>
          <w:bCs/>
          <w:i/>
          <w:szCs w:val="22"/>
          <w:u w:val="single"/>
          <w:lang w:val="sr-Latn-RS"/>
        </w:rPr>
      </w:pPr>
      <w:r w:rsidRPr="00E43CDC">
        <w:rPr>
          <w:bCs/>
          <w:i/>
          <w:szCs w:val="22"/>
          <w:u w:val="single"/>
          <w:lang w:val="sr-Latn-RS"/>
        </w:rPr>
        <w:t>Liječenje</w:t>
      </w:r>
    </w:p>
    <w:p w14:paraId="7D517488" w14:textId="77777777" w:rsidR="007006F4" w:rsidRPr="00E43CDC" w:rsidRDefault="00F15505" w:rsidP="00CB0A81">
      <w:pPr>
        <w:tabs>
          <w:tab w:val="left" w:pos="540"/>
        </w:tabs>
        <w:spacing w:line="240" w:lineRule="auto"/>
        <w:jc w:val="both"/>
        <w:rPr>
          <w:bCs/>
          <w:szCs w:val="22"/>
          <w:lang w:val="sr-Latn-RS"/>
        </w:rPr>
      </w:pPr>
      <w:r w:rsidRPr="00E43CDC">
        <w:rPr>
          <w:bCs/>
          <w:szCs w:val="22"/>
          <w:lang w:val="sr-Latn-RS"/>
        </w:rPr>
        <w:t>Klinički značajna hipotenzija zbog predoziranja amlodipinom zahtijeva aktivnu kardiovaskularnu podršku, uključujući česte kontrole funkcije srca i disanja, elevaciju ekstremiteta, kao i praćenje cirkulišućeg volumena tečnosti i volumena izlučenog urina.</w:t>
      </w:r>
    </w:p>
    <w:p w14:paraId="38F07187" w14:textId="77777777" w:rsidR="007006F4" w:rsidRPr="00E43CDC" w:rsidRDefault="007006F4" w:rsidP="00CB0A81">
      <w:pPr>
        <w:tabs>
          <w:tab w:val="left" w:pos="540"/>
        </w:tabs>
        <w:spacing w:line="240" w:lineRule="auto"/>
        <w:jc w:val="both"/>
        <w:rPr>
          <w:bCs/>
          <w:szCs w:val="22"/>
          <w:lang w:val="sr-Latn-RS"/>
        </w:rPr>
      </w:pPr>
    </w:p>
    <w:p w14:paraId="7B402613" w14:textId="156581B3" w:rsidR="007006F4" w:rsidRPr="00E43CDC" w:rsidRDefault="00F15505" w:rsidP="00CB0A81">
      <w:pPr>
        <w:tabs>
          <w:tab w:val="left" w:pos="540"/>
        </w:tabs>
        <w:spacing w:line="240" w:lineRule="auto"/>
        <w:jc w:val="both"/>
        <w:rPr>
          <w:bCs/>
          <w:szCs w:val="22"/>
          <w:lang w:val="sr-Latn-RS"/>
        </w:rPr>
      </w:pPr>
      <w:r w:rsidRPr="00E43CDC">
        <w:rPr>
          <w:bCs/>
          <w:szCs w:val="22"/>
          <w:lang w:val="sr-Latn-RS"/>
        </w:rPr>
        <w:t>Primjena vazokonstriktora, ukoliko nije kontraindikovana, može pomoći u očuvanju vaskularnog tonusa i krvnog pritiska. Intravensk</w:t>
      </w:r>
      <w:r w:rsidR="0066152A" w:rsidRPr="00E43CDC">
        <w:rPr>
          <w:bCs/>
          <w:szCs w:val="22"/>
          <w:lang w:val="sr-Latn-RS"/>
        </w:rPr>
        <w:t>i</w:t>
      </w:r>
      <w:r w:rsidRPr="00E43CDC">
        <w:rPr>
          <w:bCs/>
          <w:szCs w:val="22"/>
          <w:lang w:val="sr-Latn-RS"/>
        </w:rPr>
        <w:t xml:space="preserve"> </w:t>
      </w:r>
      <w:r w:rsidR="0066152A" w:rsidRPr="00E43CDC">
        <w:rPr>
          <w:bCs/>
          <w:szCs w:val="22"/>
          <w:lang w:val="sr-Latn-RS"/>
        </w:rPr>
        <w:t xml:space="preserve">primijenjen </w:t>
      </w:r>
      <w:r w:rsidRPr="00E43CDC">
        <w:rPr>
          <w:bCs/>
          <w:szCs w:val="22"/>
          <w:lang w:val="sr-Latn-RS"/>
        </w:rPr>
        <w:t xml:space="preserve">kalcijum glukonata može </w:t>
      </w:r>
      <w:r w:rsidR="0066152A" w:rsidRPr="00E43CDC">
        <w:rPr>
          <w:bCs/>
          <w:szCs w:val="22"/>
          <w:lang w:val="sr-Latn-RS"/>
        </w:rPr>
        <w:t>pomoći u</w:t>
      </w:r>
      <w:r w:rsidRPr="00E43CDC">
        <w:rPr>
          <w:bCs/>
          <w:szCs w:val="22"/>
          <w:lang w:val="sr-Latn-RS"/>
        </w:rPr>
        <w:t xml:space="preserve"> </w:t>
      </w:r>
      <w:r w:rsidR="0066152A" w:rsidRPr="00E43CDC">
        <w:rPr>
          <w:bCs/>
          <w:szCs w:val="22"/>
          <w:lang w:val="sr-Latn-RS"/>
        </w:rPr>
        <w:t xml:space="preserve">suzbijanju </w:t>
      </w:r>
      <w:r w:rsidRPr="00E43CDC">
        <w:rPr>
          <w:bCs/>
          <w:szCs w:val="22"/>
          <w:lang w:val="sr-Latn-RS"/>
        </w:rPr>
        <w:t>dejstva blokade kalcijumskih kanala.</w:t>
      </w:r>
    </w:p>
    <w:p w14:paraId="6701A587" w14:textId="77777777" w:rsidR="007006F4" w:rsidRPr="00E43CDC" w:rsidRDefault="007006F4" w:rsidP="00CB0A81">
      <w:pPr>
        <w:tabs>
          <w:tab w:val="left" w:pos="540"/>
        </w:tabs>
        <w:spacing w:line="240" w:lineRule="auto"/>
        <w:jc w:val="both"/>
        <w:rPr>
          <w:bCs/>
          <w:szCs w:val="22"/>
          <w:lang w:val="sr-Latn-RS"/>
        </w:rPr>
      </w:pPr>
    </w:p>
    <w:p w14:paraId="45382B59" w14:textId="722D6A9E" w:rsidR="007006F4" w:rsidRPr="00E43CDC" w:rsidRDefault="00F15505" w:rsidP="00CB0A81">
      <w:pPr>
        <w:tabs>
          <w:tab w:val="left" w:pos="540"/>
        </w:tabs>
        <w:spacing w:line="240" w:lineRule="auto"/>
        <w:jc w:val="both"/>
        <w:rPr>
          <w:bCs/>
          <w:szCs w:val="22"/>
          <w:lang w:val="sr-Latn-RS"/>
        </w:rPr>
      </w:pPr>
      <w:r w:rsidRPr="00E43CDC">
        <w:rPr>
          <w:bCs/>
          <w:szCs w:val="22"/>
          <w:lang w:val="sr-Latn-RS"/>
        </w:rPr>
        <w:t>U nekim slučajevima može biti korisno ispiranje želuca. Kod zdravih dobrovoljaca je pokazano da primjena aktivnog medicinskog uglja do 2 h nakon uzimanja doze amlodipina od 10 mg smanjuje stepen resorpcije amlodipina.</w:t>
      </w:r>
    </w:p>
    <w:p w14:paraId="16E3C01D" w14:textId="77777777" w:rsidR="007006F4" w:rsidRPr="00E43CDC" w:rsidRDefault="007006F4" w:rsidP="00CB0A81">
      <w:pPr>
        <w:tabs>
          <w:tab w:val="left" w:pos="540"/>
        </w:tabs>
        <w:spacing w:line="240" w:lineRule="auto"/>
        <w:jc w:val="both"/>
        <w:rPr>
          <w:bCs/>
          <w:szCs w:val="22"/>
          <w:lang w:val="sr-Latn-RS"/>
        </w:rPr>
      </w:pPr>
    </w:p>
    <w:p w14:paraId="3A4DD6A7" w14:textId="77777777" w:rsidR="007006F4" w:rsidRPr="00E43CDC" w:rsidRDefault="00F15505" w:rsidP="00CB0A81">
      <w:pPr>
        <w:tabs>
          <w:tab w:val="left" w:pos="540"/>
        </w:tabs>
        <w:spacing w:line="240" w:lineRule="auto"/>
        <w:jc w:val="both"/>
        <w:rPr>
          <w:bCs/>
          <w:szCs w:val="22"/>
          <w:lang w:val="sr-Latn-RS"/>
        </w:rPr>
      </w:pPr>
      <w:r w:rsidRPr="00E43CDC">
        <w:rPr>
          <w:bCs/>
          <w:szCs w:val="22"/>
          <w:lang w:val="sr-Latn-RS"/>
        </w:rPr>
        <w:t>S obzirom na to da se amlodipin vezuje za proteine plazme u visokom procentu, ne može se očekivati korist od dijalize.</w:t>
      </w:r>
    </w:p>
    <w:p w14:paraId="57308E65" w14:textId="77777777" w:rsidR="007006F4" w:rsidRPr="00E43CDC" w:rsidRDefault="007006F4" w:rsidP="00CB0A81">
      <w:pPr>
        <w:tabs>
          <w:tab w:val="left" w:pos="540"/>
        </w:tabs>
        <w:spacing w:line="240" w:lineRule="auto"/>
        <w:jc w:val="both"/>
        <w:rPr>
          <w:b/>
          <w:bCs/>
          <w:szCs w:val="22"/>
          <w:lang w:val="sr-Latn-RS"/>
        </w:rPr>
      </w:pPr>
    </w:p>
    <w:p w14:paraId="7CD3AEB3" w14:textId="77777777" w:rsidR="007006F4" w:rsidRPr="00E43CDC" w:rsidRDefault="007006F4" w:rsidP="00CB0A81">
      <w:pPr>
        <w:tabs>
          <w:tab w:val="left" w:pos="540"/>
        </w:tabs>
        <w:spacing w:line="240" w:lineRule="auto"/>
        <w:jc w:val="both"/>
        <w:rPr>
          <w:b/>
          <w:bCs/>
          <w:szCs w:val="22"/>
          <w:lang w:val="sr-Latn-RS"/>
        </w:rPr>
      </w:pPr>
    </w:p>
    <w:p w14:paraId="5FE20C73" w14:textId="77777777" w:rsidR="007006F4" w:rsidRPr="00E43CDC" w:rsidRDefault="00F15505" w:rsidP="00CB0A81">
      <w:pPr>
        <w:tabs>
          <w:tab w:val="left" w:pos="540"/>
        </w:tabs>
        <w:spacing w:line="240" w:lineRule="auto"/>
        <w:jc w:val="both"/>
        <w:rPr>
          <w:b/>
          <w:bCs/>
          <w:szCs w:val="22"/>
          <w:lang w:val="sr-Latn-RS"/>
        </w:rPr>
      </w:pPr>
      <w:r w:rsidRPr="00E43CDC">
        <w:rPr>
          <w:b/>
          <w:bCs/>
          <w:szCs w:val="22"/>
          <w:lang w:val="sr-Latn-RS"/>
        </w:rPr>
        <w:t xml:space="preserve">5. </w:t>
      </w:r>
      <w:r w:rsidRPr="00E43CDC">
        <w:rPr>
          <w:b/>
          <w:bCs/>
          <w:szCs w:val="22"/>
          <w:lang w:val="sr-Latn-RS"/>
        </w:rPr>
        <w:tab/>
        <w:t>FARMAKOLOŠKI PODACI</w:t>
      </w:r>
    </w:p>
    <w:p w14:paraId="7E0488B1" w14:textId="77777777" w:rsidR="007006F4" w:rsidRPr="00E43CDC" w:rsidRDefault="007006F4" w:rsidP="00CB0A81">
      <w:pPr>
        <w:tabs>
          <w:tab w:val="left" w:pos="540"/>
        </w:tabs>
        <w:spacing w:line="240" w:lineRule="auto"/>
        <w:jc w:val="both"/>
        <w:rPr>
          <w:b/>
          <w:bCs/>
          <w:szCs w:val="22"/>
          <w:lang w:val="sr-Latn-RS"/>
        </w:rPr>
      </w:pPr>
    </w:p>
    <w:p w14:paraId="0EFCE43E" w14:textId="77777777" w:rsidR="007006F4" w:rsidRPr="00E43CDC" w:rsidRDefault="00F15505" w:rsidP="00CB0A81">
      <w:pPr>
        <w:tabs>
          <w:tab w:val="left" w:pos="540"/>
        </w:tabs>
        <w:spacing w:line="240" w:lineRule="auto"/>
        <w:jc w:val="both"/>
        <w:rPr>
          <w:b/>
          <w:bCs/>
          <w:szCs w:val="22"/>
          <w:lang w:val="sr-Latn-RS"/>
        </w:rPr>
      </w:pPr>
      <w:r w:rsidRPr="00E43CDC">
        <w:rPr>
          <w:b/>
          <w:bCs/>
          <w:szCs w:val="22"/>
          <w:lang w:val="sr-Latn-RS"/>
        </w:rPr>
        <w:t xml:space="preserve">5.1. </w:t>
      </w:r>
      <w:r w:rsidRPr="00E43CDC">
        <w:rPr>
          <w:b/>
          <w:bCs/>
          <w:szCs w:val="22"/>
          <w:lang w:val="sr-Latn-RS"/>
        </w:rPr>
        <w:tab/>
        <w:t xml:space="preserve">Farmakodinamski podaci </w:t>
      </w:r>
    </w:p>
    <w:p w14:paraId="16CCCE68" w14:textId="77777777" w:rsidR="007006F4" w:rsidRPr="00E43CDC" w:rsidRDefault="007006F4" w:rsidP="00CB0A81">
      <w:pPr>
        <w:tabs>
          <w:tab w:val="left" w:pos="540"/>
        </w:tabs>
        <w:spacing w:line="240" w:lineRule="auto"/>
        <w:jc w:val="both"/>
        <w:rPr>
          <w:b/>
          <w:bCs/>
          <w:szCs w:val="22"/>
          <w:lang w:val="sr-Latn-RS"/>
        </w:rPr>
      </w:pPr>
    </w:p>
    <w:p w14:paraId="747B941E" w14:textId="2C4E35D9" w:rsidR="007006F4" w:rsidRPr="00E43CDC" w:rsidRDefault="00F15505" w:rsidP="00CB0A81">
      <w:pPr>
        <w:tabs>
          <w:tab w:val="left" w:pos="540"/>
        </w:tabs>
        <w:spacing w:line="240" w:lineRule="auto"/>
        <w:jc w:val="both"/>
        <w:rPr>
          <w:bCs/>
          <w:szCs w:val="22"/>
          <w:lang w:val="sr-Latn-RS"/>
        </w:rPr>
      </w:pPr>
      <w:r w:rsidRPr="00E43CDC">
        <w:rPr>
          <w:bCs/>
          <w:szCs w:val="22"/>
          <w:lang w:val="sr-Latn-RS"/>
        </w:rPr>
        <w:t>Farmakoterapijska grupa: selektivni blokatori kalcijumskih kanala</w:t>
      </w:r>
      <w:r w:rsidR="004B0D3D" w:rsidRPr="00E43CDC">
        <w:rPr>
          <w:bCs/>
          <w:szCs w:val="22"/>
          <w:lang w:val="sr-Latn-RS"/>
        </w:rPr>
        <w:t>.</w:t>
      </w:r>
      <w:r w:rsidRPr="00E43CDC">
        <w:rPr>
          <w:bCs/>
          <w:szCs w:val="22"/>
          <w:lang w:val="sr-Latn-RS"/>
        </w:rPr>
        <w:t xml:space="preserve"> </w:t>
      </w:r>
    </w:p>
    <w:p w14:paraId="43EE4BDE" w14:textId="77777777" w:rsidR="007006F4" w:rsidRPr="00E43CDC" w:rsidRDefault="00F15505" w:rsidP="00CB0A81">
      <w:pPr>
        <w:tabs>
          <w:tab w:val="left" w:pos="540"/>
        </w:tabs>
        <w:spacing w:line="240" w:lineRule="auto"/>
        <w:jc w:val="both"/>
        <w:rPr>
          <w:bCs/>
          <w:szCs w:val="22"/>
          <w:lang w:val="sr-Latn-RS"/>
        </w:rPr>
      </w:pPr>
      <w:r w:rsidRPr="00E43CDC">
        <w:rPr>
          <w:bCs/>
          <w:szCs w:val="22"/>
          <w:lang w:val="sr-Latn-RS"/>
        </w:rPr>
        <w:t>ATC kod: C08CA01</w:t>
      </w:r>
    </w:p>
    <w:p w14:paraId="27E15EFD" w14:textId="77777777" w:rsidR="007006F4" w:rsidRPr="00E43CDC" w:rsidRDefault="007006F4" w:rsidP="00CB0A81">
      <w:pPr>
        <w:tabs>
          <w:tab w:val="left" w:pos="540"/>
        </w:tabs>
        <w:spacing w:line="240" w:lineRule="auto"/>
        <w:jc w:val="both"/>
        <w:rPr>
          <w:bCs/>
          <w:szCs w:val="22"/>
          <w:lang w:val="sr-Latn-RS"/>
        </w:rPr>
      </w:pPr>
    </w:p>
    <w:p w14:paraId="0C05D380" w14:textId="4F749841" w:rsidR="007006F4" w:rsidRPr="00E43CDC" w:rsidRDefault="00F15505" w:rsidP="00CB0A81">
      <w:pPr>
        <w:tabs>
          <w:tab w:val="left" w:pos="540"/>
        </w:tabs>
        <w:spacing w:line="240" w:lineRule="auto"/>
        <w:jc w:val="both"/>
        <w:rPr>
          <w:bCs/>
          <w:szCs w:val="22"/>
          <w:lang w:val="sr-Latn-RS"/>
        </w:rPr>
      </w:pPr>
      <w:r w:rsidRPr="00E43CDC">
        <w:rPr>
          <w:bCs/>
          <w:szCs w:val="22"/>
          <w:lang w:val="sr-Latn-RS"/>
        </w:rPr>
        <w:t>Amlodipin je inhibitor ulaska kalcijumovih jona iz grupe dihidropiridina (blokator sporih kanala ili antagonista kalcijuma). Amlodipin inhibira transmembranski influks kalcijumovih jona u srčan</w:t>
      </w:r>
      <w:r w:rsidR="004B0D3D" w:rsidRPr="00E43CDC">
        <w:rPr>
          <w:bCs/>
          <w:szCs w:val="22"/>
          <w:lang w:val="sr-Latn-RS"/>
        </w:rPr>
        <w:t>i mišić</w:t>
      </w:r>
      <w:r w:rsidRPr="00E43CDC">
        <w:rPr>
          <w:bCs/>
          <w:szCs w:val="22"/>
          <w:lang w:val="sr-Latn-RS"/>
        </w:rPr>
        <w:t xml:space="preserve"> i vaskularne glatke mišiće.</w:t>
      </w:r>
    </w:p>
    <w:p w14:paraId="568F82D5" w14:textId="77777777" w:rsidR="00060641" w:rsidRPr="00E43CDC" w:rsidRDefault="00060641" w:rsidP="00CB0A81">
      <w:pPr>
        <w:tabs>
          <w:tab w:val="left" w:pos="540"/>
        </w:tabs>
        <w:spacing w:line="240" w:lineRule="auto"/>
        <w:jc w:val="both"/>
        <w:rPr>
          <w:bCs/>
          <w:szCs w:val="22"/>
          <w:lang w:val="sr-Latn-RS"/>
        </w:rPr>
      </w:pPr>
    </w:p>
    <w:p w14:paraId="5A9AFB18" w14:textId="77777777" w:rsidR="007006F4" w:rsidRPr="00E43CDC" w:rsidRDefault="00060641" w:rsidP="00CB0A81">
      <w:pPr>
        <w:tabs>
          <w:tab w:val="left" w:pos="540"/>
        </w:tabs>
        <w:spacing w:line="240" w:lineRule="auto"/>
        <w:jc w:val="both"/>
        <w:rPr>
          <w:bCs/>
          <w:szCs w:val="22"/>
          <w:u w:val="single"/>
          <w:lang w:val="sr-Latn-RS"/>
        </w:rPr>
      </w:pPr>
      <w:r w:rsidRPr="00E43CDC">
        <w:rPr>
          <w:bCs/>
          <w:szCs w:val="22"/>
          <w:u w:val="single"/>
          <w:lang w:val="sr-Latn-RS"/>
        </w:rPr>
        <w:t>Mehanizam dejstva</w:t>
      </w:r>
    </w:p>
    <w:p w14:paraId="069FC022" w14:textId="77777777" w:rsidR="007006F4" w:rsidRPr="00E43CDC" w:rsidRDefault="00F15505" w:rsidP="00CB0A81">
      <w:pPr>
        <w:tabs>
          <w:tab w:val="left" w:pos="540"/>
        </w:tabs>
        <w:spacing w:line="240" w:lineRule="auto"/>
        <w:jc w:val="both"/>
        <w:rPr>
          <w:bCs/>
          <w:szCs w:val="22"/>
          <w:lang w:val="sr-Latn-RS"/>
        </w:rPr>
      </w:pPr>
      <w:r w:rsidRPr="00E43CDC">
        <w:rPr>
          <w:bCs/>
          <w:szCs w:val="22"/>
          <w:lang w:val="sr-Latn-RS"/>
        </w:rPr>
        <w:t>Antihipertenzivno djelovanje nastaje zbog direknog relaksirajućeg dejstva na glatke mišiće krvnih sudova. Tačan mehanizam kojim amlodipin ublažava anginu nije u potpunosti ustanovljen, međutim u tome učestvuju sljedeća dva dejstva:</w:t>
      </w:r>
    </w:p>
    <w:p w14:paraId="399A87DB" w14:textId="77777777" w:rsidR="007006F4" w:rsidRPr="00E43CDC" w:rsidRDefault="007006F4" w:rsidP="00CB0A81">
      <w:pPr>
        <w:tabs>
          <w:tab w:val="left" w:pos="540"/>
        </w:tabs>
        <w:spacing w:line="240" w:lineRule="auto"/>
        <w:jc w:val="both"/>
        <w:rPr>
          <w:bCs/>
          <w:szCs w:val="22"/>
          <w:lang w:val="sr-Latn-RS"/>
        </w:rPr>
      </w:pPr>
    </w:p>
    <w:p w14:paraId="785ABC8A" w14:textId="77777777" w:rsidR="007006F4" w:rsidRPr="00E43CDC" w:rsidRDefault="00F15505" w:rsidP="00CB0A81">
      <w:pPr>
        <w:tabs>
          <w:tab w:val="left" w:pos="540"/>
        </w:tabs>
        <w:spacing w:line="240" w:lineRule="auto"/>
        <w:jc w:val="both"/>
        <w:rPr>
          <w:bCs/>
          <w:szCs w:val="22"/>
          <w:lang w:val="sr-Latn-RS"/>
        </w:rPr>
      </w:pPr>
      <w:r w:rsidRPr="00E43CDC">
        <w:rPr>
          <w:bCs/>
          <w:szCs w:val="22"/>
          <w:lang w:val="sr-Latn-RS"/>
        </w:rPr>
        <w:lastRenderedPageBreak/>
        <w:t>1. Amlodipin dilatira periferne arteriole i na taj način smanjuje ukupni periferni otpor (</w:t>
      </w:r>
      <w:r w:rsidRPr="00E43CDC">
        <w:rPr>
          <w:bCs/>
          <w:i/>
          <w:szCs w:val="22"/>
          <w:lang w:val="sr-Latn-RS"/>
        </w:rPr>
        <w:t>afterload</w:t>
      </w:r>
      <w:r w:rsidRPr="00E43CDC">
        <w:rPr>
          <w:bCs/>
          <w:szCs w:val="22"/>
          <w:lang w:val="sr-Latn-RS"/>
        </w:rPr>
        <w:t>) koji opterećuje srce. S obzirom da frekvenca rada srca ostaje stabilna, ovo rasterećenje srca smanjuje potrošnju energije i potrebu miokarda za kiseonikom.</w:t>
      </w:r>
    </w:p>
    <w:p w14:paraId="4BFFEE1F" w14:textId="77777777" w:rsidR="007006F4" w:rsidRPr="00E43CDC" w:rsidRDefault="007006F4" w:rsidP="00CB0A81">
      <w:pPr>
        <w:tabs>
          <w:tab w:val="left" w:pos="540"/>
        </w:tabs>
        <w:spacing w:line="240" w:lineRule="auto"/>
        <w:jc w:val="both"/>
        <w:rPr>
          <w:bCs/>
          <w:szCs w:val="22"/>
          <w:lang w:val="sr-Latn-RS"/>
        </w:rPr>
      </w:pPr>
    </w:p>
    <w:p w14:paraId="345EFBFF" w14:textId="4701C7F6" w:rsidR="007006F4" w:rsidRPr="00E43CDC" w:rsidRDefault="00F15505" w:rsidP="00CB0A81">
      <w:pPr>
        <w:tabs>
          <w:tab w:val="left" w:pos="540"/>
        </w:tabs>
        <w:spacing w:line="240" w:lineRule="auto"/>
        <w:jc w:val="both"/>
        <w:rPr>
          <w:bCs/>
          <w:szCs w:val="22"/>
          <w:lang w:val="sr-Latn-RS"/>
        </w:rPr>
      </w:pPr>
      <w:r w:rsidRPr="00E43CDC">
        <w:rPr>
          <w:bCs/>
          <w:szCs w:val="22"/>
          <w:lang w:val="sr-Latn-RS"/>
        </w:rPr>
        <w:t>2. Mehanizam djelovanja takođe vjerovatno uključuje dilataciju glavnih koronarnih arterija i koronarnih arteriola, kako u zdravom tako i u djelovima zahvaćenim ishemijom. Ova dilatacija povećava snabdijevanje miokarda kiseonikom kod pacijenata sa spazmom koronarne arterije (Prinzmetal-ova ili nestabilna angina).</w:t>
      </w:r>
    </w:p>
    <w:p w14:paraId="3AF62C38" w14:textId="77777777" w:rsidR="007006F4" w:rsidRPr="00E43CDC" w:rsidRDefault="007006F4" w:rsidP="00CB0A81">
      <w:pPr>
        <w:tabs>
          <w:tab w:val="left" w:pos="540"/>
        </w:tabs>
        <w:spacing w:line="240" w:lineRule="auto"/>
        <w:jc w:val="both"/>
        <w:rPr>
          <w:bCs/>
          <w:szCs w:val="22"/>
          <w:lang w:val="sr-Latn-RS"/>
        </w:rPr>
      </w:pPr>
    </w:p>
    <w:p w14:paraId="110B3E3B" w14:textId="77777777" w:rsidR="007006F4" w:rsidRPr="00E43CDC" w:rsidRDefault="00F15505" w:rsidP="00CB0A81">
      <w:pPr>
        <w:tabs>
          <w:tab w:val="left" w:pos="540"/>
        </w:tabs>
        <w:spacing w:line="240" w:lineRule="auto"/>
        <w:jc w:val="both"/>
        <w:rPr>
          <w:bCs/>
          <w:szCs w:val="22"/>
          <w:lang w:val="sr-Latn-RS"/>
        </w:rPr>
      </w:pPr>
      <w:r w:rsidRPr="00E43CDC">
        <w:rPr>
          <w:bCs/>
          <w:szCs w:val="22"/>
          <w:lang w:val="sr-Latn-RS"/>
        </w:rPr>
        <w:t>Kod pacijenata sa hipertenzijom, doziranje amlodipina jednom dnevno obezbjeđuje klinički značajno sniženje krvnog pritiska (i u ležećem i u stojećem položaju) tokom perioda od 24 sata. Zbog sporog početka djelovanja, akutna hipotenzija nije karakteristična nakon primjene amlodipina.</w:t>
      </w:r>
    </w:p>
    <w:p w14:paraId="775F27C2" w14:textId="77777777" w:rsidR="007006F4" w:rsidRPr="00E43CDC" w:rsidRDefault="007006F4" w:rsidP="00CB0A81">
      <w:pPr>
        <w:tabs>
          <w:tab w:val="left" w:pos="540"/>
        </w:tabs>
        <w:spacing w:line="240" w:lineRule="auto"/>
        <w:jc w:val="both"/>
        <w:rPr>
          <w:bCs/>
          <w:szCs w:val="22"/>
          <w:lang w:val="sr-Latn-RS"/>
        </w:rPr>
      </w:pPr>
    </w:p>
    <w:p w14:paraId="188544E0" w14:textId="2A60F3BF" w:rsidR="007006F4" w:rsidRPr="00E43CDC" w:rsidRDefault="00F15505" w:rsidP="00CB0A81">
      <w:pPr>
        <w:tabs>
          <w:tab w:val="left" w:pos="540"/>
        </w:tabs>
        <w:spacing w:line="240" w:lineRule="auto"/>
        <w:jc w:val="both"/>
        <w:rPr>
          <w:bCs/>
          <w:szCs w:val="22"/>
          <w:lang w:val="sr-Latn-RS"/>
        </w:rPr>
      </w:pPr>
      <w:r w:rsidRPr="00E43CDC">
        <w:rPr>
          <w:bCs/>
          <w:szCs w:val="22"/>
          <w:lang w:val="sr-Latn-RS"/>
        </w:rPr>
        <w:t xml:space="preserve">Kod pacijenata sa anginom, primjena amlodipina jednom dnevno produžava ukupno vrijeme na testu opterećenja, vrijeme do početka anginalnog bola i vrijeme do </w:t>
      </w:r>
      <w:r w:rsidR="004F3DE4" w:rsidRPr="00E43CDC">
        <w:rPr>
          <w:bCs/>
          <w:szCs w:val="22"/>
          <w:lang w:val="sr-Latn-RS"/>
        </w:rPr>
        <w:t xml:space="preserve">snižavanje </w:t>
      </w:r>
      <w:r w:rsidRPr="00E43CDC">
        <w:rPr>
          <w:bCs/>
          <w:szCs w:val="22"/>
          <w:lang w:val="sr-Latn-RS"/>
        </w:rPr>
        <w:t>ST intervala za 1-mm</w:t>
      </w:r>
      <w:r w:rsidRPr="00E43CDC">
        <w:rPr>
          <w:bCs/>
          <w:i/>
          <w:szCs w:val="22"/>
          <w:lang w:val="sr-Latn-RS"/>
        </w:rPr>
        <w:t xml:space="preserve">. </w:t>
      </w:r>
      <w:r w:rsidRPr="00E43CDC">
        <w:rPr>
          <w:bCs/>
          <w:szCs w:val="22"/>
          <w:lang w:val="sr-Latn-RS"/>
        </w:rPr>
        <w:t>Amlodipin smanjuje kako učestalost napada angine tako i potrošnju tableta gliceril trinitrata.</w:t>
      </w:r>
    </w:p>
    <w:p w14:paraId="4BB0018B" w14:textId="77777777" w:rsidR="007006F4" w:rsidRPr="00E43CDC" w:rsidRDefault="007006F4" w:rsidP="00CB0A81">
      <w:pPr>
        <w:tabs>
          <w:tab w:val="left" w:pos="540"/>
        </w:tabs>
        <w:spacing w:line="240" w:lineRule="auto"/>
        <w:jc w:val="both"/>
        <w:rPr>
          <w:bCs/>
          <w:szCs w:val="22"/>
          <w:lang w:val="sr-Latn-RS"/>
        </w:rPr>
      </w:pPr>
    </w:p>
    <w:p w14:paraId="3A3805DE" w14:textId="77777777" w:rsidR="007006F4" w:rsidRPr="00E43CDC" w:rsidRDefault="00F15505" w:rsidP="00CB0A81">
      <w:pPr>
        <w:tabs>
          <w:tab w:val="left" w:pos="540"/>
        </w:tabs>
        <w:spacing w:line="240" w:lineRule="auto"/>
        <w:jc w:val="both"/>
        <w:rPr>
          <w:bCs/>
          <w:szCs w:val="22"/>
          <w:lang w:val="sr-Latn-RS"/>
        </w:rPr>
      </w:pPr>
      <w:r w:rsidRPr="00E43CDC">
        <w:rPr>
          <w:bCs/>
          <w:szCs w:val="22"/>
          <w:lang w:val="sr-Latn-RS"/>
        </w:rPr>
        <w:t>Amlodipin ne prouzrokuje metabolička neželjena dejstva niti promjene nivoa lipida u plazmi, pa je pogodan za primjenu kod pacijenata koji boluju od astme, dijabetesa i gihta.</w:t>
      </w:r>
    </w:p>
    <w:p w14:paraId="1245DD5C" w14:textId="77777777" w:rsidR="007006F4" w:rsidRPr="00E43CDC" w:rsidRDefault="007006F4" w:rsidP="00CB0A81">
      <w:pPr>
        <w:tabs>
          <w:tab w:val="left" w:pos="540"/>
        </w:tabs>
        <w:spacing w:line="240" w:lineRule="auto"/>
        <w:jc w:val="both"/>
        <w:rPr>
          <w:bCs/>
          <w:i/>
          <w:szCs w:val="22"/>
          <w:lang w:val="sr-Latn-RS"/>
        </w:rPr>
      </w:pPr>
    </w:p>
    <w:p w14:paraId="313FC57B" w14:textId="6473B5E2" w:rsidR="007006F4" w:rsidRPr="00E43CDC" w:rsidRDefault="00F15505" w:rsidP="00CB0A81">
      <w:pPr>
        <w:tabs>
          <w:tab w:val="left" w:pos="540"/>
        </w:tabs>
        <w:spacing w:line="240" w:lineRule="auto"/>
        <w:jc w:val="both"/>
        <w:rPr>
          <w:bCs/>
          <w:szCs w:val="22"/>
          <w:lang w:val="sr-Latn-RS"/>
        </w:rPr>
      </w:pPr>
      <w:r w:rsidRPr="00E43CDC">
        <w:rPr>
          <w:bCs/>
          <w:szCs w:val="22"/>
          <w:u w:val="single"/>
          <w:lang w:val="sr-Latn-RS"/>
        </w:rPr>
        <w:t>Primjena kod pacijenata sa oboljenjem koronarnih arterija (CAD)</w:t>
      </w:r>
    </w:p>
    <w:p w14:paraId="7687BFF8" w14:textId="46159497" w:rsidR="007006F4" w:rsidRPr="00E43CDC" w:rsidRDefault="00F15505" w:rsidP="002240EC">
      <w:pPr>
        <w:tabs>
          <w:tab w:val="left" w:pos="540"/>
        </w:tabs>
        <w:spacing w:line="240" w:lineRule="auto"/>
        <w:jc w:val="both"/>
        <w:rPr>
          <w:bCs/>
          <w:szCs w:val="22"/>
          <w:lang w:val="sr-Latn-RS"/>
        </w:rPr>
      </w:pPr>
      <w:r w:rsidRPr="00E43CDC">
        <w:rPr>
          <w:bCs/>
          <w:szCs w:val="22"/>
          <w:lang w:val="sr-Latn-RS"/>
        </w:rPr>
        <w:t>Efikasnost amlodipina u prevenciji kliničkih događaja kod pacijenata sa oboljenjem koronarnih arterija (CAD) procijenjena je u jednoj nezavisnoj, multicentričnoj, randomizovanoj, dvostruko slijepoj, placebo-kontrolisanoj studiji na 1997 pacijenata</w:t>
      </w:r>
      <w:r w:rsidR="002240EC" w:rsidRPr="00E43CDC">
        <w:rPr>
          <w:bCs/>
          <w:szCs w:val="22"/>
          <w:lang w:val="sr-Latn-RS"/>
        </w:rPr>
        <w:t>; upoređivanje amlodipina u odnosu na enalapril obzirom na sprečavanje pojave tromboze</w:t>
      </w:r>
      <w:r w:rsidRPr="00E43CDC">
        <w:rPr>
          <w:bCs/>
          <w:szCs w:val="22"/>
          <w:lang w:val="sr-Latn-RS"/>
        </w:rPr>
        <w:t xml:space="preserve"> CAMELOT (engl. </w:t>
      </w:r>
      <w:r w:rsidRPr="00E43CDC">
        <w:rPr>
          <w:bCs/>
          <w:i/>
          <w:szCs w:val="22"/>
          <w:lang w:val="sr-Latn-RS"/>
        </w:rPr>
        <w:t>Comparison of Amlodipine vs Enalapril to Limit Occurrence of Thrombosis</w:t>
      </w:r>
      <w:r w:rsidRPr="00E43CDC">
        <w:rPr>
          <w:bCs/>
          <w:szCs w:val="22"/>
          <w:lang w:val="sr-Latn-RS"/>
        </w:rPr>
        <w:t>). Od ovih pacijenata, 663 je liječeno amlodipinom od 5-10 mg, 673 enalaprilom od 10-20 mg, a 655 je dobijalo placebo, kao dodatak standardnoj terapiji statinima, beta-blokatorima, diureticima i aspirinom tokom dvije godine. Ključni rezultati efikasnosti prikazani su u tabeli 1. Rezultati pokazuju da je liječenje amlodipinom smanjuje broj hospitalizacija zbog angine pektoris i smanjuje broj procedura revaskularizacije kod pacijenata sa bolešću koronarnih arterija.</w:t>
      </w:r>
    </w:p>
    <w:p w14:paraId="50DC8773" w14:textId="77777777" w:rsidR="007006F4" w:rsidRPr="00E43CDC" w:rsidRDefault="007006F4" w:rsidP="00CB0A81">
      <w:pPr>
        <w:tabs>
          <w:tab w:val="left" w:pos="540"/>
        </w:tabs>
        <w:spacing w:line="240" w:lineRule="auto"/>
        <w:jc w:val="both"/>
        <w:rPr>
          <w:bCs/>
          <w:i/>
          <w:szCs w:val="22"/>
          <w:lang w:val="sr-Latn-RS"/>
        </w:rPr>
      </w:pPr>
    </w:p>
    <w:p w14:paraId="37453872" w14:textId="77777777" w:rsidR="007006F4" w:rsidRPr="00E43CDC" w:rsidRDefault="00F15505" w:rsidP="00F64091">
      <w:pPr>
        <w:tabs>
          <w:tab w:val="left" w:pos="540"/>
        </w:tabs>
        <w:spacing w:line="240" w:lineRule="auto"/>
        <w:jc w:val="center"/>
        <w:rPr>
          <w:b/>
          <w:bCs/>
          <w:szCs w:val="22"/>
          <w:lang w:val="sr-Latn-RS"/>
        </w:rPr>
      </w:pPr>
      <w:r w:rsidRPr="00E43CDC">
        <w:rPr>
          <w:b/>
          <w:bCs/>
          <w:szCs w:val="22"/>
          <w:lang w:val="sr-Latn-RS"/>
        </w:rPr>
        <w:t>Tabela 1. Učestalost klinički značajnih ishoda u CAMELOT studiji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9"/>
        <w:gridCol w:w="1335"/>
        <w:gridCol w:w="1154"/>
        <w:gridCol w:w="1263"/>
        <w:gridCol w:w="1368"/>
        <w:gridCol w:w="1132"/>
      </w:tblGrid>
      <w:tr w:rsidR="00E43CDC" w:rsidRPr="00E43CDC" w14:paraId="441489AD" w14:textId="77777777" w:rsidTr="00E43CDC">
        <w:trPr>
          <w:trHeight w:val="142"/>
          <w:tblHeader/>
        </w:trPr>
        <w:tc>
          <w:tcPr>
            <w:tcW w:w="1554" w:type="pct"/>
            <w:tcBorders>
              <w:top w:val="single" w:sz="4" w:space="0" w:color="auto"/>
              <w:left w:val="nil"/>
              <w:bottom w:val="single" w:sz="4" w:space="0" w:color="auto"/>
              <w:right w:val="nil"/>
            </w:tcBorders>
          </w:tcPr>
          <w:p w14:paraId="31C846E2" w14:textId="77777777" w:rsidR="00E43CDC" w:rsidRPr="00E43CDC" w:rsidRDefault="00E43CDC" w:rsidP="00E43CDC">
            <w:pPr>
              <w:tabs>
                <w:tab w:val="left" w:pos="540"/>
              </w:tabs>
              <w:spacing w:line="240" w:lineRule="auto"/>
              <w:jc w:val="both"/>
              <w:rPr>
                <w:bCs/>
                <w:szCs w:val="22"/>
                <w:lang w:val="sr-Latn-RS"/>
              </w:rPr>
            </w:pPr>
          </w:p>
        </w:tc>
        <w:tc>
          <w:tcPr>
            <w:tcW w:w="2068" w:type="pct"/>
            <w:gridSpan w:val="3"/>
            <w:tcBorders>
              <w:top w:val="single" w:sz="4" w:space="0" w:color="auto"/>
              <w:left w:val="nil"/>
              <w:bottom w:val="single" w:sz="4" w:space="0" w:color="auto"/>
              <w:right w:val="nil"/>
            </w:tcBorders>
            <w:hideMark/>
          </w:tcPr>
          <w:p w14:paraId="6B54232A" w14:textId="77777777" w:rsidR="00E43CDC" w:rsidRPr="00E43CDC" w:rsidRDefault="00E43CDC" w:rsidP="00E43CDC">
            <w:pPr>
              <w:tabs>
                <w:tab w:val="left" w:pos="540"/>
              </w:tabs>
              <w:spacing w:line="240" w:lineRule="auto"/>
              <w:jc w:val="both"/>
              <w:rPr>
                <w:b/>
                <w:bCs/>
                <w:szCs w:val="22"/>
                <w:lang w:val="sr-Latn-RS"/>
              </w:rPr>
            </w:pPr>
            <w:r w:rsidRPr="00E43CDC">
              <w:rPr>
                <w:b/>
                <w:bCs/>
                <w:szCs w:val="22"/>
                <w:lang w:val="sr-Latn-RS"/>
              </w:rPr>
              <w:t>Stopa kariovaskularnih događaja,</w:t>
            </w:r>
          </w:p>
          <w:p w14:paraId="15D60503" w14:textId="77777777" w:rsidR="00E43CDC" w:rsidRPr="00E43CDC" w:rsidRDefault="00E43CDC" w:rsidP="00E43CDC">
            <w:pPr>
              <w:tabs>
                <w:tab w:val="left" w:pos="540"/>
              </w:tabs>
              <w:spacing w:line="240" w:lineRule="auto"/>
              <w:jc w:val="both"/>
              <w:rPr>
                <w:bCs/>
                <w:szCs w:val="22"/>
                <w:lang w:val="sr-Latn-RS"/>
              </w:rPr>
            </w:pPr>
            <w:r w:rsidRPr="00E43CDC">
              <w:rPr>
                <w:b/>
                <w:bCs/>
                <w:szCs w:val="22"/>
                <w:lang w:val="sr-Latn-RS"/>
              </w:rPr>
              <w:t>br. (%)</w:t>
            </w:r>
          </w:p>
        </w:tc>
        <w:tc>
          <w:tcPr>
            <w:tcW w:w="1378" w:type="pct"/>
            <w:gridSpan w:val="2"/>
            <w:tcBorders>
              <w:top w:val="single" w:sz="4" w:space="0" w:color="auto"/>
              <w:left w:val="nil"/>
              <w:bottom w:val="single" w:sz="4" w:space="0" w:color="auto"/>
              <w:right w:val="nil"/>
            </w:tcBorders>
            <w:hideMark/>
          </w:tcPr>
          <w:p w14:paraId="4E8AF637" w14:textId="77777777" w:rsidR="00E43CDC" w:rsidRPr="00E43CDC" w:rsidRDefault="00E43CDC" w:rsidP="00E43CDC">
            <w:pPr>
              <w:tabs>
                <w:tab w:val="left" w:pos="540"/>
              </w:tabs>
              <w:spacing w:line="240" w:lineRule="auto"/>
              <w:jc w:val="both"/>
              <w:rPr>
                <w:b/>
                <w:bCs/>
                <w:szCs w:val="22"/>
                <w:lang w:val="sr-Latn-RS"/>
              </w:rPr>
            </w:pPr>
            <w:r w:rsidRPr="00E43CDC">
              <w:rPr>
                <w:b/>
                <w:bCs/>
                <w:szCs w:val="22"/>
                <w:lang w:val="sr-Latn-RS"/>
              </w:rPr>
              <w:t>Amlodipin vs. Placebo</w:t>
            </w:r>
          </w:p>
        </w:tc>
      </w:tr>
      <w:tr w:rsidR="00E43CDC" w:rsidRPr="00E43CDC" w14:paraId="7E33A640" w14:textId="77777777" w:rsidTr="00E43CDC">
        <w:trPr>
          <w:trHeight w:val="142"/>
          <w:tblHeader/>
        </w:trPr>
        <w:tc>
          <w:tcPr>
            <w:tcW w:w="1554" w:type="pct"/>
            <w:tcBorders>
              <w:top w:val="single" w:sz="4" w:space="0" w:color="auto"/>
              <w:left w:val="nil"/>
              <w:bottom w:val="single" w:sz="4" w:space="0" w:color="auto"/>
              <w:right w:val="nil"/>
            </w:tcBorders>
            <w:hideMark/>
          </w:tcPr>
          <w:p w14:paraId="62F288B0"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Ishodi</w:t>
            </w:r>
          </w:p>
        </w:tc>
        <w:tc>
          <w:tcPr>
            <w:tcW w:w="736" w:type="pct"/>
            <w:tcBorders>
              <w:top w:val="single" w:sz="4" w:space="0" w:color="auto"/>
              <w:left w:val="nil"/>
              <w:bottom w:val="single" w:sz="4" w:space="0" w:color="auto"/>
              <w:right w:val="nil"/>
            </w:tcBorders>
            <w:hideMark/>
          </w:tcPr>
          <w:p w14:paraId="0D72B5C9"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Amlodipin</w:t>
            </w:r>
          </w:p>
        </w:tc>
        <w:tc>
          <w:tcPr>
            <w:tcW w:w="636" w:type="pct"/>
            <w:tcBorders>
              <w:top w:val="single" w:sz="4" w:space="0" w:color="auto"/>
              <w:left w:val="nil"/>
              <w:bottom w:val="single" w:sz="4" w:space="0" w:color="auto"/>
              <w:right w:val="nil"/>
            </w:tcBorders>
            <w:hideMark/>
          </w:tcPr>
          <w:p w14:paraId="04B49E70"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Placebo</w:t>
            </w:r>
          </w:p>
        </w:tc>
        <w:tc>
          <w:tcPr>
            <w:tcW w:w="696" w:type="pct"/>
            <w:tcBorders>
              <w:top w:val="single" w:sz="4" w:space="0" w:color="auto"/>
              <w:left w:val="nil"/>
              <w:bottom w:val="single" w:sz="4" w:space="0" w:color="auto"/>
              <w:right w:val="nil"/>
            </w:tcBorders>
            <w:hideMark/>
          </w:tcPr>
          <w:p w14:paraId="202EEDEE"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Enalapril</w:t>
            </w:r>
          </w:p>
        </w:tc>
        <w:tc>
          <w:tcPr>
            <w:tcW w:w="754" w:type="pct"/>
            <w:tcBorders>
              <w:top w:val="single" w:sz="4" w:space="0" w:color="auto"/>
              <w:left w:val="nil"/>
              <w:bottom w:val="single" w:sz="4" w:space="0" w:color="auto"/>
              <w:right w:val="nil"/>
            </w:tcBorders>
            <w:hideMark/>
          </w:tcPr>
          <w:p w14:paraId="436A82A0"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Odnos rizika (95% Cl)</w:t>
            </w:r>
          </w:p>
        </w:tc>
        <w:tc>
          <w:tcPr>
            <w:tcW w:w="625" w:type="pct"/>
            <w:tcBorders>
              <w:top w:val="single" w:sz="4" w:space="0" w:color="auto"/>
              <w:left w:val="nil"/>
              <w:bottom w:val="single" w:sz="4" w:space="0" w:color="auto"/>
              <w:right w:val="nil"/>
            </w:tcBorders>
            <w:hideMark/>
          </w:tcPr>
          <w:p w14:paraId="682212AF" w14:textId="77777777" w:rsidR="00E43CDC" w:rsidRPr="00E43CDC" w:rsidRDefault="00E43CDC" w:rsidP="00E43CDC">
            <w:pPr>
              <w:tabs>
                <w:tab w:val="left" w:pos="540"/>
              </w:tabs>
              <w:spacing w:line="240" w:lineRule="auto"/>
              <w:jc w:val="both"/>
              <w:rPr>
                <w:bCs/>
                <w:szCs w:val="22"/>
                <w:lang w:val="sr-Latn-RS"/>
              </w:rPr>
            </w:pPr>
            <w:r w:rsidRPr="00E43CDC">
              <w:rPr>
                <w:bCs/>
                <w:i/>
                <w:szCs w:val="22"/>
                <w:lang w:val="sr-Latn-RS"/>
              </w:rPr>
              <w:t>p</w:t>
            </w:r>
            <w:r w:rsidRPr="00E43CDC">
              <w:rPr>
                <w:bCs/>
                <w:szCs w:val="22"/>
                <w:lang w:val="sr-Latn-RS"/>
              </w:rPr>
              <w:t xml:space="preserve"> vrijednost</w:t>
            </w:r>
          </w:p>
        </w:tc>
      </w:tr>
      <w:tr w:rsidR="00E43CDC" w:rsidRPr="00E43CDC" w14:paraId="69F98206" w14:textId="77777777" w:rsidTr="00E43CDC">
        <w:trPr>
          <w:trHeight w:val="250"/>
          <w:tblHeader/>
        </w:trPr>
        <w:tc>
          <w:tcPr>
            <w:tcW w:w="1554" w:type="pct"/>
            <w:tcBorders>
              <w:top w:val="single" w:sz="4" w:space="0" w:color="auto"/>
              <w:left w:val="nil"/>
              <w:bottom w:val="single" w:sz="4" w:space="0" w:color="auto"/>
              <w:right w:val="nil"/>
            </w:tcBorders>
            <w:hideMark/>
          </w:tcPr>
          <w:p w14:paraId="1E7DEDEC" w14:textId="77777777" w:rsidR="00E43CDC" w:rsidRPr="00E43CDC" w:rsidRDefault="00E43CDC" w:rsidP="00E43CDC">
            <w:pPr>
              <w:tabs>
                <w:tab w:val="left" w:pos="540"/>
              </w:tabs>
              <w:spacing w:line="240" w:lineRule="auto"/>
              <w:rPr>
                <w:bCs/>
                <w:szCs w:val="22"/>
                <w:lang w:val="sr-Latn-RS"/>
              </w:rPr>
            </w:pPr>
            <w:r w:rsidRPr="00E43CDC">
              <w:rPr>
                <w:bCs/>
                <w:szCs w:val="22"/>
                <w:u w:val="single"/>
                <w:lang w:val="sr-Latn-RS"/>
              </w:rPr>
              <w:t>Primarni ishod</w:t>
            </w:r>
          </w:p>
        </w:tc>
        <w:tc>
          <w:tcPr>
            <w:tcW w:w="736" w:type="pct"/>
            <w:tcBorders>
              <w:top w:val="single" w:sz="4" w:space="0" w:color="auto"/>
              <w:left w:val="nil"/>
              <w:bottom w:val="single" w:sz="4" w:space="0" w:color="auto"/>
              <w:right w:val="nil"/>
            </w:tcBorders>
          </w:tcPr>
          <w:p w14:paraId="601D3632" w14:textId="77777777" w:rsidR="00E43CDC" w:rsidRPr="00E43CDC" w:rsidRDefault="00E43CDC" w:rsidP="00E43CDC">
            <w:pPr>
              <w:tabs>
                <w:tab w:val="left" w:pos="540"/>
              </w:tabs>
              <w:spacing w:line="240" w:lineRule="auto"/>
              <w:jc w:val="both"/>
              <w:rPr>
                <w:bCs/>
                <w:szCs w:val="22"/>
                <w:lang w:val="sr-Latn-RS"/>
              </w:rPr>
            </w:pPr>
          </w:p>
        </w:tc>
        <w:tc>
          <w:tcPr>
            <w:tcW w:w="636" w:type="pct"/>
            <w:tcBorders>
              <w:top w:val="single" w:sz="4" w:space="0" w:color="auto"/>
              <w:left w:val="nil"/>
              <w:bottom w:val="single" w:sz="4" w:space="0" w:color="auto"/>
              <w:right w:val="nil"/>
            </w:tcBorders>
          </w:tcPr>
          <w:p w14:paraId="5BB51698" w14:textId="77777777" w:rsidR="00E43CDC" w:rsidRPr="00E43CDC" w:rsidRDefault="00E43CDC" w:rsidP="00E43CDC">
            <w:pPr>
              <w:tabs>
                <w:tab w:val="left" w:pos="540"/>
              </w:tabs>
              <w:spacing w:line="240" w:lineRule="auto"/>
              <w:jc w:val="both"/>
              <w:rPr>
                <w:bCs/>
                <w:szCs w:val="22"/>
                <w:lang w:val="sr-Latn-RS"/>
              </w:rPr>
            </w:pPr>
          </w:p>
        </w:tc>
        <w:tc>
          <w:tcPr>
            <w:tcW w:w="696" w:type="pct"/>
            <w:tcBorders>
              <w:top w:val="single" w:sz="4" w:space="0" w:color="auto"/>
              <w:left w:val="nil"/>
              <w:bottom w:val="single" w:sz="4" w:space="0" w:color="auto"/>
              <w:right w:val="nil"/>
            </w:tcBorders>
          </w:tcPr>
          <w:p w14:paraId="4D30BDC7" w14:textId="77777777" w:rsidR="00E43CDC" w:rsidRPr="00E43CDC" w:rsidRDefault="00E43CDC" w:rsidP="00E43CDC">
            <w:pPr>
              <w:tabs>
                <w:tab w:val="left" w:pos="540"/>
              </w:tabs>
              <w:spacing w:line="240" w:lineRule="auto"/>
              <w:jc w:val="both"/>
              <w:rPr>
                <w:bCs/>
                <w:szCs w:val="22"/>
                <w:lang w:val="sr-Latn-RS"/>
              </w:rPr>
            </w:pPr>
          </w:p>
        </w:tc>
        <w:tc>
          <w:tcPr>
            <w:tcW w:w="754" w:type="pct"/>
            <w:tcBorders>
              <w:top w:val="single" w:sz="4" w:space="0" w:color="auto"/>
              <w:left w:val="nil"/>
              <w:bottom w:val="single" w:sz="4" w:space="0" w:color="auto"/>
              <w:right w:val="nil"/>
            </w:tcBorders>
            <w:vAlign w:val="center"/>
            <w:hideMark/>
          </w:tcPr>
          <w:p w14:paraId="61ED5F19" w14:textId="77777777" w:rsidR="00E43CDC" w:rsidRPr="00E43CDC" w:rsidRDefault="00E43CDC" w:rsidP="00E43CDC">
            <w:pPr>
              <w:tabs>
                <w:tab w:val="left" w:pos="540"/>
              </w:tabs>
              <w:spacing w:line="240" w:lineRule="auto"/>
              <w:jc w:val="both"/>
              <w:rPr>
                <w:bCs/>
                <w:szCs w:val="22"/>
                <w:lang w:val="sr-Latn-RS"/>
              </w:rPr>
            </w:pPr>
          </w:p>
        </w:tc>
        <w:tc>
          <w:tcPr>
            <w:tcW w:w="625" w:type="pct"/>
            <w:tcBorders>
              <w:top w:val="single" w:sz="4" w:space="0" w:color="auto"/>
              <w:left w:val="nil"/>
              <w:bottom w:val="single" w:sz="4" w:space="0" w:color="auto"/>
              <w:right w:val="nil"/>
            </w:tcBorders>
          </w:tcPr>
          <w:p w14:paraId="6A6619D2" w14:textId="77777777" w:rsidR="00E43CDC" w:rsidRPr="00E43CDC" w:rsidRDefault="00E43CDC" w:rsidP="00E43CDC">
            <w:pPr>
              <w:tabs>
                <w:tab w:val="left" w:pos="540"/>
              </w:tabs>
              <w:spacing w:line="240" w:lineRule="auto"/>
              <w:jc w:val="both"/>
              <w:rPr>
                <w:bCs/>
                <w:szCs w:val="22"/>
                <w:lang w:val="sr-Latn-RS"/>
              </w:rPr>
            </w:pPr>
          </w:p>
        </w:tc>
      </w:tr>
      <w:tr w:rsidR="00E43CDC" w:rsidRPr="00E43CDC" w14:paraId="7B412549" w14:textId="77777777" w:rsidTr="00E43CDC">
        <w:trPr>
          <w:trHeight w:val="641"/>
          <w:tblHeader/>
        </w:trPr>
        <w:tc>
          <w:tcPr>
            <w:tcW w:w="1554" w:type="pct"/>
            <w:tcBorders>
              <w:top w:val="single" w:sz="4" w:space="0" w:color="auto"/>
              <w:left w:val="nil"/>
              <w:bottom w:val="nil"/>
              <w:right w:val="nil"/>
            </w:tcBorders>
          </w:tcPr>
          <w:p w14:paraId="23FE203C" w14:textId="77777777" w:rsidR="00E43CDC" w:rsidRPr="00E43CDC" w:rsidRDefault="00E43CDC" w:rsidP="00E43CDC">
            <w:pPr>
              <w:tabs>
                <w:tab w:val="left" w:pos="540"/>
              </w:tabs>
              <w:spacing w:line="240" w:lineRule="auto"/>
              <w:rPr>
                <w:bCs/>
                <w:szCs w:val="22"/>
                <w:u w:val="single"/>
                <w:lang w:val="sr-Latn-RS"/>
              </w:rPr>
            </w:pPr>
            <w:r w:rsidRPr="00E43CDC">
              <w:rPr>
                <w:bCs/>
                <w:szCs w:val="22"/>
                <w:lang w:val="sr-Latn-RS"/>
              </w:rPr>
              <w:t>Neželjeni kardiovaskularni događaji</w:t>
            </w:r>
          </w:p>
        </w:tc>
        <w:tc>
          <w:tcPr>
            <w:tcW w:w="736" w:type="pct"/>
            <w:tcBorders>
              <w:top w:val="single" w:sz="4" w:space="0" w:color="auto"/>
              <w:left w:val="nil"/>
              <w:bottom w:val="nil"/>
              <w:right w:val="nil"/>
            </w:tcBorders>
          </w:tcPr>
          <w:p w14:paraId="67276188"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110 (16,6)</w:t>
            </w:r>
          </w:p>
        </w:tc>
        <w:tc>
          <w:tcPr>
            <w:tcW w:w="636" w:type="pct"/>
            <w:tcBorders>
              <w:top w:val="single" w:sz="4" w:space="0" w:color="auto"/>
              <w:left w:val="nil"/>
              <w:bottom w:val="nil"/>
              <w:right w:val="nil"/>
            </w:tcBorders>
          </w:tcPr>
          <w:p w14:paraId="6CD58009"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151 (23,1)</w:t>
            </w:r>
          </w:p>
        </w:tc>
        <w:tc>
          <w:tcPr>
            <w:tcW w:w="696" w:type="pct"/>
            <w:tcBorders>
              <w:top w:val="single" w:sz="4" w:space="0" w:color="auto"/>
              <w:left w:val="nil"/>
              <w:bottom w:val="nil"/>
              <w:right w:val="nil"/>
            </w:tcBorders>
          </w:tcPr>
          <w:p w14:paraId="559DCD1C"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136 (20.2)</w:t>
            </w:r>
          </w:p>
        </w:tc>
        <w:tc>
          <w:tcPr>
            <w:tcW w:w="754" w:type="pct"/>
            <w:tcBorders>
              <w:top w:val="single" w:sz="4" w:space="0" w:color="auto"/>
              <w:left w:val="nil"/>
              <w:bottom w:val="nil"/>
              <w:right w:val="nil"/>
            </w:tcBorders>
            <w:vAlign w:val="center"/>
          </w:tcPr>
          <w:p w14:paraId="21D27E1F"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0,69 (0,54</w:t>
            </w:r>
            <w:r w:rsidRPr="00E43CDC">
              <w:rPr>
                <w:bCs/>
                <w:szCs w:val="22"/>
                <w:lang w:val="sr-Latn-RS"/>
              </w:rPr>
              <w:noBreakHyphen/>
              <w:t>0,88)</w:t>
            </w:r>
          </w:p>
        </w:tc>
        <w:tc>
          <w:tcPr>
            <w:tcW w:w="625" w:type="pct"/>
            <w:tcBorders>
              <w:top w:val="single" w:sz="4" w:space="0" w:color="auto"/>
              <w:left w:val="nil"/>
              <w:bottom w:val="nil"/>
              <w:right w:val="nil"/>
            </w:tcBorders>
          </w:tcPr>
          <w:p w14:paraId="233D21A9"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0.003</w:t>
            </w:r>
          </w:p>
        </w:tc>
      </w:tr>
      <w:tr w:rsidR="00E43CDC" w:rsidRPr="00E43CDC" w14:paraId="67259DB2" w14:textId="77777777" w:rsidTr="00E43CDC">
        <w:trPr>
          <w:trHeight w:val="276"/>
          <w:tblHeader/>
        </w:trPr>
        <w:tc>
          <w:tcPr>
            <w:tcW w:w="1554" w:type="pct"/>
            <w:tcBorders>
              <w:top w:val="nil"/>
              <w:left w:val="nil"/>
              <w:bottom w:val="nil"/>
              <w:right w:val="nil"/>
            </w:tcBorders>
            <w:hideMark/>
          </w:tcPr>
          <w:p w14:paraId="0D405A02" w14:textId="77777777" w:rsidR="00E43CDC" w:rsidRPr="00E43CDC" w:rsidRDefault="00E43CDC" w:rsidP="00E43CDC">
            <w:pPr>
              <w:tabs>
                <w:tab w:val="left" w:pos="540"/>
              </w:tabs>
              <w:spacing w:line="240" w:lineRule="auto"/>
              <w:rPr>
                <w:bCs/>
                <w:szCs w:val="22"/>
                <w:u w:val="single"/>
                <w:lang w:val="sr-Latn-RS"/>
              </w:rPr>
            </w:pPr>
            <w:r w:rsidRPr="00E43CDC">
              <w:rPr>
                <w:bCs/>
                <w:szCs w:val="22"/>
                <w:u w:val="single"/>
                <w:lang w:val="sr-Latn-RS"/>
              </w:rPr>
              <w:t>Pojedinačne komponente</w:t>
            </w:r>
          </w:p>
        </w:tc>
        <w:tc>
          <w:tcPr>
            <w:tcW w:w="736" w:type="pct"/>
            <w:tcBorders>
              <w:top w:val="nil"/>
              <w:left w:val="nil"/>
              <w:bottom w:val="nil"/>
              <w:right w:val="nil"/>
            </w:tcBorders>
          </w:tcPr>
          <w:p w14:paraId="78C9B532" w14:textId="77777777" w:rsidR="00E43CDC" w:rsidRPr="00E43CDC" w:rsidRDefault="00E43CDC" w:rsidP="00E43CDC">
            <w:pPr>
              <w:tabs>
                <w:tab w:val="left" w:pos="540"/>
              </w:tabs>
              <w:spacing w:line="240" w:lineRule="auto"/>
              <w:jc w:val="both"/>
              <w:rPr>
                <w:bCs/>
                <w:szCs w:val="22"/>
                <w:lang w:val="sr-Latn-RS"/>
              </w:rPr>
            </w:pPr>
          </w:p>
        </w:tc>
        <w:tc>
          <w:tcPr>
            <w:tcW w:w="636" w:type="pct"/>
            <w:tcBorders>
              <w:top w:val="nil"/>
              <w:left w:val="nil"/>
              <w:bottom w:val="nil"/>
              <w:right w:val="nil"/>
            </w:tcBorders>
          </w:tcPr>
          <w:p w14:paraId="6D394163" w14:textId="77777777" w:rsidR="00E43CDC" w:rsidRPr="00E43CDC" w:rsidRDefault="00E43CDC" w:rsidP="00E43CDC">
            <w:pPr>
              <w:tabs>
                <w:tab w:val="left" w:pos="540"/>
              </w:tabs>
              <w:spacing w:line="240" w:lineRule="auto"/>
              <w:jc w:val="both"/>
              <w:rPr>
                <w:bCs/>
                <w:szCs w:val="22"/>
                <w:lang w:val="sr-Latn-RS"/>
              </w:rPr>
            </w:pPr>
          </w:p>
        </w:tc>
        <w:tc>
          <w:tcPr>
            <w:tcW w:w="696" w:type="pct"/>
            <w:tcBorders>
              <w:top w:val="nil"/>
              <w:left w:val="nil"/>
              <w:bottom w:val="nil"/>
              <w:right w:val="nil"/>
            </w:tcBorders>
          </w:tcPr>
          <w:p w14:paraId="488E677A" w14:textId="77777777" w:rsidR="00E43CDC" w:rsidRPr="00E43CDC" w:rsidRDefault="00E43CDC" w:rsidP="00E43CDC">
            <w:pPr>
              <w:tabs>
                <w:tab w:val="left" w:pos="540"/>
              </w:tabs>
              <w:spacing w:line="240" w:lineRule="auto"/>
              <w:jc w:val="both"/>
              <w:rPr>
                <w:bCs/>
                <w:szCs w:val="22"/>
                <w:lang w:val="sr-Latn-RS"/>
              </w:rPr>
            </w:pPr>
          </w:p>
        </w:tc>
        <w:tc>
          <w:tcPr>
            <w:tcW w:w="754" w:type="pct"/>
            <w:tcBorders>
              <w:top w:val="nil"/>
              <w:left w:val="nil"/>
              <w:bottom w:val="nil"/>
              <w:right w:val="nil"/>
            </w:tcBorders>
            <w:vAlign w:val="center"/>
          </w:tcPr>
          <w:p w14:paraId="1A249E8C" w14:textId="77777777" w:rsidR="00E43CDC" w:rsidRPr="00E43CDC" w:rsidRDefault="00E43CDC" w:rsidP="00E43CDC">
            <w:pPr>
              <w:tabs>
                <w:tab w:val="left" w:pos="540"/>
              </w:tabs>
              <w:spacing w:line="240" w:lineRule="auto"/>
              <w:jc w:val="both"/>
              <w:rPr>
                <w:bCs/>
                <w:szCs w:val="22"/>
                <w:lang w:val="sr-Latn-RS"/>
              </w:rPr>
            </w:pPr>
          </w:p>
        </w:tc>
        <w:tc>
          <w:tcPr>
            <w:tcW w:w="625" w:type="pct"/>
            <w:tcBorders>
              <w:top w:val="nil"/>
              <w:left w:val="nil"/>
              <w:bottom w:val="nil"/>
              <w:right w:val="nil"/>
            </w:tcBorders>
          </w:tcPr>
          <w:p w14:paraId="09E31191" w14:textId="77777777" w:rsidR="00E43CDC" w:rsidRPr="00E43CDC" w:rsidRDefault="00E43CDC" w:rsidP="00E43CDC">
            <w:pPr>
              <w:tabs>
                <w:tab w:val="left" w:pos="540"/>
              </w:tabs>
              <w:spacing w:line="240" w:lineRule="auto"/>
              <w:jc w:val="both"/>
              <w:rPr>
                <w:bCs/>
                <w:szCs w:val="22"/>
                <w:lang w:val="sr-Latn-RS"/>
              </w:rPr>
            </w:pPr>
          </w:p>
        </w:tc>
      </w:tr>
      <w:tr w:rsidR="00E43CDC" w:rsidRPr="00E43CDC" w14:paraId="6D82A4F2" w14:textId="77777777" w:rsidTr="00E43CDC">
        <w:trPr>
          <w:trHeight w:val="421"/>
          <w:tblHeader/>
        </w:trPr>
        <w:tc>
          <w:tcPr>
            <w:tcW w:w="1554" w:type="pct"/>
            <w:tcBorders>
              <w:top w:val="nil"/>
              <w:left w:val="nil"/>
              <w:bottom w:val="nil"/>
              <w:right w:val="nil"/>
            </w:tcBorders>
            <w:hideMark/>
          </w:tcPr>
          <w:p w14:paraId="291FB472" w14:textId="77777777" w:rsidR="00E43CDC" w:rsidRPr="00E43CDC" w:rsidRDefault="00E43CDC" w:rsidP="00E43CDC">
            <w:pPr>
              <w:tabs>
                <w:tab w:val="left" w:pos="540"/>
              </w:tabs>
              <w:spacing w:line="240" w:lineRule="auto"/>
              <w:rPr>
                <w:bCs/>
                <w:szCs w:val="22"/>
                <w:lang w:val="sr-Latn-RS"/>
              </w:rPr>
            </w:pPr>
            <w:r w:rsidRPr="00E43CDC">
              <w:rPr>
                <w:bCs/>
                <w:szCs w:val="22"/>
                <w:lang w:val="sr-Latn-RS"/>
              </w:rPr>
              <w:t>Koronarna revaskularizacija</w:t>
            </w:r>
          </w:p>
        </w:tc>
        <w:tc>
          <w:tcPr>
            <w:tcW w:w="736" w:type="pct"/>
            <w:tcBorders>
              <w:top w:val="nil"/>
              <w:left w:val="nil"/>
              <w:bottom w:val="nil"/>
              <w:right w:val="nil"/>
            </w:tcBorders>
            <w:hideMark/>
          </w:tcPr>
          <w:p w14:paraId="405A39C7"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78 (11,8)</w:t>
            </w:r>
          </w:p>
        </w:tc>
        <w:tc>
          <w:tcPr>
            <w:tcW w:w="636" w:type="pct"/>
            <w:tcBorders>
              <w:top w:val="nil"/>
              <w:left w:val="nil"/>
              <w:bottom w:val="nil"/>
              <w:right w:val="nil"/>
            </w:tcBorders>
            <w:hideMark/>
          </w:tcPr>
          <w:p w14:paraId="60676241"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103 (15,7)</w:t>
            </w:r>
          </w:p>
        </w:tc>
        <w:tc>
          <w:tcPr>
            <w:tcW w:w="696" w:type="pct"/>
            <w:tcBorders>
              <w:top w:val="nil"/>
              <w:left w:val="nil"/>
              <w:bottom w:val="nil"/>
              <w:right w:val="nil"/>
            </w:tcBorders>
            <w:hideMark/>
          </w:tcPr>
          <w:p w14:paraId="79314515"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95 (14,1)</w:t>
            </w:r>
          </w:p>
        </w:tc>
        <w:tc>
          <w:tcPr>
            <w:tcW w:w="754" w:type="pct"/>
            <w:tcBorders>
              <w:top w:val="nil"/>
              <w:left w:val="nil"/>
              <w:bottom w:val="nil"/>
              <w:right w:val="nil"/>
            </w:tcBorders>
            <w:vAlign w:val="center"/>
            <w:hideMark/>
          </w:tcPr>
          <w:p w14:paraId="72341EED"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0,73</w:t>
            </w:r>
          </w:p>
          <w:p w14:paraId="5493644E"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(0,54</w:t>
            </w:r>
            <w:r w:rsidRPr="00E43CDC">
              <w:rPr>
                <w:bCs/>
                <w:szCs w:val="22"/>
                <w:lang w:val="sr-Latn-RS"/>
              </w:rPr>
              <w:noBreakHyphen/>
              <w:t>0,98)</w:t>
            </w:r>
          </w:p>
        </w:tc>
        <w:tc>
          <w:tcPr>
            <w:tcW w:w="625" w:type="pct"/>
            <w:tcBorders>
              <w:top w:val="nil"/>
              <w:left w:val="nil"/>
              <w:bottom w:val="nil"/>
              <w:right w:val="nil"/>
            </w:tcBorders>
            <w:hideMark/>
          </w:tcPr>
          <w:p w14:paraId="357BE811"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0.03</w:t>
            </w:r>
          </w:p>
        </w:tc>
      </w:tr>
      <w:tr w:rsidR="00E43CDC" w:rsidRPr="00E43CDC" w14:paraId="029DB790" w14:textId="77777777" w:rsidTr="00E43CDC">
        <w:trPr>
          <w:trHeight w:val="414"/>
          <w:tblHeader/>
        </w:trPr>
        <w:tc>
          <w:tcPr>
            <w:tcW w:w="1554" w:type="pct"/>
            <w:tcBorders>
              <w:top w:val="nil"/>
              <w:left w:val="nil"/>
              <w:bottom w:val="nil"/>
              <w:right w:val="nil"/>
            </w:tcBorders>
            <w:hideMark/>
          </w:tcPr>
          <w:p w14:paraId="47FED0C6" w14:textId="77777777" w:rsidR="00E43CDC" w:rsidRPr="00E43CDC" w:rsidRDefault="00E43CDC" w:rsidP="00E43CDC">
            <w:pPr>
              <w:tabs>
                <w:tab w:val="left" w:pos="540"/>
              </w:tabs>
              <w:spacing w:line="240" w:lineRule="auto"/>
              <w:rPr>
                <w:bCs/>
                <w:szCs w:val="22"/>
                <w:lang w:val="sr-Latn-RS"/>
              </w:rPr>
            </w:pPr>
            <w:r w:rsidRPr="00E43CDC">
              <w:rPr>
                <w:bCs/>
                <w:szCs w:val="22"/>
                <w:lang w:val="sr-Latn-RS"/>
              </w:rPr>
              <w:t>Hospitalizacija usljed angine pektoris</w:t>
            </w:r>
          </w:p>
        </w:tc>
        <w:tc>
          <w:tcPr>
            <w:tcW w:w="736" w:type="pct"/>
            <w:tcBorders>
              <w:top w:val="nil"/>
              <w:left w:val="nil"/>
              <w:bottom w:val="nil"/>
              <w:right w:val="nil"/>
            </w:tcBorders>
            <w:hideMark/>
          </w:tcPr>
          <w:p w14:paraId="159C1552"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51 (7,7)</w:t>
            </w:r>
          </w:p>
        </w:tc>
        <w:tc>
          <w:tcPr>
            <w:tcW w:w="636" w:type="pct"/>
            <w:tcBorders>
              <w:top w:val="nil"/>
              <w:left w:val="nil"/>
              <w:bottom w:val="nil"/>
              <w:right w:val="nil"/>
            </w:tcBorders>
            <w:hideMark/>
          </w:tcPr>
          <w:p w14:paraId="1FEAB904"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84 (12,8)</w:t>
            </w:r>
          </w:p>
        </w:tc>
        <w:tc>
          <w:tcPr>
            <w:tcW w:w="696" w:type="pct"/>
            <w:tcBorders>
              <w:top w:val="nil"/>
              <w:left w:val="nil"/>
              <w:bottom w:val="nil"/>
              <w:right w:val="nil"/>
            </w:tcBorders>
            <w:hideMark/>
          </w:tcPr>
          <w:p w14:paraId="0AC89A36"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86 (12,8)</w:t>
            </w:r>
          </w:p>
        </w:tc>
        <w:tc>
          <w:tcPr>
            <w:tcW w:w="754" w:type="pct"/>
            <w:tcBorders>
              <w:top w:val="nil"/>
              <w:left w:val="nil"/>
              <w:bottom w:val="nil"/>
              <w:right w:val="nil"/>
            </w:tcBorders>
            <w:vAlign w:val="center"/>
            <w:hideMark/>
          </w:tcPr>
          <w:p w14:paraId="4CD0AF3B"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0.58</w:t>
            </w:r>
          </w:p>
          <w:p w14:paraId="7CDF4B50"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(0,41</w:t>
            </w:r>
            <w:r w:rsidRPr="00E43CDC">
              <w:rPr>
                <w:bCs/>
                <w:szCs w:val="22"/>
                <w:lang w:val="sr-Latn-RS"/>
              </w:rPr>
              <w:noBreakHyphen/>
              <w:t>0,82)</w:t>
            </w:r>
          </w:p>
        </w:tc>
        <w:tc>
          <w:tcPr>
            <w:tcW w:w="625" w:type="pct"/>
            <w:tcBorders>
              <w:top w:val="nil"/>
              <w:left w:val="nil"/>
              <w:bottom w:val="nil"/>
              <w:right w:val="nil"/>
            </w:tcBorders>
            <w:hideMark/>
          </w:tcPr>
          <w:p w14:paraId="1D5936F3"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0.002</w:t>
            </w:r>
          </w:p>
        </w:tc>
      </w:tr>
      <w:tr w:rsidR="00E43CDC" w:rsidRPr="00E43CDC" w14:paraId="4D11A87A" w14:textId="77777777" w:rsidTr="00E43CDC">
        <w:trPr>
          <w:trHeight w:val="420"/>
          <w:tblHeader/>
        </w:trPr>
        <w:tc>
          <w:tcPr>
            <w:tcW w:w="1554" w:type="pct"/>
            <w:tcBorders>
              <w:top w:val="nil"/>
              <w:left w:val="nil"/>
              <w:bottom w:val="nil"/>
              <w:right w:val="nil"/>
            </w:tcBorders>
            <w:hideMark/>
          </w:tcPr>
          <w:p w14:paraId="7797B406" w14:textId="77777777" w:rsidR="00E43CDC" w:rsidRPr="00E43CDC" w:rsidRDefault="00E43CDC" w:rsidP="00E43CDC">
            <w:pPr>
              <w:tabs>
                <w:tab w:val="left" w:pos="540"/>
              </w:tabs>
              <w:spacing w:line="240" w:lineRule="auto"/>
              <w:rPr>
                <w:bCs/>
                <w:szCs w:val="22"/>
                <w:lang w:val="sr-Latn-RS"/>
              </w:rPr>
            </w:pPr>
            <w:r w:rsidRPr="00E43CDC">
              <w:rPr>
                <w:bCs/>
                <w:szCs w:val="22"/>
                <w:lang w:val="sr-Latn-RS"/>
              </w:rPr>
              <w:t>Nefatalni infarkt miokarda</w:t>
            </w:r>
          </w:p>
        </w:tc>
        <w:tc>
          <w:tcPr>
            <w:tcW w:w="736" w:type="pct"/>
            <w:tcBorders>
              <w:top w:val="nil"/>
              <w:left w:val="nil"/>
              <w:bottom w:val="nil"/>
              <w:right w:val="nil"/>
            </w:tcBorders>
            <w:hideMark/>
          </w:tcPr>
          <w:p w14:paraId="11E24A8A"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14 (2,1)</w:t>
            </w:r>
          </w:p>
        </w:tc>
        <w:tc>
          <w:tcPr>
            <w:tcW w:w="636" w:type="pct"/>
            <w:tcBorders>
              <w:top w:val="nil"/>
              <w:left w:val="nil"/>
              <w:bottom w:val="nil"/>
              <w:right w:val="nil"/>
            </w:tcBorders>
            <w:hideMark/>
          </w:tcPr>
          <w:p w14:paraId="31523A05"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19 (2,9)</w:t>
            </w:r>
          </w:p>
        </w:tc>
        <w:tc>
          <w:tcPr>
            <w:tcW w:w="696" w:type="pct"/>
            <w:tcBorders>
              <w:top w:val="nil"/>
              <w:left w:val="nil"/>
              <w:bottom w:val="nil"/>
              <w:right w:val="nil"/>
            </w:tcBorders>
            <w:hideMark/>
          </w:tcPr>
          <w:p w14:paraId="3A8899E6"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11 (1,6)</w:t>
            </w:r>
          </w:p>
        </w:tc>
        <w:tc>
          <w:tcPr>
            <w:tcW w:w="754" w:type="pct"/>
            <w:tcBorders>
              <w:top w:val="nil"/>
              <w:left w:val="nil"/>
              <w:bottom w:val="nil"/>
              <w:right w:val="nil"/>
            </w:tcBorders>
            <w:vAlign w:val="center"/>
            <w:hideMark/>
          </w:tcPr>
          <w:p w14:paraId="2584DC5B"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0,73</w:t>
            </w:r>
          </w:p>
          <w:p w14:paraId="750653B1"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(0,37</w:t>
            </w:r>
            <w:r w:rsidRPr="00E43CDC">
              <w:rPr>
                <w:bCs/>
                <w:szCs w:val="22"/>
                <w:lang w:val="sr-Latn-RS"/>
              </w:rPr>
              <w:noBreakHyphen/>
              <w:t>1,46)</w:t>
            </w:r>
          </w:p>
        </w:tc>
        <w:tc>
          <w:tcPr>
            <w:tcW w:w="625" w:type="pct"/>
            <w:tcBorders>
              <w:top w:val="nil"/>
              <w:left w:val="nil"/>
              <w:bottom w:val="nil"/>
              <w:right w:val="nil"/>
            </w:tcBorders>
            <w:hideMark/>
          </w:tcPr>
          <w:p w14:paraId="0EC595D4"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0.37</w:t>
            </w:r>
          </w:p>
        </w:tc>
      </w:tr>
      <w:tr w:rsidR="00E43CDC" w:rsidRPr="00E43CDC" w14:paraId="6700243B" w14:textId="77777777" w:rsidTr="00E43CDC">
        <w:trPr>
          <w:trHeight w:val="426"/>
          <w:tblHeader/>
        </w:trPr>
        <w:tc>
          <w:tcPr>
            <w:tcW w:w="1554" w:type="pct"/>
            <w:tcBorders>
              <w:top w:val="nil"/>
              <w:left w:val="nil"/>
              <w:bottom w:val="nil"/>
              <w:right w:val="nil"/>
            </w:tcBorders>
            <w:hideMark/>
          </w:tcPr>
          <w:p w14:paraId="39792E95" w14:textId="77777777" w:rsidR="00E43CDC" w:rsidRPr="00E43CDC" w:rsidRDefault="00E43CDC" w:rsidP="00E43CDC">
            <w:pPr>
              <w:tabs>
                <w:tab w:val="left" w:pos="540"/>
              </w:tabs>
              <w:spacing w:line="240" w:lineRule="auto"/>
              <w:rPr>
                <w:bCs/>
                <w:szCs w:val="22"/>
                <w:lang w:val="sr-Latn-RS"/>
              </w:rPr>
            </w:pPr>
            <w:r w:rsidRPr="00E43CDC">
              <w:rPr>
                <w:bCs/>
                <w:szCs w:val="22"/>
                <w:lang w:val="sr-Latn-RS"/>
              </w:rPr>
              <w:t>Moždani udar ili TIA</w:t>
            </w:r>
          </w:p>
        </w:tc>
        <w:tc>
          <w:tcPr>
            <w:tcW w:w="736" w:type="pct"/>
            <w:tcBorders>
              <w:top w:val="nil"/>
              <w:left w:val="nil"/>
              <w:bottom w:val="nil"/>
              <w:right w:val="nil"/>
            </w:tcBorders>
            <w:hideMark/>
          </w:tcPr>
          <w:p w14:paraId="78FCD0EF"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6 (0,9)</w:t>
            </w:r>
          </w:p>
        </w:tc>
        <w:tc>
          <w:tcPr>
            <w:tcW w:w="636" w:type="pct"/>
            <w:tcBorders>
              <w:top w:val="nil"/>
              <w:left w:val="nil"/>
              <w:bottom w:val="nil"/>
              <w:right w:val="nil"/>
            </w:tcBorders>
            <w:hideMark/>
          </w:tcPr>
          <w:p w14:paraId="15E8539E"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12 (1,8)</w:t>
            </w:r>
          </w:p>
        </w:tc>
        <w:tc>
          <w:tcPr>
            <w:tcW w:w="696" w:type="pct"/>
            <w:tcBorders>
              <w:top w:val="nil"/>
              <w:left w:val="nil"/>
              <w:bottom w:val="nil"/>
              <w:right w:val="nil"/>
            </w:tcBorders>
            <w:hideMark/>
          </w:tcPr>
          <w:p w14:paraId="0CDC925E"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8 (1,2)</w:t>
            </w:r>
          </w:p>
        </w:tc>
        <w:tc>
          <w:tcPr>
            <w:tcW w:w="754" w:type="pct"/>
            <w:tcBorders>
              <w:top w:val="nil"/>
              <w:left w:val="nil"/>
              <w:bottom w:val="nil"/>
              <w:right w:val="nil"/>
            </w:tcBorders>
            <w:vAlign w:val="center"/>
            <w:hideMark/>
          </w:tcPr>
          <w:p w14:paraId="04E7DBF2"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0,50</w:t>
            </w:r>
          </w:p>
          <w:p w14:paraId="4DED8471"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(0,19</w:t>
            </w:r>
            <w:r w:rsidRPr="00E43CDC">
              <w:rPr>
                <w:bCs/>
                <w:szCs w:val="22"/>
                <w:lang w:val="sr-Latn-RS"/>
              </w:rPr>
              <w:noBreakHyphen/>
              <w:t>1,32)</w:t>
            </w:r>
          </w:p>
        </w:tc>
        <w:tc>
          <w:tcPr>
            <w:tcW w:w="625" w:type="pct"/>
            <w:tcBorders>
              <w:top w:val="nil"/>
              <w:left w:val="nil"/>
              <w:bottom w:val="nil"/>
              <w:right w:val="nil"/>
            </w:tcBorders>
            <w:hideMark/>
          </w:tcPr>
          <w:p w14:paraId="2BFEBF5D"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0.15</w:t>
            </w:r>
          </w:p>
        </w:tc>
      </w:tr>
      <w:tr w:rsidR="00E43CDC" w:rsidRPr="00E43CDC" w14:paraId="0A4D79F2" w14:textId="77777777" w:rsidTr="00E43CDC">
        <w:trPr>
          <w:trHeight w:val="418"/>
          <w:tblHeader/>
        </w:trPr>
        <w:tc>
          <w:tcPr>
            <w:tcW w:w="1554" w:type="pct"/>
            <w:tcBorders>
              <w:top w:val="nil"/>
              <w:left w:val="nil"/>
              <w:bottom w:val="nil"/>
              <w:right w:val="nil"/>
            </w:tcBorders>
            <w:hideMark/>
          </w:tcPr>
          <w:p w14:paraId="0B7AD649" w14:textId="77777777" w:rsidR="00E43CDC" w:rsidRPr="00E43CDC" w:rsidRDefault="00E43CDC" w:rsidP="00E43CDC">
            <w:pPr>
              <w:tabs>
                <w:tab w:val="left" w:pos="540"/>
              </w:tabs>
              <w:spacing w:line="240" w:lineRule="auto"/>
              <w:rPr>
                <w:bCs/>
                <w:szCs w:val="22"/>
                <w:lang w:val="sr-Latn-RS"/>
              </w:rPr>
            </w:pPr>
            <w:r w:rsidRPr="00E43CDC">
              <w:rPr>
                <w:bCs/>
                <w:szCs w:val="22"/>
                <w:lang w:val="sr-Latn-RS"/>
              </w:rPr>
              <w:t>Kardiovaskularna smrt</w:t>
            </w:r>
          </w:p>
        </w:tc>
        <w:tc>
          <w:tcPr>
            <w:tcW w:w="736" w:type="pct"/>
            <w:tcBorders>
              <w:top w:val="nil"/>
              <w:left w:val="nil"/>
              <w:bottom w:val="nil"/>
              <w:right w:val="nil"/>
            </w:tcBorders>
            <w:hideMark/>
          </w:tcPr>
          <w:p w14:paraId="027B62C0"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5 (0,8)</w:t>
            </w:r>
          </w:p>
        </w:tc>
        <w:tc>
          <w:tcPr>
            <w:tcW w:w="636" w:type="pct"/>
            <w:tcBorders>
              <w:top w:val="nil"/>
              <w:left w:val="nil"/>
              <w:bottom w:val="nil"/>
              <w:right w:val="nil"/>
            </w:tcBorders>
            <w:hideMark/>
          </w:tcPr>
          <w:p w14:paraId="52880404"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2 (0,3)</w:t>
            </w:r>
          </w:p>
        </w:tc>
        <w:tc>
          <w:tcPr>
            <w:tcW w:w="696" w:type="pct"/>
            <w:tcBorders>
              <w:top w:val="nil"/>
              <w:left w:val="nil"/>
              <w:bottom w:val="nil"/>
              <w:right w:val="nil"/>
            </w:tcBorders>
            <w:hideMark/>
          </w:tcPr>
          <w:p w14:paraId="470EE3FF"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5 (0,7)</w:t>
            </w:r>
          </w:p>
        </w:tc>
        <w:tc>
          <w:tcPr>
            <w:tcW w:w="754" w:type="pct"/>
            <w:tcBorders>
              <w:top w:val="nil"/>
              <w:left w:val="nil"/>
              <w:bottom w:val="nil"/>
              <w:right w:val="nil"/>
            </w:tcBorders>
            <w:vAlign w:val="center"/>
            <w:hideMark/>
          </w:tcPr>
          <w:p w14:paraId="214D969D"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2.46</w:t>
            </w:r>
          </w:p>
          <w:p w14:paraId="3897CADE"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(0,48</w:t>
            </w:r>
            <w:r w:rsidRPr="00E43CDC">
              <w:rPr>
                <w:bCs/>
                <w:szCs w:val="22"/>
                <w:lang w:val="sr-Latn-RS"/>
              </w:rPr>
              <w:noBreakHyphen/>
              <w:t>12,7)</w:t>
            </w:r>
          </w:p>
        </w:tc>
        <w:tc>
          <w:tcPr>
            <w:tcW w:w="625" w:type="pct"/>
            <w:tcBorders>
              <w:top w:val="nil"/>
              <w:left w:val="nil"/>
              <w:bottom w:val="nil"/>
              <w:right w:val="nil"/>
            </w:tcBorders>
            <w:hideMark/>
          </w:tcPr>
          <w:p w14:paraId="324E8B94"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0.27</w:t>
            </w:r>
          </w:p>
        </w:tc>
      </w:tr>
      <w:tr w:rsidR="00E43CDC" w:rsidRPr="00E43CDC" w14:paraId="51B41A04" w14:textId="77777777" w:rsidTr="00E43CDC">
        <w:trPr>
          <w:trHeight w:val="424"/>
          <w:tblHeader/>
        </w:trPr>
        <w:tc>
          <w:tcPr>
            <w:tcW w:w="1554" w:type="pct"/>
            <w:tcBorders>
              <w:top w:val="nil"/>
              <w:left w:val="nil"/>
              <w:bottom w:val="nil"/>
              <w:right w:val="nil"/>
            </w:tcBorders>
            <w:hideMark/>
          </w:tcPr>
          <w:p w14:paraId="594BEFD6" w14:textId="77777777" w:rsidR="00E43CDC" w:rsidRPr="00E43CDC" w:rsidRDefault="00E43CDC" w:rsidP="00E43CDC">
            <w:pPr>
              <w:tabs>
                <w:tab w:val="left" w:pos="540"/>
              </w:tabs>
              <w:spacing w:line="240" w:lineRule="auto"/>
              <w:rPr>
                <w:bCs/>
                <w:szCs w:val="22"/>
                <w:lang w:val="sr-Latn-RS"/>
              </w:rPr>
            </w:pPr>
            <w:r w:rsidRPr="00E43CDC">
              <w:rPr>
                <w:bCs/>
                <w:szCs w:val="22"/>
                <w:lang w:val="sr-Latn-RS"/>
              </w:rPr>
              <w:t>Hospitalizacija usljed CHF</w:t>
            </w:r>
          </w:p>
        </w:tc>
        <w:tc>
          <w:tcPr>
            <w:tcW w:w="736" w:type="pct"/>
            <w:tcBorders>
              <w:top w:val="nil"/>
              <w:left w:val="nil"/>
              <w:bottom w:val="nil"/>
              <w:right w:val="nil"/>
            </w:tcBorders>
            <w:hideMark/>
          </w:tcPr>
          <w:p w14:paraId="513CC40D"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3 (0,5)</w:t>
            </w:r>
          </w:p>
        </w:tc>
        <w:tc>
          <w:tcPr>
            <w:tcW w:w="636" w:type="pct"/>
            <w:tcBorders>
              <w:top w:val="nil"/>
              <w:left w:val="nil"/>
              <w:bottom w:val="nil"/>
              <w:right w:val="nil"/>
            </w:tcBorders>
            <w:hideMark/>
          </w:tcPr>
          <w:p w14:paraId="233A025D"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5 (0,8)</w:t>
            </w:r>
          </w:p>
        </w:tc>
        <w:tc>
          <w:tcPr>
            <w:tcW w:w="696" w:type="pct"/>
            <w:tcBorders>
              <w:top w:val="nil"/>
              <w:left w:val="nil"/>
              <w:bottom w:val="nil"/>
              <w:right w:val="nil"/>
            </w:tcBorders>
          </w:tcPr>
          <w:p w14:paraId="037962E2"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4 (0,6)</w:t>
            </w:r>
          </w:p>
          <w:p w14:paraId="62D33B4F" w14:textId="77777777" w:rsidR="00E43CDC" w:rsidRPr="00E43CDC" w:rsidRDefault="00E43CDC" w:rsidP="00E43CDC">
            <w:pPr>
              <w:tabs>
                <w:tab w:val="left" w:pos="540"/>
              </w:tabs>
              <w:spacing w:line="240" w:lineRule="auto"/>
              <w:jc w:val="both"/>
              <w:rPr>
                <w:bCs/>
                <w:szCs w:val="22"/>
                <w:lang w:val="sr-Latn-RS"/>
              </w:rPr>
            </w:pPr>
          </w:p>
        </w:tc>
        <w:tc>
          <w:tcPr>
            <w:tcW w:w="754" w:type="pct"/>
            <w:tcBorders>
              <w:top w:val="nil"/>
              <w:left w:val="nil"/>
              <w:bottom w:val="nil"/>
              <w:right w:val="nil"/>
            </w:tcBorders>
            <w:vAlign w:val="center"/>
            <w:hideMark/>
          </w:tcPr>
          <w:p w14:paraId="5C974347"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0,59</w:t>
            </w:r>
          </w:p>
          <w:p w14:paraId="31FCE51E"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(0,14</w:t>
            </w:r>
            <w:r w:rsidRPr="00E43CDC">
              <w:rPr>
                <w:bCs/>
                <w:szCs w:val="22"/>
                <w:lang w:val="sr-Latn-RS"/>
              </w:rPr>
              <w:noBreakHyphen/>
              <w:t>2,47)</w:t>
            </w:r>
          </w:p>
        </w:tc>
        <w:tc>
          <w:tcPr>
            <w:tcW w:w="625" w:type="pct"/>
            <w:tcBorders>
              <w:top w:val="nil"/>
              <w:left w:val="nil"/>
              <w:bottom w:val="nil"/>
              <w:right w:val="nil"/>
            </w:tcBorders>
            <w:hideMark/>
          </w:tcPr>
          <w:p w14:paraId="4DEE8012"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0.46</w:t>
            </w:r>
          </w:p>
        </w:tc>
      </w:tr>
      <w:tr w:rsidR="00E43CDC" w:rsidRPr="00E43CDC" w14:paraId="3AC4B0C6" w14:textId="77777777" w:rsidTr="00E43CDC">
        <w:trPr>
          <w:trHeight w:val="416"/>
          <w:tblHeader/>
        </w:trPr>
        <w:tc>
          <w:tcPr>
            <w:tcW w:w="1554" w:type="pct"/>
            <w:tcBorders>
              <w:top w:val="nil"/>
              <w:left w:val="nil"/>
              <w:bottom w:val="nil"/>
              <w:right w:val="nil"/>
            </w:tcBorders>
            <w:hideMark/>
          </w:tcPr>
          <w:p w14:paraId="0556DF60" w14:textId="77777777" w:rsidR="00E43CDC" w:rsidRPr="00E43CDC" w:rsidRDefault="00E43CDC" w:rsidP="00E43CDC">
            <w:pPr>
              <w:tabs>
                <w:tab w:val="left" w:pos="540"/>
              </w:tabs>
              <w:spacing w:line="240" w:lineRule="auto"/>
              <w:rPr>
                <w:bCs/>
                <w:szCs w:val="22"/>
                <w:lang w:val="sr-Latn-RS"/>
              </w:rPr>
            </w:pPr>
            <w:r w:rsidRPr="00E43CDC">
              <w:rPr>
                <w:bCs/>
                <w:szCs w:val="22"/>
                <w:lang w:val="sr-Latn-RS"/>
              </w:rPr>
              <w:t>Reanimirani srčani zastoj</w:t>
            </w:r>
          </w:p>
        </w:tc>
        <w:tc>
          <w:tcPr>
            <w:tcW w:w="736" w:type="pct"/>
            <w:tcBorders>
              <w:top w:val="nil"/>
              <w:left w:val="nil"/>
              <w:bottom w:val="nil"/>
              <w:right w:val="nil"/>
            </w:tcBorders>
            <w:hideMark/>
          </w:tcPr>
          <w:p w14:paraId="70C42A22"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0</w:t>
            </w:r>
          </w:p>
        </w:tc>
        <w:tc>
          <w:tcPr>
            <w:tcW w:w="636" w:type="pct"/>
            <w:tcBorders>
              <w:top w:val="nil"/>
              <w:left w:val="nil"/>
              <w:bottom w:val="nil"/>
              <w:right w:val="nil"/>
            </w:tcBorders>
            <w:hideMark/>
          </w:tcPr>
          <w:p w14:paraId="30914666"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4 (0,6)</w:t>
            </w:r>
          </w:p>
        </w:tc>
        <w:tc>
          <w:tcPr>
            <w:tcW w:w="696" w:type="pct"/>
            <w:tcBorders>
              <w:top w:val="nil"/>
              <w:left w:val="nil"/>
              <w:bottom w:val="nil"/>
              <w:right w:val="nil"/>
            </w:tcBorders>
            <w:hideMark/>
          </w:tcPr>
          <w:p w14:paraId="50468E32"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1 (0,1)</w:t>
            </w:r>
          </w:p>
        </w:tc>
        <w:tc>
          <w:tcPr>
            <w:tcW w:w="754" w:type="pct"/>
            <w:tcBorders>
              <w:top w:val="nil"/>
              <w:left w:val="nil"/>
              <w:bottom w:val="nil"/>
              <w:right w:val="nil"/>
            </w:tcBorders>
            <w:vAlign w:val="center"/>
            <w:hideMark/>
          </w:tcPr>
          <w:p w14:paraId="3DC9F785"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NA</w:t>
            </w:r>
          </w:p>
        </w:tc>
        <w:tc>
          <w:tcPr>
            <w:tcW w:w="625" w:type="pct"/>
            <w:tcBorders>
              <w:top w:val="nil"/>
              <w:left w:val="nil"/>
              <w:bottom w:val="nil"/>
              <w:right w:val="nil"/>
            </w:tcBorders>
            <w:hideMark/>
          </w:tcPr>
          <w:p w14:paraId="08297D9D"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0.04</w:t>
            </w:r>
          </w:p>
        </w:tc>
      </w:tr>
      <w:tr w:rsidR="00E43CDC" w:rsidRPr="00E43CDC" w14:paraId="6212DB65" w14:textId="77777777" w:rsidTr="00E43CDC">
        <w:trPr>
          <w:trHeight w:val="548"/>
          <w:tblHeader/>
        </w:trPr>
        <w:tc>
          <w:tcPr>
            <w:tcW w:w="1554" w:type="pct"/>
            <w:tcBorders>
              <w:top w:val="nil"/>
              <w:left w:val="nil"/>
              <w:bottom w:val="single" w:sz="4" w:space="0" w:color="auto"/>
              <w:right w:val="nil"/>
            </w:tcBorders>
            <w:hideMark/>
          </w:tcPr>
          <w:p w14:paraId="26BE735F" w14:textId="77777777" w:rsidR="00E43CDC" w:rsidRPr="00E43CDC" w:rsidRDefault="00E43CDC" w:rsidP="00E43CDC">
            <w:pPr>
              <w:tabs>
                <w:tab w:val="left" w:pos="540"/>
              </w:tabs>
              <w:spacing w:line="240" w:lineRule="auto"/>
              <w:rPr>
                <w:bCs/>
                <w:szCs w:val="22"/>
                <w:lang w:val="sr-Latn-RS"/>
              </w:rPr>
            </w:pPr>
            <w:r w:rsidRPr="00E43CDC">
              <w:rPr>
                <w:bCs/>
                <w:szCs w:val="22"/>
                <w:lang w:val="sr-Latn-RS"/>
              </w:rPr>
              <w:t>Novootkrivena periferna vaskularna bolest</w:t>
            </w:r>
          </w:p>
        </w:tc>
        <w:tc>
          <w:tcPr>
            <w:tcW w:w="736" w:type="pct"/>
            <w:tcBorders>
              <w:top w:val="nil"/>
              <w:left w:val="nil"/>
              <w:bottom w:val="single" w:sz="4" w:space="0" w:color="auto"/>
              <w:right w:val="nil"/>
            </w:tcBorders>
            <w:hideMark/>
          </w:tcPr>
          <w:p w14:paraId="735CDC60"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5 (0,8)</w:t>
            </w:r>
          </w:p>
        </w:tc>
        <w:tc>
          <w:tcPr>
            <w:tcW w:w="636" w:type="pct"/>
            <w:tcBorders>
              <w:top w:val="nil"/>
              <w:left w:val="nil"/>
              <w:bottom w:val="single" w:sz="4" w:space="0" w:color="auto"/>
              <w:right w:val="nil"/>
            </w:tcBorders>
            <w:hideMark/>
          </w:tcPr>
          <w:p w14:paraId="4C7F390C"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2 (0,3)</w:t>
            </w:r>
          </w:p>
        </w:tc>
        <w:tc>
          <w:tcPr>
            <w:tcW w:w="696" w:type="pct"/>
            <w:tcBorders>
              <w:top w:val="nil"/>
              <w:left w:val="nil"/>
              <w:bottom w:val="single" w:sz="4" w:space="0" w:color="auto"/>
              <w:right w:val="nil"/>
            </w:tcBorders>
            <w:hideMark/>
          </w:tcPr>
          <w:p w14:paraId="47BC6A09"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8 (1,2)</w:t>
            </w:r>
          </w:p>
        </w:tc>
        <w:tc>
          <w:tcPr>
            <w:tcW w:w="754" w:type="pct"/>
            <w:tcBorders>
              <w:top w:val="nil"/>
              <w:left w:val="nil"/>
              <w:bottom w:val="single" w:sz="4" w:space="0" w:color="auto"/>
              <w:right w:val="nil"/>
            </w:tcBorders>
            <w:hideMark/>
          </w:tcPr>
          <w:p w14:paraId="223CAB98"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2.6</w:t>
            </w:r>
          </w:p>
          <w:p w14:paraId="0C8FB546"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(0,50</w:t>
            </w:r>
            <w:r w:rsidRPr="00E43CDC">
              <w:rPr>
                <w:bCs/>
                <w:szCs w:val="22"/>
                <w:lang w:val="sr-Latn-RS"/>
              </w:rPr>
              <w:noBreakHyphen/>
              <w:t>13,4)</w:t>
            </w:r>
          </w:p>
        </w:tc>
        <w:tc>
          <w:tcPr>
            <w:tcW w:w="625" w:type="pct"/>
            <w:tcBorders>
              <w:top w:val="nil"/>
              <w:left w:val="nil"/>
              <w:bottom w:val="single" w:sz="4" w:space="0" w:color="auto"/>
              <w:right w:val="nil"/>
            </w:tcBorders>
            <w:hideMark/>
          </w:tcPr>
          <w:p w14:paraId="0029E3C0"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t>0.24</w:t>
            </w:r>
          </w:p>
        </w:tc>
      </w:tr>
    </w:tbl>
    <w:p w14:paraId="087796B3" w14:textId="77777777" w:rsidR="00E43CDC" w:rsidRPr="00E43CDC" w:rsidRDefault="00E43CDC" w:rsidP="00E43CDC">
      <w:pPr>
        <w:tabs>
          <w:tab w:val="left" w:pos="540"/>
        </w:tabs>
        <w:spacing w:line="240" w:lineRule="auto"/>
        <w:jc w:val="both"/>
        <w:rPr>
          <w:bCs/>
          <w:szCs w:val="22"/>
          <w:lang w:val="sr-Latn-RS"/>
        </w:rPr>
      </w:pPr>
      <w:r w:rsidRPr="00E43CDC">
        <w:rPr>
          <w:bCs/>
          <w:szCs w:val="22"/>
          <w:lang w:val="sr-Latn-RS"/>
        </w:rPr>
        <w:lastRenderedPageBreak/>
        <w:t>Skraćenice: CHF – kongestivna srčana insuficijencija (</w:t>
      </w:r>
      <w:r w:rsidRPr="00E43CDC">
        <w:rPr>
          <w:bCs/>
          <w:i/>
          <w:szCs w:val="22"/>
          <w:lang w:val="sr-Latn-RS"/>
        </w:rPr>
        <w:t>congestive heart failure</w:t>
      </w:r>
      <w:r w:rsidRPr="00E43CDC">
        <w:rPr>
          <w:bCs/>
          <w:szCs w:val="22"/>
          <w:lang w:val="sr-Latn-RS"/>
        </w:rPr>
        <w:t xml:space="preserve">); Cl- interval povjerenja </w:t>
      </w:r>
      <w:r w:rsidRPr="00E43CDC">
        <w:rPr>
          <w:bCs/>
          <w:i/>
          <w:szCs w:val="22"/>
          <w:lang w:val="sr-Latn-RS"/>
        </w:rPr>
        <w:t>(confidence interval)</w:t>
      </w:r>
      <w:r w:rsidRPr="00E43CDC">
        <w:rPr>
          <w:bCs/>
          <w:szCs w:val="22"/>
          <w:lang w:val="sr-Latn-RS"/>
        </w:rPr>
        <w:t>; TIA prolazni ishemijski napad (</w:t>
      </w:r>
      <w:r w:rsidRPr="00E43CDC">
        <w:rPr>
          <w:bCs/>
          <w:i/>
          <w:szCs w:val="22"/>
          <w:lang w:val="sr-Latn-RS"/>
        </w:rPr>
        <w:t>transient ischemic attack</w:t>
      </w:r>
      <w:r w:rsidRPr="00E43CDC">
        <w:rPr>
          <w:bCs/>
          <w:szCs w:val="22"/>
          <w:lang w:val="sr-Latn-RS"/>
        </w:rPr>
        <w:t xml:space="preserve">); </w:t>
      </w:r>
    </w:p>
    <w:p w14:paraId="759335F1" w14:textId="77777777" w:rsidR="007006F4" w:rsidRPr="00E43CDC" w:rsidRDefault="007006F4" w:rsidP="00CB0A81">
      <w:pPr>
        <w:tabs>
          <w:tab w:val="left" w:pos="540"/>
        </w:tabs>
        <w:spacing w:line="240" w:lineRule="auto"/>
        <w:jc w:val="both"/>
        <w:rPr>
          <w:b/>
          <w:bCs/>
          <w:szCs w:val="22"/>
          <w:lang w:val="sr-Latn-RS"/>
        </w:rPr>
      </w:pPr>
    </w:p>
    <w:p w14:paraId="7D923739" w14:textId="44F23780" w:rsidR="007006F4" w:rsidRPr="00E43CDC" w:rsidRDefault="00F15505" w:rsidP="00CB0A81">
      <w:pPr>
        <w:tabs>
          <w:tab w:val="left" w:pos="540"/>
        </w:tabs>
        <w:spacing w:line="240" w:lineRule="auto"/>
        <w:jc w:val="both"/>
        <w:rPr>
          <w:bCs/>
          <w:i/>
          <w:szCs w:val="22"/>
          <w:lang w:val="sr-Latn-RS"/>
        </w:rPr>
      </w:pPr>
      <w:r w:rsidRPr="00E43CDC">
        <w:rPr>
          <w:bCs/>
          <w:szCs w:val="22"/>
          <w:u w:val="single"/>
          <w:lang w:val="sr-Latn-RS"/>
        </w:rPr>
        <w:t>Pacijenti sa insuficijencijom srca</w:t>
      </w:r>
    </w:p>
    <w:p w14:paraId="6D5D6ED4" w14:textId="77777777" w:rsidR="007006F4" w:rsidRPr="00E43CDC" w:rsidRDefault="00F15505" w:rsidP="00CB0A81">
      <w:pPr>
        <w:tabs>
          <w:tab w:val="left" w:pos="540"/>
        </w:tabs>
        <w:spacing w:line="240" w:lineRule="auto"/>
        <w:jc w:val="both"/>
        <w:rPr>
          <w:bCs/>
          <w:szCs w:val="22"/>
          <w:lang w:val="sr-Latn-RS"/>
        </w:rPr>
      </w:pPr>
      <w:r w:rsidRPr="00E43CDC">
        <w:rPr>
          <w:bCs/>
          <w:szCs w:val="22"/>
          <w:lang w:val="sr-Latn-RS"/>
        </w:rPr>
        <w:t>Hemodinamske studije i klinička ispitivanja zasnovane na testu opterećenja kod pacijenata sa insuficijencijom srca NYHA klase II-IV pokazale su da amlodipin nije doveo do kliničkog pogoršanja, prema rezultatima podnošenja opterećenja i ejekcionom frakcijom lijeve komore i kliničkom simptomatologijom.</w:t>
      </w:r>
    </w:p>
    <w:p w14:paraId="3471B53A" w14:textId="77777777" w:rsidR="007006F4" w:rsidRPr="00E43CDC" w:rsidRDefault="007006F4" w:rsidP="00CB0A81">
      <w:pPr>
        <w:tabs>
          <w:tab w:val="left" w:pos="540"/>
        </w:tabs>
        <w:spacing w:line="240" w:lineRule="auto"/>
        <w:jc w:val="both"/>
        <w:rPr>
          <w:bCs/>
          <w:szCs w:val="22"/>
          <w:lang w:val="sr-Latn-RS"/>
        </w:rPr>
      </w:pPr>
    </w:p>
    <w:p w14:paraId="09422F71" w14:textId="77777777" w:rsidR="007006F4" w:rsidRPr="00E43CDC" w:rsidRDefault="00F15505" w:rsidP="00CB0A81">
      <w:pPr>
        <w:tabs>
          <w:tab w:val="left" w:pos="540"/>
        </w:tabs>
        <w:spacing w:line="240" w:lineRule="auto"/>
        <w:jc w:val="both"/>
        <w:rPr>
          <w:bCs/>
          <w:szCs w:val="22"/>
          <w:lang w:val="sr-Latn-RS"/>
        </w:rPr>
      </w:pPr>
      <w:r w:rsidRPr="00E43CDC">
        <w:rPr>
          <w:bCs/>
          <w:szCs w:val="22"/>
          <w:lang w:val="sr-Latn-RS"/>
        </w:rPr>
        <w:t>Placebom kontrolisana studija (PRAISE) dizajnirana za evaluaciju pacijenata sa insuficijencijom srca  NYHA klase III-IV koji su primali digoksin, diuretike i ACE inhibitore, pokazala je da amlodipin nije doveo do povećanog rizika od mortaliteta ili kombinovanog rizika od mortaliteta i morbiditeta kod pacijenata sa insuficijencijom srca.</w:t>
      </w:r>
    </w:p>
    <w:p w14:paraId="4B22AC76" w14:textId="77777777" w:rsidR="007006F4" w:rsidRPr="00E43CDC" w:rsidRDefault="007006F4" w:rsidP="00CB0A81">
      <w:pPr>
        <w:tabs>
          <w:tab w:val="left" w:pos="540"/>
        </w:tabs>
        <w:spacing w:line="240" w:lineRule="auto"/>
        <w:jc w:val="both"/>
        <w:rPr>
          <w:bCs/>
          <w:szCs w:val="22"/>
          <w:lang w:val="sr-Latn-RS"/>
        </w:rPr>
      </w:pPr>
    </w:p>
    <w:p w14:paraId="0C3EFD5E" w14:textId="77777777" w:rsidR="007006F4" w:rsidRPr="00E43CDC" w:rsidRDefault="00F15505" w:rsidP="00CB0A81">
      <w:pPr>
        <w:tabs>
          <w:tab w:val="left" w:pos="540"/>
        </w:tabs>
        <w:spacing w:line="240" w:lineRule="auto"/>
        <w:jc w:val="both"/>
        <w:rPr>
          <w:bCs/>
          <w:szCs w:val="22"/>
          <w:lang w:val="sr-Latn-RS"/>
        </w:rPr>
      </w:pPr>
      <w:r w:rsidRPr="00E43CDC">
        <w:rPr>
          <w:bCs/>
          <w:szCs w:val="22"/>
          <w:lang w:val="sr-Latn-RS"/>
        </w:rPr>
        <w:t xml:space="preserve">U dugotrajnoj, placebo kontrolisanoj </w:t>
      </w:r>
      <w:r w:rsidRPr="00E43CDC">
        <w:rPr>
          <w:bCs/>
          <w:i/>
          <w:szCs w:val="22"/>
          <w:lang w:val="sr-Latn-RS"/>
        </w:rPr>
        <w:t xml:space="preserve">follow-up </w:t>
      </w:r>
      <w:r w:rsidRPr="00E43CDC">
        <w:rPr>
          <w:bCs/>
          <w:szCs w:val="22"/>
          <w:lang w:val="sr-Latn-RS"/>
        </w:rPr>
        <w:t>studiji (PRAISE-2) amlodipina kod pacijenata s insuficijencijom srca NYHA klase III i IV bez kliničkih simptoma ili objektivnih nalaza sugestivne ili osnovne ishemijske bolesti, na stabilnim dozama ACE inhibitora, digitalisa, i diuretika, amlodipin nije imao uticaja na ukupnu kardiovaskularnu smrtnost. U istoj populaciji, primjena amlodipina je bila povezana sa učestalijom pojavom edema pluća.</w:t>
      </w:r>
    </w:p>
    <w:p w14:paraId="678AB219" w14:textId="77777777" w:rsidR="007006F4" w:rsidRPr="00E43CDC" w:rsidRDefault="007006F4" w:rsidP="00CB0A81">
      <w:pPr>
        <w:tabs>
          <w:tab w:val="left" w:pos="540"/>
        </w:tabs>
        <w:spacing w:line="240" w:lineRule="auto"/>
        <w:jc w:val="both"/>
        <w:rPr>
          <w:bCs/>
          <w:szCs w:val="22"/>
          <w:u w:val="single"/>
          <w:lang w:val="sr-Latn-RS"/>
        </w:rPr>
      </w:pPr>
    </w:p>
    <w:p w14:paraId="690E0743" w14:textId="1B4810C1" w:rsidR="007006F4" w:rsidRPr="00E43CDC" w:rsidRDefault="00F15505" w:rsidP="00CB0A81">
      <w:pPr>
        <w:tabs>
          <w:tab w:val="left" w:pos="540"/>
        </w:tabs>
        <w:spacing w:line="240" w:lineRule="auto"/>
        <w:jc w:val="both"/>
        <w:rPr>
          <w:bCs/>
          <w:szCs w:val="22"/>
          <w:lang w:val="sr-Latn-RS"/>
        </w:rPr>
      </w:pPr>
      <w:r w:rsidRPr="00E43CDC">
        <w:rPr>
          <w:bCs/>
          <w:szCs w:val="22"/>
          <w:u w:val="single"/>
          <w:lang w:val="sr-Latn-RS"/>
        </w:rPr>
        <w:t>Ispitivanje liječenja za prevenciju srčanog udara (ALLHAT)</w:t>
      </w:r>
    </w:p>
    <w:p w14:paraId="5A39874E" w14:textId="36B77B21" w:rsidR="007006F4" w:rsidRPr="00E43CDC" w:rsidRDefault="00F15505" w:rsidP="00CB0A81">
      <w:pPr>
        <w:tabs>
          <w:tab w:val="left" w:pos="540"/>
        </w:tabs>
        <w:spacing w:line="240" w:lineRule="auto"/>
        <w:jc w:val="both"/>
        <w:rPr>
          <w:bCs/>
          <w:szCs w:val="22"/>
          <w:lang w:val="sr-Latn-RS"/>
        </w:rPr>
      </w:pPr>
      <w:r w:rsidRPr="00E43CDC">
        <w:rPr>
          <w:bCs/>
          <w:szCs w:val="22"/>
          <w:lang w:val="sr-Latn-RS"/>
        </w:rPr>
        <w:t>Randomizovana dvostruko slijepa studija morbiditeta i mortaliteta poznata kao ALLHAT  (</w:t>
      </w:r>
      <w:r w:rsidRPr="00E43CDC">
        <w:rPr>
          <w:bCs/>
          <w:i/>
          <w:szCs w:val="22"/>
          <w:lang w:val="sr-Latn-RS"/>
        </w:rPr>
        <w:t>Antihypertensive and Lipid-Lowering treatment to prevent Heart Attack Trial</w:t>
      </w:r>
      <w:r w:rsidRPr="00E43CDC">
        <w:rPr>
          <w:bCs/>
          <w:szCs w:val="22"/>
          <w:lang w:val="sr-Latn-RS"/>
        </w:rPr>
        <w:t>) je izvedena s ciljem da se uporede novi ljekovi: amlodipin 2,5-10 mg/dan (blokator kalcijumskih kanala), lizinopril 10-40 mg/dan (ACE-inhibitor) kao ljekovi iz prve linije terapije sa tiazidnim diuretikom hlortalidonom od 12,5-25 mg/dan kod blage do umjerene hipertenzije.</w:t>
      </w:r>
    </w:p>
    <w:p w14:paraId="6C089FBD" w14:textId="77777777" w:rsidR="007006F4" w:rsidRPr="00E43CDC" w:rsidRDefault="007006F4" w:rsidP="00CB0A81">
      <w:pPr>
        <w:tabs>
          <w:tab w:val="left" w:pos="540"/>
        </w:tabs>
        <w:spacing w:line="240" w:lineRule="auto"/>
        <w:jc w:val="both"/>
        <w:rPr>
          <w:bCs/>
          <w:szCs w:val="22"/>
          <w:lang w:val="sr-Latn-RS"/>
        </w:rPr>
      </w:pPr>
    </w:p>
    <w:p w14:paraId="21E4FEC9" w14:textId="404DA0C7" w:rsidR="007006F4" w:rsidRPr="00E43CDC" w:rsidRDefault="00F15505" w:rsidP="00CB0A81">
      <w:pPr>
        <w:tabs>
          <w:tab w:val="left" w:pos="540"/>
        </w:tabs>
        <w:spacing w:line="240" w:lineRule="auto"/>
        <w:jc w:val="both"/>
        <w:rPr>
          <w:bCs/>
          <w:szCs w:val="22"/>
          <w:lang w:val="sr-Latn-RS"/>
        </w:rPr>
      </w:pPr>
      <w:r w:rsidRPr="00E43CDC">
        <w:rPr>
          <w:bCs/>
          <w:szCs w:val="22"/>
          <w:lang w:val="sr-Latn-RS"/>
        </w:rPr>
        <w:t>Ukupno 33</w:t>
      </w:r>
      <w:r w:rsidR="00DE6371" w:rsidRPr="00E43CDC">
        <w:rPr>
          <w:bCs/>
          <w:szCs w:val="22"/>
          <w:lang w:val="sr-Latn-RS"/>
        </w:rPr>
        <w:t xml:space="preserve"> </w:t>
      </w:r>
      <w:r w:rsidRPr="00E43CDC">
        <w:rPr>
          <w:bCs/>
          <w:szCs w:val="22"/>
          <w:lang w:val="sr-Latn-RS"/>
        </w:rPr>
        <w:t>357 pacijenata sa hipertenzijom starosti od 55 ili više godina bilo je randomizovano i praćeno prosječno 4,9 godina. Pacijenti su imali bar još jedan dodatni faktor rizika za KBS-koronarnu bolest srca, uključujući: prethodni infarkt miokarda ili moždani udar (&gt; 6 mjeseci prije uključenja) ili dokumentaciju o drugim ateroskleroznim bolestima srca (ukupno 51,5%), dijabetes melit</w:t>
      </w:r>
      <w:r w:rsidR="008867BF" w:rsidRPr="00E43CDC">
        <w:rPr>
          <w:bCs/>
          <w:szCs w:val="22"/>
          <w:lang w:val="sr-Latn-RS"/>
        </w:rPr>
        <w:t>u</w:t>
      </w:r>
      <w:r w:rsidRPr="00E43CDC">
        <w:rPr>
          <w:bCs/>
          <w:szCs w:val="22"/>
          <w:lang w:val="sr-Latn-RS"/>
        </w:rPr>
        <w:t>s tip 2 (36,1%), HDL-holesterol &lt;35 mg/dl (11,6%), hipertrofiju lijeve komore dijagnostifikovanu elektrokardiogramom ili ehokardiografijom (20,9%) ili su bili aktivni pušači (21,9%).</w:t>
      </w:r>
    </w:p>
    <w:p w14:paraId="690F38DD" w14:textId="77777777" w:rsidR="007006F4" w:rsidRPr="00E43CDC" w:rsidRDefault="007006F4" w:rsidP="00CB0A81">
      <w:pPr>
        <w:tabs>
          <w:tab w:val="left" w:pos="540"/>
        </w:tabs>
        <w:spacing w:line="240" w:lineRule="auto"/>
        <w:jc w:val="both"/>
        <w:rPr>
          <w:bCs/>
          <w:szCs w:val="22"/>
          <w:lang w:val="sr-Latn-RS"/>
        </w:rPr>
      </w:pPr>
    </w:p>
    <w:p w14:paraId="080559F2" w14:textId="7D1DB8CC" w:rsidR="007006F4" w:rsidRPr="00E43CDC" w:rsidRDefault="00F15505" w:rsidP="00CB0A81">
      <w:pPr>
        <w:tabs>
          <w:tab w:val="left" w:pos="540"/>
        </w:tabs>
        <w:spacing w:line="240" w:lineRule="auto"/>
        <w:jc w:val="both"/>
        <w:rPr>
          <w:bCs/>
          <w:szCs w:val="22"/>
          <w:lang w:val="sr-Latn-RS"/>
        </w:rPr>
      </w:pPr>
      <w:r w:rsidRPr="00E43CDC">
        <w:rPr>
          <w:bCs/>
          <w:szCs w:val="22"/>
          <w:lang w:val="sr-Latn-RS"/>
        </w:rPr>
        <w:t>Primarni ishod je bio zbir fatalne KBS ili nefatalnih infarkta miokarda. Nije bilo značajne razlike u primarnim ishodima između terapije amlodipinom i terapije hlortalidonom: RR (relevantni rizik) 0,98 95% Cl (0,90 - 1,07) p = 0,65. Među sekundarnim ishodima, incidencija srčane insuficijencije (komponenta složenog kombinovanog kardiovaskularnog ishoda) bila je značajno viša u amlodipinskoj grupi u odnosu na hlortalidonsku grupu (10,2% prema 7,7%, RR 1,38, 95% Cl [1,25-1,52] p &lt;</w:t>
      </w:r>
      <w:r w:rsidR="008867BF" w:rsidRPr="00E43CDC">
        <w:rPr>
          <w:bCs/>
          <w:szCs w:val="22"/>
          <w:lang w:val="sr-Latn-RS"/>
        </w:rPr>
        <w:t xml:space="preserve"> </w:t>
      </w:r>
      <w:r w:rsidRPr="00E43CDC">
        <w:rPr>
          <w:bCs/>
          <w:szCs w:val="22"/>
          <w:lang w:val="sr-Latn-RS"/>
        </w:rPr>
        <w:t>0,001). Međutim, nije bilo značajne razlike u mortalitetu usljed svih uzroka između terapije amlidipinom i terapije hlortalidonom. RR 0,96 95% Cl [0,89-1,02] p = 0,20.</w:t>
      </w:r>
    </w:p>
    <w:p w14:paraId="50583C5B" w14:textId="77777777" w:rsidR="007006F4" w:rsidRPr="00E43CDC" w:rsidRDefault="007006F4" w:rsidP="00CB0A81">
      <w:pPr>
        <w:tabs>
          <w:tab w:val="left" w:pos="540"/>
        </w:tabs>
        <w:spacing w:line="240" w:lineRule="auto"/>
        <w:jc w:val="both"/>
        <w:rPr>
          <w:bCs/>
          <w:szCs w:val="22"/>
          <w:lang w:val="sr-Latn-RS"/>
        </w:rPr>
      </w:pPr>
    </w:p>
    <w:p w14:paraId="5F4DD6C9" w14:textId="78476763" w:rsidR="007006F4" w:rsidRPr="00E43CDC" w:rsidRDefault="00F15505" w:rsidP="00CB0A81">
      <w:pPr>
        <w:tabs>
          <w:tab w:val="left" w:pos="540"/>
        </w:tabs>
        <w:spacing w:line="240" w:lineRule="auto"/>
        <w:jc w:val="both"/>
        <w:rPr>
          <w:bCs/>
          <w:szCs w:val="22"/>
          <w:lang w:val="sr-Latn-RS"/>
        </w:rPr>
      </w:pPr>
      <w:r w:rsidRPr="00E43CDC">
        <w:rPr>
          <w:bCs/>
          <w:szCs w:val="22"/>
          <w:u w:val="single"/>
          <w:lang w:val="sr-Latn-RS"/>
        </w:rPr>
        <w:t>Primjena kod djece (uzrasta od 6 godina i stariji)</w:t>
      </w:r>
    </w:p>
    <w:p w14:paraId="4835CE29" w14:textId="665635C7" w:rsidR="007006F4" w:rsidRPr="00E43CDC" w:rsidRDefault="00F15505" w:rsidP="00CB0A81">
      <w:pPr>
        <w:tabs>
          <w:tab w:val="left" w:pos="540"/>
        </w:tabs>
        <w:spacing w:line="240" w:lineRule="auto"/>
        <w:jc w:val="both"/>
        <w:rPr>
          <w:bCs/>
          <w:szCs w:val="22"/>
          <w:lang w:val="sr-Latn-RS"/>
        </w:rPr>
      </w:pPr>
      <w:r w:rsidRPr="00E43CDC">
        <w:rPr>
          <w:bCs/>
          <w:szCs w:val="22"/>
          <w:lang w:val="sr-Latn-RS"/>
        </w:rPr>
        <w:t>U studiji koja je uključivala 268 djece uzrasta od 6 do 17 godina sa pretežno sekundarnom hipertenzijom, koja je upoređi</w:t>
      </w:r>
      <w:r w:rsidR="008867BF" w:rsidRPr="00E43CDC">
        <w:rPr>
          <w:bCs/>
          <w:szCs w:val="22"/>
          <w:lang w:val="sr-Latn-RS"/>
        </w:rPr>
        <w:t>v</w:t>
      </w:r>
      <w:r w:rsidRPr="00E43CDC">
        <w:rPr>
          <w:bCs/>
          <w:szCs w:val="22"/>
          <w:lang w:val="sr-Latn-RS"/>
        </w:rPr>
        <w:t>ala primjenu amlodipina u dozi od 2,5 mg i od 5,0 mg u odnosu na placebo, pokazano je da su obje doze značajno snizile sistolni krvni pritisak u poređenju sa placebom. Razlika između dvije primijenjene doze nije bila statistički značajna.</w:t>
      </w:r>
    </w:p>
    <w:p w14:paraId="5332DF5F" w14:textId="77777777" w:rsidR="007006F4" w:rsidRPr="00E43CDC" w:rsidRDefault="007006F4" w:rsidP="00CB0A81">
      <w:pPr>
        <w:tabs>
          <w:tab w:val="left" w:pos="540"/>
        </w:tabs>
        <w:spacing w:line="240" w:lineRule="auto"/>
        <w:jc w:val="both"/>
        <w:rPr>
          <w:bCs/>
          <w:szCs w:val="22"/>
          <w:lang w:val="sr-Latn-RS"/>
        </w:rPr>
      </w:pPr>
    </w:p>
    <w:p w14:paraId="61B02F9A" w14:textId="77777777" w:rsidR="007006F4" w:rsidRPr="00E43CDC" w:rsidRDefault="00F15505" w:rsidP="00CB0A81">
      <w:pPr>
        <w:tabs>
          <w:tab w:val="left" w:pos="540"/>
        </w:tabs>
        <w:spacing w:line="240" w:lineRule="auto"/>
        <w:jc w:val="both"/>
        <w:rPr>
          <w:bCs/>
          <w:szCs w:val="22"/>
          <w:lang w:val="sr-Latn-RS"/>
        </w:rPr>
      </w:pPr>
      <w:r w:rsidRPr="00E43CDC">
        <w:rPr>
          <w:bCs/>
          <w:szCs w:val="22"/>
          <w:lang w:val="sr-Latn-RS"/>
        </w:rPr>
        <w:t>Dugotrajni efekti amlodipina na rast, pubertet i opšti razvoj nijesu ispitivani. Takođe, nije utvrđena dugotrajna efikasnost liječenja djece amlodipinom na smanjivanje kardiovaskularnog morbiditeta i mortaliteta u odrasloj dobi.</w:t>
      </w:r>
    </w:p>
    <w:p w14:paraId="3F1F1CF5" w14:textId="77777777" w:rsidR="007006F4" w:rsidRPr="00E43CDC" w:rsidRDefault="007006F4" w:rsidP="00CB0A81">
      <w:pPr>
        <w:tabs>
          <w:tab w:val="left" w:pos="540"/>
        </w:tabs>
        <w:spacing w:line="240" w:lineRule="auto"/>
        <w:jc w:val="both"/>
        <w:rPr>
          <w:b/>
          <w:bCs/>
          <w:szCs w:val="22"/>
          <w:lang w:val="sr-Latn-RS"/>
        </w:rPr>
      </w:pPr>
    </w:p>
    <w:p w14:paraId="27A6C011" w14:textId="77777777" w:rsidR="007006F4" w:rsidRPr="00E43CDC" w:rsidRDefault="00F15505" w:rsidP="00CB0A81">
      <w:pPr>
        <w:tabs>
          <w:tab w:val="left" w:pos="540"/>
        </w:tabs>
        <w:spacing w:line="240" w:lineRule="auto"/>
        <w:jc w:val="both"/>
        <w:rPr>
          <w:b/>
          <w:bCs/>
          <w:szCs w:val="22"/>
          <w:lang w:val="sr-Latn-RS"/>
        </w:rPr>
      </w:pPr>
      <w:r w:rsidRPr="00E43CDC">
        <w:rPr>
          <w:b/>
          <w:bCs/>
          <w:szCs w:val="22"/>
          <w:lang w:val="sr-Latn-RS"/>
        </w:rPr>
        <w:t xml:space="preserve">5.2. </w:t>
      </w:r>
      <w:r w:rsidRPr="00E43CDC">
        <w:rPr>
          <w:b/>
          <w:bCs/>
          <w:szCs w:val="22"/>
          <w:lang w:val="sr-Latn-RS"/>
        </w:rPr>
        <w:tab/>
        <w:t xml:space="preserve">Farmakokinetički podaci </w:t>
      </w:r>
    </w:p>
    <w:p w14:paraId="43231694" w14:textId="77777777" w:rsidR="007006F4" w:rsidRPr="00E43CDC" w:rsidRDefault="007006F4" w:rsidP="00CB0A81">
      <w:pPr>
        <w:tabs>
          <w:tab w:val="left" w:pos="540"/>
        </w:tabs>
        <w:spacing w:line="240" w:lineRule="auto"/>
        <w:jc w:val="both"/>
        <w:rPr>
          <w:b/>
          <w:bCs/>
          <w:szCs w:val="22"/>
          <w:lang w:val="sr-Latn-RS"/>
        </w:rPr>
      </w:pPr>
    </w:p>
    <w:p w14:paraId="33D1248A" w14:textId="1459F407" w:rsidR="007006F4" w:rsidRPr="00E43CDC" w:rsidRDefault="00F15505" w:rsidP="00CB0A81">
      <w:pPr>
        <w:numPr>
          <w:ilvl w:val="12"/>
          <w:numId w:val="0"/>
        </w:numPr>
        <w:tabs>
          <w:tab w:val="left" w:pos="8505"/>
        </w:tabs>
        <w:spacing w:line="240" w:lineRule="auto"/>
        <w:ind w:right="-2"/>
        <w:jc w:val="both"/>
        <w:rPr>
          <w:i/>
          <w:szCs w:val="22"/>
          <w:lang w:val="sr-Latn-RS"/>
        </w:rPr>
      </w:pPr>
      <w:r w:rsidRPr="00E43CDC">
        <w:rPr>
          <w:szCs w:val="22"/>
          <w:u w:val="single"/>
          <w:lang w:val="sr-Latn-RS"/>
        </w:rPr>
        <w:t>Resorpcija, distribucija, vezivanje za proteine plazme</w:t>
      </w:r>
    </w:p>
    <w:p w14:paraId="79738FE8" w14:textId="77777777" w:rsidR="007006F4" w:rsidRPr="00E43CDC" w:rsidRDefault="00F15505" w:rsidP="00CB0A81">
      <w:pPr>
        <w:numPr>
          <w:ilvl w:val="12"/>
          <w:numId w:val="0"/>
        </w:numPr>
        <w:tabs>
          <w:tab w:val="left" w:pos="8505"/>
        </w:tabs>
        <w:spacing w:line="240" w:lineRule="auto"/>
        <w:ind w:right="-2"/>
        <w:jc w:val="both"/>
        <w:rPr>
          <w:szCs w:val="22"/>
          <w:lang w:val="sr-Latn-RS"/>
        </w:rPr>
      </w:pPr>
      <w:r w:rsidRPr="00E43CDC">
        <w:rPr>
          <w:szCs w:val="22"/>
          <w:lang w:val="sr-Latn-RS"/>
        </w:rPr>
        <w:t>Nakon oralne primjene terapijskih doza, amlodipin se dobro resorbuje i postiže maksimalne  koncentracije u krvi 6-12 sati nakon unošenja doze. Procijenjena apsolutna bioraspoloživost je od 64-</w:t>
      </w:r>
      <w:r w:rsidRPr="00E43CDC">
        <w:rPr>
          <w:szCs w:val="22"/>
          <w:lang w:val="sr-Latn-RS"/>
        </w:rPr>
        <w:lastRenderedPageBreak/>
        <w:t xml:space="preserve">80%. Volumen distribucije je približno </w:t>
      </w:r>
      <w:r w:rsidRPr="00E43CDC">
        <w:rPr>
          <w:snapToGrid w:val="0"/>
          <w:szCs w:val="22"/>
          <w:lang w:val="sr-Latn-RS"/>
        </w:rPr>
        <w:t xml:space="preserve">21 l/kg. </w:t>
      </w:r>
      <w:r w:rsidRPr="00E43CDC">
        <w:rPr>
          <w:i/>
          <w:szCs w:val="22"/>
          <w:lang w:val="sr-Latn-RS"/>
        </w:rPr>
        <w:t>In vitro</w:t>
      </w:r>
      <w:r w:rsidRPr="00E43CDC">
        <w:rPr>
          <w:szCs w:val="22"/>
          <w:lang w:val="sr-Latn-RS"/>
        </w:rPr>
        <w:t xml:space="preserve"> studije su pokazale da je oko 97,5%  amlodipina u cirkulaciji vezano za proteine plazme.</w:t>
      </w:r>
    </w:p>
    <w:p w14:paraId="6164A5F3" w14:textId="77777777" w:rsidR="007006F4" w:rsidRPr="00E43CDC" w:rsidRDefault="007006F4" w:rsidP="00CB0A81">
      <w:pPr>
        <w:spacing w:line="240" w:lineRule="auto"/>
        <w:ind w:right="-483"/>
        <w:jc w:val="both"/>
        <w:rPr>
          <w:i/>
          <w:szCs w:val="22"/>
          <w:lang w:val="sr-Latn-RS"/>
        </w:rPr>
      </w:pPr>
    </w:p>
    <w:p w14:paraId="6D3F400E" w14:textId="77777777" w:rsidR="007006F4" w:rsidRPr="00E43CDC" w:rsidRDefault="00F15505" w:rsidP="00CB0A81">
      <w:pPr>
        <w:spacing w:line="240" w:lineRule="auto"/>
        <w:ind w:right="-483"/>
        <w:jc w:val="both"/>
        <w:rPr>
          <w:snapToGrid w:val="0"/>
          <w:szCs w:val="22"/>
          <w:lang w:val="sr-Latn-RS"/>
        </w:rPr>
      </w:pPr>
      <w:r w:rsidRPr="00E43CDC">
        <w:rPr>
          <w:snapToGrid w:val="0"/>
          <w:szCs w:val="22"/>
          <w:lang w:val="sr-Latn-RS"/>
        </w:rPr>
        <w:t>Hrana ne utiče na bioraspoloživost amlodipina.</w:t>
      </w:r>
    </w:p>
    <w:p w14:paraId="2E893EB1" w14:textId="77777777" w:rsidR="007006F4" w:rsidRPr="00E43CDC" w:rsidRDefault="007006F4" w:rsidP="00CB0A81">
      <w:pPr>
        <w:spacing w:line="240" w:lineRule="auto"/>
        <w:ind w:right="-483"/>
        <w:jc w:val="both"/>
        <w:rPr>
          <w:i/>
          <w:snapToGrid w:val="0"/>
          <w:szCs w:val="22"/>
          <w:lang w:val="sr-Latn-RS"/>
        </w:rPr>
      </w:pPr>
    </w:p>
    <w:p w14:paraId="6B2872CA" w14:textId="59F37720" w:rsidR="008867BF" w:rsidRPr="00E43CDC" w:rsidRDefault="00F15505" w:rsidP="00CB0A81">
      <w:pPr>
        <w:spacing w:line="240" w:lineRule="auto"/>
        <w:ind w:right="-483"/>
        <w:jc w:val="both"/>
        <w:rPr>
          <w:szCs w:val="22"/>
          <w:u w:val="single"/>
          <w:lang w:val="sr-Latn-RS"/>
        </w:rPr>
      </w:pPr>
      <w:r w:rsidRPr="00E43CDC">
        <w:rPr>
          <w:snapToGrid w:val="0"/>
          <w:szCs w:val="22"/>
          <w:u w:val="single"/>
          <w:lang w:val="sr-Latn-RS"/>
        </w:rPr>
        <w:t>Metabolizam/Eliminacija</w:t>
      </w:r>
      <w:r w:rsidRPr="00E43CDC">
        <w:rPr>
          <w:szCs w:val="22"/>
          <w:u w:val="single"/>
          <w:lang w:val="sr-Latn-RS"/>
        </w:rPr>
        <w:t xml:space="preserve"> </w:t>
      </w:r>
    </w:p>
    <w:p w14:paraId="09C89211" w14:textId="77777777" w:rsidR="007006F4" w:rsidRPr="00E43CDC" w:rsidRDefault="00F15505" w:rsidP="00F64091">
      <w:pPr>
        <w:spacing w:line="240" w:lineRule="auto"/>
        <w:ind w:right="-483"/>
        <w:jc w:val="both"/>
        <w:rPr>
          <w:szCs w:val="22"/>
          <w:lang w:val="sr-Latn-RS"/>
        </w:rPr>
      </w:pPr>
      <w:r w:rsidRPr="00E43CDC">
        <w:rPr>
          <w:snapToGrid w:val="0"/>
          <w:szCs w:val="22"/>
          <w:lang w:val="sr-Latn-RS"/>
        </w:rPr>
        <w:t>Terminalno poluvrijeme eliminacije amlodipina je 35-50 sati i održava se pri doziranju jednom dnevno</w:t>
      </w:r>
      <w:r w:rsidRPr="00E43CDC">
        <w:rPr>
          <w:szCs w:val="22"/>
          <w:lang w:val="sr-Latn-RS"/>
        </w:rPr>
        <w:t>. Amlodipin se u velikoj mjeri metaboliše u jetri do neaktivnih metabolita, a 10% nepromijenjenog lijeka i 60% metabolita se izlučuje urinom.</w:t>
      </w:r>
    </w:p>
    <w:p w14:paraId="6E985231" w14:textId="77777777" w:rsidR="007006F4" w:rsidRPr="00E43CDC" w:rsidRDefault="007006F4" w:rsidP="00CB0A81">
      <w:pPr>
        <w:spacing w:line="240" w:lineRule="auto"/>
        <w:jc w:val="both"/>
        <w:rPr>
          <w:szCs w:val="22"/>
          <w:lang w:val="sr-Latn-RS"/>
        </w:rPr>
      </w:pPr>
    </w:p>
    <w:p w14:paraId="64960E98" w14:textId="77777777" w:rsidR="007006F4" w:rsidRPr="00E43CDC" w:rsidRDefault="00F15505" w:rsidP="00CB0A81">
      <w:pPr>
        <w:spacing w:line="240" w:lineRule="auto"/>
        <w:jc w:val="both"/>
        <w:rPr>
          <w:i/>
          <w:szCs w:val="22"/>
          <w:lang w:val="sr-Latn-RS"/>
        </w:rPr>
      </w:pPr>
      <w:r w:rsidRPr="00E43CDC">
        <w:rPr>
          <w:i/>
          <w:szCs w:val="22"/>
          <w:lang w:val="sr-Latn-RS"/>
        </w:rPr>
        <w:t>Primjena kod pacijenata sa oštećenjem funkcije jetre</w:t>
      </w:r>
    </w:p>
    <w:p w14:paraId="6BBAD387" w14:textId="77777777" w:rsidR="007006F4" w:rsidRPr="00E43CDC" w:rsidRDefault="00F15505" w:rsidP="00CB0A81">
      <w:pPr>
        <w:spacing w:line="240" w:lineRule="auto"/>
        <w:jc w:val="both"/>
        <w:rPr>
          <w:szCs w:val="22"/>
          <w:lang w:val="sr-Latn-RS"/>
        </w:rPr>
      </w:pPr>
      <w:r w:rsidRPr="00E43CDC">
        <w:rPr>
          <w:szCs w:val="22"/>
          <w:lang w:val="sr-Latn-RS"/>
        </w:rPr>
        <w:t xml:space="preserve">Dostupni su veoma ograničeni klinički podaci o primjeni amlodipina kod pacijenata sa oštećenjem funkcije jetre. Pacijenti sa insuficijencijom jetre imaju smanjen klirens amlodipina što dovodi do produženog poluvremena eliminacije i povećanja </w:t>
      </w:r>
      <w:r w:rsidRPr="00E43CDC">
        <w:rPr>
          <w:snapToGrid w:val="0"/>
          <w:szCs w:val="22"/>
          <w:lang w:val="sr-Latn-RS"/>
        </w:rPr>
        <w:t>vrijednosti PIK</w:t>
      </w:r>
      <w:r w:rsidRPr="00E43CDC">
        <w:rPr>
          <w:szCs w:val="22"/>
          <w:lang w:val="sr-Latn-RS"/>
        </w:rPr>
        <w:t xml:space="preserve"> od približno 40 do 60%.</w:t>
      </w:r>
    </w:p>
    <w:p w14:paraId="7951DAF9" w14:textId="77777777" w:rsidR="007006F4" w:rsidRPr="00E43CDC" w:rsidRDefault="007006F4" w:rsidP="00CB0A81">
      <w:pPr>
        <w:spacing w:line="240" w:lineRule="auto"/>
        <w:jc w:val="both"/>
        <w:rPr>
          <w:i/>
          <w:szCs w:val="22"/>
          <w:lang w:val="sr-Latn-RS"/>
        </w:rPr>
      </w:pPr>
    </w:p>
    <w:p w14:paraId="544A8941" w14:textId="77777777" w:rsidR="007006F4" w:rsidRPr="00E43CDC" w:rsidRDefault="00F15505" w:rsidP="00CB0A81">
      <w:pPr>
        <w:spacing w:line="240" w:lineRule="auto"/>
        <w:jc w:val="both"/>
        <w:rPr>
          <w:i/>
          <w:szCs w:val="22"/>
          <w:lang w:val="sr-Latn-RS"/>
        </w:rPr>
      </w:pPr>
      <w:r w:rsidRPr="00E43CDC">
        <w:rPr>
          <w:i/>
          <w:szCs w:val="22"/>
          <w:lang w:val="sr-Latn-RS"/>
        </w:rPr>
        <w:t>Primjena kod starijih osoba</w:t>
      </w:r>
    </w:p>
    <w:p w14:paraId="4A8053C3" w14:textId="77777777" w:rsidR="007006F4" w:rsidRPr="00E43CDC" w:rsidRDefault="00F15505" w:rsidP="00CB0A81">
      <w:pPr>
        <w:spacing w:line="240" w:lineRule="auto"/>
        <w:jc w:val="both"/>
        <w:rPr>
          <w:snapToGrid w:val="0"/>
          <w:szCs w:val="22"/>
          <w:lang w:val="sr-Latn-RS"/>
        </w:rPr>
      </w:pPr>
      <w:r w:rsidRPr="00E43CDC">
        <w:rPr>
          <w:snapToGrid w:val="0"/>
          <w:szCs w:val="22"/>
          <w:lang w:val="sr-Latn-RS"/>
        </w:rPr>
        <w:t>Vrijeme postizanja maksimalnih koncentracija u plazmi kod starijih i kod mlađih pacijenata je slično. Klirens amlodipina pokazuje tendenciju smanjivanja, što rezultuje povećanjem PIK i produženjem poluvremena eliminacije kod starijih osoba. Povećanja PIK i poluvremena eliminacije kod pacijenata sa kongestivnom insuficijencijom srca bila su očekivana za starosnu grupu ispitivanih pacijenata.</w:t>
      </w:r>
    </w:p>
    <w:p w14:paraId="381A2ED1" w14:textId="77777777" w:rsidR="007006F4" w:rsidRPr="00E43CDC" w:rsidRDefault="007006F4" w:rsidP="00CB0A81">
      <w:pPr>
        <w:spacing w:line="240" w:lineRule="auto"/>
        <w:jc w:val="both"/>
        <w:rPr>
          <w:szCs w:val="22"/>
          <w:lang w:val="sr-Latn-RS"/>
        </w:rPr>
      </w:pPr>
    </w:p>
    <w:p w14:paraId="5F82CCA2" w14:textId="34A9243F" w:rsidR="007006F4" w:rsidRPr="00E43CDC" w:rsidRDefault="00F15505" w:rsidP="00CB0A81">
      <w:pPr>
        <w:spacing w:line="240" w:lineRule="auto"/>
        <w:jc w:val="both"/>
        <w:rPr>
          <w:i/>
          <w:szCs w:val="22"/>
          <w:lang w:val="sr-Latn-RS"/>
        </w:rPr>
      </w:pPr>
      <w:r w:rsidRPr="00E43CDC">
        <w:rPr>
          <w:i/>
          <w:szCs w:val="22"/>
          <w:lang w:val="sr-Latn-RS"/>
        </w:rPr>
        <w:t>Pedijatrijska populacij</w:t>
      </w:r>
      <w:r w:rsidR="00866C2F" w:rsidRPr="00E43CDC">
        <w:rPr>
          <w:i/>
          <w:szCs w:val="22"/>
          <w:lang w:val="sr-Latn-RS"/>
        </w:rPr>
        <w:t>a</w:t>
      </w:r>
    </w:p>
    <w:p w14:paraId="37F15258" w14:textId="77777777" w:rsidR="007006F4" w:rsidRPr="00E43CDC" w:rsidRDefault="00F15505" w:rsidP="00CB0A81">
      <w:pPr>
        <w:spacing w:line="240" w:lineRule="auto"/>
        <w:jc w:val="both"/>
        <w:rPr>
          <w:szCs w:val="22"/>
          <w:lang w:val="sr-Latn-RS"/>
        </w:rPr>
      </w:pPr>
      <w:r w:rsidRPr="00E43CDC">
        <w:rPr>
          <w:szCs w:val="22"/>
          <w:lang w:val="sr-Latn-RS"/>
        </w:rPr>
        <w:t>Populaciona farmakokinetička studija sprovedena je kod 74 hipertenzivne djece uzrasta od 1 do 17 godina (34 pacijenta uzrasta od 6 do 12 godina i 28 pacijenta uzrasta od 13 do 17 godina) koji su dobijali amlodipin u dozi između 1,25 i 20 mg jednom ili dva puta dnevno. Kod djece uzrasta od 6 do 12 godina i adolescenata uzrasta 13-17 godina uobičajena vrijednost oralnog klirensa (CL/F) iznosio je 22,5 odnosno 27,4 l/h za dječake i 16,4 odnosno 21,3 l/h za djevojčice. Zabilježena je velika interindividualna varijabilnost u izloženosti lijeku. Podaci zabilježeni kod djece ispod 6 godina su ograničeni.</w:t>
      </w:r>
    </w:p>
    <w:p w14:paraId="3FF0DE99" w14:textId="77777777" w:rsidR="007006F4" w:rsidRPr="00E43CDC" w:rsidRDefault="007006F4" w:rsidP="00CB0A81">
      <w:pPr>
        <w:tabs>
          <w:tab w:val="left" w:pos="540"/>
        </w:tabs>
        <w:spacing w:line="240" w:lineRule="auto"/>
        <w:jc w:val="both"/>
        <w:rPr>
          <w:bCs/>
          <w:szCs w:val="22"/>
          <w:lang w:val="sr-Latn-RS"/>
        </w:rPr>
      </w:pPr>
    </w:p>
    <w:p w14:paraId="16986B40" w14:textId="77777777" w:rsidR="007006F4" w:rsidRPr="00E43CDC" w:rsidRDefault="00F15505" w:rsidP="00CB0A81">
      <w:pPr>
        <w:tabs>
          <w:tab w:val="left" w:pos="540"/>
        </w:tabs>
        <w:spacing w:line="240" w:lineRule="auto"/>
        <w:jc w:val="both"/>
        <w:rPr>
          <w:b/>
          <w:bCs/>
          <w:szCs w:val="22"/>
          <w:lang w:val="sr-Latn-RS"/>
        </w:rPr>
      </w:pPr>
      <w:r w:rsidRPr="00E43CDC">
        <w:rPr>
          <w:b/>
          <w:bCs/>
          <w:szCs w:val="22"/>
          <w:lang w:val="sr-Latn-RS"/>
        </w:rPr>
        <w:t xml:space="preserve">5.3. </w:t>
      </w:r>
      <w:r w:rsidRPr="00E43CDC">
        <w:rPr>
          <w:b/>
          <w:bCs/>
          <w:szCs w:val="22"/>
          <w:lang w:val="sr-Latn-RS"/>
        </w:rPr>
        <w:tab/>
        <w:t xml:space="preserve">Pretklinički podaci o bezbjednosti </w:t>
      </w:r>
    </w:p>
    <w:p w14:paraId="70573DA7" w14:textId="77777777" w:rsidR="007006F4" w:rsidRPr="00E43CDC" w:rsidRDefault="007006F4" w:rsidP="00CB0A81">
      <w:pPr>
        <w:tabs>
          <w:tab w:val="left" w:pos="540"/>
        </w:tabs>
        <w:spacing w:line="240" w:lineRule="auto"/>
        <w:jc w:val="both"/>
        <w:rPr>
          <w:bCs/>
          <w:szCs w:val="22"/>
          <w:lang w:val="sr-Latn-RS"/>
        </w:rPr>
      </w:pPr>
    </w:p>
    <w:p w14:paraId="3D02A8D4" w14:textId="6C2DE482" w:rsidR="007006F4" w:rsidRPr="00E43CDC" w:rsidRDefault="00F15505" w:rsidP="00CB0A81">
      <w:pPr>
        <w:spacing w:line="240" w:lineRule="auto"/>
        <w:jc w:val="both"/>
        <w:rPr>
          <w:szCs w:val="22"/>
          <w:lang w:val="sr-Latn-RS" w:eastAsia="en-IE"/>
        </w:rPr>
      </w:pPr>
      <w:r w:rsidRPr="00E43CDC">
        <w:rPr>
          <w:szCs w:val="22"/>
          <w:u w:val="single"/>
          <w:lang w:val="sr-Latn-RS" w:eastAsia="en-IE"/>
        </w:rPr>
        <w:t>Reproduktivna toksičnost</w:t>
      </w:r>
    </w:p>
    <w:p w14:paraId="2A13B22C" w14:textId="77777777" w:rsidR="007006F4" w:rsidRPr="00E43CDC" w:rsidRDefault="00F15505" w:rsidP="00CB0A81">
      <w:pPr>
        <w:spacing w:line="240" w:lineRule="auto"/>
        <w:jc w:val="both"/>
        <w:rPr>
          <w:szCs w:val="22"/>
          <w:lang w:val="sr-Latn-RS" w:eastAsia="en-IE"/>
        </w:rPr>
      </w:pPr>
      <w:r w:rsidRPr="00E43CDC">
        <w:rPr>
          <w:szCs w:val="22"/>
          <w:lang w:val="sr-Latn-RS" w:eastAsia="en-IE"/>
        </w:rPr>
        <w:t>Studije reproduktivne toksičnosti na pacovima i miševima su pokazale odloženi porođaj, produženo trajanje porođaja i smanjeno preživljavanje okota pri primjeni doza približno 50 puta većih od maksimalni preporučenih humanih doza na osnovu mg/kg.</w:t>
      </w:r>
    </w:p>
    <w:p w14:paraId="50A6FDB4" w14:textId="77777777" w:rsidR="007006F4" w:rsidRPr="00E43CDC" w:rsidRDefault="007006F4" w:rsidP="00CB0A81">
      <w:pPr>
        <w:spacing w:line="240" w:lineRule="auto"/>
        <w:ind w:right="-483"/>
        <w:jc w:val="both"/>
        <w:rPr>
          <w:szCs w:val="22"/>
          <w:lang w:val="sr-Latn-RS" w:eastAsia="en-IE"/>
        </w:rPr>
      </w:pPr>
    </w:p>
    <w:p w14:paraId="3F6EE47F" w14:textId="37A43FEB" w:rsidR="007006F4" w:rsidRPr="00E43CDC" w:rsidRDefault="00F15505" w:rsidP="00CB0A81">
      <w:pPr>
        <w:spacing w:line="240" w:lineRule="auto"/>
        <w:ind w:right="-483"/>
        <w:jc w:val="both"/>
        <w:rPr>
          <w:szCs w:val="22"/>
          <w:lang w:val="sr-Latn-RS" w:eastAsia="en-IE"/>
        </w:rPr>
      </w:pPr>
      <w:r w:rsidRPr="00E43CDC">
        <w:rPr>
          <w:szCs w:val="22"/>
          <w:u w:val="single"/>
          <w:lang w:val="sr-Latn-RS" w:eastAsia="en-IE"/>
        </w:rPr>
        <w:t>Uticaj na plodnost</w:t>
      </w:r>
    </w:p>
    <w:p w14:paraId="1C40AD36" w14:textId="77777777" w:rsidR="007006F4" w:rsidRPr="00E43CDC" w:rsidRDefault="00F15505" w:rsidP="00CB0A81">
      <w:pPr>
        <w:spacing w:line="240" w:lineRule="auto"/>
        <w:ind w:right="-483"/>
        <w:jc w:val="both"/>
        <w:rPr>
          <w:szCs w:val="22"/>
          <w:lang w:val="sr-Latn-RS" w:eastAsia="en-IE"/>
        </w:rPr>
      </w:pPr>
      <w:r w:rsidRPr="00E43CDC">
        <w:rPr>
          <w:szCs w:val="22"/>
          <w:lang w:val="sr-Latn-RS" w:eastAsia="en-IE"/>
        </w:rPr>
        <w:t>Nije bilo uticaja na plodnost kod pacova koji su tretirani amlodipinom (mužjaci 64 dana i ženke 14 dana prije parenja) u dozama do 10 mg/kg/dan (8 puta veće* od maksimalne preporučene humane doze koja iznosi 10 mg na osnovu mg/m</w:t>
      </w:r>
      <w:r w:rsidRPr="00E43CDC">
        <w:rPr>
          <w:szCs w:val="22"/>
          <w:vertAlign w:val="superscript"/>
          <w:lang w:val="sr-Latn-RS" w:eastAsia="en-IE"/>
        </w:rPr>
        <w:t>2</w:t>
      </w:r>
      <w:r w:rsidRPr="00E43CDC">
        <w:rPr>
          <w:szCs w:val="22"/>
          <w:lang w:val="sr-Latn-RS" w:eastAsia="en-IE"/>
        </w:rPr>
        <w:t>). U drugoj studiji na pacovima u kojoj su mužjaci pacova tretirani amlodipin bezilatom 30 dana u dozama uporedivim sa onim koje se primjenjuju kod ljudi na osnovu mg/kg, uočene su smanjene vrijednosti folikulostimulirajućeg hormona i testosterona u plazmi, kao i smanjena gustina sperme i smanjen broj zrelih spermatozoida i Sertolijevih ćelija.</w:t>
      </w:r>
    </w:p>
    <w:p w14:paraId="7841B89F" w14:textId="77777777" w:rsidR="007006F4" w:rsidRPr="00E43CDC" w:rsidRDefault="007006F4" w:rsidP="00CB0A81">
      <w:pPr>
        <w:spacing w:line="240" w:lineRule="auto"/>
        <w:ind w:right="-483"/>
        <w:jc w:val="both"/>
        <w:rPr>
          <w:szCs w:val="22"/>
          <w:lang w:val="sr-Latn-RS" w:eastAsia="en-IE"/>
        </w:rPr>
      </w:pPr>
    </w:p>
    <w:p w14:paraId="24C971C3" w14:textId="3334FB68" w:rsidR="007006F4" w:rsidRPr="00E43CDC" w:rsidRDefault="00F15505" w:rsidP="00CB0A81">
      <w:pPr>
        <w:spacing w:line="240" w:lineRule="auto"/>
        <w:ind w:right="-483"/>
        <w:jc w:val="both"/>
        <w:rPr>
          <w:szCs w:val="22"/>
          <w:lang w:val="sr-Latn-RS" w:eastAsia="en-IE"/>
        </w:rPr>
      </w:pPr>
      <w:r w:rsidRPr="00E43CDC">
        <w:rPr>
          <w:szCs w:val="22"/>
          <w:u w:val="single"/>
          <w:lang w:val="sr-Latn-RS" w:eastAsia="en-IE"/>
        </w:rPr>
        <w:t>Karcinogeneza, mutageneza</w:t>
      </w:r>
    </w:p>
    <w:p w14:paraId="5F1E07A0" w14:textId="77777777" w:rsidR="007006F4" w:rsidRPr="00E43CDC" w:rsidRDefault="00F15505" w:rsidP="00CB0A81">
      <w:pPr>
        <w:spacing w:line="240" w:lineRule="auto"/>
        <w:ind w:right="-483"/>
        <w:jc w:val="both"/>
        <w:rPr>
          <w:szCs w:val="22"/>
          <w:lang w:val="sr-Latn-RS" w:eastAsia="en-IE"/>
        </w:rPr>
      </w:pPr>
      <w:r w:rsidRPr="00E43CDC">
        <w:rPr>
          <w:szCs w:val="22"/>
          <w:lang w:val="sr-Latn-RS" w:eastAsia="en-IE"/>
        </w:rPr>
        <w:t>Kod pacova i miševa koji su tretirani amlodipinom putem hrane dvije godine u koncentracijama koje daju dnevne doze od 0,5, 1,25 i 2,5 mg/kg/dan nijesu uočeni dokazi o kancerogenosti. Najviša doza (za miševe slična sa, a za pacove dva puta veća* od maksimalne preporučene kliničke doze od 10 mg na osnovu mg/m</w:t>
      </w:r>
      <w:r w:rsidRPr="00E43CDC">
        <w:rPr>
          <w:szCs w:val="22"/>
          <w:vertAlign w:val="superscript"/>
          <w:lang w:val="sr-Latn-RS" w:eastAsia="en-IE"/>
        </w:rPr>
        <w:t>2</w:t>
      </w:r>
      <w:r w:rsidRPr="00E43CDC">
        <w:rPr>
          <w:szCs w:val="22"/>
          <w:lang w:val="sr-Latn-RS" w:eastAsia="en-IE"/>
        </w:rPr>
        <w:t>) bila je blizu maksimalne podnošljive doze za miševe, ali ne i za pacove.</w:t>
      </w:r>
    </w:p>
    <w:p w14:paraId="1E177166" w14:textId="77777777" w:rsidR="007006F4" w:rsidRPr="00E43CDC" w:rsidRDefault="007006F4" w:rsidP="00CB0A81">
      <w:pPr>
        <w:spacing w:line="240" w:lineRule="auto"/>
        <w:ind w:right="-483"/>
        <w:jc w:val="both"/>
        <w:rPr>
          <w:szCs w:val="22"/>
          <w:lang w:val="sr-Latn-RS" w:eastAsia="en-IE"/>
        </w:rPr>
      </w:pPr>
    </w:p>
    <w:p w14:paraId="04661B98" w14:textId="77777777" w:rsidR="007006F4" w:rsidRPr="00E43CDC" w:rsidRDefault="00F15505" w:rsidP="00CB0A81">
      <w:pPr>
        <w:spacing w:line="240" w:lineRule="auto"/>
        <w:ind w:right="-483"/>
        <w:jc w:val="both"/>
        <w:rPr>
          <w:szCs w:val="22"/>
          <w:lang w:val="sr-Latn-RS" w:eastAsia="en-IE"/>
        </w:rPr>
      </w:pPr>
      <w:r w:rsidRPr="00E43CDC">
        <w:rPr>
          <w:szCs w:val="22"/>
          <w:lang w:val="sr-Latn-RS" w:eastAsia="en-IE"/>
        </w:rPr>
        <w:t>Studije mutagenosti nijesu otkrile sa lijekom povezane efekte na nivou gena ili hromozoma.</w:t>
      </w:r>
    </w:p>
    <w:p w14:paraId="5C3D38E9" w14:textId="77777777" w:rsidR="007006F4" w:rsidRPr="00E43CDC" w:rsidRDefault="007006F4" w:rsidP="00CB0A81">
      <w:pPr>
        <w:spacing w:line="240" w:lineRule="auto"/>
        <w:ind w:right="-483"/>
        <w:jc w:val="both"/>
        <w:rPr>
          <w:szCs w:val="22"/>
          <w:lang w:val="sr-Latn-RS" w:eastAsia="en-IE"/>
        </w:rPr>
      </w:pPr>
    </w:p>
    <w:p w14:paraId="33BD204E" w14:textId="77777777" w:rsidR="007006F4" w:rsidRPr="00E43CDC" w:rsidRDefault="00F15505" w:rsidP="00CB0A81">
      <w:pPr>
        <w:spacing w:line="240" w:lineRule="auto"/>
        <w:ind w:right="-483"/>
        <w:jc w:val="both"/>
        <w:rPr>
          <w:szCs w:val="22"/>
          <w:lang w:val="sr-Latn-RS" w:eastAsia="en-IE"/>
        </w:rPr>
      </w:pPr>
      <w:r w:rsidRPr="00E43CDC">
        <w:rPr>
          <w:szCs w:val="22"/>
          <w:lang w:val="sr-Latn-RS" w:eastAsia="en-IE"/>
        </w:rPr>
        <w:t>*Računato na tjelesnu masu pacijenta od 50 kg.</w:t>
      </w:r>
    </w:p>
    <w:p w14:paraId="798D2C1F" w14:textId="77777777" w:rsidR="007006F4" w:rsidRPr="00E43CDC" w:rsidRDefault="007006F4" w:rsidP="00CB0A81">
      <w:pPr>
        <w:tabs>
          <w:tab w:val="left" w:pos="540"/>
        </w:tabs>
        <w:spacing w:line="240" w:lineRule="auto"/>
        <w:jc w:val="both"/>
        <w:rPr>
          <w:bCs/>
          <w:szCs w:val="22"/>
          <w:lang w:val="sr-Latn-RS"/>
        </w:rPr>
      </w:pPr>
    </w:p>
    <w:p w14:paraId="37E28EA8" w14:textId="1442A2BB" w:rsidR="007006F4" w:rsidRDefault="007006F4" w:rsidP="00CB0A81">
      <w:pPr>
        <w:tabs>
          <w:tab w:val="left" w:pos="540"/>
        </w:tabs>
        <w:spacing w:line="240" w:lineRule="auto"/>
        <w:jc w:val="both"/>
        <w:rPr>
          <w:b/>
          <w:bCs/>
          <w:szCs w:val="22"/>
          <w:lang w:val="sr-Latn-RS"/>
        </w:rPr>
      </w:pPr>
    </w:p>
    <w:p w14:paraId="5B699821" w14:textId="58BFE641" w:rsidR="00E43CDC" w:rsidRDefault="00E43CDC" w:rsidP="00CB0A81">
      <w:pPr>
        <w:tabs>
          <w:tab w:val="left" w:pos="540"/>
        </w:tabs>
        <w:spacing w:line="240" w:lineRule="auto"/>
        <w:jc w:val="both"/>
        <w:rPr>
          <w:b/>
          <w:bCs/>
          <w:szCs w:val="22"/>
          <w:lang w:val="sr-Latn-RS"/>
        </w:rPr>
      </w:pPr>
    </w:p>
    <w:p w14:paraId="54F13722" w14:textId="77777777" w:rsidR="00E43CDC" w:rsidRPr="00E43CDC" w:rsidRDefault="00E43CDC" w:rsidP="00CB0A81">
      <w:pPr>
        <w:tabs>
          <w:tab w:val="left" w:pos="540"/>
        </w:tabs>
        <w:spacing w:line="240" w:lineRule="auto"/>
        <w:jc w:val="both"/>
        <w:rPr>
          <w:b/>
          <w:bCs/>
          <w:szCs w:val="22"/>
          <w:lang w:val="sr-Latn-RS"/>
        </w:rPr>
      </w:pPr>
    </w:p>
    <w:p w14:paraId="0987A45E" w14:textId="77777777" w:rsidR="007006F4" w:rsidRPr="00E43CDC" w:rsidRDefault="00F15505" w:rsidP="00CB0A81">
      <w:pPr>
        <w:tabs>
          <w:tab w:val="left" w:pos="540"/>
        </w:tabs>
        <w:spacing w:line="240" w:lineRule="auto"/>
        <w:jc w:val="both"/>
        <w:rPr>
          <w:b/>
          <w:bCs/>
          <w:szCs w:val="22"/>
          <w:lang w:val="sr-Latn-RS"/>
        </w:rPr>
      </w:pPr>
      <w:r w:rsidRPr="00E43CDC">
        <w:rPr>
          <w:b/>
          <w:bCs/>
          <w:szCs w:val="22"/>
          <w:lang w:val="sr-Latn-RS"/>
        </w:rPr>
        <w:lastRenderedPageBreak/>
        <w:t xml:space="preserve">6. </w:t>
      </w:r>
      <w:r w:rsidRPr="00E43CDC">
        <w:rPr>
          <w:b/>
          <w:bCs/>
          <w:szCs w:val="22"/>
          <w:lang w:val="sr-Latn-RS"/>
        </w:rPr>
        <w:tab/>
        <w:t>FARMACEUTSKI PODACI</w:t>
      </w:r>
    </w:p>
    <w:p w14:paraId="33B95BC1" w14:textId="77777777" w:rsidR="007006F4" w:rsidRPr="00E43CDC" w:rsidRDefault="007006F4" w:rsidP="00CB0A81">
      <w:pPr>
        <w:tabs>
          <w:tab w:val="left" w:pos="540"/>
        </w:tabs>
        <w:spacing w:line="240" w:lineRule="auto"/>
        <w:jc w:val="both"/>
        <w:rPr>
          <w:bCs/>
          <w:szCs w:val="22"/>
          <w:lang w:val="sr-Latn-RS"/>
        </w:rPr>
      </w:pPr>
    </w:p>
    <w:p w14:paraId="6901B807" w14:textId="77777777" w:rsidR="007006F4" w:rsidRPr="00E43CDC" w:rsidRDefault="00F15505" w:rsidP="00CB0A81">
      <w:pPr>
        <w:tabs>
          <w:tab w:val="left" w:pos="540"/>
        </w:tabs>
        <w:spacing w:line="240" w:lineRule="auto"/>
        <w:jc w:val="both"/>
        <w:rPr>
          <w:b/>
          <w:bCs/>
          <w:szCs w:val="22"/>
          <w:lang w:val="sr-Latn-RS"/>
        </w:rPr>
      </w:pPr>
      <w:r w:rsidRPr="00E43CDC">
        <w:rPr>
          <w:b/>
          <w:bCs/>
          <w:szCs w:val="22"/>
          <w:lang w:val="sr-Latn-RS"/>
        </w:rPr>
        <w:t xml:space="preserve">6.1. </w:t>
      </w:r>
      <w:r w:rsidRPr="00E43CDC">
        <w:rPr>
          <w:b/>
          <w:bCs/>
          <w:szCs w:val="22"/>
          <w:lang w:val="sr-Latn-RS"/>
        </w:rPr>
        <w:tab/>
        <w:t>Lista pomoćnih supstanci (ekscipijenasa)</w:t>
      </w:r>
    </w:p>
    <w:p w14:paraId="01FDD83D" w14:textId="77777777" w:rsidR="007006F4" w:rsidRPr="00E43CDC" w:rsidRDefault="007006F4" w:rsidP="00CB0A81">
      <w:pPr>
        <w:tabs>
          <w:tab w:val="left" w:pos="540"/>
        </w:tabs>
        <w:spacing w:line="240" w:lineRule="auto"/>
        <w:jc w:val="both"/>
        <w:rPr>
          <w:b/>
          <w:bCs/>
          <w:szCs w:val="22"/>
          <w:lang w:val="sr-Latn-RS"/>
        </w:rPr>
      </w:pPr>
    </w:p>
    <w:p w14:paraId="025D3AA9" w14:textId="77777777" w:rsidR="007006F4" w:rsidRPr="00E43CDC" w:rsidRDefault="00F15505" w:rsidP="00CB0A81">
      <w:pPr>
        <w:numPr>
          <w:ilvl w:val="12"/>
          <w:numId w:val="0"/>
        </w:numPr>
        <w:tabs>
          <w:tab w:val="left" w:pos="8505"/>
        </w:tabs>
        <w:spacing w:line="240" w:lineRule="auto"/>
        <w:ind w:right="-2"/>
        <w:jc w:val="both"/>
        <w:rPr>
          <w:szCs w:val="22"/>
          <w:lang w:val="sr-Latn-RS"/>
        </w:rPr>
      </w:pPr>
      <w:r w:rsidRPr="00E43CDC">
        <w:rPr>
          <w:szCs w:val="22"/>
          <w:lang w:val="sr-Latn-RS"/>
        </w:rPr>
        <w:t xml:space="preserve">Celuloza, mikrokristalna </w:t>
      </w:r>
    </w:p>
    <w:p w14:paraId="4DA0161A" w14:textId="57E055BC" w:rsidR="007006F4" w:rsidRPr="00E43CDC" w:rsidRDefault="00F15505" w:rsidP="00CB0A81">
      <w:pPr>
        <w:numPr>
          <w:ilvl w:val="12"/>
          <w:numId w:val="0"/>
        </w:numPr>
        <w:tabs>
          <w:tab w:val="left" w:pos="8505"/>
        </w:tabs>
        <w:spacing w:line="240" w:lineRule="auto"/>
        <w:ind w:right="-2"/>
        <w:jc w:val="both"/>
        <w:rPr>
          <w:szCs w:val="22"/>
          <w:lang w:val="sr-Latn-RS"/>
        </w:rPr>
      </w:pPr>
      <w:r w:rsidRPr="00E43CDC">
        <w:rPr>
          <w:szCs w:val="22"/>
          <w:lang w:val="sr-Latn-RS"/>
        </w:rPr>
        <w:t xml:space="preserve">Skrob, </w:t>
      </w:r>
      <w:r w:rsidR="002E647F" w:rsidRPr="00E43CDC">
        <w:rPr>
          <w:szCs w:val="22"/>
          <w:lang w:val="sr-Latn-RS"/>
        </w:rPr>
        <w:t>preželetanizirani</w:t>
      </w:r>
    </w:p>
    <w:p w14:paraId="117CB078" w14:textId="07958B89" w:rsidR="007006F4" w:rsidRPr="00E43CDC" w:rsidRDefault="00F15505" w:rsidP="00CB0A81">
      <w:pPr>
        <w:numPr>
          <w:ilvl w:val="12"/>
          <w:numId w:val="0"/>
        </w:numPr>
        <w:tabs>
          <w:tab w:val="left" w:pos="8505"/>
        </w:tabs>
        <w:spacing w:line="240" w:lineRule="auto"/>
        <w:ind w:right="-2"/>
        <w:jc w:val="both"/>
        <w:rPr>
          <w:szCs w:val="22"/>
          <w:lang w:val="sr-Latn-RS"/>
        </w:rPr>
      </w:pPr>
      <w:r w:rsidRPr="00E43CDC">
        <w:rPr>
          <w:szCs w:val="22"/>
          <w:lang w:val="sr-Latn-RS"/>
        </w:rPr>
        <w:t>Natrijum skrob</w:t>
      </w:r>
      <w:r w:rsidR="00100D42" w:rsidRPr="00E43CDC">
        <w:rPr>
          <w:szCs w:val="22"/>
          <w:lang w:val="sr-Latn-RS"/>
        </w:rPr>
        <w:t xml:space="preserve"> </w:t>
      </w:r>
      <w:r w:rsidRPr="00E43CDC">
        <w:rPr>
          <w:szCs w:val="22"/>
          <w:lang w:val="sr-Latn-RS"/>
        </w:rPr>
        <w:t>glikolat</w:t>
      </w:r>
    </w:p>
    <w:p w14:paraId="778AB34C" w14:textId="77777777" w:rsidR="007006F4" w:rsidRPr="00E43CDC" w:rsidRDefault="00F15505" w:rsidP="00CB0A81">
      <w:pPr>
        <w:numPr>
          <w:ilvl w:val="12"/>
          <w:numId w:val="0"/>
        </w:numPr>
        <w:tabs>
          <w:tab w:val="left" w:pos="8505"/>
        </w:tabs>
        <w:spacing w:line="240" w:lineRule="auto"/>
        <w:ind w:right="-2"/>
        <w:jc w:val="both"/>
        <w:rPr>
          <w:szCs w:val="22"/>
          <w:lang w:val="sr-Latn-RS"/>
        </w:rPr>
      </w:pPr>
      <w:r w:rsidRPr="00E43CDC">
        <w:rPr>
          <w:szCs w:val="22"/>
          <w:lang w:val="sr-Latn-RS"/>
        </w:rPr>
        <w:t xml:space="preserve">Silicijum dioksid, koloidni, bezvodni </w:t>
      </w:r>
    </w:p>
    <w:p w14:paraId="1F0D644C" w14:textId="77777777" w:rsidR="007006F4" w:rsidRPr="00E43CDC" w:rsidRDefault="00F15505" w:rsidP="00CB0A81">
      <w:pPr>
        <w:tabs>
          <w:tab w:val="left" w:pos="540"/>
        </w:tabs>
        <w:spacing w:line="240" w:lineRule="auto"/>
        <w:jc w:val="both"/>
        <w:rPr>
          <w:b/>
          <w:bCs/>
          <w:szCs w:val="22"/>
          <w:lang w:val="sr-Latn-RS"/>
        </w:rPr>
      </w:pPr>
      <w:r w:rsidRPr="00E43CDC">
        <w:rPr>
          <w:szCs w:val="22"/>
          <w:lang w:val="sr-Latn-RS"/>
        </w:rPr>
        <w:t>Magnezijum stearat</w:t>
      </w:r>
    </w:p>
    <w:p w14:paraId="5FCD6A7C" w14:textId="77777777" w:rsidR="007006F4" w:rsidRPr="00E43CDC" w:rsidRDefault="007006F4" w:rsidP="00CB0A81">
      <w:pPr>
        <w:tabs>
          <w:tab w:val="left" w:pos="540"/>
        </w:tabs>
        <w:spacing w:line="240" w:lineRule="auto"/>
        <w:jc w:val="both"/>
        <w:rPr>
          <w:bCs/>
          <w:szCs w:val="22"/>
          <w:lang w:val="sr-Latn-RS"/>
        </w:rPr>
      </w:pPr>
    </w:p>
    <w:p w14:paraId="667AFDB2" w14:textId="77777777" w:rsidR="007006F4" w:rsidRPr="00E43CDC" w:rsidRDefault="00F15505" w:rsidP="00CB0A81">
      <w:pPr>
        <w:tabs>
          <w:tab w:val="left" w:pos="540"/>
        </w:tabs>
        <w:spacing w:line="240" w:lineRule="auto"/>
        <w:jc w:val="both"/>
        <w:rPr>
          <w:b/>
          <w:bCs/>
          <w:szCs w:val="22"/>
          <w:lang w:val="sr-Latn-RS"/>
        </w:rPr>
      </w:pPr>
      <w:r w:rsidRPr="00E43CDC">
        <w:rPr>
          <w:b/>
          <w:bCs/>
          <w:szCs w:val="22"/>
          <w:lang w:val="sr-Latn-RS"/>
        </w:rPr>
        <w:t xml:space="preserve">6.2. </w:t>
      </w:r>
      <w:r w:rsidRPr="00E43CDC">
        <w:rPr>
          <w:b/>
          <w:bCs/>
          <w:szCs w:val="22"/>
          <w:lang w:val="sr-Latn-RS"/>
        </w:rPr>
        <w:tab/>
        <w:t>Inkompatibilnosti</w:t>
      </w:r>
    </w:p>
    <w:p w14:paraId="17639006" w14:textId="77777777" w:rsidR="007006F4" w:rsidRPr="00E43CDC" w:rsidRDefault="007006F4" w:rsidP="00CB0A81">
      <w:pPr>
        <w:tabs>
          <w:tab w:val="left" w:pos="540"/>
        </w:tabs>
        <w:spacing w:line="240" w:lineRule="auto"/>
        <w:jc w:val="both"/>
        <w:rPr>
          <w:b/>
          <w:bCs/>
          <w:szCs w:val="22"/>
          <w:lang w:val="sr-Latn-RS"/>
        </w:rPr>
      </w:pPr>
    </w:p>
    <w:p w14:paraId="61990168" w14:textId="77777777" w:rsidR="007006F4" w:rsidRPr="00E43CDC" w:rsidRDefault="00F15505" w:rsidP="00CB0A81">
      <w:pPr>
        <w:numPr>
          <w:ilvl w:val="12"/>
          <w:numId w:val="0"/>
        </w:numPr>
        <w:tabs>
          <w:tab w:val="left" w:pos="8505"/>
        </w:tabs>
        <w:spacing w:line="240" w:lineRule="auto"/>
        <w:ind w:right="-483"/>
        <w:jc w:val="both"/>
        <w:rPr>
          <w:szCs w:val="22"/>
          <w:lang w:val="sr-Latn-RS"/>
        </w:rPr>
      </w:pPr>
      <w:r w:rsidRPr="00E43CDC">
        <w:rPr>
          <w:szCs w:val="22"/>
          <w:lang w:val="sr-Latn-RS"/>
        </w:rPr>
        <w:t>Nije primjenjivo.</w:t>
      </w:r>
    </w:p>
    <w:p w14:paraId="45D7DAB5" w14:textId="77777777" w:rsidR="007006F4" w:rsidRPr="00E43CDC" w:rsidRDefault="007006F4" w:rsidP="00CB0A81">
      <w:pPr>
        <w:tabs>
          <w:tab w:val="left" w:pos="540"/>
        </w:tabs>
        <w:spacing w:line="240" w:lineRule="auto"/>
        <w:jc w:val="both"/>
        <w:rPr>
          <w:bCs/>
          <w:szCs w:val="22"/>
          <w:lang w:val="sr-Latn-RS"/>
        </w:rPr>
      </w:pPr>
    </w:p>
    <w:p w14:paraId="04EE2920" w14:textId="77777777" w:rsidR="007006F4" w:rsidRPr="00E43CDC" w:rsidRDefault="00F15505" w:rsidP="00CB0A81">
      <w:pPr>
        <w:tabs>
          <w:tab w:val="left" w:pos="540"/>
        </w:tabs>
        <w:spacing w:line="240" w:lineRule="auto"/>
        <w:jc w:val="both"/>
        <w:rPr>
          <w:b/>
          <w:bCs/>
          <w:szCs w:val="22"/>
          <w:lang w:val="sr-Latn-RS"/>
        </w:rPr>
      </w:pPr>
      <w:r w:rsidRPr="00E43CDC">
        <w:rPr>
          <w:b/>
          <w:bCs/>
          <w:szCs w:val="22"/>
          <w:lang w:val="sr-Latn-RS"/>
        </w:rPr>
        <w:t xml:space="preserve">6.3. </w:t>
      </w:r>
      <w:r w:rsidRPr="00E43CDC">
        <w:rPr>
          <w:b/>
          <w:bCs/>
          <w:szCs w:val="22"/>
          <w:lang w:val="sr-Latn-RS"/>
        </w:rPr>
        <w:tab/>
        <w:t>Rok upotrebe</w:t>
      </w:r>
    </w:p>
    <w:p w14:paraId="3FAC5C29" w14:textId="77777777" w:rsidR="007006F4" w:rsidRPr="00E43CDC" w:rsidRDefault="007006F4" w:rsidP="00CB0A81">
      <w:pPr>
        <w:tabs>
          <w:tab w:val="left" w:pos="540"/>
        </w:tabs>
        <w:spacing w:line="240" w:lineRule="auto"/>
        <w:jc w:val="both"/>
        <w:rPr>
          <w:b/>
          <w:bCs/>
          <w:szCs w:val="22"/>
          <w:lang w:val="sr-Latn-RS"/>
        </w:rPr>
      </w:pPr>
    </w:p>
    <w:p w14:paraId="525858D3" w14:textId="77777777" w:rsidR="007006F4" w:rsidRPr="00E43CDC" w:rsidRDefault="00F15505" w:rsidP="00CB0A81">
      <w:pPr>
        <w:tabs>
          <w:tab w:val="clear" w:pos="567"/>
        </w:tabs>
        <w:spacing w:line="240" w:lineRule="auto"/>
        <w:ind w:right="-483"/>
        <w:jc w:val="both"/>
        <w:rPr>
          <w:szCs w:val="22"/>
          <w:lang w:val="sr-Latn-RS" w:eastAsia="hr-HR"/>
        </w:rPr>
      </w:pPr>
      <w:r w:rsidRPr="00E43CDC">
        <w:rPr>
          <w:szCs w:val="22"/>
          <w:lang w:val="sr-Latn-RS" w:eastAsia="hr-HR"/>
        </w:rPr>
        <w:t>4 godine</w:t>
      </w:r>
    </w:p>
    <w:p w14:paraId="22547EE1" w14:textId="77777777" w:rsidR="007006F4" w:rsidRPr="00E43CDC" w:rsidRDefault="007006F4" w:rsidP="00CB0A81">
      <w:pPr>
        <w:tabs>
          <w:tab w:val="left" w:pos="540"/>
        </w:tabs>
        <w:spacing w:line="240" w:lineRule="auto"/>
        <w:jc w:val="both"/>
        <w:rPr>
          <w:bCs/>
          <w:szCs w:val="22"/>
          <w:lang w:val="sr-Latn-RS"/>
        </w:rPr>
      </w:pPr>
    </w:p>
    <w:p w14:paraId="1E944A9E" w14:textId="77777777" w:rsidR="007006F4" w:rsidRPr="00E43CDC" w:rsidRDefault="00F15505" w:rsidP="00CB0A81">
      <w:pPr>
        <w:tabs>
          <w:tab w:val="left" w:pos="540"/>
        </w:tabs>
        <w:spacing w:line="240" w:lineRule="auto"/>
        <w:jc w:val="both"/>
        <w:rPr>
          <w:b/>
          <w:bCs/>
          <w:szCs w:val="22"/>
          <w:lang w:val="sr-Latn-RS"/>
        </w:rPr>
      </w:pPr>
      <w:r w:rsidRPr="00E43CDC">
        <w:rPr>
          <w:b/>
          <w:bCs/>
          <w:szCs w:val="22"/>
          <w:lang w:val="sr-Latn-RS"/>
        </w:rPr>
        <w:t xml:space="preserve">6.4. </w:t>
      </w:r>
      <w:r w:rsidRPr="00E43CDC">
        <w:rPr>
          <w:b/>
          <w:bCs/>
          <w:szCs w:val="22"/>
          <w:lang w:val="sr-Latn-RS"/>
        </w:rPr>
        <w:tab/>
        <w:t>Posebne mjere upozorenja pri čuvanju lijeka</w:t>
      </w:r>
    </w:p>
    <w:p w14:paraId="39FF50D0" w14:textId="77777777" w:rsidR="007006F4" w:rsidRPr="00E43CDC" w:rsidRDefault="007006F4" w:rsidP="00CB0A81">
      <w:pPr>
        <w:tabs>
          <w:tab w:val="left" w:pos="540"/>
        </w:tabs>
        <w:spacing w:line="240" w:lineRule="auto"/>
        <w:jc w:val="both"/>
        <w:rPr>
          <w:bCs/>
          <w:szCs w:val="22"/>
          <w:lang w:val="sr-Latn-RS"/>
        </w:rPr>
      </w:pPr>
    </w:p>
    <w:p w14:paraId="12CC04FF" w14:textId="18B29C09" w:rsidR="007006F4" w:rsidRPr="00E43CDC" w:rsidRDefault="004C00CD" w:rsidP="00CB0A81">
      <w:pPr>
        <w:spacing w:line="240" w:lineRule="auto"/>
        <w:ind w:right="-483"/>
        <w:jc w:val="both"/>
        <w:rPr>
          <w:szCs w:val="22"/>
          <w:lang w:val="sr-Latn-RS" w:eastAsia="hr-HR"/>
        </w:rPr>
      </w:pPr>
      <w:r w:rsidRPr="00E43CDC">
        <w:rPr>
          <w:szCs w:val="22"/>
          <w:lang w:val="sr-Latn-RS" w:eastAsia="hr-HR"/>
        </w:rPr>
        <w:t>Čuvati</w:t>
      </w:r>
      <w:r w:rsidR="00F15505" w:rsidRPr="00E43CDC">
        <w:rPr>
          <w:szCs w:val="22"/>
          <w:lang w:val="sr-Latn-RS" w:eastAsia="hr-HR"/>
        </w:rPr>
        <w:t xml:space="preserve"> </w:t>
      </w:r>
      <w:r w:rsidR="00F15505" w:rsidRPr="00E43CDC">
        <w:rPr>
          <w:iCs/>
          <w:szCs w:val="22"/>
          <w:lang w:val="sr-Latn-RS"/>
        </w:rPr>
        <w:t>na temperaturi do 30</w:t>
      </w:r>
      <w:r w:rsidR="00F15505" w:rsidRPr="00E43CDC">
        <w:rPr>
          <w:iCs/>
          <w:szCs w:val="22"/>
          <w:lang w:val="sr-Latn-RS"/>
        </w:rPr>
        <w:sym w:font="Symbol" w:char="F0B0"/>
      </w:r>
      <w:r w:rsidR="00F15505" w:rsidRPr="00E43CDC">
        <w:rPr>
          <w:iCs/>
          <w:szCs w:val="22"/>
          <w:lang w:val="sr-Latn-RS"/>
        </w:rPr>
        <w:t>C</w:t>
      </w:r>
      <w:r w:rsidR="00F15505" w:rsidRPr="00E43CDC">
        <w:rPr>
          <w:szCs w:val="22"/>
          <w:lang w:val="sr-Latn-RS"/>
        </w:rPr>
        <w:t xml:space="preserve"> u originalnom pakovanju, </w:t>
      </w:r>
      <w:r w:rsidRPr="00E43CDC">
        <w:rPr>
          <w:szCs w:val="22"/>
          <w:lang w:val="sr-Latn-RS"/>
        </w:rPr>
        <w:t>radi</w:t>
      </w:r>
      <w:r w:rsidR="00F15505" w:rsidRPr="00E43CDC">
        <w:rPr>
          <w:szCs w:val="22"/>
          <w:lang w:val="sr-Latn-RS"/>
        </w:rPr>
        <w:t xml:space="preserve"> zaštite svjetlosti</w:t>
      </w:r>
      <w:r w:rsidR="00666C4A" w:rsidRPr="00E43CDC">
        <w:rPr>
          <w:szCs w:val="22"/>
          <w:lang w:val="sr-Latn-RS"/>
        </w:rPr>
        <w:t xml:space="preserve"> i vlage</w:t>
      </w:r>
      <w:r w:rsidR="00F15505" w:rsidRPr="00E43CDC">
        <w:rPr>
          <w:iCs/>
          <w:szCs w:val="22"/>
          <w:lang w:val="sr-Latn-RS"/>
        </w:rPr>
        <w:t>.</w:t>
      </w:r>
    </w:p>
    <w:p w14:paraId="37E85E6A" w14:textId="1718CCE7" w:rsidR="007006F4" w:rsidRPr="00E43CDC" w:rsidRDefault="00100D42" w:rsidP="00CB0A81">
      <w:pPr>
        <w:spacing w:line="240" w:lineRule="auto"/>
        <w:jc w:val="both"/>
        <w:rPr>
          <w:szCs w:val="22"/>
          <w:lang w:val="sr-Latn-RS"/>
        </w:rPr>
      </w:pPr>
      <w:r w:rsidRPr="00E43CDC">
        <w:rPr>
          <w:szCs w:val="22"/>
          <w:lang w:val="sr-Latn-RS"/>
        </w:rPr>
        <w:t>Čuvati</w:t>
      </w:r>
      <w:r w:rsidR="00F15505" w:rsidRPr="00E43CDC">
        <w:rPr>
          <w:szCs w:val="22"/>
          <w:lang w:val="sr-Latn-RS"/>
        </w:rPr>
        <w:t xml:space="preserve"> van pogleda i domašaja djece.</w:t>
      </w:r>
    </w:p>
    <w:p w14:paraId="687ACFB0" w14:textId="77777777" w:rsidR="007006F4" w:rsidRPr="00E43CDC" w:rsidRDefault="007006F4" w:rsidP="00CB0A81">
      <w:pPr>
        <w:tabs>
          <w:tab w:val="left" w:pos="540"/>
        </w:tabs>
        <w:spacing w:line="240" w:lineRule="auto"/>
        <w:jc w:val="both"/>
        <w:rPr>
          <w:bCs/>
          <w:szCs w:val="22"/>
          <w:lang w:val="sr-Latn-RS"/>
        </w:rPr>
      </w:pPr>
    </w:p>
    <w:p w14:paraId="4A7E8235" w14:textId="77777777" w:rsidR="007006F4" w:rsidRPr="00E43CDC" w:rsidRDefault="00F15505" w:rsidP="00CB0A81">
      <w:pPr>
        <w:tabs>
          <w:tab w:val="left" w:pos="540"/>
        </w:tabs>
        <w:spacing w:line="240" w:lineRule="auto"/>
        <w:jc w:val="both"/>
        <w:rPr>
          <w:b/>
          <w:bCs/>
          <w:szCs w:val="22"/>
          <w:lang w:val="sr-Latn-RS"/>
        </w:rPr>
      </w:pPr>
      <w:r w:rsidRPr="00E43CDC">
        <w:rPr>
          <w:b/>
          <w:bCs/>
          <w:szCs w:val="22"/>
          <w:lang w:val="sr-Latn-RS"/>
        </w:rPr>
        <w:t xml:space="preserve">6.5. </w:t>
      </w:r>
      <w:r w:rsidRPr="00E43CDC">
        <w:rPr>
          <w:b/>
          <w:bCs/>
          <w:szCs w:val="22"/>
          <w:lang w:val="sr-Latn-RS"/>
        </w:rPr>
        <w:tab/>
        <w:t xml:space="preserve">Vrsta i sadržaj pakovanja </w:t>
      </w:r>
    </w:p>
    <w:p w14:paraId="7255FAFA" w14:textId="77777777" w:rsidR="007006F4" w:rsidRPr="00E43CDC" w:rsidRDefault="007006F4" w:rsidP="00CB0A81">
      <w:pPr>
        <w:tabs>
          <w:tab w:val="left" w:pos="540"/>
        </w:tabs>
        <w:spacing w:line="240" w:lineRule="auto"/>
        <w:jc w:val="both"/>
        <w:rPr>
          <w:b/>
          <w:bCs/>
          <w:szCs w:val="22"/>
          <w:lang w:val="sr-Latn-RS"/>
        </w:rPr>
      </w:pPr>
    </w:p>
    <w:p w14:paraId="5BE0A437" w14:textId="2D798645" w:rsidR="004C00CD" w:rsidRPr="00E43CDC" w:rsidRDefault="004C00CD" w:rsidP="00CB0A81">
      <w:pPr>
        <w:numPr>
          <w:ilvl w:val="12"/>
          <w:numId w:val="0"/>
        </w:numPr>
        <w:tabs>
          <w:tab w:val="left" w:pos="8505"/>
        </w:tabs>
        <w:spacing w:line="240" w:lineRule="auto"/>
        <w:ind w:right="-2"/>
        <w:jc w:val="both"/>
        <w:rPr>
          <w:szCs w:val="22"/>
          <w:lang w:val="sr-Latn-RS"/>
        </w:rPr>
      </w:pPr>
      <w:r w:rsidRPr="00E43CDC">
        <w:rPr>
          <w:szCs w:val="22"/>
          <w:lang w:val="sr-Latn-RS"/>
        </w:rPr>
        <w:t>Unutrašnje pakovanje lijeka je b</w:t>
      </w:r>
      <w:r w:rsidR="00F15505" w:rsidRPr="00E43CDC">
        <w:rPr>
          <w:szCs w:val="22"/>
          <w:lang w:val="sr-Latn-RS"/>
        </w:rPr>
        <w:t>lister (OPA/Al/PVC//Al)</w:t>
      </w:r>
      <w:r w:rsidRPr="00E43CDC">
        <w:rPr>
          <w:szCs w:val="22"/>
          <w:lang w:val="sr-Latn-RS"/>
        </w:rPr>
        <w:t xml:space="preserve"> koji sadrži 10 tableta.</w:t>
      </w:r>
    </w:p>
    <w:p w14:paraId="678A2CD9" w14:textId="4A9B55E0" w:rsidR="007006F4" w:rsidRPr="00E43CDC" w:rsidRDefault="004C00CD" w:rsidP="00CB0A81">
      <w:pPr>
        <w:numPr>
          <w:ilvl w:val="12"/>
          <w:numId w:val="0"/>
        </w:numPr>
        <w:tabs>
          <w:tab w:val="left" w:pos="8505"/>
        </w:tabs>
        <w:spacing w:line="240" w:lineRule="auto"/>
        <w:ind w:right="-2"/>
        <w:jc w:val="both"/>
        <w:rPr>
          <w:szCs w:val="22"/>
          <w:lang w:val="sr-Latn-RS"/>
        </w:rPr>
      </w:pPr>
      <w:r w:rsidRPr="00E43CDC">
        <w:rPr>
          <w:szCs w:val="22"/>
          <w:lang w:val="sr-Latn-RS"/>
        </w:rPr>
        <w:t xml:space="preserve">Spoljašnje pakovanje lijeka je složiva kartonska kutija u kojoj se nalaze 3 blistera </w:t>
      </w:r>
      <w:r w:rsidR="00100D42" w:rsidRPr="00E43CDC">
        <w:rPr>
          <w:szCs w:val="22"/>
          <w:lang w:val="sr-Latn-RS"/>
        </w:rPr>
        <w:t xml:space="preserve">sa </w:t>
      </w:r>
      <w:r w:rsidRPr="00E43CDC">
        <w:rPr>
          <w:szCs w:val="22"/>
          <w:lang w:val="sr-Latn-RS"/>
        </w:rPr>
        <w:t>po 10 tableta (ukupno</w:t>
      </w:r>
      <w:r w:rsidR="00F15505" w:rsidRPr="00E43CDC">
        <w:rPr>
          <w:szCs w:val="22"/>
          <w:lang w:val="sr-Latn-RS"/>
        </w:rPr>
        <w:t xml:space="preserve"> 30 tableta</w:t>
      </w:r>
      <w:r w:rsidRPr="00E43CDC">
        <w:rPr>
          <w:szCs w:val="22"/>
          <w:lang w:val="sr-Latn-RS"/>
        </w:rPr>
        <w:t>)</w:t>
      </w:r>
      <w:r w:rsidR="00F15505" w:rsidRPr="00E43CDC">
        <w:rPr>
          <w:szCs w:val="22"/>
          <w:lang w:val="sr-Latn-RS"/>
        </w:rPr>
        <w:t xml:space="preserve"> </w:t>
      </w:r>
      <w:r w:rsidRPr="00E43CDC">
        <w:rPr>
          <w:szCs w:val="22"/>
          <w:lang w:val="sr-Latn-RS"/>
        </w:rPr>
        <w:t>i Uputstvo za lijek.</w:t>
      </w:r>
    </w:p>
    <w:p w14:paraId="3AE76D8E" w14:textId="77777777" w:rsidR="007006F4" w:rsidRPr="00E43CDC" w:rsidRDefault="007006F4" w:rsidP="00CB0A81">
      <w:pPr>
        <w:tabs>
          <w:tab w:val="left" w:pos="540"/>
        </w:tabs>
        <w:spacing w:line="240" w:lineRule="auto"/>
        <w:jc w:val="both"/>
        <w:rPr>
          <w:bCs/>
          <w:szCs w:val="22"/>
          <w:lang w:val="sr-Latn-RS"/>
        </w:rPr>
      </w:pPr>
    </w:p>
    <w:p w14:paraId="5B62A991" w14:textId="77777777" w:rsidR="007006F4" w:rsidRPr="00E43CDC" w:rsidRDefault="00F15505" w:rsidP="00CB0A81">
      <w:pPr>
        <w:tabs>
          <w:tab w:val="left" w:pos="540"/>
        </w:tabs>
        <w:spacing w:line="240" w:lineRule="auto"/>
        <w:jc w:val="both"/>
        <w:rPr>
          <w:b/>
          <w:bCs/>
          <w:szCs w:val="22"/>
          <w:lang w:val="sr-Latn-RS"/>
        </w:rPr>
      </w:pPr>
      <w:r w:rsidRPr="00E43CDC">
        <w:rPr>
          <w:b/>
          <w:bCs/>
          <w:szCs w:val="22"/>
          <w:lang w:val="sr-Latn-RS"/>
        </w:rPr>
        <w:t xml:space="preserve">6.6. </w:t>
      </w:r>
      <w:r w:rsidRPr="00E43CDC">
        <w:rPr>
          <w:b/>
          <w:bCs/>
          <w:szCs w:val="22"/>
          <w:lang w:val="sr-Latn-RS"/>
        </w:rPr>
        <w:tab/>
      </w:r>
      <w:r w:rsidRPr="00E43CDC">
        <w:rPr>
          <w:b/>
          <w:bCs/>
          <w:color w:val="000000"/>
          <w:szCs w:val="22"/>
          <w:lang w:val="sr-Latn-RS"/>
        </w:rPr>
        <w:t>Posebne mjere opreza pri odlaganju materijala koji treba odbaciti nakon primjene lijeka</w:t>
      </w:r>
      <w:r w:rsidRPr="00E43CDC">
        <w:rPr>
          <w:b/>
          <w:bCs/>
          <w:szCs w:val="22"/>
          <w:lang w:val="sr-Latn-RS"/>
        </w:rPr>
        <w:t xml:space="preserve"> (i druga uputstva za rukovanje lijekom) </w:t>
      </w:r>
    </w:p>
    <w:p w14:paraId="730FF65D" w14:textId="77777777" w:rsidR="007006F4" w:rsidRPr="00E43CDC" w:rsidRDefault="007006F4" w:rsidP="00CB0A81">
      <w:pPr>
        <w:tabs>
          <w:tab w:val="left" w:pos="540"/>
        </w:tabs>
        <w:spacing w:line="240" w:lineRule="auto"/>
        <w:jc w:val="both"/>
        <w:rPr>
          <w:b/>
          <w:bCs/>
          <w:szCs w:val="22"/>
          <w:lang w:val="sr-Latn-RS"/>
        </w:rPr>
      </w:pPr>
    </w:p>
    <w:p w14:paraId="44B74C74" w14:textId="6E74D012" w:rsidR="004C00CD" w:rsidRPr="00E43CDC" w:rsidRDefault="00F15505" w:rsidP="00CB0A81">
      <w:pPr>
        <w:tabs>
          <w:tab w:val="left" w:pos="540"/>
        </w:tabs>
        <w:spacing w:line="240" w:lineRule="auto"/>
        <w:jc w:val="both"/>
        <w:rPr>
          <w:szCs w:val="22"/>
          <w:lang w:val="sr-Latn-RS"/>
        </w:rPr>
      </w:pPr>
      <w:r w:rsidRPr="00E43CDC">
        <w:rPr>
          <w:szCs w:val="22"/>
          <w:lang w:val="sr-Latn-RS"/>
        </w:rPr>
        <w:t>Nema posebnih zahtjeva.</w:t>
      </w:r>
    </w:p>
    <w:p w14:paraId="1E848A1C" w14:textId="3CAC3695" w:rsidR="007006F4" w:rsidRPr="00E43CDC" w:rsidRDefault="00F15505" w:rsidP="00CB0A81">
      <w:pPr>
        <w:tabs>
          <w:tab w:val="left" w:pos="540"/>
        </w:tabs>
        <w:spacing w:line="240" w:lineRule="auto"/>
        <w:jc w:val="both"/>
        <w:rPr>
          <w:szCs w:val="22"/>
          <w:lang w:val="sr-Latn-RS"/>
        </w:rPr>
      </w:pPr>
      <w:r w:rsidRPr="00E43CDC">
        <w:rPr>
          <w:szCs w:val="22"/>
          <w:lang w:val="sr-Latn-RS"/>
        </w:rPr>
        <w:t>Ne</w:t>
      </w:r>
      <w:r w:rsidR="00B16597" w:rsidRPr="00E43CDC">
        <w:rPr>
          <w:szCs w:val="22"/>
          <w:lang w:val="sr-Latn-RS"/>
        </w:rPr>
        <w:t>upotrijebljeni</w:t>
      </w:r>
      <w:r w:rsidRPr="00E43CDC">
        <w:rPr>
          <w:szCs w:val="22"/>
          <w:lang w:val="sr-Latn-RS"/>
        </w:rPr>
        <w:t xml:space="preserve"> lijek ili otpadni materijal koji potiče od lijeka mora se zbrinuti u skladu s propisima koji važe za postupanje sa opasnim otpadom.</w:t>
      </w:r>
    </w:p>
    <w:p w14:paraId="5DB312A9" w14:textId="77777777" w:rsidR="007006F4" w:rsidRPr="00E43CDC" w:rsidRDefault="007006F4" w:rsidP="00CB0A81">
      <w:pPr>
        <w:tabs>
          <w:tab w:val="left" w:pos="540"/>
        </w:tabs>
        <w:spacing w:line="240" w:lineRule="auto"/>
        <w:jc w:val="both"/>
        <w:rPr>
          <w:szCs w:val="22"/>
          <w:lang w:val="sr-Latn-RS"/>
        </w:rPr>
      </w:pPr>
    </w:p>
    <w:p w14:paraId="39DFC9F7" w14:textId="77777777" w:rsidR="007006F4" w:rsidRPr="00E43CDC" w:rsidRDefault="007006F4" w:rsidP="00CB0A81">
      <w:pPr>
        <w:tabs>
          <w:tab w:val="left" w:pos="540"/>
        </w:tabs>
        <w:spacing w:line="240" w:lineRule="auto"/>
        <w:jc w:val="both"/>
        <w:rPr>
          <w:bCs/>
          <w:szCs w:val="22"/>
          <w:lang w:val="sr-Latn-RS"/>
        </w:rPr>
      </w:pPr>
    </w:p>
    <w:p w14:paraId="5953EA23" w14:textId="77777777" w:rsidR="007006F4" w:rsidRPr="00E43CDC" w:rsidRDefault="00F15505" w:rsidP="00CB0A81">
      <w:pPr>
        <w:tabs>
          <w:tab w:val="left" w:pos="540"/>
        </w:tabs>
        <w:spacing w:line="240" w:lineRule="auto"/>
        <w:jc w:val="both"/>
        <w:rPr>
          <w:b/>
          <w:bCs/>
          <w:szCs w:val="22"/>
          <w:lang w:val="sr-Latn-RS"/>
        </w:rPr>
      </w:pPr>
      <w:r w:rsidRPr="00E43CDC">
        <w:rPr>
          <w:b/>
          <w:bCs/>
          <w:szCs w:val="22"/>
          <w:lang w:val="sr-Latn-RS"/>
        </w:rPr>
        <w:t xml:space="preserve">7. </w:t>
      </w:r>
      <w:r w:rsidRPr="00E43CDC">
        <w:rPr>
          <w:b/>
          <w:bCs/>
          <w:szCs w:val="22"/>
          <w:lang w:val="sr-Latn-RS"/>
        </w:rPr>
        <w:tab/>
        <w:t xml:space="preserve">NOSILAC DOZVOLE </w:t>
      </w:r>
    </w:p>
    <w:p w14:paraId="034A1FA7" w14:textId="77777777" w:rsidR="007006F4" w:rsidRPr="00E43CDC" w:rsidRDefault="007006F4" w:rsidP="00CB0A81">
      <w:pPr>
        <w:tabs>
          <w:tab w:val="left" w:pos="540"/>
        </w:tabs>
        <w:spacing w:line="240" w:lineRule="auto"/>
        <w:jc w:val="both"/>
        <w:rPr>
          <w:b/>
          <w:bCs/>
          <w:szCs w:val="22"/>
          <w:lang w:val="sr-Latn-RS"/>
        </w:rPr>
      </w:pPr>
    </w:p>
    <w:p w14:paraId="4DAD0277" w14:textId="443A49E4" w:rsidR="007006F4" w:rsidRPr="00E43CDC" w:rsidRDefault="00F15505" w:rsidP="00CB0A81">
      <w:pPr>
        <w:tabs>
          <w:tab w:val="left" w:pos="851"/>
        </w:tabs>
        <w:spacing w:line="240" w:lineRule="auto"/>
        <w:ind w:left="1985" w:hanging="1985"/>
        <w:jc w:val="both"/>
        <w:rPr>
          <w:szCs w:val="22"/>
          <w:lang w:val="sr-Latn-RS" w:eastAsia="hr-HR"/>
        </w:rPr>
      </w:pPr>
      <w:r w:rsidRPr="00E43CDC">
        <w:rPr>
          <w:szCs w:val="22"/>
          <w:lang w:val="sr-Latn-RS" w:eastAsia="hr-HR"/>
        </w:rPr>
        <w:t xml:space="preserve">D.S.D „KRKA, d.d. Novo mesto“ </w:t>
      </w:r>
      <w:r w:rsidR="002E647F" w:rsidRPr="00E43CDC">
        <w:rPr>
          <w:szCs w:val="22"/>
          <w:lang w:val="sr-Latn-RS" w:eastAsia="hr-HR"/>
        </w:rPr>
        <w:t xml:space="preserve">Slovenija </w:t>
      </w:r>
      <w:r w:rsidRPr="00E43CDC">
        <w:rPr>
          <w:szCs w:val="22"/>
          <w:lang w:val="sr-Latn-RS" w:eastAsia="hr-HR"/>
        </w:rPr>
        <w:t>- predstavništvo Podgorica</w:t>
      </w:r>
      <w:r w:rsidR="002E647F" w:rsidRPr="00E43CDC">
        <w:rPr>
          <w:szCs w:val="22"/>
          <w:lang w:val="sr-Latn-RS" w:eastAsia="hr-HR"/>
        </w:rPr>
        <w:t>,</w:t>
      </w:r>
    </w:p>
    <w:p w14:paraId="36AE152A" w14:textId="190E3019" w:rsidR="007006F4" w:rsidRPr="00E43CDC" w:rsidRDefault="00F15505" w:rsidP="00A933A2">
      <w:pPr>
        <w:tabs>
          <w:tab w:val="center" w:pos="284"/>
          <w:tab w:val="right" w:pos="8640"/>
        </w:tabs>
        <w:spacing w:line="240" w:lineRule="auto"/>
        <w:ind w:right="71"/>
        <w:jc w:val="both"/>
        <w:rPr>
          <w:szCs w:val="22"/>
          <w:lang w:val="sr-Latn-RS"/>
        </w:rPr>
      </w:pPr>
      <w:r w:rsidRPr="00E43CDC">
        <w:rPr>
          <w:szCs w:val="22"/>
          <w:lang w:val="sr-Latn-RS"/>
        </w:rPr>
        <w:t>Svetlane Kane Radević br. 3, 81000 Podgorica, Crna Gora</w:t>
      </w:r>
    </w:p>
    <w:p w14:paraId="0443AE40" w14:textId="2E33AF6E" w:rsidR="00A933A2" w:rsidRPr="00E43CDC" w:rsidRDefault="00A933A2" w:rsidP="00CB0A81">
      <w:pPr>
        <w:tabs>
          <w:tab w:val="left" w:pos="540"/>
        </w:tabs>
        <w:spacing w:line="240" w:lineRule="auto"/>
        <w:jc w:val="both"/>
        <w:rPr>
          <w:bCs/>
          <w:szCs w:val="22"/>
          <w:lang w:val="sr-Latn-RS"/>
        </w:rPr>
      </w:pPr>
    </w:p>
    <w:p w14:paraId="6895A000" w14:textId="77777777" w:rsidR="007006F4" w:rsidRPr="00E43CDC" w:rsidRDefault="00F15505" w:rsidP="00CB0A81">
      <w:pPr>
        <w:tabs>
          <w:tab w:val="left" w:pos="540"/>
        </w:tabs>
        <w:spacing w:line="240" w:lineRule="auto"/>
        <w:jc w:val="both"/>
        <w:rPr>
          <w:b/>
          <w:bCs/>
          <w:szCs w:val="22"/>
          <w:lang w:val="sr-Latn-RS"/>
        </w:rPr>
      </w:pPr>
      <w:r w:rsidRPr="00E43CDC">
        <w:rPr>
          <w:b/>
          <w:bCs/>
          <w:szCs w:val="22"/>
          <w:lang w:val="sr-Latn-RS"/>
        </w:rPr>
        <w:t xml:space="preserve">8. </w:t>
      </w:r>
      <w:r w:rsidRPr="00E43CDC">
        <w:rPr>
          <w:b/>
          <w:bCs/>
          <w:szCs w:val="22"/>
          <w:lang w:val="sr-Latn-RS"/>
        </w:rPr>
        <w:tab/>
        <w:t>BROJ DOZVOLE ZA STAVLJANJE LIJEKA U PROMET</w:t>
      </w:r>
    </w:p>
    <w:p w14:paraId="4F280514" w14:textId="77777777" w:rsidR="007006F4" w:rsidRPr="00E43CDC" w:rsidRDefault="007006F4" w:rsidP="00CB0A81">
      <w:pPr>
        <w:tabs>
          <w:tab w:val="left" w:pos="540"/>
        </w:tabs>
        <w:spacing w:line="240" w:lineRule="auto"/>
        <w:jc w:val="both"/>
        <w:rPr>
          <w:bCs/>
          <w:szCs w:val="22"/>
          <w:lang w:val="sr-Latn-RS"/>
        </w:rPr>
      </w:pPr>
    </w:p>
    <w:p w14:paraId="4D57AB61" w14:textId="0D8A414A" w:rsidR="007006F4" w:rsidRPr="00E43CDC" w:rsidRDefault="00F15505" w:rsidP="00CB0A81">
      <w:pPr>
        <w:tabs>
          <w:tab w:val="left" w:pos="540"/>
        </w:tabs>
        <w:spacing w:line="240" w:lineRule="auto"/>
        <w:jc w:val="both"/>
        <w:rPr>
          <w:szCs w:val="22"/>
          <w:lang w:val="sr-Latn-RS"/>
        </w:rPr>
      </w:pPr>
      <w:r w:rsidRPr="00E43CDC">
        <w:rPr>
          <w:szCs w:val="22"/>
          <w:lang w:val="sr-Latn-RS"/>
        </w:rPr>
        <w:t xml:space="preserve">Tenox, tableta, 5 mg, blister, 30 (3x10) tableta: </w:t>
      </w:r>
      <w:r w:rsidR="00E43CDC" w:rsidRPr="00E43CDC">
        <w:rPr>
          <w:rFonts w:eastAsia="SimSun"/>
          <w:szCs w:val="22"/>
          <w:lang w:val="sr-Latn-RS"/>
        </w:rPr>
        <w:t>2030/25/2257 - 1589</w:t>
      </w:r>
    </w:p>
    <w:p w14:paraId="37567D48" w14:textId="387232CA" w:rsidR="007006F4" w:rsidRPr="00E43CDC" w:rsidRDefault="00F15505" w:rsidP="00CB0A81">
      <w:pPr>
        <w:tabs>
          <w:tab w:val="left" w:pos="540"/>
        </w:tabs>
        <w:spacing w:line="240" w:lineRule="auto"/>
        <w:jc w:val="both"/>
        <w:rPr>
          <w:szCs w:val="22"/>
          <w:lang w:val="sr-Latn-RS"/>
        </w:rPr>
      </w:pPr>
      <w:r w:rsidRPr="00E43CDC">
        <w:rPr>
          <w:szCs w:val="22"/>
          <w:lang w:val="sr-Latn-RS"/>
        </w:rPr>
        <w:t xml:space="preserve">Tenox, tableta, 10 mg, blister, 30 (3x10) tableta: </w:t>
      </w:r>
      <w:bookmarkStart w:id="0" w:name="_GoBack"/>
      <w:r w:rsidR="00E43CDC" w:rsidRPr="00E43CDC">
        <w:rPr>
          <w:rFonts w:eastAsia="SimSun"/>
          <w:szCs w:val="22"/>
          <w:lang w:val="sr-Latn-RS"/>
        </w:rPr>
        <w:t>2030/25/2258 - 1590</w:t>
      </w:r>
    </w:p>
    <w:bookmarkEnd w:id="0"/>
    <w:p w14:paraId="061AF994" w14:textId="40D43E9E" w:rsidR="007006F4" w:rsidRPr="00E43CDC" w:rsidRDefault="007006F4" w:rsidP="00CB0A81">
      <w:pPr>
        <w:tabs>
          <w:tab w:val="left" w:pos="540"/>
        </w:tabs>
        <w:spacing w:line="240" w:lineRule="auto"/>
        <w:jc w:val="both"/>
        <w:rPr>
          <w:bCs/>
          <w:szCs w:val="22"/>
          <w:lang w:val="sr-Latn-RS"/>
        </w:rPr>
      </w:pPr>
    </w:p>
    <w:p w14:paraId="53E55903" w14:textId="77777777" w:rsidR="007006F4" w:rsidRPr="00E43CDC" w:rsidRDefault="00F15505" w:rsidP="00CB0A81">
      <w:pPr>
        <w:tabs>
          <w:tab w:val="left" w:pos="540"/>
        </w:tabs>
        <w:spacing w:line="240" w:lineRule="auto"/>
        <w:jc w:val="both"/>
        <w:rPr>
          <w:b/>
          <w:bCs/>
          <w:szCs w:val="22"/>
          <w:lang w:val="sr-Latn-RS"/>
        </w:rPr>
      </w:pPr>
      <w:r w:rsidRPr="00E43CDC">
        <w:rPr>
          <w:b/>
          <w:bCs/>
          <w:szCs w:val="22"/>
          <w:lang w:val="sr-Latn-RS"/>
        </w:rPr>
        <w:t xml:space="preserve">9. </w:t>
      </w:r>
      <w:r w:rsidRPr="00E43CDC">
        <w:rPr>
          <w:b/>
          <w:bCs/>
          <w:szCs w:val="22"/>
          <w:lang w:val="sr-Latn-RS"/>
        </w:rPr>
        <w:tab/>
        <w:t>DATUM PRVE DOZVOLE/OBNOVE DOZVOLE ZA STAVLJANJE LIJEKA U PROMET</w:t>
      </w:r>
    </w:p>
    <w:p w14:paraId="2094B56A" w14:textId="77777777" w:rsidR="007006F4" w:rsidRPr="00E43CDC" w:rsidRDefault="007006F4" w:rsidP="00CB0A81">
      <w:pPr>
        <w:tabs>
          <w:tab w:val="left" w:pos="540"/>
        </w:tabs>
        <w:spacing w:line="240" w:lineRule="auto"/>
        <w:jc w:val="both"/>
        <w:rPr>
          <w:b/>
          <w:bCs/>
          <w:szCs w:val="22"/>
          <w:lang w:val="sr-Latn-RS"/>
        </w:rPr>
      </w:pPr>
    </w:p>
    <w:p w14:paraId="04D39B11" w14:textId="227C985B" w:rsidR="002E647F" w:rsidRPr="00E43CDC" w:rsidRDefault="002E647F" w:rsidP="00CB0A81">
      <w:pPr>
        <w:tabs>
          <w:tab w:val="left" w:pos="540"/>
        </w:tabs>
        <w:spacing w:line="240" w:lineRule="auto"/>
        <w:jc w:val="both"/>
        <w:rPr>
          <w:szCs w:val="22"/>
          <w:lang w:val="sr-Latn-RS"/>
        </w:rPr>
      </w:pPr>
      <w:r w:rsidRPr="00E43CDC">
        <w:rPr>
          <w:szCs w:val="22"/>
          <w:lang w:val="sr-Latn-RS"/>
        </w:rPr>
        <w:t>Datum prve dozvole: 03.12.2018. godine</w:t>
      </w:r>
    </w:p>
    <w:p w14:paraId="1041C9F9" w14:textId="0B902EA9" w:rsidR="007006F4" w:rsidRPr="00E43CDC" w:rsidRDefault="002E647F" w:rsidP="00CB0A81">
      <w:pPr>
        <w:tabs>
          <w:tab w:val="left" w:pos="540"/>
        </w:tabs>
        <w:spacing w:line="240" w:lineRule="auto"/>
        <w:jc w:val="both"/>
        <w:rPr>
          <w:b/>
          <w:bCs/>
          <w:szCs w:val="22"/>
          <w:lang w:val="sr-Latn-RS"/>
        </w:rPr>
      </w:pPr>
      <w:r w:rsidRPr="00E43CDC">
        <w:rPr>
          <w:szCs w:val="22"/>
          <w:lang w:val="sr-Latn-RS"/>
        </w:rPr>
        <w:t>Datum posljednje obnove dozvole:</w:t>
      </w:r>
      <w:r w:rsidR="00E43CDC" w:rsidRPr="00E43CDC">
        <w:rPr>
          <w:szCs w:val="22"/>
          <w:lang w:val="sr-Latn-RS"/>
        </w:rPr>
        <w:t xml:space="preserve"> </w:t>
      </w:r>
      <w:r w:rsidR="00E43CDC" w:rsidRPr="00E43CDC">
        <w:rPr>
          <w:rFonts w:eastAsia="SimSun"/>
          <w:szCs w:val="22"/>
          <w:lang w:val="sr-Latn-RS"/>
        </w:rPr>
        <w:t>05.06.2025. godine</w:t>
      </w:r>
    </w:p>
    <w:p w14:paraId="3F92A710" w14:textId="77777777" w:rsidR="00E43CDC" w:rsidRDefault="00E43CDC" w:rsidP="00CB0A81">
      <w:pPr>
        <w:tabs>
          <w:tab w:val="left" w:pos="540"/>
        </w:tabs>
        <w:spacing w:line="240" w:lineRule="auto"/>
        <w:ind w:left="540" w:hanging="540"/>
        <w:jc w:val="both"/>
        <w:rPr>
          <w:bCs/>
          <w:szCs w:val="22"/>
          <w:lang w:val="sr-Latn-RS"/>
        </w:rPr>
      </w:pPr>
    </w:p>
    <w:p w14:paraId="33809A04" w14:textId="1EDDD720" w:rsidR="007006F4" w:rsidRPr="00E43CDC" w:rsidRDefault="00F15505" w:rsidP="00CB0A81">
      <w:pPr>
        <w:tabs>
          <w:tab w:val="left" w:pos="540"/>
        </w:tabs>
        <w:spacing w:line="240" w:lineRule="auto"/>
        <w:ind w:left="540" w:hanging="540"/>
        <w:jc w:val="both"/>
        <w:rPr>
          <w:bCs/>
          <w:szCs w:val="22"/>
          <w:lang w:val="sr-Latn-RS"/>
        </w:rPr>
      </w:pPr>
      <w:r w:rsidRPr="00E43CDC">
        <w:rPr>
          <w:b/>
          <w:bCs/>
          <w:szCs w:val="22"/>
          <w:lang w:val="sr-Latn-RS"/>
        </w:rPr>
        <w:t xml:space="preserve">10. </w:t>
      </w:r>
      <w:r w:rsidRPr="00E43CDC">
        <w:rPr>
          <w:b/>
          <w:bCs/>
          <w:szCs w:val="22"/>
          <w:lang w:val="sr-Latn-RS"/>
        </w:rPr>
        <w:tab/>
        <w:t xml:space="preserve">DATUM REVIZIJE TEKSTA </w:t>
      </w:r>
    </w:p>
    <w:p w14:paraId="67A160A5" w14:textId="77777777" w:rsidR="007006F4" w:rsidRPr="00E43CDC" w:rsidRDefault="007006F4" w:rsidP="00CB0A81">
      <w:pPr>
        <w:tabs>
          <w:tab w:val="left" w:pos="540"/>
        </w:tabs>
        <w:spacing w:line="240" w:lineRule="auto"/>
        <w:jc w:val="both"/>
        <w:rPr>
          <w:bCs/>
          <w:szCs w:val="22"/>
          <w:lang w:val="sr-Latn-RS"/>
        </w:rPr>
      </w:pPr>
    </w:p>
    <w:p w14:paraId="303CCE8A" w14:textId="7DE057F8" w:rsidR="007006F4" w:rsidRPr="00E43CDC" w:rsidRDefault="00E43CDC" w:rsidP="00CB0A81">
      <w:pPr>
        <w:tabs>
          <w:tab w:val="clear" w:pos="567"/>
        </w:tabs>
        <w:spacing w:line="240" w:lineRule="auto"/>
        <w:jc w:val="both"/>
        <w:rPr>
          <w:szCs w:val="22"/>
          <w:lang w:val="sr-Latn-RS"/>
        </w:rPr>
      </w:pPr>
      <w:r w:rsidRPr="00E43CDC">
        <w:rPr>
          <w:szCs w:val="22"/>
          <w:lang w:val="sr-Latn-RS"/>
        </w:rPr>
        <w:t>Jun, 2025. godine</w:t>
      </w:r>
    </w:p>
    <w:p w14:paraId="27CC617F" w14:textId="77777777" w:rsidR="007006F4" w:rsidRPr="00E43CDC" w:rsidRDefault="007006F4" w:rsidP="00CB0A81">
      <w:pPr>
        <w:spacing w:line="240" w:lineRule="auto"/>
        <w:rPr>
          <w:szCs w:val="22"/>
          <w:lang w:val="sr-Latn-RS"/>
        </w:rPr>
      </w:pPr>
    </w:p>
    <w:sectPr w:rsidR="007006F4" w:rsidRPr="00E43CDC" w:rsidSect="00B22B41">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416C8" w14:textId="77777777" w:rsidR="007B58B9" w:rsidRDefault="007B58B9">
      <w:pPr>
        <w:spacing w:line="240" w:lineRule="auto"/>
      </w:pPr>
      <w:r>
        <w:separator/>
      </w:r>
    </w:p>
  </w:endnote>
  <w:endnote w:type="continuationSeparator" w:id="0">
    <w:p w14:paraId="6FED4EDA" w14:textId="77777777" w:rsidR="007B58B9" w:rsidRDefault="007B5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E9DC1" w14:textId="46BAE495" w:rsidR="00E43CDC" w:rsidRDefault="00E43CDC">
    <w:pPr>
      <w:pStyle w:val="Footer"/>
      <w:tabs>
        <w:tab w:val="right" w:pos="8931"/>
      </w:tabs>
      <w:ind w:right="96"/>
      <w:jc w:val="center"/>
    </w:pPr>
    <w:r>
      <w:fldChar w:fldCharType="begin"/>
    </w:r>
    <w:r>
      <w:instrText xml:space="preserve"> EQ </w:instrText>
    </w:r>
    <w:r>
      <w:fldChar w:fldCharType="end"/>
    </w:r>
    <w:r w:rsidRPr="00F64091">
      <w:rPr>
        <w:rStyle w:val="PageNumber"/>
        <w:rFonts w:ascii="Times New Roman" w:hAnsi="Times New Roman"/>
        <w:sz w:val="22"/>
        <w:szCs w:val="22"/>
      </w:rPr>
      <w:fldChar w:fldCharType="begin"/>
    </w:r>
    <w:r w:rsidRPr="00F64091">
      <w:rPr>
        <w:rStyle w:val="PageNumber"/>
        <w:rFonts w:ascii="Times New Roman" w:hAnsi="Times New Roman"/>
        <w:sz w:val="22"/>
        <w:szCs w:val="22"/>
      </w:rPr>
      <w:instrText xml:space="preserve">PAGE  </w:instrText>
    </w:r>
    <w:r w:rsidRPr="00F64091">
      <w:rPr>
        <w:rStyle w:val="PageNumber"/>
        <w:rFonts w:ascii="Times New Roman" w:hAnsi="Times New Roman"/>
        <w:sz w:val="22"/>
        <w:szCs w:val="22"/>
      </w:rPr>
      <w:fldChar w:fldCharType="separate"/>
    </w:r>
    <w:r w:rsidR="00DD7815">
      <w:rPr>
        <w:rStyle w:val="PageNumber"/>
        <w:rFonts w:ascii="Times New Roman" w:hAnsi="Times New Roman"/>
        <w:sz w:val="22"/>
        <w:szCs w:val="22"/>
      </w:rPr>
      <w:t>10</w:t>
    </w:r>
    <w:r w:rsidRPr="00F64091">
      <w:rPr>
        <w:rStyle w:val="PageNumber"/>
        <w:rFonts w:ascii="Times New Roman" w:hAnsi="Times New Roman"/>
        <w:sz w:val="22"/>
        <w:szCs w:val="22"/>
      </w:rPr>
      <w:fldChar w:fldCharType="end"/>
    </w:r>
    <w:r w:rsidRPr="00F64091">
      <w:rPr>
        <w:rStyle w:val="PageNumber"/>
        <w:rFonts w:ascii="Times New Roman" w:hAnsi="Times New Roman"/>
        <w:sz w:val="22"/>
        <w:szCs w:val="22"/>
      </w:rPr>
      <w:t xml:space="preserve"> / 1</w:t>
    </w:r>
    <w:r>
      <w:rPr>
        <w:rStyle w:val="PageNumber"/>
        <w:rFonts w:ascii="Times New Roman" w:hAnsi="Times New Roman"/>
        <w:sz w:val="22"/>
        <w:szCs w:val="2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B7FB4" w14:textId="77777777" w:rsidR="00E43CDC" w:rsidRDefault="00E43CDC">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9014D" w14:textId="77777777" w:rsidR="007B58B9" w:rsidRDefault="007B58B9">
      <w:pPr>
        <w:spacing w:line="240" w:lineRule="auto"/>
      </w:pPr>
      <w:r>
        <w:separator/>
      </w:r>
    </w:p>
  </w:footnote>
  <w:footnote w:type="continuationSeparator" w:id="0">
    <w:p w14:paraId="4756283B" w14:textId="77777777" w:rsidR="007B58B9" w:rsidRDefault="007B58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BC1A7C"/>
    <w:multiLevelType w:val="multilevel"/>
    <w:tmpl w:val="DCE02672"/>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0" w15:restartNumberingAfterBreak="0">
    <w:nsid w:val="2E953E74"/>
    <w:multiLevelType w:val="hybridMultilevel"/>
    <w:tmpl w:val="422ACE1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35285F"/>
    <w:multiLevelType w:val="hybridMultilevel"/>
    <w:tmpl w:val="04B00D8A"/>
    <w:lvl w:ilvl="0" w:tplc="F1841154">
      <w:numFmt w:val="bullet"/>
      <w:lvlText w:val="-"/>
      <w:lvlJc w:val="left"/>
      <w:pPr>
        <w:tabs>
          <w:tab w:val="num" w:pos="1080"/>
        </w:tabs>
        <w:ind w:left="1080" w:hanging="360"/>
      </w:pPr>
      <w:rPr>
        <w:rFonts w:ascii="TimesNewRoman" w:eastAsia="Times New Roman" w:hAnsi="TimesNewRoman" w:cs="TimesNew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15:restartNumberingAfterBreak="0">
    <w:nsid w:val="69390983"/>
    <w:multiLevelType w:val="multilevel"/>
    <w:tmpl w:val="3FA4F0F8"/>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20"/>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1"/>
  </w:num>
  <w:num w:numId="6">
    <w:abstractNumId w:val="18"/>
  </w:num>
  <w:num w:numId="7">
    <w:abstractNumId w:val="9"/>
  </w:num>
  <w:num w:numId="8">
    <w:abstractNumId w:val="13"/>
  </w:num>
  <w:num w:numId="9">
    <w:abstractNumId w:val="27"/>
  </w:num>
  <w:num w:numId="10">
    <w:abstractNumId w:val="1"/>
  </w:num>
  <w:num w:numId="11">
    <w:abstractNumId w:val="24"/>
  </w:num>
  <w:num w:numId="12">
    <w:abstractNumId w:val="11"/>
  </w:num>
  <w:num w:numId="13">
    <w:abstractNumId w:val="7"/>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5"/>
  </w:num>
  <w:num w:numId="17">
    <w:abstractNumId w:val="16"/>
  </w:num>
  <w:num w:numId="18">
    <w:abstractNumId w:val="17"/>
  </w:num>
  <w:num w:numId="19">
    <w:abstractNumId w:val="28"/>
  </w:num>
  <w:num w:numId="20">
    <w:abstractNumId w:val="19"/>
  </w:num>
  <w:num w:numId="21">
    <w:abstractNumId w:val="26"/>
  </w:num>
  <w:num w:numId="22">
    <w:abstractNumId w:val="23"/>
  </w:num>
  <w:num w:numId="23">
    <w:abstractNumId w:val="8"/>
  </w:num>
  <w:num w:numId="24">
    <w:abstractNumId w:val="26"/>
  </w:num>
  <w:num w:numId="25">
    <w:abstractNumId w:val="4"/>
  </w:num>
  <w:num w:numId="26">
    <w:abstractNumId w:val="14"/>
  </w:num>
  <w:num w:numId="27">
    <w:abstractNumId w:val="6"/>
  </w:num>
  <w:num w:numId="28">
    <w:abstractNumId w:val="5"/>
  </w:num>
  <w:num w:numId="29">
    <w:abstractNumId w:val="12"/>
  </w:num>
  <w:num w:numId="30">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5"/>
  </w:num>
  <w:num w:numId="33">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7006F4"/>
    <w:rsid w:val="00027185"/>
    <w:rsid w:val="00060641"/>
    <w:rsid w:val="0006757D"/>
    <w:rsid w:val="00100D42"/>
    <w:rsid w:val="002240EC"/>
    <w:rsid w:val="002D24E6"/>
    <w:rsid w:val="002E647F"/>
    <w:rsid w:val="003B503F"/>
    <w:rsid w:val="003D4566"/>
    <w:rsid w:val="004B0D3D"/>
    <w:rsid w:val="004C00CD"/>
    <w:rsid w:val="004E7C43"/>
    <w:rsid w:val="004F3DE4"/>
    <w:rsid w:val="00520423"/>
    <w:rsid w:val="00582E3C"/>
    <w:rsid w:val="00595DE8"/>
    <w:rsid w:val="00657FDA"/>
    <w:rsid w:val="0066152A"/>
    <w:rsid w:val="00666C4A"/>
    <w:rsid w:val="007006F4"/>
    <w:rsid w:val="00751031"/>
    <w:rsid w:val="007A2D21"/>
    <w:rsid w:val="007B58B9"/>
    <w:rsid w:val="007C55FF"/>
    <w:rsid w:val="007D038E"/>
    <w:rsid w:val="007D336B"/>
    <w:rsid w:val="00866C2F"/>
    <w:rsid w:val="008867BF"/>
    <w:rsid w:val="008915C4"/>
    <w:rsid w:val="008C48AF"/>
    <w:rsid w:val="008E4942"/>
    <w:rsid w:val="008E60C3"/>
    <w:rsid w:val="009C7258"/>
    <w:rsid w:val="00A32260"/>
    <w:rsid w:val="00A933A2"/>
    <w:rsid w:val="00A94882"/>
    <w:rsid w:val="00AB7061"/>
    <w:rsid w:val="00AE6A24"/>
    <w:rsid w:val="00B16597"/>
    <w:rsid w:val="00B22B41"/>
    <w:rsid w:val="00BF0000"/>
    <w:rsid w:val="00BF612C"/>
    <w:rsid w:val="00C04DB9"/>
    <w:rsid w:val="00C142DC"/>
    <w:rsid w:val="00C6238A"/>
    <w:rsid w:val="00C7109D"/>
    <w:rsid w:val="00CA70F1"/>
    <w:rsid w:val="00CB0A81"/>
    <w:rsid w:val="00D93CE3"/>
    <w:rsid w:val="00DD7815"/>
    <w:rsid w:val="00DE6371"/>
    <w:rsid w:val="00E43CDC"/>
    <w:rsid w:val="00EE22CC"/>
    <w:rsid w:val="00F15505"/>
    <w:rsid w:val="00F16B84"/>
    <w:rsid w:val="00F415C1"/>
    <w:rsid w:val="00F64091"/>
    <w:rsid w:val="00F90354"/>
    <w:rsid w:val="00FF2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C788A"/>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Heading2">
    <w:name w:val="heading 2"/>
    <w:basedOn w:val="Normal"/>
    <w:next w:val="Normal"/>
    <w:link w:val="Heading2Char"/>
    <w:qFormat/>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Heading3">
    <w:name w:val="heading 3"/>
    <w:basedOn w:val="Normal"/>
    <w:next w:val="Normal"/>
    <w:link w:val="Heading3Char"/>
    <w:qFormat/>
    <w:pPr>
      <w:keepNext/>
      <w:tabs>
        <w:tab w:val="clear" w:pos="567"/>
        <w:tab w:val="decimal" w:pos="6760"/>
      </w:tabs>
      <w:spacing w:line="480" w:lineRule="atLeast"/>
      <w:outlineLvl w:val="2"/>
    </w:pPr>
    <w:rPr>
      <w:b/>
      <w:sz w:val="24"/>
      <w:lang w:val="en-US" w:eastAsia="sl-SI"/>
    </w:rPr>
  </w:style>
  <w:style w:type="paragraph" w:styleId="Heading4">
    <w:name w:val="heading 4"/>
    <w:basedOn w:val="Normal"/>
    <w:next w:val="Normal"/>
    <w:link w:val="Heading4Char"/>
    <w:qFormat/>
    <w:pPr>
      <w:keepNext/>
      <w:tabs>
        <w:tab w:val="clear" w:pos="567"/>
      </w:tabs>
      <w:spacing w:before="240" w:after="60" w:line="240" w:lineRule="auto"/>
      <w:outlineLvl w:val="3"/>
    </w:pPr>
    <w:rPr>
      <w:b/>
      <w:bCs/>
      <w:sz w:val="28"/>
      <w:szCs w:val="28"/>
      <w:lang w:val="sl-SI" w:eastAsia="sl-SI"/>
    </w:rPr>
  </w:style>
  <w:style w:type="paragraph" w:styleId="Heading6">
    <w:name w:val="heading 6"/>
    <w:basedOn w:val="Normal"/>
    <w:next w:val="Normal"/>
    <w:link w:val="Heading6Char"/>
    <w:qFormat/>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character" w:customStyle="1" w:styleId="Heading1Char">
    <w:name w:val="Heading 1 Char"/>
    <w:link w:val="Heading1"/>
    <w:rPr>
      <w:rFonts w:ascii="Arial" w:eastAsia="Times New Roman" w:hAnsi="Arial" w:cs="Arial"/>
      <w:b/>
      <w:bCs/>
      <w:kern w:val="32"/>
      <w:sz w:val="32"/>
      <w:szCs w:val="32"/>
      <w:lang w:val="sl-SI" w:eastAsia="sl-SI"/>
    </w:rPr>
  </w:style>
  <w:style w:type="character" w:customStyle="1" w:styleId="Heading2Char">
    <w:name w:val="Heading 2 Char"/>
    <w:link w:val="Heading2"/>
    <w:rPr>
      <w:rFonts w:eastAsia="Times New Roman"/>
      <w:b/>
      <w:sz w:val="24"/>
      <w:u w:val="single"/>
      <w:lang w:val="en-US" w:eastAsia="sl-SI"/>
    </w:rPr>
  </w:style>
  <w:style w:type="character" w:customStyle="1" w:styleId="Heading3Char">
    <w:name w:val="Heading 3 Char"/>
    <w:link w:val="Heading3"/>
    <w:rPr>
      <w:rFonts w:eastAsia="Times New Roman"/>
      <w:b/>
      <w:sz w:val="24"/>
      <w:lang w:val="en-US" w:eastAsia="sl-SI"/>
    </w:rPr>
  </w:style>
  <w:style w:type="character" w:customStyle="1" w:styleId="Heading4Char">
    <w:name w:val="Heading 4 Char"/>
    <w:link w:val="Heading4"/>
    <w:rPr>
      <w:rFonts w:eastAsia="Times New Roman"/>
      <w:b/>
      <w:bCs/>
      <w:sz w:val="28"/>
      <w:szCs w:val="28"/>
      <w:lang w:val="sl-SI" w:eastAsia="sl-SI"/>
    </w:rPr>
  </w:style>
  <w:style w:type="character" w:customStyle="1" w:styleId="Heading6Char">
    <w:name w:val="Heading 6 Char"/>
    <w:link w:val="Heading6"/>
    <w:rPr>
      <w:rFonts w:eastAsia="Times New Roman"/>
      <w:b/>
      <w:sz w:val="24"/>
      <w:lang w:val="en-US" w:eastAsia="sl-SI"/>
    </w:rPr>
  </w:style>
  <w:style w:type="character" w:customStyle="1" w:styleId="HeaderChar">
    <w:name w:val="Header Char"/>
    <w:link w:val="Header"/>
    <w:rPr>
      <w:rFonts w:ascii="Arial" w:eastAsia="Times New Roman" w:hAnsi="Arial"/>
      <w:lang w:eastAsia="en-US"/>
    </w:rPr>
  </w:style>
  <w:style w:type="character" w:customStyle="1" w:styleId="FooterChar">
    <w:name w:val="Footer Char"/>
    <w:link w:val="Footer"/>
    <w:rPr>
      <w:rFonts w:ascii="Arial" w:eastAsia="Times New Roman" w:hAnsi="Arial"/>
      <w:noProof/>
      <w:sz w:val="16"/>
      <w:lang w:eastAsia="en-US"/>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styleId="PlainText">
    <w:name w:val="Plain Text"/>
    <w:basedOn w:val="Normal"/>
    <w:link w:val="PlainTextChar"/>
    <w:pPr>
      <w:tabs>
        <w:tab w:val="clear" w:pos="567"/>
      </w:tabs>
      <w:spacing w:line="240" w:lineRule="auto"/>
    </w:pPr>
    <w:rPr>
      <w:rFonts w:ascii="Courier New" w:hAnsi="Courier New"/>
      <w:sz w:val="20"/>
      <w:lang w:eastAsia="sl-SI"/>
    </w:rPr>
  </w:style>
  <w:style w:type="character" w:customStyle="1" w:styleId="PlainTextChar">
    <w:name w:val="Plain Text Char"/>
    <w:link w:val="PlainText"/>
    <w:rPr>
      <w:rFonts w:ascii="Courier New" w:eastAsia="Times New Roman" w:hAnsi="Courier New"/>
      <w:lang w:eastAsia="sl-SI"/>
    </w:rPr>
  </w:style>
  <w:style w:type="paragraph" w:styleId="Caption">
    <w:name w:val="caption"/>
    <w:basedOn w:val="Normal"/>
    <w:next w:val="Normal"/>
    <w:qFormat/>
    <w:pPr>
      <w:tabs>
        <w:tab w:val="clear" w:pos="567"/>
      </w:tabs>
      <w:spacing w:line="240" w:lineRule="auto"/>
      <w:jc w:val="both"/>
    </w:pPr>
    <w:rPr>
      <w:sz w:val="24"/>
      <w:lang w:eastAsia="sl-SI"/>
    </w:rPr>
  </w:style>
  <w:style w:type="paragraph" w:customStyle="1" w:styleId="Naslov1">
    <w:name w:val="Naslov1"/>
    <w:basedOn w:val="Heading1"/>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pPr>
      <w:tabs>
        <w:tab w:val="clear" w:pos="567"/>
      </w:tabs>
      <w:spacing w:before="120" w:line="240" w:lineRule="auto"/>
    </w:pPr>
    <w:rPr>
      <w:b/>
      <w:bCs/>
      <w:i/>
      <w:iCs/>
      <w:sz w:val="24"/>
      <w:szCs w:val="28"/>
      <w:lang w:val="sl-SI" w:eastAsia="sl-SI"/>
    </w:rPr>
  </w:style>
  <w:style w:type="character" w:customStyle="1" w:styleId="BodyTextChar">
    <w:name w:val="Body Text Char"/>
    <w:link w:val="BodyText"/>
    <w:rPr>
      <w:rFonts w:eastAsia="Times New Roman"/>
      <w:i/>
      <w:color w:val="008000"/>
      <w:sz w:val="22"/>
      <w:lang w:eastAsia="en-US"/>
    </w:rPr>
  </w:style>
  <w:style w:type="paragraph" w:styleId="BodyText2">
    <w:name w:val="Body Text 2"/>
    <w:basedOn w:val="Normal"/>
    <w:link w:val="BodyText2Char"/>
    <w:pPr>
      <w:tabs>
        <w:tab w:val="clear" w:pos="567"/>
      </w:tabs>
      <w:spacing w:after="120" w:line="480" w:lineRule="auto"/>
    </w:pPr>
    <w:rPr>
      <w:sz w:val="24"/>
      <w:lang w:val="sl-SI" w:eastAsia="sl-SI"/>
    </w:rPr>
  </w:style>
  <w:style w:type="character" w:customStyle="1" w:styleId="BodyText2Char">
    <w:name w:val="Body Text 2 Char"/>
    <w:link w:val="BodyText2"/>
    <w:rPr>
      <w:rFonts w:eastAsia="Times New Roman"/>
      <w:sz w:val="24"/>
      <w:lang w:val="sl-SI" w:eastAsia="sl-SI"/>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character" w:customStyle="1" w:styleId="BalloonTextChar">
    <w:name w:val="Balloon Text Char"/>
    <w:link w:val="BalloonText"/>
    <w:rPr>
      <w:rFonts w:ascii="Tahoma" w:eastAsia="Times New Roman" w:hAnsi="Tahoma" w:cs="Tahoma"/>
      <w:sz w:val="16"/>
      <w:szCs w:val="16"/>
      <w:lang w:eastAsia="en-US"/>
    </w:rPr>
  </w:style>
  <w:style w:type="paragraph" w:styleId="HTMLPreformatted">
    <w:name w:val="HTML Preformatted"/>
    <w:basedOn w:val="Normal"/>
    <w:link w:val="HTMLPreformattedChar"/>
    <w:uiPriority w:val="99"/>
    <w:unhideWhenUsed/>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sr-Latn-RS" w:eastAsia="sr-Latn-RS"/>
    </w:rPr>
  </w:style>
  <w:style w:type="character" w:customStyle="1" w:styleId="HTMLPreformattedChar">
    <w:name w:val="HTML Preformatted Char"/>
    <w:link w:val="HTMLPreformatted"/>
    <w:uiPriority w:val="99"/>
    <w:rPr>
      <w:rFonts w:ascii="Courier New" w:eastAsia="Times New Roman" w:hAnsi="Courier New" w:cs="Courier New"/>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023792">
      <w:bodyDiv w:val="1"/>
      <w:marLeft w:val="0"/>
      <w:marRight w:val="0"/>
      <w:marTop w:val="0"/>
      <w:marBottom w:val="0"/>
      <w:divBdr>
        <w:top w:val="none" w:sz="0" w:space="0" w:color="auto"/>
        <w:left w:val="none" w:sz="0" w:space="0" w:color="auto"/>
        <w:bottom w:val="none" w:sz="0" w:space="0" w:color="auto"/>
        <w:right w:val="none" w:sz="0" w:space="0" w:color="auto"/>
      </w:divBdr>
      <w:divsChild>
        <w:div w:id="1552502551">
          <w:marLeft w:val="0"/>
          <w:marRight w:val="0"/>
          <w:marTop w:val="0"/>
          <w:marBottom w:val="0"/>
          <w:divBdr>
            <w:top w:val="none" w:sz="0" w:space="0" w:color="auto"/>
            <w:left w:val="none" w:sz="0" w:space="0" w:color="auto"/>
            <w:bottom w:val="none" w:sz="0" w:space="0" w:color="auto"/>
            <w:right w:val="none" w:sz="0" w:space="0" w:color="auto"/>
          </w:divBdr>
          <w:divsChild>
            <w:div w:id="667631910">
              <w:marLeft w:val="0"/>
              <w:marRight w:val="0"/>
              <w:marTop w:val="0"/>
              <w:marBottom w:val="0"/>
              <w:divBdr>
                <w:top w:val="none" w:sz="0" w:space="0" w:color="auto"/>
                <w:left w:val="none" w:sz="0" w:space="0" w:color="auto"/>
                <w:bottom w:val="none" w:sz="0" w:space="0" w:color="auto"/>
                <w:right w:val="none" w:sz="0" w:space="0" w:color="auto"/>
              </w:divBdr>
              <w:divsChild>
                <w:div w:id="1815293079">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sChild>
                        <w:div w:id="819690484">
                          <w:marLeft w:val="0"/>
                          <w:marRight w:val="0"/>
                          <w:marTop w:val="0"/>
                          <w:marBottom w:val="0"/>
                          <w:divBdr>
                            <w:top w:val="none" w:sz="0" w:space="0" w:color="auto"/>
                            <w:left w:val="none" w:sz="0" w:space="0" w:color="auto"/>
                            <w:bottom w:val="none" w:sz="0" w:space="0" w:color="auto"/>
                            <w:right w:val="none" w:sz="0" w:space="0" w:color="auto"/>
                          </w:divBdr>
                          <w:divsChild>
                            <w:div w:id="1636594934">
                              <w:marLeft w:val="0"/>
                              <w:marRight w:val="0"/>
                              <w:marTop w:val="0"/>
                              <w:marBottom w:val="0"/>
                              <w:divBdr>
                                <w:top w:val="none" w:sz="0" w:space="0" w:color="auto"/>
                                <w:left w:val="none" w:sz="0" w:space="0" w:color="auto"/>
                                <w:bottom w:val="none" w:sz="0" w:space="0" w:color="auto"/>
                                <w:right w:val="none" w:sz="0" w:space="0" w:color="auto"/>
                              </w:divBdr>
                              <w:divsChild>
                                <w:div w:id="2066637206">
                                  <w:marLeft w:val="0"/>
                                  <w:marRight w:val="0"/>
                                  <w:marTop w:val="0"/>
                                  <w:marBottom w:val="0"/>
                                  <w:divBdr>
                                    <w:top w:val="none" w:sz="0" w:space="0" w:color="auto"/>
                                    <w:left w:val="none" w:sz="0" w:space="0" w:color="auto"/>
                                    <w:bottom w:val="none" w:sz="0" w:space="0" w:color="auto"/>
                                    <w:right w:val="none" w:sz="0" w:space="0" w:color="auto"/>
                                  </w:divBdr>
                                  <w:divsChild>
                                    <w:div w:id="1979651620">
                                      <w:marLeft w:val="0"/>
                                      <w:marRight w:val="0"/>
                                      <w:marTop w:val="0"/>
                                      <w:marBottom w:val="0"/>
                                      <w:divBdr>
                                        <w:top w:val="none" w:sz="0" w:space="0" w:color="auto"/>
                                        <w:left w:val="none" w:sz="0" w:space="0" w:color="auto"/>
                                        <w:bottom w:val="none" w:sz="0" w:space="0" w:color="auto"/>
                                        <w:right w:val="none" w:sz="0" w:space="0" w:color="auto"/>
                                      </w:divBdr>
                                    </w:div>
                                    <w:div w:id="1498570528">
                                      <w:marLeft w:val="0"/>
                                      <w:marRight w:val="0"/>
                                      <w:marTop w:val="0"/>
                                      <w:marBottom w:val="0"/>
                                      <w:divBdr>
                                        <w:top w:val="none" w:sz="0" w:space="0" w:color="auto"/>
                                        <w:left w:val="none" w:sz="0" w:space="0" w:color="auto"/>
                                        <w:bottom w:val="none" w:sz="0" w:space="0" w:color="auto"/>
                                        <w:right w:val="none" w:sz="0" w:space="0" w:color="auto"/>
                                      </w:divBdr>
                                      <w:divsChild>
                                        <w:div w:id="716855998">
                                          <w:marLeft w:val="0"/>
                                          <w:marRight w:val="165"/>
                                          <w:marTop w:val="150"/>
                                          <w:marBottom w:val="0"/>
                                          <w:divBdr>
                                            <w:top w:val="none" w:sz="0" w:space="0" w:color="auto"/>
                                            <w:left w:val="none" w:sz="0" w:space="0" w:color="auto"/>
                                            <w:bottom w:val="none" w:sz="0" w:space="0" w:color="auto"/>
                                            <w:right w:val="none" w:sz="0" w:space="0" w:color="auto"/>
                                          </w:divBdr>
                                          <w:divsChild>
                                            <w:div w:id="513108020">
                                              <w:marLeft w:val="0"/>
                                              <w:marRight w:val="0"/>
                                              <w:marTop w:val="0"/>
                                              <w:marBottom w:val="0"/>
                                              <w:divBdr>
                                                <w:top w:val="none" w:sz="0" w:space="0" w:color="auto"/>
                                                <w:left w:val="none" w:sz="0" w:space="0" w:color="auto"/>
                                                <w:bottom w:val="none" w:sz="0" w:space="0" w:color="auto"/>
                                                <w:right w:val="none" w:sz="0" w:space="0" w:color="auto"/>
                                              </w:divBdr>
                                              <w:divsChild>
                                                <w:div w:id="21393691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4223</Words>
  <Characters>24076</Characters>
  <Application>Microsoft Office Word</Application>
  <DocSecurity>0</DocSecurity>
  <Lines>200</Lines>
  <Paragraphs>56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Olja Borozan</cp:lastModifiedBy>
  <cp:revision>3</cp:revision>
  <dcterms:created xsi:type="dcterms:W3CDTF">2025-06-05T08:01:00Z</dcterms:created>
  <dcterms:modified xsi:type="dcterms:W3CDTF">2025-06-05T08:41:00Z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