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98F16" w14:textId="77777777" w:rsidR="00EA6F00" w:rsidRDefault="00861C42">
      <w:pPr>
        <w:jc w:val="center"/>
        <w:rPr>
          <w:b/>
          <w:bCs/>
          <w:iCs/>
          <w:u w:val="single"/>
          <w:lang w:val="sr-Latn-ME"/>
        </w:rPr>
      </w:pPr>
      <w:r>
        <w:rPr>
          <w:b/>
          <w:bCs/>
          <w:iCs/>
          <w:u w:val="single"/>
          <w:lang w:val="sr-Latn-ME"/>
        </w:rPr>
        <w:t>SAŽETAK KARAKTERISTIKA LIJEKA</w:t>
      </w:r>
    </w:p>
    <w:p w14:paraId="0C43197B" w14:textId="77777777" w:rsidR="00EA6F00" w:rsidRDefault="00EA6F00">
      <w:pPr>
        <w:jc w:val="center"/>
        <w:rPr>
          <w:b/>
          <w:bCs/>
          <w:iCs/>
          <w:u w:val="single"/>
          <w:lang w:val="sr-Latn-ME"/>
        </w:rPr>
      </w:pPr>
    </w:p>
    <w:p w14:paraId="05353FEE" w14:textId="77777777" w:rsidR="00EA6F00" w:rsidRDefault="00EA6F00">
      <w:pPr>
        <w:jc w:val="both"/>
        <w:rPr>
          <w:b/>
          <w:bCs/>
          <w:u w:val="single"/>
          <w:lang w:val="sr-Latn-ME"/>
        </w:rPr>
      </w:pPr>
    </w:p>
    <w:p w14:paraId="66E2426F" w14:textId="77777777" w:rsidR="00EA6F00" w:rsidRPr="00B36BCA" w:rsidRDefault="00861C42" w:rsidP="00B36BCA">
      <w:pPr>
        <w:widowControl w:val="0"/>
        <w:numPr>
          <w:ilvl w:val="0"/>
          <w:numId w:val="3"/>
        </w:numPr>
        <w:spacing w:line="240" w:lineRule="auto"/>
        <w:ind w:left="567"/>
        <w:jc w:val="both"/>
        <w:rPr>
          <w:b/>
          <w:szCs w:val="22"/>
          <w:lang w:val="sr-Latn-ME"/>
        </w:rPr>
      </w:pPr>
      <w:r w:rsidRPr="00B36BCA">
        <w:rPr>
          <w:b/>
          <w:szCs w:val="22"/>
          <w:lang w:val="sr-Latn-ME"/>
        </w:rPr>
        <w:t>NAZIV LIJEKA</w:t>
      </w:r>
    </w:p>
    <w:p w14:paraId="111B8647" w14:textId="77777777" w:rsidR="00EA6F00" w:rsidRPr="00B36BCA" w:rsidRDefault="00EA6F00" w:rsidP="00B36BCA">
      <w:pPr>
        <w:widowControl w:val="0"/>
        <w:ind w:left="930"/>
        <w:jc w:val="both"/>
        <w:rPr>
          <w:b/>
          <w:szCs w:val="22"/>
          <w:lang w:val="sr-Latn-ME"/>
        </w:rPr>
      </w:pPr>
    </w:p>
    <w:p w14:paraId="67FAFF1F" w14:textId="77777777" w:rsidR="00EA6F00" w:rsidRPr="00B36BCA" w:rsidRDefault="00861C42" w:rsidP="00B36BCA">
      <w:pPr>
        <w:widowControl w:val="0"/>
        <w:jc w:val="both"/>
        <w:rPr>
          <w:color w:val="000000"/>
          <w:szCs w:val="22"/>
          <w:lang w:val="sr-Latn-ME"/>
        </w:rPr>
      </w:pPr>
      <w:bookmarkStart w:id="0" w:name="_Hlk159496693"/>
      <w:r w:rsidRPr="00B36BCA">
        <w:rPr>
          <w:color w:val="000000"/>
          <w:szCs w:val="22"/>
          <w:lang w:val="sr-Latn-ME"/>
        </w:rPr>
        <w:t>Wamlox</w:t>
      </w:r>
      <w:bookmarkEnd w:id="0"/>
      <w:r w:rsidRPr="00B36BCA">
        <w:rPr>
          <w:color w:val="000000"/>
          <w:szCs w:val="22"/>
          <w:lang w:val="sr-Latn-ME"/>
        </w:rPr>
        <w:t>, 5 mg + 80 mg, film tableta</w:t>
      </w:r>
    </w:p>
    <w:p w14:paraId="231A4458" w14:textId="77777777" w:rsidR="00EA6F00" w:rsidRPr="00B36BCA" w:rsidRDefault="00861C42" w:rsidP="00B36BCA">
      <w:pPr>
        <w:widowControl w:val="0"/>
        <w:jc w:val="both"/>
        <w:rPr>
          <w:color w:val="000000"/>
          <w:szCs w:val="22"/>
          <w:lang w:val="sr-Latn-ME"/>
        </w:rPr>
      </w:pPr>
      <w:r w:rsidRPr="00B36BCA">
        <w:rPr>
          <w:color w:val="000000"/>
          <w:szCs w:val="22"/>
          <w:lang w:val="sr-Latn-ME"/>
        </w:rPr>
        <w:t>Wamlox, 5 mg + 160 mg, film tableta</w:t>
      </w:r>
    </w:p>
    <w:p w14:paraId="41BCB604" w14:textId="77777777" w:rsidR="00EA6F00" w:rsidRPr="00B36BCA" w:rsidRDefault="00861C42" w:rsidP="00B36BCA">
      <w:pPr>
        <w:widowControl w:val="0"/>
        <w:jc w:val="both"/>
        <w:rPr>
          <w:color w:val="000000"/>
          <w:szCs w:val="22"/>
          <w:lang w:val="sr-Latn-ME"/>
        </w:rPr>
      </w:pPr>
      <w:r w:rsidRPr="00B36BCA">
        <w:rPr>
          <w:color w:val="000000"/>
          <w:szCs w:val="22"/>
          <w:lang w:val="sr-Latn-ME"/>
        </w:rPr>
        <w:t>Wamlox, 10 mg + 160 mg, film tableta</w:t>
      </w:r>
    </w:p>
    <w:p w14:paraId="7F9F8D51" w14:textId="77777777" w:rsidR="00EA6F00" w:rsidRPr="00B36BCA" w:rsidRDefault="00EA6F00" w:rsidP="00B36BCA">
      <w:pPr>
        <w:widowControl w:val="0"/>
        <w:jc w:val="both"/>
        <w:rPr>
          <w:color w:val="000000"/>
          <w:szCs w:val="22"/>
          <w:highlight w:val="cyan"/>
          <w:lang w:val="sr-Latn-ME"/>
        </w:rPr>
      </w:pPr>
    </w:p>
    <w:p w14:paraId="26FD62C6" w14:textId="77777777" w:rsidR="00EA6F00" w:rsidRPr="00B36BCA" w:rsidRDefault="00861C42" w:rsidP="00B36BCA">
      <w:pPr>
        <w:widowControl w:val="0"/>
        <w:jc w:val="both"/>
        <w:rPr>
          <w:color w:val="000000"/>
          <w:szCs w:val="22"/>
          <w:lang w:val="sr-Latn-ME"/>
        </w:rPr>
      </w:pPr>
      <w:r w:rsidRPr="00B36BCA">
        <w:rPr>
          <w:color w:val="000000"/>
          <w:szCs w:val="22"/>
          <w:lang w:val="sr-Latn-ME"/>
        </w:rPr>
        <w:t>INN: amlodipin, valsartan</w:t>
      </w:r>
    </w:p>
    <w:p w14:paraId="61C313A1" w14:textId="77777777" w:rsidR="00EA6F00" w:rsidRPr="00B36BCA" w:rsidRDefault="00EA6F00" w:rsidP="00B36BCA">
      <w:pPr>
        <w:widowControl w:val="0"/>
        <w:jc w:val="both"/>
        <w:rPr>
          <w:szCs w:val="22"/>
          <w:lang w:val="sr-Latn-ME"/>
        </w:rPr>
      </w:pPr>
    </w:p>
    <w:p w14:paraId="13D4EF31" w14:textId="77777777" w:rsidR="00EA6F00" w:rsidRPr="00B36BCA" w:rsidRDefault="00EA6F00" w:rsidP="00B36BCA">
      <w:pPr>
        <w:widowControl w:val="0"/>
        <w:jc w:val="both"/>
        <w:rPr>
          <w:szCs w:val="22"/>
          <w:lang w:val="sr-Latn-ME"/>
        </w:rPr>
      </w:pPr>
    </w:p>
    <w:p w14:paraId="6AE8ED43" w14:textId="77777777" w:rsidR="00EA6F00" w:rsidRPr="00B36BCA" w:rsidRDefault="00861C42" w:rsidP="00B36BCA">
      <w:pPr>
        <w:widowControl w:val="0"/>
        <w:jc w:val="both"/>
        <w:rPr>
          <w:szCs w:val="22"/>
          <w:lang w:val="sr-Latn-ME"/>
        </w:rPr>
      </w:pPr>
      <w:r w:rsidRPr="00B36BCA">
        <w:rPr>
          <w:b/>
          <w:szCs w:val="22"/>
          <w:lang w:val="sr-Latn-ME"/>
        </w:rPr>
        <w:t>2.</w:t>
      </w:r>
      <w:r w:rsidRPr="00B36BCA">
        <w:rPr>
          <w:b/>
          <w:szCs w:val="22"/>
          <w:lang w:val="sr-Latn-ME"/>
        </w:rPr>
        <w:tab/>
        <w:t>KVALITATIVNI I KVANTITATIVNI SASTAV</w:t>
      </w:r>
    </w:p>
    <w:p w14:paraId="04E3019B" w14:textId="77777777" w:rsidR="00EA6F00" w:rsidRPr="00B36BCA" w:rsidRDefault="00EA6F00" w:rsidP="00B36BCA">
      <w:pPr>
        <w:widowControl w:val="0"/>
        <w:jc w:val="both"/>
        <w:rPr>
          <w:szCs w:val="22"/>
          <w:lang w:val="sr-Latn-ME"/>
        </w:rPr>
      </w:pPr>
    </w:p>
    <w:p w14:paraId="13C137E8" w14:textId="77777777" w:rsidR="007A697D" w:rsidRPr="00B36BCA" w:rsidRDefault="007A697D" w:rsidP="00B36BCA">
      <w:pPr>
        <w:widowControl w:val="0"/>
        <w:jc w:val="both"/>
        <w:rPr>
          <w:color w:val="000000"/>
          <w:szCs w:val="22"/>
          <w:u w:val="single"/>
          <w:lang w:val="sr-Latn-ME"/>
        </w:rPr>
      </w:pPr>
      <w:r w:rsidRPr="00762596">
        <w:rPr>
          <w:i/>
          <w:color w:val="000000"/>
          <w:szCs w:val="22"/>
          <w:u w:val="single"/>
          <w:lang w:val="sr-Latn-ME"/>
        </w:rPr>
        <w:t>Wamlox, film tableta, 5 mg + 80 mg</w:t>
      </w:r>
      <w:r w:rsidRPr="00B36BCA">
        <w:rPr>
          <w:color w:val="000000"/>
          <w:szCs w:val="22"/>
          <w:u w:val="single"/>
          <w:lang w:val="sr-Latn-ME"/>
        </w:rPr>
        <w:t>:</w:t>
      </w:r>
    </w:p>
    <w:p w14:paraId="38756D3E" w14:textId="77777777" w:rsidR="00EA6F00" w:rsidRPr="00762596" w:rsidRDefault="00861C42">
      <w:pPr>
        <w:widowControl w:val="0"/>
        <w:jc w:val="both"/>
        <w:rPr>
          <w:color w:val="000000"/>
          <w:szCs w:val="22"/>
          <w:lang w:val="sr-Latn-ME"/>
        </w:rPr>
      </w:pPr>
      <w:r w:rsidRPr="00762596">
        <w:rPr>
          <w:color w:val="000000"/>
          <w:szCs w:val="22"/>
          <w:lang w:val="sr-Latn-ME"/>
        </w:rPr>
        <w:t>Svaka film tableta sadrži 5 mg amlodipina u obliku amlodipin besilata i 80 mg valsartana.</w:t>
      </w:r>
    </w:p>
    <w:p w14:paraId="0BECC682" w14:textId="77777777" w:rsidR="00EA6F00" w:rsidRPr="00762596" w:rsidRDefault="00EA6F00">
      <w:pPr>
        <w:widowControl w:val="0"/>
        <w:jc w:val="both"/>
        <w:rPr>
          <w:color w:val="000000"/>
          <w:szCs w:val="22"/>
          <w:lang w:val="sr-Latn-ME"/>
        </w:rPr>
      </w:pPr>
    </w:p>
    <w:p w14:paraId="15881AAF" w14:textId="68AAD202" w:rsidR="007A697D" w:rsidRPr="00762596" w:rsidRDefault="007A697D">
      <w:pPr>
        <w:widowControl w:val="0"/>
        <w:tabs>
          <w:tab w:val="clear" w:pos="567"/>
        </w:tabs>
        <w:jc w:val="both"/>
        <w:rPr>
          <w:color w:val="000000"/>
          <w:szCs w:val="22"/>
          <w:lang w:val="hr-HR"/>
        </w:rPr>
      </w:pPr>
      <w:r w:rsidRPr="00762596">
        <w:rPr>
          <w:i/>
          <w:color w:val="000000"/>
          <w:szCs w:val="22"/>
          <w:u w:val="single"/>
          <w:lang w:val="hr-HR"/>
        </w:rPr>
        <w:t>Wamlox, film tableta, 5 mg + 160 mg</w:t>
      </w:r>
      <w:r w:rsidRPr="00762596">
        <w:rPr>
          <w:color w:val="000000"/>
          <w:szCs w:val="22"/>
          <w:u w:val="single"/>
          <w:lang w:val="hr-HR"/>
        </w:rPr>
        <w:t>:</w:t>
      </w:r>
      <w:r w:rsidRPr="00762596" w:rsidDel="002F1353">
        <w:rPr>
          <w:color w:val="000000"/>
          <w:szCs w:val="22"/>
          <w:u w:val="single"/>
          <w:lang w:val="hr-HR"/>
        </w:rPr>
        <w:t xml:space="preserve"> </w:t>
      </w:r>
    </w:p>
    <w:p w14:paraId="07C2CF28" w14:textId="77777777" w:rsidR="00EA6F00" w:rsidRPr="00762596" w:rsidRDefault="00861C42">
      <w:pPr>
        <w:widowControl w:val="0"/>
        <w:jc w:val="both"/>
        <w:rPr>
          <w:color w:val="000000"/>
          <w:szCs w:val="22"/>
          <w:lang w:val="sr-Latn-ME"/>
        </w:rPr>
      </w:pPr>
      <w:r w:rsidRPr="00762596">
        <w:rPr>
          <w:color w:val="000000"/>
          <w:szCs w:val="22"/>
          <w:lang w:val="sr-Latn-ME"/>
        </w:rPr>
        <w:t>Svaka film tableta sadrži 5 mg amlodipina u obliku amlodipin besilata i 160 mg valsartana.</w:t>
      </w:r>
    </w:p>
    <w:p w14:paraId="5791F5A4" w14:textId="77777777" w:rsidR="00EA6F00" w:rsidRPr="00762596" w:rsidRDefault="00EA6F00">
      <w:pPr>
        <w:widowControl w:val="0"/>
        <w:jc w:val="both"/>
        <w:rPr>
          <w:color w:val="000000"/>
          <w:szCs w:val="22"/>
          <w:lang w:val="sr-Latn-ME"/>
        </w:rPr>
      </w:pPr>
    </w:p>
    <w:p w14:paraId="158972B1" w14:textId="77777777" w:rsidR="007A697D" w:rsidRPr="00762596" w:rsidRDefault="007A697D">
      <w:pPr>
        <w:widowControl w:val="0"/>
        <w:tabs>
          <w:tab w:val="clear" w:pos="567"/>
        </w:tabs>
        <w:jc w:val="both"/>
        <w:rPr>
          <w:color w:val="000000"/>
          <w:szCs w:val="22"/>
          <w:u w:val="single"/>
          <w:lang w:val="hr-HR"/>
        </w:rPr>
      </w:pPr>
      <w:r w:rsidRPr="00762596">
        <w:rPr>
          <w:i/>
          <w:color w:val="000000"/>
          <w:szCs w:val="22"/>
          <w:u w:val="single"/>
          <w:lang w:val="hr-HR"/>
        </w:rPr>
        <w:t>Wamlox, film tableta, 10 mg + 160 mg</w:t>
      </w:r>
      <w:r w:rsidRPr="00762596">
        <w:rPr>
          <w:color w:val="000000"/>
          <w:szCs w:val="22"/>
          <w:u w:val="single"/>
          <w:lang w:val="hr-HR"/>
        </w:rPr>
        <w:t>:</w:t>
      </w:r>
    </w:p>
    <w:p w14:paraId="3BC3D1A7" w14:textId="77777777" w:rsidR="00EA6F00" w:rsidRPr="00762596" w:rsidRDefault="00861C42">
      <w:pPr>
        <w:widowControl w:val="0"/>
        <w:jc w:val="both"/>
        <w:rPr>
          <w:color w:val="000000"/>
          <w:szCs w:val="22"/>
          <w:lang w:val="sr-Latn-ME"/>
        </w:rPr>
      </w:pPr>
      <w:r w:rsidRPr="00762596">
        <w:rPr>
          <w:color w:val="000000"/>
          <w:szCs w:val="22"/>
          <w:lang w:val="sr-Latn-ME"/>
        </w:rPr>
        <w:t>Svaka film tableta sadrži 10 mg amlodipina u obliku amlodipin besilata i 160 mg valsartana.</w:t>
      </w:r>
    </w:p>
    <w:p w14:paraId="624ED73F" w14:textId="77777777" w:rsidR="00EA6F00" w:rsidRPr="00762596" w:rsidRDefault="00EA6F00">
      <w:pPr>
        <w:widowControl w:val="0"/>
        <w:jc w:val="both"/>
        <w:rPr>
          <w:szCs w:val="22"/>
          <w:lang w:val="sr-Latn-ME"/>
        </w:rPr>
      </w:pPr>
    </w:p>
    <w:p w14:paraId="05A4751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Za spisak svih ekscipijenasa, pogledati dio 6.1.</w:t>
      </w:r>
    </w:p>
    <w:p w14:paraId="112CA7BC" w14:textId="77777777" w:rsidR="00EA6F00" w:rsidRPr="00762596" w:rsidRDefault="00EA6F00">
      <w:pPr>
        <w:widowControl w:val="0"/>
        <w:jc w:val="both"/>
        <w:rPr>
          <w:szCs w:val="22"/>
          <w:lang w:val="sr-Latn-ME"/>
        </w:rPr>
      </w:pPr>
    </w:p>
    <w:p w14:paraId="792B897F" w14:textId="77777777" w:rsidR="00EA6F00" w:rsidRPr="00762596" w:rsidRDefault="00EA6F00">
      <w:pPr>
        <w:widowControl w:val="0"/>
        <w:jc w:val="both"/>
        <w:rPr>
          <w:szCs w:val="22"/>
          <w:lang w:val="sr-Latn-ME"/>
        </w:rPr>
      </w:pPr>
    </w:p>
    <w:p w14:paraId="1646C1CE" w14:textId="77777777" w:rsidR="00EA6F00" w:rsidRPr="00762596" w:rsidRDefault="00861C42">
      <w:pPr>
        <w:widowControl w:val="0"/>
        <w:jc w:val="both"/>
        <w:rPr>
          <w:b/>
          <w:szCs w:val="22"/>
          <w:lang w:val="sr-Latn-ME"/>
        </w:rPr>
      </w:pPr>
      <w:r w:rsidRPr="00762596">
        <w:rPr>
          <w:b/>
          <w:szCs w:val="22"/>
          <w:lang w:val="sr-Latn-ME"/>
        </w:rPr>
        <w:t>3.</w:t>
      </w:r>
      <w:r w:rsidRPr="00762596">
        <w:rPr>
          <w:b/>
          <w:szCs w:val="22"/>
          <w:lang w:val="sr-Latn-ME"/>
        </w:rPr>
        <w:tab/>
        <w:t>FARMACEUTSKI OBLIK</w:t>
      </w:r>
    </w:p>
    <w:p w14:paraId="3385A845" w14:textId="77777777" w:rsidR="00EA6F00" w:rsidRPr="00762596" w:rsidRDefault="00EA6F00">
      <w:pPr>
        <w:widowControl w:val="0"/>
        <w:jc w:val="both"/>
        <w:rPr>
          <w:b/>
          <w:caps/>
          <w:szCs w:val="22"/>
          <w:lang w:val="sr-Latn-ME"/>
        </w:rPr>
      </w:pPr>
    </w:p>
    <w:p w14:paraId="29952DE5" w14:textId="77777777" w:rsidR="00EA6F00" w:rsidRPr="00762596" w:rsidRDefault="00861C42">
      <w:pPr>
        <w:widowControl w:val="0"/>
        <w:jc w:val="both"/>
        <w:rPr>
          <w:color w:val="000000"/>
          <w:szCs w:val="22"/>
          <w:lang w:val="sr-Latn-ME"/>
        </w:rPr>
      </w:pPr>
      <w:r w:rsidRPr="00762596">
        <w:rPr>
          <w:color w:val="000000"/>
          <w:szCs w:val="22"/>
          <w:lang w:val="sr-Latn-ME"/>
        </w:rPr>
        <w:t>Film tableta.</w:t>
      </w:r>
    </w:p>
    <w:p w14:paraId="5B0E60F6" w14:textId="77777777" w:rsidR="00EA6F00" w:rsidRPr="00762596" w:rsidRDefault="00EA6F00">
      <w:pPr>
        <w:widowControl w:val="0"/>
        <w:jc w:val="both"/>
        <w:rPr>
          <w:color w:val="000000"/>
          <w:szCs w:val="22"/>
          <w:lang w:val="sr-Latn-ME"/>
        </w:rPr>
      </w:pPr>
    </w:p>
    <w:p w14:paraId="51AAB51A" w14:textId="77777777" w:rsidR="007A697D" w:rsidRPr="00762596" w:rsidRDefault="007A697D">
      <w:pPr>
        <w:widowControl w:val="0"/>
        <w:jc w:val="both"/>
        <w:rPr>
          <w:color w:val="000000"/>
          <w:szCs w:val="22"/>
          <w:u w:val="single"/>
          <w:lang w:val="sr-Latn-ME"/>
        </w:rPr>
      </w:pPr>
      <w:r w:rsidRPr="00762596">
        <w:rPr>
          <w:i/>
          <w:color w:val="000000"/>
          <w:szCs w:val="22"/>
          <w:u w:val="single"/>
          <w:lang w:val="sr-Latn-ME"/>
        </w:rPr>
        <w:t>Wamlox, film tableta, 5 mg + 80 mg</w:t>
      </w:r>
      <w:r w:rsidRPr="00762596">
        <w:rPr>
          <w:color w:val="000000"/>
          <w:szCs w:val="22"/>
          <w:u w:val="single"/>
          <w:lang w:val="sr-Latn-ME"/>
        </w:rPr>
        <w:t>:</w:t>
      </w:r>
    </w:p>
    <w:p w14:paraId="1FB170DD" w14:textId="77777777" w:rsidR="00EA6F00" w:rsidRPr="00762596" w:rsidRDefault="00861C42">
      <w:pPr>
        <w:widowControl w:val="0"/>
        <w:jc w:val="both"/>
        <w:rPr>
          <w:color w:val="000000"/>
          <w:szCs w:val="22"/>
          <w:lang w:val="sr-Latn-ME"/>
        </w:rPr>
      </w:pPr>
      <w:r w:rsidRPr="00762596">
        <w:rPr>
          <w:color w:val="000000"/>
          <w:szCs w:val="22"/>
          <w:lang w:val="sr-Latn-ME"/>
        </w:rPr>
        <w:t>Braonkastožute, okrugle, blago bikonveksne, film tablete zakošenih ivica sa mogućim tamnim mrljama.</w:t>
      </w:r>
    </w:p>
    <w:p w14:paraId="75439889" w14:textId="77777777" w:rsidR="00EA6F00" w:rsidRPr="00762596" w:rsidRDefault="00EA6F00">
      <w:pPr>
        <w:widowControl w:val="0"/>
        <w:jc w:val="both"/>
        <w:rPr>
          <w:color w:val="000000"/>
          <w:szCs w:val="22"/>
          <w:lang w:val="sr-Latn-ME"/>
        </w:rPr>
      </w:pPr>
    </w:p>
    <w:p w14:paraId="3D3FC032" w14:textId="77777777" w:rsidR="007A697D" w:rsidRPr="00762596" w:rsidRDefault="007A697D">
      <w:pPr>
        <w:widowControl w:val="0"/>
        <w:tabs>
          <w:tab w:val="clear" w:pos="567"/>
        </w:tabs>
        <w:jc w:val="both"/>
        <w:rPr>
          <w:color w:val="000000"/>
          <w:szCs w:val="22"/>
          <w:lang w:val="hr-HR"/>
        </w:rPr>
      </w:pPr>
      <w:r w:rsidRPr="00762596">
        <w:rPr>
          <w:i/>
          <w:color w:val="000000"/>
          <w:szCs w:val="22"/>
          <w:u w:val="single"/>
          <w:lang w:val="hr-HR"/>
        </w:rPr>
        <w:t>Wamlox, film tableta, 5 mg + 160 mg</w:t>
      </w:r>
      <w:r w:rsidRPr="00762596">
        <w:rPr>
          <w:color w:val="000000"/>
          <w:szCs w:val="22"/>
          <w:u w:val="single"/>
          <w:lang w:val="hr-HR"/>
        </w:rPr>
        <w:t>:</w:t>
      </w:r>
      <w:r w:rsidRPr="00762596" w:rsidDel="002F1353">
        <w:rPr>
          <w:color w:val="000000"/>
          <w:szCs w:val="22"/>
          <w:u w:val="single"/>
          <w:lang w:val="hr-HR"/>
        </w:rPr>
        <w:t xml:space="preserve"> </w:t>
      </w:r>
    </w:p>
    <w:p w14:paraId="603D19CA" w14:textId="77777777" w:rsidR="00EA6F00" w:rsidRPr="00762596" w:rsidRDefault="00861C42">
      <w:pPr>
        <w:widowControl w:val="0"/>
        <w:jc w:val="both"/>
        <w:rPr>
          <w:color w:val="000000"/>
          <w:szCs w:val="22"/>
          <w:lang w:val="sr-Latn-ME"/>
        </w:rPr>
      </w:pPr>
      <w:r w:rsidRPr="00762596">
        <w:rPr>
          <w:color w:val="000000"/>
          <w:szCs w:val="22"/>
          <w:lang w:val="sr-Latn-ME"/>
        </w:rPr>
        <w:t>Braonkastožute, ovalne, bikonveksne, film tablete zakošenih ivica sa mogućim tamnim mrljama.</w:t>
      </w:r>
    </w:p>
    <w:p w14:paraId="231347DB" w14:textId="77777777" w:rsidR="00EA6F00" w:rsidRPr="00762596" w:rsidRDefault="00EA6F00">
      <w:pPr>
        <w:widowControl w:val="0"/>
        <w:jc w:val="both"/>
        <w:rPr>
          <w:color w:val="000000"/>
          <w:szCs w:val="22"/>
          <w:lang w:val="sr-Latn-ME"/>
        </w:rPr>
      </w:pPr>
    </w:p>
    <w:p w14:paraId="35B85E7F" w14:textId="77777777" w:rsidR="007A697D" w:rsidRPr="00762596" w:rsidRDefault="007A697D">
      <w:pPr>
        <w:widowControl w:val="0"/>
        <w:tabs>
          <w:tab w:val="clear" w:pos="567"/>
        </w:tabs>
        <w:jc w:val="both"/>
        <w:rPr>
          <w:color w:val="000000"/>
          <w:szCs w:val="22"/>
          <w:u w:val="single"/>
          <w:lang w:val="hr-HR"/>
        </w:rPr>
      </w:pPr>
      <w:r w:rsidRPr="00762596">
        <w:rPr>
          <w:i/>
          <w:color w:val="000000"/>
          <w:szCs w:val="22"/>
          <w:u w:val="single"/>
          <w:lang w:val="hr-HR"/>
        </w:rPr>
        <w:t>Wamlox, film tableta, 10 mg + 160 mg</w:t>
      </w:r>
      <w:r w:rsidRPr="00762596">
        <w:rPr>
          <w:color w:val="000000"/>
          <w:szCs w:val="22"/>
          <w:u w:val="single"/>
          <w:lang w:val="hr-HR"/>
        </w:rPr>
        <w:t>:</w:t>
      </w:r>
    </w:p>
    <w:p w14:paraId="1D6EDDD7" w14:textId="77777777" w:rsidR="00EA6F00" w:rsidRPr="00762596" w:rsidRDefault="00861C42">
      <w:pPr>
        <w:widowControl w:val="0"/>
        <w:jc w:val="both"/>
        <w:rPr>
          <w:szCs w:val="22"/>
          <w:lang w:val="sr-Latn-ME"/>
        </w:rPr>
      </w:pPr>
      <w:r w:rsidRPr="00762596">
        <w:rPr>
          <w:bCs/>
          <w:szCs w:val="22"/>
          <w:lang w:val="sr-Latn-ME"/>
        </w:rPr>
        <w:t xml:space="preserve">Blijedo </w:t>
      </w:r>
      <w:r w:rsidRPr="00762596">
        <w:rPr>
          <w:color w:val="000000"/>
          <w:szCs w:val="22"/>
          <w:lang w:val="sr-Latn-ME"/>
        </w:rPr>
        <w:t>braonkastožute, ovalne, bikonveksne, film tablete.</w:t>
      </w:r>
    </w:p>
    <w:p w14:paraId="41414B0F" w14:textId="77777777" w:rsidR="00EA6F00" w:rsidRPr="00762596" w:rsidRDefault="00EA6F00">
      <w:pPr>
        <w:widowControl w:val="0"/>
        <w:jc w:val="both"/>
        <w:rPr>
          <w:szCs w:val="22"/>
          <w:lang w:val="sr-Latn-ME"/>
        </w:rPr>
      </w:pPr>
    </w:p>
    <w:p w14:paraId="00E96302" w14:textId="77777777" w:rsidR="00EA6F00" w:rsidRPr="00762596" w:rsidRDefault="00EA6F00">
      <w:pPr>
        <w:widowControl w:val="0"/>
        <w:jc w:val="both"/>
        <w:rPr>
          <w:szCs w:val="22"/>
          <w:lang w:val="sr-Latn-ME"/>
        </w:rPr>
      </w:pPr>
    </w:p>
    <w:p w14:paraId="1487EE10" w14:textId="77777777" w:rsidR="00EA6F00" w:rsidRPr="00762596" w:rsidRDefault="00861C42">
      <w:pPr>
        <w:widowControl w:val="0"/>
        <w:ind w:left="567" w:hanging="567"/>
        <w:jc w:val="both"/>
        <w:rPr>
          <w:caps/>
          <w:szCs w:val="22"/>
          <w:lang w:val="sr-Latn-ME"/>
        </w:rPr>
      </w:pPr>
      <w:r w:rsidRPr="00762596">
        <w:rPr>
          <w:b/>
          <w:caps/>
          <w:szCs w:val="22"/>
          <w:lang w:val="sr-Latn-ME"/>
        </w:rPr>
        <w:t>4.</w:t>
      </w:r>
      <w:r w:rsidRPr="00762596">
        <w:rPr>
          <w:b/>
          <w:caps/>
          <w:szCs w:val="22"/>
          <w:lang w:val="sr-Latn-ME"/>
        </w:rPr>
        <w:tab/>
        <w:t>KLINIČKI PODACI</w:t>
      </w:r>
    </w:p>
    <w:p w14:paraId="3DC4A758" w14:textId="77777777" w:rsidR="00EA6F00" w:rsidRPr="00762596" w:rsidRDefault="00EA6F00">
      <w:pPr>
        <w:widowControl w:val="0"/>
        <w:jc w:val="both"/>
        <w:rPr>
          <w:szCs w:val="22"/>
          <w:lang w:val="sr-Latn-ME"/>
        </w:rPr>
      </w:pPr>
    </w:p>
    <w:p w14:paraId="3C549D8B" w14:textId="77777777" w:rsidR="00EA6F00" w:rsidRPr="00762596" w:rsidRDefault="00861C42">
      <w:pPr>
        <w:widowControl w:val="0"/>
        <w:ind w:left="567" w:hanging="567"/>
        <w:jc w:val="both"/>
        <w:outlineLvl w:val="0"/>
        <w:rPr>
          <w:b/>
          <w:szCs w:val="22"/>
          <w:lang w:val="sr-Latn-ME"/>
        </w:rPr>
      </w:pPr>
      <w:r w:rsidRPr="00762596">
        <w:rPr>
          <w:b/>
          <w:szCs w:val="22"/>
          <w:lang w:val="sr-Latn-ME"/>
        </w:rPr>
        <w:t>4.1</w:t>
      </w:r>
      <w:r w:rsidRPr="00762596">
        <w:rPr>
          <w:b/>
          <w:szCs w:val="22"/>
          <w:lang w:val="sr-Latn-ME"/>
        </w:rPr>
        <w:tab/>
        <w:t>Terapijske indikacije</w:t>
      </w:r>
    </w:p>
    <w:p w14:paraId="152CB311" w14:textId="77777777" w:rsidR="00EA6F00" w:rsidRPr="00762596" w:rsidRDefault="00EA6F00">
      <w:pPr>
        <w:widowControl w:val="0"/>
        <w:ind w:left="567" w:hanging="567"/>
        <w:jc w:val="both"/>
        <w:outlineLvl w:val="0"/>
        <w:rPr>
          <w:b/>
          <w:szCs w:val="22"/>
          <w:lang w:val="sr-Latn-ME"/>
        </w:rPr>
      </w:pPr>
    </w:p>
    <w:p w14:paraId="6EDE5748" w14:textId="77777777" w:rsidR="00EA6F00" w:rsidRPr="00B36BCA" w:rsidRDefault="00861C42">
      <w:pPr>
        <w:pStyle w:val="Default"/>
        <w:widowControl w:val="0"/>
        <w:jc w:val="both"/>
        <w:rPr>
          <w:sz w:val="22"/>
          <w:szCs w:val="22"/>
          <w:lang w:val="sr-Latn-ME"/>
        </w:rPr>
      </w:pPr>
      <w:r w:rsidRPr="00B36BCA">
        <w:rPr>
          <w:sz w:val="22"/>
          <w:szCs w:val="22"/>
          <w:lang w:val="sr-Latn-ME"/>
        </w:rPr>
        <w:t xml:space="preserve">Liječenje esencijalne hipertenzije. </w:t>
      </w:r>
    </w:p>
    <w:p w14:paraId="62C769A1" w14:textId="77777777" w:rsidR="00EA6F00" w:rsidRPr="00762596" w:rsidRDefault="00EA6F00">
      <w:pPr>
        <w:widowControl w:val="0"/>
        <w:jc w:val="both"/>
        <w:rPr>
          <w:szCs w:val="22"/>
          <w:lang w:val="sr-Latn-ME"/>
        </w:rPr>
      </w:pPr>
    </w:p>
    <w:p w14:paraId="172C24BA" w14:textId="77777777" w:rsidR="00EA6F00" w:rsidRPr="00762596" w:rsidRDefault="00861C42">
      <w:pPr>
        <w:widowControl w:val="0"/>
        <w:jc w:val="both"/>
        <w:rPr>
          <w:szCs w:val="22"/>
          <w:lang w:val="sr-Latn-ME"/>
        </w:rPr>
      </w:pPr>
      <w:r w:rsidRPr="00762596">
        <w:rPr>
          <w:szCs w:val="22"/>
          <w:lang w:val="sr-Latn-ME"/>
        </w:rPr>
        <w:t>Lijek Wamlox je indikovan kod odraslih pacijenata čiji se krvni pritisak ne može adekvatno kontrolisati monoterapijom valsartanom ili amlodipinom.</w:t>
      </w:r>
    </w:p>
    <w:p w14:paraId="1389A1E1" w14:textId="77777777" w:rsidR="00EA6F00" w:rsidRPr="00762596" w:rsidRDefault="00EA6F00">
      <w:pPr>
        <w:widowControl w:val="0"/>
        <w:jc w:val="both"/>
        <w:rPr>
          <w:szCs w:val="22"/>
          <w:lang w:val="sr-Latn-ME"/>
        </w:rPr>
      </w:pPr>
    </w:p>
    <w:p w14:paraId="2213F1F5" w14:textId="77777777" w:rsidR="00EA6F00" w:rsidRPr="00762596" w:rsidRDefault="00861C42" w:rsidP="00762596">
      <w:pPr>
        <w:widowControl w:val="0"/>
        <w:numPr>
          <w:ilvl w:val="1"/>
          <w:numId w:val="2"/>
        </w:numPr>
        <w:tabs>
          <w:tab w:val="clear" w:pos="570"/>
          <w:tab w:val="left" w:pos="567"/>
          <w:tab w:val="num" w:pos="712"/>
        </w:tabs>
        <w:spacing w:line="240" w:lineRule="auto"/>
        <w:ind w:left="712" w:hanging="712"/>
        <w:jc w:val="both"/>
        <w:outlineLvl w:val="0"/>
        <w:rPr>
          <w:b/>
          <w:szCs w:val="22"/>
          <w:lang w:val="sr-Latn-ME"/>
        </w:rPr>
      </w:pPr>
      <w:r w:rsidRPr="00762596">
        <w:rPr>
          <w:b/>
          <w:szCs w:val="22"/>
          <w:lang w:val="sr-Latn-ME"/>
        </w:rPr>
        <w:t>Doziranje i način primjene</w:t>
      </w:r>
    </w:p>
    <w:p w14:paraId="723606D6" w14:textId="77777777" w:rsidR="00EA6F00" w:rsidRPr="00762596" w:rsidRDefault="00EA6F00">
      <w:pPr>
        <w:widowControl w:val="0"/>
        <w:jc w:val="both"/>
        <w:outlineLvl w:val="0"/>
        <w:rPr>
          <w:b/>
          <w:szCs w:val="22"/>
          <w:lang w:val="sr-Latn-ME"/>
        </w:rPr>
      </w:pPr>
    </w:p>
    <w:p w14:paraId="1DB140D9" w14:textId="77777777" w:rsidR="00EA6F00" w:rsidRPr="00762596" w:rsidRDefault="00861C42">
      <w:pPr>
        <w:widowControl w:val="0"/>
        <w:jc w:val="both"/>
        <w:rPr>
          <w:iCs/>
          <w:szCs w:val="22"/>
          <w:u w:val="single"/>
          <w:lang w:val="sr-Latn-ME"/>
        </w:rPr>
      </w:pPr>
      <w:r w:rsidRPr="00762596">
        <w:rPr>
          <w:iCs/>
          <w:szCs w:val="22"/>
          <w:u w:val="single"/>
          <w:lang w:val="sr-Latn-ME"/>
        </w:rPr>
        <w:t>Doziranje</w:t>
      </w:r>
    </w:p>
    <w:p w14:paraId="3411771C" w14:textId="77777777" w:rsidR="00EA6F00" w:rsidRPr="00762596" w:rsidRDefault="00EA6F00">
      <w:pPr>
        <w:widowControl w:val="0"/>
        <w:jc w:val="both"/>
        <w:rPr>
          <w:i/>
          <w:iCs/>
          <w:szCs w:val="22"/>
          <w:lang w:val="sr-Latn-ME"/>
        </w:rPr>
      </w:pPr>
    </w:p>
    <w:p w14:paraId="1D134271" w14:textId="77777777" w:rsidR="00EA6F00" w:rsidRPr="00762596" w:rsidRDefault="00861C42">
      <w:pPr>
        <w:widowControl w:val="0"/>
        <w:jc w:val="both"/>
        <w:rPr>
          <w:iCs/>
          <w:szCs w:val="22"/>
          <w:lang w:val="sr-Latn-ME"/>
        </w:rPr>
      </w:pPr>
      <w:r w:rsidRPr="00762596">
        <w:rPr>
          <w:iCs/>
          <w:szCs w:val="22"/>
          <w:lang w:val="sr-Latn-ME"/>
        </w:rPr>
        <w:t xml:space="preserve">Preporučena doza lijeka </w:t>
      </w:r>
      <w:r w:rsidRPr="00762596">
        <w:rPr>
          <w:szCs w:val="22"/>
          <w:lang w:val="sr-Latn-ME"/>
        </w:rPr>
        <w:t>Wamlox je jedna tableta na dan</w:t>
      </w:r>
      <w:r w:rsidRPr="00762596">
        <w:rPr>
          <w:iCs/>
          <w:szCs w:val="22"/>
          <w:lang w:val="sr-Latn-ME"/>
        </w:rPr>
        <w:t>.</w:t>
      </w:r>
    </w:p>
    <w:p w14:paraId="06E8B7A8" w14:textId="77777777" w:rsidR="00EA6F00" w:rsidRPr="00762596" w:rsidRDefault="00EA6F00">
      <w:pPr>
        <w:widowControl w:val="0"/>
        <w:jc w:val="both"/>
        <w:rPr>
          <w:iCs/>
          <w:szCs w:val="22"/>
          <w:lang w:val="sr-Latn-ME"/>
        </w:rPr>
      </w:pPr>
    </w:p>
    <w:p w14:paraId="28DA49E7" w14:textId="77777777" w:rsidR="00EA6F00" w:rsidRPr="00762596" w:rsidRDefault="00861C42">
      <w:pPr>
        <w:widowControl w:val="0"/>
        <w:jc w:val="both"/>
        <w:rPr>
          <w:szCs w:val="22"/>
          <w:lang w:val="sr-Latn-ME"/>
        </w:rPr>
      </w:pPr>
      <w:r w:rsidRPr="00762596">
        <w:rPr>
          <w:szCs w:val="22"/>
          <w:lang w:val="sr-Latn-ME"/>
        </w:rPr>
        <w:t xml:space="preserve">Lijek Wamlox 5 mg + 80 mg se može primjenjivati kod pacijenata čiji krvni pritisak nije odgovarajuće </w:t>
      </w:r>
      <w:r w:rsidRPr="00762596">
        <w:rPr>
          <w:szCs w:val="22"/>
          <w:lang w:val="sr-Latn-ME"/>
        </w:rPr>
        <w:lastRenderedPageBreak/>
        <w:t>kontrolisan samo amlodipinom 5 mg ili valsartanom 80 mg.</w:t>
      </w:r>
    </w:p>
    <w:p w14:paraId="5951DA4A" w14:textId="77777777" w:rsidR="00EA6F00" w:rsidRPr="00762596" w:rsidRDefault="00EA6F00">
      <w:pPr>
        <w:widowControl w:val="0"/>
        <w:jc w:val="both"/>
        <w:rPr>
          <w:szCs w:val="22"/>
          <w:lang w:val="sr-Latn-ME"/>
        </w:rPr>
      </w:pPr>
    </w:p>
    <w:p w14:paraId="34302BA4" w14:textId="77777777" w:rsidR="00EA6F00" w:rsidRPr="00762596" w:rsidRDefault="00861C42">
      <w:pPr>
        <w:widowControl w:val="0"/>
        <w:jc w:val="both"/>
        <w:rPr>
          <w:szCs w:val="22"/>
          <w:lang w:val="sr-Latn-ME"/>
        </w:rPr>
      </w:pPr>
      <w:r w:rsidRPr="00762596">
        <w:rPr>
          <w:szCs w:val="22"/>
          <w:lang w:val="sr-Latn-ME"/>
        </w:rPr>
        <w:t>Lijek Wamlox 5 mg + 160 mg se može primjenjivati kod pacijenata čiji krvni pritisak nije odgovarajuće kontrolisan samo amlodipinom 5 mg ili valsartanom 160 mg.</w:t>
      </w:r>
    </w:p>
    <w:p w14:paraId="3706F57D" w14:textId="77777777" w:rsidR="00EA6F00" w:rsidRPr="00762596" w:rsidRDefault="00EA6F00">
      <w:pPr>
        <w:widowControl w:val="0"/>
        <w:jc w:val="both"/>
        <w:rPr>
          <w:szCs w:val="22"/>
          <w:lang w:val="sr-Latn-ME"/>
        </w:rPr>
      </w:pPr>
    </w:p>
    <w:p w14:paraId="21049E1E" w14:textId="77777777" w:rsidR="00EA6F00" w:rsidRPr="00762596" w:rsidRDefault="00861C42">
      <w:pPr>
        <w:widowControl w:val="0"/>
        <w:jc w:val="both"/>
        <w:rPr>
          <w:szCs w:val="22"/>
          <w:lang w:val="sr-Latn-ME"/>
        </w:rPr>
      </w:pPr>
      <w:r w:rsidRPr="00762596">
        <w:rPr>
          <w:szCs w:val="22"/>
          <w:lang w:val="sr-Latn-ME"/>
        </w:rPr>
        <w:t>Lijek Wamlox 10 mg + 160 mg se može primjenjivati kod pacijenata čiji krvni pritisak nije odgovarajuće kontrolisan samo amlodipinom 10 mg ili valsartanom 160 mg ili lijekom Wamlox 5 mg + 160 mg.</w:t>
      </w:r>
    </w:p>
    <w:p w14:paraId="4932B958" w14:textId="77777777" w:rsidR="00EA6F00" w:rsidRPr="00762596" w:rsidRDefault="00EA6F00">
      <w:pPr>
        <w:widowControl w:val="0"/>
        <w:jc w:val="both"/>
        <w:rPr>
          <w:szCs w:val="22"/>
          <w:lang w:val="sr-Latn-ME"/>
        </w:rPr>
      </w:pPr>
    </w:p>
    <w:p w14:paraId="39FD33A5" w14:textId="77777777" w:rsidR="00EA6F00" w:rsidRPr="00762596" w:rsidRDefault="00861C42">
      <w:pPr>
        <w:widowControl w:val="0"/>
        <w:jc w:val="both"/>
        <w:rPr>
          <w:iCs/>
          <w:szCs w:val="22"/>
          <w:lang w:val="sr-Latn-ME"/>
        </w:rPr>
      </w:pPr>
      <w:r w:rsidRPr="00762596">
        <w:rPr>
          <w:szCs w:val="22"/>
          <w:lang w:val="sr-Latn-ME"/>
        </w:rPr>
        <w:t>Lijek Wamlox</w:t>
      </w:r>
      <w:r w:rsidRPr="00762596">
        <w:rPr>
          <w:iCs/>
          <w:szCs w:val="22"/>
          <w:lang w:val="sr-Latn-ME"/>
        </w:rPr>
        <w:t xml:space="preserve"> se može primjenjivati sa hranom ili bez nje.</w:t>
      </w:r>
    </w:p>
    <w:p w14:paraId="41B31024" w14:textId="77777777" w:rsidR="00EA6F00" w:rsidRPr="00762596" w:rsidRDefault="00EA6F00">
      <w:pPr>
        <w:widowControl w:val="0"/>
        <w:jc w:val="both"/>
        <w:rPr>
          <w:iCs/>
          <w:szCs w:val="22"/>
          <w:lang w:val="sr-Latn-ME"/>
        </w:rPr>
      </w:pPr>
    </w:p>
    <w:p w14:paraId="0D7F0EB2" w14:textId="77777777" w:rsidR="00EA6F00" w:rsidRPr="00762596" w:rsidRDefault="00861C42">
      <w:pPr>
        <w:widowControl w:val="0"/>
        <w:jc w:val="both"/>
        <w:rPr>
          <w:iCs/>
          <w:szCs w:val="22"/>
          <w:lang w:val="sr-Latn-ME"/>
        </w:rPr>
      </w:pPr>
      <w:r w:rsidRPr="00762596">
        <w:rPr>
          <w:szCs w:val="22"/>
          <w:lang w:val="sr-Latn-ME"/>
        </w:rPr>
        <w:t>Prije prelaska na fiksnu kombinaciju doza, preporučuje se individualno titriranje doze sa pojedinačnim komponenatama lijeka (tj. amlodipinom i valsartanom). Kada je klinički opravdano, može se uzeti u obzir direktni prelaz sa monoterapije na fiksnu kombinaciju doza.</w:t>
      </w:r>
    </w:p>
    <w:p w14:paraId="5E637F6E" w14:textId="77777777" w:rsidR="00EA6F00" w:rsidRPr="00762596" w:rsidRDefault="00EA6F00">
      <w:pPr>
        <w:widowControl w:val="0"/>
        <w:jc w:val="both"/>
        <w:rPr>
          <w:iCs/>
          <w:szCs w:val="22"/>
          <w:lang w:val="sr-Latn-ME"/>
        </w:rPr>
      </w:pPr>
    </w:p>
    <w:p w14:paraId="2A1C84B7" w14:textId="77777777" w:rsidR="00EA6F00" w:rsidRPr="00762596" w:rsidRDefault="00861C42">
      <w:pPr>
        <w:widowControl w:val="0"/>
        <w:jc w:val="both"/>
        <w:rPr>
          <w:iCs/>
          <w:szCs w:val="22"/>
          <w:u w:val="single"/>
          <w:lang w:val="sr-Latn-ME"/>
        </w:rPr>
      </w:pPr>
      <w:r w:rsidRPr="00762596">
        <w:rPr>
          <w:szCs w:val="22"/>
          <w:lang w:val="sr-Latn-ME"/>
        </w:rPr>
        <w:t>Pacijenti koji primaju valsartan i amlodipin u odvojenim tabletama/kapsulama, mogu se radi jednostavnosti prebaciti na lijek Wamlox</w:t>
      </w:r>
      <w:r w:rsidRPr="00762596">
        <w:rPr>
          <w:iCs/>
          <w:szCs w:val="22"/>
          <w:lang w:val="sr-Latn-ME"/>
        </w:rPr>
        <w:t xml:space="preserve"> </w:t>
      </w:r>
      <w:r w:rsidRPr="00762596">
        <w:rPr>
          <w:szCs w:val="22"/>
          <w:lang w:val="sr-Latn-ME"/>
        </w:rPr>
        <w:t>koji sadrži iste doze.</w:t>
      </w:r>
    </w:p>
    <w:p w14:paraId="231C2D95" w14:textId="77777777" w:rsidR="00EA6F00" w:rsidRPr="00762596" w:rsidRDefault="00EA6F00">
      <w:pPr>
        <w:widowControl w:val="0"/>
        <w:jc w:val="both"/>
        <w:rPr>
          <w:iCs/>
          <w:szCs w:val="22"/>
          <w:u w:val="single"/>
          <w:lang w:val="sr-Latn-ME"/>
        </w:rPr>
      </w:pPr>
    </w:p>
    <w:p w14:paraId="0B0D8373" w14:textId="77777777" w:rsidR="00EA6F00" w:rsidRPr="00762596" w:rsidRDefault="00861C42">
      <w:pPr>
        <w:widowControl w:val="0"/>
        <w:jc w:val="both"/>
        <w:rPr>
          <w:iCs/>
          <w:szCs w:val="22"/>
          <w:u w:val="single"/>
          <w:lang w:val="sr-Latn-ME"/>
        </w:rPr>
      </w:pPr>
      <w:r w:rsidRPr="00762596">
        <w:rPr>
          <w:iCs/>
          <w:szCs w:val="22"/>
          <w:u w:val="single"/>
          <w:lang w:val="sr-Latn-ME"/>
        </w:rPr>
        <w:t>Oštećenje funkcije bubrega</w:t>
      </w:r>
    </w:p>
    <w:p w14:paraId="20788FD9" w14:textId="77777777" w:rsidR="00EA6F00" w:rsidRPr="00762596" w:rsidRDefault="00EA6F00">
      <w:pPr>
        <w:widowControl w:val="0"/>
        <w:jc w:val="both"/>
        <w:rPr>
          <w:iCs/>
          <w:szCs w:val="22"/>
          <w:u w:val="single"/>
          <w:lang w:val="sr-Latn-ME"/>
        </w:rPr>
      </w:pPr>
    </w:p>
    <w:p w14:paraId="4C332CBB" w14:textId="77777777" w:rsidR="00EA6F00" w:rsidRPr="00762596" w:rsidRDefault="00861C42">
      <w:pPr>
        <w:widowControl w:val="0"/>
        <w:jc w:val="both"/>
        <w:rPr>
          <w:szCs w:val="22"/>
          <w:lang w:val="sr-Latn-ME"/>
        </w:rPr>
      </w:pPr>
      <w:r w:rsidRPr="00762596">
        <w:rPr>
          <w:szCs w:val="22"/>
          <w:lang w:val="sr-Latn-ME"/>
        </w:rPr>
        <w:t xml:space="preserve">Nema dostupnih kliničkih podataka za pacijente sa ozbiljnim oštećenjem funkcije bubrega. Nije neophodno prilagođavanje doze kod pacijenata sa blagim do umjerenim oštećenjem funkcije bubrega. Savjetuje se praćenje koncentracije kalijuma i kreatinina kod pacijenata sa umjerenim oštećenjem funkcije bubrega. </w:t>
      </w:r>
    </w:p>
    <w:p w14:paraId="6247E4E9" w14:textId="77777777" w:rsidR="00EA6F00" w:rsidRPr="00762596" w:rsidRDefault="00EA6F00">
      <w:pPr>
        <w:widowControl w:val="0"/>
        <w:jc w:val="both"/>
        <w:rPr>
          <w:iCs/>
          <w:szCs w:val="22"/>
          <w:u w:val="single"/>
          <w:lang w:val="sr-Latn-ME"/>
        </w:rPr>
      </w:pPr>
    </w:p>
    <w:p w14:paraId="7B25BCD2" w14:textId="77777777" w:rsidR="00EA6F00" w:rsidRPr="00762596" w:rsidRDefault="00861C42">
      <w:pPr>
        <w:widowControl w:val="0"/>
        <w:jc w:val="both"/>
        <w:rPr>
          <w:iCs/>
          <w:szCs w:val="22"/>
          <w:u w:val="single"/>
          <w:lang w:val="sr-Latn-ME"/>
        </w:rPr>
      </w:pPr>
      <w:r w:rsidRPr="00762596">
        <w:rPr>
          <w:iCs/>
          <w:szCs w:val="22"/>
          <w:u w:val="single"/>
          <w:lang w:val="sr-Latn-ME"/>
        </w:rPr>
        <w:t>Oštećenje funkcije jetre</w:t>
      </w:r>
    </w:p>
    <w:p w14:paraId="71C9BFFE" w14:textId="77777777" w:rsidR="00EA6F00" w:rsidRPr="00762596" w:rsidRDefault="00EA6F00">
      <w:pPr>
        <w:widowControl w:val="0"/>
        <w:jc w:val="both"/>
        <w:rPr>
          <w:iCs/>
          <w:szCs w:val="22"/>
          <w:u w:val="single"/>
          <w:lang w:val="sr-Latn-ME"/>
        </w:rPr>
      </w:pPr>
    </w:p>
    <w:p w14:paraId="63D76F47" w14:textId="77777777" w:rsidR="00EA6F00" w:rsidRPr="00762596" w:rsidRDefault="00861C42">
      <w:pPr>
        <w:widowControl w:val="0"/>
        <w:jc w:val="both"/>
        <w:rPr>
          <w:iCs/>
          <w:szCs w:val="22"/>
          <w:lang w:val="sr-Latn-ME"/>
        </w:rPr>
      </w:pPr>
      <w:r w:rsidRPr="00762596">
        <w:rPr>
          <w:iCs/>
          <w:szCs w:val="22"/>
          <w:lang w:val="sr-Latn-ME"/>
        </w:rPr>
        <w:t>Lijek Wamlox je kontraindikovan kod pacijenata sa teškim oštećenjem funkcije jetre (vidjeti odjeljak 4.3).</w:t>
      </w:r>
    </w:p>
    <w:p w14:paraId="5AD4E84F" w14:textId="77777777" w:rsidR="00EA6F00" w:rsidRPr="00762596" w:rsidRDefault="00EA6F00">
      <w:pPr>
        <w:widowControl w:val="0"/>
        <w:jc w:val="both"/>
        <w:rPr>
          <w:iCs/>
          <w:szCs w:val="22"/>
          <w:u w:val="single"/>
          <w:lang w:val="sr-Latn-ME"/>
        </w:rPr>
      </w:pPr>
    </w:p>
    <w:p w14:paraId="34E0FFA8" w14:textId="77777777" w:rsidR="00EA6F00" w:rsidRPr="00762596" w:rsidRDefault="00861C42">
      <w:pPr>
        <w:widowControl w:val="0"/>
        <w:jc w:val="both"/>
        <w:rPr>
          <w:iCs/>
          <w:szCs w:val="22"/>
          <w:lang w:val="sr-Latn-ME"/>
        </w:rPr>
      </w:pPr>
      <w:r w:rsidRPr="00762596">
        <w:rPr>
          <w:szCs w:val="22"/>
          <w:lang w:val="sr-Latn-ME"/>
        </w:rPr>
        <w:t xml:space="preserve">Potreban je oprez kod primjene lijeka </w:t>
      </w:r>
      <w:r w:rsidRPr="00762596">
        <w:rPr>
          <w:iCs/>
          <w:szCs w:val="22"/>
          <w:lang w:val="sr-Latn-ME"/>
        </w:rPr>
        <w:t xml:space="preserve">Wamlox </w:t>
      </w:r>
      <w:r w:rsidRPr="00762596">
        <w:rPr>
          <w:szCs w:val="22"/>
          <w:lang w:val="sr-Latn-ME"/>
        </w:rPr>
        <w:t xml:space="preserve">pacijentima sa oštećenjem </w:t>
      </w:r>
      <w:r w:rsidRPr="00762596">
        <w:rPr>
          <w:iCs/>
          <w:szCs w:val="22"/>
          <w:lang w:val="sr-Latn-ME"/>
        </w:rPr>
        <w:t xml:space="preserve">funkcije </w:t>
      </w:r>
      <w:r w:rsidRPr="00762596">
        <w:rPr>
          <w:szCs w:val="22"/>
          <w:lang w:val="sr-Latn-ME"/>
        </w:rPr>
        <w:t xml:space="preserve">jetre ili opstruktivnim bolestima bilijarnog sistema (vidjeti odjeljak 4.4). Kod pacijenata sa blagim do umjerenim oštećenjem </w:t>
      </w:r>
      <w:r w:rsidRPr="00762596">
        <w:rPr>
          <w:iCs/>
          <w:szCs w:val="22"/>
          <w:lang w:val="sr-Latn-ME"/>
        </w:rPr>
        <w:t xml:space="preserve">funkcije </w:t>
      </w:r>
      <w:r w:rsidRPr="00762596">
        <w:rPr>
          <w:szCs w:val="22"/>
          <w:lang w:val="sr-Latn-ME"/>
        </w:rPr>
        <w:t>jetre, bez holestaze,</w:t>
      </w:r>
      <w:r w:rsidRPr="00762596">
        <w:rPr>
          <w:iCs/>
          <w:szCs w:val="22"/>
          <w:lang w:val="sr-Latn-ME"/>
        </w:rPr>
        <w:t xml:space="preserve"> </w:t>
      </w:r>
      <w:r w:rsidRPr="00762596">
        <w:rPr>
          <w:szCs w:val="22"/>
          <w:lang w:val="sr-Latn-ME"/>
        </w:rPr>
        <w:t xml:space="preserve">najviša preporučena doza valsartana je 80 mg. Preporučeno doziranje amlodipina nije utvrđeno kod pacijenata sa blagim do umjerenim oštećenjem </w:t>
      </w:r>
      <w:r w:rsidRPr="00762596">
        <w:rPr>
          <w:iCs/>
          <w:szCs w:val="22"/>
          <w:lang w:val="sr-Latn-ME"/>
        </w:rPr>
        <w:t xml:space="preserve">funkcije </w:t>
      </w:r>
      <w:r w:rsidRPr="00762596">
        <w:rPr>
          <w:szCs w:val="22"/>
          <w:lang w:val="sr-Latn-ME"/>
        </w:rPr>
        <w:t xml:space="preserve">jetre. Prilikom prebacivanja hipertenzivnih pacijenata koji ispunjavaju uslove za liječenje (vidjeti odjeljak 4.1) sa oštećenjem </w:t>
      </w:r>
      <w:r w:rsidRPr="00762596">
        <w:rPr>
          <w:iCs/>
          <w:szCs w:val="22"/>
          <w:lang w:val="sr-Latn-ME"/>
        </w:rPr>
        <w:t xml:space="preserve">funkcije </w:t>
      </w:r>
      <w:r w:rsidRPr="00762596">
        <w:rPr>
          <w:szCs w:val="22"/>
          <w:lang w:val="sr-Latn-ME"/>
        </w:rPr>
        <w:t xml:space="preserve">jetre na amlodipin ili na lijek </w:t>
      </w:r>
      <w:r w:rsidRPr="00762596">
        <w:rPr>
          <w:iCs/>
          <w:szCs w:val="22"/>
          <w:lang w:val="sr-Latn-ME"/>
        </w:rPr>
        <w:t>Wamlox</w:t>
      </w:r>
      <w:r w:rsidRPr="00762596">
        <w:rPr>
          <w:szCs w:val="22"/>
          <w:lang w:val="sr-Latn-ME"/>
        </w:rPr>
        <w:t>, treba da se koristi najniža dostupna doza amlodipina u monoterapiji ili amlodipina kao komponente.</w:t>
      </w:r>
    </w:p>
    <w:p w14:paraId="36BCAB85" w14:textId="77777777" w:rsidR="00EA6F00" w:rsidRPr="00762596" w:rsidRDefault="00EA6F00">
      <w:pPr>
        <w:widowControl w:val="0"/>
        <w:jc w:val="both"/>
        <w:rPr>
          <w:iCs/>
          <w:szCs w:val="22"/>
          <w:lang w:val="sr-Latn-ME"/>
        </w:rPr>
      </w:pPr>
    </w:p>
    <w:p w14:paraId="7F0CDED6" w14:textId="77777777" w:rsidR="00EA6F00" w:rsidRPr="00762596" w:rsidRDefault="00861C42">
      <w:pPr>
        <w:widowControl w:val="0"/>
        <w:jc w:val="both"/>
        <w:rPr>
          <w:iCs/>
          <w:szCs w:val="22"/>
          <w:u w:val="single"/>
          <w:lang w:val="sr-Latn-ME"/>
        </w:rPr>
      </w:pPr>
      <w:r w:rsidRPr="00762596">
        <w:rPr>
          <w:iCs/>
          <w:szCs w:val="22"/>
          <w:u w:val="single"/>
          <w:lang w:val="sr-Latn-ME"/>
        </w:rPr>
        <w:t>Starije osobe (starosti 65 godina ili više)</w:t>
      </w:r>
    </w:p>
    <w:p w14:paraId="2BCDA98F" w14:textId="77777777" w:rsidR="00EA6F00" w:rsidRPr="00762596" w:rsidRDefault="00EA6F00">
      <w:pPr>
        <w:widowControl w:val="0"/>
        <w:jc w:val="both"/>
        <w:rPr>
          <w:iCs/>
          <w:szCs w:val="22"/>
          <w:u w:val="single"/>
          <w:lang w:val="sr-Latn-ME"/>
        </w:rPr>
      </w:pPr>
    </w:p>
    <w:p w14:paraId="0BEEA97F" w14:textId="77777777" w:rsidR="00EA6F00" w:rsidRPr="00762596" w:rsidRDefault="00861C42">
      <w:pPr>
        <w:widowControl w:val="0"/>
        <w:jc w:val="both"/>
        <w:rPr>
          <w:i/>
          <w:iCs/>
          <w:szCs w:val="22"/>
          <w:lang w:val="sr-Latn-ME"/>
        </w:rPr>
      </w:pPr>
      <w:r w:rsidRPr="00762596">
        <w:rPr>
          <w:szCs w:val="22"/>
          <w:lang w:val="sr-Latn-ME"/>
        </w:rPr>
        <w:t xml:space="preserve">Kod starijih pacijenata je potreban oprez prilikom povećavanja doze. Prilikom prebacivanja starijih hipertenzivnih pacijenata koji ispunjavaju uslove za liječenje (vidjeti odjeljak 4.1) na amlodipin ili na lijek </w:t>
      </w:r>
      <w:r w:rsidRPr="00762596">
        <w:rPr>
          <w:iCs/>
          <w:szCs w:val="22"/>
          <w:lang w:val="sr-Latn-ME"/>
        </w:rPr>
        <w:t>Wamlox</w:t>
      </w:r>
      <w:r w:rsidRPr="00762596">
        <w:rPr>
          <w:szCs w:val="22"/>
          <w:lang w:val="sr-Latn-ME"/>
        </w:rPr>
        <w:t>, treba da se koristi najniža dostupna doza amlodipina u monoterapiji ili amlodipina kao komponente.</w:t>
      </w:r>
    </w:p>
    <w:p w14:paraId="5DE918BE" w14:textId="77777777" w:rsidR="00EA6F00" w:rsidRPr="00762596" w:rsidRDefault="00EA6F00">
      <w:pPr>
        <w:widowControl w:val="0"/>
        <w:jc w:val="both"/>
        <w:rPr>
          <w:i/>
          <w:iCs/>
          <w:szCs w:val="22"/>
          <w:lang w:val="sr-Latn-ME"/>
        </w:rPr>
      </w:pPr>
    </w:p>
    <w:p w14:paraId="52672649" w14:textId="77777777" w:rsidR="00EA6F00" w:rsidRPr="00762596" w:rsidRDefault="00861C42">
      <w:pPr>
        <w:widowControl w:val="0"/>
        <w:jc w:val="both"/>
        <w:rPr>
          <w:i/>
          <w:iCs/>
          <w:szCs w:val="22"/>
          <w:lang w:val="sr-Latn-ME"/>
        </w:rPr>
      </w:pPr>
      <w:r w:rsidRPr="00762596">
        <w:rPr>
          <w:i/>
          <w:iCs/>
          <w:szCs w:val="22"/>
          <w:lang w:val="sr-Latn-ME"/>
        </w:rPr>
        <w:t>Pedijatrijska populacija</w:t>
      </w:r>
    </w:p>
    <w:p w14:paraId="5A34A29F" w14:textId="77777777" w:rsidR="00EA6F00" w:rsidRPr="00762596" w:rsidRDefault="00EA6F00">
      <w:pPr>
        <w:widowControl w:val="0"/>
        <w:jc w:val="both"/>
        <w:rPr>
          <w:szCs w:val="22"/>
          <w:lang w:val="sr-Latn-ME"/>
        </w:rPr>
      </w:pPr>
    </w:p>
    <w:p w14:paraId="304FA161" w14:textId="77777777" w:rsidR="00EA6F00" w:rsidRPr="00762596" w:rsidRDefault="00861C42">
      <w:pPr>
        <w:widowControl w:val="0"/>
        <w:jc w:val="both"/>
        <w:rPr>
          <w:szCs w:val="22"/>
          <w:lang w:val="sr-Latn-ME"/>
        </w:rPr>
      </w:pPr>
      <w:r w:rsidRPr="00762596">
        <w:rPr>
          <w:szCs w:val="22"/>
          <w:lang w:val="sr-Latn-ME"/>
        </w:rPr>
        <w:t>Bezbjednost i efikasnost lijeka Wamlox kod djece mlađe od 18 godina nijesu utvrđene. Nema dostupnih podataka.</w:t>
      </w:r>
    </w:p>
    <w:p w14:paraId="79EEC420" w14:textId="77777777" w:rsidR="00EA6F00" w:rsidRPr="00762596" w:rsidRDefault="00EA6F00">
      <w:pPr>
        <w:widowControl w:val="0"/>
        <w:jc w:val="both"/>
        <w:rPr>
          <w:szCs w:val="22"/>
          <w:u w:val="single"/>
          <w:lang w:val="sr-Latn-ME"/>
        </w:rPr>
      </w:pPr>
    </w:p>
    <w:p w14:paraId="57E7012D" w14:textId="77777777" w:rsidR="00EA6F00" w:rsidRPr="00762596" w:rsidRDefault="00861C42">
      <w:pPr>
        <w:widowControl w:val="0"/>
        <w:jc w:val="both"/>
        <w:rPr>
          <w:szCs w:val="22"/>
          <w:u w:val="single"/>
          <w:lang w:val="sr-Latn-ME"/>
        </w:rPr>
      </w:pPr>
      <w:r w:rsidRPr="00762596">
        <w:rPr>
          <w:szCs w:val="22"/>
          <w:u w:val="single"/>
          <w:lang w:val="sr-Latn-ME"/>
        </w:rPr>
        <w:t>Način primjene</w:t>
      </w:r>
    </w:p>
    <w:p w14:paraId="5424F76F" w14:textId="77777777" w:rsidR="00EA6F00" w:rsidRPr="00762596" w:rsidRDefault="00EA6F00">
      <w:pPr>
        <w:widowControl w:val="0"/>
        <w:jc w:val="both"/>
        <w:rPr>
          <w:i/>
          <w:iCs/>
          <w:szCs w:val="22"/>
          <w:lang w:val="sr-Latn-ME"/>
        </w:rPr>
      </w:pPr>
    </w:p>
    <w:p w14:paraId="2935403B" w14:textId="77777777" w:rsidR="00EA6F00" w:rsidRPr="00762596" w:rsidRDefault="00861C42">
      <w:pPr>
        <w:widowControl w:val="0"/>
        <w:jc w:val="both"/>
        <w:rPr>
          <w:iCs/>
          <w:szCs w:val="22"/>
          <w:lang w:val="sr-Latn-ME"/>
        </w:rPr>
      </w:pPr>
      <w:r w:rsidRPr="00762596">
        <w:rPr>
          <w:iCs/>
          <w:szCs w:val="22"/>
          <w:lang w:val="sr-Latn-ME"/>
        </w:rPr>
        <w:t>Oralna primjena.</w:t>
      </w:r>
    </w:p>
    <w:p w14:paraId="7AEDE847" w14:textId="77777777" w:rsidR="00EA6F00" w:rsidRPr="00762596" w:rsidRDefault="00EA6F00">
      <w:pPr>
        <w:widowControl w:val="0"/>
        <w:jc w:val="both"/>
        <w:rPr>
          <w:iCs/>
          <w:szCs w:val="22"/>
          <w:lang w:val="sr-Latn-ME"/>
        </w:rPr>
      </w:pPr>
    </w:p>
    <w:p w14:paraId="13F4EBA0" w14:textId="77777777" w:rsidR="00EA6F00" w:rsidRPr="00762596" w:rsidRDefault="00861C42">
      <w:pPr>
        <w:widowControl w:val="0"/>
        <w:jc w:val="both"/>
        <w:rPr>
          <w:iCs/>
          <w:szCs w:val="22"/>
          <w:lang w:val="sr-Latn-ME"/>
        </w:rPr>
      </w:pPr>
      <w:r w:rsidRPr="00762596">
        <w:rPr>
          <w:iCs/>
          <w:szCs w:val="22"/>
          <w:lang w:val="sr-Latn-ME"/>
        </w:rPr>
        <w:t xml:space="preserve">Preporučuje se uzimanje lijeka </w:t>
      </w:r>
      <w:r w:rsidRPr="00762596">
        <w:rPr>
          <w:szCs w:val="22"/>
          <w:lang w:val="sr-Latn-ME"/>
        </w:rPr>
        <w:t>Wamlox sa nešto vode</w:t>
      </w:r>
      <w:r w:rsidRPr="00762596">
        <w:rPr>
          <w:iCs/>
          <w:szCs w:val="22"/>
          <w:lang w:val="sr-Latn-ME"/>
        </w:rPr>
        <w:t>.</w:t>
      </w:r>
    </w:p>
    <w:p w14:paraId="3600081B" w14:textId="77777777" w:rsidR="00EA6F00" w:rsidRPr="00762596" w:rsidRDefault="00EA6F00">
      <w:pPr>
        <w:widowControl w:val="0"/>
        <w:jc w:val="both"/>
        <w:rPr>
          <w:szCs w:val="22"/>
          <w:lang w:val="sr-Latn-ME"/>
        </w:rPr>
      </w:pPr>
    </w:p>
    <w:p w14:paraId="3A43C961" w14:textId="77777777" w:rsidR="00EA6F00" w:rsidRPr="00762596" w:rsidRDefault="00861C42">
      <w:pPr>
        <w:widowControl w:val="0"/>
        <w:jc w:val="both"/>
        <w:rPr>
          <w:b/>
          <w:szCs w:val="22"/>
          <w:lang w:val="sr-Latn-ME"/>
        </w:rPr>
      </w:pPr>
      <w:r w:rsidRPr="00762596">
        <w:rPr>
          <w:b/>
          <w:szCs w:val="22"/>
          <w:lang w:val="sr-Latn-ME"/>
        </w:rPr>
        <w:lastRenderedPageBreak/>
        <w:t>4.3</w:t>
      </w:r>
      <w:r w:rsidRPr="00762596">
        <w:rPr>
          <w:b/>
          <w:szCs w:val="22"/>
          <w:lang w:val="sr-Latn-ME"/>
        </w:rPr>
        <w:tab/>
        <w:t>Kontraindikacije</w:t>
      </w:r>
    </w:p>
    <w:p w14:paraId="55915259" w14:textId="77777777" w:rsidR="00EA6F00" w:rsidRPr="00762596" w:rsidRDefault="00EA6F00">
      <w:pPr>
        <w:widowControl w:val="0"/>
        <w:jc w:val="both"/>
        <w:rPr>
          <w:szCs w:val="22"/>
          <w:lang w:val="sr-Latn-ME"/>
        </w:rPr>
      </w:pPr>
    </w:p>
    <w:p w14:paraId="4310FE71" w14:textId="77777777" w:rsidR="00EA6F00" w:rsidRPr="00762596" w:rsidRDefault="00861C42">
      <w:pPr>
        <w:widowControl w:val="0"/>
        <w:numPr>
          <w:ilvl w:val="0"/>
          <w:numId w:val="4"/>
        </w:numPr>
        <w:spacing w:line="240" w:lineRule="auto"/>
        <w:ind w:left="567" w:hanging="207"/>
        <w:jc w:val="both"/>
        <w:rPr>
          <w:szCs w:val="22"/>
          <w:lang w:val="sr-Latn-ME"/>
        </w:rPr>
      </w:pPr>
      <w:r w:rsidRPr="00762596">
        <w:rPr>
          <w:szCs w:val="22"/>
          <w:lang w:val="sr-Latn-ME"/>
        </w:rPr>
        <w:t>Preosjetljivost na aktivne supstance, derivate dihidropiridina ili na neku od pomoćnih supstanci navedenih u odjeljku 6.1.</w:t>
      </w:r>
    </w:p>
    <w:p w14:paraId="7DFE1448" w14:textId="77777777" w:rsidR="00EA6F00" w:rsidRPr="00762596" w:rsidRDefault="00861C42">
      <w:pPr>
        <w:widowControl w:val="0"/>
        <w:numPr>
          <w:ilvl w:val="0"/>
          <w:numId w:val="4"/>
        </w:numPr>
        <w:spacing w:line="240" w:lineRule="auto"/>
        <w:jc w:val="both"/>
        <w:rPr>
          <w:szCs w:val="22"/>
          <w:lang w:val="sr-Latn-ME"/>
        </w:rPr>
      </w:pPr>
      <w:r w:rsidRPr="00762596">
        <w:rPr>
          <w:szCs w:val="22"/>
          <w:lang w:val="sr-Latn-ME"/>
        </w:rPr>
        <w:t>Teško oštećenje funkcije jetre, bilijarna ciroza ili holestaza.</w:t>
      </w:r>
    </w:p>
    <w:p w14:paraId="175D0931" w14:textId="77777777" w:rsidR="00EA6F00" w:rsidRPr="00762596" w:rsidRDefault="00861C42">
      <w:pPr>
        <w:widowControl w:val="0"/>
        <w:numPr>
          <w:ilvl w:val="0"/>
          <w:numId w:val="4"/>
        </w:numPr>
        <w:spacing w:line="240" w:lineRule="auto"/>
        <w:ind w:left="567" w:hanging="207"/>
        <w:jc w:val="both"/>
        <w:rPr>
          <w:szCs w:val="22"/>
          <w:lang w:val="sr-Latn-ME"/>
        </w:rPr>
      </w:pPr>
      <w:r w:rsidRPr="00762596">
        <w:rPr>
          <w:szCs w:val="22"/>
          <w:lang w:val="sr-Latn-ME"/>
        </w:rPr>
        <w:t>Istovremena primjena lijeka Wamlox sa ljekovima koji sadrže aliskiren je kontraindikovana kod pacijenata koji imaju dijabetes melitus ili oštećenje funkcije bubrega (GFR &lt;60 ml/min/1,73 m</w:t>
      </w:r>
      <w:r w:rsidRPr="00762596">
        <w:rPr>
          <w:szCs w:val="22"/>
          <w:vertAlign w:val="superscript"/>
          <w:lang w:val="sr-Latn-ME"/>
        </w:rPr>
        <w:t>2</w:t>
      </w:r>
      <w:r w:rsidRPr="00762596">
        <w:rPr>
          <w:szCs w:val="22"/>
          <w:lang w:val="sr-Latn-ME"/>
        </w:rPr>
        <w:t>) (vidjeti odjeljke 4.5 i 5.1).</w:t>
      </w:r>
    </w:p>
    <w:p w14:paraId="67365A2A" w14:textId="77777777" w:rsidR="00EA6F00" w:rsidRPr="00762596" w:rsidRDefault="00861C42">
      <w:pPr>
        <w:widowControl w:val="0"/>
        <w:numPr>
          <w:ilvl w:val="0"/>
          <w:numId w:val="4"/>
        </w:numPr>
        <w:spacing w:line="240" w:lineRule="auto"/>
        <w:jc w:val="both"/>
        <w:rPr>
          <w:szCs w:val="22"/>
          <w:lang w:val="sr-Latn-ME"/>
        </w:rPr>
      </w:pPr>
      <w:r w:rsidRPr="00762596">
        <w:rPr>
          <w:szCs w:val="22"/>
          <w:lang w:val="sr-Latn-ME"/>
        </w:rPr>
        <w:t>Drugi i treći trimestar trudnoće (vidjeti odjeljke 4.4 i 4.6).</w:t>
      </w:r>
    </w:p>
    <w:p w14:paraId="2B2DF465" w14:textId="77777777" w:rsidR="00EA6F00" w:rsidRPr="00762596" w:rsidRDefault="00861C42">
      <w:pPr>
        <w:widowControl w:val="0"/>
        <w:numPr>
          <w:ilvl w:val="0"/>
          <w:numId w:val="4"/>
        </w:numPr>
        <w:spacing w:line="240" w:lineRule="auto"/>
        <w:jc w:val="both"/>
        <w:rPr>
          <w:szCs w:val="22"/>
          <w:lang w:val="sr-Latn-ME"/>
        </w:rPr>
      </w:pPr>
      <w:r w:rsidRPr="00762596">
        <w:rPr>
          <w:szCs w:val="22"/>
          <w:lang w:val="sr-Latn-ME"/>
        </w:rPr>
        <w:t>Teška hipotenzija.</w:t>
      </w:r>
    </w:p>
    <w:p w14:paraId="1D059931" w14:textId="77777777" w:rsidR="00EA6F00" w:rsidRPr="00762596" w:rsidRDefault="00861C42">
      <w:pPr>
        <w:widowControl w:val="0"/>
        <w:numPr>
          <w:ilvl w:val="0"/>
          <w:numId w:val="4"/>
        </w:numPr>
        <w:spacing w:line="240" w:lineRule="auto"/>
        <w:jc w:val="both"/>
        <w:rPr>
          <w:szCs w:val="22"/>
          <w:lang w:val="sr-Latn-ME"/>
        </w:rPr>
      </w:pPr>
      <w:r w:rsidRPr="00762596">
        <w:rPr>
          <w:szCs w:val="22"/>
          <w:lang w:val="sr-Latn-ME"/>
        </w:rPr>
        <w:t>Šok (uključujući kardiogeni šok).</w:t>
      </w:r>
    </w:p>
    <w:p w14:paraId="7AD29FC0" w14:textId="77777777" w:rsidR="00EA6F00" w:rsidRPr="00762596" w:rsidRDefault="00861C42">
      <w:pPr>
        <w:widowControl w:val="0"/>
        <w:numPr>
          <w:ilvl w:val="0"/>
          <w:numId w:val="4"/>
        </w:numPr>
        <w:spacing w:line="240" w:lineRule="auto"/>
        <w:ind w:left="567" w:hanging="207"/>
        <w:jc w:val="both"/>
        <w:rPr>
          <w:szCs w:val="22"/>
          <w:lang w:val="sr-Latn-ME"/>
        </w:rPr>
      </w:pPr>
      <w:r w:rsidRPr="00762596">
        <w:rPr>
          <w:szCs w:val="22"/>
          <w:lang w:val="sr-Latn-ME"/>
        </w:rPr>
        <w:t>Opstrukcija protoka iz lijeve komore (npr. hipertrofična opstruktivna kardiomiopatija i aortalna stenoza visokog stepena).</w:t>
      </w:r>
    </w:p>
    <w:p w14:paraId="7D47765E" w14:textId="77777777" w:rsidR="00EA6F00" w:rsidRPr="00762596" w:rsidRDefault="00861C42">
      <w:pPr>
        <w:widowControl w:val="0"/>
        <w:numPr>
          <w:ilvl w:val="0"/>
          <w:numId w:val="4"/>
        </w:numPr>
        <w:spacing w:line="240" w:lineRule="auto"/>
        <w:jc w:val="both"/>
        <w:rPr>
          <w:szCs w:val="22"/>
          <w:lang w:val="sr-Latn-ME"/>
        </w:rPr>
      </w:pPr>
      <w:r w:rsidRPr="00762596">
        <w:rPr>
          <w:szCs w:val="22"/>
          <w:lang w:val="sr-Latn-ME"/>
        </w:rPr>
        <w:t>Hemodinamički nestabilna srčana insuficijencija nakon akutnog infarkta miokarda.</w:t>
      </w:r>
    </w:p>
    <w:p w14:paraId="3994EA76" w14:textId="77777777" w:rsidR="00EA6F00" w:rsidRPr="00762596" w:rsidRDefault="00EA6F00">
      <w:pPr>
        <w:widowControl w:val="0"/>
        <w:jc w:val="both"/>
        <w:rPr>
          <w:szCs w:val="22"/>
          <w:lang w:val="sr-Latn-ME"/>
        </w:rPr>
      </w:pPr>
    </w:p>
    <w:p w14:paraId="20F38384" w14:textId="77777777" w:rsidR="00EA6F00" w:rsidRPr="00762596" w:rsidRDefault="00861C42">
      <w:pPr>
        <w:widowControl w:val="0"/>
        <w:jc w:val="both"/>
        <w:rPr>
          <w:b/>
          <w:szCs w:val="22"/>
          <w:lang w:val="sr-Latn-ME"/>
        </w:rPr>
      </w:pPr>
      <w:r w:rsidRPr="00762596">
        <w:rPr>
          <w:b/>
          <w:szCs w:val="22"/>
          <w:lang w:val="sr-Latn-ME"/>
        </w:rPr>
        <w:t>4.4</w:t>
      </w:r>
      <w:r w:rsidRPr="00762596">
        <w:rPr>
          <w:b/>
          <w:szCs w:val="22"/>
          <w:lang w:val="sr-Latn-ME"/>
        </w:rPr>
        <w:tab/>
        <w:t>Posebna upozorenja i mjere opreza pri upotrebi lijeka</w:t>
      </w:r>
    </w:p>
    <w:p w14:paraId="39091FD7" w14:textId="77777777" w:rsidR="00EA6F00" w:rsidRPr="00762596" w:rsidRDefault="00EA6F00">
      <w:pPr>
        <w:widowControl w:val="0"/>
        <w:jc w:val="both"/>
        <w:rPr>
          <w:b/>
          <w:szCs w:val="22"/>
          <w:lang w:val="sr-Latn-ME"/>
        </w:rPr>
      </w:pPr>
    </w:p>
    <w:p w14:paraId="2E17607C" w14:textId="77777777" w:rsidR="00EA6F00" w:rsidRPr="00762596" w:rsidRDefault="00861C42">
      <w:pPr>
        <w:widowControl w:val="0"/>
        <w:jc w:val="both"/>
        <w:rPr>
          <w:iCs/>
          <w:szCs w:val="22"/>
          <w:lang w:val="sr-Latn-ME"/>
        </w:rPr>
      </w:pPr>
      <w:r w:rsidRPr="00762596">
        <w:rPr>
          <w:szCs w:val="22"/>
          <w:lang w:val="sr-Latn-ME"/>
        </w:rPr>
        <w:t xml:space="preserve">Bezbjednost i efikasnost amlodipina u hipertenzivnoj krizi nisu utvrđene. </w:t>
      </w:r>
    </w:p>
    <w:p w14:paraId="51DD45AB" w14:textId="77777777" w:rsidR="00EA6F00" w:rsidRPr="00762596" w:rsidRDefault="00EA6F00">
      <w:pPr>
        <w:widowControl w:val="0"/>
        <w:jc w:val="both"/>
        <w:rPr>
          <w:iCs/>
          <w:szCs w:val="22"/>
          <w:lang w:val="sr-Latn-ME"/>
        </w:rPr>
      </w:pPr>
    </w:p>
    <w:p w14:paraId="30C69C0C" w14:textId="77777777" w:rsidR="00EA6F00" w:rsidRPr="00762596" w:rsidRDefault="00861C42">
      <w:pPr>
        <w:widowControl w:val="0"/>
        <w:jc w:val="both"/>
        <w:rPr>
          <w:iCs/>
          <w:szCs w:val="22"/>
          <w:u w:val="single"/>
          <w:lang w:val="sr-Latn-ME"/>
        </w:rPr>
      </w:pPr>
      <w:r w:rsidRPr="00762596">
        <w:rPr>
          <w:iCs/>
          <w:szCs w:val="22"/>
          <w:u w:val="single"/>
          <w:lang w:val="sr-Latn-ME"/>
        </w:rPr>
        <w:t>Trudnoća</w:t>
      </w:r>
    </w:p>
    <w:p w14:paraId="4E5D338D" w14:textId="77777777" w:rsidR="00EA6F00" w:rsidRPr="00762596" w:rsidRDefault="00EA6F00">
      <w:pPr>
        <w:widowControl w:val="0"/>
        <w:jc w:val="both"/>
        <w:rPr>
          <w:iCs/>
          <w:szCs w:val="22"/>
          <w:lang w:val="sr-Latn-ME"/>
        </w:rPr>
      </w:pPr>
    </w:p>
    <w:p w14:paraId="688F9517" w14:textId="77777777" w:rsidR="00EA6F00" w:rsidRPr="00762596" w:rsidRDefault="00861C42">
      <w:pPr>
        <w:widowControl w:val="0"/>
        <w:jc w:val="both"/>
        <w:rPr>
          <w:iCs/>
          <w:szCs w:val="22"/>
          <w:lang w:val="sr-Latn-ME"/>
        </w:rPr>
      </w:pPr>
      <w:r w:rsidRPr="00762596">
        <w:rPr>
          <w:szCs w:val="22"/>
          <w:lang w:val="sr-Latn-ME"/>
        </w:rPr>
        <w:t xml:space="preserve">Primjena antagonista angiotenzin II receptora (AIIRA – engl. </w:t>
      </w:r>
      <w:r w:rsidRPr="00762596">
        <w:rPr>
          <w:i/>
          <w:iCs/>
          <w:szCs w:val="22"/>
          <w:lang w:val="sr-Latn-ME"/>
        </w:rPr>
        <w:t>angiotensin II receptor antagonists</w:t>
      </w:r>
      <w:r w:rsidRPr="00762596">
        <w:rPr>
          <w:szCs w:val="22"/>
          <w:lang w:val="sr-Latn-ME"/>
        </w:rPr>
        <w:t>) ne smije da se započne tokom trudnoće. Ukoliko nastavak terapije AIIRA-om nije neophodan, pacijentkinje koje planiraju trudnoću treba prebaciti na alternativna antihipertenzivna liječenja koja imaju utvrđen bezbjednosni profil za primjenu u trudnoći. Kada se trudnoća utvrdi, liječenje AIIRA-om treba odmah prekinuti, i ako je prikladno, započeti alternativnu terapiju (vidjeti odjeljke 4.3 i 4.6).</w:t>
      </w:r>
    </w:p>
    <w:p w14:paraId="675790A2" w14:textId="77777777" w:rsidR="00EA6F00" w:rsidRPr="00762596" w:rsidRDefault="00EA6F00">
      <w:pPr>
        <w:widowControl w:val="0"/>
        <w:jc w:val="both"/>
        <w:rPr>
          <w:iCs/>
          <w:szCs w:val="22"/>
          <w:lang w:val="sr-Latn-ME"/>
        </w:rPr>
      </w:pPr>
    </w:p>
    <w:p w14:paraId="25548BAB" w14:textId="77777777" w:rsidR="00EA6F00" w:rsidRPr="00762596" w:rsidRDefault="00861C42">
      <w:pPr>
        <w:widowControl w:val="0"/>
        <w:jc w:val="both"/>
        <w:rPr>
          <w:szCs w:val="22"/>
          <w:u w:val="single"/>
          <w:lang w:val="sr-Latn-ME"/>
        </w:rPr>
      </w:pPr>
      <w:r w:rsidRPr="00762596">
        <w:rPr>
          <w:szCs w:val="22"/>
          <w:u w:val="single"/>
          <w:lang w:val="sr-Latn-ME"/>
        </w:rPr>
        <w:t>Pacijenti sa sniženom koncentracijom natrijuma i/ili smanjenim volumenom tjelesne tečnosti</w:t>
      </w:r>
    </w:p>
    <w:p w14:paraId="377ED96B" w14:textId="77777777" w:rsidR="00EA6F00" w:rsidRPr="00762596" w:rsidRDefault="00EA6F00">
      <w:pPr>
        <w:widowControl w:val="0"/>
        <w:jc w:val="both"/>
        <w:rPr>
          <w:iCs/>
          <w:szCs w:val="22"/>
          <w:lang w:val="sr-Latn-ME"/>
        </w:rPr>
      </w:pPr>
    </w:p>
    <w:p w14:paraId="18679D7D" w14:textId="77777777" w:rsidR="00EA6F00" w:rsidRPr="00762596" w:rsidRDefault="00861C42">
      <w:pPr>
        <w:widowControl w:val="0"/>
        <w:jc w:val="both"/>
        <w:rPr>
          <w:iCs/>
          <w:szCs w:val="22"/>
          <w:lang w:val="sr-Latn-ME"/>
        </w:rPr>
      </w:pPr>
      <w:r w:rsidRPr="00762596">
        <w:rPr>
          <w:szCs w:val="22"/>
          <w:lang w:val="sr-Latn-ME"/>
        </w:rPr>
        <w:t xml:space="preserve">U placebo kontrolisanim studijama, kod 0,4% pacijenata sa nekomplikovanom hipertenzijom liječenih kombinacijom </w:t>
      </w:r>
      <w:r w:rsidRPr="00762596">
        <w:rPr>
          <w:iCs/>
          <w:szCs w:val="22"/>
          <w:lang w:val="sr-Latn-ME"/>
        </w:rPr>
        <w:t xml:space="preserve">amlodipina/valsartana </w:t>
      </w:r>
      <w:r w:rsidRPr="00762596">
        <w:rPr>
          <w:szCs w:val="22"/>
          <w:lang w:val="sr-Latn-ME"/>
        </w:rPr>
        <w:t xml:space="preserve">viđena je izražena hipotenzija. Kod pacijenata sa aktiviranim renin-angiotenzinskim sistemom (poput pacijenata sa smanjenim volumenom tjelesne tečnosti i/ili sniženom koncentracijom natrijuma na visokim dozama diuretika) koji primaju blokatore angiotenzinskih receptora, može doći do simptomatske hipotenzije. Preporučuje se korigovanje ovog stanja prije primjene kombinacije </w:t>
      </w:r>
      <w:r w:rsidRPr="00762596">
        <w:rPr>
          <w:iCs/>
          <w:szCs w:val="22"/>
          <w:lang w:val="sr-Latn-ME"/>
        </w:rPr>
        <w:t xml:space="preserve">amlodipina/valsartana </w:t>
      </w:r>
      <w:r w:rsidRPr="00762596">
        <w:rPr>
          <w:szCs w:val="22"/>
          <w:lang w:val="sr-Latn-ME"/>
        </w:rPr>
        <w:t>ili pažljiv ljekarski nadzor na početku liječenja.</w:t>
      </w:r>
    </w:p>
    <w:p w14:paraId="5A11800D" w14:textId="77777777" w:rsidR="00EA6F00" w:rsidRPr="00762596" w:rsidRDefault="00EA6F00">
      <w:pPr>
        <w:widowControl w:val="0"/>
        <w:jc w:val="both"/>
        <w:rPr>
          <w:iCs/>
          <w:szCs w:val="22"/>
          <w:lang w:val="sr-Latn-ME"/>
        </w:rPr>
      </w:pPr>
    </w:p>
    <w:p w14:paraId="6C6A630A" w14:textId="77777777" w:rsidR="00EA6F00" w:rsidRPr="00762596" w:rsidRDefault="00861C42">
      <w:pPr>
        <w:widowControl w:val="0"/>
        <w:jc w:val="both"/>
        <w:rPr>
          <w:iCs/>
          <w:szCs w:val="22"/>
          <w:lang w:val="sr-Latn-ME"/>
        </w:rPr>
      </w:pPr>
      <w:r w:rsidRPr="00762596">
        <w:rPr>
          <w:szCs w:val="22"/>
          <w:lang w:val="sr-Latn-ME"/>
        </w:rPr>
        <w:t xml:space="preserve">Ako se uz kombinaciju </w:t>
      </w:r>
      <w:r w:rsidRPr="00762596">
        <w:rPr>
          <w:iCs/>
          <w:szCs w:val="22"/>
          <w:lang w:val="sr-Latn-ME"/>
        </w:rPr>
        <w:t>amlodipina/valsartana</w:t>
      </w:r>
      <w:r w:rsidRPr="00762596">
        <w:rPr>
          <w:szCs w:val="22"/>
          <w:lang w:val="sr-Latn-ME"/>
        </w:rPr>
        <w:t xml:space="preserve"> pojavi hipotenzija, pacijenta treba postaviti u ležeći položaj i po potrebi mu dati intravensku infuziju fiziološkog rastvora. Liječenje se može nastaviti kada se stabilizuje krvni pritisak. </w:t>
      </w:r>
    </w:p>
    <w:p w14:paraId="48665B30" w14:textId="77777777" w:rsidR="00EA6F00" w:rsidRPr="00762596" w:rsidRDefault="00EA6F00">
      <w:pPr>
        <w:widowControl w:val="0"/>
        <w:jc w:val="both"/>
        <w:rPr>
          <w:iCs/>
          <w:szCs w:val="22"/>
          <w:lang w:val="sr-Latn-ME"/>
        </w:rPr>
      </w:pPr>
    </w:p>
    <w:p w14:paraId="19C5114A" w14:textId="77777777" w:rsidR="00EA6F00" w:rsidRPr="00762596" w:rsidRDefault="00861C42">
      <w:pPr>
        <w:widowControl w:val="0"/>
        <w:jc w:val="both"/>
        <w:rPr>
          <w:iCs/>
          <w:szCs w:val="22"/>
          <w:u w:val="single"/>
          <w:lang w:val="sr-Latn-ME"/>
        </w:rPr>
      </w:pPr>
      <w:r w:rsidRPr="00762596">
        <w:rPr>
          <w:iCs/>
          <w:szCs w:val="22"/>
          <w:u w:val="single"/>
          <w:lang w:val="sr-Latn-ME"/>
        </w:rPr>
        <w:t>Hiperkalijemija</w:t>
      </w:r>
    </w:p>
    <w:p w14:paraId="3834F6FC" w14:textId="77777777" w:rsidR="00EA6F00" w:rsidRPr="00762596" w:rsidRDefault="00EA6F00">
      <w:pPr>
        <w:widowControl w:val="0"/>
        <w:jc w:val="both"/>
        <w:rPr>
          <w:iCs/>
          <w:szCs w:val="22"/>
          <w:lang w:val="sr-Latn-ME"/>
        </w:rPr>
      </w:pPr>
    </w:p>
    <w:p w14:paraId="62F3F6BD" w14:textId="77777777" w:rsidR="00EA6F00" w:rsidRPr="00762596" w:rsidRDefault="00861C42">
      <w:pPr>
        <w:widowControl w:val="0"/>
        <w:jc w:val="both"/>
        <w:rPr>
          <w:iCs/>
          <w:szCs w:val="22"/>
          <w:lang w:val="sr-Latn-ME"/>
        </w:rPr>
      </w:pPr>
      <w:r w:rsidRPr="00762596">
        <w:rPr>
          <w:szCs w:val="22"/>
          <w:lang w:val="sr-Latn-ME"/>
        </w:rPr>
        <w:t>Pri istovremenoj primjeni sa suplementima kalijuma, diureticima koji štede kalijum, zamjenama za soli koje sadrže kalijum, ili drugim ljekovima koji mogu povećati koncentraciju kalijuma (heparin, itd.), potreban je oprez i često praćenje koncentracije kalijuma.</w:t>
      </w:r>
    </w:p>
    <w:p w14:paraId="444D9EA8" w14:textId="77777777" w:rsidR="00EA6F00" w:rsidRPr="00762596" w:rsidRDefault="00EA6F00">
      <w:pPr>
        <w:widowControl w:val="0"/>
        <w:jc w:val="both"/>
        <w:rPr>
          <w:iCs/>
          <w:szCs w:val="22"/>
          <w:lang w:val="sr-Latn-ME"/>
        </w:rPr>
      </w:pPr>
    </w:p>
    <w:p w14:paraId="70CC5F61" w14:textId="77777777" w:rsidR="00EA6F00" w:rsidRPr="00762596" w:rsidRDefault="00861C42">
      <w:pPr>
        <w:widowControl w:val="0"/>
        <w:jc w:val="both"/>
        <w:rPr>
          <w:iCs/>
          <w:szCs w:val="22"/>
          <w:u w:val="single"/>
          <w:lang w:val="sr-Latn-ME"/>
        </w:rPr>
      </w:pPr>
      <w:r w:rsidRPr="00762596">
        <w:rPr>
          <w:iCs/>
          <w:szCs w:val="22"/>
          <w:u w:val="single"/>
          <w:lang w:val="sr-Latn-ME"/>
        </w:rPr>
        <w:t>Stenoza bubrežne arterije</w:t>
      </w:r>
    </w:p>
    <w:p w14:paraId="6B740FF6" w14:textId="77777777" w:rsidR="00EA6F00" w:rsidRPr="00762596" w:rsidRDefault="00EA6F00">
      <w:pPr>
        <w:widowControl w:val="0"/>
        <w:jc w:val="both"/>
        <w:rPr>
          <w:iCs/>
          <w:szCs w:val="22"/>
          <w:lang w:val="sr-Latn-ME"/>
        </w:rPr>
      </w:pPr>
    </w:p>
    <w:p w14:paraId="5E9536CB" w14:textId="77777777" w:rsidR="00EA6F00" w:rsidRPr="00762596" w:rsidRDefault="00861C42">
      <w:pPr>
        <w:widowControl w:val="0"/>
        <w:jc w:val="both"/>
        <w:rPr>
          <w:iCs/>
          <w:szCs w:val="22"/>
          <w:lang w:val="sr-Latn-ME"/>
        </w:rPr>
      </w:pPr>
      <w:r w:rsidRPr="00762596">
        <w:rPr>
          <w:iCs/>
          <w:szCs w:val="22"/>
          <w:lang w:val="sr-Latn-ME"/>
        </w:rPr>
        <w:t xml:space="preserve">Kombinacija amlodipin/valsartan </w:t>
      </w:r>
      <w:r w:rsidRPr="00762596">
        <w:rPr>
          <w:szCs w:val="22"/>
          <w:lang w:val="sr-Latn-ME"/>
        </w:rPr>
        <w:t>treba da se primjenjuje sa oprezom u liječenju hipertenzije kod pacijenata sa jednostranom ili obostranom stenozom bubrežne arterije ili stenozom bubrežne arterije kod postojanja samo jednog bubrega, budući da se kod ovih pacijenata može povećati vrijednost uree u krvi i serumski kreatinin.</w:t>
      </w:r>
    </w:p>
    <w:p w14:paraId="1D63EF47" w14:textId="77777777" w:rsidR="00EA6F00" w:rsidRPr="00762596" w:rsidRDefault="00EA6F00">
      <w:pPr>
        <w:widowControl w:val="0"/>
        <w:jc w:val="both"/>
        <w:rPr>
          <w:iCs/>
          <w:szCs w:val="22"/>
          <w:lang w:val="sr-Latn-ME"/>
        </w:rPr>
      </w:pPr>
    </w:p>
    <w:p w14:paraId="1DDF2EFE" w14:textId="77777777" w:rsidR="00EA6F00" w:rsidRPr="00762596" w:rsidRDefault="00861C42">
      <w:pPr>
        <w:widowControl w:val="0"/>
        <w:jc w:val="both"/>
        <w:rPr>
          <w:iCs/>
          <w:szCs w:val="22"/>
          <w:u w:val="single"/>
          <w:lang w:val="sr-Latn-ME"/>
        </w:rPr>
      </w:pPr>
      <w:r w:rsidRPr="00762596">
        <w:rPr>
          <w:iCs/>
          <w:szCs w:val="22"/>
          <w:u w:val="single"/>
          <w:lang w:val="sr-Latn-ME"/>
        </w:rPr>
        <w:t>Transplantacija bubrega</w:t>
      </w:r>
    </w:p>
    <w:p w14:paraId="161A8298" w14:textId="77777777" w:rsidR="00EA6F00" w:rsidRPr="00762596" w:rsidRDefault="00EA6F00">
      <w:pPr>
        <w:widowControl w:val="0"/>
        <w:jc w:val="both"/>
        <w:rPr>
          <w:iCs/>
          <w:szCs w:val="22"/>
          <w:lang w:val="sr-Latn-ME"/>
        </w:rPr>
      </w:pPr>
    </w:p>
    <w:p w14:paraId="1210BD2A" w14:textId="77777777" w:rsidR="00EA6F00" w:rsidRPr="00762596" w:rsidRDefault="00861C42">
      <w:pPr>
        <w:widowControl w:val="0"/>
        <w:jc w:val="both"/>
        <w:rPr>
          <w:iCs/>
          <w:szCs w:val="22"/>
          <w:lang w:val="sr-Latn-ME"/>
        </w:rPr>
      </w:pPr>
      <w:r w:rsidRPr="00762596">
        <w:rPr>
          <w:szCs w:val="22"/>
          <w:lang w:val="sr-Latn-ME"/>
        </w:rPr>
        <w:lastRenderedPageBreak/>
        <w:t xml:space="preserve">Do danas ne postoji iskustvo o bezbjednoj primjeni kombinacije </w:t>
      </w:r>
      <w:r w:rsidRPr="00762596">
        <w:rPr>
          <w:iCs/>
          <w:szCs w:val="22"/>
          <w:lang w:val="sr-Latn-ME"/>
        </w:rPr>
        <w:t xml:space="preserve">amlodipina/valsartana </w:t>
      </w:r>
      <w:r w:rsidRPr="00762596">
        <w:rPr>
          <w:szCs w:val="22"/>
          <w:lang w:val="sr-Latn-ME"/>
        </w:rPr>
        <w:t>kod pacijenata kojima je nedavno transplantiran bubreg.</w:t>
      </w:r>
    </w:p>
    <w:p w14:paraId="2735B3B9" w14:textId="77777777" w:rsidR="00EA6F00" w:rsidRPr="00762596" w:rsidRDefault="00EA6F00">
      <w:pPr>
        <w:widowControl w:val="0"/>
        <w:jc w:val="both"/>
        <w:rPr>
          <w:iCs/>
          <w:szCs w:val="22"/>
          <w:lang w:val="sr-Latn-ME"/>
        </w:rPr>
      </w:pPr>
    </w:p>
    <w:p w14:paraId="523C9447" w14:textId="77777777" w:rsidR="00EA6F00" w:rsidRPr="00762596" w:rsidRDefault="00861C42">
      <w:pPr>
        <w:widowControl w:val="0"/>
        <w:jc w:val="both"/>
        <w:rPr>
          <w:iCs/>
          <w:szCs w:val="22"/>
          <w:u w:val="single"/>
          <w:lang w:val="sr-Latn-ME"/>
        </w:rPr>
      </w:pPr>
      <w:r w:rsidRPr="00762596">
        <w:rPr>
          <w:iCs/>
          <w:szCs w:val="22"/>
          <w:u w:val="single"/>
          <w:lang w:val="sr-Latn-ME"/>
        </w:rPr>
        <w:t>Oštećenje funkcije jetre</w:t>
      </w:r>
    </w:p>
    <w:p w14:paraId="791139FC" w14:textId="77777777" w:rsidR="00EA6F00" w:rsidRPr="00762596" w:rsidRDefault="00EA6F00">
      <w:pPr>
        <w:widowControl w:val="0"/>
        <w:jc w:val="both"/>
        <w:rPr>
          <w:iCs/>
          <w:szCs w:val="22"/>
          <w:lang w:val="sr-Latn-ME"/>
        </w:rPr>
      </w:pPr>
    </w:p>
    <w:p w14:paraId="24EA82B7" w14:textId="77777777" w:rsidR="00EA6F00" w:rsidRPr="00762596" w:rsidRDefault="00861C42">
      <w:pPr>
        <w:widowControl w:val="0"/>
        <w:jc w:val="both"/>
        <w:rPr>
          <w:szCs w:val="22"/>
          <w:lang w:val="sr-Latn-ME"/>
        </w:rPr>
      </w:pPr>
      <w:r w:rsidRPr="00762596">
        <w:rPr>
          <w:szCs w:val="22"/>
          <w:lang w:val="sr-Latn-ME"/>
        </w:rPr>
        <w:t xml:space="preserve">Valsartan se najvećim dijelom eliminiše nepromijenjen putem žuči. Poluvrijeme eliminacije amlodipina je produženo, i vrijednosti PIK su više kod pacijenata sa oštećenom funckijom jetre; preporuke za doziranje nijesu utvrđene. Potreban je poseban oprez kod primjene kombinacije </w:t>
      </w:r>
      <w:r w:rsidRPr="00762596">
        <w:rPr>
          <w:iCs/>
          <w:szCs w:val="22"/>
          <w:lang w:val="sr-Latn-ME"/>
        </w:rPr>
        <w:t xml:space="preserve">amlodipina/valsartana </w:t>
      </w:r>
      <w:r w:rsidRPr="00762596">
        <w:rPr>
          <w:szCs w:val="22"/>
          <w:lang w:val="sr-Latn-ME"/>
        </w:rPr>
        <w:t>pacijentima sa blagim do umjerenim oštećenjem funkcije jetre ili opstruktivnim poremećajima bilijarnog sistema.</w:t>
      </w:r>
    </w:p>
    <w:p w14:paraId="53A57E38" w14:textId="77777777" w:rsidR="00EA6F00" w:rsidRPr="00762596" w:rsidRDefault="00EA6F00">
      <w:pPr>
        <w:widowControl w:val="0"/>
        <w:jc w:val="both"/>
        <w:rPr>
          <w:iCs/>
          <w:szCs w:val="22"/>
          <w:lang w:val="sr-Latn-ME"/>
        </w:rPr>
      </w:pPr>
    </w:p>
    <w:p w14:paraId="0EE81F16" w14:textId="77777777" w:rsidR="00EA6F00" w:rsidRPr="00762596" w:rsidRDefault="00861C42">
      <w:pPr>
        <w:widowControl w:val="0"/>
        <w:jc w:val="both"/>
        <w:rPr>
          <w:iCs/>
          <w:szCs w:val="22"/>
          <w:lang w:val="sr-Latn-ME"/>
        </w:rPr>
      </w:pPr>
      <w:r w:rsidRPr="00762596">
        <w:rPr>
          <w:szCs w:val="22"/>
          <w:lang w:val="sr-Latn-ME"/>
        </w:rPr>
        <w:t>Kod pacijenata sa blagim do umjerenim oštećenjem funkcije jetre, bez holestaze, najviša preporučena doza valsartana je 80 mg.</w:t>
      </w:r>
    </w:p>
    <w:p w14:paraId="79FD4251" w14:textId="77777777" w:rsidR="00EA6F00" w:rsidRPr="00762596" w:rsidRDefault="00EA6F00">
      <w:pPr>
        <w:widowControl w:val="0"/>
        <w:jc w:val="both"/>
        <w:rPr>
          <w:iCs/>
          <w:szCs w:val="22"/>
          <w:lang w:val="sr-Latn-ME"/>
        </w:rPr>
      </w:pPr>
    </w:p>
    <w:p w14:paraId="03E60787" w14:textId="77777777" w:rsidR="00EA6F00" w:rsidRPr="00762596" w:rsidRDefault="00861C42">
      <w:pPr>
        <w:widowControl w:val="0"/>
        <w:jc w:val="both"/>
        <w:rPr>
          <w:iCs/>
          <w:szCs w:val="22"/>
          <w:u w:val="single"/>
          <w:lang w:val="sr-Latn-ME"/>
        </w:rPr>
      </w:pPr>
      <w:r w:rsidRPr="00762596">
        <w:rPr>
          <w:iCs/>
          <w:szCs w:val="22"/>
          <w:u w:val="single"/>
          <w:lang w:val="sr-Latn-ME"/>
        </w:rPr>
        <w:t>Oštećenje funkcije bubrega</w:t>
      </w:r>
    </w:p>
    <w:p w14:paraId="2ABB8150" w14:textId="77777777" w:rsidR="00EA6F00" w:rsidRPr="00762596" w:rsidRDefault="00EA6F00">
      <w:pPr>
        <w:widowControl w:val="0"/>
        <w:jc w:val="both"/>
        <w:rPr>
          <w:iCs/>
          <w:szCs w:val="22"/>
          <w:lang w:val="sr-Latn-ME"/>
        </w:rPr>
      </w:pPr>
    </w:p>
    <w:p w14:paraId="765CA789" w14:textId="77777777" w:rsidR="00EA6F00" w:rsidRPr="00762596" w:rsidRDefault="00861C42">
      <w:pPr>
        <w:widowControl w:val="0"/>
        <w:jc w:val="both"/>
        <w:rPr>
          <w:iCs/>
          <w:szCs w:val="22"/>
          <w:lang w:val="sr-Latn-ME"/>
        </w:rPr>
      </w:pPr>
      <w:r w:rsidRPr="00762596">
        <w:rPr>
          <w:szCs w:val="22"/>
          <w:lang w:val="sr-Latn-ME"/>
        </w:rPr>
        <w:t>Kod pacijenata sa blagim do umjerenim oštećenjem bubrega (GFR &gt;30 ml/min/1,73 m</w:t>
      </w:r>
      <w:r w:rsidRPr="00762596">
        <w:rPr>
          <w:szCs w:val="22"/>
          <w:vertAlign w:val="superscript"/>
          <w:lang w:val="sr-Latn-ME"/>
        </w:rPr>
        <w:t>2</w:t>
      </w:r>
      <w:r w:rsidRPr="00762596">
        <w:rPr>
          <w:szCs w:val="22"/>
          <w:lang w:val="sr-Latn-ME"/>
        </w:rPr>
        <w:t xml:space="preserve">), doziranje kombinacije </w:t>
      </w:r>
      <w:r w:rsidRPr="00762596">
        <w:rPr>
          <w:iCs/>
          <w:szCs w:val="22"/>
          <w:lang w:val="sr-Latn-ME"/>
        </w:rPr>
        <w:t xml:space="preserve">amlodipina/valsartana </w:t>
      </w:r>
      <w:r w:rsidRPr="00762596">
        <w:rPr>
          <w:szCs w:val="22"/>
          <w:lang w:val="sr-Latn-ME"/>
        </w:rPr>
        <w:t>nije potrebno prilagođavati. Savjetuje se praćenje koncentracije kalijuma i kreatinina kod umjerenog oštećenja funkcije bubrega.</w:t>
      </w:r>
    </w:p>
    <w:p w14:paraId="5B942BED" w14:textId="77777777" w:rsidR="00EA6F00" w:rsidRPr="00762596" w:rsidRDefault="00EA6F00">
      <w:pPr>
        <w:widowControl w:val="0"/>
        <w:jc w:val="both"/>
        <w:rPr>
          <w:iCs/>
          <w:szCs w:val="22"/>
          <w:lang w:val="sr-Latn-ME"/>
        </w:rPr>
      </w:pPr>
    </w:p>
    <w:p w14:paraId="5E66185C" w14:textId="77777777" w:rsidR="00EA6F00" w:rsidRPr="00762596" w:rsidRDefault="00861C42">
      <w:pPr>
        <w:widowControl w:val="0"/>
        <w:jc w:val="both"/>
        <w:rPr>
          <w:iCs/>
          <w:szCs w:val="22"/>
          <w:u w:val="single"/>
          <w:lang w:val="sr-Latn-ME"/>
        </w:rPr>
      </w:pPr>
      <w:r w:rsidRPr="00762596">
        <w:rPr>
          <w:iCs/>
          <w:szCs w:val="22"/>
          <w:u w:val="single"/>
          <w:lang w:val="sr-Latn-ME"/>
        </w:rPr>
        <w:t>Primarni hiperaldosteronizam</w:t>
      </w:r>
    </w:p>
    <w:p w14:paraId="0DC16588" w14:textId="77777777" w:rsidR="00EA6F00" w:rsidRPr="00762596" w:rsidRDefault="00EA6F00">
      <w:pPr>
        <w:widowControl w:val="0"/>
        <w:jc w:val="both"/>
        <w:rPr>
          <w:iCs/>
          <w:szCs w:val="22"/>
          <w:lang w:val="sr-Latn-ME"/>
        </w:rPr>
      </w:pPr>
    </w:p>
    <w:p w14:paraId="4F60B94B" w14:textId="77777777" w:rsidR="00EA6F00" w:rsidRPr="00762596" w:rsidRDefault="00861C42">
      <w:pPr>
        <w:widowControl w:val="0"/>
        <w:jc w:val="both"/>
        <w:rPr>
          <w:iCs/>
          <w:szCs w:val="22"/>
          <w:lang w:val="sr-Latn-ME"/>
        </w:rPr>
      </w:pPr>
      <w:r w:rsidRPr="00762596">
        <w:rPr>
          <w:szCs w:val="22"/>
          <w:lang w:val="sr-Latn-ME"/>
        </w:rPr>
        <w:t>Pacijenti sa primarnim hiperaldosteronizmom ne treba da se liječe antagonistom angiotenzina II valsartanom, jer njihova primarna bolest utiče na sistem renin-angiotenzin.</w:t>
      </w:r>
    </w:p>
    <w:p w14:paraId="4CB15680" w14:textId="77777777" w:rsidR="00EA6F00" w:rsidRPr="00762596" w:rsidRDefault="00EA6F00">
      <w:pPr>
        <w:widowControl w:val="0"/>
        <w:jc w:val="both"/>
        <w:rPr>
          <w:iCs/>
          <w:szCs w:val="22"/>
          <w:lang w:val="sr-Latn-ME"/>
        </w:rPr>
      </w:pPr>
    </w:p>
    <w:p w14:paraId="4A5047B0" w14:textId="77777777" w:rsidR="00EA6F00" w:rsidRPr="00762596" w:rsidRDefault="00861C42">
      <w:pPr>
        <w:widowControl w:val="0"/>
        <w:jc w:val="both"/>
        <w:rPr>
          <w:iCs/>
          <w:szCs w:val="22"/>
          <w:u w:val="single"/>
          <w:lang w:val="sr-Latn-ME"/>
        </w:rPr>
      </w:pPr>
      <w:r w:rsidRPr="00762596">
        <w:rPr>
          <w:iCs/>
          <w:szCs w:val="22"/>
          <w:u w:val="single"/>
          <w:lang w:val="sr-Latn-ME"/>
        </w:rPr>
        <w:t>Angioedem</w:t>
      </w:r>
    </w:p>
    <w:p w14:paraId="04DB06F4" w14:textId="77777777" w:rsidR="00EA6F00" w:rsidRPr="00762596" w:rsidRDefault="00EA6F00">
      <w:pPr>
        <w:widowControl w:val="0"/>
        <w:jc w:val="both"/>
        <w:rPr>
          <w:iCs/>
          <w:szCs w:val="22"/>
          <w:lang w:val="sr-Latn-ME"/>
        </w:rPr>
      </w:pPr>
    </w:p>
    <w:p w14:paraId="61A67436" w14:textId="77777777" w:rsidR="00EA6F00" w:rsidRPr="00762596" w:rsidRDefault="00861C42">
      <w:pPr>
        <w:widowControl w:val="0"/>
        <w:jc w:val="both"/>
        <w:rPr>
          <w:iCs/>
          <w:szCs w:val="22"/>
          <w:lang w:val="sr-Latn-ME"/>
        </w:rPr>
      </w:pPr>
      <w:r w:rsidRPr="00762596">
        <w:rPr>
          <w:szCs w:val="22"/>
          <w:lang w:val="sr-Latn-ME"/>
        </w:rPr>
        <w:t xml:space="preserve">Kod pacijenata koji su liječeni valsartanom, prijavljena je pojava angioedema, uključujući oticanje grkljana i glotisa, koji uzrokuje opstrukciju disajnih puteva i/ili oticanje lica, usana, ždrijela i/ili jezika. Neki od tih pacijenata imali su angioedem i ranije, sa drugim ljekovima, uključujući i ACE inhibitore. Pacijenti kod kojih se razvije angioedem treba odmah da prekinu primjenu kombinacije </w:t>
      </w:r>
      <w:r w:rsidRPr="00762596">
        <w:rPr>
          <w:iCs/>
          <w:szCs w:val="22"/>
          <w:lang w:val="sr-Latn-ME"/>
        </w:rPr>
        <w:t xml:space="preserve">amlodipina/valsartana </w:t>
      </w:r>
      <w:r w:rsidRPr="00762596">
        <w:rPr>
          <w:szCs w:val="22"/>
          <w:lang w:val="sr-Latn-ME"/>
        </w:rPr>
        <w:t>i više je ne smiju ponovo uzimati.</w:t>
      </w:r>
    </w:p>
    <w:p w14:paraId="49C536F3" w14:textId="77777777" w:rsidR="00EA6F00" w:rsidRPr="00762596" w:rsidRDefault="00EA6F00">
      <w:pPr>
        <w:widowControl w:val="0"/>
        <w:jc w:val="both"/>
        <w:rPr>
          <w:iCs/>
          <w:szCs w:val="22"/>
          <w:lang w:val="sr-Latn-ME"/>
        </w:rPr>
      </w:pPr>
    </w:p>
    <w:p w14:paraId="2DD9E15E" w14:textId="77777777" w:rsidR="00EA6F00" w:rsidRPr="00762596" w:rsidRDefault="00861C42">
      <w:pPr>
        <w:widowControl w:val="0"/>
        <w:jc w:val="both"/>
        <w:rPr>
          <w:iCs/>
          <w:szCs w:val="22"/>
          <w:u w:val="single"/>
          <w:lang w:val="sr-Latn-ME"/>
        </w:rPr>
      </w:pPr>
      <w:r w:rsidRPr="00762596">
        <w:rPr>
          <w:iCs/>
          <w:szCs w:val="22"/>
          <w:u w:val="single"/>
          <w:lang w:val="sr-Latn-ME"/>
        </w:rPr>
        <w:t>Srčana insuficijencija/stanje poslije infarkta miokarda</w:t>
      </w:r>
    </w:p>
    <w:p w14:paraId="1AA7ABDE" w14:textId="77777777" w:rsidR="00EA6F00" w:rsidRPr="00762596" w:rsidRDefault="00EA6F00">
      <w:pPr>
        <w:widowControl w:val="0"/>
        <w:jc w:val="both"/>
        <w:rPr>
          <w:iCs/>
          <w:szCs w:val="22"/>
          <w:lang w:val="sr-Latn-ME"/>
        </w:rPr>
      </w:pPr>
    </w:p>
    <w:p w14:paraId="2D791986" w14:textId="77777777" w:rsidR="00EA6F00" w:rsidRPr="00762596" w:rsidRDefault="00861C42">
      <w:pPr>
        <w:widowControl w:val="0"/>
        <w:jc w:val="both"/>
        <w:rPr>
          <w:iCs/>
          <w:szCs w:val="22"/>
          <w:lang w:val="sr-Latn-ME"/>
        </w:rPr>
      </w:pPr>
      <w:r w:rsidRPr="00762596">
        <w:rPr>
          <w:szCs w:val="22"/>
          <w:lang w:val="sr-Latn-ME"/>
        </w:rPr>
        <w:t>Kod podložnih pojedinaca, mogu se očekivati promjene bubrežne funkcije kao posljedica inhibicije renin-angiotenzin-aldosteronskog sistema. Kod pacijenata sa teškom insuficijencijom srca čija funkcija bubrega može da zavisi od aktivnosti sistem renin-angiotenzin-aldosteron, liječenje ACE inhibitorima i antagonistima receptora angiotenzina bilo je povezano sa oligurijom i/ili progresivnom azotemijom i (rijetko) sa akutnom insuficijencijom bubrega i/ili smrću. Slični ishodi prijavljeni su za valsartan. Evaluacija pacijenata sa insuficijencijom srca ili poslije infarkta miokarda uvijek mora uključivati i procjenu funkcije bubrega.</w:t>
      </w:r>
    </w:p>
    <w:p w14:paraId="19D4F429" w14:textId="77777777" w:rsidR="00EA6F00" w:rsidRPr="00762596" w:rsidRDefault="00EA6F00">
      <w:pPr>
        <w:widowControl w:val="0"/>
        <w:jc w:val="both"/>
        <w:rPr>
          <w:iCs/>
          <w:szCs w:val="22"/>
          <w:lang w:val="sr-Latn-ME"/>
        </w:rPr>
      </w:pPr>
    </w:p>
    <w:p w14:paraId="19A79181" w14:textId="77777777" w:rsidR="00EA6F00" w:rsidRPr="00762596" w:rsidRDefault="00861C42">
      <w:pPr>
        <w:widowControl w:val="0"/>
        <w:jc w:val="both"/>
        <w:rPr>
          <w:szCs w:val="22"/>
          <w:lang w:val="sr-Latn-ME"/>
        </w:rPr>
      </w:pPr>
      <w:r w:rsidRPr="00762596">
        <w:rPr>
          <w:szCs w:val="22"/>
          <w:lang w:val="sr-Latn-ME"/>
        </w:rPr>
        <w:t xml:space="preserve">U dugotrajnoj, placebo kontrolisanoj studiji (PRAISE-2) primjene amlodipina kod pacijenata sa insuficijencijom srca ne-ishemijske etiologije III i IV prema NYHA klasifikaciji (engl. </w:t>
      </w:r>
      <w:r w:rsidRPr="00762596">
        <w:rPr>
          <w:i/>
          <w:szCs w:val="22"/>
          <w:lang w:val="sr-Latn-ME"/>
        </w:rPr>
        <w:t>New York Heart Association Classification</w:t>
      </w:r>
      <w:r w:rsidRPr="00762596">
        <w:rPr>
          <w:szCs w:val="22"/>
          <w:lang w:val="sr-Latn-ME"/>
        </w:rPr>
        <w:t>), amlodipin je bio povezan sa povećanim brojem izvještaja o plućnom edemu, uprkos beznačajnoj razlici u incidenciji pogoršanja insuficijencije srca u poređenju sa placebom.</w:t>
      </w:r>
    </w:p>
    <w:p w14:paraId="4C85B5B7" w14:textId="77777777" w:rsidR="00EA6F00" w:rsidRPr="00762596" w:rsidRDefault="00EA6F00">
      <w:pPr>
        <w:widowControl w:val="0"/>
        <w:jc w:val="both"/>
        <w:rPr>
          <w:iCs/>
          <w:szCs w:val="22"/>
          <w:lang w:val="sr-Latn-ME"/>
        </w:rPr>
      </w:pPr>
    </w:p>
    <w:p w14:paraId="4098FBA2" w14:textId="77777777" w:rsidR="00EA6F00" w:rsidRPr="00762596" w:rsidRDefault="00861C42">
      <w:pPr>
        <w:widowControl w:val="0"/>
        <w:jc w:val="both"/>
        <w:rPr>
          <w:szCs w:val="22"/>
          <w:lang w:val="sr-Latn-ME"/>
        </w:rPr>
      </w:pPr>
      <w:r w:rsidRPr="00762596">
        <w:rPr>
          <w:szCs w:val="22"/>
          <w:lang w:val="sr-Latn-ME"/>
        </w:rPr>
        <w:t>Potreban je oprez prilikom primjene blokatora kalcijumskih kanala, uključujući amlodipin, kod pacijenata sa kongestivnom insuficijencijom srca, jer mogu povećati rizik od budućih kardiovaskularnih događaja i mortaliteta.</w:t>
      </w:r>
    </w:p>
    <w:p w14:paraId="47FA3AA3" w14:textId="77777777" w:rsidR="00EA6F00" w:rsidRPr="00762596" w:rsidRDefault="00EA6F00">
      <w:pPr>
        <w:widowControl w:val="0"/>
        <w:jc w:val="both"/>
        <w:rPr>
          <w:iCs/>
          <w:szCs w:val="22"/>
          <w:lang w:val="sr-Latn-ME"/>
        </w:rPr>
      </w:pPr>
    </w:p>
    <w:p w14:paraId="65A84F50" w14:textId="77777777" w:rsidR="00EA6F00" w:rsidRPr="00762596" w:rsidRDefault="00861C42">
      <w:pPr>
        <w:widowControl w:val="0"/>
        <w:jc w:val="both"/>
        <w:rPr>
          <w:iCs/>
          <w:szCs w:val="22"/>
          <w:u w:val="single"/>
          <w:lang w:val="sr-Latn-ME"/>
        </w:rPr>
      </w:pPr>
      <w:r w:rsidRPr="00762596">
        <w:rPr>
          <w:iCs/>
          <w:szCs w:val="22"/>
          <w:u w:val="single"/>
          <w:lang w:val="sr-Latn-ME"/>
        </w:rPr>
        <w:t>Stenoza aortalnog i mitralnog zaliska</w:t>
      </w:r>
    </w:p>
    <w:p w14:paraId="04F79093" w14:textId="77777777" w:rsidR="00EA6F00" w:rsidRPr="00762596" w:rsidRDefault="00EA6F00">
      <w:pPr>
        <w:widowControl w:val="0"/>
        <w:jc w:val="both"/>
        <w:rPr>
          <w:iCs/>
          <w:szCs w:val="22"/>
          <w:lang w:val="sr-Latn-ME"/>
        </w:rPr>
      </w:pPr>
    </w:p>
    <w:p w14:paraId="28720915" w14:textId="77777777" w:rsidR="00EA6F00" w:rsidRPr="00762596" w:rsidRDefault="00861C42">
      <w:pPr>
        <w:widowControl w:val="0"/>
        <w:jc w:val="both"/>
        <w:rPr>
          <w:szCs w:val="22"/>
          <w:lang w:val="sr-Latn-ME"/>
        </w:rPr>
      </w:pPr>
      <w:r w:rsidRPr="00762596">
        <w:rPr>
          <w:szCs w:val="22"/>
          <w:lang w:val="sr-Latn-ME"/>
        </w:rPr>
        <w:t>Kao i sa svim drugim vazodilatatorima, potreban je poseban oprez kod pacijenata koji boluju od mitralne stenoze ili značajne stenoze aorte koja nije visokog stepena.</w:t>
      </w:r>
    </w:p>
    <w:p w14:paraId="39D32E84" w14:textId="77777777" w:rsidR="00EA6F00" w:rsidRPr="00762596" w:rsidRDefault="00EA6F00">
      <w:pPr>
        <w:widowControl w:val="0"/>
        <w:jc w:val="both"/>
        <w:rPr>
          <w:iCs/>
          <w:szCs w:val="22"/>
          <w:lang w:val="sr-Latn-ME"/>
        </w:rPr>
      </w:pPr>
    </w:p>
    <w:p w14:paraId="75AC4728" w14:textId="77777777" w:rsidR="00EA6F00" w:rsidRPr="00762596" w:rsidRDefault="00861C42">
      <w:pPr>
        <w:widowControl w:val="0"/>
        <w:jc w:val="both"/>
        <w:rPr>
          <w:iCs/>
          <w:szCs w:val="22"/>
          <w:u w:val="single"/>
          <w:lang w:val="sr-Latn-ME"/>
        </w:rPr>
      </w:pPr>
      <w:r w:rsidRPr="00762596">
        <w:rPr>
          <w:iCs/>
          <w:szCs w:val="22"/>
          <w:u w:val="single"/>
          <w:lang w:val="sr-Latn-ME"/>
        </w:rPr>
        <w:t>Dvostruka blokada renin-angiotenzin-aldosteronskog sistema (RAAS)</w:t>
      </w:r>
    </w:p>
    <w:p w14:paraId="6D32B520" w14:textId="77777777" w:rsidR="00EA6F00" w:rsidRPr="00762596" w:rsidRDefault="00EA6F00">
      <w:pPr>
        <w:widowControl w:val="0"/>
        <w:jc w:val="both"/>
        <w:rPr>
          <w:iCs/>
          <w:szCs w:val="22"/>
          <w:lang w:val="sr-Latn-ME"/>
        </w:rPr>
      </w:pPr>
    </w:p>
    <w:p w14:paraId="4D5B8688" w14:textId="77777777" w:rsidR="00EA6F00" w:rsidRPr="00762596" w:rsidRDefault="00861C42">
      <w:pPr>
        <w:widowControl w:val="0"/>
        <w:jc w:val="both"/>
        <w:rPr>
          <w:szCs w:val="22"/>
          <w:lang w:val="sr-Latn-ME"/>
        </w:rPr>
      </w:pPr>
      <w:r w:rsidRPr="00762596">
        <w:rPr>
          <w:szCs w:val="22"/>
          <w:lang w:val="sr-Latn-ME"/>
        </w:rPr>
        <w:t>Postoje dokazi da istovremena primjena ACE inhibitora, ARB-ova ili aliskirena povećava rizik od hipotenzije, hiperkalijemije i smanjene bubrežne funkcije (uključujući akutnu insuficijenciju bubrega). Dvostruka blokada RAAS-a kombinovanom primjenom ACE inhibitora, ARB-ova ili aliskirena stoga se ne preporučuje (vidjeti odjeljke 4.5 i 5.1).</w:t>
      </w:r>
    </w:p>
    <w:p w14:paraId="4B44FDA0" w14:textId="77777777" w:rsidR="00EA6F00" w:rsidRPr="00762596" w:rsidRDefault="00EA6F00">
      <w:pPr>
        <w:widowControl w:val="0"/>
        <w:jc w:val="both"/>
        <w:rPr>
          <w:iCs/>
          <w:szCs w:val="22"/>
          <w:lang w:val="sr-Latn-ME"/>
        </w:rPr>
      </w:pPr>
    </w:p>
    <w:p w14:paraId="30C2C462" w14:textId="77777777" w:rsidR="00EA6F00" w:rsidRPr="00762596" w:rsidRDefault="00861C42">
      <w:pPr>
        <w:widowControl w:val="0"/>
        <w:jc w:val="both"/>
        <w:rPr>
          <w:szCs w:val="22"/>
          <w:lang w:val="sr-Latn-ME"/>
        </w:rPr>
      </w:pPr>
      <w:r w:rsidRPr="00762596">
        <w:rPr>
          <w:szCs w:val="22"/>
          <w:lang w:val="sr-Latn-ME"/>
        </w:rPr>
        <w:t>Ako se terapija dvostrukom blokadom smatra neophodnom, smije da se sprovodi samo pod nadzorom specijalista i uz pažljivo praćenje bubrežne funkcije, elektrolita i krvnog pritiska. ACE inhibitori i ARB-ovi ne smiju da se primjenjuju istovremeno kod pacijenata sa dijabetesnom nefropatijom.</w:t>
      </w:r>
    </w:p>
    <w:p w14:paraId="3AF4B49A" w14:textId="77777777" w:rsidR="00EA6F00" w:rsidRPr="00762596" w:rsidRDefault="00EA6F00">
      <w:pPr>
        <w:widowControl w:val="0"/>
        <w:jc w:val="both"/>
        <w:rPr>
          <w:iCs/>
          <w:szCs w:val="22"/>
          <w:lang w:val="sr-Latn-ME"/>
        </w:rPr>
      </w:pPr>
    </w:p>
    <w:p w14:paraId="58C138FB" w14:textId="77777777" w:rsidR="00EA6F00" w:rsidRPr="00762596" w:rsidRDefault="00861C42">
      <w:pPr>
        <w:widowControl w:val="0"/>
        <w:jc w:val="both"/>
        <w:rPr>
          <w:iCs/>
          <w:szCs w:val="22"/>
          <w:lang w:val="sr-Latn-ME"/>
        </w:rPr>
      </w:pPr>
      <w:r w:rsidRPr="00762596">
        <w:rPr>
          <w:iCs/>
          <w:szCs w:val="22"/>
          <w:lang w:val="sr-Latn-ME"/>
        </w:rPr>
        <w:t xml:space="preserve">Lijek Wamlox </w:t>
      </w:r>
      <w:r w:rsidRPr="00762596">
        <w:rPr>
          <w:szCs w:val="22"/>
          <w:lang w:val="sr-Latn-ME"/>
        </w:rPr>
        <w:t>nije ispitivan u bilo kojoj drugoj populaciji pacijenata, osim kod pacijenata sa hipertenzijom</w:t>
      </w:r>
      <w:r w:rsidRPr="00762596">
        <w:rPr>
          <w:iCs/>
          <w:szCs w:val="22"/>
          <w:lang w:val="sr-Latn-ME"/>
        </w:rPr>
        <w:t>.</w:t>
      </w:r>
    </w:p>
    <w:p w14:paraId="07B3E881" w14:textId="77777777" w:rsidR="00EA6F00" w:rsidRPr="00762596" w:rsidRDefault="00EA6F00">
      <w:pPr>
        <w:widowControl w:val="0"/>
        <w:jc w:val="both"/>
        <w:rPr>
          <w:szCs w:val="22"/>
          <w:lang w:val="sr-Latn-ME"/>
        </w:rPr>
      </w:pPr>
    </w:p>
    <w:p w14:paraId="1BEB3EE2" w14:textId="77777777" w:rsidR="00EA6F00" w:rsidRPr="00B36BCA" w:rsidRDefault="00861C42" w:rsidP="00762596">
      <w:pPr>
        <w:widowControl w:val="0"/>
        <w:numPr>
          <w:ilvl w:val="12"/>
          <w:numId w:val="0"/>
        </w:numPr>
        <w:jc w:val="both"/>
        <w:rPr>
          <w:b/>
          <w:szCs w:val="22"/>
          <w:lang w:val="sr-Latn-ME"/>
        </w:rPr>
      </w:pPr>
      <w:r w:rsidRPr="00B36BCA">
        <w:rPr>
          <w:b/>
          <w:szCs w:val="22"/>
        </w:rPr>
        <w:t>Lijek</w:t>
      </w:r>
      <w:r w:rsidRPr="00B36BCA">
        <w:rPr>
          <w:b/>
          <w:szCs w:val="22"/>
          <w:lang w:val="sr-Latn-ME"/>
        </w:rPr>
        <w:t xml:space="preserve"> Wamlox </w:t>
      </w:r>
      <w:r w:rsidRPr="00B36BCA">
        <w:rPr>
          <w:b/>
          <w:szCs w:val="22"/>
        </w:rPr>
        <w:t>sadr</w:t>
      </w:r>
      <w:r w:rsidRPr="00B36BCA">
        <w:rPr>
          <w:b/>
          <w:szCs w:val="22"/>
          <w:lang w:val="sr-Latn-ME"/>
        </w:rPr>
        <w:t>ž</w:t>
      </w:r>
      <w:r w:rsidRPr="00B36BCA">
        <w:rPr>
          <w:b/>
          <w:szCs w:val="22"/>
        </w:rPr>
        <w:t>i</w:t>
      </w:r>
      <w:r w:rsidRPr="00B36BCA">
        <w:rPr>
          <w:b/>
          <w:szCs w:val="22"/>
          <w:lang w:val="sr-Latn-ME"/>
        </w:rPr>
        <w:t xml:space="preserve"> </w:t>
      </w:r>
      <w:r w:rsidRPr="00B36BCA">
        <w:rPr>
          <w:b/>
          <w:szCs w:val="22"/>
        </w:rPr>
        <w:t>natrijum</w:t>
      </w:r>
    </w:p>
    <w:p w14:paraId="2AD82969" w14:textId="77777777" w:rsidR="00EA6F00" w:rsidRPr="00B36BCA" w:rsidRDefault="00861C42" w:rsidP="00B36BCA">
      <w:pPr>
        <w:tabs>
          <w:tab w:val="clear" w:pos="567"/>
          <w:tab w:val="left" w:pos="540"/>
          <w:tab w:val="left" w:pos="569"/>
        </w:tabs>
        <w:jc w:val="both"/>
        <w:rPr>
          <w:szCs w:val="22"/>
          <w:lang w:val="sr-Latn-RS"/>
        </w:rPr>
      </w:pPr>
      <w:r w:rsidRPr="00B36BCA">
        <w:rPr>
          <w:szCs w:val="22"/>
        </w:rPr>
        <w:t>Ovaj</w:t>
      </w:r>
      <w:r w:rsidRPr="00B36BCA">
        <w:rPr>
          <w:szCs w:val="22"/>
          <w:lang w:val="sr-Latn-ME"/>
        </w:rPr>
        <w:t xml:space="preserve"> </w:t>
      </w:r>
      <w:r w:rsidRPr="00B36BCA">
        <w:rPr>
          <w:szCs w:val="22"/>
        </w:rPr>
        <w:t>lijek</w:t>
      </w:r>
      <w:r w:rsidRPr="00B36BCA">
        <w:rPr>
          <w:szCs w:val="22"/>
          <w:lang w:val="sr-Latn-ME"/>
        </w:rPr>
        <w:t xml:space="preserve"> </w:t>
      </w:r>
      <w:r w:rsidRPr="00B36BCA">
        <w:rPr>
          <w:szCs w:val="22"/>
        </w:rPr>
        <w:t>sadr</w:t>
      </w:r>
      <w:r w:rsidRPr="00B36BCA">
        <w:rPr>
          <w:szCs w:val="22"/>
          <w:lang w:val="sr-Latn-ME"/>
        </w:rPr>
        <w:t>ž</w:t>
      </w:r>
      <w:r w:rsidRPr="00B36BCA">
        <w:rPr>
          <w:szCs w:val="22"/>
        </w:rPr>
        <w:t>i</w:t>
      </w:r>
      <w:r w:rsidRPr="00B36BCA">
        <w:rPr>
          <w:szCs w:val="22"/>
          <w:lang w:val="sr-Latn-ME"/>
        </w:rPr>
        <w:t xml:space="preserve"> </w:t>
      </w:r>
      <w:r w:rsidRPr="00B36BCA">
        <w:rPr>
          <w:szCs w:val="22"/>
        </w:rPr>
        <w:t>manje</w:t>
      </w:r>
      <w:r w:rsidRPr="00B36BCA">
        <w:rPr>
          <w:szCs w:val="22"/>
          <w:lang w:val="sr-Latn-ME"/>
        </w:rPr>
        <w:t xml:space="preserve"> </w:t>
      </w:r>
      <w:r w:rsidRPr="00B36BCA">
        <w:rPr>
          <w:szCs w:val="22"/>
        </w:rPr>
        <w:t>od</w:t>
      </w:r>
      <w:r w:rsidRPr="00B36BCA">
        <w:rPr>
          <w:szCs w:val="22"/>
          <w:lang w:val="sr-Latn-ME"/>
        </w:rPr>
        <w:t xml:space="preserve"> 1 </w:t>
      </w:r>
      <w:r w:rsidRPr="00B36BCA">
        <w:rPr>
          <w:szCs w:val="22"/>
        </w:rPr>
        <w:t>mmol</w:t>
      </w:r>
      <w:r w:rsidRPr="00B36BCA">
        <w:rPr>
          <w:szCs w:val="22"/>
          <w:lang w:val="sr-Latn-ME"/>
        </w:rPr>
        <w:t xml:space="preserve"> </w:t>
      </w:r>
      <w:r w:rsidRPr="00B36BCA">
        <w:rPr>
          <w:szCs w:val="22"/>
        </w:rPr>
        <w:t>natrijuma</w:t>
      </w:r>
      <w:r w:rsidRPr="00B36BCA">
        <w:rPr>
          <w:szCs w:val="22"/>
          <w:lang w:val="sr-Latn-ME"/>
        </w:rPr>
        <w:t xml:space="preserve"> (23 </w:t>
      </w:r>
      <w:r w:rsidRPr="00B36BCA">
        <w:rPr>
          <w:szCs w:val="22"/>
        </w:rPr>
        <w:t>mg</w:t>
      </w:r>
      <w:r w:rsidRPr="00B36BCA">
        <w:rPr>
          <w:szCs w:val="22"/>
          <w:lang w:val="sr-Latn-ME"/>
        </w:rPr>
        <w:t xml:space="preserve">) </w:t>
      </w:r>
      <w:r w:rsidRPr="00B36BCA">
        <w:rPr>
          <w:szCs w:val="22"/>
        </w:rPr>
        <w:t>po</w:t>
      </w:r>
      <w:r w:rsidRPr="00B36BCA">
        <w:rPr>
          <w:szCs w:val="22"/>
          <w:lang w:val="sr-Latn-ME"/>
        </w:rPr>
        <w:t xml:space="preserve"> </w:t>
      </w:r>
      <w:r w:rsidRPr="00B36BCA">
        <w:rPr>
          <w:szCs w:val="22"/>
        </w:rPr>
        <w:t>tableti</w:t>
      </w:r>
      <w:r w:rsidRPr="00B36BCA">
        <w:rPr>
          <w:szCs w:val="22"/>
          <w:lang w:val="sr-Latn-ME"/>
        </w:rPr>
        <w:t>, tj. zanemarljive količine natrijuma</w:t>
      </w:r>
      <w:r w:rsidRPr="00B36BCA">
        <w:rPr>
          <w:szCs w:val="22"/>
          <w:lang w:val="sr-Latn-RS"/>
        </w:rPr>
        <w:t>.</w:t>
      </w:r>
    </w:p>
    <w:p w14:paraId="41B97BA8" w14:textId="77777777" w:rsidR="00EA6F00" w:rsidRPr="00762596" w:rsidRDefault="00EA6F00">
      <w:pPr>
        <w:widowControl w:val="0"/>
        <w:jc w:val="both"/>
        <w:rPr>
          <w:szCs w:val="22"/>
          <w:lang w:val="sr-Latn-ME"/>
        </w:rPr>
      </w:pPr>
    </w:p>
    <w:p w14:paraId="03C9C60F" w14:textId="77777777" w:rsidR="00EA6F00" w:rsidRPr="00762596" w:rsidRDefault="00861C42">
      <w:pPr>
        <w:widowControl w:val="0"/>
        <w:ind w:left="567" w:hanging="567"/>
        <w:jc w:val="both"/>
        <w:outlineLvl w:val="0"/>
        <w:rPr>
          <w:b/>
          <w:szCs w:val="22"/>
          <w:lang w:val="sr-Latn-ME"/>
        </w:rPr>
      </w:pPr>
      <w:r w:rsidRPr="00762596">
        <w:rPr>
          <w:b/>
          <w:szCs w:val="22"/>
          <w:lang w:val="sr-Latn-ME"/>
        </w:rPr>
        <w:t>4.5</w:t>
      </w:r>
      <w:r w:rsidRPr="00762596">
        <w:rPr>
          <w:b/>
          <w:szCs w:val="22"/>
          <w:lang w:val="sr-Latn-ME"/>
        </w:rPr>
        <w:tab/>
        <w:t>Interakcije sa drugim ljekovima i druge vrste interakcija</w:t>
      </w:r>
    </w:p>
    <w:p w14:paraId="6EBFE1BF" w14:textId="77777777" w:rsidR="00EA6F00" w:rsidRPr="00762596" w:rsidRDefault="00EA6F00">
      <w:pPr>
        <w:widowControl w:val="0"/>
        <w:ind w:left="567" w:hanging="567"/>
        <w:jc w:val="both"/>
        <w:outlineLvl w:val="0"/>
        <w:rPr>
          <w:szCs w:val="22"/>
          <w:lang w:val="sr-Latn-ME"/>
        </w:rPr>
      </w:pPr>
    </w:p>
    <w:p w14:paraId="52445459" w14:textId="77777777" w:rsidR="00EA6F00" w:rsidRPr="00762596" w:rsidRDefault="00861C42">
      <w:pPr>
        <w:widowControl w:val="0"/>
        <w:jc w:val="both"/>
        <w:rPr>
          <w:szCs w:val="22"/>
          <w:u w:val="single"/>
          <w:lang w:val="sr-Latn-ME"/>
        </w:rPr>
      </w:pPr>
      <w:r w:rsidRPr="00762596">
        <w:rPr>
          <w:szCs w:val="22"/>
          <w:u w:val="single"/>
          <w:lang w:val="sr-Latn-ME"/>
        </w:rPr>
        <w:t>Interakcije koje su česte kod ove kombinacije</w:t>
      </w:r>
    </w:p>
    <w:p w14:paraId="2264ACD5" w14:textId="77777777" w:rsidR="00EA6F00" w:rsidRPr="00762596" w:rsidRDefault="00EA6F00">
      <w:pPr>
        <w:widowControl w:val="0"/>
        <w:jc w:val="both"/>
        <w:rPr>
          <w:szCs w:val="22"/>
          <w:lang w:val="sr-Latn-ME"/>
        </w:rPr>
      </w:pPr>
    </w:p>
    <w:p w14:paraId="0B471A55" w14:textId="77777777" w:rsidR="00EA6F00" w:rsidRPr="00762596" w:rsidRDefault="00861C42">
      <w:pPr>
        <w:widowControl w:val="0"/>
        <w:jc w:val="both"/>
        <w:rPr>
          <w:szCs w:val="22"/>
          <w:lang w:val="sr-Latn-ME"/>
        </w:rPr>
      </w:pPr>
      <w:r w:rsidRPr="00762596">
        <w:rPr>
          <w:szCs w:val="22"/>
          <w:lang w:val="sr-Latn-ME"/>
        </w:rPr>
        <w:t>Nijesu sprovedena ispitivanja interakcije kombinacije amlodipina/valsartana sa drugim ljekovima.</w:t>
      </w:r>
    </w:p>
    <w:p w14:paraId="41C9F623" w14:textId="77777777" w:rsidR="00EA6F00" w:rsidRPr="00762596" w:rsidRDefault="00EA6F00">
      <w:pPr>
        <w:widowControl w:val="0"/>
        <w:jc w:val="both"/>
        <w:rPr>
          <w:szCs w:val="22"/>
          <w:lang w:val="sr-Latn-ME"/>
        </w:rPr>
      </w:pPr>
    </w:p>
    <w:p w14:paraId="7BF46C96" w14:textId="77777777" w:rsidR="00EA6F00" w:rsidRPr="00762596" w:rsidRDefault="00861C42">
      <w:pPr>
        <w:widowControl w:val="0"/>
        <w:jc w:val="both"/>
        <w:rPr>
          <w:i/>
          <w:szCs w:val="22"/>
          <w:u w:val="single"/>
          <w:lang w:val="sr-Latn-ME"/>
        </w:rPr>
      </w:pPr>
      <w:r w:rsidRPr="00762596">
        <w:rPr>
          <w:i/>
          <w:szCs w:val="22"/>
          <w:u w:val="single"/>
          <w:lang w:val="sr-Latn-ME"/>
        </w:rPr>
        <w:t>Treba uzeti u obzir kod istovremene primjene</w:t>
      </w:r>
    </w:p>
    <w:p w14:paraId="6AF6A875" w14:textId="77777777" w:rsidR="00EA6F00" w:rsidRPr="00762596" w:rsidRDefault="00EA6F00">
      <w:pPr>
        <w:widowControl w:val="0"/>
        <w:jc w:val="both"/>
        <w:rPr>
          <w:szCs w:val="22"/>
          <w:lang w:val="sr-Latn-ME"/>
        </w:rPr>
      </w:pPr>
    </w:p>
    <w:p w14:paraId="13A974FC" w14:textId="77777777" w:rsidR="00EA6F00" w:rsidRPr="00762596" w:rsidRDefault="00861C42">
      <w:pPr>
        <w:widowControl w:val="0"/>
        <w:jc w:val="both"/>
        <w:rPr>
          <w:i/>
          <w:szCs w:val="22"/>
          <w:lang w:val="sr-Latn-ME"/>
        </w:rPr>
      </w:pPr>
      <w:r w:rsidRPr="00762596">
        <w:rPr>
          <w:i/>
          <w:szCs w:val="22"/>
          <w:lang w:val="sr-Latn-ME"/>
        </w:rPr>
        <w:t>Drugi antihipertenzivni ljekovi</w:t>
      </w:r>
    </w:p>
    <w:p w14:paraId="66F9B159" w14:textId="77777777" w:rsidR="00EA6F00" w:rsidRPr="00762596" w:rsidRDefault="00EA6F00">
      <w:pPr>
        <w:widowControl w:val="0"/>
        <w:jc w:val="both"/>
        <w:rPr>
          <w:szCs w:val="22"/>
          <w:lang w:val="sr-Latn-ME"/>
        </w:rPr>
      </w:pPr>
    </w:p>
    <w:p w14:paraId="1415A051" w14:textId="77777777" w:rsidR="00EA6F00" w:rsidRPr="00762596" w:rsidRDefault="00861C42">
      <w:pPr>
        <w:widowControl w:val="0"/>
        <w:jc w:val="both"/>
        <w:rPr>
          <w:szCs w:val="22"/>
          <w:lang w:val="sr-Latn-ME"/>
        </w:rPr>
      </w:pPr>
      <w:r w:rsidRPr="00762596">
        <w:rPr>
          <w:szCs w:val="22"/>
          <w:lang w:val="sr-Latn-ME"/>
        </w:rPr>
        <w:t>Često primjenjivani antihipertenzivni ljekovi (npr. alfa-blokatori, diuretici) i drugi ljekovi koji mogu uzrokovati hipotenzivna neželjena dejstva (npr. triciklički antidepresivi, alfa-blokatori za liječenje benigne hiperplazije prostate) mogu povećati antihipertenzivni efekat ove kombinacije.</w:t>
      </w:r>
    </w:p>
    <w:p w14:paraId="1CB3F601" w14:textId="77777777" w:rsidR="00EA6F00" w:rsidRPr="00762596" w:rsidRDefault="00EA6F00">
      <w:pPr>
        <w:widowControl w:val="0"/>
        <w:jc w:val="both"/>
        <w:rPr>
          <w:szCs w:val="22"/>
          <w:lang w:val="sr-Latn-ME"/>
        </w:rPr>
      </w:pPr>
    </w:p>
    <w:p w14:paraId="3EF14F24" w14:textId="77777777" w:rsidR="00EA6F00" w:rsidRPr="00762596" w:rsidRDefault="00861C42">
      <w:pPr>
        <w:widowControl w:val="0"/>
        <w:jc w:val="both"/>
        <w:rPr>
          <w:szCs w:val="22"/>
          <w:u w:val="single"/>
          <w:lang w:val="sr-Latn-ME"/>
        </w:rPr>
      </w:pPr>
      <w:r w:rsidRPr="00762596">
        <w:rPr>
          <w:szCs w:val="22"/>
          <w:u w:val="single"/>
          <w:lang w:val="sr-Latn-ME"/>
        </w:rPr>
        <w:t>Interakcije povezane sa amlodipinom</w:t>
      </w:r>
    </w:p>
    <w:p w14:paraId="4A75FC8F" w14:textId="77777777" w:rsidR="00EA6F00" w:rsidRPr="00762596" w:rsidRDefault="00EA6F00">
      <w:pPr>
        <w:widowControl w:val="0"/>
        <w:jc w:val="both"/>
        <w:rPr>
          <w:szCs w:val="22"/>
          <w:lang w:val="sr-Latn-ME"/>
        </w:rPr>
      </w:pPr>
    </w:p>
    <w:p w14:paraId="2B66C3AE" w14:textId="77777777" w:rsidR="00EA6F00" w:rsidRPr="00762596" w:rsidRDefault="00861C42">
      <w:pPr>
        <w:widowControl w:val="0"/>
        <w:jc w:val="both"/>
        <w:rPr>
          <w:i/>
          <w:szCs w:val="22"/>
          <w:u w:val="single"/>
          <w:lang w:val="sr-Latn-ME"/>
        </w:rPr>
      </w:pPr>
      <w:r w:rsidRPr="00762596">
        <w:rPr>
          <w:i/>
          <w:szCs w:val="22"/>
          <w:u w:val="single"/>
          <w:lang w:val="sr-Latn-ME"/>
        </w:rPr>
        <w:t>Istovremena primjena nije preporučena</w:t>
      </w:r>
    </w:p>
    <w:p w14:paraId="206DB9DD" w14:textId="77777777" w:rsidR="00EA6F00" w:rsidRPr="00762596" w:rsidRDefault="00EA6F00">
      <w:pPr>
        <w:widowControl w:val="0"/>
        <w:jc w:val="both"/>
        <w:rPr>
          <w:szCs w:val="22"/>
          <w:lang w:val="sr-Latn-ME"/>
        </w:rPr>
      </w:pPr>
    </w:p>
    <w:p w14:paraId="2C8009FC" w14:textId="77777777" w:rsidR="00EA6F00" w:rsidRPr="00762596" w:rsidRDefault="00861C42">
      <w:pPr>
        <w:widowControl w:val="0"/>
        <w:jc w:val="both"/>
        <w:rPr>
          <w:i/>
          <w:szCs w:val="22"/>
          <w:lang w:val="sr-Latn-ME"/>
        </w:rPr>
      </w:pPr>
      <w:r w:rsidRPr="00762596">
        <w:rPr>
          <w:i/>
          <w:szCs w:val="22"/>
          <w:lang w:val="sr-Latn-ME"/>
        </w:rPr>
        <w:t>Grejpfrut ili sok od grejpfruta</w:t>
      </w:r>
    </w:p>
    <w:p w14:paraId="470BD2F3" w14:textId="77777777" w:rsidR="00EA6F00" w:rsidRPr="00762596" w:rsidRDefault="00EA6F00">
      <w:pPr>
        <w:widowControl w:val="0"/>
        <w:jc w:val="both"/>
        <w:rPr>
          <w:szCs w:val="22"/>
          <w:lang w:val="sr-Latn-ME"/>
        </w:rPr>
      </w:pPr>
    </w:p>
    <w:p w14:paraId="2BA89C48" w14:textId="77777777" w:rsidR="00EA6F00" w:rsidRPr="00762596" w:rsidRDefault="00861C42">
      <w:pPr>
        <w:widowControl w:val="0"/>
        <w:jc w:val="both"/>
        <w:rPr>
          <w:szCs w:val="22"/>
          <w:lang w:val="sr-Latn-ME"/>
        </w:rPr>
      </w:pPr>
      <w:r w:rsidRPr="00762596">
        <w:rPr>
          <w:szCs w:val="22"/>
          <w:lang w:val="sr-Latn-ME"/>
        </w:rPr>
        <w:t>Ne preporučuje se primjena amlodipina sa grejpfrutom ili sokom od grejpfruta jer bi kod nekih pacijenata moglo doći do povećanja bioraspoloživosti, što dovodi do pojačanog dejstva na snižavanje krvnog pritiska.</w:t>
      </w:r>
    </w:p>
    <w:p w14:paraId="7E802E20" w14:textId="77777777" w:rsidR="00EA6F00" w:rsidRPr="00762596" w:rsidRDefault="00EA6F00">
      <w:pPr>
        <w:widowControl w:val="0"/>
        <w:jc w:val="both"/>
        <w:rPr>
          <w:szCs w:val="22"/>
          <w:lang w:val="sr-Latn-ME"/>
        </w:rPr>
      </w:pPr>
    </w:p>
    <w:p w14:paraId="167675C4" w14:textId="77777777" w:rsidR="00EA6F00" w:rsidRPr="00762596" w:rsidRDefault="00861C42">
      <w:pPr>
        <w:widowControl w:val="0"/>
        <w:jc w:val="both"/>
        <w:rPr>
          <w:i/>
          <w:szCs w:val="22"/>
          <w:u w:val="single"/>
          <w:lang w:val="sr-Latn-ME"/>
        </w:rPr>
      </w:pPr>
      <w:r w:rsidRPr="00762596">
        <w:rPr>
          <w:i/>
          <w:szCs w:val="22"/>
          <w:u w:val="single"/>
          <w:lang w:val="sr-Latn-ME"/>
        </w:rPr>
        <w:t>Oprez potreban kod istovremene primjene</w:t>
      </w:r>
    </w:p>
    <w:p w14:paraId="5990A8A8" w14:textId="77777777" w:rsidR="00EA6F00" w:rsidRPr="00762596" w:rsidRDefault="00EA6F00">
      <w:pPr>
        <w:widowControl w:val="0"/>
        <w:jc w:val="both"/>
        <w:rPr>
          <w:szCs w:val="22"/>
          <w:lang w:val="sr-Latn-ME"/>
        </w:rPr>
      </w:pPr>
    </w:p>
    <w:p w14:paraId="1DA327AD" w14:textId="77777777" w:rsidR="00EA6F00" w:rsidRPr="00762596" w:rsidRDefault="00861C42">
      <w:pPr>
        <w:widowControl w:val="0"/>
        <w:jc w:val="both"/>
        <w:rPr>
          <w:i/>
          <w:szCs w:val="22"/>
          <w:lang w:val="sr-Latn-ME"/>
        </w:rPr>
      </w:pPr>
      <w:r w:rsidRPr="00762596">
        <w:rPr>
          <w:i/>
          <w:szCs w:val="22"/>
          <w:lang w:val="sr-Latn-ME"/>
        </w:rPr>
        <w:t>CYP3A4 inhibitori</w:t>
      </w:r>
    </w:p>
    <w:p w14:paraId="1735C7E1" w14:textId="77777777" w:rsidR="00EA6F00" w:rsidRPr="00762596" w:rsidRDefault="00861C42">
      <w:pPr>
        <w:widowControl w:val="0"/>
        <w:jc w:val="both"/>
        <w:rPr>
          <w:szCs w:val="22"/>
          <w:lang w:val="sr-Latn-ME"/>
        </w:rPr>
      </w:pPr>
      <w:r w:rsidRPr="00762596">
        <w:rPr>
          <w:szCs w:val="22"/>
          <w:lang w:val="sr-Latn-ME"/>
        </w:rPr>
        <w:t>Istovremena primjena amlodipina sa snažnim ili umjerenim inhibitorima CYP3A4 (inhibitori proteaze, azolni antimikotici, makrolidi kao eritromicin ili klaritromicin, verapamil ili diltiazem) mogu izazvati značajno povećanje izloženosti amlodipinu. Klinički značaj takvih farmakokinetičkih varijacija može biti izraženiji kod starijih osoba. Stoga može biti potrebno kliničko praćenje i prilagođavanje doze.</w:t>
      </w:r>
    </w:p>
    <w:p w14:paraId="0541C6C7" w14:textId="77777777" w:rsidR="00EA6F00" w:rsidRPr="00762596" w:rsidRDefault="00EA6F00">
      <w:pPr>
        <w:widowControl w:val="0"/>
        <w:jc w:val="both"/>
        <w:rPr>
          <w:szCs w:val="22"/>
          <w:lang w:val="sr-Latn-ME"/>
        </w:rPr>
      </w:pPr>
    </w:p>
    <w:p w14:paraId="47737112" w14:textId="77777777" w:rsidR="00EA6F00" w:rsidRPr="00762596" w:rsidRDefault="00861C42">
      <w:pPr>
        <w:widowControl w:val="0"/>
        <w:jc w:val="both"/>
        <w:rPr>
          <w:i/>
          <w:szCs w:val="22"/>
          <w:lang w:val="sr-Latn-ME"/>
        </w:rPr>
      </w:pPr>
      <w:r w:rsidRPr="00762596">
        <w:rPr>
          <w:i/>
          <w:szCs w:val="22"/>
          <w:lang w:val="sr-Latn-ME"/>
        </w:rPr>
        <w:t>CYP3A4 induktori (antikonvulzivni ljekovi [npr. karbamazepin, fenobarbital, fenitoin, fosfenitoin, primidon], rifampicin, kantarion [Hypericum perforatum])</w:t>
      </w:r>
    </w:p>
    <w:p w14:paraId="32C5A2E5" w14:textId="77777777" w:rsidR="00EA6F00" w:rsidRPr="00762596" w:rsidRDefault="00EA6F00">
      <w:pPr>
        <w:widowControl w:val="0"/>
        <w:jc w:val="both"/>
        <w:rPr>
          <w:szCs w:val="22"/>
          <w:lang w:val="sr-Latn-ME"/>
        </w:rPr>
      </w:pPr>
    </w:p>
    <w:p w14:paraId="6306FF7C" w14:textId="77777777" w:rsidR="00EA6F00" w:rsidRPr="00762596" w:rsidRDefault="00861C42">
      <w:pPr>
        <w:widowControl w:val="0"/>
        <w:jc w:val="both"/>
        <w:rPr>
          <w:szCs w:val="22"/>
          <w:lang w:val="sr-Latn-ME"/>
        </w:rPr>
      </w:pPr>
      <w:r w:rsidRPr="00762596">
        <w:rPr>
          <w:szCs w:val="22"/>
          <w:lang w:val="sr-Latn-ME"/>
        </w:rPr>
        <w:t>Pri istovremenoj primjeni poznatih induktora CYP3A4, koncentracija amlodipina u plazmi može varirati. Stoga je potrebno pratiti krvni pritisak i razmotriti regulisanje doze tokom i nakon istovremenog liječenja, posebno sa jakim induktorima CYP3A4 (npr. rifampicin, kantarion [</w:t>
      </w:r>
      <w:r w:rsidRPr="00762596">
        <w:rPr>
          <w:i/>
          <w:szCs w:val="22"/>
          <w:lang w:val="sr-Latn-ME"/>
        </w:rPr>
        <w:t>Hypericum perforatum</w:t>
      </w:r>
      <w:r w:rsidRPr="00762596">
        <w:rPr>
          <w:szCs w:val="22"/>
          <w:lang w:val="sr-Latn-ME"/>
        </w:rPr>
        <w:t>]).</w:t>
      </w:r>
    </w:p>
    <w:p w14:paraId="1E841F27" w14:textId="77777777" w:rsidR="00EA6F00" w:rsidRPr="00762596" w:rsidRDefault="00EA6F00">
      <w:pPr>
        <w:widowControl w:val="0"/>
        <w:jc w:val="both"/>
        <w:rPr>
          <w:i/>
          <w:szCs w:val="22"/>
          <w:lang w:val="sr-Latn-ME"/>
        </w:rPr>
      </w:pPr>
    </w:p>
    <w:p w14:paraId="4DABCC3F" w14:textId="77777777" w:rsidR="00EA6F00" w:rsidRPr="00762596" w:rsidRDefault="00861C42">
      <w:pPr>
        <w:widowControl w:val="0"/>
        <w:jc w:val="both"/>
        <w:rPr>
          <w:i/>
          <w:szCs w:val="22"/>
          <w:lang w:val="sr-Latn-ME"/>
        </w:rPr>
      </w:pPr>
      <w:r w:rsidRPr="00762596">
        <w:rPr>
          <w:i/>
          <w:szCs w:val="22"/>
          <w:lang w:val="sr-Latn-ME"/>
        </w:rPr>
        <w:t>Simvastatin</w:t>
      </w:r>
    </w:p>
    <w:p w14:paraId="52C765C0" w14:textId="77777777" w:rsidR="00EA6F00" w:rsidRPr="00762596" w:rsidRDefault="00EA6F00">
      <w:pPr>
        <w:widowControl w:val="0"/>
        <w:jc w:val="both"/>
        <w:rPr>
          <w:szCs w:val="22"/>
          <w:lang w:val="sr-Latn-ME"/>
        </w:rPr>
      </w:pPr>
    </w:p>
    <w:p w14:paraId="469760EC" w14:textId="77777777" w:rsidR="00EA6F00" w:rsidRPr="00762596" w:rsidRDefault="00861C42">
      <w:pPr>
        <w:widowControl w:val="0"/>
        <w:jc w:val="both"/>
        <w:rPr>
          <w:szCs w:val="22"/>
          <w:lang w:val="sr-Latn-ME"/>
        </w:rPr>
      </w:pPr>
      <w:r w:rsidRPr="00762596">
        <w:rPr>
          <w:szCs w:val="22"/>
          <w:lang w:val="sr-Latn-ME"/>
        </w:rPr>
        <w:t>Istovremena primjena višestrukih doza od 10 mg amlodipina sa 80 mg simvastatina dovela je do povećanja izloženosti simvastatinu za 77%, u poređenju sa samim simvastatinom. Preporučuje se ograničenje doze simvastatina na 20 mg dnevno kod pacijenata na amlodipinu.</w:t>
      </w:r>
    </w:p>
    <w:p w14:paraId="386E2656" w14:textId="77777777" w:rsidR="00EA6F00" w:rsidRPr="00762596" w:rsidRDefault="00EA6F00">
      <w:pPr>
        <w:widowControl w:val="0"/>
        <w:jc w:val="both"/>
        <w:rPr>
          <w:szCs w:val="22"/>
          <w:lang w:val="sr-Latn-ME"/>
        </w:rPr>
      </w:pPr>
    </w:p>
    <w:p w14:paraId="74C17A98" w14:textId="77777777" w:rsidR="00EA6F00" w:rsidRPr="00762596" w:rsidRDefault="00861C42">
      <w:pPr>
        <w:widowControl w:val="0"/>
        <w:jc w:val="both"/>
        <w:rPr>
          <w:i/>
          <w:szCs w:val="22"/>
          <w:lang w:val="sr-Latn-ME"/>
        </w:rPr>
      </w:pPr>
      <w:r w:rsidRPr="00762596">
        <w:rPr>
          <w:i/>
          <w:szCs w:val="22"/>
          <w:lang w:val="sr-Latn-ME"/>
        </w:rPr>
        <w:t>Dantrolen (infuzija)</w:t>
      </w:r>
    </w:p>
    <w:p w14:paraId="3D8912C1" w14:textId="77777777" w:rsidR="00EA6F00" w:rsidRPr="00762596" w:rsidRDefault="00EA6F00">
      <w:pPr>
        <w:widowControl w:val="0"/>
        <w:jc w:val="both"/>
        <w:rPr>
          <w:szCs w:val="22"/>
          <w:lang w:val="sr-Latn-ME"/>
        </w:rPr>
      </w:pPr>
    </w:p>
    <w:p w14:paraId="4EA14191" w14:textId="77777777" w:rsidR="00EA6F00" w:rsidRPr="00762596" w:rsidRDefault="00861C42">
      <w:pPr>
        <w:widowControl w:val="0"/>
        <w:jc w:val="both"/>
        <w:rPr>
          <w:szCs w:val="22"/>
          <w:lang w:val="sr-Latn-ME"/>
        </w:rPr>
      </w:pPr>
      <w:r w:rsidRPr="00762596">
        <w:rPr>
          <w:szCs w:val="22"/>
          <w:lang w:val="sr-Latn-ME"/>
        </w:rPr>
        <w:t>Kod životinja su zabilježeni letalna ventrikularna fibrilacija i kardiovaskularni kolaps povezani sa hiperkalijemijom nakon primjene verapamila i intravenskog dantrolena. Zbog rizika od hiperkalijemije, preporučuje se izbjegavanje istovremene primjene blokatora kalcijumskih kanala, kao što je amlodipin, kod pacijenata podložnih malignoj hipertermiji i u liječenju maligne hipertermije.</w:t>
      </w:r>
    </w:p>
    <w:p w14:paraId="1B5D2E25" w14:textId="77777777" w:rsidR="00EA6F00" w:rsidRPr="00762596" w:rsidRDefault="00EA6F00">
      <w:pPr>
        <w:widowControl w:val="0"/>
        <w:jc w:val="both"/>
        <w:rPr>
          <w:szCs w:val="22"/>
        </w:rPr>
      </w:pPr>
    </w:p>
    <w:p w14:paraId="60C00C71" w14:textId="77777777" w:rsidR="00EA6F00" w:rsidRPr="00762596" w:rsidRDefault="00861C42">
      <w:pPr>
        <w:widowControl w:val="0"/>
        <w:jc w:val="both"/>
        <w:rPr>
          <w:i/>
          <w:iCs/>
          <w:szCs w:val="22"/>
        </w:rPr>
      </w:pPr>
      <w:r w:rsidRPr="00762596">
        <w:rPr>
          <w:i/>
          <w:iCs/>
          <w:szCs w:val="22"/>
        </w:rPr>
        <w:t>Takrolimus</w:t>
      </w:r>
    </w:p>
    <w:p w14:paraId="42AA446F" w14:textId="77777777" w:rsidR="00EA6F00" w:rsidRPr="00762596" w:rsidRDefault="00EA6F00">
      <w:pPr>
        <w:widowControl w:val="0"/>
        <w:jc w:val="both"/>
        <w:rPr>
          <w:szCs w:val="22"/>
        </w:rPr>
      </w:pPr>
    </w:p>
    <w:p w14:paraId="19103A0E" w14:textId="77777777" w:rsidR="00EA6F00" w:rsidRPr="00762596" w:rsidRDefault="00861C42">
      <w:pPr>
        <w:widowControl w:val="0"/>
        <w:jc w:val="both"/>
        <w:rPr>
          <w:szCs w:val="22"/>
          <w:lang w:val="mk-MK"/>
        </w:rPr>
      </w:pPr>
      <w:r w:rsidRPr="00762596">
        <w:rPr>
          <w:szCs w:val="22"/>
          <w:lang w:val="mk-MK"/>
        </w:rPr>
        <w:t xml:space="preserve">Postoji rizik od povećanja </w:t>
      </w:r>
      <w:r w:rsidRPr="00762596">
        <w:rPr>
          <w:szCs w:val="22"/>
          <w:lang w:val="sr-Latn-ME"/>
        </w:rPr>
        <w:t>koncentracije</w:t>
      </w:r>
      <w:r w:rsidRPr="00762596">
        <w:rPr>
          <w:szCs w:val="22"/>
          <w:lang w:val="mk-MK"/>
        </w:rPr>
        <w:t xml:space="preserve"> takrolimusa u krvi kada se istovremeno prim</w:t>
      </w:r>
      <w:r w:rsidRPr="00762596">
        <w:rPr>
          <w:szCs w:val="22"/>
          <w:lang w:val="sr-Latn-ME"/>
        </w:rPr>
        <w:t>j</w:t>
      </w:r>
      <w:r w:rsidRPr="00762596">
        <w:rPr>
          <w:szCs w:val="22"/>
          <w:lang w:val="mk-MK"/>
        </w:rPr>
        <w:t>enjuje sa amlodipinom. Da bi se izb</w:t>
      </w:r>
      <w:r w:rsidRPr="00762596">
        <w:rPr>
          <w:szCs w:val="22"/>
          <w:lang w:val="sr-Latn-ME"/>
        </w:rPr>
        <w:t>j</w:t>
      </w:r>
      <w:r w:rsidRPr="00762596">
        <w:rPr>
          <w:szCs w:val="22"/>
          <w:lang w:val="mk-MK"/>
        </w:rPr>
        <w:t>egla toksičnost takrolimusa, prim</w:t>
      </w:r>
      <w:r w:rsidRPr="00762596">
        <w:rPr>
          <w:szCs w:val="22"/>
          <w:lang w:val="sr-Latn-ME"/>
        </w:rPr>
        <w:t>j</w:t>
      </w:r>
      <w:r w:rsidRPr="00762596">
        <w:rPr>
          <w:szCs w:val="22"/>
          <w:lang w:val="mk-MK"/>
        </w:rPr>
        <w:t>ena amlodipina kod pacijenata l</w:t>
      </w:r>
      <w:r w:rsidRPr="00762596">
        <w:rPr>
          <w:szCs w:val="22"/>
          <w:lang w:val="sr-Latn-ME"/>
        </w:rPr>
        <w:t>ij</w:t>
      </w:r>
      <w:r w:rsidRPr="00762596">
        <w:rPr>
          <w:szCs w:val="22"/>
          <w:lang w:val="mk-MK"/>
        </w:rPr>
        <w:t>ečenih takrolimusom zaht</w:t>
      </w:r>
      <w:r w:rsidRPr="00762596">
        <w:rPr>
          <w:szCs w:val="22"/>
          <w:lang w:val="sr-Latn-ME"/>
        </w:rPr>
        <w:t>ij</w:t>
      </w:r>
      <w:r w:rsidRPr="00762596">
        <w:rPr>
          <w:szCs w:val="22"/>
          <w:lang w:val="mk-MK"/>
        </w:rPr>
        <w:t>eva praćenje nivoa takrolimusa u krvi i prilagođavanje doze takrolimusa kada je to potrebno.</w:t>
      </w:r>
    </w:p>
    <w:p w14:paraId="14BDF96C" w14:textId="77777777" w:rsidR="00EA6F00" w:rsidRPr="00762596" w:rsidRDefault="00EA6F00">
      <w:pPr>
        <w:widowControl w:val="0"/>
        <w:jc w:val="both"/>
        <w:rPr>
          <w:szCs w:val="22"/>
          <w:lang w:val="sr-Latn-ME"/>
        </w:rPr>
      </w:pPr>
    </w:p>
    <w:p w14:paraId="5716572F" w14:textId="77777777" w:rsidR="00EA6F00" w:rsidRPr="00762596" w:rsidRDefault="00861C42">
      <w:pPr>
        <w:widowControl w:val="0"/>
        <w:jc w:val="both"/>
        <w:rPr>
          <w:i/>
          <w:szCs w:val="22"/>
          <w:u w:val="single"/>
          <w:lang w:val="sr-Latn-ME"/>
        </w:rPr>
      </w:pPr>
      <w:r w:rsidRPr="00762596">
        <w:rPr>
          <w:i/>
          <w:szCs w:val="22"/>
          <w:u w:val="single"/>
          <w:lang w:val="sr-Latn-ME"/>
        </w:rPr>
        <w:t>Treba uzeti u obzir kod istovremene primjene</w:t>
      </w:r>
    </w:p>
    <w:p w14:paraId="0F1B93B3" w14:textId="77777777" w:rsidR="00EA6F00" w:rsidRPr="00762596" w:rsidRDefault="00EA6F00">
      <w:pPr>
        <w:widowControl w:val="0"/>
        <w:jc w:val="both"/>
        <w:rPr>
          <w:szCs w:val="22"/>
          <w:lang w:val="sr-Latn-ME"/>
        </w:rPr>
      </w:pPr>
    </w:p>
    <w:p w14:paraId="2FFDE38A" w14:textId="77777777" w:rsidR="00EA6F00" w:rsidRPr="00762596" w:rsidRDefault="00861C42">
      <w:pPr>
        <w:widowControl w:val="0"/>
        <w:jc w:val="both"/>
        <w:rPr>
          <w:i/>
          <w:szCs w:val="22"/>
          <w:lang w:val="sr-Latn-ME"/>
        </w:rPr>
      </w:pPr>
      <w:r w:rsidRPr="00762596">
        <w:rPr>
          <w:i/>
          <w:szCs w:val="22"/>
          <w:lang w:val="sr-Latn-ME"/>
        </w:rPr>
        <w:t>Drugo</w:t>
      </w:r>
    </w:p>
    <w:p w14:paraId="3A0EF0BC" w14:textId="77777777" w:rsidR="00EA6F00" w:rsidRPr="00762596" w:rsidRDefault="00EA6F00">
      <w:pPr>
        <w:widowControl w:val="0"/>
        <w:jc w:val="both"/>
        <w:rPr>
          <w:szCs w:val="22"/>
          <w:lang w:val="sr-Latn-ME"/>
        </w:rPr>
      </w:pPr>
    </w:p>
    <w:p w14:paraId="6A3640B3" w14:textId="77777777" w:rsidR="00EA6F00" w:rsidRPr="00762596" w:rsidRDefault="00861C42">
      <w:pPr>
        <w:widowControl w:val="0"/>
        <w:jc w:val="both"/>
        <w:rPr>
          <w:szCs w:val="22"/>
          <w:lang w:val="sr-Latn-ME"/>
        </w:rPr>
      </w:pPr>
      <w:r w:rsidRPr="00762596">
        <w:rPr>
          <w:szCs w:val="22"/>
          <w:lang w:val="sr-Latn-ME"/>
        </w:rPr>
        <w:t>U kliničkim ispitivanjima interakcija, amlodipin nije uticao na farmakokinetiku atorvastatina, digoksina, varfarina ili ciklosporina.</w:t>
      </w:r>
    </w:p>
    <w:p w14:paraId="3E5CFC27" w14:textId="77777777" w:rsidR="00EA6F00" w:rsidRPr="00762596" w:rsidRDefault="00EA6F00">
      <w:pPr>
        <w:widowControl w:val="0"/>
        <w:jc w:val="both"/>
        <w:rPr>
          <w:szCs w:val="22"/>
          <w:lang w:val="sr-Latn-ME"/>
        </w:rPr>
      </w:pPr>
    </w:p>
    <w:p w14:paraId="104237F1" w14:textId="77777777" w:rsidR="00EA6F00" w:rsidRPr="00762596" w:rsidRDefault="00861C42">
      <w:pPr>
        <w:widowControl w:val="0"/>
        <w:jc w:val="both"/>
        <w:rPr>
          <w:szCs w:val="22"/>
          <w:u w:val="single"/>
          <w:lang w:val="sr-Latn-ME"/>
        </w:rPr>
      </w:pPr>
      <w:r w:rsidRPr="00762596">
        <w:rPr>
          <w:szCs w:val="22"/>
          <w:u w:val="single"/>
          <w:lang w:val="sr-Latn-ME"/>
        </w:rPr>
        <w:t>Interakcije povezane sa valsartanom</w:t>
      </w:r>
    </w:p>
    <w:p w14:paraId="5768CEDF" w14:textId="77777777" w:rsidR="00EA6F00" w:rsidRPr="00762596" w:rsidRDefault="00EA6F00">
      <w:pPr>
        <w:widowControl w:val="0"/>
        <w:jc w:val="both"/>
        <w:rPr>
          <w:szCs w:val="22"/>
          <w:lang w:val="sr-Latn-ME"/>
        </w:rPr>
      </w:pPr>
    </w:p>
    <w:p w14:paraId="6AD5354C" w14:textId="77777777" w:rsidR="00EA6F00" w:rsidRPr="00762596" w:rsidRDefault="00861C42">
      <w:pPr>
        <w:widowControl w:val="0"/>
        <w:jc w:val="both"/>
        <w:rPr>
          <w:i/>
          <w:szCs w:val="22"/>
          <w:u w:val="single"/>
          <w:lang w:val="sr-Latn-ME"/>
        </w:rPr>
      </w:pPr>
      <w:r w:rsidRPr="00762596">
        <w:rPr>
          <w:i/>
          <w:szCs w:val="22"/>
          <w:u w:val="single"/>
          <w:lang w:val="sr-Latn-ME"/>
        </w:rPr>
        <w:t>Istovremena primjena nije preporučena</w:t>
      </w:r>
    </w:p>
    <w:p w14:paraId="106AA138" w14:textId="77777777" w:rsidR="00EA6F00" w:rsidRPr="00762596" w:rsidRDefault="00EA6F00">
      <w:pPr>
        <w:widowControl w:val="0"/>
        <w:jc w:val="both"/>
        <w:rPr>
          <w:szCs w:val="22"/>
          <w:lang w:val="sr-Latn-ME"/>
        </w:rPr>
      </w:pPr>
    </w:p>
    <w:p w14:paraId="65B79784" w14:textId="77777777" w:rsidR="00EA6F00" w:rsidRPr="00762596" w:rsidRDefault="00861C42">
      <w:pPr>
        <w:widowControl w:val="0"/>
        <w:jc w:val="both"/>
        <w:rPr>
          <w:i/>
          <w:szCs w:val="22"/>
          <w:lang w:val="sr-Latn-ME"/>
        </w:rPr>
      </w:pPr>
      <w:r w:rsidRPr="00762596">
        <w:rPr>
          <w:i/>
          <w:szCs w:val="22"/>
          <w:lang w:val="sr-Latn-ME"/>
        </w:rPr>
        <w:t>Litijum</w:t>
      </w:r>
    </w:p>
    <w:p w14:paraId="4F3C894E" w14:textId="77777777" w:rsidR="00EA6F00" w:rsidRPr="00762596" w:rsidRDefault="00EA6F00">
      <w:pPr>
        <w:widowControl w:val="0"/>
        <w:jc w:val="both"/>
        <w:rPr>
          <w:szCs w:val="22"/>
          <w:lang w:val="sr-Latn-ME"/>
        </w:rPr>
      </w:pPr>
    </w:p>
    <w:p w14:paraId="606C53D2" w14:textId="77777777" w:rsidR="00EA6F00" w:rsidRPr="00762596" w:rsidRDefault="00861C42">
      <w:pPr>
        <w:widowControl w:val="0"/>
        <w:jc w:val="both"/>
        <w:rPr>
          <w:szCs w:val="22"/>
          <w:lang w:val="sr-Latn-ME"/>
        </w:rPr>
      </w:pPr>
      <w:r w:rsidRPr="00762596">
        <w:rPr>
          <w:szCs w:val="22"/>
          <w:lang w:val="sr-Latn-ME"/>
        </w:rPr>
        <w:t>Prijavljena su reverzibilna povećanja koncentracija litijuma u serumu i toksičnost tokom istovremene primjene litijuma sa inhibitorima angiotenzin konvertirajućeg enzima ili antagonistima receptora angiotenzina II, uključujući valsartan. Stoga se tokom istovremene primjene preporučuje pažljivo praćenje koncentracije litijuma u serumu. Ako se koristi i diuretik, rizik od toksičnosti litijuma vjerovatno se može povećati i više sa kombinacijom amlodipina/valsartana.</w:t>
      </w:r>
    </w:p>
    <w:p w14:paraId="36D87B01" w14:textId="77777777" w:rsidR="00EA6F00" w:rsidRPr="00762596" w:rsidRDefault="00861C42">
      <w:pPr>
        <w:widowControl w:val="0"/>
        <w:jc w:val="both"/>
        <w:rPr>
          <w:i/>
          <w:iCs/>
          <w:szCs w:val="22"/>
          <w:lang w:val="sr-Latn-ME"/>
        </w:rPr>
      </w:pPr>
      <w:r w:rsidRPr="00762596">
        <w:rPr>
          <w:i/>
          <w:iCs/>
          <w:szCs w:val="22"/>
          <w:lang w:val="sr-Latn-ME"/>
        </w:rPr>
        <w:t>Diuretici koji štede kalijum, suplementi kalijuma, zamjene za soli koje sadrže kalijum, i ostale supstance koje mogu povećati koncentraciju kalijuma</w:t>
      </w:r>
    </w:p>
    <w:p w14:paraId="29F3956E" w14:textId="77777777" w:rsidR="00EA6F00" w:rsidRPr="00762596" w:rsidRDefault="00EA6F00">
      <w:pPr>
        <w:widowControl w:val="0"/>
        <w:jc w:val="both"/>
        <w:rPr>
          <w:szCs w:val="22"/>
          <w:lang w:val="sr-Latn-ME"/>
        </w:rPr>
      </w:pPr>
    </w:p>
    <w:p w14:paraId="00B85C0E" w14:textId="77777777" w:rsidR="00EA6F00" w:rsidRPr="00762596" w:rsidRDefault="00861C42">
      <w:pPr>
        <w:widowControl w:val="0"/>
        <w:jc w:val="both"/>
        <w:rPr>
          <w:szCs w:val="22"/>
          <w:lang w:val="sr-Latn-ME"/>
        </w:rPr>
      </w:pPr>
      <w:r w:rsidRPr="00762596">
        <w:rPr>
          <w:szCs w:val="22"/>
          <w:lang w:val="sr-Latn-ME"/>
        </w:rPr>
        <w:t>Ako se u kombinaciji sa valsartanom propisuje lijek koji utiče na koncentraciju kalijuma, savjetuje se praćenje koncentracije kalijuma u plazmi.</w:t>
      </w:r>
    </w:p>
    <w:p w14:paraId="3BB03650" w14:textId="77777777" w:rsidR="00EA6F00" w:rsidRPr="00762596" w:rsidRDefault="00EA6F00">
      <w:pPr>
        <w:widowControl w:val="0"/>
        <w:jc w:val="both"/>
        <w:rPr>
          <w:szCs w:val="22"/>
          <w:lang w:val="sr-Latn-ME"/>
        </w:rPr>
      </w:pPr>
    </w:p>
    <w:p w14:paraId="722081DD" w14:textId="77777777" w:rsidR="00EA6F00" w:rsidRPr="00762596" w:rsidRDefault="00861C42">
      <w:pPr>
        <w:widowControl w:val="0"/>
        <w:jc w:val="both"/>
        <w:rPr>
          <w:i/>
          <w:szCs w:val="22"/>
          <w:u w:val="single"/>
          <w:lang w:val="sr-Latn-ME"/>
        </w:rPr>
      </w:pPr>
      <w:r w:rsidRPr="00762596">
        <w:rPr>
          <w:i/>
          <w:szCs w:val="22"/>
          <w:u w:val="single"/>
          <w:lang w:val="sr-Latn-ME"/>
        </w:rPr>
        <w:t>Oprez potreban kod istovremene primjene</w:t>
      </w:r>
    </w:p>
    <w:p w14:paraId="6422E8AE" w14:textId="77777777" w:rsidR="00EA6F00" w:rsidRPr="00762596" w:rsidRDefault="00EA6F00">
      <w:pPr>
        <w:widowControl w:val="0"/>
        <w:jc w:val="both"/>
        <w:rPr>
          <w:szCs w:val="22"/>
          <w:lang w:val="sr-Latn-ME"/>
        </w:rPr>
      </w:pPr>
    </w:p>
    <w:p w14:paraId="2A453C8B" w14:textId="77777777" w:rsidR="00EA6F00" w:rsidRPr="00762596" w:rsidRDefault="00861C42">
      <w:pPr>
        <w:widowControl w:val="0"/>
        <w:jc w:val="both"/>
        <w:rPr>
          <w:i/>
          <w:szCs w:val="22"/>
          <w:lang w:val="sr-Latn-ME"/>
        </w:rPr>
      </w:pPr>
      <w:r w:rsidRPr="00762596">
        <w:rPr>
          <w:i/>
          <w:iCs/>
          <w:szCs w:val="22"/>
          <w:lang w:val="sr-Latn-ME"/>
        </w:rPr>
        <w:t>Nesteroidni antiinflamatorni ljekovi (NSAIL), uključujući selektivne COX-2 inhibitore, acetilsalicilnu kiselinu (&gt;3 g/dan) i neselektivne NSAIL-e</w:t>
      </w:r>
    </w:p>
    <w:p w14:paraId="3D307876" w14:textId="77777777" w:rsidR="00EA6F00" w:rsidRPr="00762596" w:rsidRDefault="00EA6F00">
      <w:pPr>
        <w:widowControl w:val="0"/>
        <w:jc w:val="both"/>
        <w:rPr>
          <w:szCs w:val="22"/>
          <w:lang w:val="sr-Latn-ME"/>
        </w:rPr>
      </w:pPr>
    </w:p>
    <w:p w14:paraId="078A2A27" w14:textId="77777777" w:rsidR="00EA6F00" w:rsidRPr="00762596" w:rsidRDefault="00861C42">
      <w:pPr>
        <w:widowControl w:val="0"/>
        <w:jc w:val="both"/>
        <w:rPr>
          <w:szCs w:val="22"/>
          <w:lang w:val="sr-Latn-ME"/>
        </w:rPr>
      </w:pPr>
      <w:r w:rsidRPr="00762596">
        <w:rPr>
          <w:szCs w:val="22"/>
          <w:lang w:val="sr-Latn-ME"/>
        </w:rPr>
        <w:t>Kada se antagonisti angiotenzina II primjenjuju istovremeno sa NSAIL, može doći do slabljenja antihipertenzivnog učinka. Osim toga, istovremena primjena antagonista angiotenzina II i NSAIL-a može dovesti do povećanog rizika od pogoršanja bubrežne funkcije i do povećanja kalijuma u serumu. Stoga se preporučuje praćenje bubrežne funkcije na početku liječenja, kao i odgovarajuća hidracija pacijenata.</w:t>
      </w:r>
    </w:p>
    <w:p w14:paraId="5A7FC121" w14:textId="77777777" w:rsidR="00EA6F00" w:rsidRPr="00762596" w:rsidRDefault="00EA6F00">
      <w:pPr>
        <w:widowControl w:val="0"/>
        <w:jc w:val="both"/>
        <w:rPr>
          <w:szCs w:val="22"/>
          <w:lang w:val="sr-Latn-ME"/>
        </w:rPr>
      </w:pPr>
    </w:p>
    <w:p w14:paraId="7220FA35" w14:textId="77777777" w:rsidR="00EA6F00" w:rsidRPr="00762596" w:rsidRDefault="00861C42">
      <w:pPr>
        <w:widowControl w:val="0"/>
        <w:jc w:val="both"/>
        <w:rPr>
          <w:i/>
          <w:szCs w:val="22"/>
          <w:lang w:val="sr-Latn-ME"/>
        </w:rPr>
      </w:pPr>
      <w:r w:rsidRPr="00762596">
        <w:rPr>
          <w:i/>
          <w:szCs w:val="22"/>
          <w:lang w:val="sr-Latn-ME"/>
        </w:rPr>
        <w:lastRenderedPageBreak/>
        <w:t>Inhibitori transportera preuzimanja (rifampicin, ciklosporin) ili efluksnog transportera (ritonavir)</w:t>
      </w:r>
    </w:p>
    <w:p w14:paraId="762BC0AE" w14:textId="77777777" w:rsidR="00EA6F00" w:rsidRPr="00762596" w:rsidRDefault="00EA6F00">
      <w:pPr>
        <w:widowControl w:val="0"/>
        <w:jc w:val="both"/>
        <w:rPr>
          <w:szCs w:val="22"/>
          <w:lang w:val="sr-Latn-ME"/>
        </w:rPr>
      </w:pPr>
    </w:p>
    <w:p w14:paraId="078BD61D" w14:textId="77777777" w:rsidR="00EA6F00" w:rsidRPr="00762596" w:rsidRDefault="00861C42">
      <w:pPr>
        <w:widowControl w:val="0"/>
        <w:jc w:val="both"/>
        <w:rPr>
          <w:szCs w:val="22"/>
          <w:lang w:val="sr-Latn-ME"/>
        </w:rPr>
      </w:pPr>
      <w:r w:rsidRPr="00762596">
        <w:rPr>
          <w:szCs w:val="22"/>
          <w:lang w:val="sr-Latn-ME"/>
        </w:rPr>
        <w:t xml:space="preserve">Rezultati </w:t>
      </w:r>
      <w:r w:rsidRPr="00762596">
        <w:rPr>
          <w:i/>
          <w:iCs/>
          <w:szCs w:val="22"/>
          <w:lang w:val="sr-Latn-ME"/>
        </w:rPr>
        <w:t xml:space="preserve">in vitro </w:t>
      </w:r>
      <w:r w:rsidRPr="00762596">
        <w:rPr>
          <w:szCs w:val="22"/>
          <w:lang w:val="sr-Latn-ME"/>
        </w:rPr>
        <w:t>ispitivanja na ljudskom tkivu jetre pokazuju da je valsartan supstrat transportera hepatičkog preuzimanja OATP1B1 i hepatičkog efluksnog transportera MRP2. Istovremena primjena inhibitora transportera preuzimanja (rifampicin, ciklosporin) ili efluksnog transportera (ritonavir) može povećati sistemsku izloženost valsartanu.</w:t>
      </w:r>
    </w:p>
    <w:p w14:paraId="1AA1D69A" w14:textId="77777777" w:rsidR="00EA6F00" w:rsidRPr="00762596" w:rsidRDefault="00EA6F00">
      <w:pPr>
        <w:widowControl w:val="0"/>
        <w:jc w:val="both"/>
        <w:rPr>
          <w:szCs w:val="22"/>
          <w:lang w:val="sr-Latn-ME"/>
        </w:rPr>
      </w:pPr>
    </w:p>
    <w:p w14:paraId="4DB29109" w14:textId="77777777" w:rsidR="00EA6F00" w:rsidRPr="00762596" w:rsidRDefault="00861C42">
      <w:pPr>
        <w:widowControl w:val="0"/>
        <w:jc w:val="both"/>
        <w:rPr>
          <w:i/>
          <w:szCs w:val="22"/>
          <w:lang w:val="sr-Latn-ME"/>
        </w:rPr>
      </w:pPr>
      <w:r w:rsidRPr="00762596">
        <w:rPr>
          <w:i/>
          <w:szCs w:val="22"/>
          <w:lang w:val="sr-Latn-ME"/>
        </w:rPr>
        <w:t>Dvostruka blokada RAAS s ARB-ovima, ACE inhibitorima ili aliskirenom</w:t>
      </w:r>
    </w:p>
    <w:p w14:paraId="5672DDDC" w14:textId="77777777" w:rsidR="00EA6F00" w:rsidRPr="00762596" w:rsidRDefault="00EA6F00">
      <w:pPr>
        <w:widowControl w:val="0"/>
        <w:jc w:val="both"/>
        <w:rPr>
          <w:szCs w:val="22"/>
          <w:lang w:val="sr-Latn-ME"/>
        </w:rPr>
      </w:pPr>
    </w:p>
    <w:p w14:paraId="0FB627BA" w14:textId="77777777" w:rsidR="00EA6F00" w:rsidRPr="00762596" w:rsidRDefault="00861C42">
      <w:pPr>
        <w:widowControl w:val="0"/>
        <w:jc w:val="both"/>
        <w:rPr>
          <w:szCs w:val="22"/>
          <w:lang w:val="sr-Latn-ME"/>
        </w:rPr>
      </w:pPr>
      <w:r w:rsidRPr="00762596">
        <w:rPr>
          <w:szCs w:val="22"/>
          <w:lang w:val="sr-Latn-ME"/>
        </w:rPr>
        <w:t>Podaci iz kliničkih ispitivanja pokazali su da je dvostruka blokada RAAS kombinovanom primjenom ACE inhibitora, ARB-ova ili aliskirena povezana sa većom učestalošću neželjenih događaja, kao što su hipotenzija, hiperkalijemija i smanjena bubrežna funkcija (uključujući akutnu insuficijenciju bubrega), u poređenju sa primjenom samo jednog lijeka koji djeluje na RAAS (vidjeti odjeljke 4.3, 4.4 i 5.1).</w:t>
      </w:r>
    </w:p>
    <w:p w14:paraId="5A1EC623" w14:textId="77777777" w:rsidR="00EA6F00" w:rsidRPr="00762596" w:rsidRDefault="00EA6F00">
      <w:pPr>
        <w:widowControl w:val="0"/>
        <w:jc w:val="both"/>
        <w:rPr>
          <w:szCs w:val="22"/>
          <w:lang w:val="sr-Latn-ME"/>
        </w:rPr>
      </w:pPr>
    </w:p>
    <w:p w14:paraId="69A41610" w14:textId="77777777" w:rsidR="00EA6F00" w:rsidRPr="00762596" w:rsidRDefault="00861C42">
      <w:pPr>
        <w:widowControl w:val="0"/>
        <w:jc w:val="both"/>
        <w:rPr>
          <w:i/>
          <w:szCs w:val="22"/>
          <w:lang w:val="sr-Latn-ME"/>
        </w:rPr>
      </w:pPr>
      <w:r w:rsidRPr="00762596">
        <w:rPr>
          <w:i/>
          <w:szCs w:val="22"/>
          <w:lang w:val="sr-Latn-ME"/>
        </w:rPr>
        <w:t>Drugi</w:t>
      </w:r>
    </w:p>
    <w:p w14:paraId="56EF4C7C" w14:textId="77777777" w:rsidR="00EA6F00" w:rsidRPr="00762596" w:rsidRDefault="00EA6F00">
      <w:pPr>
        <w:widowControl w:val="0"/>
        <w:jc w:val="both"/>
        <w:rPr>
          <w:szCs w:val="22"/>
          <w:lang w:val="sr-Latn-ME"/>
        </w:rPr>
      </w:pPr>
    </w:p>
    <w:p w14:paraId="355627BC" w14:textId="77777777" w:rsidR="00EA6F00" w:rsidRPr="00762596" w:rsidRDefault="00861C42">
      <w:pPr>
        <w:widowControl w:val="0"/>
        <w:jc w:val="both"/>
        <w:rPr>
          <w:szCs w:val="22"/>
          <w:lang w:val="sr-Latn-ME"/>
        </w:rPr>
      </w:pPr>
      <w:r w:rsidRPr="00762596">
        <w:rPr>
          <w:szCs w:val="22"/>
          <w:lang w:val="sr-Latn-ME"/>
        </w:rPr>
        <w:t>Kod monoterapije valsartanom nisu nađene klinički značajne interakcije sa sljedećim ljekovima: cimetidin, varfarin, furosemid, digoksin, atenolol, indometacin, hidrohlorotiazid, amlodipin, glibenklamid.</w:t>
      </w:r>
    </w:p>
    <w:p w14:paraId="453F2659" w14:textId="77777777" w:rsidR="00EA6F00" w:rsidRPr="00762596" w:rsidRDefault="00EA6F00">
      <w:pPr>
        <w:widowControl w:val="0"/>
        <w:jc w:val="both"/>
        <w:rPr>
          <w:szCs w:val="22"/>
          <w:lang w:val="sr-Latn-ME"/>
        </w:rPr>
      </w:pPr>
    </w:p>
    <w:p w14:paraId="22AEF003" w14:textId="77777777" w:rsidR="00EA6F00" w:rsidRPr="00762596" w:rsidRDefault="00861C42">
      <w:pPr>
        <w:widowControl w:val="0"/>
        <w:ind w:left="567" w:hanging="567"/>
        <w:jc w:val="both"/>
        <w:outlineLvl w:val="0"/>
        <w:rPr>
          <w:b/>
          <w:bCs/>
          <w:szCs w:val="22"/>
          <w:lang w:val="sr-Latn-ME"/>
        </w:rPr>
      </w:pPr>
      <w:r w:rsidRPr="00762596">
        <w:rPr>
          <w:b/>
          <w:szCs w:val="22"/>
          <w:lang w:val="sr-Latn-ME"/>
        </w:rPr>
        <w:t>4.6</w:t>
      </w:r>
      <w:r w:rsidRPr="00762596">
        <w:rPr>
          <w:b/>
          <w:szCs w:val="22"/>
          <w:lang w:val="sr-Latn-ME"/>
        </w:rPr>
        <w:tab/>
      </w:r>
      <w:r w:rsidRPr="00762596">
        <w:rPr>
          <w:b/>
          <w:bCs/>
          <w:szCs w:val="22"/>
          <w:lang w:val="sr-Latn-ME"/>
        </w:rPr>
        <w:t>Plodnost, trudnoća i dojenje</w:t>
      </w:r>
    </w:p>
    <w:p w14:paraId="2C3A681A" w14:textId="77777777" w:rsidR="00EA6F00" w:rsidRPr="00762596" w:rsidRDefault="00EA6F00">
      <w:pPr>
        <w:widowControl w:val="0"/>
        <w:ind w:left="567" w:hanging="567"/>
        <w:jc w:val="both"/>
        <w:outlineLvl w:val="0"/>
        <w:rPr>
          <w:b/>
          <w:bCs/>
          <w:szCs w:val="22"/>
          <w:lang w:val="sr-Latn-ME"/>
        </w:rPr>
      </w:pPr>
    </w:p>
    <w:p w14:paraId="57B86C16" w14:textId="77777777" w:rsidR="00EA6F00" w:rsidRPr="00B36BCA" w:rsidRDefault="00861C42">
      <w:pPr>
        <w:pStyle w:val="Default"/>
        <w:widowControl w:val="0"/>
        <w:jc w:val="both"/>
        <w:rPr>
          <w:sz w:val="22"/>
          <w:szCs w:val="22"/>
          <w:u w:val="single"/>
          <w:lang w:val="sr-Latn-ME"/>
        </w:rPr>
      </w:pPr>
      <w:r w:rsidRPr="00B36BCA">
        <w:rPr>
          <w:sz w:val="22"/>
          <w:szCs w:val="22"/>
          <w:u w:val="single"/>
          <w:lang w:val="sr-Latn-ME"/>
        </w:rPr>
        <w:t>Trudnoća</w:t>
      </w:r>
    </w:p>
    <w:p w14:paraId="59175C23" w14:textId="77777777" w:rsidR="00EA6F00" w:rsidRPr="00762596" w:rsidRDefault="00EA6F00">
      <w:pPr>
        <w:widowControl w:val="0"/>
        <w:tabs>
          <w:tab w:val="left" w:pos="0"/>
        </w:tabs>
        <w:jc w:val="both"/>
        <w:rPr>
          <w:color w:val="000000"/>
          <w:szCs w:val="22"/>
          <w:lang w:val="sr-Latn-ME"/>
        </w:rPr>
      </w:pPr>
    </w:p>
    <w:p w14:paraId="703683E0" w14:textId="77777777" w:rsidR="00EA6F00" w:rsidRPr="00762596" w:rsidRDefault="00861C42">
      <w:pPr>
        <w:widowControl w:val="0"/>
        <w:tabs>
          <w:tab w:val="left" w:pos="0"/>
        </w:tabs>
        <w:jc w:val="both"/>
        <w:rPr>
          <w:i/>
          <w:color w:val="000000"/>
          <w:szCs w:val="22"/>
          <w:lang w:val="sr-Latn-ME"/>
        </w:rPr>
      </w:pPr>
      <w:r w:rsidRPr="00762596">
        <w:rPr>
          <w:i/>
          <w:color w:val="000000"/>
          <w:szCs w:val="22"/>
          <w:lang w:val="sr-Latn-ME"/>
        </w:rPr>
        <w:t>Amlodipin</w:t>
      </w:r>
    </w:p>
    <w:p w14:paraId="766E2E6B" w14:textId="77777777" w:rsidR="00EA6F00" w:rsidRPr="00762596" w:rsidRDefault="00EA6F00">
      <w:pPr>
        <w:widowControl w:val="0"/>
        <w:tabs>
          <w:tab w:val="left" w:pos="0"/>
        </w:tabs>
        <w:jc w:val="both"/>
        <w:rPr>
          <w:color w:val="000000"/>
          <w:szCs w:val="22"/>
          <w:lang w:val="sr-Latn-ME"/>
        </w:rPr>
      </w:pPr>
    </w:p>
    <w:p w14:paraId="7BF7BD6C" w14:textId="77777777" w:rsidR="00EA6F00" w:rsidRPr="00762596" w:rsidRDefault="00861C42">
      <w:pPr>
        <w:widowControl w:val="0"/>
        <w:tabs>
          <w:tab w:val="left" w:pos="0"/>
        </w:tabs>
        <w:jc w:val="both"/>
        <w:rPr>
          <w:szCs w:val="22"/>
          <w:lang w:val="sr-Latn-ME"/>
        </w:rPr>
      </w:pPr>
      <w:r w:rsidRPr="00762596">
        <w:rPr>
          <w:szCs w:val="22"/>
          <w:lang w:val="sr-Latn-ME"/>
        </w:rPr>
        <w:t>Bezbjednost amlodipina tokom trudnoće kod ljudi nije utvrđena. U ispitivanjima na životinjama, zabilježena je reproduktivna toksičnost pri visokim dozama (vidjeti odjeljak 5.3). Primjena u trudnoći preporučuje se samo kad ne postoji bezbjednija alternativa i kad sama bolest nosi veći rizik za majku i fetus.</w:t>
      </w:r>
    </w:p>
    <w:p w14:paraId="6A2AD07E" w14:textId="77777777" w:rsidR="00EA6F00" w:rsidRPr="00762596" w:rsidRDefault="00EA6F00">
      <w:pPr>
        <w:widowControl w:val="0"/>
        <w:tabs>
          <w:tab w:val="left" w:pos="0"/>
        </w:tabs>
        <w:jc w:val="both"/>
        <w:rPr>
          <w:color w:val="000000"/>
          <w:szCs w:val="22"/>
          <w:lang w:val="sr-Latn-ME"/>
        </w:rPr>
      </w:pPr>
    </w:p>
    <w:p w14:paraId="078D6026" w14:textId="77777777" w:rsidR="00EA6F00" w:rsidRPr="00762596" w:rsidRDefault="00861C42">
      <w:pPr>
        <w:widowControl w:val="0"/>
        <w:tabs>
          <w:tab w:val="left" w:pos="0"/>
        </w:tabs>
        <w:jc w:val="both"/>
        <w:rPr>
          <w:i/>
          <w:color w:val="000000"/>
          <w:szCs w:val="22"/>
          <w:lang w:val="sr-Latn-ME"/>
        </w:rPr>
      </w:pPr>
      <w:r w:rsidRPr="00762596">
        <w:rPr>
          <w:i/>
          <w:color w:val="000000"/>
          <w:szCs w:val="22"/>
          <w:lang w:val="sr-Latn-ME"/>
        </w:rPr>
        <w:t>Valsartan</w:t>
      </w:r>
    </w:p>
    <w:p w14:paraId="55AE3445" w14:textId="77777777" w:rsidR="00EA6F00" w:rsidRPr="00762596" w:rsidRDefault="00EA6F00">
      <w:pPr>
        <w:widowControl w:val="0"/>
        <w:tabs>
          <w:tab w:val="left" w:pos="0"/>
        </w:tabs>
        <w:jc w:val="both"/>
        <w:rPr>
          <w:color w:val="000000"/>
          <w:szCs w:val="22"/>
          <w:lang w:val="sr-Latn-ME"/>
        </w:rPr>
      </w:pPr>
    </w:p>
    <w:p w14:paraId="17182A30" w14:textId="77777777" w:rsidR="00EA6F00" w:rsidRPr="00762596" w:rsidRDefault="00861C42">
      <w:pPr>
        <w:widowControl w:val="0"/>
        <w:pBdr>
          <w:top w:val="single" w:sz="4" w:space="1" w:color="auto"/>
          <w:left w:val="single" w:sz="4" w:space="4" w:color="auto"/>
          <w:bottom w:val="single" w:sz="4" w:space="1" w:color="auto"/>
          <w:right w:val="single" w:sz="4" w:space="4" w:color="auto"/>
        </w:pBdr>
        <w:tabs>
          <w:tab w:val="left" w:pos="0"/>
        </w:tabs>
        <w:jc w:val="both"/>
        <w:rPr>
          <w:color w:val="000000"/>
          <w:szCs w:val="22"/>
          <w:lang w:val="sr-Latn-ME"/>
        </w:rPr>
      </w:pPr>
      <w:r w:rsidRPr="00762596">
        <w:rPr>
          <w:szCs w:val="22"/>
          <w:lang w:val="sr-Latn-ME"/>
        </w:rPr>
        <w:t>Primjena antagonista angiotenzin II receptora (AIIRA) se ne preporučuje tokom prvog trimestra trudnoće (vidjeti odjeljak 4.4). Primjena AIIRA je kontraindikovana tokom drugog i trećeg trimestra trudnoće (vidjeti odjeljke 4.3 i 4.4).</w:t>
      </w:r>
    </w:p>
    <w:p w14:paraId="1517353A" w14:textId="77777777" w:rsidR="00EA6F00" w:rsidRPr="00762596" w:rsidRDefault="00EA6F00">
      <w:pPr>
        <w:widowControl w:val="0"/>
        <w:tabs>
          <w:tab w:val="left" w:pos="0"/>
        </w:tabs>
        <w:jc w:val="both"/>
        <w:rPr>
          <w:color w:val="000000"/>
          <w:szCs w:val="22"/>
          <w:lang w:val="sr-Latn-ME"/>
        </w:rPr>
      </w:pPr>
    </w:p>
    <w:p w14:paraId="3661B7FB" w14:textId="77777777" w:rsidR="00EA6F00" w:rsidRPr="00762596" w:rsidRDefault="00861C42">
      <w:pPr>
        <w:widowControl w:val="0"/>
        <w:tabs>
          <w:tab w:val="left" w:pos="0"/>
        </w:tabs>
        <w:jc w:val="both"/>
        <w:rPr>
          <w:szCs w:val="22"/>
          <w:lang w:val="sr-Latn-ME"/>
        </w:rPr>
      </w:pPr>
      <w:r w:rsidRPr="00762596">
        <w:rPr>
          <w:szCs w:val="22"/>
          <w:lang w:val="sr-Latn-ME"/>
        </w:rPr>
        <w:t>Epidemiološki dokaz rizika teratogenosti nakon izlaganja ACE inhibitorima tokom prvog trimestra trudnoće nije ubjedljiv; međutim, mali porast rizika se ne može isključiti. Dok nema kontrolisanih epidemioloških podataka o riziku sa antagonistima receptora angiotenzina II (AIIRA), slični rizici mogu postojati i za ovu klasu ljekova. Ako nastavak terapije AIIRA nije neophodan, pacijentkinje koje planiraju trudnoću treba prebaciti na alternativna antihipertenzivna liječenja koja imaju utvrđen bezbjednosni profil za primjenu u trudnoći. Kada se trudnoća utvrdi, liječenje AIIRA treba odmah prekinuti te, ako je odgovarajuće, započeti alternativnu terapiju.</w:t>
      </w:r>
    </w:p>
    <w:p w14:paraId="5DDBDDB7" w14:textId="77777777" w:rsidR="00EA6F00" w:rsidRPr="00762596" w:rsidRDefault="00EA6F00">
      <w:pPr>
        <w:widowControl w:val="0"/>
        <w:tabs>
          <w:tab w:val="left" w:pos="0"/>
        </w:tabs>
        <w:jc w:val="both"/>
        <w:rPr>
          <w:color w:val="000000"/>
          <w:szCs w:val="22"/>
          <w:lang w:val="sr-Latn-ME"/>
        </w:rPr>
      </w:pPr>
    </w:p>
    <w:p w14:paraId="56D5A4E6" w14:textId="77777777" w:rsidR="00EA6F00" w:rsidRPr="00762596" w:rsidRDefault="00861C42">
      <w:pPr>
        <w:widowControl w:val="0"/>
        <w:tabs>
          <w:tab w:val="left" w:pos="0"/>
        </w:tabs>
        <w:jc w:val="both"/>
        <w:rPr>
          <w:szCs w:val="22"/>
          <w:lang w:val="sr-Latn-ME"/>
        </w:rPr>
      </w:pPr>
      <w:r w:rsidRPr="00762596">
        <w:rPr>
          <w:szCs w:val="22"/>
          <w:lang w:val="sr-Latn-ME"/>
        </w:rPr>
        <w:t>Poznato je da izloženost terapiji AIIRA tokom drugog i trećeg trimestra kod ljudi izaziva fetotoksičnost (smanjenu funkciju bubrega, oligohidramnione, retardaciju okoštavanja lobanje) i neonatalnu toksičnost (insufijenciju bubrega, hipotenziju, hiperkalijemiju) (vidjeti odjeljak 5.3).</w:t>
      </w:r>
    </w:p>
    <w:p w14:paraId="5D23E937" w14:textId="77777777" w:rsidR="00EA6F00" w:rsidRPr="00762596" w:rsidRDefault="00EA6F00">
      <w:pPr>
        <w:widowControl w:val="0"/>
        <w:tabs>
          <w:tab w:val="left" w:pos="0"/>
        </w:tabs>
        <w:jc w:val="both"/>
        <w:rPr>
          <w:color w:val="000000"/>
          <w:szCs w:val="22"/>
          <w:lang w:val="sr-Latn-ME"/>
        </w:rPr>
      </w:pPr>
    </w:p>
    <w:p w14:paraId="45B6BEC5" w14:textId="77777777" w:rsidR="00EA6F00" w:rsidRPr="00762596" w:rsidRDefault="00861C42">
      <w:pPr>
        <w:widowControl w:val="0"/>
        <w:tabs>
          <w:tab w:val="left" w:pos="0"/>
        </w:tabs>
        <w:jc w:val="both"/>
        <w:rPr>
          <w:szCs w:val="22"/>
          <w:lang w:val="sr-Latn-ME"/>
        </w:rPr>
      </w:pPr>
      <w:r w:rsidRPr="00762596">
        <w:rPr>
          <w:szCs w:val="22"/>
          <w:lang w:val="sr-Latn-ME"/>
        </w:rPr>
        <w:t>Ako je do izloženosti AIIRA došlo od drugog trimestra trudnoće, preporučuje se ultrazvučni pregled funkcije bubrega i lobanje.</w:t>
      </w:r>
    </w:p>
    <w:p w14:paraId="0EC1529A" w14:textId="77777777" w:rsidR="00EA6F00" w:rsidRPr="00762596" w:rsidRDefault="00EA6F00">
      <w:pPr>
        <w:widowControl w:val="0"/>
        <w:tabs>
          <w:tab w:val="left" w:pos="0"/>
        </w:tabs>
        <w:jc w:val="both"/>
        <w:rPr>
          <w:color w:val="000000"/>
          <w:szCs w:val="22"/>
          <w:lang w:val="sr-Latn-ME"/>
        </w:rPr>
      </w:pPr>
    </w:p>
    <w:p w14:paraId="298A98EA" w14:textId="77777777" w:rsidR="00EA6F00" w:rsidRPr="00762596" w:rsidRDefault="00861C42">
      <w:pPr>
        <w:widowControl w:val="0"/>
        <w:tabs>
          <w:tab w:val="left" w:pos="0"/>
        </w:tabs>
        <w:jc w:val="both"/>
        <w:rPr>
          <w:szCs w:val="22"/>
          <w:lang w:val="sr-Latn-ME"/>
        </w:rPr>
      </w:pPr>
      <w:r w:rsidRPr="00762596">
        <w:rPr>
          <w:szCs w:val="22"/>
          <w:lang w:val="sr-Latn-ME"/>
        </w:rPr>
        <w:t>Odojčad čije su majke uzimale AIIRA treba pažljivo pratiti zbog hipotenzije (vidjeti odjeljke 4.3 i 4.4).</w:t>
      </w:r>
    </w:p>
    <w:p w14:paraId="451920F9" w14:textId="77777777" w:rsidR="00EA6F00" w:rsidRPr="00762596" w:rsidRDefault="00EA6F00">
      <w:pPr>
        <w:widowControl w:val="0"/>
        <w:tabs>
          <w:tab w:val="left" w:pos="0"/>
        </w:tabs>
        <w:jc w:val="both"/>
        <w:rPr>
          <w:color w:val="000000"/>
          <w:szCs w:val="22"/>
          <w:lang w:val="sr-Latn-ME"/>
        </w:rPr>
      </w:pPr>
    </w:p>
    <w:p w14:paraId="1D51C6FD" w14:textId="6E1150E7" w:rsidR="00EA6F00" w:rsidRPr="00B36BCA" w:rsidRDefault="00861C42">
      <w:pPr>
        <w:pStyle w:val="Default"/>
        <w:widowControl w:val="0"/>
        <w:jc w:val="both"/>
        <w:rPr>
          <w:sz w:val="22"/>
          <w:szCs w:val="22"/>
          <w:lang w:val="sr-Latn-ME"/>
        </w:rPr>
      </w:pPr>
      <w:r w:rsidRPr="00B36BCA">
        <w:rPr>
          <w:iCs/>
          <w:szCs w:val="22"/>
          <w:u w:val="single"/>
          <w:lang w:val="sr-Latn-ME"/>
        </w:rPr>
        <w:t>Dojenje</w:t>
      </w:r>
    </w:p>
    <w:p w14:paraId="654B9CC4" w14:textId="77777777" w:rsidR="00EA6F00" w:rsidRPr="00B36BCA" w:rsidRDefault="00861C42">
      <w:pPr>
        <w:pStyle w:val="Default"/>
        <w:widowControl w:val="0"/>
        <w:jc w:val="both"/>
        <w:rPr>
          <w:sz w:val="22"/>
          <w:szCs w:val="22"/>
          <w:lang w:val="sr-Latn-ME"/>
        </w:rPr>
      </w:pPr>
      <w:r w:rsidRPr="00B36BCA">
        <w:rPr>
          <w:sz w:val="22"/>
          <w:szCs w:val="22"/>
          <w:lang w:val="sr-Latn-ME"/>
        </w:rPr>
        <w:lastRenderedPageBreak/>
        <w:t>Amlodipin se izlučuje u mlijeko liječenih žena. Procijenjen je udio majčine doze koju primi odojče, i njegov interkvartilni raspon iznosio je od 3 – 7 %, uz maksimum od 15 %. Efekat amlodipina na odojčad nije poznat. Budući da nisu dostupne informacije o primjeni kombinacije amlodipina/valsartana tokom dojenja, kombinacija amlodipin/valsartan se tokom dojenja ne preporučuje, te se savjetuje alternativno liječenje sa bolje utvrđenim bezbjednosnim profilom tokom dojenja, posebno kod dojenja novorođenčeta ili nedonoščeta.</w:t>
      </w:r>
    </w:p>
    <w:p w14:paraId="20CA08A3" w14:textId="77777777" w:rsidR="00EA6F00" w:rsidRPr="00762596" w:rsidRDefault="00EA6F00">
      <w:pPr>
        <w:widowControl w:val="0"/>
        <w:tabs>
          <w:tab w:val="left" w:pos="0"/>
        </w:tabs>
        <w:jc w:val="both"/>
        <w:rPr>
          <w:color w:val="000000"/>
          <w:szCs w:val="22"/>
          <w:lang w:val="sr-Latn-ME"/>
        </w:rPr>
      </w:pPr>
    </w:p>
    <w:p w14:paraId="01BA0B3E" w14:textId="77777777" w:rsidR="00EA6F00" w:rsidRPr="00762596" w:rsidRDefault="00861C42">
      <w:pPr>
        <w:widowControl w:val="0"/>
        <w:tabs>
          <w:tab w:val="left" w:pos="0"/>
        </w:tabs>
        <w:jc w:val="both"/>
        <w:rPr>
          <w:color w:val="000000"/>
          <w:szCs w:val="22"/>
          <w:u w:val="single"/>
          <w:lang w:val="sr-Latn-ME"/>
        </w:rPr>
      </w:pPr>
      <w:r w:rsidRPr="00762596">
        <w:rPr>
          <w:color w:val="000000"/>
          <w:szCs w:val="22"/>
          <w:u w:val="single"/>
          <w:lang w:val="sr-Latn-ME"/>
        </w:rPr>
        <w:t>Plodnost</w:t>
      </w:r>
    </w:p>
    <w:p w14:paraId="594DFB93" w14:textId="77777777" w:rsidR="00EA6F00" w:rsidRPr="00762596" w:rsidRDefault="00EA6F00">
      <w:pPr>
        <w:widowControl w:val="0"/>
        <w:tabs>
          <w:tab w:val="left" w:pos="0"/>
        </w:tabs>
        <w:jc w:val="both"/>
        <w:rPr>
          <w:color w:val="000000"/>
          <w:szCs w:val="22"/>
          <w:lang w:val="sr-Latn-ME"/>
        </w:rPr>
      </w:pPr>
    </w:p>
    <w:p w14:paraId="1FB91D22" w14:textId="77777777" w:rsidR="00EA6F00" w:rsidRPr="00762596" w:rsidRDefault="00861C42">
      <w:pPr>
        <w:widowControl w:val="0"/>
        <w:tabs>
          <w:tab w:val="left" w:pos="0"/>
        </w:tabs>
        <w:jc w:val="both"/>
        <w:rPr>
          <w:color w:val="000000"/>
          <w:szCs w:val="22"/>
          <w:lang w:val="sr-Latn-ME"/>
        </w:rPr>
      </w:pPr>
      <w:r w:rsidRPr="00762596">
        <w:rPr>
          <w:color w:val="000000"/>
          <w:szCs w:val="22"/>
          <w:lang w:val="sr-Latn-ME"/>
        </w:rPr>
        <w:t>Ne postoje klinička ispitivanja djelovanja kombinacije amlodipina/valsartana na fertilitet.</w:t>
      </w:r>
    </w:p>
    <w:p w14:paraId="1B9F6CF5" w14:textId="77777777" w:rsidR="00EA6F00" w:rsidRPr="00762596" w:rsidRDefault="00EA6F00">
      <w:pPr>
        <w:widowControl w:val="0"/>
        <w:tabs>
          <w:tab w:val="left" w:pos="0"/>
        </w:tabs>
        <w:jc w:val="both"/>
        <w:rPr>
          <w:color w:val="000000"/>
          <w:szCs w:val="22"/>
          <w:lang w:val="sr-Latn-ME"/>
        </w:rPr>
      </w:pPr>
    </w:p>
    <w:p w14:paraId="4E23B10B" w14:textId="77777777" w:rsidR="00EA6F00" w:rsidRPr="00762596" w:rsidRDefault="00861C42">
      <w:pPr>
        <w:widowControl w:val="0"/>
        <w:tabs>
          <w:tab w:val="left" w:pos="0"/>
        </w:tabs>
        <w:jc w:val="both"/>
        <w:rPr>
          <w:i/>
          <w:color w:val="000000"/>
          <w:szCs w:val="22"/>
          <w:lang w:val="sr-Latn-ME"/>
        </w:rPr>
      </w:pPr>
      <w:r w:rsidRPr="00762596">
        <w:rPr>
          <w:i/>
          <w:color w:val="000000"/>
          <w:szCs w:val="22"/>
          <w:lang w:val="sr-Latn-ME"/>
        </w:rPr>
        <w:t>Valsartan</w:t>
      </w:r>
    </w:p>
    <w:p w14:paraId="4A4BDC1F" w14:textId="77777777" w:rsidR="00EA6F00" w:rsidRPr="00762596" w:rsidRDefault="00EA6F00">
      <w:pPr>
        <w:widowControl w:val="0"/>
        <w:tabs>
          <w:tab w:val="left" w:pos="0"/>
        </w:tabs>
        <w:jc w:val="both"/>
        <w:rPr>
          <w:color w:val="000000"/>
          <w:szCs w:val="22"/>
          <w:lang w:val="sr-Latn-ME"/>
        </w:rPr>
      </w:pPr>
    </w:p>
    <w:p w14:paraId="5B486508" w14:textId="77777777" w:rsidR="00EA6F00" w:rsidRPr="00762596" w:rsidRDefault="00861C42">
      <w:pPr>
        <w:widowControl w:val="0"/>
        <w:tabs>
          <w:tab w:val="left" w:pos="0"/>
        </w:tabs>
        <w:jc w:val="both"/>
        <w:rPr>
          <w:szCs w:val="22"/>
          <w:lang w:val="sr-Latn-ME"/>
        </w:rPr>
      </w:pPr>
      <w:r w:rsidRPr="00762596">
        <w:rPr>
          <w:szCs w:val="22"/>
          <w:lang w:val="sr-Latn-ME"/>
        </w:rPr>
        <w:t>Valsartan nije imao neželjenih dejstava na reprodukciju mužjaka ili ženki pacova pri oralnim dozama od najviše 200 mg/kg/dan. Ova doza je 6 puta veća od najviše preporučene doze za ljude izražene u mg/m</w:t>
      </w:r>
      <w:r w:rsidRPr="00762596">
        <w:rPr>
          <w:szCs w:val="22"/>
          <w:vertAlign w:val="superscript"/>
          <w:lang w:val="sr-Latn-ME"/>
        </w:rPr>
        <w:t>2</w:t>
      </w:r>
      <w:r w:rsidRPr="00762596">
        <w:rPr>
          <w:szCs w:val="22"/>
          <w:lang w:val="sr-Latn-ME"/>
        </w:rPr>
        <w:t xml:space="preserve"> (u izračunima je korištena pretpostavka da je oralna doza 320 mg/dan i da je tjelesna težina pacijenta 60 kg).</w:t>
      </w:r>
    </w:p>
    <w:p w14:paraId="0358C099" w14:textId="77777777" w:rsidR="00EA6F00" w:rsidRPr="00762596" w:rsidRDefault="00EA6F00">
      <w:pPr>
        <w:widowControl w:val="0"/>
        <w:tabs>
          <w:tab w:val="left" w:pos="0"/>
        </w:tabs>
        <w:jc w:val="both"/>
        <w:rPr>
          <w:i/>
          <w:color w:val="000000"/>
          <w:szCs w:val="22"/>
          <w:lang w:val="sr-Latn-ME"/>
        </w:rPr>
      </w:pPr>
    </w:p>
    <w:p w14:paraId="7EE15524" w14:textId="77777777" w:rsidR="00EA6F00" w:rsidRPr="00762596" w:rsidRDefault="00861C42">
      <w:pPr>
        <w:widowControl w:val="0"/>
        <w:tabs>
          <w:tab w:val="left" w:pos="0"/>
        </w:tabs>
        <w:jc w:val="both"/>
        <w:rPr>
          <w:i/>
          <w:color w:val="000000"/>
          <w:szCs w:val="22"/>
          <w:lang w:val="sr-Latn-ME"/>
        </w:rPr>
      </w:pPr>
      <w:r w:rsidRPr="00762596">
        <w:rPr>
          <w:i/>
          <w:color w:val="000000"/>
          <w:szCs w:val="22"/>
          <w:lang w:val="sr-Latn-ME"/>
        </w:rPr>
        <w:t>Amlodipin</w:t>
      </w:r>
    </w:p>
    <w:p w14:paraId="258C42B0" w14:textId="77777777" w:rsidR="00EA6F00" w:rsidRPr="00762596" w:rsidRDefault="00EA6F00">
      <w:pPr>
        <w:widowControl w:val="0"/>
        <w:tabs>
          <w:tab w:val="left" w:pos="0"/>
        </w:tabs>
        <w:jc w:val="both"/>
        <w:rPr>
          <w:color w:val="000000"/>
          <w:szCs w:val="22"/>
          <w:lang w:val="sr-Latn-ME"/>
        </w:rPr>
      </w:pPr>
    </w:p>
    <w:p w14:paraId="10E7101D" w14:textId="77777777" w:rsidR="00EA6F00" w:rsidRPr="00762596" w:rsidRDefault="00861C42">
      <w:pPr>
        <w:widowControl w:val="0"/>
        <w:tabs>
          <w:tab w:val="left" w:pos="0"/>
        </w:tabs>
        <w:jc w:val="both"/>
        <w:rPr>
          <w:szCs w:val="22"/>
          <w:lang w:val="sr-Latn-ME"/>
        </w:rPr>
      </w:pPr>
      <w:r w:rsidRPr="00762596">
        <w:rPr>
          <w:szCs w:val="22"/>
          <w:lang w:val="sr-Latn-ME"/>
        </w:rPr>
        <w:t>Reverzibilne biohemijske promjene u glavi spermatozoida prijavljene su kod nekih pacijenata liječenih blokatorima kalcijumskih kanala. Nema dovoljno kliničkih podataka o mogućem učinku amlodipina na plodnost. U jednom ispitivanju na pacovima, nađena su neželjena dejstva na plodnost mužjaka (vidjeti odjeljak 5.3).</w:t>
      </w:r>
    </w:p>
    <w:p w14:paraId="0B61E887" w14:textId="77777777" w:rsidR="00EA6F00" w:rsidRPr="00762596" w:rsidRDefault="00EA6F00">
      <w:pPr>
        <w:jc w:val="both"/>
        <w:rPr>
          <w:szCs w:val="22"/>
          <w:u w:val="single"/>
          <w:lang w:val="sr-Latn-ME"/>
        </w:rPr>
      </w:pPr>
    </w:p>
    <w:p w14:paraId="46223B2A" w14:textId="77777777" w:rsidR="00EA6F00" w:rsidRPr="00762596" w:rsidRDefault="00861C42">
      <w:pPr>
        <w:widowControl w:val="0"/>
        <w:ind w:left="567" w:hanging="567"/>
        <w:jc w:val="both"/>
        <w:outlineLvl w:val="0"/>
        <w:rPr>
          <w:szCs w:val="22"/>
          <w:lang w:val="sr-Latn-ME"/>
        </w:rPr>
      </w:pPr>
      <w:r w:rsidRPr="00762596">
        <w:rPr>
          <w:b/>
          <w:szCs w:val="22"/>
          <w:lang w:val="sr-Latn-ME"/>
        </w:rPr>
        <w:t>4.7</w:t>
      </w:r>
      <w:r w:rsidRPr="00762596">
        <w:rPr>
          <w:b/>
          <w:szCs w:val="22"/>
          <w:lang w:val="sr-Latn-ME"/>
        </w:rPr>
        <w:tab/>
      </w:r>
      <w:r w:rsidRPr="00762596">
        <w:rPr>
          <w:b/>
          <w:bCs/>
          <w:szCs w:val="22"/>
          <w:lang w:val="sr-Latn-ME"/>
        </w:rPr>
        <w:t xml:space="preserve">Uticaj na sposobnost upravljanja vozilima i rukovanje mašinama </w:t>
      </w:r>
    </w:p>
    <w:p w14:paraId="2A4495F9" w14:textId="77777777" w:rsidR="00EA6F00" w:rsidRPr="00B36BCA" w:rsidRDefault="00EA6F00">
      <w:pPr>
        <w:pStyle w:val="Default"/>
        <w:widowControl w:val="0"/>
        <w:jc w:val="both"/>
        <w:rPr>
          <w:sz w:val="22"/>
          <w:szCs w:val="22"/>
          <w:lang w:val="sr-Latn-ME"/>
        </w:rPr>
      </w:pPr>
    </w:p>
    <w:p w14:paraId="243A3186" w14:textId="77777777" w:rsidR="00EA6F00" w:rsidRPr="00B36BCA" w:rsidRDefault="00861C42">
      <w:pPr>
        <w:pStyle w:val="Default"/>
        <w:widowControl w:val="0"/>
        <w:jc w:val="both"/>
        <w:rPr>
          <w:sz w:val="22"/>
          <w:szCs w:val="22"/>
          <w:lang w:val="sr-Latn-ME"/>
        </w:rPr>
      </w:pPr>
      <w:r w:rsidRPr="00B36BCA">
        <w:rPr>
          <w:sz w:val="22"/>
          <w:szCs w:val="22"/>
          <w:lang w:val="sr-Latn-ME"/>
        </w:rPr>
        <w:t xml:space="preserve">Pacijenti koji uzimaju kombinaciju </w:t>
      </w:r>
      <w:r w:rsidRPr="00B36BCA">
        <w:rPr>
          <w:sz w:val="22"/>
          <w:szCs w:val="22"/>
          <w:lang w:val="sr-Latn-ME" w:eastAsia="en-US"/>
        </w:rPr>
        <w:t xml:space="preserve">amlodipina/valsartana </w:t>
      </w:r>
      <w:r w:rsidRPr="00B36BCA">
        <w:rPr>
          <w:sz w:val="22"/>
          <w:szCs w:val="22"/>
          <w:lang w:val="sr-Latn-ME"/>
        </w:rPr>
        <w:t>i upravljaju vozilima ili rukuju mašinama treba da imaju na umu da se povremeno mogu javiti vrtoglavica ili malaksalost.</w:t>
      </w:r>
    </w:p>
    <w:p w14:paraId="678AA0C4" w14:textId="77777777" w:rsidR="00EA6F00" w:rsidRPr="00B36BCA" w:rsidRDefault="00EA6F00">
      <w:pPr>
        <w:pStyle w:val="Default"/>
        <w:widowControl w:val="0"/>
        <w:jc w:val="both"/>
        <w:rPr>
          <w:sz w:val="22"/>
          <w:szCs w:val="22"/>
          <w:lang w:val="sr-Latn-ME"/>
        </w:rPr>
      </w:pPr>
    </w:p>
    <w:p w14:paraId="4C467D28" w14:textId="77777777" w:rsidR="00EA6F00" w:rsidRPr="00762596" w:rsidRDefault="00861C42">
      <w:pPr>
        <w:widowControl w:val="0"/>
        <w:jc w:val="both"/>
        <w:rPr>
          <w:szCs w:val="22"/>
          <w:lang w:val="sr-Latn-ME"/>
        </w:rPr>
      </w:pPr>
      <w:r w:rsidRPr="00762596">
        <w:rPr>
          <w:szCs w:val="22"/>
          <w:lang w:val="sr-Latn-ME"/>
        </w:rPr>
        <w:t>Amlodipin može blago ili umjereno uticati na sposobnost upravljanja vozilima i rukovanjem mašinama. Ako pacijenti koji uzimaju amlodipin pate od vrtoglavice, glavobolje, umora ili mučnine, njihova sposobnost reagovanja može biti umanjena.</w:t>
      </w:r>
    </w:p>
    <w:p w14:paraId="473C4E55" w14:textId="77777777" w:rsidR="00EA6F00" w:rsidRPr="00762596" w:rsidRDefault="00EA6F00">
      <w:pPr>
        <w:widowControl w:val="0"/>
        <w:jc w:val="both"/>
        <w:rPr>
          <w:szCs w:val="22"/>
          <w:lang w:val="sr-Latn-ME"/>
        </w:rPr>
      </w:pPr>
    </w:p>
    <w:p w14:paraId="6F95F4CF" w14:textId="77777777" w:rsidR="00EA6F00" w:rsidRPr="00762596" w:rsidRDefault="00861C42">
      <w:pPr>
        <w:widowControl w:val="0"/>
        <w:numPr>
          <w:ilvl w:val="1"/>
          <w:numId w:val="1"/>
        </w:numPr>
        <w:spacing w:line="240" w:lineRule="auto"/>
        <w:jc w:val="both"/>
        <w:outlineLvl w:val="0"/>
        <w:rPr>
          <w:b/>
          <w:szCs w:val="22"/>
          <w:lang w:val="sr-Latn-ME"/>
        </w:rPr>
      </w:pPr>
      <w:r w:rsidRPr="00762596">
        <w:rPr>
          <w:b/>
          <w:szCs w:val="22"/>
          <w:lang w:val="sr-Latn-ME"/>
        </w:rPr>
        <w:t>Neželjena dejstva</w:t>
      </w:r>
    </w:p>
    <w:p w14:paraId="66DD928C" w14:textId="77777777" w:rsidR="00EA6F00" w:rsidRPr="00B36BCA" w:rsidRDefault="00EA6F00">
      <w:pPr>
        <w:pStyle w:val="Default"/>
        <w:widowControl w:val="0"/>
        <w:jc w:val="both"/>
        <w:rPr>
          <w:sz w:val="22"/>
          <w:szCs w:val="22"/>
          <w:lang w:val="sr-Latn-ME"/>
        </w:rPr>
      </w:pPr>
    </w:p>
    <w:p w14:paraId="5D4BEDAF" w14:textId="77777777" w:rsidR="00EA6F00" w:rsidRPr="00762596" w:rsidRDefault="00861C42">
      <w:pPr>
        <w:widowControl w:val="0"/>
        <w:jc w:val="both"/>
        <w:rPr>
          <w:iCs/>
          <w:szCs w:val="22"/>
          <w:u w:val="single"/>
          <w:lang w:val="sr-Latn-ME"/>
        </w:rPr>
      </w:pPr>
      <w:r w:rsidRPr="00762596">
        <w:rPr>
          <w:iCs/>
          <w:szCs w:val="22"/>
          <w:u w:val="single"/>
          <w:lang w:val="sr-Latn-ME"/>
        </w:rPr>
        <w:t>Sažetak bezbjednosnog profila</w:t>
      </w:r>
    </w:p>
    <w:p w14:paraId="44EA30D6" w14:textId="77777777" w:rsidR="00EA6F00" w:rsidRPr="00762596" w:rsidRDefault="00EA6F00">
      <w:pPr>
        <w:widowControl w:val="0"/>
        <w:jc w:val="both"/>
        <w:rPr>
          <w:iCs/>
          <w:szCs w:val="22"/>
          <w:lang w:val="sr-Latn-ME"/>
        </w:rPr>
      </w:pPr>
    </w:p>
    <w:p w14:paraId="6760488C" w14:textId="77777777" w:rsidR="00EA6F00" w:rsidRPr="00762596" w:rsidRDefault="00861C42">
      <w:pPr>
        <w:widowControl w:val="0"/>
        <w:jc w:val="both"/>
        <w:rPr>
          <w:iCs/>
          <w:szCs w:val="22"/>
          <w:u w:val="single"/>
          <w:lang w:val="sr-Latn-ME"/>
        </w:rPr>
      </w:pPr>
      <w:r w:rsidRPr="00762596">
        <w:rPr>
          <w:szCs w:val="22"/>
          <w:lang w:val="sr-Latn-ME"/>
        </w:rPr>
        <w:t xml:space="preserve">Bezbjednost kombinacije </w:t>
      </w:r>
      <w:r w:rsidRPr="00762596">
        <w:rPr>
          <w:iCs/>
          <w:szCs w:val="22"/>
          <w:lang w:val="sr-Latn-ME"/>
        </w:rPr>
        <w:t xml:space="preserve">amlodipin/valsartan </w:t>
      </w:r>
      <w:r w:rsidRPr="00762596">
        <w:rPr>
          <w:szCs w:val="22"/>
          <w:lang w:val="sr-Latn-ME"/>
        </w:rPr>
        <w:t>je ispitivana u pet kontrolisanih kliničkih ispitivanja sa 5175 pacijenata, od kojih je 2613 primalo valsartan u kombinaciji sa amlodipinom. Sljedeće neželjene reakcije su nađene kao najučestalije ili kao najznačajnije ili teške: nazofaringitis, influenca, preosjetljivost, glavobolja, sinkopa, ortostatska hipotenzija, edem, tjestasti edem, facijalni edem, periferni edem, umor, crvenilo uz osjećaj vrućine, astenija i valunzi.</w:t>
      </w:r>
    </w:p>
    <w:p w14:paraId="73CC15A6" w14:textId="77777777" w:rsidR="00EA6F00" w:rsidRPr="00762596" w:rsidRDefault="00EA6F00">
      <w:pPr>
        <w:widowControl w:val="0"/>
        <w:jc w:val="both"/>
        <w:rPr>
          <w:iCs/>
          <w:szCs w:val="22"/>
          <w:u w:val="single"/>
          <w:lang w:val="sr-Latn-ME"/>
        </w:rPr>
      </w:pPr>
    </w:p>
    <w:p w14:paraId="776765A1" w14:textId="77777777" w:rsidR="00EA6F00" w:rsidRPr="00762596" w:rsidRDefault="00861C42">
      <w:pPr>
        <w:widowControl w:val="0"/>
        <w:jc w:val="both"/>
        <w:rPr>
          <w:iCs/>
          <w:szCs w:val="22"/>
          <w:u w:val="single"/>
          <w:lang w:val="sr-Latn-ME"/>
        </w:rPr>
      </w:pPr>
      <w:r w:rsidRPr="00762596">
        <w:rPr>
          <w:iCs/>
          <w:szCs w:val="22"/>
          <w:u w:val="single"/>
          <w:lang w:val="sr-Latn-ME"/>
        </w:rPr>
        <w:t>Tabelarni prikaz neželjenih reakcija</w:t>
      </w:r>
    </w:p>
    <w:p w14:paraId="54B2DA15" w14:textId="77777777" w:rsidR="00EA6F00" w:rsidRPr="00762596" w:rsidRDefault="00EA6F00">
      <w:pPr>
        <w:widowControl w:val="0"/>
        <w:jc w:val="both"/>
        <w:rPr>
          <w:iCs/>
          <w:szCs w:val="22"/>
          <w:u w:val="single"/>
          <w:lang w:val="sr-Latn-ME"/>
        </w:rPr>
      </w:pPr>
    </w:p>
    <w:p w14:paraId="6C653690" w14:textId="77777777" w:rsidR="00EA6F00" w:rsidRPr="00762596" w:rsidRDefault="00861C42">
      <w:pPr>
        <w:widowControl w:val="0"/>
        <w:jc w:val="both"/>
        <w:rPr>
          <w:iCs/>
          <w:szCs w:val="22"/>
          <w:u w:val="single"/>
          <w:lang w:val="sr-Latn-ME"/>
        </w:rPr>
      </w:pPr>
      <w:r w:rsidRPr="00762596">
        <w:rPr>
          <w:szCs w:val="22"/>
          <w:lang w:val="sr-Latn-ME"/>
        </w:rPr>
        <w:t>Neželjena dejstva su podijeljena prema učestalosti koja se definiše kao: veoma često (≥1/10); često (≥1/100 i &lt;1/10); povremeno (≥1/1000 i &lt;1/100); rijetko (≥1/10 000 i &lt;1/1000); veoma rijetko (&lt;1/10 000); nepoznato (ne može se procijeniti iz dostupnih podatka).</w:t>
      </w:r>
    </w:p>
    <w:p w14:paraId="01EB117A" w14:textId="77777777" w:rsidR="00EA6F00" w:rsidRPr="00B36BCA" w:rsidRDefault="00EA6F00">
      <w:pPr>
        <w:pStyle w:val="Default"/>
        <w:widowControl w:val="0"/>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958"/>
        <w:gridCol w:w="2111"/>
        <w:gridCol w:w="1519"/>
        <w:gridCol w:w="1519"/>
      </w:tblGrid>
      <w:tr w:rsidR="00EA6F00" w:rsidRPr="00B36BCA" w14:paraId="6423BF70" w14:textId="77777777">
        <w:tc>
          <w:tcPr>
            <w:tcW w:w="1998" w:type="dxa"/>
            <w:vMerge w:val="restart"/>
            <w:shd w:val="clear" w:color="auto" w:fill="auto"/>
            <w:vAlign w:val="center"/>
          </w:tcPr>
          <w:p w14:paraId="320A1CCF" w14:textId="77777777" w:rsidR="00EA6F00" w:rsidRPr="00762596" w:rsidRDefault="00861C42" w:rsidP="00762596">
            <w:pPr>
              <w:widowControl w:val="0"/>
              <w:autoSpaceDE w:val="0"/>
              <w:autoSpaceDN w:val="0"/>
              <w:adjustRightInd w:val="0"/>
              <w:jc w:val="both"/>
              <w:rPr>
                <w:b/>
                <w:szCs w:val="22"/>
                <w:lang w:val="sr-Latn-ME"/>
              </w:rPr>
            </w:pPr>
            <w:r w:rsidRPr="00762596">
              <w:rPr>
                <w:b/>
                <w:szCs w:val="22"/>
                <w:lang w:val="sr-Latn-ME"/>
              </w:rPr>
              <w:t>MedDRA Klasifikacija organskih sistema</w:t>
            </w:r>
          </w:p>
        </w:tc>
        <w:tc>
          <w:tcPr>
            <w:tcW w:w="1958" w:type="dxa"/>
            <w:vMerge w:val="restart"/>
            <w:shd w:val="clear" w:color="auto" w:fill="auto"/>
            <w:vAlign w:val="center"/>
          </w:tcPr>
          <w:p w14:paraId="4900007A" w14:textId="77777777" w:rsidR="00EA6F00" w:rsidRPr="00762596" w:rsidRDefault="00861C42" w:rsidP="00B36BCA">
            <w:pPr>
              <w:widowControl w:val="0"/>
              <w:autoSpaceDE w:val="0"/>
              <w:autoSpaceDN w:val="0"/>
              <w:adjustRightInd w:val="0"/>
              <w:jc w:val="both"/>
              <w:rPr>
                <w:b/>
                <w:szCs w:val="22"/>
                <w:lang w:val="sr-Latn-ME"/>
              </w:rPr>
            </w:pPr>
            <w:r w:rsidRPr="00762596">
              <w:rPr>
                <w:b/>
                <w:szCs w:val="22"/>
                <w:lang w:val="sr-Latn-ME"/>
              </w:rPr>
              <w:t>Neželjena dejstva</w:t>
            </w:r>
          </w:p>
        </w:tc>
        <w:tc>
          <w:tcPr>
            <w:tcW w:w="5331" w:type="dxa"/>
            <w:gridSpan w:val="3"/>
            <w:shd w:val="clear" w:color="auto" w:fill="auto"/>
            <w:vAlign w:val="center"/>
          </w:tcPr>
          <w:p w14:paraId="201F198B" w14:textId="77777777" w:rsidR="00EA6F00" w:rsidRPr="00762596" w:rsidRDefault="00861C42" w:rsidP="00762596">
            <w:pPr>
              <w:widowControl w:val="0"/>
              <w:autoSpaceDE w:val="0"/>
              <w:autoSpaceDN w:val="0"/>
              <w:adjustRightInd w:val="0"/>
              <w:jc w:val="both"/>
              <w:rPr>
                <w:b/>
                <w:szCs w:val="22"/>
                <w:lang w:val="sr-Latn-ME"/>
              </w:rPr>
            </w:pPr>
            <w:r w:rsidRPr="00762596">
              <w:rPr>
                <w:b/>
                <w:szCs w:val="22"/>
                <w:lang w:val="sr-Latn-ME"/>
              </w:rPr>
              <w:t>Učestalost</w:t>
            </w:r>
          </w:p>
        </w:tc>
      </w:tr>
      <w:tr w:rsidR="00EA6F00" w:rsidRPr="00B36BCA" w14:paraId="057DF39E" w14:textId="77777777">
        <w:tc>
          <w:tcPr>
            <w:tcW w:w="1998" w:type="dxa"/>
            <w:vMerge/>
            <w:shd w:val="clear" w:color="auto" w:fill="auto"/>
            <w:vAlign w:val="center"/>
          </w:tcPr>
          <w:p w14:paraId="4A7412A3" w14:textId="77777777" w:rsidR="00EA6F00" w:rsidRPr="00762596" w:rsidRDefault="00EA6F00">
            <w:pPr>
              <w:widowControl w:val="0"/>
              <w:autoSpaceDE w:val="0"/>
              <w:autoSpaceDN w:val="0"/>
              <w:adjustRightInd w:val="0"/>
              <w:jc w:val="both"/>
              <w:rPr>
                <w:b/>
                <w:szCs w:val="22"/>
                <w:lang w:val="sr-Latn-ME"/>
              </w:rPr>
            </w:pPr>
          </w:p>
        </w:tc>
        <w:tc>
          <w:tcPr>
            <w:tcW w:w="1958" w:type="dxa"/>
            <w:vMerge/>
            <w:shd w:val="clear" w:color="auto" w:fill="auto"/>
            <w:vAlign w:val="center"/>
          </w:tcPr>
          <w:p w14:paraId="61FBE715" w14:textId="77777777" w:rsidR="00EA6F00" w:rsidRPr="00762596" w:rsidRDefault="00EA6F00">
            <w:pPr>
              <w:widowControl w:val="0"/>
              <w:autoSpaceDE w:val="0"/>
              <w:autoSpaceDN w:val="0"/>
              <w:adjustRightInd w:val="0"/>
              <w:jc w:val="both"/>
              <w:rPr>
                <w:b/>
                <w:szCs w:val="22"/>
                <w:lang w:val="sr-Latn-ME"/>
              </w:rPr>
            </w:pPr>
          </w:p>
        </w:tc>
        <w:tc>
          <w:tcPr>
            <w:tcW w:w="2111" w:type="dxa"/>
            <w:shd w:val="clear" w:color="auto" w:fill="auto"/>
            <w:vAlign w:val="center"/>
          </w:tcPr>
          <w:p w14:paraId="17DCF1BD" w14:textId="77777777" w:rsidR="00EA6F00" w:rsidRPr="00762596" w:rsidRDefault="00861C42" w:rsidP="00762596">
            <w:pPr>
              <w:widowControl w:val="0"/>
              <w:autoSpaceDE w:val="0"/>
              <w:autoSpaceDN w:val="0"/>
              <w:adjustRightInd w:val="0"/>
              <w:jc w:val="both"/>
              <w:rPr>
                <w:b/>
                <w:szCs w:val="22"/>
                <w:lang w:val="sr-Latn-ME"/>
              </w:rPr>
            </w:pPr>
            <w:r w:rsidRPr="00762596">
              <w:rPr>
                <w:b/>
                <w:szCs w:val="22"/>
                <w:lang w:val="sr-Latn-ME"/>
              </w:rPr>
              <w:t>amlodipin/valsartan</w:t>
            </w:r>
          </w:p>
        </w:tc>
        <w:tc>
          <w:tcPr>
            <w:tcW w:w="1610" w:type="dxa"/>
            <w:shd w:val="clear" w:color="auto" w:fill="auto"/>
            <w:vAlign w:val="center"/>
          </w:tcPr>
          <w:p w14:paraId="1232A2B9" w14:textId="77777777" w:rsidR="00EA6F00" w:rsidRPr="00762596" w:rsidRDefault="00861C42" w:rsidP="00762596">
            <w:pPr>
              <w:widowControl w:val="0"/>
              <w:autoSpaceDE w:val="0"/>
              <w:autoSpaceDN w:val="0"/>
              <w:adjustRightInd w:val="0"/>
              <w:jc w:val="both"/>
              <w:rPr>
                <w:b/>
                <w:szCs w:val="22"/>
                <w:lang w:val="sr-Latn-ME"/>
              </w:rPr>
            </w:pPr>
            <w:r w:rsidRPr="00762596">
              <w:rPr>
                <w:b/>
                <w:szCs w:val="22"/>
                <w:lang w:val="sr-Latn-ME"/>
              </w:rPr>
              <w:t>amlodipin</w:t>
            </w:r>
          </w:p>
        </w:tc>
        <w:tc>
          <w:tcPr>
            <w:tcW w:w="1610" w:type="dxa"/>
            <w:shd w:val="clear" w:color="auto" w:fill="auto"/>
            <w:vAlign w:val="center"/>
          </w:tcPr>
          <w:p w14:paraId="3B995C7D" w14:textId="77777777" w:rsidR="00EA6F00" w:rsidRPr="00762596" w:rsidRDefault="00861C42" w:rsidP="00762596">
            <w:pPr>
              <w:widowControl w:val="0"/>
              <w:autoSpaceDE w:val="0"/>
              <w:autoSpaceDN w:val="0"/>
              <w:adjustRightInd w:val="0"/>
              <w:jc w:val="both"/>
              <w:rPr>
                <w:b/>
                <w:szCs w:val="22"/>
                <w:lang w:val="sr-Latn-ME"/>
              </w:rPr>
            </w:pPr>
            <w:r w:rsidRPr="00762596">
              <w:rPr>
                <w:b/>
                <w:szCs w:val="22"/>
                <w:lang w:val="sr-Latn-ME"/>
              </w:rPr>
              <w:t>valsartan</w:t>
            </w:r>
          </w:p>
        </w:tc>
      </w:tr>
      <w:tr w:rsidR="00EA6F00" w:rsidRPr="00B36BCA" w14:paraId="18315F2B" w14:textId="77777777">
        <w:tc>
          <w:tcPr>
            <w:tcW w:w="1998" w:type="dxa"/>
            <w:vMerge w:val="restart"/>
            <w:shd w:val="clear" w:color="auto" w:fill="auto"/>
          </w:tcPr>
          <w:p w14:paraId="4BF79D75"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Infekcije i infestacije</w:t>
            </w:r>
          </w:p>
        </w:tc>
        <w:tc>
          <w:tcPr>
            <w:tcW w:w="1958" w:type="dxa"/>
            <w:shd w:val="clear" w:color="auto" w:fill="auto"/>
          </w:tcPr>
          <w:p w14:paraId="75608005"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Nazofaringitis</w:t>
            </w:r>
          </w:p>
        </w:tc>
        <w:tc>
          <w:tcPr>
            <w:tcW w:w="2111" w:type="dxa"/>
            <w:shd w:val="clear" w:color="auto" w:fill="auto"/>
          </w:tcPr>
          <w:p w14:paraId="121C3CF3"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Često</w:t>
            </w:r>
          </w:p>
        </w:tc>
        <w:tc>
          <w:tcPr>
            <w:tcW w:w="1610" w:type="dxa"/>
            <w:shd w:val="clear" w:color="auto" w:fill="auto"/>
          </w:tcPr>
          <w:p w14:paraId="605AF6F0"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1CC04C0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1F6C7B18" w14:textId="77777777">
        <w:tc>
          <w:tcPr>
            <w:tcW w:w="1998" w:type="dxa"/>
            <w:vMerge/>
            <w:shd w:val="clear" w:color="auto" w:fill="auto"/>
          </w:tcPr>
          <w:p w14:paraId="391CB80F" w14:textId="77777777" w:rsidR="00EA6F00" w:rsidRPr="00762596" w:rsidRDefault="00EA6F00" w:rsidP="00762596">
            <w:pPr>
              <w:widowControl w:val="0"/>
              <w:autoSpaceDE w:val="0"/>
              <w:autoSpaceDN w:val="0"/>
              <w:adjustRightInd w:val="0"/>
              <w:jc w:val="both"/>
              <w:rPr>
                <w:szCs w:val="22"/>
                <w:lang w:val="sr-Latn-ME"/>
              </w:rPr>
            </w:pPr>
          </w:p>
        </w:tc>
        <w:tc>
          <w:tcPr>
            <w:tcW w:w="1958" w:type="dxa"/>
            <w:shd w:val="clear" w:color="auto" w:fill="auto"/>
          </w:tcPr>
          <w:p w14:paraId="1DCDDD36"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Influenca</w:t>
            </w:r>
          </w:p>
        </w:tc>
        <w:tc>
          <w:tcPr>
            <w:tcW w:w="2111" w:type="dxa"/>
            <w:shd w:val="clear" w:color="auto" w:fill="auto"/>
          </w:tcPr>
          <w:p w14:paraId="7DAC1836"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Često</w:t>
            </w:r>
          </w:p>
        </w:tc>
        <w:tc>
          <w:tcPr>
            <w:tcW w:w="1610" w:type="dxa"/>
            <w:shd w:val="clear" w:color="auto" w:fill="auto"/>
          </w:tcPr>
          <w:p w14:paraId="4E29C74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33CECBC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59EF55D1" w14:textId="77777777">
        <w:tc>
          <w:tcPr>
            <w:tcW w:w="1998" w:type="dxa"/>
            <w:vMerge w:val="restart"/>
            <w:shd w:val="clear" w:color="auto" w:fill="auto"/>
          </w:tcPr>
          <w:p w14:paraId="1FBB0D7B"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Poremećaji krvi i</w:t>
            </w:r>
          </w:p>
          <w:p w14:paraId="6600DF47"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lastRenderedPageBreak/>
              <w:t>limfnog sistema</w:t>
            </w:r>
          </w:p>
        </w:tc>
        <w:tc>
          <w:tcPr>
            <w:tcW w:w="1958" w:type="dxa"/>
            <w:shd w:val="clear" w:color="auto" w:fill="auto"/>
          </w:tcPr>
          <w:p w14:paraId="4A829E74"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lastRenderedPageBreak/>
              <w:t xml:space="preserve">Snižene vrijednosti </w:t>
            </w:r>
            <w:r w:rsidRPr="00762596">
              <w:rPr>
                <w:szCs w:val="22"/>
                <w:lang w:val="sr-Latn-ME"/>
              </w:rPr>
              <w:lastRenderedPageBreak/>
              <w:t>hemoglobina i hematokrita</w:t>
            </w:r>
          </w:p>
        </w:tc>
        <w:tc>
          <w:tcPr>
            <w:tcW w:w="2111" w:type="dxa"/>
            <w:shd w:val="clear" w:color="auto" w:fill="auto"/>
          </w:tcPr>
          <w:p w14:paraId="1005A50E"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lastRenderedPageBreak/>
              <w:t xml:space="preserve">- </w:t>
            </w:r>
          </w:p>
        </w:tc>
        <w:tc>
          <w:tcPr>
            <w:tcW w:w="1610" w:type="dxa"/>
            <w:shd w:val="clear" w:color="auto" w:fill="auto"/>
          </w:tcPr>
          <w:p w14:paraId="4399C68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7D62FF7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Nepoznato</w:t>
            </w:r>
          </w:p>
        </w:tc>
      </w:tr>
      <w:tr w:rsidR="00EA6F00" w:rsidRPr="00B36BCA" w14:paraId="34AE76A2" w14:textId="77777777">
        <w:tc>
          <w:tcPr>
            <w:tcW w:w="1998" w:type="dxa"/>
            <w:vMerge/>
            <w:shd w:val="clear" w:color="auto" w:fill="auto"/>
          </w:tcPr>
          <w:p w14:paraId="4DBC07D2"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4184D569"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Leukopenija</w:t>
            </w:r>
          </w:p>
        </w:tc>
        <w:tc>
          <w:tcPr>
            <w:tcW w:w="2111" w:type="dxa"/>
            <w:shd w:val="clear" w:color="auto" w:fill="auto"/>
          </w:tcPr>
          <w:p w14:paraId="1FFBF9FC"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20B1EE0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Veoma rijetko</w:t>
            </w:r>
          </w:p>
        </w:tc>
        <w:tc>
          <w:tcPr>
            <w:tcW w:w="1610" w:type="dxa"/>
            <w:shd w:val="clear" w:color="auto" w:fill="auto"/>
          </w:tcPr>
          <w:p w14:paraId="6506105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76F780BC" w14:textId="77777777">
        <w:tc>
          <w:tcPr>
            <w:tcW w:w="1998" w:type="dxa"/>
            <w:vMerge/>
            <w:shd w:val="clear" w:color="auto" w:fill="auto"/>
          </w:tcPr>
          <w:p w14:paraId="2409FD32"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2E43208F"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Neutropenija</w:t>
            </w:r>
          </w:p>
        </w:tc>
        <w:tc>
          <w:tcPr>
            <w:tcW w:w="2111" w:type="dxa"/>
            <w:shd w:val="clear" w:color="auto" w:fill="auto"/>
          </w:tcPr>
          <w:p w14:paraId="6044ED08"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4F463900"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5405A0D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Nepoznato</w:t>
            </w:r>
          </w:p>
        </w:tc>
      </w:tr>
      <w:tr w:rsidR="00EA6F00" w:rsidRPr="00B36BCA" w14:paraId="354C32F5" w14:textId="77777777">
        <w:tc>
          <w:tcPr>
            <w:tcW w:w="1998" w:type="dxa"/>
            <w:vMerge/>
            <w:shd w:val="clear" w:color="auto" w:fill="auto"/>
          </w:tcPr>
          <w:p w14:paraId="1012B472"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38A12E8A"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Thrombocitopenija, nekada sa purpurom</w:t>
            </w:r>
          </w:p>
        </w:tc>
        <w:tc>
          <w:tcPr>
            <w:tcW w:w="2111" w:type="dxa"/>
            <w:shd w:val="clear" w:color="auto" w:fill="auto"/>
          </w:tcPr>
          <w:p w14:paraId="1A8335A8"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36AE397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Veoma rijetko</w:t>
            </w:r>
          </w:p>
        </w:tc>
        <w:tc>
          <w:tcPr>
            <w:tcW w:w="1610" w:type="dxa"/>
            <w:shd w:val="clear" w:color="auto" w:fill="auto"/>
          </w:tcPr>
          <w:p w14:paraId="54E0208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Nepoznato</w:t>
            </w:r>
          </w:p>
        </w:tc>
      </w:tr>
      <w:tr w:rsidR="00EA6F00" w:rsidRPr="00B36BCA" w14:paraId="1BDF795C" w14:textId="77777777">
        <w:tc>
          <w:tcPr>
            <w:tcW w:w="1998" w:type="dxa"/>
            <w:shd w:val="clear" w:color="auto" w:fill="auto"/>
          </w:tcPr>
          <w:p w14:paraId="474BB406"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Imunološki</w:t>
            </w:r>
          </w:p>
          <w:p w14:paraId="3E462DE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poremećaji</w:t>
            </w:r>
          </w:p>
        </w:tc>
        <w:tc>
          <w:tcPr>
            <w:tcW w:w="1958" w:type="dxa"/>
            <w:shd w:val="clear" w:color="auto" w:fill="auto"/>
          </w:tcPr>
          <w:p w14:paraId="255C146B"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Preosjetljivost</w:t>
            </w:r>
          </w:p>
        </w:tc>
        <w:tc>
          <w:tcPr>
            <w:tcW w:w="2111" w:type="dxa"/>
            <w:shd w:val="clear" w:color="auto" w:fill="auto"/>
          </w:tcPr>
          <w:p w14:paraId="58881F5E"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Rijetko</w:t>
            </w:r>
          </w:p>
        </w:tc>
        <w:tc>
          <w:tcPr>
            <w:tcW w:w="1610" w:type="dxa"/>
            <w:shd w:val="clear" w:color="auto" w:fill="auto"/>
          </w:tcPr>
          <w:p w14:paraId="7928327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Veoma rijetko</w:t>
            </w:r>
          </w:p>
        </w:tc>
        <w:tc>
          <w:tcPr>
            <w:tcW w:w="1610" w:type="dxa"/>
            <w:shd w:val="clear" w:color="auto" w:fill="auto"/>
          </w:tcPr>
          <w:p w14:paraId="1624C67D"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Nepoznato</w:t>
            </w:r>
          </w:p>
        </w:tc>
      </w:tr>
      <w:tr w:rsidR="00EA6F00" w:rsidRPr="00B36BCA" w14:paraId="38DAA50E" w14:textId="77777777">
        <w:tc>
          <w:tcPr>
            <w:tcW w:w="1998" w:type="dxa"/>
            <w:vMerge w:val="restart"/>
            <w:shd w:val="clear" w:color="auto" w:fill="auto"/>
          </w:tcPr>
          <w:p w14:paraId="673F90FE"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Poremećaji metabolizma i ishrane</w:t>
            </w:r>
          </w:p>
        </w:tc>
        <w:tc>
          <w:tcPr>
            <w:tcW w:w="1958" w:type="dxa"/>
            <w:shd w:val="clear" w:color="auto" w:fill="auto"/>
          </w:tcPr>
          <w:p w14:paraId="0CAA408F"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Anoreksija</w:t>
            </w:r>
          </w:p>
        </w:tc>
        <w:tc>
          <w:tcPr>
            <w:tcW w:w="2111" w:type="dxa"/>
            <w:shd w:val="clear" w:color="auto" w:fill="auto"/>
          </w:tcPr>
          <w:p w14:paraId="7A7B7115"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6CAE293D"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7070F7AD"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19A13E3F" w14:textId="77777777">
        <w:tc>
          <w:tcPr>
            <w:tcW w:w="1998" w:type="dxa"/>
            <w:vMerge/>
            <w:shd w:val="clear" w:color="auto" w:fill="auto"/>
          </w:tcPr>
          <w:p w14:paraId="36FAD1A5"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4F496C53"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Hiperkalcemija</w:t>
            </w:r>
          </w:p>
        </w:tc>
        <w:tc>
          <w:tcPr>
            <w:tcW w:w="2111" w:type="dxa"/>
            <w:shd w:val="clear" w:color="auto" w:fill="auto"/>
          </w:tcPr>
          <w:p w14:paraId="4ECD8DA2"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3EBF65C1"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4FAF782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48050A31" w14:textId="77777777">
        <w:tc>
          <w:tcPr>
            <w:tcW w:w="1998" w:type="dxa"/>
            <w:vMerge/>
            <w:shd w:val="clear" w:color="auto" w:fill="auto"/>
          </w:tcPr>
          <w:p w14:paraId="59DDB4B4"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296A319D"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Hiperglikemija</w:t>
            </w:r>
          </w:p>
        </w:tc>
        <w:tc>
          <w:tcPr>
            <w:tcW w:w="2111" w:type="dxa"/>
            <w:shd w:val="clear" w:color="auto" w:fill="auto"/>
          </w:tcPr>
          <w:p w14:paraId="69FE0DCD"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5264736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Veoma rijetko</w:t>
            </w:r>
          </w:p>
        </w:tc>
        <w:tc>
          <w:tcPr>
            <w:tcW w:w="1610" w:type="dxa"/>
            <w:shd w:val="clear" w:color="auto" w:fill="auto"/>
          </w:tcPr>
          <w:p w14:paraId="72ABE88B"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279DDF94" w14:textId="77777777">
        <w:tc>
          <w:tcPr>
            <w:tcW w:w="1998" w:type="dxa"/>
            <w:vMerge/>
            <w:shd w:val="clear" w:color="auto" w:fill="auto"/>
          </w:tcPr>
          <w:p w14:paraId="0464D0A6"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2AA5116D"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Hiperlipidemija</w:t>
            </w:r>
          </w:p>
        </w:tc>
        <w:tc>
          <w:tcPr>
            <w:tcW w:w="2111" w:type="dxa"/>
            <w:shd w:val="clear" w:color="auto" w:fill="auto"/>
          </w:tcPr>
          <w:p w14:paraId="199A4104"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4DBCF5B1"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652A6CD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4DF1A170" w14:textId="77777777">
        <w:tc>
          <w:tcPr>
            <w:tcW w:w="1998" w:type="dxa"/>
            <w:vMerge/>
            <w:shd w:val="clear" w:color="auto" w:fill="auto"/>
          </w:tcPr>
          <w:p w14:paraId="6E96ED15"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2F1220F0"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Hiperurikemija</w:t>
            </w:r>
          </w:p>
        </w:tc>
        <w:tc>
          <w:tcPr>
            <w:tcW w:w="2111" w:type="dxa"/>
            <w:shd w:val="clear" w:color="auto" w:fill="auto"/>
          </w:tcPr>
          <w:p w14:paraId="658656A6"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6DB718B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243CDCD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704845E7" w14:textId="77777777">
        <w:tc>
          <w:tcPr>
            <w:tcW w:w="1998" w:type="dxa"/>
            <w:vMerge/>
            <w:shd w:val="clear" w:color="auto" w:fill="auto"/>
          </w:tcPr>
          <w:p w14:paraId="49CB2466"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11402750"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Hipokalemija</w:t>
            </w:r>
          </w:p>
        </w:tc>
        <w:tc>
          <w:tcPr>
            <w:tcW w:w="2111" w:type="dxa"/>
            <w:shd w:val="clear" w:color="auto" w:fill="auto"/>
          </w:tcPr>
          <w:p w14:paraId="6530DBC3"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Često</w:t>
            </w:r>
          </w:p>
        </w:tc>
        <w:tc>
          <w:tcPr>
            <w:tcW w:w="1610" w:type="dxa"/>
            <w:shd w:val="clear" w:color="auto" w:fill="auto"/>
          </w:tcPr>
          <w:p w14:paraId="1E6BAE6B"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240F0BE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62968B39" w14:textId="77777777">
        <w:tc>
          <w:tcPr>
            <w:tcW w:w="1998" w:type="dxa"/>
            <w:vMerge/>
            <w:shd w:val="clear" w:color="auto" w:fill="auto"/>
          </w:tcPr>
          <w:p w14:paraId="1FAE9679"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07CF54A3"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Hiponatremija</w:t>
            </w:r>
          </w:p>
        </w:tc>
        <w:tc>
          <w:tcPr>
            <w:tcW w:w="2111" w:type="dxa"/>
            <w:shd w:val="clear" w:color="auto" w:fill="auto"/>
          </w:tcPr>
          <w:p w14:paraId="37EE98ED"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576DA04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23AA980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32FC7077" w14:textId="77777777">
        <w:tc>
          <w:tcPr>
            <w:tcW w:w="1998" w:type="dxa"/>
            <w:vMerge w:val="restart"/>
            <w:shd w:val="clear" w:color="auto" w:fill="auto"/>
          </w:tcPr>
          <w:p w14:paraId="4467E545"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Psihijatrijski poremećaji</w:t>
            </w:r>
          </w:p>
        </w:tc>
        <w:tc>
          <w:tcPr>
            <w:tcW w:w="1958" w:type="dxa"/>
            <w:shd w:val="clear" w:color="auto" w:fill="auto"/>
          </w:tcPr>
          <w:p w14:paraId="60D3608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Depresija</w:t>
            </w:r>
          </w:p>
        </w:tc>
        <w:tc>
          <w:tcPr>
            <w:tcW w:w="2111" w:type="dxa"/>
            <w:shd w:val="clear" w:color="auto" w:fill="auto"/>
          </w:tcPr>
          <w:p w14:paraId="282C154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3E394200"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35A5C17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4DF63CAA" w14:textId="77777777">
        <w:tc>
          <w:tcPr>
            <w:tcW w:w="1998" w:type="dxa"/>
            <w:vMerge/>
            <w:shd w:val="clear" w:color="auto" w:fill="auto"/>
          </w:tcPr>
          <w:p w14:paraId="19734479"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7616951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Anksioznost</w:t>
            </w:r>
          </w:p>
        </w:tc>
        <w:tc>
          <w:tcPr>
            <w:tcW w:w="2111" w:type="dxa"/>
            <w:shd w:val="clear" w:color="auto" w:fill="auto"/>
          </w:tcPr>
          <w:p w14:paraId="5B63A4D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Rijetko</w:t>
            </w:r>
          </w:p>
        </w:tc>
        <w:tc>
          <w:tcPr>
            <w:tcW w:w="1610" w:type="dxa"/>
            <w:shd w:val="clear" w:color="auto" w:fill="auto"/>
          </w:tcPr>
          <w:p w14:paraId="18B6EF1F"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3D00422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28D4C903" w14:textId="77777777">
        <w:tc>
          <w:tcPr>
            <w:tcW w:w="1998" w:type="dxa"/>
            <w:vMerge/>
            <w:shd w:val="clear" w:color="auto" w:fill="auto"/>
          </w:tcPr>
          <w:p w14:paraId="7A821A93"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6C426AEB"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Nesanica/ poremećaji spavanja</w:t>
            </w:r>
          </w:p>
        </w:tc>
        <w:tc>
          <w:tcPr>
            <w:tcW w:w="2111" w:type="dxa"/>
            <w:shd w:val="clear" w:color="auto" w:fill="auto"/>
          </w:tcPr>
          <w:p w14:paraId="4B0C9A6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3D8C43F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491795A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1745D97C" w14:textId="77777777">
        <w:tc>
          <w:tcPr>
            <w:tcW w:w="1998" w:type="dxa"/>
            <w:vMerge/>
            <w:shd w:val="clear" w:color="auto" w:fill="auto"/>
          </w:tcPr>
          <w:p w14:paraId="06304B6A"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05C9D46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Promjene raspoloženja</w:t>
            </w:r>
          </w:p>
        </w:tc>
        <w:tc>
          <w:tcPr>
            <w:tcW w:w="2111" w:type="dxa"/>
            <w:shd w:val="clear" w:color="auto" w:fill="auto"/>
          </w:tcPr>
          <w:p w14:paraId="2AE59A41"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455B839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62D4C2E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34E8625A" w14:textId="77777777">
        <w:tc>
          <w:tcPr>
            <w:tcW w:w="1998" w:type="dxa"/>
            <w:vMerge/>
            <w:shd w:val="clear" w:color="auto" w:fill="auto"/>
          </w:tcPr>
          <w:p w14:paraId="6DB51B0C"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57DB939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Konfuzija</w:t>
            </w:r>
          </w:p>
        </w:tc>
        <w:tc>
          <w:tcPr>
            <w:tcW w:w="2111" w:type="dxa"/>
            <w:shd w:val="clear" w:color="auto" w:fill="auto"/>
          </w:tcPr>
          <w:p w14:paraId="1DBB02C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2A66086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Rijetko</w:t>
            </w:r>
          </w:p>
        </w:tc>
        <w:tc>
          <w:tcPr>
            <w:tcW w:w="1610" w:type="dxa"/>
            <w:shd w:val="clear" w:color="auto" w:fill="auto"/>
          </w:tcPr>
          <w:p w14:paraId="275CF9D0"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1078BABA" w14:textId="77777777">
        <w:tc>
          <w:tcPr>
            <w:tcW w:w="1998" w:type="dxa"/>
            <w:vMerge w:val="restart"/>
            <w:shd w:val="clear" w:color="auto" w:fill="auto"/>
          </w:tcPr>
          <w:p w14:paraId="5211DC9A"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Poremećaji nervnog sistema</w:t>
            </w:r>
          </w:p>
        </w:tc>
        <w:tc>
          <w:tcPr>
            <w:tcW w:w="1958" w:type="dxa"/>
            <w:shd w:val="clear" w:color="auto" w:fill="auto"/>
          </w:tcPr>
          <w:p w14:paraId="1248EBD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Poremećaj koordinacije</w:t>
            </w:r>
          </w:p>
        </w:tc>
        <w:tc>
          <w:tcPr>
            <w:tcW w:w="2111" w:type="dxa"/>
            <w:shd w:val="clear" w:color="auto" w:fill="auto"/>
          </w:tcPr>
          <w:p w14:paraId="128C868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3411A05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2341056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275E3032" w14:textId="77777777">
        <w:tc>
          <w:tcPr>
            <w:tcW w:w="1998" w:type="dxa"/>
            <w:vMerge/>
            <w:shd w:val="clear" w:color="auto" w:fill="auto"/>
          </w:tcPr>
          <w:p w14:paraId="02A02C8B"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55D9821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Vrtoglavica</w:t>
            </w:r>
          </w:p>
        </w:tc>
        <w:tc>
          <w:tcPr>
            <w:tcW w:w="2111" w:type="dxa"/>
            <w:shd w:val="clear" w:color="auto" w:fill="auto"/>
          </w:tcPr>
          <w:p w14:paraId="1460DC5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62F2C01D"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Često</w:t>
            </w:r>
          </w:p>
        </w:tc>
        <w:tc>
          <w:tcPr>
            <w:tcW w:w="1610" w:type="dxa"/>
            <w:shd w:val="clear" w:color="auto" w:fill="auto"/>
          </w:tcPr>
          <w:p w14:paraId="15C0FAB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495BA9BF" w14:textId="77777777">
        <w:tc>
          <w:tcPr>
            <w:tcW w:w="1998" w:type="dxa"/>
            <w:vMerge/>
            <w:shd w:val="clear" w:color="auto" w:fill="auto"/>
          </w:tcPr>
          <w:p w14:paraId="636BA41C"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3383BDF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Posturalna vrtoglavica</w:t>
            </w:r>
          </w:p>
        </w:tc>
        <w:tc>
          <w:tcPr>
            <w:tcW w:w="2111" w:type="dxa"/>
            <w:shd w:val="clear" w:color="auto" w:fill="auto"/>
          </w:tcPr>
          <w:p w14:paraId="601C310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3491DA7F"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5A7804C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5588B778" w14:textId="77777777">
        <w:tc>
          <w:tcPr>
            <w:tcW w:w="1998" w:type="dxa"/>
            <w:vMerge/>
            <w:shd w:val="clear" w:color="auto" w:fill="auto"/>
          </w:tcPr>
          <w:p w14:paraId="5C8BD65B"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7BAB5651"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Disgeuzija</w:t>
            </w:r>
          </w:p>
        </w:tc>
        <w:tc>
          <w:tcPr>
            <w:tcW w:w="2111" w:type="dxa"/>
            <w:shd w:val="clear" w:color="auto" w:fill="auto"/>
          </w:tcPr>
          <w:p w14:paraId="771B6BE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7206FD71"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1135BC6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5630C2B3" w14:textId="77777777">
        <w:tc>
          <w:tcPr>
            <w:tcW w:w="1998" w:type="dxa"/>
            <w:vMerge/>
            <w:shd w:val="clear" w:color="auto" w:fill="auto"/>
          </w:tcPr>
          <w:p w14:paraId="78F35573"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2A221B5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Ekstrapiramidalni sindrom</w:t>
            </w:r>
          </w:p>
        </w:tc>
        <w:tc>
          <w:tcPr>
            <w:tcW w:w="2111" w:type="dxa"/>
            <w:shd w:val="clear" w:color="auto" w:fill="auto"/>
          </w:tcPr>
          <w:p w14:paraId="797F5DC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263D633A"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Nepoznato</w:t>
            </w:r>
          </w:p>
        </w:tc>
        <w:tc>
          <w:tcPr>
            <w:tcW w:w="1610" w:type="dxa"/>
            <w:shd w:val="clear" w:color="auto" w:fill="auto"/>
          </w:tcPr>
          <w:p w14:paraId="1C1469EF"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6D9D9520" w14:textId="77777777">
        <w:tc>
          <w:tcPr>
            <w:tcW w:w="1998" w:type="dxa"/>
            <w:vMerge/>
            <w:shd w:val="clear" w:color="auto" w:fill="auto"/>
          </w:tcPr>
          <w:p w14:paraId="27AA34CE"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47B88C4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Glavobolja</w:t>
            </w:r>
          </w:p>
        </w:tc>
        <w:tc>
          <w:tcPr>
            <w:tcW w:w="2111" w:type="dxa"/>
            <w:shd w:val="clear" w:color="auto" w:fill="auto"/>
          </w:tcPr>
          <w:p w14:paraId="0DE9E6D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Često</w:t>
            </w:r>
          </w:p>
        </w:tc>
        <w:tc>
          <w:tcPr>
            <w:tcW w:w="1610" w:type="dxa"/>
            <w:shd w:val="clear" w:color="auto" w:fill="auto"/>
          </w:tcPr>
          <w:p w14:paraId="6149B3A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Često</w:t>
            </w:r>
          </w:p>
        </w:tc>
        <w:tc>
          <w:tcPr>
            <w:tcW w:w="1610" w:type="dxa"/>
            <w:shd w:val="clear" w:color="auto" w:fill="auto"/>
          </w:tcPr>
          <w:p w14:paraId="637DD69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337F77D2" w14:textId="77777777">
        <w:tc>
          <w:tcPr>
            <w:tcW w:w="1998" w:type="dxa"/>
            <w:vMerge/>
            <w:shd w:val="clear" w:color="auto" w:fill="auto"/>
          </w:tcPr>
          <w:p w14:paraId="516ED0A7"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2347836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Hipertonija</w:t>
            </w:r>
          </w:p>
        </w:tc>
        <w:tc>
          <w:tcPr>
            <w:tcW w:w="2111" w:type="dxa"/>
            <w:shd w:val="clear" w:color="auto" w:fill="auto"/>
          </w:tcPr>
          <w:p w14:paraId="09885C50"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4F4A196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Veoma rijetko</w:t>
            </w:r>
          </w:p>
        </w:tc>
        <w:tc>
          <w:tcPr>
            <w:tcW w:w="1610" w:type="dxa"/>
            <w:shd w:val="clear" w:color="auto" w:fill="auto"/>
          </w:tcPr>
          <w:p w14:paraId="68BCF13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767773B4" w14:textId="77777777">
        <w:tc>
          <w:tcPr>
            <w:tcW w:w="1998" w:type="dxa"/>
            <w:vMerge/>
            <w:shd w:val="clear" w:color="auto" w:fill="auto"/>
          </w:tcPr>
          <w:p w14:paraId="3C2471C8"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5D2DCBDD"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Parestezija</w:t>
            </w:r>
          </w:p>
        </w:tc>
        <w:tc>
          <w:tcPr>
            <w:tcW w:w="2111" w:type="dxa"/>
            <w:shd w:val="clear" w:color="auto" w:fill="auto"/>
          </w:tcPr>
          <w:p w14:paraId="40F2BEB1"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3B8A6B3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4840BBF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7D774B2F" w14:textId="77777777">
        <w:tc>
          <w:tcPr>
            <w:tcW w:w="1998" w:type="dxa"/>
            <w:vMerge/>
            <w:shd w:val="clear" w:color="auto" w:fill="auto"/>
          </w:tcPr>
          <w:p w14:paraId="5F9EA817"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64A3632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Periferna neuropatija, neuropatija</w:t>
            </w:r>
          </w:p>
        </w:tc>
        <w:tc>
          <w:tcPr>
            <w:tcW w:w="2111" w:type="dxa"/>
            <w:shd w:val="clear" w:color="auto" w:fill="auto"/>
          </w:tcPr>
          <w:p w14:paraId="6B20B9F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618B4C4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Veoma rijetko</w:t>
            </w:r>
          </w:p>
        </w:tc>
        <w:tc>
          <w:tcPr>
            <w:tcW w:w="1610" w:type="dxa"/>
            <w:shd w:val="clear" w:color="auto" w:fill="auto"/>
          </w:tcPr>
          <w:p w14:paraId="37F9993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36972AA6" w14:textId="77777777">
        <w:tc>
          <w:tcPr>
            <w:tcW w:w="1998" w:type="dxa"/>
            <w:vMerge/>
            <w:shd w:val="clear" w:color="auto" w:fill="auto"/>
          </w:tcPr>
          <w:p w14:paraId="648C4E78"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75AB504B"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Somnolencija</w:t>
            </w:r>
          </w:p>
        </w:tc>
        <w:tc>
          <w:tcPr>
            <w:tcW w:w="2111" w:type="dxa"/>
            <w:shd w:val="clear" w:color="auto" w:fill="auto"/>
          </w:tcPr>
          <w:p w14:paraId="4834535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1A6F1C6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Često</w:t>
            </w:r>
          </w:p>
        </w:tc>
        <w:tc>
          <w:tcPr>
            <w:tcW w:w="1610" w:type="dxa"/>
            <w:shd w:val="clear" w:color="auto" w:fill="auto"/>
          </w:tcPr>
          <w:p w14:paraId="33A0B04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446352FB" w14:textId="77777777">
        <w:tc>
          <w:tcPr>
            <w:tcW w:w="1998" w:type="dxa"/>
            <w:vMerge/>
            <w:shd w:val="clear" w:color="auto" w:fill="auto"/>
          </w:tcPr>
          <w:p w14:paraId="604BE524"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5AA270D1"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Sinkopa</w:t>
            </w:r>
          </w:p>
        </w:tc>
        <w:tc>
          <w:tcPr>
            <w:tcW w:w="2111" w:type="dxa"/>
            <w:shd w:val="clear" w:color="auto" w:fill="auto"/>
          </w:tcPr>
          <w:p w14:paraId="24CEDA7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2EA0E21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6D0DC59F"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48D5B235" w14:textId="77777777">
        <w:tc>
          <w:tcPr>
            <w:tcW w:w="1998" w:type="dxa"/>
            <w:vMerge/>
            <w:shd w:val="clear" w:color="auto" w:fill="auto"/>
          </w:tcPr>
          <w:p w14:paraId="31734884"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2EB1C7E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Tremor</w:t>
            </w:r>
          </w:p>
        </w:tc>
        <w:tc>
          <w:tcPr>
            <w:tcW w:w="2111" w:type="dxa"/>
            <w:shd w:val="clear" w:color="auto" w:fill="auto"/>
          </w:tcPr>
          <w:p w14:paraId="754F65A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01FB8500"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2929EF7F"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32414B39" w14:textId="77777777">
        <w:tc>
          <w:tcPr>
            <w:tcW w:w="1998" w:type="dxa"/>
            <w:vMerge/>
            <w:shd w:val="clear" w:color="auto" w:fill="auto"/>
          </w:tcPr>
          <w:p w14:paraId="49226848"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48076181"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Hipoestezija</w:t>
            </w:r>
          </w:p>
        </w:tc>
        <w:tc>
          <w:tcPr>
            <w:tcW w:w="2111" w:type="dxa"/>
            <w:shd w:val="clear" w:color="auto" w:fill="auto"/>
          </w:tcPr>
          <w:p w14:paraId="5E34796A"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1E22B26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3422B33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6B84F690" w14:textId="77777777">
        <w:tc>
          <w:tcPr>
            <w:tcW w:w="1998" w:type="dxa"/>
            <w:vMerge w:val="restart"/>
            <w:shd w:val="clear" w:color="auto" w:fill="auto"/>
          </w:tcPr>
          <w:p w14:paraId="0DEF9D2E"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Poremećaji oka</w:t>
            </w:r>
          </w:p>
        </w:tc>
        <w:tc>
          <w:tcPr>
            <w:tcW w:w="1958" w:type="dxa"/>
            <w:shd w:val="clear" w:color="auto" w:fill="auto"/>
          </w:tcPr>
          <w:p w14:paraId="3C6DAE8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Poremećaj vida</w:t>
            </w:r>
          </w:p>
        </w:tc>
        <w:tc>
          <w:tcPr>
            <w:tcW w:w="2111" w:type="dxa"/>
            <w:shd w:val="clear" w:color="auto" w:fill="auto"/>
          </w:tcPr>
          <w:p w14:paraId="56CD291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Rijetko</w:t>
            </w:r>
          </w:p>
        </w:tc>
        <w:tc>
          <w:tcPr>
            <w:tcW w:w="1610" w:type="dxa"/>
            <w:shd w:val="clear" w:color="auto" w:fill="auto"/>
          </w:tcPr>
          <w:p w14:paraId="17AE2C1A"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0FDEA5A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7BCEDA9D" w14:textId="77777777">
        <w:tc>
          <w:tcPr>
            <w:tcW w:w="1998" w:type="dxa"/>
            <w:vMerge/>
            <w:shd w:val="clear" w:color="auto" w:fill="auto"/>
          </w:tcPr>
          <w:p w14:paraId="66F3F3C9"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37DC616D"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Oslabljen vid</w:t>
            </w:r>
          </w:p>
        </w:tc>
        <w:tc>
          <w:tcPr>
            <w:tcW w:w="2111" w:type="dxa"/>
            <w:shd w:val="clear" w:color="auto" w:fill="auto"/>
          </w:tcPr>
          <w:p w14:paraId="1C9272A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39456BA0"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373EB5BD"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00576C20" w14:textId="77777777">
        <w:tc>
          <w:tcPr>
            <w:tcW w:w="1998" w:type="dxa"/>
            <w:vMerge w:val="restart"/>
            <w:shd w:val="clear" w:color="auto" w:fill="auto"/>
          </w:tcPr>
          <w:p w14:paraId="49A5B9C3"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Poremećaji uha i</w:t>
            </w:r>
          </w:p>
          <w:p w14:paraId="75D44A1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centra za</w:t>
            </w:r>
          </w:p>
          <w:p w14:paraId="6C2AABB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ravnotežu</w:t>
            </w:r>
          </w:p>
        </w:tc>
        <w:tc>
          <w:tcPr>
            <w:tcW w:w="1958" w:type="dxa"/>
            <w:shd w:val="clear" w:color="auto" w:fill="auto"/>
          </w:tcPr>
          <w:p w14:paraId="3C0B872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Tinitus</w:t>
            </w:r>
          </w:p>
        </w:tc>
        <w:tc>
          <w:tcPr>
            <w:tcW w:w="2111" w:type="dxa"/>
            <w:shd w:val="clear" w:color="auto" w:fill="auto"/>
          </w:tcPr>
          <w:p w14:paraId="214C584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Rijetko</w:t>
            </w:r>
          </w:p>
        </w:tc>
        <w:tc>
          <w:tcPr>
            <w:tcW w:w="1610" w:type="dxa"/>
            <w:shd w:val="clear" w:color="auto" w:fill="auto"/>
          </w:tcPr>
          <w:p w14:paraId="08E4753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3F71806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78F6E085" w14:textId="77777777">
        <w:tc>
          <w:tcPr>
            <w:tcW w:w="1998" w:type="dxa"/>
            <w:vMerge/>
            <w:shd w:val="clear" w:color="auto" w:fill="auto"/>
          </w:tcPr>
          <w:p w14:paraId="34DBBB67"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6CB1259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Vertigo</w:t>
            </w:r>
          </w:p>
        </w:tc>
        <w:tc>
          <w:tcPr>
            <w:tcW w:w="2111" w:type="dxa"/>
            <w:shd w:val="clear" w:color="auto" w:fill="auto"/>
          </w:tcPr>
          <w:p w14:paraId="62FC5C3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066B5B2B"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5F952D4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r>
      <w:tr w:rsidR="00EA6F00" w:rsidRPr="00B36BCA" w14:paraId="28706132" w14:textId="77777777">
        <w:tc>
          <w:tcPr>
            <w:tcW w:w="1998" w:type="dxa"/>
            <w:vMerge w:val="restart"/>
            <w:shd w:val="clear" w:color="auto" w:fill="auto"/>
          </w:tcPr>
          <w:p w14:paraId="32104574"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Kardiološki poremećaji</w:t>
            </w:r>
          </w:p>
        </w:tc>
        <w:tc>
          <w:tcPr>
            <w:tcW w:w="1958" w:type="dxa"/>
            <w:shd w:val="clear" w:color="auto" w:fill="auto"/>
          </w:tcPr>
          <w:p w14:paraId="354545CA"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Palpitacije</w:t>
            </w:r>
          </w:p>
        </w:tc>
        <w:tc>
          <w:tcPr>
            <w:tcW w:w="2111" w:type="dxa"/>
            <w:shd w:val="clear" w:color="auto" w:fill="auto"/>
          </w:tcPr>
          <w:p w14:paraId="3D93174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4EF0977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Često</w:t>
            </w:r>
          </w:p>
        </w:tc>
        <w:tc>
          <w:tcPr>
            <w:tcW w:w="1610" w:type="dxa"/>
            <w:shd w:val="clear" w:color="auto" w:fill="auto"/>
          </w:tcPr>
          <w:p w14:paraId="7EEEC10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3BE7A195" w14:textId="77777777">
        <w:tc>
          <w:tcPr>
            <w:tcW w:w="1998" w:type="dxa"/>
            <w:vMerge/>
            <w:shd w:val="clear" w:color="auto" w:fill="auto"/>
          </w:tcPr>
          <w:p w14:paraId="7A4D766E"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08C54DC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Sinkopa</w:t>
            </w:r>
          </w:p>
        </w:tc>
        <w:tc>
          <w:tcPr>
            <w:tcW w:w="2111" w:type="dxa"/>
            <w:shd w:val="clear" w:color="auto" w:fill="auto"/>
          </w:tcPr>
          <w:p w14:paraId="1446846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Rijetko</w:t>
            </w:r>
          </w:p>
        </w:tc>
        <w:tc>
          <w:tcPr>
            <w:tcW w:w="1610" w:type="dxa"/>
            <w:shd w:val="clear" w:color="auto" w:fill="auto"/>
          </w:tcPr>
          <w:p w14:paraId="7052D9A1"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3573F0BF"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57CF1F27" w14:textId="77777777">
        <w:tc>
          <w:tcPr>
            <w:tcW w:w="1998" w:type="dxa"/>
            <w:vMerge/>
            <w:shd w:val="clear" w:color="auto" w:fill="auto"/>
          </w:tcPr>
          <w:p w14:paraId="402EB4EF"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5AE00C90"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Tahikardija</w:t>
            </w:r>
          </w:p>
        </w:tc>
        <w:tc>
          <w:tcPr>
            <w:tcW w:w="2111" w:type="dxa"/>
            <w:shd w:val="clear" w:color="auto" w:fill="auto"/>
          </w:tcPr>
          <w:p w14:paraId="604EE50D"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4DB5FD6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59C78F3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41C6F064" w14:textId="77777777">
        <w:tc>
          <w:tcPr>
            <w:tcW w:w="1998" w:type="dxa"/>
            <w:vMerge/>
            <w:shd w:val="clear" w:color="auto" w:fill="auto"/>
          </w:tcPr>
          <w:p w14:paraId="3FEB0F02"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37AB9286"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 xml:space="preserve">Aritmije (uključujući bradikardiju, ventrikularnu </w:t>
            </w:r>
            <w:r w:rsidRPr="00762596">
              <w:rPr>
                <w:szCs w:val="22"/>
                <w:lang w:val="sr-Latn-ME"/>
              </w:rPr>
              <w:lastRenderedPageBreak/>
              <w:t>tahikardiju i atrijalnu fibrilaciju)</w:t>
            </w:r>
          </w:p>
        </w:tc>
        <w:tc>
          <w:tcPr>
            <w:tcW w:w="2111" w:type="dxa"/>
            <w:shd w:val="clear" w:color="auto" w:fill="auto"/>
          </w:tcPr>
          <w:p w14:paraId="4C20ED81"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lastRenderedPageBreak/>
              <w:t>-</w:t>
            </w:r>
          </w:p>
        </w:tc>
        <w:tc>
          <w:tcPr>
            <w:tcW w:w="1610" w:type="dxa"/>
            <w:shd w:val="clear" w:color="auto" w:fill="auto"/>
          </w:tcPr>
          <w:p w14:paraId="26444B00"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Veoma rijetko</w:t>
            </w:r>
          </w:p>
        </w:tc>
        <w:tc>
          <w:tcPr>
            <w:tcW w:w="1610" w:type="dxa"/>
            <w:shd w:val="clear" w:color="auto" w:fill="auto"/>
          </w:tcPr>
          <w:p w14:paraId="24FE1060"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05073BBC" w14:textId="77777777">
        <w:tc>
          <w:tcPr>
            <w:tcW w:w="1998" w:type="dxa"/>
            <w:vMerge/>
            <w:shd w:val="clear" w:color="auto" w:fill="auto"/>
          </w:tcPr>
          <w:p w14:paraId="08010B0B"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2B1148E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Infarkt miokarda</w:t>
            </w:r>
          </w:p>
        </w:tc>
        <w:tc>
          <w:tcPr>
            <w:tcW w:w="2111" w:type="dxa"/>
            <w:shd w:val="clear" w:color="auto" w:fill="auto"/>
          </w:tcPr>
          <w:p w14:paraId="5126068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3AD54F9F"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Veoma rijetko</w:t>
            </w:r>
          </w:p>
        </w:tc>
        <w:tc>
          <w:tcPr>
            <w:tcW w:w="1610" w:type="dxa"/>
            <w:shd w:val="clear" w:color="auto" w:fill="auto"/>
          </w:tcPr>
          <w:p w14:paraId="245C53CA"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12F06776" w14:textId="77777777">
        <w:tc>
          <w:tcPr>
            <w:tcW w:w="1998" w:type="dxa"/>
            <w:vMerge w:val="restart"/>
            <w:shd w:val="clear" w:color="auto" w:fill="auto"/>
          </w:tcPr>
          <w:p w14:paraId="018B5C7D"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Vaskularni poremećaji</w:t>
            </w:r>
          </w:p>
        </w:tc>
        <w:tc>
          <w:tcPr>
            <w:tcW w:w="1958" w:type="dxa"/>
            <w:shd w:val="clear" w:color="auto" w:fill="auto"/>
          </w:tcPr>
          <w:p w14:paraId="5A67DBEF"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Crvenilo uz osjećaj vrućine</w:t>
            </w:r>
          </w:p>
        </w:tc>
        <w:tc>
          <w:tcPr>
            <w:tcW w:w="2111" w:type="dxa"/>
            <w:shd w:val="clear" w:color="auto" w:fill="auto"/>
          </w:tcPr>
          <w:p w14:paraId="5D6D465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442FD60A"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Često</w:t>
            </w:r>
          </w:p>
        </w:tc>
        <w:tc>
          <w:tcPr>
            <w:tcW w:w="1610" w:type="dxa"/>
            <w:shd w:val="clear" w:color="auto" w:fill="auto"/>
          </w:tcPr>
          <w:p w14:paraId="7A33091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06EA45FD" w14:textId="77777777">
        <w:tc>
          <w:tcPr>
            <w:tcW w:w="1998" w:type="dxa"/>
            <w:vMerge/>
            <w:shd w:val="clear" w:color="auto" w:fill="auto"/>
          </w:tcPr>
          <w:p w14:paraId="2BBDE506"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2F07D1C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Hipotenzija</w:t>
            </w:r>
          </w:p>
        </w:tc>
        <w:tc>
          <w:tcPr>
            <w:tcW w:w="2111" w:type="dxa"/>
            <w:shd w:val="clear" w:color="auto" w:fill="auto"/>
          </w:tcPr>
          <w:p w14:paraId="5A07746A"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Rijetko</w:t>
            </w:r>
          </w:p>
        </w:tc>
        <w:tc>
          <w:tcPr>
            <w:tcW w:w="1610" w:type="dxa"/>
            <w:shd w:val="clear" w:color="auto" w:fill="auto"/>
          </w:tcPr>
          <w:p w14:paraId="6B09FE6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7971342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477BEC76" w14:textId="77777777">
        <w:tc>
          <w:tcPr>
            <w:tcW w:w="1998" w:type="dxa"/>
            <w:vMerge/>
            <w:shd w:val="clear" w:color="auto" w:fill="auto"/>
          </w:tcPr>
          <w:p w14:paraId="648BA697"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5C82EB1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Ortostatska hipotenzija</w:t>
            </w:r>
          </w:p>
        </w:tc>
        <w:tc>
          <w:tcPr>
            <w:tcW w:w="2111" w:type="dxa"/>
            <w:shd w:val="clear" w:color="auto" w:fill="auto"/>
          </w:tcPr>
          <w:p w14:paraId="25818AFA"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75BD6671"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7E10042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6D9CCB21" w14:textId="77777777">
        <w:tc>
          <w:tcPr>
            <w:tcW w:w="1998" w:type="dxa"/>
            <w:vMerge/>
            <w:shd w:val="clear" w:color="auto" w:fill="auto"/>
          </w:tcPr>
          <w:p w14:paraId="782B4FCB"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30A1124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Vaskulitis</w:t>
            </w:r>
          </w:p>
        </w:tc>
        <w:tc>
          <w:tcPr>
            <w:tcW w:w="2111" w:type="dxa"/>
            <w:shd w:val="clear" w:color="auto" w:fill="auto"/>
          </w:tcPr>
          <w:p w14:paraId="2E4757F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020618E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Veoma rijetko</w:t>
            </w:r>
          </w:p>
        </w:tc>
        <w:tc>
          <w:tcPr>
            <w:tcW w:w="1610" w:type="dxa"/>
            <w:shd w:val="clear" w:color="auto" w:fill="auto"/>
          </w:tcPr>
          <w:p w14:paraId="3EF58FD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Nepoznato</w:t>
            </w:r>
          </w:p>
        </w:tc>
      </w:tr>
      <w:tr w:rsidR="00EA6F00" w:rsidRPr="00B36BCA" w14:paraId="6FA10227" w14:textId="77777777">
        <w:tc>
          <w:tcPr>
            <w:tcW w:w="1998" w:type="dxa"/>
            <w:vMerge w:val="restart"/>
            <w:shd w:val="clear" w:color="auto" w:fill="auto"/>
          </w:tcPr>
          <w:p w14:paraId="3329AA86"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Respiratorni,</w:t>
            </w:r>
          </w:p>
          <w:p w14:paraId="607FA221"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torakalni i</w:t>
            </w:r>
          </w:p>
          <w:p w14:paraId="1B7BC8D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medijastinalni</w:t>
            </w:r>
          </w:p>
          <w:p w14:paraId="76D3EB4A"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poremećaji</w:t>
            </w:r>
          </w:p>
        </w:tc>
        <w:tc>
          <w:tcPr>
            <w:tcW w:w="1958" w:type="dxa"/>
            <w:shd w:val="clear" w:color="auto" w:fill="auto"/>
          </w:tcPr>
          <w:p w14:paraId="3AF66F4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Kašalj</w:t>
            </w:r>
          </w:p>
        </w:tc>
        <w:tc>
          <w:tcPr>
            <w:tcW w:w="2111" w:type="dxa"/>
            <w:shd w:val="clear" w:color="auto" w:fill="auto"/>
          </w:tcPr>
          <w:p w14:paraId="1B17676F"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6BE7DE1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Veoma rijetko</w:t>
            </w:r>
          </w:p>
        </w:tc>
        <w:tc>
          <w:tcPr>
            <w:tcW w:w="1610" w:type="dxa"/>
            <w:shd w:val="clear" w:color="auto" w:fill="auto"/>
          </w:tcPr>
          <w:p w14:paraId="3940379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r>
      <w:tr w:rsidR="00EA6F00" w:rsidRPr="00B36BCA" w14:paraId="60B4B874" w14:textId="77777777">
        <w:tc>
          <w:tcPr>
            <w:tcW w:w="1998" w:type="dxa"/>
            <w:vMerge/>
            <w:shd w:val="clear" w:color="auto" w:fill="auto"/>
          </w:tcPr>
          <w:p w14:paraId="0EDC86C2"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3D2A8C3B"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Dispneja</w:t>
            </w:r>
          </w:p>
        </w:tc>
        <w:tc>
          <w:tcPr>
            <w:tcW w:w="2111" w:type="dxa"/>
            <w:shd w:val="clear" w:color="auto" w:fill="auto"/>
          </w:tcPr>
          <w:p w14:paraId="24527F6A"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0BEEC00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6149A10F"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20FA1BE8" w14:textId="77777777">
        <w:tc>
          <w:tcPr>
            <w:tcW w:w="1998" w:type="dxa"/>
            <w:vMerge/>
            <w:shd w:val="clear" w:color="auto" w:fill="auto"/>
          </w:tcPr>
          <w:p w14:paraId="10152B96"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1735CD1F"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 xml:space="preserve">Faringolaringealna bol </w:t>
            </w:r>
          </w:p>
        </w:tc>
        <w:tc>
          <w:tcPr>
            <w:tcW w:w="2111" w:type="dxa"/>
            <w:shd w:val="clear" w:color="auto" w:fill="auto"/>
          </w:tcPr>
          <w:p w14:paraId="060AD78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68FA675F"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695C9CD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3CEA7691" w14:textId="77777777">
        <w:tc>
          <w:tcPr>
            <w:tcW w:w="1998" w:type="dxa"/>
            <w:vMerge/>
            <w:shd w:val="clear" w:color="auto" w:fill="auto"/>
          </w:tcPr>
          <w:p w14:paraId="360D5C6A"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399F0CC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Rinitis</w:t>
            </w:r>
          </w:p>
        </w:tc>
        <w:tc>
          <w:tcPr>
            <w:tcW w:w="2111" w:type="dxa"/>
            <w:shd w:val="clear" w:color="auto" w:fill="auto"/>
          </w:tcPr>
          <w:p w14:paraId="25B9DF9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66C3B7FD"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7D7642B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316A8E9D" w14:textId="77777777">
        <w:tc>
          <w:tcPr>
            <w:tcW w:w="1998" w:type="dxa"/>
            <w:vMerge w:val="restart"/>
            <w:shd w:val="clear" w:color="auto" w:fill="auto"/>
          </w:tcPr>
          <w:p w14:paraId="09D37DE8"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Gastrointestinalni</w:t>
            </w:r>
          </w:p>
          <w:p w14:paraId="1191EFF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poremećaji</w:t>
            </w:r>
          </w:p>
        </w:tc>
        <w:tc>
          <w:tcPr>
            <w:tcW w:w="1958" w:type="dxa"/>
            <w:shd w:val="clear" w:color="auto" w:fill="auto"/>
          </w:tcPr>
          <w:p w14:paraId="26AFC9E6"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Nelagoda u abdomenu, bol u gornjem abdomenu</w:t>
            </w:r>
          </w:p>
        </w:tc>
        <w:tc>
          <w:tcPr>
            <w:tcW w:w="2111" w:type="dxa"/>
            <w:shd w:val="clear" w:color="auto" w:fill="auto"/>
          </w:tcPr>
          <w:p w14:paraId="40E13700"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 xml:space="preserve">Povremeno </w:t>
            </w:r>
          </w:p>
        </w:tc>
        <w:tc>
          <w:tcPr>
            <w:tcW w:w="1610" w:type="dxa"/>
            <w:shd w:val="clear" w:color="auto" w:fill="auto"/>
          </w:tcPr>
          <w:p w14:paraId="1B07C88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Često</w:t>
            </w:r>
          </w:p>
        </w:tc>
        <w:tc>
          <w:tcPr>
            <w:tcW w:w="1610" w:type="dxa"/>
            <w:shd w:val="clear" w:color="auto" w:fill="auto"/>
          </w:tcPr>
          <w:p w14:paraId="14A5A2FD"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r>
      <w:tr w:rsidR="00EA6F00" w:rsidRPr="00B36BCA" w14:paraId="75C8D0CB" w14:textId="77777777">
        <w:tc>
          <w:tcPr>
            <w:tcW w:w="1998" w:type="dxa"/>
            <w:vMerge/>
            <w:shd w:val="clear" w:color="auto" w:fill="auto"/>
          </w:tcPr>
          <w:p w14:paraId="5FEDFA8B"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47B19AB6"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Promijenjene navike pražnjenja crijeva</w:t>
            </w:r>
          </w:p>
        </w:tc>
        <w:tc>
          <w:tcPr>
            <w:tcW w:w="2111" w:type="dxa"/>
            <w:shd w:val="clear" w:color="auto" w:fill="auto"/>
          </w:tcPr>
          <w:p w14:paraId="03890765"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3AED67E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40B834A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622EA102" w14:textId="77777777">
        <w:tc>
          <w:tcPr>
            <w:tcW w:w="1998" w:type="dxa"/>
            <w:vMerge/>
            <w:shd w:val="clear" w:color="auto" w:fill="auto"/>
          </w:tcPr>
          <w:p w14:paraId="33FEEBB1"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55A4A72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Konstipacija</w:t>
            </w:r>
          </w:p>
        </w:tc>
        <w:tc>
          <w:tcPr>
            <w:tcW w:w="2111" w:type="dxa"/>
            <w:shd w:val="clear" w:color="auto" w:fill="auto"/>
          </w:tcPr>
          <w:p w14:paraId="28ADC32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2D23D721"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5300D66B"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17D59AA4" w14:textId="77777777">
        <w:tc>
          <w:tcPr>
            <w:tcW w:w="1998" w:type="dxa"/>
            <w:vMerge/>
            <w:shd w:val="clear" w:color="auto" w:fill="auto"/>
          </w:tcPr>
          <w:p w14:paraId="31E3B746"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07FAC15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Dijareja</w:t>
            </w:r>
          </w:p>
        </w:tc>
        <w:tc>
          <w:tcPr>
            <w:tcW w:w="2111" w:type="dxa"/>
            <w:shd w:val="clear" w:color="auto" w:fill="auto"/>
          </w:tcPr>
          <w:p w14:paraId="39D7CFF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27521AC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13D97120"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4C0AC4F4" w14:textId="77777777">
        <w:tc>
          <w:tcPr>
            <w:tcW w:w="1998" w:type="dxa"/>
            <w:vMerge/>
            <w:shd w:val="clear" w:color="auto" w:fill="auto"/>
          </w:tcPr>
          <w:p w14:paraId="789A3A06"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4FB0FE1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Suha usta</w:t>
            </w:r>
          </w:p>
        </w:tc>
        <w:tc>
          <w:tcPr>
            <w:tcW w:w="2111" w:type="dxa"/>
            <w:shd w:val="clear" w:color="auto" w:fill="auto"/>
          </w:tcPr>
          <w:p w14:paraId="54100F8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07303B6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6062DED0"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574869F9" w14:textId="77777777">
        <w:tc>
          <w:tcPr>
            <w:tcW w:w="1998" w:type="dxa"/>
            <w:vMerge/>
            <w:shd w:val="clear" w:color="auto" w:fill="auto"/>
          </w:tcPr>
          <w:p w14:paraId="543293FD"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3364387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Dispepsija</w:t>
            </w:r>
          </w:p>
        </w:tc>
        <w:tc>
          <w:tcPr>
            <w:tcW w:w="2111" w:type="dxa"/>
            <w:shd w:val="clear" w:color="auto" w:fill="auto"/>
          </w:tcPr>
          <w:p w14:paraId="26D6E1C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1C9F8F9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3055667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2D01B3B6" w14:textId="77777777">
        <w:tc>
          <w:tcPr>
            <w:tcW w:w="1998" w:type="dxa"/>
            <w:vMerge/>
            <w:shd w:val="clear" w:color="auto" w:fill="auto"/>
          </w:tcPr>
          <w:p w14:paraId="10165CA3"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44EC914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Gastritis</w:t>
            </w:r>
          </w:p>
        </w:tc>
        <w:tc>
          <w:tcPr>
            <w:tcW w:w="2111" w:type="dxa"/>
            <w:shd w:val="clear" w:color="auto" w:fill="auto"/>
          </w:tcPr>
          <w:p w14:paraId="428D8C1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4B43EC2D"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Veoma rijetko</w:t>
            </w:r>
          </w:p>
        </w:tc>
        <w:tc>
          <w:tcPr>
            <w:tcW w:w="1610" w:type="dxa"/>
            <w:shd w:val="clear" w:color="auto" w:fill="auto"/>
          </w:tcPr>
          <w:p w14:paraId="07C85F6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128937D0" w14:textId="77777777">
        <w:tc>
          <w:tcPr>
            <w:tcW w:w="1998" w:type="dxa"/>
            <w:vMerge/>
            <w:shd w:val="clear" w:color="auto" w:fill="auto"/>
          </w:tcPr>
          <w:p w14:paraId="35582229"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11235EF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Hiperplazija gingive</w:t>
            </w:r>
          </w:p>
        </w:tc>
        <w:tc>
          <w:tcPr>
            <w:tcW w:w="2111" w:type="dxa"/>
            <w:shd w:val="clear" w:color="auto" w:fill="auto"/>
          </w:tcPr>
          <w:p w14:paraId="14FE8B3D"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0430596A"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Veoma rijetko</w:t>
            </w:r>
          </w:p>
        </w:tc>
        <w:tc>
          <w:tcPr>
            <w:tcW w:w="1610" w:type="dxa"/>
            <w:shd w:val="clear" w:color="auto" w:fill="auto"/>
          </w:tcPr>
          <w:p w14:paraId="4DE2D81A"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3AA8BF33" w14:textId="77777777">
        <w:tc>
          <w:tcPr>
            <w:tcW w:w="1998" w:type="dxa"/>
            <w:vMerge/>
            <w:shd w:val="clear" w:color="auto" w:fill="auto"/>
          </w:tcPr>
          <w:p w14:paraId="352EDC49"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61C5BF6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Mučnina</w:t>
            </w:r>
          </w:p>
        </w:tc>
        <w:tc>
          <w:tcPr>
            <w:tcW w:w="2111" w:type="dxa"/>
            <w:shd w:val="clear" w:color="auto" w:fill="auto"/>
          </w:tcPr>
          <w:p w14:paraId="7A4D8971"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0B9EB3E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Često</w:t>
            </w:r>
          </w:p>
        </w:tc>
        <w:tc>
          <w:tcPr>
            <w:tcW w:w="1610" w:type="dxa"/>
            <w:shd w:val="clear" w:color="auto" w:fill="auto"/>
          </w:tcPr>
          <w:p w14:paraId="6267941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4AD8D629" w14:textId="77777777">
        <w:tc>
          <w:tcPr>
            <w:tcW w:w="1998" w:type="dxa"/>
            <w:vMerge/>
            <w:shd w:val="clear" w:color="auto" w:fill="auto"/>
          </w:tcPr>
          <w:p w14:paraId="76BBCBA2"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1D800A5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Pankreatitis</w:t>
            </w:r>
          </w:p>
        </w:tc>
        <w:tc>
          <w:tcPr>
            <w:tcW w:w="2111" w:type="dxa"/>
            <w:shd w:val="clear" w:color="auto" w:fill="auto"/>
          </w:tcPr>
          <w:p w14:paraId="5418F16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5BF137A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Veoma rijetko</w:t>
            </w:r>
          </w:p>
        </w:tc>
        <w:tc>
          <w:tcPr>
            <w:tcW w:w="1610" w:type="dxa"/>
            <w:shd w:val="clear" w:color="auto" w:fill="auto"/>
          </w:tcPr>
          <w:p w14:paraId="4FF0256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573C8255" w14:textId="77777777">
        <w:tc>
          <w:tcPr>
            <w:tcW w:w="1998" w:type="dxa"/>
            <w:vMerge/>
            <w:shd w:val="clear" w:color="auto" w:fill="auto"/>
          </w:tcPr>
          <w:p w14:paraId="7B9CBDA1"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4723C86B"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Povraćanje</w:t>
            </w:r>
          </w:p>
        </w:tc>
        <w:tc>
          <w:tcPr>
            <w:tcW w:w="2111" w:type="dxa"/>
            <w:shd w:val="clear" w:color="auto" w:fill="auto"/>
          </w:tcPr>
          <w:p w14:paraId="42CC7F5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3A3D4D7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5CD0F46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39F38912" w14:textId="77777777">
        <w:tc>
          <w:tcPr>
            <w:tcW w:w="1998" w:type="dxa"/>
            <w:vMerge w:val="restart"/>
            <w:shd w:val="clear" w:color="auto" w:fill="auto"/>
          </w:tcPr>
          <w:p w14:paraId="4760E732"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Hepatobilijarni</w:t>
            </w:r>
          </w:p>
          <w:p w14:paraId="6B924DB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poremećaji</w:t>
            </w:r>
          </w:p>
        </w:tc>
        <w:tc>
          <w:tcPr>
            <w:tcW w:w="1958" w:type="dxa"/>
            <w:shd w:val="clear" w:color="auto" w:fill="auto"/>
          </w:tcPr>
          <w:p w14:paraId="66BC5C8A"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Povećanje vrijednosti</w:t>
            </w:r>
          </w:p>
          <w:p w14:paraId="63370C1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enzima jetre,</w:t>
            </w:r>
          </w:p>
          <w:p w14:paraId="51D7FF7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uključujući</w:t>
            </w:r>
          </w:p>
          <w:p w14:paraId="6671212B"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povećanje bilirubina</w:t>
            </w:r>
          </w:p>
          <w:p w14:paraId="1D1268C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u serumu</w:t>
            </w:r>
          </w:p>
        </w:tc>
        <w:tc>
          <w:tcPr>
            <w:tcW w:w="2111" w:type="dxa"/>
            <w:shd w:val="clear" w:color="auto" w:fill="auto"/>
          </w:tcPr>
          <w:p w14:paraId="664990C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2F44D66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Veoma rijetko*</w:t>
            </w:r>
          </w:p>
        </w:tc>
        <w:tc>
          <w:tcPr>
            <w:tcW w:w="1610" w:type="dxa"/>
            <w:shd w:val="clear" w:color="auto" w:fill="auto"/>
          </w:tcPr>
          <w:p w14:paraId="7EE1DD4B"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Nepoznato</w:t>
            </w:r>
          </w:p>
        </w:tc>
      </w:tr>
      <w:tr w:rsidR="00EA6F00" w:rsidRPr="00B36BCA" w14:paraId="143A64B3" w14:textId="77777777">
        <w:tc>
          <w:tcPr>
            <w:tcW w:w="1998" w:type="dxa"/>
            <w:vMerge/>
            <w:shd w:val="clear" w:color="auto" w:fill="auto"/>
          </w:tcPr>
          <w:p w14:paraId="4EDE5712"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42BF3E1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Hepatitis</w:t>
            </w:r>
          </w:p>
        </w:tc>
        <w:tc>
          <w:tcPr>
            <w:tcW w:w="2111" w:type="dxa"/>
            <w:shd w:val="clear" w:color="auto" w:fill="auto"/>
          </w:tcPr>
          <w:p w14:paraId="3DBD7EBA"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29B369E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Veoma rijetko</w:t>
            </w:r>
          </w:p>
        </w:tc>
        <w:tc>
          <w:tcPr>
            <w:tcW w:w="1610" w:type="dxa"/>
            <w:shd w:val="clear" w:color="auto" w:fill="auto"/>
          </w:tcPr>
          <w:p w14:paraId="62F2B5E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3C104786" w14:textId="77777777">
        <w:tc>
          <w:tcPr>
            <w:tcW w:w="1998" w:type="dxa"/>
            <w:vMerge/>
            <w:shd w:val="clear" w:color="auto" w:fill="auto"/>
          </w:tcPr>
          <w:p w14:paraId="1F35D676"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6F711F8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Intrahepatična holestaza, žutica</w:t>
            </w:r>
          </w:p>
        </w:tc>
        <w:tc>
          <w:tcPr>
            <w:tcW w:w="2111" w:type="dxa"/>
            <w:shd w:val="clear" w:color="auto" w:fill="auto"/>
          </w:tcPr>
          <w:p w14:paraId="61D30310"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77295D3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Veoma rijetko</w:t>
            </w:r>
          </w:p>
        </w:tc>
        <w:tc>
          <w:tcPr>
            <w:tcW w:w="1610" w:type="dxa"/>
            <w:shd w:val="clear" w:color="auto" w:fill="auto"/>
          </w:tcPr>
          <w:p w14:paraId="08EB0AF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6F4EA9F8" w14:textId="77777777">
        <w:tc>
          <w:tcPr>
            <w:tcW w:w="1998" w:type="dxa"/>
            <w:vMerge w:val="restart"/>
            <w:shd w:val="clear" w:color="auto" w:fill="auto"/>
          </w:tcPr>
          <w:p w14:paraId="5794B672"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Poremećaji kože i potkožnog tkiva</w:t>
            </w:r>
          </w:p>
        </w:tc>
        <w:tc>
          <w:tcPr>
            <w:tcW w:w="1958" w:type="dxa"/>
            <w:shd w:val="clear" w:color="auto" w:fill="auto"/>
          </w:tcPr>
          <w:p w14:paraId="7F281A4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Alopecija</w:t>
            </w:r>
          </w:p>
        </w:tc>
        <w:tc>
          <w:tcPr>
            <w:tcW w:w="2111" w:type="dxa"/>
            <w:shd w:val="clear" w:color="auto" w:fill="auto"/>
          </w:tcPr>
          <w:p w14:paraId="408571C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5A6AEAE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52C1C92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5FB0C058" w14:textId="77777777">
        <w:tc>
          <w:tcPr>
            <w:tcW w:w="1998" w:type="dxa"/>
            <w:vMerge/>
            <w:shd w:val="clear" w:color="auto" w:fill="auto"/>
          </w:tcPr>
          <w:p w14:paraId="37DB6FE7"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7860BE7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Angioedem</w:t>
            </w:r>
          </w:p>
        </w:tc>
        <w:tc>
          <w:tcPr>
            <w:tcW w:w="2111" w:type="dxa"/>
            <w:shd w:val="clear" w:color="auto" w:fill="auto"/>
          </w:tcPr>
          <w:p w14:paraId="3277DB5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3B27234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Veoma rijetko</w:t>
            </w:r>
          </w:p>
        </w:tc>
        <w:tc>
          <w:tcPr>
            <w:tcW w:w="1610" w:type="dxa"/>
            <w:shd w:val="clear" w:color="auto" w:fill="auto"/>
          </w:tcPr>
          <w:p w14:paraId="67811FE0"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Nepoznato</w:t>
            </w:r>
          </w:p>
        </w:tc>
      </w:tr>
      <w:tr w:rsidR="00EA6F00" w:rsidRPr="00B36BCA" w14:paraId="41D160FF" w14:textId="77777777">
        <w:tc>
          <w:tcPr>
            <w:tcW w:w="1998" w:type="dxa"/>
            <w:vMerge/>
            <w:shd w:val="clear" w:color="auto" w:fill="auto"/>
          </w:tcPr>
          <w:p w14:paraId="1ACFE65C"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34C50A9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Bulozni dermatitis</w:t>
            </w:r>
          </w:p>
        </w:tc>
        <w:tc>
          <w:tcPr>
            <w:tcW w:w="2111" w:type="dxa"/>
            <w:shd w:val="clear" w:color="auto" w:fill="auto"/>
          </w:tcPr>
          <w:p w14:paraId="06346BBF"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241641E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04EAE14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Nepoznato</w:t>
            </w:r>
          </w:p>
        </w:tc>
      </w:tr>
      <w:tr w:rsidR="00EA6F00" w:rsidRPr="00B36BCA" w14:paraId="508FB126" w14:textId="77777777">
        <w:tc>
          <w:tcPr>
            <w:tcW w:w="1998" w:type="dxa"/>
            <w:vMerge/>
            <w:shd w:val="clear" w:color="auto" w:fill="auto"/>
          </w:tcPr>
          <w:p w14:paraId="1882E850"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7116F81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Eritem</w:t>
            </w:r>
          </w:p>
        </w:tc>
        <w:tc>
          <w:tcPr>
            <w:tcW w:w="2111" w:type="dxa"/>
            <w:shd w:val="clear" w:color="auto" w:fill="auto"/>
          </w:tcPr>
          <w:p w14:paraId="1938589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21AB17E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3BC0051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59B62366" w14:textId="77777777">
        <w:tc>
          <w:tcPr>
            <w:tcW w:w="1998" w:type="dxa"/>
            <w:vMerge/>
            <w:shd w:val="clear" w:color="auto" w:fill="auto"/>
          </w:tcPr>
          <w:p w14:paraId="338BD353"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1636ECC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Multiformni eritem</w:t>
            </w:r>
          </w:p>
        </w:tc>
        <w:tc>
          <w:tcPr>
            <w:tcW w:w="2111" w:type="dxa"/>
            <w:shd w:val="clear" w:color="auto" w:fill="auto"/>
          </w:tcPr>
          <w:p w14:paraId="54271930"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7AFE206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Veoma rijetko</w:t>
            </w:r>
          </w:p>
        </w:tc>
        <w:tc>
          <w:tcPr>
            <w:tcW w:w="1610" w:type="dxa"/>
            <w:shd w:val="clear" w:color="auto" w:fill="auto"/>
          </w:tcPr>
          <w:p w14:paraId="022ED53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28640AF5" w14:textId="77777777">
        <w:tc>
          <w:tcPr>
            <w:tcW w:w="1998" w:type="dxa"/>
            <w:vMerge/>
            <w:shd w:val="clear" w:color="auto" w:fill="auto"/>
          </w:tcPr>
          <w:p w14:paraId="3B78F565"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2A6AFF6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Egzantem</w:t>
            </w:r>
          </w:p>
        </w:tc>
        <w:tc>
          <w:tcPr>
            <w:tcW w:w="2111" w:type="dxa"/>
            <w:shd w:val="clear" w:color="auto" w:fill="auto"/>
          </w:tcPr>
          <w:p w14:paraId="65D4F8D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Rijetko</w:t>
            </w:r>
          </w:p>
        </w:tc>
        <w:tc>
          <w:tcPr>
            <w:tcW w:w="1610" w:type="dxa"/>
            <w:shd w:val="clear" w:color="auto" w:fill="auto"/>
          </w:tcPr>
          <w:p w14:paraId="365B5BE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69E2445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65F110C5" w14:textId="77777777">
        <w:tc>
          <w:tcPr>
            <w:tcW w:w="1998" w:type="dxa"/>
            <w:vMerge/>
            <w:shd w:val="clear" w:color="auto" w:fill="auto"/>
          </w:tcPr>
          <w:p w14:paraId="21051493"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5AF30E6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Hiperhidroza</w:t>
            </w:r>
          </w:p>
        </w:tc>
        <w:tc>
          <w:tcPr>
            <w:tcW w:w="2111" w:type="dxa"/>
            <w:shd w:val="clear" w:color="auto" w:fill="auto"/>
          </w:tcPr>
          <w:p w14:paraId="397BD4A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Rijetko</w:t>
            </w:r>
          </w:p>
        </w:tc>
        <w:tc>
          <w:tcPr>
            <w:tcW w:w="1610" w:type="dxa"/>
            <w:shd w:val="clear" w:color="auto" w:fill="auto"/>
          </w:tcPr>
          <w:p w14:paraId="5E9967E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3E33D7F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31602023" w14:textId="77777777">
        <w:tc>
          <w:tcPr>
            <w:tcW w:w="1998" w:type="dxa"/>
            <w:vMerge/>
            <w:shd w:val="clear" w:color="auto" w:fill="auto"/>
          </w:tcPr>
          <w:p w14:paraId="6C1D40F0"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39511C31"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Fotosenzitivna reakcija</w:t>
            </w:r>
          </w:p>
        </w:tc>
        <w:tc>
          <w:tcPr>
            <w:tcW w:w="2111" w:type="dxa"/>
            <w:shd w:val="clear" w:color="auto" w:fill="auto"/>
          </w:tcPr>
          <w:p w14:paraId="77B357F1"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3641B81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123FB71A"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563CD336" w14:textId="77777777">
        <w:tc>
          <w:tcPr>
            <w:tcW w:w="1998" w:type="dxa"/>
            <w:vMerge/>
            <w:shd w:val="clear" w:color="auto" w:fill="auto"/>
          </w:tcPr>
          <w:p w14:paraId="4FBDA153"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38E2D95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 xml:space="preserve">Pruritus </w:t>
            </w:r>
          </w:p>
        </w:tc>
        <w:tc>
          <w:tcPr>
            <w:tcW w:w="2111" w:type="dxa"/>
            <w:shd w:val="clear" w:color="auto" w:fill="auto"/>
          </w:tcPr>
          <w:p w14:paraId="71B9104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Rijetko</w:t>
            </w:r>
          </w:p>
        </w:tc>
        <w:tc>
          <w:tcPr>
            <w:tcW w:w="1610" w:type="dxa"/>
            <w:shd w:val="clear" w:color="auto" w:fill="auto"/>
          </w:tcPr>
          <w:p w14:paraId="63B1A78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3174506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Nepoznato</w:t>
            </w:r>
          </w:p>
        </w:tc>
      </w:tr>
      <w:tr w:rsidR="00EA6F00" w:rsidRPr="00B36BCA" w14:paraId="479D8B5E" w14:textId="77777777">
        <w:tc>
          <w:tcPr>
            <w:tcW w:w="1998" w:type="dxa"/>
            <w:vMerge/>
            <w:shd w:val="clear" w:color="auto" w:fill="auto"/>
          </w:tcPr>
          <w:p w14:paraId="767F9202"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17115D4D"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Purpura</w:t>
            </w:r>
          </w:p>
        </w:tc>
        <w:tc>
          <w:tcPr>
            <w:tcW w:w="2111" w:type="dxa"/>
            <w:shd w:val="clear" w:color="auto" w:fill="auto"/>
          </w:tcPr>
          <w:p w14:paraId="10350F2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5E92AC7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3BEE7F7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4A116669" w14:textId="77777777">
        <w:tc>
          <w:tcPr>
            <w:tcW w:w="1998" w:type="dxa"/>
            <w:vMerge/>
            <w:shd w:val="clear" w:color="auto" w:fill="auto"/>
          </w:tcPr>
          <w:p w14:paraId="01F86E64"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32AFB29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Osip</w:t>
            </w:r>
          </w:p>
        </w:tc>
        <w:tc>
          <w:tcPr>
            <w:tcW w:w="2111" w:type="dxa"/>
            <w:shd w:val="clear" w:color="auto" w:fill="auto"/>
          </w:tcPr>
          <w:p w14:paraId="19642B6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32E1A3E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155A739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Nepoznato</w:t>
            </w:r>
          </w:p>
        </w:tc>
      </w:tr>
      <w:tr w:rsidR="00EA6F00" w:rsidRPr="00B36BCA" w14:paraId="7C14DE4F" w14:textId="77777777">
        <w:tc>
          <w:tcPr>
            <w:tcW w:w="1998" w:type="dxa"/>
            <w:vMerge/>
            <w:shd w:val="clear" w:color="auto" w:fill="auto"/>
          </w:tcPr>
          <w:p w14:paraId="18929BF8"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4B763A0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Promjena boje kože</w:t>
            </w:r>
          </w:p>
        </w:tc>
        <w:tc>
          <w:tcPr>
            <w:tcW w:w="2111" w:type="dxa"/>
            <w:shd w:val="clear" w:color="auto" w:fill="auto"/>
          </w:tcPr>
          <w:p w14:paraId="119E176F"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78F5C9D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084C8EF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6E794C6E" w14:textId="77777777">
        <w:tc>
          <w:tcPr>
            <w:tcW w:w="1998" w:type="dxa"/>
            <w:vMerge/>
            <w:shd w:val="clear" w:color="auto" w:fill="auto"/>
          </w:tcPr>
          <w:p w14:paraId="47A17B54"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19051E75"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 xml:space="preserve">Urtikarija i druge </w:t>
            </w:r>
            <w:r w:rsidRPr="00762596">
              <w:rPr>
                <w:szCs w:val="22"/>
                <w:lang w:val="sr-Latn-ME"/>
              </w:rPr>
              <w:lastRenderedPageBreak/>
              <w:t>vrste osipa</w:t>
            </w:r>
          </w:p>
        </w:tc>
        <w:tc>
          <w:tcPr>
            <w:tcW w:w="2111" w:type="dxa"/>
            <w:shd w:val="clear" w:color="auto" w:fill="auto"/>
          </w:tcPr>
          <w:p w14:paraId="746E3948"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lastRenderedPageBreak/>
              <w:t>-</w:t>
            </w:r>
          </w:p>
        </w:tc>
        <w:tc>
          <w:tcPr>
            <w:tcW w:w="1610" w:type="dxa"/>
            <w:shd w:val="clear" w:color="auto" w:fill="auto"/>
          </w:tcPr>
          <w:p w14:paraId="439863A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Veoma rijetko</w:t>
            </w:r>
          </w:p>
        </w:tc>
        <w:tc>
          <w:tcPr>
            <w:tcW w:w="1610" w:type="dxa"/>
            <w:shd w:val="clear" w:color="auto" w:fill="auto"/>
          </w:tcPr>
          <w:p w14:paraId="48332E0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22D0E062" w14:textId="77777777">
        <w:tc>
          <w:tcPr>
            <w:tcW w:w="1998" w:type="dxa"/>
            <w:vMerge/>
            <w:shd w:val="clear" w:color="auto" w:fill="auto"/>
          </w:tcPr>
          <w:p w14:paraId="3E761744"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5367568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Eksfolijativni dermatitis</w:t>
            </w:r>
          </w:p>
        </w:tc>
        <w:tc>
          <w:tcPr>
            <w:tcW w:w="2111" w:type="dxa"/>
            <w:shd w:val="clear" w:color="auto" w:fill="auto"/>
          </w:tcPr>
          <w:p w14:paraId="3E70710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7AAD2BE0"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Veoma rijetko</w:t>
            </w:r>
          </w:p>
        </w:tc>
        <w:tc>
          <w:tcPr>
            <w:tcW w:w="1610" w:type="dxa"/>
            <w:shd w:val="clear" w:color="auto" w:fill="auto"/>
          </w:tcPr>
          <w:p w14:paraId="607926C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3EDC387E" w14:textId="77777777">
        <w:tc>
          <w:tcPr>
            <w:tcW w:w="1998" w:type="dxa"/>
            <w:vMerge/>
            <w:shd w:val="clear" w:color="auto" w:fill="auto"/>
          </w:tcPr>
          <w:p w14:paraId="423CC566"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306DC3E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Stevens-Johnsonov sindrom</w:t>
            </w:r>
          </w:p>
        </w:tc>
        <w:tc>
          <w:tcPr>
            <w:tcW w:w="2111" w:type="dxa"/>
            <w:shd w:val="clear" w:color="auto" w:fill="auto"/>
          </w:tcPr>
          <w:p w14:paraId="7E024E2F"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397E614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Veoma rijetko</w:t>
            </w:r>
          </w:p>
        </w:tc>
        <w:tc>
          <w:tcPr>
            <w:tcW w:w="1610" w:type="dxa"/>
            <w:shd w:val="clear" w:color="auto" w:fill="auto"/>
          </w:tcPr>
          <w:p w14:paraId="4066B28A"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6E5886FF" w14:textId="77777777">
        <w:tc>
          <w:tcPr>
            <w:tcW w:w="1998" w:type="dxa"/>
            <w:vMerge/>
            <w:shd w:val="clear" w:color="auto" w:fill="auto"/>
          </w:tcPr>
          <w:p w14:paraId="217003E1"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61519ADD"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Kvinkeov edem</w:t>
            </w:r>
          </w:p>
        </w:tc>
        <w:tc>
          <w:tcPr>
            <w:tcW w:w="2111" w:type="dxa"/>
            <w:shd w:val="clear" w:color="auto" w:fill="auto"/>
          </w:tcPr>
          <w:p w14:paraId="12AEFF1B"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5E7D7B1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Veoma rijetko</w:t>
            </w:r>
          </w:p>
        </w:tc>
        <w:tc>
          <w:tcPr>
            <w:tcW w:w="1610" w:type="dxa"/>
            <w:shd w:val="clear" w:color="auto" w:fill="auto"/>
          </w:tcPr>
          <w:p w14:paraId="0EE7D16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2EF222C9" w14:textId="77777777">
        <w:tc>
          <w:tcPr>
            <w:tcW w:w="1998" w:type="dxa"/>
            <w:vMerge/>
            <w:shd w:val="clear" w:color="auto" w:fill="auto"/>
          </w:tcPr>
          <w:p w14:paraId="553FE224"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0ED3628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Toksična epidermalna nekroliza</w:t>
            </w:r>
          </w:p>
        </w:tc>
        <w:tc>
          <w:tcPr>
            <w:tcW w:w="2111" w:type="dxa"/>
            <w:shd w:val="clear" w:color="auto" w:fill="auto"/>
          </w:tcPr>
          <w:p w14:paraId="5E76F07D"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13F4CE6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Nepoznato</w:t>
            </w:r>
          </w:p>
        </w:tc>
        <w:tc>
          <w:tcPr>
            <w:tcW w:w="1610" w:type="dxa"/>
            <w:shd w:val="clear" w:color="auto" w:fill="auto"/>
          </w:tcPr>
          <w:p w14:paraId="319EAA2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28425650" w14:textId="77777777">
        <w:tc>
          <w:tcPr>
            <w:tcW w:w="1998" w:type="dxa"/>
            <w:vMerge w:val="restart"/>
            <w:shd w:val="clear" w:color="auto" w:fill="auto"/>
          </w:tcPr>
          <w:p w14:paraId="1A2D4E97"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Poremećaji</w:t>
            </w:r>
          </w:p>
          <w:p w14:paraId="572CBAF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mišićnoskeletnog,</w:t>
            </w:r>
          </w:p>
          <w:p w14:paraId="6A0D73D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vezivnog i</w:t>
            </w:r>
          </w:p>
          <w:p w14:paraId="2121DE5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 xml:space="preserve">koštanog tkiva </w:t>
            </w:r>
          </w:p>
        </w:tc>
        <w:tc>
          <w:tcPr>
            <w:tcW w:w="1958" w:type="dxa"/>
            <w:shd w:val="clear" w:color="auto" w:fill="auto"/>
          </w:tcPr>
          <w:p w14:paraId="2B5B844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Artralgija</w:t>
            </w:r>
          </w:p>
        </w:tc>
        <w:tc>
          <w:tcPr>
            <w:tcW w:w="2111" w:type="dxa"/>
            <w:shd w:val="clear" w:color="auto" w:fill="auto"/>
          </w:tcPr>
          <w:p w14:paraId="70EE550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024016E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6FBC5CD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2C87626E" w14:textId="77777777">
        <w:tc>
          <w:tcPr>
            <w:tcW w:w="1998" w:type="dxa"/>
            <w:vMerge/>
            <w:shd w:val="clear" w:color="auto" w:fill="auto"/>
          </w:tcPr>
          <w:p w14:paraId="13F5FA15"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5E87A1E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Bol u leđima</w:t>
            </w:r>
          </w:p>
        </w:tc>
        <w:tc>
          <w:tcPr>
            <w:tcW w:w="2111" w:type="dxa"/>
            <w:shd w:val="clear" w:color="auto" w:fill="auto"/>
          </w:tcPr>
          <w:p w14:paraId="145A6C6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6BFCF38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6217222F"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7424164F" w14:textId="77777777">
        <w:tc>
          <w:tcPr>
            <w:tcW w:w="1998" w:type="dxa"/>
            <w:vMerge/>
            <w:shd w:val="clear" w:color="auto" w:fill="auto"/>
          </w:tcPr>
          <w:p w14:paraId="60D7EB61"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566DC4C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Oticanje zglobova</w:t>
            </w:r>
          </w:p>
        </w:tc>
        <w:tc>
          <w:tcPr>
            <w:tcW w:w="2111" w:type="dxa"/>
            <w:shd w:val="clear" w:color="auto" w:fill="auto"/>
          </w:tcPr>
          <w:p w14:paraId="4C22C64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6D1D96A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2328ED4B"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173B1400" w14:textId="77777777">
        <w:tc>
          <w:tcPr>
            <w:tcW w:w="1998" w:type="dxa"/>
            <w:vMerge/>
            <w:shd w:val="clear" w:color="auto" w:fill="auto"/>
          </w:tcPr>
          <w:p w14:paraId="2778BA27"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5D8A41E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Spazam mišića</w:t>
            </w:r>
          </w:p>
        </w:tc>
        <w:tc>
          <w:tcPr>
            <w:tcW w:w="2111" w:type="dxa"/>
            <w:shd w:val="clear" w:color="auto" w:fill="auto"/>
          </w:tcPr>
          <w:p w14:paraId="1C0F560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Rijetko</w:t>
            </w:r>
          </w:p>
        </w:tc>
        <w:tc>
          <w:tcPr>
            <w:tcW w:w="1610" w:type="dxa"/>
            <w:shd w:val="clear" w:color="auto" w:fill="auto"/>
          </w:tcPr>
          <w:p w14:paraId="1363D78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784F59F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46DF9C64" w14:textId="77777777">
        <w:tc>
          <w:tcPr>
            <w:tcW w:w="1998" w:type="dxa"/>
            <w:vMerge/>
            <w:shd w:val="clear" w:color="auto" w:fill="auto"/>
          </w:tcPr>
          <w:p w14:paraId="507B118D"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1C5D27FD"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Mijalgija</w:t>
            </w:r>
          </w:p>
        </w:tc>
        <w:tc>
          <w:tcPr>
            <w:tcW w:w="2111" w:type="dxa"/>
            <w:shd w:val="clear" w:color="auto" w:fill="auto"/>
          </w:tcPr>
          <w:p w14:paraId="3CD3DF9D"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2736678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6D2F33B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Nepoznato</w:t>
            </w:r>
          </w:p>
        </w:tc>
      </w:tr>
      <w:tr w:rsidR="00EA6F00" w:rsidRPr="00B36BCA" w14:paraId="0EF91636" w14:textId="77777777">
        <w:tc>
          <w:tcPr>
            <w:tcW w:w="1998" w:type="dxa"/>
            <w:vMerge/>
            <w:shd w:val="clear" w:color="auto" w:fill="auto"/>
          </w:tcPr>
          <w:p w14:paraId="0B7F8910"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36B9F16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Oticanje gležnjeva</w:t>
            </w:r>
          </w:p>
        </w:tc>
        <w:tc>
          <w:tcPr>
            <w:tcW w:w="2111" w:type="dxa"/>
            <w:shd w:val="clear" w:color="auto" w:fill="auto"/>
          </w:tcPr>
          <w:p w14:paraId="166E8D9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2A3A311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Često</w:t>
            </w:r>
          </w:p>
        </w:tc>
        <w:tc>
          <w:tcPr>
            <w:tcW w:w="1610" w:type="dxa"/>
            <w:shd w:val="clear" w:color="auto" w:fill="auto"/>
          </w:tcPr>
          <w:p w14:paraId="157A46C1"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2AFB1D7F" w14:textId="77777777">
        <w:tc>
          <w:tcPr>
            <w:tcW w:w="1998" w:type="dxa"/>
            <w:vMerge/>
            <w:shd w:val="clear" w:color="auto" w:fill="auto"/>
          </w:tcPr>
          <w:p w14:paraId="04D5BCA9"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16B344DD"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Osjećaj težine</w:t>
            </w:r>
          </w:p>
        </w:tc>
        <w:tc>
          <w:tcPr>
            <w:tcW w:w="2111" w:type="dxa"/>
            <w:shd w:val="clear" w:color="auto" w:fill="auto"/>
          </w:tcPr>
          <w:p w14:paraId="76657EDD"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Rijetko</w:t>
            </w:r>
          </w:p>
        </w:tc>
        <w:tc>
          <w:tcPr>
            <w:tcW w:w="1610" w:type="dxa"/>
            <w:shd w:val="clear" w:color="auto" w:fill="auto"/>
          </w:tcPr>
          <w:p w14:paraId="2EC0E76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397A7C30"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7252F8DE" w14:textId="77777777">
        <w:tc>
          <w:tcPr>
            <w:tcW w:w="1998" w:type="dxa"/>
            <w:vMerge w:val="restart"/>
            <w:shd w:val="clear" w:color="auto" w:fill="auto"/>
          </w:tcPr>
          <w:p w14:paraId="7EA765BA"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Poremećaji bubrega i</w:t>
            </w:r>
          </w:p>
          <w:p w14:paraId="76F6938B"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urinarnog</w:t>
            </w:r>
          </w:p>
          <w:p w14:paraId="6C8728D0"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sistema</w:t>
            </w:r>
          </w:p>
        </w:tc>
        <w:tc>
          <w:tcPr>
            <w:tcW w:w="1958" w:type="dxa"/>
            <w:shd w:val="clear" w:color="auto" w:fill="auto"/>
          </w:tcPr>
          <w:p w14:paraId="1835B45E"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Povišen kreatinin u krvi</w:t>
            </w:r>
          </w:p>
        </w:tc>
        <w:tc>
          <w:tcPr>
            <w:tcW w:w="2111" w:type="dxa"/>
            <w:shd w:val="clear" w:color="auto" w:fill="auto"/>
          </w:tcPr>
          <w:p w14:paraId="5F5536EA"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632894C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26DFC9F1"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Nepoznato</w:t>
            </w:r>
          </w:p>
        </w:tc>
      </w:tr>
      <w:tr w:rsidR="00EA6F00" w:rsidRPr="00B36BCA" w14:paraId="0410E555" w14:textId="77777777">
        <w:tc>
          <w:tcPr>
            <w:tcW w:w="1998" w:type="dxa"/>
            <w:vMerge/>
            <w:shd w:val="clear" w:color="auto" w:fill="auto"/>
          </w:tcPr>
          <w:p w14:paraId="74224013"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61011A9A"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Poremećaj mokrenja</w:t>
            </w:r>
          </w:p>
        </w:tc>
        <w:tc>
          <w:tcPr>
            <w:tcW w:w="2111" w:type="dxa"/>
            <w:shd w:val="clear" w:color="auto" w:fill="auto"/>
          </w:tcPr>
          <w:p w14:paraId="02666FF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2EE257C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3C4D7F1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33B467EE" w14:textId="77777777">
        <w:tc>
          <w:tcPr>
            <w:tcW w:w="1998" w:type="dxa"/>
            <w:vMerge/>
            <w:shd w:val="clear" w:color="auto" w:fill="auto"/>
          </w:tcPr>
          <w:p w14:paraId="173A90CC"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3CD1AE50"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Nokturija</w:t>
            </w:r>
          </w:p>
        </w:tc>
        <w:tc>
          <w:tcPr>
            <w:tcW w:w="2111" w:type="dxa"/>
            <w:shd w:val="clear" w:color="auto" w:fill="auto"/>
          </w:tcPr>
          <w:p w14:paraId="5319027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01813D9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5623BA71"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17FB7FD1" w14:textId="77777777">
        <w:tc>
          <w:tcPr>
            <w:tcW w:w="1998" w:type="dxa"/>
            <w:vMerge/>
            <w:shd w:val="clear" w:color="auto" w:fill="auto"/>
          </w:tcPr>
          <w:p w14:paraId="2B03E377"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4F3A031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Polakiurija</w:t>
            </w:r>
          </w:p>
        </w:tc>
        <w:tc>
          <w:tcPr>
            <w:tcW w:w="2111" w:type="dxa"/>
            <w:shd w:val="clear" w:color="auto" w:fill="auto"/>
          </w:tcPr>
          <w:p w14:paraId="7F94EE9A"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Rijetko</w:t>
            </w:r>
          </w:p>
        </w:tc>
        <w:tc>
          <w:tcPr>
            <w:tcW w:w="1610" w:type="dxa"/>
            <w:shd w:val="clear" w:color="auto" w:fill="auto"/>
          </w:tcPr>
          <w:p w14:paraId="0F92901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04ADBB6A"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19C3FA33" w14:textId="77777777">
        <w:tc>
          <w:tcPr>
            <w:tcW w:w="1998" w:type="dxa"/>
            <w:vMerge/>
            <w:shd w:val="clear" w:color="auto" w:fill="auto"/>
          </w:tcPr>
          <w:p w14:paraId="26633225"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4687784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Poliurija</w:t>
            </w:r>
          </w:p>
        </w:tc>
        <w:tc>
          <w:tcPr>
            <w:tcW w:w="2111" w:type="dxa"/>
            <w:shd w:val="clear" w:color="auto" w:fill="auto"/>
          </w:tcPr>
          <w:p w14:paraId="561E168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Rijetko</w:t>
            </w:r>
          </w:p>
        </w:tc>
        <w:tc>
          <w:tcPr>
            <w:tcW w:w="1610" w:type="dxa"/>
            <w:shd w:val="clear" w:color="auto" w:fill="auto"/>
          </w:tcPr>
          <w:p w14:paraId="5B5337F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229719C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7F6AAA8E" w14:textId="77777777">
        <w:tc>
          <w:tcPr>
            <w:tcW w:w="1998" w:type="dxa"/>
            <w:vMerge/>
            <w:shd w:val="clear" w:color="auto" w:fill="auto"/>
          </w:tcPr>
          <w:p w14:paraId="0E623E63"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6A0016DB"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Insuficijencija i oštećenje bubrega</w:t>
            </w:r>
          </w:p>
        </w:tc>
        <w:tc>
          <w:tcPr>
            <w:tcW w:w="2111" w:type="dxa"/>
            <w:shd w:val="clear" w:color="auto" w:fill="auto"/>
          </w:tcPr>
          <w:p w14:paraId="2079C6EC"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7AD10CC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40E3D4E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Nepoznato</w:t>
            </w:r>
          </w:p>
        </w:tc>
      </w:tr>
      <w:tr w:rsidR="00EA6F00" w:rsidRPr="00B36BCA" w14:paraId="0B861A8F" w14:textId="77777777">
        <w:tc>
          <w:tcPr>
            <w:tcW w:w="1998" w:type="dxa"/>
            <w:vMerge w:val="restart"/>
            <w:shd w:val="clear" w:color="auto" w:fill="auto"/>
          </w:tcPr>
          <w:p w14:paraId="3A1DFC3A"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Poremećaji</w:t>
            </w:r>
          </w:p>
          <w:p w14:paraId="2B62139D"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reproduktivnog</w:t>
            </w:r>
          </w:p>
          <w:p w14:paraId="6C974001"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sistema i dojki</w:t>
            </w:r>
          </w:p>
        </w:tc>
        <w:tc>
          <w:tcPr>
            <w:tcW w:w="1958" w:type="dxa"/>
            <w:shd w:val="clear" w:color="auto" w:fill="auto"/>
          </w:tcPr>
          <w:p w14:paraId="017F5BA1"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Impotencija</w:t>
            </w:r>
          </w:p>
        </w:tc>
        <w:tc>
          <w:tcPr>
            <w:tcW w:w="2111" w:type="dxa"/>
            <w:shd w:val="clear" w:color="auto" w:fill="auto"/>
          </w:tcPr>
          <w:p w14:paraId="0DEAED4F"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089E9D8F"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480F3C3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5B9E1721" w14:textId="77777777">
        <w:tc>
          <w:tcPr>
            <w:tcW w:w="1998" w:type="dxa"/>
            <w:vMerge/>
            <w:shd w:val="clear" w:color="auto" w:fill="auto"/>
          </w:tcPr>
          <w:p w14:paraId="32B59274"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7AC02FF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 xml:space="preserve">Erektilna disfunkcija </w:t>
            </w:r>
          </w:p>
        </w:tc>
        <w:tc>
          <w:tcPr>
            <w:tcW w:w="2111" w:type="dxa"/>
            <w:shd w:val="clear" w:color="auto" w:fill="auto"/>
          </w:tcPr>
          <w:p w14:paraId="39FC65E1"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Rijetko</w:t>
            </w:r>
          </w:p>
        </w:tc>
        <w:tc>
          <w:tcPr>
            <w:tcW w:w="1610" w:type="dxa"/>
            <w:shd w:val="clear" w:color="auto" w:fill="auto"/>
          </w:tcPr>
          <w:p w14:paraId="22DD321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1AD795E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2CFD07FB" w14:textId="77777777">
        <w:tc>
          <w:tcPr>
            <w:tcW w:w="1998" w:type="dxa"/>
            <w:vMerge/>
            <w:shd w:val="clear" w:color="auto" w:fill="auto"/>
          </w:tcPr>
          <w:p w14:paraId="5AEA3BE1"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6708205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Ginekomastija</w:t>
            </w:r>
          </w:p>
        </w:tc>
        <w:tc>
          <w:tcPr>
            <w:tcW w:w="2111" w:type="dxa"/>
            <w:shd w:val="clear" w:color="auto" w:fill="auto"/>
          </w:tcPr>
          <w:p w14:paraId="3DCDC89B"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1A95A6B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7A29B47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1556DFA8" w14:textId="77777777">
        <w:tc>
          <w:tcPr>
            <w:tcW w:w="1998" w:type="dxa"/>
            <w:vMerge w:val="restart"/>
            <w:shd w:val="clear" w:color="auto" w:fill="auto"/>
          </w:tcPr>
          <w:p w14:paraId="0227FE6E"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Opšti poremećaji</w:t>
            </w:r>
          </w:p>
          <w:p w14:paraId="5358780F"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i reakcije na</w:t>
            </w:r>
          </w:p>
          <w:p w14:paraId="0402B6D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mjestu primjene</w:t>
            </w:r>
          </w:p>
        </w:tc>
        <w:tc>
          <w:tcPr>
            <w:tcW w:w="1958" w:type="dxa"/>
            <w:shd w:val="clear" w:color="auto" w:fill="auto"/>
          </w:tcPr>
          <w:p w14:paraId="772D02F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Astenija</w:t>
            </w:r>
          </w:p>
        </w:tc>
        <w:tc>
          <w:tcPr>
            <w:tcW w:w="2111" w:type="dxa"/>
            <w:shd w:val="clear" w:color="auto" w:fill="auto"/>
          </w:tcPr>
          <w:p w14:paraId="14D8762F"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Često</w:t>
            </w:r>
          </w:p>
        </w:tc>
        <w:tc>
          <w:tcPr>
            <w:tcW w:w="1610" w:type="dxa"/>
            <w:shd w:val="clear" w:color="auto" w:fill="auto"/>
          </w:tcPr>
          <w:p w14:paraId="4F3AADA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1924016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68C2BAE0" w14:textId="77777777">
        <w:tc>
          <w:tcPr>
            <w:tcW w:w="1998" w:type="dxa"/>
            <w:vMerge/>
            <w:shd w:val="clear" w:color="auto" w:fill="auto"/>
          </w:tcPr>
          <w:p w14:paraId="40CEE096"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5B8AA8F1"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Nelagoda, malaksalost</w:t>
            </w:r>
          </w:p>
        </w:tc>
        <w:tc>
          <w:tcPr>
            <w:tcW w:w="2111" w:type="dxa"/>
            <w:shd w:val="clear" w:color="auto" w:fill="auto"/>
          </w:tcPr>
          <w:p w14:paraId="7180063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577B053B"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25848A8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6BBEC4B0" w14:textId="77777777">
        <w:tc>
          <w:tcPr>
            <w:tcW w:w="1998" w:type="dxa"/>
            <w:vMerge/>
            <w:shd w:val="clear" w:color="auto" w:fill="auto"/>
          </w:tcPr>
          <w:p w14:paraId="118803D0"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2A06ED4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Umor</w:t>
            </w:r>
          </w:p>
        </w:tc>
        <w:tc>
          <w:tcPr>
            <w:tcW w:w="2111" w:type="dxa"/>
            <w:shd w:val="clear" w:color="auto" w:fill="auto"/>
          </w:tcPr>
          <w:p w14:paraId="66C95E6F"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Često</w:t>
            </w:r>
          </w:p>
        </w:tc>
        <w:tc>
          <w:tcPr>
            <w:tcW w:w="1610" w:type="dxa"/>
            <w:shd w:val="clear" w:color="auto" w:fill="auto"/>
          </w:tcPr>
          <w:p w14:paraId="5638B78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Često</w:t>
            </w:r>
          </w:p>
        </w:tc>
        <w:tc>
          <w:tcPr>
            <w:tcW w:w="1610" w:type="dxa"/>
            <w:shd w:val="clear" w:color="auto" w:fill="auto"/>
          </w:tcPr>
          <w:p w14:paraId="58E5321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r>
      <w:tr w:rsidR="00EA6F00" w:rsidRPr="00B36BCA" w14:paraId="0D22DC98" w14:textId="77777777">
        <w:tc>
          <w:tcPr>
            <w:tcW w:w="1998" w:type="dxa"/>
            <w:vMerge/>
            <w:shd w:val="clear" w:color="auto" w:fill="auto"/>
          </w:tcPr>
          <w:p w14:paraId="108C8036"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791F5D3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Facijalni edem</w:t>
            </w:r>
          </w:p>
        </w:tc>
        <w:tc>
          <w:tcPr>
            <w:tcW w:w="2111" w:type="dxa"/>
            <w:shd w:val="clear" w:color="auto" w:fill="auto"/>
          </w:tcPr>
          <w:p w14:paraId="43484A1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Često</w:t>
            </w:r>
          </w:p>
        </w:tc>
        <w:tc>
          <w:tcPr>
            <w:tcW w:w="1610" w:type="dxa"/>
            <w:shd w:val="clear" w:color="auto" w:fill="auto"/>
          </w:tcPr>
          <w:p w14:paraId="474F544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4960442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0B8B032C" w14:textId="77777777">
        <w:tc>
          <w:tcPr>
            <w:tcW w:w="1998" w:type="dxa"/>
            <w:vMerge/>
            <w:shd w:val="clear" w:color="auto" w:fill="auto"/>
          </w:tcPr>
          <w:p w14:paraId="0D755996"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69FA82F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Crvenilo uz osjećaj vrućine, valunzi</w:t>
            </w:r>
          </w:p>
        </w:tc>
        <w:tc>
          <w:tcPr>
            <w:tcW w:w="2111" w:type="dxa"/>
            <w:shd w:val="clear" w:color="auto" w:fill="auto"/>
          </w:tcPr>
          <w:p w14:paraId="4A7F35C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Često</w:t>
            </w:r>
          </w:p>
        </w:tc>
        <w:tc>
          <w:tcPr>
            <w:tcW w:w="1610" w:type="dxa"/>
            <w:shd w:val="clear" w:color="auto" w:fill="auto"/>
          </w:tcPr>
          <w:p w14:paraId="0D3E799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30CB8A7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2D40BAC3" w14:textId="77777777">
        <w:tc>
          <w:tcPr>
            <w:tcW w:w="1998" w:type="dxa"/>
            <w:vMerge/>
            <w:shd w:val="clear" w:color="auto" w:fill="auto"/>
          </w:tcPr>
          <w:p w14:paraId="6F055499"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3A8B5277"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Bol u prsima koja nije povezana sa srcem</w:t>
            </w:r>
          </w:p>
        </w:tc>
        <w:tc>
          <w:tcPr>
            <w:tcW w:w="2111" w:type="dxa"/>
            <w:shd w:val="clear" w:color="auto" w:fill="auto"/>
          </w:tcPr>
          <w:p w14:paraId="0DE773D4"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0353424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2C21F1A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6FD85555" w14:textId="77777777">
        <w:tc>
          <w:tcPr>
            <w:tcW w:w="1998" w:type="dxa"/>
            <w:vMerge/>
            <w:shd w:val="clear" w:color="auto" w:fill="auto"/>
          </w:tcPr>
          <w:p w14:paraId="27499791"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4D486F8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Edem</w:t>
            </w:r>
          </w:p>
        </w:tc>
        <w:tc>
          <w:tcPr>
            <w:tcW w:w="2111" w:type="dxa"/>
            <w:shd w:val="clear" w:color="auto" w:fill="auto"/>
          </w:tcPr>
          <w:p w14:paraId="6EEAEC9F"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Često</w:t>
            </w:r>
          </w:p>
        </w:tc>
        <w:tc>
          <w:tcPr>
            <w:tcW w:w="1610" w:type="dxa"/>
            <w:shd w:val="clear" w:color="auto" w:fill="auto"/>
          </w:tcPr>
          <w:p w14:paraId="45848F8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Često</w:t>
            </w:r>
          </w:p>
        </w:tc>
        <w:tc>
          <w:tcPr>
            <w:tcW w:w="1610" w:type="dxa"/>
            <w:shd w:val="clear" w:color="auto" w:fill="auto"/>
          </w:tcPr>
          <w:p w14:paraId="0982894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3546B824" w14:textId="77777777">
        <w:tc>
          <w:tcPr>
            <w:tcW w:w="1998" w:type="dxa"/>
            <w:vMerge/>
            <w:shd w:val="clear" w:color="auto" w:fill="auto"/>
          </w:tcPr>
          <w:p w14:paraId="594E8C19"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35617C6A"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Periferni edemi</w:t>
            </w:r>
          </w:p>
        </w:tc>
        <w:tc>
          <w:tcPr>
            <w:tcW w:w="2111" w:type="dxa"/>
            <w:shd w:val="clear" w:color="auto" w:fill="auto"/>
          </w:tcPr>
          <w:p w14:paraId="77EEC67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Često</w:t>
            </w:r>
          </w:p>
        </w:tc>
        <w:tc>
          <w:tcPr>
            <w:tcW w:w="1610" w:type="dxa"/>
            <w:shd w:val="clear" w:color="auto" w:fill="auto"/>
          </w:tcPr>
          <w:p w14:paraId="1E40F33D"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3CC03890"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73B5BF77" w14:textId="77777777">
        <w:tc>
          <w:tcPr>
            <w:tcW w:w="1998" w:type="dxa"/>
            <w:vMerge/>
            <w:shd w:val="clear" w:color="auto" w:fill="auto"/>
          </w:tcPr>
          <w:p w14:paraId="75131005"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775A92F0"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Bol</w:t>
            </w:r>
          </w:p>
        </w:tc>
        <w:tc>
          <w:tcPr>
            <w:tcW w:w="2111" w:type="dxa"/>
            <w:shd w:val="clear" w:color="auto" w:fill="auto"/>
          </w:tcPr>
          <w:p w14:paraId="68C3FC9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41BE335A"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38C4DF4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365C29E0" w14:textId="77777777">
        <w:tc>
          <w:tcPr>
            <w:tcW w:w="1998" w:type="dxa"/>
            <w:vMerge/>
            <w:shd w:val="clear" w:color="auto" w:fill="auto"/>
          </w:tcPr>
          <w:p w14:paraId="1E7F25EE"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0EDECBF1"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Tjestasti edemi</w:t>
            </w:r>
          </w:p>
        </w:tc>
        <w:tc>
          <w:tcPr>
            <w:tcW w:w="2111" w:type="dxa"/>
            <w:shd w:val="clear" w:color="auto" w:fill="auto"/>
          </w:tcPr>
          <w:p w14:paraId="1442A40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Često</w:t>
            </w:r>
          </w:p>
        </w:tc>
        <w:tc>
          <w:tcPr>
            <w:tcW w:w="1610" w:type="dxa"/>
            <w:shd w:val="clear" w:color="auto" w:fill="auto"/>
          </w:tcPr>
          <w:p w14:paraId="5B9BABAF"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7E163E2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3D747760" w14:textId="77777777">
        <w:tc>
          <w:tcPr>
            <w:tcW w:w="1998" w:type="dxa"/>
            <w:vMerge w:val="restart"/>
            <w:shd w:val="clear" w:color="auto" w:fill="auto"/>
          </w:tcPr>
          <w:p w14:paraId="08BF5503"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Laboratorijska</w:t>
            </w:r>
          </w:p>
          <w:p w14:paraId="2F2D1760"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ispitivanja</w:t>
            </w:r>
          </w:p>
        </w:tc>
        <w:tc>
          <w:tcPr>
            <w:tcW w:w="1958" w:type="dxa"/>
            <w:shd w:val="clear" w:color="auto" w:fill="auto"/>
          </w:tcPr>
          <w:p w14:paraId="6FE69C0F"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Povišen kalijum u krvi</w:t>
            </w:r>
          </w:p>
        </w:tc>
        <w:tc>
          <w:tcPr>
            <w:tcW w:w="2111" w:type="dxa"/>
            <w:shd w:val="clear" w:color="auto" w:fill="auto"/>
          </w:tcPr>
          <w:p w14:paraId="7CFDD1A6"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3060C43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0B54560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Nepoznato</w:t>
            </w:r>
          </w:p>
        </w:tc>
      </w:tr>
      <w:tr w:rsidR="00EA6F00" w:rsidRPr="00B36BCA" w14:paraId="384BDD63" w14:textId="77777777">
        <w:tc>
          <w:tcPr>
            <w:tcW w:w="1998" w:type="dxa"/>
            <w:vMerge/>
            <w:shd w:val="clear" w:color="auto" w:fill="auto"/>
          </w:tcPr>
          <w:p w14:paraId="38145FE3"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00AF6248"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Povećanje tjelesne težine</w:t>
            </w:r>
          </w:p>
        </w:tc>
        <w:tc>
          <w:tcPr>
            <w:tcW w:w="2111" w:type="dxa"/>
            <w:shd w:val="clear" w:color="auto" w:fill="auto"/>
          </w:tcPr>
          <w:p w14:paraId="635A1D53"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1323E9B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63C9303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r w:rsidR="00EA6F00" w:rsidRPr="00B36BCA" w14:paraId="003BFC05" w14:textId="77777777">
        <w:tc>
          <w:tcPr>
            <w:tcW w:w="1998" w:type="dxa"/>
            <w:vMerge/>
            <w:shd w:val="clear" w:color="auto" w:fill="auto"/>
          </w:tcPr>
          <w:p w14:paraId="51790145" w14:textId="77777777" w:rsidR="00EA6F00" w:rsidRPr="00762596" w:rsidRDefault="00EA6F00">
            <w:pPr>
              <w:widowControl w:val="0"/>
              <w:autoSpaceDE w:val="0"/>
              <w:autoSpaceDN w:val="0"/>
              <w:adjustRightInd w:val="0"/>
              <w:jc w:val="both"/>
              <w:rPr>
                <w:szCs w:val="22"/>
                <w:lang w:val="sr-Latn-ME"/>
              </w:rPr>
            </w:pPr>
          </w:p>
        </w:tc>
        <w:tc>
          <w:tcPr>
            <w:tcW w:w="1958" w:type="dxa"/>
            <w:shd w:val="clear" w:color="auto" w:fill="auto"/>
          </w:tcPr>
          <w:p w14:paraId="2A3299E5" w14:textId="77777777" w:rsidR="00EA6F00" w:rsidRPr="00762596" w:rsidRDefault="00861C42" w:rsidP="00762596">
            <w:pPr>
              <w:widowControl w:val="0"/>
              <w:autoSpaceDE w:val="0"/>
              <w:autoSpaceDN w:val="0"/>
              <w:adjustRightInd w:val="0"/>
              <w:jc w:val="both"/>
              <w:rPr>
                <w:szCs w:val="22"/>
                <w:lang w:val="sr-Latn-ME"/>
              </w:rPr>
            </w:pPr>
            <w:r w:rsidRPr="00762596">
              <w:rPr>
                <w:szCs w:val="22"/>
                <w:lang w:val="sr-Latn-ME"/>
              </w:rPr>
              <w:t>Smanjenje tjelesne težine</w:t>
            </w:r>
          </w:p>
        </w:tc>
        <w:tc>
          <w:tcPr>
            <w:tcW w:w="2111" w:type="dxa"/>
            <w:shd w:val="clear" w:color="auto" w:fill="auto"/>
          </w:tcPr>
          <w:p w14:paraId="7246BA42"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w:t>
            </w:r>
          </w:p>
        </w:tc>
        <w:tc>
          <w:tcPr>
            <w:tcW w:w="1610" w:type="dxa"/>
            <w:shd w:val="clear" w:color="auto" w:fill="auto"/>
          </w:tcPr>
          <w:p w14:paraId="1E646E8A"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Povremeno</w:t>
            </w:r>
          </w:p>
        </w:tc>
        <w:tc>
          <w:tcPr>
            <w:tcW w:w="1610" w:type="dxa"/>
            <w:shd w:val="clear" w:color="auto" w:fill="auto"/>
          </w:tcPr>
          <w:p w14:paraId="0DF161A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w:t>
            </w:r>
          </w:p>
        </w:tc>
      </w:tr>
    </w:tbl>
    <w:p w14:paraId="183FEFB6"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 uglavnom upućuje na holestazu</w:t>
      </w:r>
    </w:p>
    <w:p w14:paraId="67DBCCD1" w14:textId="77777777" w:rsidR="00EA6F00" w:rsidRPr="00762596" w:rsidRDefault="00EA6F00">
      <w:pPr>
        <w:widowControl w:val="0"/>
        <w:autoSpaceDE w:val="0"/>
        <w:autoSpaceDN w:val="0"/>
        <w:adjustRightInd w:val="0"/>
        <w:jc w:val="both"/>
        <w:rPr>
          <w:szCs w:val="22"/>
          <w:u w:val="single"/>
          <w:lang w:val="sr-Latn-ME"/>
        </w:rPr>
      </w:pPr>
    </w:p>
    <w:p w14:paraId="764D62DE" w14:textId="77777777" w:rsidR="00EA6F00" w:rsidRPr="00762596" w:rsidRDefault="00861C42">
      <w:pPr>
        <w:widowControl w:val="0"/>
        <w:autoSpaceDE w:val="0"/>
        <w:autoSpaceDN w:val="0"/>
        <w:adjustRightInd w:val="0"/>
        <w:jc w:val="both"/>
        <w:rPr>
          <w:szCs w:val="22"/>
          <w:u w:val="single"/>
          <w:lang w:val="sr-Latn-ME"/>
        </w:rPr>
      </w:pPr>
      <w:r w:rsidRPr="00762596">
        <w:rPr>
          <w:szCs w:val="22"/>
          <w:u w:val="single"/>
          <w:lang w:val="sr-Latn-ME"/>
        </w:rPr>
        <w:t>Dodatne informacije o kombinaciji</w:t>
      </w:r>
    </w:p>
    <w:p w14:paraId="11D6D51D" w14:textId="77777777" w:rsidR="00EA6F00" w:rsidRPr="00762596" w:rsidRDefault="00EA6F00">
      <w:pPr>
        <w:widowControl w:val="0"/>
        <w:autoSpaceDE w:val="0"/>
        <w:autoSpaceDN w:val="0"/>
        <w:adjustRightInd w:val="0"/>
        <w:jc w:val="both"/>
        <w:rPr>
          <w:szCs w:val="22"/>
          <w:u w:val="single"/>
          <w:lang w:val="sr-Latn-ME"/>
        </w:rPr>
      </w:pPr>
    </w:p>
    <w:p w14:paraId="79BA73C0"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 xml:space="preserve">Periferni edem, kao poznato neželjeno dejstvo amlodipina, uopšteno je zapažen sa nižom incidencom </w:t>
      </w:r>
      <w:r w:rsidRPr="00762596">
        <w:rPr>
          <w:szCs w:val="22"/>
          <w:lang w:val="sr-Latn-ME"/>
        </w:rPr>
        <w:lastRenderedPageBreak/>
        <w:t>kod pacijenata koji su primali kombinaciju amlodipin/valsartan, nego kod onih koji su primali samo amlodipin. U dvostruko slijepim, kontrolisanim kliničkim ispitivanjima incidenca perifernih edema po dozi bila je sljedeća:</w:t>
      </w:r>
    </w:p>
    <w:p w14:paraId="00F79220" w14:textId="77777777" w:rsidR="00EA6F00" w:rsidRPr="00762596" w:rsidRDefault="00EA6F00">
      <w:pPr>
        <w:widowControl w:val="0"/>
        <w:autoSpaceDE w:val="0"/>
        <w:autoSpaceDN w:val="0"/>
        <w:adjustRightInd w:val="0"/>
        <w:jc w:val="both"/>
        <w:rPr>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1286"/>
        <w:gridCol w:w="1293"/>
        <w:gridCol w:w="1289"/>
        <w:gridCol w:w="1289"/>
        <w:gridCol w:w="1290"/>
        <w:gridCol w:w="1293"/>
      </w:tblGrid>
      <w:tr w:rsidR="00EA6F00" w:rsidRPr="00B36BCA" w14:paraId="41CF45DC" w14:textId="77777777">
        <w:tc>
          <w:tcPr>
            <w:tcW w:w="2652" w:type="dxa"/>
            <w:gridSpan w:val="2"/>
            <w:vMerge w:val="restart"/>
            <w:shd w:val="clear" w:color="auto" w:fill="auto"/>
          </w:tcPr>
          <w:p w14:paraId="34AD956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 pacijenata koji su imali periferni edem</w:t>
            </w:r>
          </w:p>
        </w:tc>
        <w:tc>
          <w:tcPr>
            <w:tcW w:w="6635" w:type="dxa"/>
            <w:gridSpan w:val="5"/>
            <w:shd w:val="clear" w:color="auto" w:fill="auto"/>
          </w:tcPr>
          <w:p w14:paraId="0248E6EA" w14:textId="77777777" w:rsidR="00EA6F00" w:rsidRPr="00762596" w:rsidRDefault="00861C42" w:rsidP="00762596">
            <w:pPr>
              <w:widowControl w:val="0"/>
              <w:autoSpaceDE w:val="0"/>
              <w:autoSpaceDN w:val="0"/>
              <w:adjustRightInd w:val="0"/>
              <w:jc w:val="both"/>
              <w:rPr>
                <w:b/>
                <w:szCs w:val="22"/>
                <w:lang w:val="sr-Latn-ME"/>
              </w:rPr>
            </w:pPr>
            <w:r w:rsidRPr="00762596">
              <w:rPr>
                <w:b/>
                <w:szCs w:val="22"/>
                <w:lang w:val="sr-Latn-ME"/>
              </w:rPr>
              <w:t>Valsartan (mg)</w:t>
            </w:r>
          </w:p>
        </w:tc>
      </w:tr>
      <w:tr w:rsidR="00EA6F00" w:rsidRPr="00B36BCA" w14:paraId="4FE30928" w14:textId="77777777">
        <w:tc>
          <w:tcPr>
            <w:tcW w:w="2652" w:type="dxa"/>
            <w:gridSpan w:val="2"/>
            <w:vMerge/>
            <w:shd w:val="clear" w:color="auto" w:fill="auto"/>
          </w:tcPr>
          <w:p w14:paraId="47B7D683" w14:textId="77777777" w:rsidR="00EA6F00" w:rsidRPr="00762596" w:rsidRDefault="00EA6F00">
            <w:pPr>
              <w:widowControl w:val="0"/>
              <w:autoSpaceDE w:val="0"/>
              <w:autoSpaceDN w:val="0"/>
              <w:adjustRightInd w:val="0"/>
              <w:jc w:val="both"/>
              <w:rPr>
                <w:szCs w:val="22"/>
                <w:lang w:val="sr-Latn-ME"/>
              </w:rPr>
            </w:pPr>
          </w:p>
        </w:tc>
        <w:tc>
          <w:tcPr>
            <w:tcW w:w="1327" w:type="dxa"/>
            <w:shd w:val="clear" w:color="auto" w:fill="auto"/>
          </w:tcPr>
          <w:p w14:paraId="72AD409F"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0</w:t>
            </w:r>
          </w:p>
        </w:tc>
        <w:tc>
          <w:tcPr>
            <w:tcW w:w="1327" w:type="dxa"/>
            <w:shd w:val="clear" w:color="auto" w:fill="auto"/>
          </w:tcPr>
          <w:p w14:paraId="7B94F63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40</w:t>
            </w:r>
          </w:p>
        </w:tc>
        <w:tc>
          <w:tcPr>
            <w:tcW w:w="1327" w:type="dxa"/>
            <w:shd w:val="clear" w:color="auto" w:fill="auto"/>
          </w:tcPr>
          <w:p w14:paraId="1CB68FE6"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80</w:t>
            </w:r>
          </w:p>
        </w:tc>
        <w:tc>
          <w:tcPr>
            <w:tcW w:w="1327" w:type="dxa"/>
            <w:shd w:val="clear" w:color="auto" w:fill="auto"/>
          </w:tcPr>
          <w:p w14:paraId="22BB1E0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160</w:t>
            </w:r>
          </w:p>
        </w:tc>
        <w:tc>
          <w:tcPr>
            <w:tcW w:w="1327" w:type="dxa"/>
            <w:shd w:val="clear" w:color="auto" w:fill="auto"/>
          </w:tcPr>
          <w:p w14:paraId="7F7BEA9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320</w:t>
            </w:r>
          </w:p>
        </w:tc>
      </w:tr>
      <w:tr w:rsidR="00EA6F00" w:rsidRPr="00B36BCA" w14:paraId="10B3E10B" w14:textId="77777777">
        <w:tc>
          <w:tcPr>
            <w:tcW w:w="1326" w:type="dxa"/>
            <w:vMerge w:val="restart"/>
            <w:shd w:val="clear" w:color="auto" w:fill="auto"/>
          </w:tcPr>
          <w:p w14:paraId="53E311D5" w14:textId="77777777" w:rsidR="00EA6F00" w:rsidRPr="00762596" w:rsidRDefault="00861C42" w:rsidP="00B36BCA">
            <w:pPr>
              <w:widowControl w:val="0"/>
              <w:autoSpaceDE w:val="0"/>
              <w:autoSpaceDN w:val="0"/>
              <w:adjustRightInd w:val="0"/>
              <w:jc w:val="both"/>
              <w:rPr>
                <w:b/>
                <w:szCs w:val="22"/>
                <w:lang w:val="sr-Latn-ME"/>
              </w:rPr>
            </w:pPr>
            <w:r w:rsidRPr="00762596">
              <w:rPr>
                <w:b/>
                <w:szCs w:val="22"/>
                <w:lang w:val="sr-Latn-ME"/>
              </w:rPr>
              <w:t>Amlodipin (mg)</w:t>
            </w:r>
          </w:p>
        </w:tc>
        <w:tc>
          <w:tcPr>
            <w:tcW w:w="1326" w:type="dxa"/>
            <w:shd w:val="clear" w:color="auto" w:fill="auto"/>
          </w:tcPr>
          <w:p w14:paraId="492FEB1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0</w:t>
            </w:r>
          </w:p>
        </w:tc>
        <w:tc>
          <w:tcPr>
            <w:tcW w:w="1327" w:type="dxa"/>
            <w:shd w:val="clear" w:color="auto" w:fill="auto"/>
          </w:tcPr>
          <w:p w14:paraId="4E5B0C4D"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3,0</w:t>
            </w:r>
          </w:p>
        </w:tc>
        <w:tc>
          <w:tcPr>
            <w:tcW w:w="1327" w:type="dxa"/>
            <w:shd w:val="clear" w:color="auto" w:fill="auto"/>
          </w:tcPr>
          <w:p w14:paraId="15F3C73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5,5</w:t>
            </w:r>
          </w:p>
        </w:tc>
        <w:tc>
          <w:tcPr>
            <w:tcW w:w="1327" w:type="dxa"/>
            <w:shd w:val="clear" w:color="auto" w:fill="auto"/>
          </w:tcPr>
          <w:p w14:paraId="442EF36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2,4</w:t>
            </w:r>
          </w:p>
        </w:tc>
        <w:tc>
          <w:tcPr>
            <w:tcW w:w="1327" w:type="dxa"/>
            <w:shd w:val="clear" w:color="auto" w:fill="auto"/>
          </w:tcPr>
          <w:p w14:paraId="583DAA5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1,6</w:t>
            </w:r>
          </w:p>
        </w:tc>
        <w:tc>
          <w:tcPr>
            <w:tcW w:w="1327" w:type="dxa"/>
            <w:shd w:val="clear" w:color="auto" w:fill="auto"/>
          </w:tcPr>
          <w:p w14:paraId="50BD7EB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0,90</w:t>
            </w:r>
          </w:p>
        </w:tc>
      </w:tr>
      <w:tr w:rsidR="00EA6F00" w:rsidRPr="00B36BCA" w14:paraId="65C5201A" w14:textId="77777777">
        <w:tc>
          <w:tcPr>
            <w:tcW w:w="1326" w:type="dxa"/>
            <w:vMerge/>
            <w:shd w:val="clear" w:color="auto" w:fill="auto"/>
          </w:tcPr>
          <w:p w14:paraId="5FCD284E" w14:textId="77777777" w:rsidR="00EA6F00" w:rsidRPr="00762596" w:rsidRDefault="00EA6F00">
            <w:pPr>
              <w:widowControl w:val="0"/>
              <w:autoSpaceDE w:val="0"/>
              <w:autoSpaceDN w:val="0"/>
              <w:adjustRightInd w:val="0"/>
              <w:jc w:val="both"/>
              <w:rPr>
                <w:szCs w:val="22"/>
                <w:lang w:val="sr-Latn-ME"/>
              </w:rPr>
            </w:pPr>
          </w:p>
        </w:tc>
        <w:tc>
          <w:tcPr>
            <w:tcW w:w="1326" w:type="dxa"/>
            <w:shd w:val="clear" w:color="auto" w:fill="auto"/>
          </w:tcPr>
          <w:p w14:paraId="5C9012D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2,5</w:t>
            </w:r>
          </w:p>
        </w:tc>
        <w:tc>
          <w:tcPr>
            <w:tcW w:w="1327" w:type="dxa"/>
            <w:shd w:val="clear" w:color="auto" w:fill="auto"/>
          </w:tcPr>
          <w:p w14:paraId="1E2FF8D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8,0</w:t>
            </w:r>
          </w:p>
        </w:tc>
        <w:tc>
          <w:tcPr>
            <w:tcW w:w="1327" w:type="dxa"/>
            <w:shd w:val="clear" w:color="auto" w:fill="auto"/>
          </w:tcPr>
          <w:p w14:paraId="316AC439"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2,3</w:t>
            </w:r>
          </w:p>
        </w:tc>
        <w:tc>
          <w:tcPr>
            <w:tcW w:w="1327" w:type="dxa"/>
            <w:shd w:val="clear" w:color="auto" w:fill="auto"/>
          </w:tcPr>
          <w:p w14:paraId="67F6904D"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5,4</w:t>
            </w:r>
          </w:p>
        </w:tc>
        <w:tc>
          <w:tcPr>
            <w:tcW w:w="1327" w:type="dxa"/>
            <w:shd w:val="clear" w:color="auto" w:fill="auto"/>
          </w:tcPr>
          <w:p w14:paraId="790AD2C1"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2,4</w:t>
            </w:r>
          </w:p>
        </w:tc>
        <w:tc>
          <w:tcPr>
            <w:tcW w:w="1327" w:type="dxa"/>
            <w:shd w:val="clear" w:color="auto" w:fill="auto"/>
          </w:tcPr>
          <w:p w14:paraId="2F442ED3"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3,9</w:t>
            </w:r>
          </w:p>
        </w:tc>
      </w:tr>
      <w:tr w:rsidR="00EA6F00" w:rsidRPr="00B36BCA" w14:paraId="50F5CC44" w14:textId="77777777">
        <w:tc>
          <w:tcPr>
            <w:tcW w:w="1326" w:type="dxa"/>
            <w:vMerge/>
            <w:shd w:val="clear" w:color="auto" w:fill="auto"/>
          </w:tcPr>
          <w:p w14:paraId="566D8246" w14:textId="77777777" w:rsidR="00EA6F00" w:rsidRPr="00762596" w:rsidRDefault="00EA6F00">
            <w:pPr>
              <w:widowControl w:val="0"/>
              <w:autoSpaceDE w:val="0"/>
              <w:autoSpaceDN w:val="0"/>
              <w:adjustRightInd w:val="0"/>
              <w:jc w:val="both"/>
              <w:rPr>
                <w:szCs w:val="22"/>
                <w:lang w:val="sr-Latn-ME"/>
              </w:rPr>
            </w:pPr>
          </w:p>
        </w:tc>
        <w:tc>
          <w:tcPr>
            <w:tcW w:w="1326" w:type="dxa"/>
            <w:shd w:val="clear" w:color="auto" w:fill="auto"/>
          </w:tcPr>
          <w:p w14:paraId="422BA8C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5</w:t>
            </w:r>
          </w:p>
        </w:tc>
        <w:tc>
          <w:tcPr>
            <w:tcW w:w="1327" w:type="dxa"/>
            <w:shd w:val="clear" w:color="auto" w:fill="auto"/>
          </w:tcPr>
          <w:p w14:paraId="1FF76D22"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3,1</w:t>
            </w:r>
          </w:p>
        </w:tc>
        <w:tc>
          <w:tcPr>
            <w:tcW w:w="1327" w:type="dxa"/>
            <w:shd w:val="clear" w:color="auto" w:fill="auto"/>
          </w:tcPr>
          <w:p w14:paraId="72226EB7"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4,8</w:t>
            </w:r>
          </w:p>
        </w:tc>
        <w:tc>
          <w:tcPr>
            <w:tcW w:w="1327" w:type="dxa"/>
            <w:shd w:val="clear" w:color="auto" w:fill="auto"/>
          </w:tcPr>
          <w:p w14:paraId="2DFE599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2,3</w:t>
            </w:r>
          </w:p>
        </w:tc>
        <w:tc>
          <w:tcPr>
            <w:tcW w:w="1327" w:type="dxa"/>
            <w:shd w:val="clear" w:color="auto" w:fill="auto"/>
          </w:tcPr>
          <w:p w14:paraId="11C0D50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2,1</w:t>
            </w:r>
          </w:p>
        </w:tc>
        <w:tc>
          <w:tcPr>
            <w:tcW w:w="1327" w:type="dxa"/>
            <w:shd w:val="clear" w:color="auto" w:fill="auto"/>
          </w:tcPr>
          <w:p w14:paraId="2DB9EE40"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2,4</w:t>
            </w:r>
          </w:p>
        </w:tc>
      </w:tr>
      <w:tr w:rsidR="00EA6F00" w:rsidRPr="00B36BCA" w14:paraId="0E6C2B9B" w14:textId="77777777">
        <w:tc>
          <w:tcPr>
            <w:tcW w:w="1326" w:type="dxa"/>
            <w:vMerge/>
            <w:shd w:val="clear" w:color="auto" w:fill="auto"/>
          </w:tcPr>
          <w:p w14:paraId="00AA1D55" w14:textId="77777777" w:rsidR="00EA6F00" w:rsidRPr="00762596" w:rsidRDefault="00EA6F00">
            <w:pPr>
              <w:widowControl w:val="0"/>
              <w:autoSpaceDE w:val="0"/>
              <w:autoSpaceDN w:val="0"/>
              <w:adjustRightInd w:val="0"/>
              <w:jc w:val="both"/>
              <w:rPr>
                <w:szCs w:val="22"/>
                <w:lang w:val="sr-Latn-ME"/>
              </w:rPr>
            </w:pPr>
          </w:p>
        </w:tc>
        <w:tc>
          <w:tcPr>
            <w:tcW w:w="1326" w:type="dxa"/>
            <w:shd w:val="clear" w:color="auto" w:fill="auto"/>
          </w:tcPr>
          <w:p w14:paraId="1933E41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10</w:t>
            </w:r>
          </w:p>
        </w:tc>
        <w:tc>
          <w:tcPr>
            <w:tcW w:w="1327" w:type="dxa"/>
            <w:shd w:val="clear" w:color="auto" w:fill="auto"/>
          </w:tcPr>
          <w:p w14:paraId="76C18E75"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10,3</w:t>
            </w:r>
          </w:p>
        </w:tc>
        <w:tc>
          <w:tcPr>
            <w:tcW w:w="1327" w:type="dxa"/>
            <w:shd w:val="clear" w:color="auto" w:fill="auto"/>
          </w:tcPr>
          <w:p w14:paraId="7A8316DF"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NA</w:t>
            </w:r>
          </w:p>
        </w:tc>
        <w:tc>
          <w:tcPr>
            <w:tcW w:w="1327" w:type="dxa"/>
            <w:shd w:val="clear" w:color="auto" w:fill="auto"/>
          </w:tcPr>
          <w:p w14:paraId="1211750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NA</w:t>
            </w:r>
          </w:p>
        </w:tc>
        <w:tc>
          <w:tcPr>
            <w:tcW w:w="1327" w:type="dxa"/>
            <w:shd w:val="clear" w:color="auto" w:fill="auto"/>
          </w:tcPr>
          <w:p w14:paraId="42C4604B"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9,0</w:t>
            </w:r>
          </w:p>
        </w:tc>
        <w:tc>
          <w:tcPr>
            <w:tcW w:w="1327" w:type="dxa"/>
            <w:shd w:val="clear" w:color="auto" w:fill="auto"/>
          </w:tcPr>
          <w:p w14:paraId="02AEFEA8"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9,5</w:t>
            </w:r>
          </w:p>
        </w:tc>
      </w:tr>
    </w:tbl>
    <w:p w14:paraId="66D1921B" w14:textId="77777777" w:rsidR="00EA6F00" w:rsidRPr="00762596" w:rsidRDefault="00EA6F00" w:rsidP="00B36BCA">
      <w:pPr>
        <w:widowControl w:val="0"/>
        <w:autoSpaceDE w:val="0"/>
        <w:autoSpaceDN w:val="0"/>
        <w:adjustRightInd w:val="0"/>
        <w:jc w:val="both"/>
        <w:rPr>
          <w:szCs w:val="22"/>
          <w:lang w:val="sr-Latn-ME"/>
        </w:rPr>
      </w:pPr>
    </w:p>
    <w:p w14:paraId="10DEFA84"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Srednja vrijednost incidencije perifernog edema ravnomjerno raspoređena po svim dozama bila je 5,1% kod kombinacije amlodipin/valsartan.</w:t>
      </w:r>
    </w:p>
    <w:p w14:paraId="553D5239" w14:textId="77777777" w:rsidR="00EA6F00" w:rsidRPr="00762596" w:rsidRDefault="00EA6F00">
      <w:pPr>
        <w:widowControl w:val="0"/>
        <w:autoSpaceDE w:val="0"/>
        <w:autoSpaceDN w:val="0"/>
        <w:adjustRightInd w:val="0"/>
        <w:jc w:val="both"/>
        <w:rPr>
          <w:szCs w:val="22"/>
          <w:u w:val="single"/>
          <w:lang w:val="sr-Latn-ME"/>
        </w:rPr>
      </w:pPr>
    </w:p>
    <w:p w14:paraId="2C883E5C" w14:textId="77777777" w:rsidR="00EA6F00" w:rsidRPr="00762596" w:rsidRDefault="00861C42">
      <w:pPr>
        <w:widowControl w:val="0"/>
        <w:autoSpaceDE w:val="0"/>
        <w:autoSpaceDN w:val="0"/>
        <w:adjustRightInd w:val="0"/>
        <w:jc w:val="both"/>
        <w:rPr>
          <w:szCs w:val="22"/>
          <w:u w:val="single"/>
          <w:lang w:val="sr-Latn-ME"/>
        </w:rPr>
      </w:pPr>
      <w:r w:rsidRPr="00762596">
        <w:rPr>
          <w:szCs w:val="22"/>
          <w:u w:val="single"/>
          <w:lang w:val="sr-Latn-ME"/>
        </w:rPr>
        <w:t>Dodatne informacije o pojedinačnim komponentama</w:t>
      </w:r>
    </w:p>
    <w:p w14:paraId="01CD073F" w14:textId="77777777" w:rsidR="00EA6F00" w:rsidRPr="00762596" w:rsidRDefault="00EA6F00">
      <w:pPr>
        <w:widowControl w:val="0"/>
        <w:autoSpaceDE w:val="0"/>
        <w:autoSpaceDN w:val="0"/>
        <w:adjustRightInd w:val="0"/>
        <w:jc w:val="both"/>
        <w:rPr>
          <w:szCs w:val="22"/>
          <w:u w:val="single"/>
          <w:lang w:val="sr-Latn-ME"/>
        </w:rPr>
      </w:pPr>
    </w:p>
    <w:p w14:paraId="319BBBBA"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Neželjena dejstva koja su ranije prijavljena sa jednom od pojedinačnih komponenti (amlodipinom ili valsartanom) mogu biti i potencijalna neželjena dejstva kombinacije amlodipin/valsartan, iako nisu uočena u kliničkim ispitivanjima ili nakon stavljanja lijeka u promet.</w:t>
      </w:r>
    </w:p>
    <w:p w14:paraId="3E7D9F1F" w14:textId="77777777" w:rsidR="00EA6F00" w:rsidRPr="00762596" w:rsidRDefault="00EA6F00">
      <w:pPr>
        <w:widowControl w:val="0"/>
        <w:autoSpaceDE w:val="0"/>
        <w:autoSpaceDN w:val="0"/>
        <w:adjustRightInd w:val="0"/>
        <w:jc w:val="both"/>
        <w:rPr>
          <w:szCs w:val="22"/>
          <w:u w:val="single"/>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7820"/>
      </w:tblGrid>
      <w:tr w:rsidR="00EA6F00" w:rsidRPr="00B36BCA" w14:paraId="78817A2B" w14:textId="77777777">
        <w:tc>
          <w:tcPr>
            <w:tcW w:w="9287" w:type="dxa"/>
            <w:gridSpan w:val="2"/>
            <w:shd w:val="clear" w:color="auto" w:fill="auto"/>
          </w:tcPr>
          <w:p w14:paraId="744E3CDA" w14:textId="77777777" w:rsidR="00EA6F00" w:rsidRPr="00762596" w:rsidRDefault="00861C42">
            <w:pPr>
              <w:widowControl w:val="0"/>
              <w:autoSpaceDE w:val="0"/>
              <w:autoSpaceDN w:val="0"/>
              <w:adjustRightInd w:val="0"/>
              <w:jc w:val="both"/>
              <w:rPr>
                <w:szCs w:val="22"/>
                <w:u w:val="single"/>
                <w:lang w:val="sr-Latn-ME"/>
              </w:rPr>
            </w:pPr>
            <w:r w:rsidRPr="00762596">
              <w:rPr>
                <w:szCs w:val="22"/>
                <w:u w:val="single"/>
                <w:lang w:val="sr-Latn-ME"/>
              </w:rPr>
              <w:t>Amlodipin</w:t>
            </w:r>
          </w:p>
        </w:tc>
      </w:tr>
      <w:tr w:rsidR="00EA6F00" w:rsidRPr="00B36BCA" w14:paraId="0118B7F8" w14:textId="77777777">
        <w:tc>
          <w:tcPr>
            <w:tcW w:w="1242" w:type="dxa"/>
            <w:shd w:val="clear" w:color="auto" w:fill="auto"/>
          </w:tcPr>
          <w:p w14:paraId="1A38B0F2" w14:textId="77777777" w:rsidR="00EA6F00" w:rsidRPr="00762596" w:rsidRDefault="00861C42" w:rsidP="00B36BCA">
            <w:pPr>
              <w:widowControl w:val="0"/>
              <w:autoSpaceDE w:val="0"/>
              <w:autoSpaceDN w:val="0"/>
              <w:adjustRightInd w:val="0"/>
              <w:jc w:val="both"/>
              <w:rPr>
                <w:i/>
                <w:szCs w:val="22"/>
                <w:lang w:val="sr-Latn-ME"/>
              </w:rPr>
            </w:pPr>
            <w:r w:rsidRPr="00762596">
              <w:rPr>
                <w:i/>
                <w:szCs w:val="22"/>
                <w:lang w:val="sr-Latn-ME"/>
              </w:rPr>
              <w:t>Često</w:t>
            </w:r>
          </w:p>
        </w:tc>
        <w:tc>
          <w:tcPr>
            <w:tcW w:w="8045" w:type="dxa"/>
            <w:shd w:val="clear" w:color="auto" w:fill="auto"/>
          </w:tcPr>
          <w:p w14:paraId="0BE8E7FE"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Somnolencija, vrtoglavica, palpitacije, bol u abdomenu, mučnina, oticanje gležnjeva.</w:t>
            </w:r>
          </w:p>
        </w:tc>
      </w:tr>
      <w:tr w:rsidR="00EA6F00" w:rsidRPr="00B36BCA" w14:paraId="421939CB" w14:textId="77777777">
        <w:tc>
          <w:tcPr>
            <w:tcW w:w="1242" w:type="dxa"/>
            <w:shd w:val="clear" w:color="auto" w:fill="auto"/>
          </w:tcPr>
          <w:p w14:paraId="2C565D84" w14:textId="77777777" w:rsidR="00EA6F00" w:rsidRPr="00762596" w:rsidRDefault="00861C42" w:rsidP="00B36BCA">
            <w:pPr>
              <w:widowControl w:val="0"/>
              <w:autoSpaceDE w:val="0"/>
              <w:autoSpaceDN w:val="0"/>
              <w:adjustRightInd w:val="0"/>
              <w:jc w:val="both"/>
              <w:rPr>
                <w:i/>
                <w:szCs w:val="22"/>
                <w:lang w:val="sr-Latn-ME"/>
              </w:rPr>
            </w:pPr>
            <w:r w:rsidRPr="00762596">
              <w:rPr>
                <w:i/>
                <w:szCs w:val="22"/>
                <w:lang w:val="sr-Latn-ME"/>
              </w:rPr>
              <w:t>Povremeno</w:t>
            </w:r>
          </w:p>
        </w:tc>
        <w:tc>
          <w:tcPr>
            <w:tcW w:w="8045" w:type="dxa"/>
            <w:shd w:val="clear" w:color="auto" w:fill="auto"/>
          </w:tcPr>
          <w:p w14:paraId="084E622E" w14:textId="77777777" w:rsidR="00EA6F00" w:rsidRPr="00B36BCA" w:rsidRDefault="00861C42">
            <w:pPr>
              <w:pStyle w:val="Default"/>
              <w:widowControl w:val="0"/>
              <w:jc w:val="both"/>
              <w:rPr>
                <w:sz w:val="22"/>
                <w:szCs w:val="22"/>
                <w:lang w:val="sr-Latn-ME"/>
              </w:rPr>
            </w:pPr>
            <w:r w:rsidRPr="00B36BCA">
              <w:rPr>
                <w:sz w:val="22"/>
                <w:szCs w:val="22"/>
                <w:lang w:val="sr-Latn-ME"/>
              </w:rPr>
              <w:t>Nesanica, promjene raspoloženja (uključujući anksioznost), depresija, tremor, disgeuzija, sinkopa, hipoestezija, poremećaj vida (uključujući diplopiju), tinitus, hipotenzija, dispneja, rinitis, povraćanje, dispepsija, alopecija, purpura, promjena boje kože, hiperhidroza, pruritus, egzantem, mijalgija, grčevi u mišićima, bol, poremećaj mokrenja, povećana učestalost mokrenja, impotencija, ginekomastija, bol u prsima, malaksalost, povećanje tjelesne težine, smanjenje tjelesne težine.</w:t>
            </w:r>
          </w:p>
        </w:tc>
      </w:tr>
      <w:tr w:rsidR="00EA6F00" w:rsidRPr="00B36BCA" w14:paraId="7C31132E" w14:textId="77777777">
        <w:tc>
          <w:tcPr>
            <w:tcW w:w="1242" w:type="dxa"/>
            <w:shd w:val="clear" w:color="auto" w:fill="auto"/>
          </w:tcPr>
          <w:p w14:paraId="5CCAEFFB" w14:textId="77777777" w:rsidR="00EA6F00" w:rsidRPr="00762596" w:rsidRDefault="00861C42" w:rsidP="00B36BCA">
            <w:pPr>
              <w:widowControl w:val="0"/>
              <w:autoSpaceDE w:val="0"/>
              <w:autoSpaceDN w:val="0"/>
              <w:adjustRightInd w:val="0"/>
              <w:jc w:val="both"/>
              <w:rPr>
                <w:i/>
                <w:szCs w:val="22"/>
                <w:lang w:val="sr-Latn-ME"/>
              </w:rPr>
            </w:pPr>
            <w:r w:rsidRPr="00762596">
              <w:rPr>
                <w:i/>
                <w:szCs w:val="22"/>
                <w:lang w:val="sr-Latn-ME"/>
              </w:rPr>
              <w:t>Rijetko</w:t>
            </w:r>
          </w:p>
        </w:tc>
        <w:tc>
          <w:tcPr>
            <w:tcW w:w="8045" w:type="dxa"/>
            <w:shd w:val="clear" w:color="auto" w:fill="auto"/>
          </w:tcPr>
          <w:p w14:paraId="7065606C"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Konfuzija.</w:t>
            </w:r>
          </w:p>
        </w:tc>
      </w:tr>
      <w:tr w:rsidR="00EA6F00" w:rsidRPr="00B36BCA" w14:paraId="23B2FCB1" w14:textId="77777777">
        <w:tc>
          <w:tcPr>
            <w:tcW w:w="1242" w:type="dxa"/>
            <w:shd w:val="clear" w:color="auto" w:fill="auto"/>
          </w:tcPr>
          <w:p w14:paraId="01B9C6F9" w14:textId="77777777" w:rsidR="00EA6F00" w:rsidRPr="00762596" w:rsidRDefault="00861C42" w:rsidP="00B36BCA">
            <w:pPr>
              <w:widowControl w:val="0"/>
              <w:autoSpaceDE w:val="0"/>
              <w:autoSpaceDN w:val="0"/>
              <w:adjustRightInd w:val="0"/>
              <w:jc w:val="both"/>
              <w:rPr>
                <w:i/>
                <w:szCs w:val="22"/>
                <w:lang w:val="sr-Latn-ME"/>
              </w:rPr>
            </w:pPr>
            <w:r w:rsidRPr="00762596">
              <w:rPr>
                <w:i/>
                <w:szCs w:val="22"/>
                <w:lang w:val="sr-Latn-ME"/>
              </w:rPr>
              <w:t>Veoma rijetko</w:t>
            </w:r>
          </w:p>
        </w:tc>
        <w:tc>
          <w:tcPr>
            <w:tcW w:w="8045" w:type="dxa"/>
            <w:shd w:val="clear" w:color="auto" w:fill="auto"/>
          </w:tcPr>
          <w:p w14:paraId="4F12EA4A" w14:textId="77777777" w:rsidR="00EA6F00" w:rsidRPr="00B36BCA" w:rsidRDefault="00861C42">
            <w:pPr>
              <w:pStyle w:val="Default"/>
              <w:widowControl w:val="0"/>
              <w:jc w:val="both"/>
              <w:rPr>
                <w:sz w:val="22"/>
                <w:szCs w:val="22"/>
                <w:lang w:val="sr-Latn-ME"/>
              </w:rPr>
            </w:pPr>
            <w:r w:rsidRPr="00B36BCA">
              <w:rPr>
                <w:sz w:val="22"/>
                <w:szCs w:val="22"/>
                <w:lang w:val="sr-Latn-ME"/>
              </w:rPr>
              <w:t>Leukocitopenija, trombocitopenija, alergijske reakcije, hiperglikemija, hipertonija, periferna neuropatija, infarkt miokarda, aritmija (uključujući bradikardiju, ventrikularnu tahikardiju i atrijalnu fibrilaciju), vaskulitis, pankreatitis, gastritis, hiperplazija gingive, hepatitis, žutica, povišeni enzimi jetre*, angioedem, multiformni eritem, urtikarija, eksfolijativni dermatitis, Stevens-Johnsonov sindrom, Quinckeov edem, fotosenzitivnost.</w:t>
            </w:r>
          </w:p>
        </w:tc>
      </w:tr>
      <w:tr w:rsidR="00EA6F00" w:rsidRPr="00B36BCA" w14:paraId="05DE289E" w14:textId="77777777">
        <w:tc>
          <w:tcPr>
            <w:tcW w:w="1242" w:type="dxa"/>
            <w:shd w:val="clear" w:color="auto" w:fill="auto"/>
          </w:tcPr>
          <w:p w14:paraId="2494DAAF" w14:textId="77777777" w:rsidR="00EA6F00" w:rsidRPr="00762596" w:rsidRDefault="00861C42" w:rsidP="00B36BCA">
            <w:pPr>
              <w:widowControl w:val="0"/>
              <w:autoSpaceDE w:val="0"/>
              <w:autoSpaceDN w:val="0"/>
              <w:adjustRightInd w:val="0"/>
              <w:jc w:val="both"/>
              <w:rPr>
                <w:i/>
                <w:szCs w:val="22"/>
                <w:lang w:val="sr-Latn-ME"/>
              </w:rPr>
            </w:pPr>
            <w:r w:rsidRPr="00762596">
              <w:rPr>
                <w:i/>
                <w:szCs w:val="22"/>
                <w:lang w:val="sr-Latn-ME"/>
              </w:rPr>
              <w:t>Nepoznato</w:t>
            </w:r>
          </w:p>
        </w:tc>
        <w:tc>
          <w:tcPr>
            <w:tcW w:w="8045" w:type="dxa"/>
            <w:shd w:val="clear" w:color="auto" w:fill="auto"/>
          </w:tcPr>
          <w:p w14:paraId="7D9630E1" w14:textId="77777777" w:rsidR="00EA6F00" w:rsidRPr="00762596" w:rsidRDefault="00861C42">
            <w:pPr>
              <w:widowControl w:val="0"/>
              <w:autoSpaceDE w:val="0"/>
              <w:autoSpaceDN w:val="0"/>
              <w:adjustRightInd w:val="0"/>
              <w:jc w:val="both"/>
              <w:rPr>
                <w:szCs w:val="22"/>
                <w:lang w:val="sr-Latn-ME"/>
              </w:rPr>
            </w:pPr>
            <w:r w:rsidRPr="00762596">
              <w:rPr>
                <w:szCs w:val="22"/>
                <w:lang w:val="sr-Latn-ME"/>
              </w:rPr>
              <w:t>Toksična epidermalna nekroliza</w:t>
            </w:r>
          </w:p>
        </w:tc>
      </w:tr>
      <w:tr w:rsidR="00EA6F00" w:rsidRPr="00B36BCA" w14:paraId="57078F1D" w14:textId="77777777">
        <w:tc>
          <w:tcPr>
            <w:tcW w:w="9287" w:type="dxa"/>
            <w:gridSpan w:val="2"/>
            <w:shd w:val="clear" w:color="auto" w:fill="auto"/>
          </w:tcPr>
          <w:p w14:paraId="36C8F90F"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 uglavnom upućuje na holestazu</w:t>
            </w:r>
          </w:p>
        </w:tc>
      </w:tr>
      <w:tr w:rsidR="00EA6F00" w:rsidRPr="00B36BCA" w14:paraId="170C73C7" w14:textId="77777777">
        <w:tc>
          <w:tcPr>
            <w:tcW w:w="9287" w:type="dxa"/>
            <w:gridSpan w:val="2"/>
            <w:shd w:val="clear" w:color="auto" w:fill="auto"/>
          </w:tcPr>
          <w:p w14:paraId="580A1D22" w14:textId="77777777" w:rsidR="00EA6F00" w:rsidRPr="00762596" w:rsidRDefault="00861C42" w:rsidP="00B36BCA">
            <w:pPr>
              <w:widowControl w:val="0"/>
              <w:autoSpaceDE w:val="0"/>
              <w:autoSpaceDN w:val="0"/>
              <w:adjustRightInd w:val="0"/>
              <w:jc w:val="both"/>
              <w:rPr>
                <w:szCs w:val="22"/>
                <w:lang w:val="sr-Latn-ME"/>
              </w:rPr>
            </w:pPr>
            <w:r w:rsidRPr="00762596">
              <w:rPr>
                <w:szCs w:val="22"/>
                <w:lang w:val="sr-Latn-ME"/>
              </w:rPr>
              <w:t>Prijavljeni su izolovani slučajevi ekstrapiramidalnog sindroma.</w:t>
            </w:r>
          </w:p>
        </w:tc>
      </w:tr>
      <w:tr w:rsidR="00EA6F00" w:rsidRPr="00B36BCA" w14:paraId="5EE8802B" w14:textId="77777777">
        <w:tc>
          <w:tcPr>
            <w:tcW w:w="9287" w:type="dxa"/>
            <w:gridSpan w:val="2"/>
            <w:shd w:val="clear" w:color="auto" w:fill="auto"/>
          </w:tcPr>
          <w:p w14:paraId="53C24546" w14:textId="77777777" w:rsidR="00EA6F00" w:rsidRPr="00762596" w:rsidRDefault="00EA6F00" w:rsidP="00B36BCA">
            <w:pPr>
              <w:widowControl w:val="0"/>
              <w:autoSpaceDE w:val="0"/>
              <w:autoSpaceDN w:val="0"/>
              <w:adjustRightInd w:val="0"/>
              <w:jc w:val="both"/>
              <w:rPr>
                <w:szCs w:val="22"/>
                <w:lang w:val="sr-Latn-ME"/>
              </w:rPr>
            </w:pPr>
          </w:p>
        </w:tc>
      </w:tr>
      <w:tr w:rsidR="00EA6F00" w:rsidRPr="00B36BCA" w14:paraId="7D824F2B" w14:textId="77777777">
        <w:tc>
          <w:tcPr>
            <w:tcW w:w="9287" w:type="dxa"/>
            <w:gridSpan w:val="2"/>
            <w:shd w:val="clear" w:color="auto" w:fill="auto"/>
          </w:tcPr>
          <w:p w14:paraId="1889E77C" w14:textId="77777777" w:rsidR="00EA6F00" w:rsidRPr="00762596" w:rsidRDefault="00861C42" w:rsidP="00B36BCA">
            <w:pPr>
              <w:widowControl w:val="0"/>
              <w:autoSpaceDE w:val="0"/>
              <w:autoSpaceDN w:val="0"/>
              <w:adjustRightInd w:val="0"/>
              <w:jc w:val="both"/>
              <w:rPr>
                <w:szCs w:val="22"/>
                <w:u w:val="single"/>
                <w:lang w:val="sr-Latn-ME"/>
              </w:rPr>
            </w:pPr>
            <w:r w:rsidRPr="00762596">
              <w:rPr>
                <w:szCs w:val="22"/>
                <w:u w:val="single"/>
                <w:lang w:val="sr-Latn-ME"/>
              </w:rPr>
              <w:t>Valsartan</w:t>
            </w:r>
          </w:p>
        </w:tc>
      </w:tr>
      <w:tr w:rsidR="00EA6F00" w:rsidRPr="00B36BCA" w14:paraId="026D67EA" w14:textId="77777777">
        <w:tc>
          <w:tcPr>
            <w:tcW w:w="1242" w:type="dxa"/>
            <w:shd w:val="clear" w:color="auto" w:fill="auto"/>
          </w:tcPr>
          <w:p w14:paraId="0B241DA2" w14:textId="77777777" w:rsidR="00EA6F00" w:rsidRPr="00762596" w:rsidRDefault="00861C42" w:rsidP="00B36BCA">
            <w:pPr>
              <w:widowControl w:val="0"/>
              <w:autoSpaceDE w:val="0"/>
              <w:autoSpaceDN w:val="0"/>
              <w:adjustRightInd w:val="0"/>
              <w:jc w:val="both"/>
              <w:rPr>
                <w:szCs w:val="22"/>
                <w:lang w:val="sr-Latn-ME"/>
              </w:rPr>
            </w:pPr>
            <w:r w:rsidRPr="00762596">
              <w:rPr>
                <w:i/>
                <w:szCs w:val="22"/>
                <w:lang w:val="sr-Latn-ME"/>
              </w:rPr>
              <w:t>Nepoznato</w:t>
            </w:r>
          </w:p>
        </w:tc>
        <w:tc>
          <w:tcPr>
            <w:tcW w:w="8045" w:type="dxa"/>
            <w:shd w:val="clear" w:color="auto" w:fill="auto"/>
          </w:tcPr>
          <w:p w14:paraId="039190D2" w14:textId="77777777" w:rsidR="00EA6F00" w:rsidRPr="00B36BCA" w:rsidRDefault="00861C42">
            <w:pPr>
              <w:pStyle w:val="Default"/>
              <w:widowControl w:val="0"/>
              <w:jc w:val="both"/>
              <w:rPr>
                <w:sz w:val="22"/>
                <w:szCs w:val="22"/>
                <w:lang w:val="sr-Latn-ME"/>
              </w:rPr>
            </w:pPr>
            <w:r w:rsidRPr="00B36BCA">
              <w:rPr>
                <w:sz w:val="22"/>
                <w:szCs w:val="22"/>
                <w:lang w:val="sr-Latn-ME"/>
              </w:rPr>
              <w:t>Sniženje hemoglobina, sniženje hematokrita, neutropenija, trombocitopenija, povišen kalijum u serumu, povišene vrijednosti jetrenih funkcija uključujući povišenje bilirubina u serumu, insuficijencija i oštećenje bubrega, povišen kreatinin u serumu, angioedem, mialgija, vaskulitis, preosjetljivost, uključujući serumsku bolest.</w:t>
            </w:r>
          </w:p>
        </w:tc>
      </w:tr>
    </w:tbl>
    <w:p w14:paraId="3A382226" w14:textId="77777777" w:rsidR="00EA6F00" w:rsidRPr="00762596" w:rsidRDefault="00EA6F00" w:rsidP="00B36BCA">
      <w:pPr>
        <w:widowControl w:val="0"/>
        <w:autoSpaceDE w:val="0"/>
        <w:autoSpaceDN w:val="0"/>
        <w:adjustRightInd w:val="0"/>
        <w:jc w:val="both"/>
        <w:rPr>
          <w:szCs w:val="22"/>
          <w:u w:val="single"/>
          <w:lang w:val="sr-Latn-ME"/>
        </w:rPr>
      </w:pPr>
    </w:p>
    <w:p w14:paraId="1682D0BE" w14:textId="77777777" w:rsidR="00EA6F00" w:rsidRPr="00762596" w:rsidRDefault="00861C42">
      <w:pPr>
        <w:spacing w:line="276" w:lineRule="auto"/>
        <w:jc w:val="both"/>
        <w:rPr>
          <w:rFonts w:eastAsia="Calibri"/>
          <w:szCs w:val="22"/>
          <w:u w:val="single"/>
          <w:lang w:val="sr-Latn-ME"/>
        </w:rPr>
      </w:pPr>
      <w:r w:rsidRPr="00762596">
        <w:rPr>
          <w:rFonts w:eastAsia="Calibri"/>
          <w:szCs w:val="22"/>
          <w:u w:val="single"/>
          <w:lang w:val="sr-Latn-ME"/>
        </w:rPr>
        <w:t>Prijavljivanje sumnji na neželjena dejstva</w:t>
      </w:r>
    </w:p>
    <w:p w14:paraId="338ED7B3" w14:textId="77777777" w:rsidR="00EA6F00" w:rsidRPr="00762596" w:rsidRDefault="00EA6F00">
      <w:pPr>
        <w:jc w:val="both"/>
        <w:rPr>
          <w:rFonts w:eastAsia="Calibri"/>
          <w:szCs w:val="22"/>
          <w:lang w:val="sr-Latn-ME"/>
        </w:rPr>
      </w:pPr>
    </w:p>
    <w:p w14:paraId="09F5BD3B" w14:textId="77777777" w:rsidR="00EA6F00" w:rsidRPr="00B36BCA" w:rsidRDefault="00861C42">
      <w:pPr>
        <w:tabs>
          <w:tab w:val="clear" w:pos="567"/>
        </w:tabs>
        <w:spacing w:after="200" w:line="240" w:lineRule="auto"/>
        <w:jc w:val="both"/>
        <w:rPr>
          <w:rFonts w:eastAsia="Calibri"/>
          <w:szCs w:val="22"/>
          <w:lang w:val="sr-Latn-RS"/>
        </w:rPr>
      </w:pPr>
      <w:r w:rsidRPr="00B36BCA">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36933B0" w14:textId="77777777" w:rsidR="00EA6F00" w:rsidRPr="00B36BCA" w:rsidRDefault="00861C42">
      <w:pPr>
        <w:tabs>
          <w:tab w:val="clear" w:pos="567"/>
        </w:tabs>
        <w:spacing w:line="240" w:lineRule="auto"/>
        <w:jc w:val="both"/>
        <w:rPr>
          <w:rFonts w:eastAsia="Calibri"/>
          <w:szCs w:val="22"/>
          <w:lang w:val="sr-Latn-RS"/>
        </w:rPr>
      </w:pPr>
      <w:r w:rsidRPr="00B36BCA">
        <w:rPr>
          <w:rFonts w:eastAsia="Calibri"/>
          <w:szCs w:val="22"/>
          <w:lang w:val="sr-Latn-RS"/>
        </w:rPr>
        <w:t xml:space="preserve">Institut za ljekove i medicinska sredstva </w:t>
      </w:r>
    </w:p>
    <w:p w14:paraId="65F0A3B4" w14:textId="77777777" w:rsidR="00EA6F00" w:rsidRPr="00B36BCA" w:rsidRDefault="00861C42">
      <w:pPr>
        <w:tabs>
          <w:tab w:val="clear" w:pos="567"/>
        </w:tabs>
        <w:spacing w:line="240" w:lineRule="auto"/>
        <w:jc w:val="both"/>
        <w:rPr>
          <w:rFonts w:eastAsia="Calibri"/>
          <w:szCs w:val="22"/>
          <w:lang w:val="sr-Latn-RS"/>
        </w:rPr>
      </w:pPr>
      <w:r w:rsidRPr="00B36BCA">
        <w:rPr>
          <w:rFonts w:eastAsia="Calibri"/>
          <w:szCs w:val="22"/>
          <w:lang w:val="sr-Latn-RS"/>
        </w:rPr>
        <w:t>Odjeljenje za farmakovigilancu</w:t>
      </w:r>
    </w:p>
    <w:p w14:paraId="5BC51624" w14:textId="77777777" w:rsidR="00EA6F00" w:rsidRPr="00B36BCA" w:rsidRDefault="00861C42">
      <w:pPr>
        <w:tabs>
          <w:tab w:val="clear" w:pos="567"/>
        </w:tabs>
        <w:spacing w:line="240" w:lineRule="auto"/>
        <w:jc w:val="both"/>
        <w:rPr>
          <w:rFonts w:eastAsia="Calibri"/>
          <w:szCs w:val="22"/>
          <w:lang w:val="sr-Latn-RS"/>
        </w:rPr>
      </w:pPr>
      <w:r w:rsidRPr="00B36BCA">
        <w:rPr>
          <w:rFonts w:eastAsia="Calibri"/>
          <w:szCs w:val="22"/>
          <w:lang w:val="sr-Latn-RS"/>
        </w:rPr>
        <w:t>Bulevar Ivana Crnojevića 64a, 81000 Podgorica</w:t>
      </w:r>
    </w:p>
    <w:p w14:paraId="32EF568B" w14:textId="77777777" w:rsidR="00EA6F00" w:rsidRPr="00B36BCA" w:rsidRDefault="00EA6F00" w:rsidP="00762596">
      <w:pPr>
        <w:tabs>
          <w:tab w:val="clear" w:pos="567"/>
        </w:tabs>
        <w:spacing w:line="240" w:lineRule="auto"/>
        <w:jc w:val="both"/>
        <w:rPr>
          <w:rFonts w:eastAsia="Calibri"/>
          <w:szCs w:val="22"/>
          <w:lang w:val="sr-Latn-RS"/>
        </w:rPr>
      </w:pPr>
    </w:p>
    <w:p w14:paraId="22D7E8D1" w14:textId="77777777" w:rsidR="00EA6F00" w:rsidRPr="00B36BCA" w:rsidRDefault="00861C42" w:rsidP="00B36BCA">
      <w:pPr>
        <w:tabs>
          <w:tab w:val="clear" w:pos="567"/>
        </w:tabs>
        <w:spacing w:line="240" w:lineRule="auto"/>
        <w:jc w:val="both"/>
        <w:rPr>
          <w:rFonts w:eastAsia="Calibri"/>
          <w:szCs w:val="22"/>
          <w:lang w:val="sr-Latn-RS"/>
        </w:rPr>
      </w:pPr>
      <w:r w:rsidRPr="00B36BCA">
        <w:rPr>
          <w:rFonts w:eastAsia="Calibri"/>
          <w:szCs w:val="22"/>
          <w:lang w:val="sr-Latn-RS"/>
        </w:rPr>
        <w:t>tel: +382 (0) 20 310 280</w:t>
      </w:r>
    </w:p>
    <w:p w14:paraId="500B56FE" w14:textId="77777777" w:rsidR="00EA6F00" w:rsidRPr="00B36BCA" w:rsidRDefault="00861C42">
      <w:pPr>
        <w:tabs>
          <w:tab w:val="clear" w:pos="567"/>
          <w:tab w:val="left" w:pos="6720"/>
        </w:tabs>
        <w:spacing w:line="240" w:lineRule="auto"/>
        <w:jc w:val="both"/>
        <w:rPr>
          <w:rFonts w:eastAsia="Calibri"/>
          <w:szCs w:val="22"/>
          <w:lang w:val="sr-Latn-RS"/>
        </w:rPr>
      </w:pPr>
      <w:r w:rsidRPr="00B36BCA">
        <w:rPr>
          <w:rFonts w:eastAsia="Calibri"/>
          <w:szCs w:val="22"/>
          <w:lang w:val="sr-Latn-RS"/>
        </w:rPr>
        <w:lastRenderedPageBreak/>
        <w:t>fax: +382 (0) 20 310 581</w:t>
      </w:r>
      <w:r w:rsidRPr="00B36BCA">
        <w:rPr>
          <w:rFonts w:eastAsia="Calibri"/>
          <w:szCs w:val="22"/>
          <w:lang w:val="sr-Latn-RS"/>
        </w:rPr>
        <w:tab/>
      </w:r>
    </w:p>
    <w:p w14:paraId="5E152989" w14:textId="77777777" w:rsidR="00EA6F00" w:rsidRPr="00B36BCA" w:rsidRDefault="00C40DDF">
      <w:pPr>
        <w:tabs>
          <w:tab w:val="clear" w:pos="567"/>
        </w:tabs>
        <w:spacing w:line="240" w:lineRule="auto"/>
        <w:jc w:val="both"/>
        <w:rPr>
          <w:rFonts w:eastAsia="Calibri"/>
          <w:szCs w:val="22"/>
          <w:lang w:val="sr-Latn-RS"/>
        </w:rPr>
      </w:pPr>
      <w:hyperlink r:id="rId7" w:history="1">
        <w:r w:rsidR="00861C42" w:rsidRPr="00B36BCA">
          <w:rPr>
            <w:rFonts w:eastAsia="Calibri"/>
            <w:color w:val="0563C1"/>
            <w:szCs w:val="22"/>
            <w:u w:val="single"/>
            <w:lang w:val="sr-Latn-RS"/>
          </w:rPr>
          <w:t>www.cinmed.me</w:t>
        </w:r>
      </w:hyperlink>
    </w:p>
    <w:p w14:paraId="6CE74FBF" w14:textId="77777777" w:rsidR="00EA6F00" w:rsidRPr="00B36BCA" w:rsidRDefault="00C40DDF">
      <w:pPr>
        <w:tabs>
          <w:tab w:val="clear" w:pos="567"/>
        </w:tabs>
        <w:spacing w:line="240" w:lineRule="auto"/>
        <w:jc w:val="both"/>
        <w:rPr>
          <w:rFonts w:eastAsia="Calibri"/>
          <w:color w:val="0000FF"/>
          <w:szCs w:val="22"/>
          <w:u w:val="single"/>
          <w:lang w:val="sr-Latn-RS"/>
        </w:rPr>
      </w:pPr>
      <w:hyperlink r:id="rId8" w:history="1">
        <w:r w:rsidR="00861C42" w:rsidRPr="00B36BCA">
          <w:rPr>
            <w:rFonts w:eastAsia="Calibri"/>
            <w:color w:val="0563C1"/>
            <w:szCs w:val="22"/>
            <w:u w:val="single"/>
            <w:lang w:val="sr-Latn-RS"/>
          </w:rPr>
          <w:t>nezeljenadejstva@cinmed.me</w:t>
        </w:r>
      </w:hyperlink>
    </w:p>
    <w:p w14:paraId="00EB5092" w14:textId="77777777" w:rsidR="00EA6F00" w:rsidRPr="00B36BCA" w:rsidRDefault="00861C42">
      <w:pPr>
        <w:tabs>
          <w:tab w:val="clear" w:pos="567"/>
        </w:tabs>
        <w:spacing w:line="240" w:lineRule="auto"/>
        <w:jc w:val="both"/>
        <w:rPr>
          <w:rFonts w:eastAsia="Calibri"/>
          <w:szCs w:val="22"/>
          <w:lang w:val="sr-Latn-RS"/>
        </w:rPr>
      </w:pPr>
      <w:r w:rsidRPr="00B36BCA">
        <w:rPr>
          <w:rFonts w:eastAsia="Calibri"/>
          <w:szCs w:val="22"/>
          <w:lang w:val="sr-Latn-RS"/>
        </w:rPr>
        <w:t>putem IS zdravstvene zaštite</w:t>
      </w:r>
    </w:p>
    <w:p w14:paraId="5E7EA004" w14:textId="77777777" w:rsidR="00EA6F00" w:rsidRPr="00B36BCA" w:rsidRDefault="00861C42">
      <w:pPr>
        <w:tabs>
          <w:tab w:val="clear" w:pos="567"/>
        </w:tabs>
        <w:spacing w:line="240" w:lineRule="auto"/>
        <w:jc w:val="both"/>
        <w:rPr>
          <w:rFonts w:eastAsia="Calibri"/>
          <w:szCs w:val="22"/>
          <w:lang w:val="sr-Latn-RS"/>
        </w:rPr>
      </w:pPr>
      <w:r w:rsidRPr="00B36BCA">
        <w:rPr>
          <w:rFonts w:eastAsia="Calibri"/>
          <w:szCs w:val="22"/>
          <w:lang w:val="sr-Latn-RS"/>
        </w:rPr>
        <w:t>QR kod za online prijavu sumnje na neželjeno dejstvo lijeka:</w:t>
      </w:r>
    </w:p>
    <w:p w14:paraId="3ACDB563" w14:textId="77777777" w:rsidR="00EA6F00" w:rsidRPr="00B36BCA" w:rsidRDefault="00EA6F00" w:rsidP="00762596">
      <w:pPr>
        <w:tabs>
          <w:tab w:val="clear" w:pos="567"/>
        </w:tabs>
        <w:spacing w:line="240" w:lineRule="auto"/>
        <w:jc w:val="both"/>
        <w:rPr>
          <w:rFonts w:eastAsia="Calibri"/>
          <w:szCs w:val="22"/>
          <w:lang w:val="sr-Latn-RS"/>
        </w:rPr>
      </w:pPr>
    </w:p>
    <w:p w14:paraId="00B4668B" w14:textId="77777777" w:rsidR="00EA6F00" w:rsidRPr="00B36BCA" w:rsidRDefault="00861C42" w:rsidP="00762596">
      <w:pPr>
        <w:tabs>
          <w:tab w:val="left" w:pos="540"/>
        </w:tabs>
        <w:spacing w:line="240" w:lineRule="auto"/>
        <w:jc w:val="both"/>
        <w:rPr>
          <w:b/>
          <w:bCs/>
          <w:szCs w:val="22"/>
          <w:lang w:val="en-US"/>
        </w:rPr>
      </w:pPr>
      <w:r w:rsidRPr="00B36BCA">
        <w:rPr>
          <w:b/>
          <w:bCs/>
          <w:noProof/>
          <w:szCs w:val="22"/>
          <w:lang w:val="en-US"/>
        </w:rPr>
        <w:drawing>
          <wp:inline distT="0" distB="0" distL="0" distR="0" wp14:anchorId="31B03623" wp14:editId="50199955">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3CE923A" w14:textId="77777777" w:rsidR="00EA6F00" w:rsidRPr="00B36BCA" w:rsidRDefault="00EA6F00" w:rsidP="00B36BCA">
      <w:pPr>
        <w:widowControl w:val="0"/>
        <w:jc w:val="both"/>
        <w:rPr>
          <w:szCs w:val="22"/>
          <w:lang w:val="sr-Latn-ME"/>
        </w:rPr>
      </w:pPr>
    </w:p>
    <w:p w14:paraId="46CC8999" w14:textId="77777777" w:rsidR="00EA6F00" w:rsidRPr="00762596" w:rsidRDefault="00861C42">
      <w:pPr>
        <w:widowControl w:val="0"/>
        <w:ind w:left="567" w:hanging="567"/>
        <w:jc w:val="both"/>
        <w:outlineLvl w:val="0"/>
        <w:rPr>
          <w:szCs w:val="22"/>
          <w:lang w:val="sr-Latn-ME"/>
        </w:rPr>
      </w:pPr>
      <w:r w:rsidRPr="00762596">
        <w:rPr>
          <w:b/>
          <w:szCs w:val="22"/>
          <w:lang w:val="sr-Latn-ME"/>
        </w:rPr>
        <w:t>4.9</w:t>
      </w:r>
      <w:r w:rsidRPr="00762596">
        <w:rPr>
          <w:b/>
          <w:szCs w:val="22"/>
          <w:lang w:val="sr-Latn-ME"/>
        </w:rPr>
        <w:tab/>
        <w:t>Predoziranje</w:t>
      </w:r>
    </w:p>
    <w:p w14:paraId="2FC77F59" w14:textId="77777777" w:rsidR="00EA6F00" w:rsidRPr="00762596" w:rsidRDefault="00EA6F00">
      <w:pPr>
        <w:widowControl w:val="0"/>
        <w:jc w:val="both"/>
        <w:rPr>
          <w:szCs w:val="22"/>
          <w:lang w:val="sr-Latn-ME"/>
        </w:rPr>
      </w:pPr>
    </w:p>
    <w:p w14:paraId="136D4384" w14:textId="77777777" w:rsidR="00EA6F00" w:rsidRPr="00762596" w:rsidRDefault="00861C42">
      <w:pPr>
        <w:widowControl w:val="0"/>
        <w:jc w:val="both"/>
        <w:rPr>
          <w:iCs/>
          <w:szCs w:val="22"/>
          <w:u w:val="single"/>
          <w:lang w:val="sr-Latn-ME"/>
        </w:rPr>
      </w:pPr>
      <w:r w:rsidRPr="00762596">
        <w:rPr>
          <w:iCs/>
          <w:szCs w:val="22"/>
          <w:u w:val="single"/>
          <w:lang w:val="sr-Latn-ME"/>
        </w:rPr>
        <w:t>Simptomi</w:t>
      </w:r>
    </w:p>
    <w:p w14:paraId="61C3CBAF" w14:textId="77777777" w:rsidR="00EA6F00" w:rsidRPr="00762596" w:rsidRDefault="00EA6F00">
      <w:pPr>
        <w:widowControl w:val="0"/>
        <w:jc w:val="both"/>
        <w:rPr>
          <w:iCs/>
          <w:szCs w:val="22"/>
          <w:lang w:val="sr-Latn-ME"/>
        </w:rPr>
      </w:pPr>
    </w:p>
    <w:p w14:paraId="2F69E346" w14:textId="77777777" w:rsidR="00EA6F00" w:rsidRPr="00762596" w:rsidRDefault="00861C42">
      <w:pPr>
        <w:widowControl w:val="0"/>
        <w:jc w:val="both"/>
        <w:rPr>
          <w:szCs w:val="22"/>
          <w:lang w:val="sr-Latn-ME"/>
        </w:rPr>
      </w:pPr>
      <w:r w:rsidRPr="00762596">
        <w:rPr>
          <w:szCs w:val="22"/>
          <w:lang w:val="sr-Latn-ME"/>
        </w:rPr>
        <w:t xml:space="preserve">Nema iskustva sa predoziranjem kombinacijom </w:t>
      </w:r>
      <w:r w:rsidRPr="00762596">
        <w:rPr>
          <w:iCs/>
          <w:szCs w:val="22"/>
          <w:lang w:val="sr-Latn-ME"/>
        </w:rPr>
        <w:t>amlodipin/valsartan</w:t>
      </w:r>
      <w:r w:rsidRPr="00762596">
        <w:rPr>
          <w:szCs w:val="22"/>
          <w:lang w:val="sr-Latn-ME"/>
        </w:rPr>
        <w:t>. Glavni simptom predoziranja valsartanom vjerovatno je izrazita hipotenzija sa vrtoglavicom. Predoziranje amlodipinom može dovesti do izrazite periferne vazodilatacije i moguće refleksne tahikardije. Prijavljena je izražena i potencijalno produžena sistemska hipotenzija, uključujući šok sa smrtnim ishodom.</w:t>
      </w:r>
    </w:p>
    <w:p w14:paraId="0C40C116" w14:textId="77777777" w:rsidR="00EA6F00" w:rsidRPr="00762596" w:rsidRDefault="00EA6F00">
      <w:pPr>
        <w:widowControl w:val="0"/>
        <w:jc w:val="both"/>
        <w:rPr>
          <w:iCs/>
          <w:szCs w:val="22"/>
          <w:lang w:val="sr-Latn-ME"/>
        </w:rPr>
      </w:pPr>
    </w:p>
    <w:p w14:paraId="2B3C1580" w14:textId="77777777" w:rsidR="00EA6F00" w:rsidRPr="00762596" w:rsidRDefault="00861C42">
      <w:pPr>
        <w:widowControl w:val="0"/>
        <w:jc w:val="both"/>
        <w:rPr>
          <w:iCs/>
          <w:szCs w:val="22"/>
          <w:lang w:val="sr-Latn-ME"/>
        </w:rPr>
      </w:pPr>
      <w:r w:rsidRPr="00762596">
        <w:rPr>
          <w:iCs/>
          <w:szCs w:val="22"/>
        </w:rPr>
        <w:t>Prijavljeni</w:t>
      </w:r>
      <w:r w:rsidRPr="00762596">
        <w:rPr>
          <w:iCs/>
          <w:szCs w:val="22"/>
          <w:lang w:val="sr-Latn-ME"/>
        </w:rPr>
        <w:t xml:space="preserve"> </w:t>
      </w:r>
      <w:r w:rsidRPr="00762596">
        <w:rPr>
          <w:iCs/>
          <w:szCs w:val="22"/>
        </w:rPr>
        <w:t>su</w:t>
      </w:r>
      <w:r w:rsidRPr="00762596">
        <w:rPr>
          <w:iCs/>
          <w:szCs w:val="22"/>
          <w:lang w:val="sr-Latn-ME"/>
        </w:rPr>
        <w:t xml:space="preserve"> </w:t>
      </w:r>
      <w:r w:rsidRPr="00762596">
        <w:rPr>
          <w:iCs/>
          <w:szCs w:val="22"/>
        </w:rPr>
        <w:t>rijetki</w:t>
      </w:r>
      <w:r w:rsidRPr="00762596">
        <w:rPr>
          <w:iCs/>
          <w:szCs w:val="22"/>
          <w:lang w:val="sr-Latn-ME"/>
        </w:rPr>
        <w:t xml:space="preserve"> </w:t>
      </w:r>
      <w:r w:rsidRPr="00762596">
        <w:rPr>
          <w:iCs/>
          <w:szCs w:val="22"/>
        </w:rPr>
        <w:t>slu</w:t>
      </w:r>
      <w:r w:rsidRPr="00762596">
        <w:rPr>
          <w:iCs/>
          <w:szCs w:val="22"/>
          <w:lang w:val="sr-Latn-ME"/>
        </w:rPr>
        <w:t>č</w:t>
      </w:r>
      <w:r w:rsidRPr="00762596">
        <w:rPr>
          <w:iCs/>
          <w:szCs w:val="22"/>
        </w:rPr>
        <w:t>ajevi</w:t>
      </w:r>
      <w:r w:rsidRPr="00762596">
        <w:rPr>
          <w:iCs/>
          <w:szCs w:val="22"/>
          <w:lang w:val="sr-Latn-ME"/>
        </w:rPr>
        <w:t xml:space="preserve"> </w:t>
      </w:r>
      <w:r w:rsidRPr="00762596">
        <w:rPr>
          <w:iCs/>
          <w:szCs w:val="22"/>
        </w:rPr>
        <w:t>nekardiogenog</w:t>
      </w:r>
      <w:r w:rsidRPr="00762596">
        <w:rPr>
          <w:iCs/>
          <w:szCs w:val="22"/>
          <w:lang w:val="sr-Latn-ME"/>
        </w:rPr>
        <w:t xml:space="preserve"> </w:t>
      </w:r>
      <w:r w:rsidRPr="00762596">
        <w:rPr>
          <w:iCs/>
          <w:szCs w:val="22"/>
        </w:rPr>
        <w:t>plu</w:t>
      </w:r>
      <w:r w:rsidRPr="00762596">
        <w:rPr>
          <w:iCs/>
          <w:szCs w:val="22"/>
          <w:lang w:val="sr-Latn-ME"/>
        </w:rPr>
        <w:t>ć</w:t>
      </w:r>
      <w:r w:rsidRPr="00762596">
        <w:rPr>
          <w:iCs/>
          <w:szCs w:val="22"/>
        </w:rPr>
        <w:t>nog</w:t>
      </w:r>
      <w:r w:rsidRPr="00762596">
        <w:rPr>
          <w:iCs/>
          <w:szCs w:val="22"/>
          <w:lang w:val="sr-Latn-ME"/>
        </w:rPr>
        <w:t xml:space="preserve"> </w:t>
      </w:r>
      <w:r w:rsidRPr="00762596">
        <w:rPr>
          <w:iCs/>
          <w:szCs w:val="22"/>
        </w:rPr>
        <w:t>edema</w:t>
      </w:r>
      <w:r w:rsidRPr="00762596">
        <w:rPr>
          <w:iCs/>
          <w:szCs w:val="22"/>
          <w:lang w:val="sr-Latn-ME"/>
        </w:rPr>
        <w:t xml:space="preserve"> </w:t>
      </w:r>
      <w:r w:rsidRPr="00762596">
        <w:rPr>
          <w:iCs/>
          <w:szCs w:val="22"/>
        </w:rPr>
        <w:t>kao</w:t>
      </w:r>
      <w:r w:rsidRPr="00762596">
        <w:rPr>
          <w:iCs/>
          <w:szCs w:val="22"/>
          <w:lang w:val="sr-Latn-ME"/>
        </w:rPr>
        <w:t xml:space="preserve"> </w:t>
      </w:r>
      <w:r w:rsidRPr="00762596">
        <w:rPr>
          <w:iCs/>
          <w:szCs w:val="22"/>
        </w:rPr>
        <w:t>posljedice</w:t>
      </w:r>
      <w:r w:rsidRPr="00762596">
        <w:rPr>
          <w:iCs/>
          <w:szCs w:val="22"/>
          <w:lang w:val="sr-Latn-ME"/>
        </w:rPr>
        <w:t xml:space="preserve"> </w:t>
      </w:r>
      <w:r w:rsidRPr="00762596">
        <w:rPr>
          <w:iCs/>
          <w:szCs w:val="22"/>
        </w:rPr>
        <w:t>predoziranja</w:t>
      </w:r>
      <w:r w:rsidRPr="00762596">
        <w:rPr>
          <w:iCs/>
          <w:szCs w:val="22"/>
          <w:lang w:val="sr-Latn-ME"/>
        </w:rPr>
        <w:t xml:space="preserve"> </w:t>
      </w:r>
      <w:r w:rsidRPr="00762596">
        <w:rPr>
          <w:iCs/>
          <w:szCs w:val="22"/>
        </w:rPr>
        <w:t>amlodipinom</w:t>
      </w:r>
      <w:r w:rsidRPr="00762596">
        <w:rPr>
          <w:iCs/>
          <w:szCs w:val="22"/>
          <w:lang w:val="sr-Latn-ME"/>
        </w:rPr>
        <w:t xml:space="preserve">, </w:t>
      </w:r>
      <w:r w:rsidRPr="00762596">
        <w:rPr>
          <w:iCs/>
          <w:szCs w:val="22"/>
        </w:rPr>
        <w:t>koji</w:t>
      </w:r>
      <w:r w:rsidRPr="00762596">
        <w:rPr>
          <w:iCs/>
          <w:szCs w:val="22"/>
          <w:lang w:val="sr-Latn-ME"/>
        </w:rPr>
        <w:t xml:space="preserve"> </w:t>
      </w:r>
      <w:r w:rsidRPr="00762596">
        <w:rPr>
          <w:iCs/>
          <w:szCs w:val="22"/>
        </w:rPr>
        <w:t>se</w:t>
      </w:r>
      <w:r w:rsidRPr="00762596">
        <w:rPr>
          <w:iCs/>
          <w:szCs w:val="22"/>
          <w:lang w:val="sr-Latn-ME"/>
        </w:rPr>
        <w:t xml:space="preserve"> </w:t>
      </w:r>
      <w:r w:rsidRPr="00762596">
        <w:rPr>
          <w:iCs/>
          <w:szCs w:val="22"/>
        </w:rPr>
        <w:t>mo</w:t>
      </w:r>
      <w:r w:rsidRPr="00762596">
        <w:rPr>
          <w:iCs/>
          <w:szCs w:val="22"/>
          <w:lang w:val="sr-Latn-ME"/>
        </w:rPr>
        <w:t>ž</w:t>
      </w:r>
      <w:r w:rsidRPr="00762596">
        <w:rPr>
          <w:iCs/>
          <w:szCs w:val="22"/>
        </w:rPr>
        <w:t>e</w:t>
      </w:r>
      <w:r w:rsidRPr="00762596">
        <w:rPr>
          <w:iCs/>
          <w:szCs w:val="22"/>
          <w:lang w:val="sr-Latn-ME"/>
        </w:rPr>
        <w:t xml:space="preserve"> </w:t>
      </w:r>
      <w:r w:rsidRPr="00762596">
        <w:rPr>
          <w:iCs/>
          <w:szCs w:val="22"/>
        </w:rPr>
        <w:t>manifestovati</w:t>
      </w:r>
      <w:r w:rsidRPr="00762596">
        <w:rPr>
          <w:iCs/>
          <w:szCs w:val="22"/>
          <w:lang w:val="sr-Latn-ME"/>
        </w:rPr>
        <w:t xml:space="preserve"> </w:t>
      </w:r>
      <w:r w:rsidRPr="00762596">
        <w:rPr>
          <w:iCs/>
          <w:szCs w:val="22"/>
        </w:rPr>
        <w:t>odlo</w:t>
      </w:r>
      <w:r w:rsidRPr="00762596">
        <w:rPr>
          <w:iCs/>
          <w:szCs w:val="22"/>
          <w:lang w:val="sr-Latn-ME"/>
        </w:rPr>
        <w:t>ž</w:t>
      </w:r>
      <w:r w:rsidRPr="00762596">
        <w:rPr>
          <w:iCs/>
          <w:szCs w:val="22"/>
        </w:rPr>
        <w:t>enim</w:t>
      </w:r>
      <w:r w:rsidRPr="00762596">
        <w:rPr>
          <w:iCs/>
          <w:szCs w:val="22"/>
          <w:lang w:val="sr-Latn-ME"/>
        </w:rPr>
        <w:t xml:space="preserve"> </w:t>
      </w:r>
      <w:r w:rsidRPr="00762596">
        <w:rPr>
          <w:iCs/>
          <w:szCs w:val="22"/>
        </w:rPr>
        <w:t>po</w:t>
      </w:r>
      <w:r w:rsidRPr="00762596">
        <w:rPr>
          <w:iCs/>
          <w:szCs w:val="22"/>
          <w:lang w:val="sr-Latn-ME"/>
        </w:rPr>
        <w:t>č</w:t>
      </w:r>
      <w:r w:rsidRPr="00762596">
        <w:rPr>
          <w:iCs/>
          <w:szCs w:val="22"/>
        </w:rPr>
        <w:t>etkom</w:t>
      </w:r>
      <w:r w:rsidRPr="00762596">
        <w:rPr>
          <w:iCs/>
          <w:szCs w:val="22"/>
          <w:lang w:val="sr-Latn-ME"/>
        </w:rPr>
        <w:t xml:space="preserve"> </w:t>
      </w:r>
      <w:r w:rsidRPr="00762596">
        <w:rPr>
          <w:iCs/>
          <w:szCs w:val="22"/>
        </w:rPr>
        <w:t>simptoma</w:t>
      </w:r>
      <w:r w:rsidRPr="00762596">
        <w:rPr>
          <w:iCs/>
          <w:szCs w:val="22"/>
          <w:lang w:val="sr-Latn-ME"/>
        </w:rPr>
        <w:t xml:space="preserve"> (24-48 </w:t>
      </w:r>
      <w:r w:rsidRPr="00762596">
        <w:rPr>
          <w:iCs/>
          <w:szCs w:val="22"/>
        </w:rPr>
        <w:t>sati</w:t>
      </w:r>
      <w:r w:rsidRPr="00762596">
        <w:rPr>
          <w:iCs/>
          <w:szCs w:val="22"/>
          <w:lang w:val="sr-Latn-ME"/>
        </w:rPr>
        <w:t xml:space="preserve"> </w:t>
      </w:r>
      <w:r w:rsidRPr="00762596">
        <w:rPr>
          <w:iCs/>
          <w:szCs w:val="22"/>
        </w:rPr>
        <w:t>nakon</w:t>
      </w:r>
      <w:r w:rsidRPr="00762596">
        <w:rPr>
          <w:iCs/>
          <w:szCs w:val="22"/>
          <w:lang w:val="sr-Latn-ME"/>
        </w:rPr>
        <w:t xml:space="preserve"> </w:t>
      </w:r>
      <w:r w:rsidRPr="00762596">
        <w:rPr>
          <w:iCs/>
          <w:szCs w:val="22"/>
        </w:rPr>
        <w:t>ingestije</w:t>
      </w:r>
      <w:r w:rsidRPr="00762596">
        <w:rPr>
          <w:iCs/>
          <w:szCs w:val="22"/>
          <w:lang w:val="sr-Latn-ME"/>
        </w:rPr>
        <w:t xml:space="preserve">) </w:t>
      </w:r>
      <w:r w:rsidRPr="00762596">
        <w:rPr>
          <w:iCs/>
          <w:szCs w:val="22"/>
        </w:rPr>
        <w:t>i</w:t>
      </w:r>
      <w:r w:rsidRPr="00762596">
        <w:rPr>
          <w:iCs/>
          <w:szCs w:val="22"/>
          <w:lang w:val="sr-Latn-ME"/>
        </w:rPr>
        <w:t xml:space="preserve"> </w:t>
      </w:r>
      <w:r w:rsidRPr="00762596">
        <w:rPr>
          <w:iCs/>
          <w:szCs w:val="22"/>
        </w:rPr>
        <w:t>zahtijevati</w:t>
      </w:r>
      <w:r w:rsidRPr="00762596">
        <w:rPr>
          <w:iCs/>
          <w:szCs w:val="22"/>
          <w:lang w:val="sr-Latn-ME"/>
        </w:rPr>
        <w:t xml:space="preserve"> </w:t>
      </w:r>
      <w:r w:rsidRPr="00762596">
        <w:rPr>
          <w:iCs/>
          <w:szCs w:val="22"/>
        </w:rPr>
        <w:t>respiratornu</w:t>
      </w:r>
      <w:r w:rsidRPr="00762596">
        <w:rPr>
          <w:iCs/>
          <w:szCs w:val="22"/>
          <w:lang w:val="sr-Latn-ME"/>
        </w:rPr>
        <w:t xml:space="preserve"> </w:t>
      </w:r>
      <w:r w:rsidRPr="00762596">
        <w:rPr>
          <w:iCs/>
          <w:szCs w:val="22"/>
        </w:rPr>
        <w:t>potporu</w:t>
      </w:r>
      <w:r w:rsidRPr="00762596">
        <w:rPr>
          <w:iCs/>
          <w:szCs w:val="22"/>
          <w:lang w:val="sr-Latn-ME"/>
        </w:rPr>
        <w:t xml:space="preserve">. </w:t>
      </w:r>
      <w:r w:rsidRPr="00762596">
        <w:rPr>
          <w:iCs/>
          <w:szCs w:val="22"/>
        </w:rPr>
        <w:t>Rano</w:t>
      </w:r>
      <w:r w:rsidRPr="00762596">
        <w:rPr>
          <w:iCs/>
          <w:szCs w:val="22"/>
          <w:lang w:val="sr-Latn-ME"/>
        </w:rPr>
        <w:t xml:space="preserve"> </w:t>
      </w:r>
      <w:r w:rsidRPr="00762596">
        <w:rPr>
          <w:iCs/>
          <w:szCs w:val="22"/>
        </w:rPr>
        <w:t>uvedene</w:t>
      </w:r>
      <w:r w:rsidRPr="00762596">
        <w:rPr>
          <w:iCs/>
          <w:szCs w:val="22"/>
          <w:lang w:val="sr-Latn-ME"/>
        </w:rPr>
        <w:t xml:space="preserve"> </w:t>
      </w:r>
      <w:r w:rsidRPr="00762596">
        <w:rPr>
          <w:iCs/>
          <w:szCs w:val="22"/>
        </w:rPr>
        <w:t>mjere</w:t>
      </w:r>
      <w:r w:rsidRPr="00762596">
        <w:rPr>
          <w:iCs/>
          <w:szCs w:val="22"/>
          <w:lang w:val="sr-Latn-ME"/>
        </w:rPr>
        <w:t xml:space="preserve"> </w:t>
      </w:r>
      <w:r w:rsidRPr="00762596">
        <w:rPr>
          <w:iCs/>
          <w:szCs w:val="22"/>
        </w:rPr>
        <w:t>reanimacije</w:t>
      </w:r>
      <w:r w:rsidRPr="00762596">
        <w:rPr>
          <w:iCs/>
          <w:szCs w:val="22"/>
          <w:lang w:val="sr-Latn-ME"/>
        </w:rPr>
        <w:t xml:space="preserve"> (</w:t>
      </w:r>
      <w:r w:rsidRPr="00762596">
        <w:rPr>
          <w:iCs/>
          <w:szCs w:val="22"/>
        </w:rPr>
        <w:t>uklju</w:t>
      </w:r>
      <w:r w:rsidRPr="00762596">
        <w:rPr>
          <w:iCs/>
          <w:szCs w:val="22"/>
          <w:lang w:val="sr-Latn-ME"/>
        </w:rPr>
        <w:t>č</w:t>
      </w:r>
      <w:r w:rsidRPr="00762596">
        <w:rPr>
          <w:iCs/>
          <w:szCs w:val="22"/>
        </w:rPr>
        <w:t>uju</w:t>
      </w:r>
      <w:r w:rsidRPr="00762596">
        <w:rPr>
          <w:iCs/>
          <w:szCs w:val="22"/>
          <w:lang w:val="sr-Latn-ME"/>
        </w:rPr>
        <w:t>ć</w:t>
      </w:r>
      <w:r w:rsidRPr="00762596">
        <w:rPr>
          <w:iCs/>
          <w:szCs w:val="22"/>
        </w:rPr>
        <w:t>i</w:t>
      </w:r>
      <w:r w:rsidRPr="00762596">
        <w:rPr>
          <w:iCs/>
          <w:szCs w:val="22"/>
          <w:lang w:val="sr-Latn-ME"/>
        </w:rPr>
        <w:t xml:space="preserve"> </w:t>
      </w:r>
      <w:r w:rsidRPr="00762596">
        <w:rPr>
          <w:iCs/>
          <w:szCs w:val="22"/>
        </w:rPr>
        <w:t>preoptere</w:t>
      </w:r>
      <w:r w:rsidRPr="00762596">
        <w:rPr>
          <w:iCs/>
          <w:szCs w:val="22"/>
          <w:lang w:val="sr-Latn-ME"/>
        </w:rPr>
        <w:t>ć</w:t>
      </w:r>
      <w:r w:rsidRPr="00762596">
        <w:rPr>
          <w:iCs/>
          <w:szCs w:val="22"/>
        </w:rPr>
        <w:t>enje</w:t>
      </w:r>
      <w:r w:rsidRPr="00762596">
        <w:rPr>
          <w:iCs/>
          <w:szCs w:val="22"/>
          <w:lang w:val="sr-Latn-ME"/>
        </w:rPr>
        <w:t xml:space="preserve"> </w:t>
      </w:r>
      <w:r w:rsidRPr="00762596">
        <w:rPr>
          <w:iCs/>
          <w:szCs w:val="22"/>
        </w:rPr>
        <w:t>te</w:t>
      </w:r>
      <w:r w:rsidRPr="00762596">
        <w:rPr>
          <w:iCs/>
          <w:szCs w:val="22"/>
          <w:lang w:val="sr-Latn-ME"/>
        </w:rPr>
        <w:t>č</w:t>
      </w:r>
      <w:r w:rsidRPr="00762596">
        <w:rPr>
          <w:iCs/>
          <w:szCs w:val="22"/>
        </w:rPr>
        <w:t>no</w:t>
      </w:r>
      <w:r w:rsidRPr="00762596">
        <w:rPr>
          <w:iCs/>
          <w:szCs w:val="22"/>
          <w:lang w:val="sr-Latn-ME"/>
        </w:rPr>
        <w:t>šć</w:t>
      </w:r>
      <w:r w:rsidRPr="00762596">
        <w:rPr>
          <w:iCs/>
          <w:szCs w:val="22"/>
        </w:rPr>
        <w:t>u</w:t>
      </w:r>
      <w:r w:rsidRPr="00762596">
        <w:rPr>
          <w:iCs/>
          <w:szCs w:val="22"/>
          <w:lang w:val="sr-Latn-ME"/>
        </w:rPr>
        <w:t xml:space="preserve">) </w:t>
      </w:r>
      <w:r w:rsidRPr="00762596">
        <w:rPr>
          <w:iCs/>
          <w:szCs w:val="22"/>
        </w:rPr>
        <w:t>radi</w:t>
      </w:r>
      <w:r w:rsidRPr="00762596">
        <w:rPr>
          <w:iCs/>
          <w:szCs w:val="22"/>
          <w:lang w:val="sr-Latn-ME"/>
        </w:rPr>
        <w:t xml:space="preserve"> </w:t>
      </w:r>
      <w:r w:rsidRPr="00762596">
        <w:rPr>
          <w:iCs/>
          <w:szCs w:val="22"/>
        </w:rPr>
        <w:t>odr</w:t>
      </w:r>
      <w:r w:rsidRPr="00762596">
        <w:rPr>
          <w:iCs/>
          <w:szCs w:val="22"/>
          <w:lang w:val="sr-Latn-ME"/>
        </w:rPr>
        <w:t>ž</w:t>
      </w:r>
      <w:r w:rsidRPr="00762596">
        <w:rPr>
          <w:iCs/>
          <w:szCs w:val="22"/>
        </w:rPr>
        <w:t>avanja</w:t>
      </w:r>
      <w:r w:rsidRPr="00762596">
        <w:rPr>
          <w:iCs/>
          <w:szCs w:val="22"/>
          <w:lang w:val="sr-Latn-ME"/>
        </w:rPr>
        <w:t xml:space="preserve"> </w:t>
      </w:r>
      <w:r w:rsidRPr="00762596">
        <w:rPr>
          <w:iCs/>
          <w:szCs w:val="22"/>
        </w:rPr>
        <w:t>perfuzije</w:t>
      </w:r>
      <w:r w:rsidRPr="00762596">
        <w:rPr>
          <w:iCs/>
          <w:szCs w:val="22"/>
          <w:lang w:val="sr-Latn-ME"/>
        </w:rPr>
        <w:t xml:space="preserve"> </w:t>
      </w:r>
      <w:r w:rsidRPr="00762596">
        <w:rPr>
          <w:iCs/>
          <w:szCs w:val="22"/>
        </w:rPr>
        <w:t>i</w:t>
      </w:r>
      <w:r w:rsidRPr="00762596">
        <w:rPr>
          <w:iCs/>
          <w:szCs w:val="22"/>
          <w:lang w:val="sr-Latn-ME"/>
        </w:rPr>
        <w:t xml:space="preserve"> </w:t>
      </w:r>
      <w:r w:rsidRPr="00762596">
        <w:rPr>
          <w:iCs/>
          <w:szCs w:val="22"/>
        </w:rPr>
        <w:t>minutnog</w:t>
      </w:r>
      <w:r w:rsidRPr="00762596">
        <w:rPr>
          <w:iCs/>
          <w:szCs w:val="22"/>
          <w:lang w:val="sr-Latn-ME"/>
        </w:rPr>
        <w:t xml:space="preserve"> </w:t>
      </w:r>
      <w:r w:rsidRPr="00762596">
        <w:rPr>
          <w:iCs/>
          <w:szCs w:val="22"/>
        </w:rPr>
        <w:t>volumena</w:t>
      </w:r>
      <w:r w:rsidRPr="00762596">
        <w:rPr>
          <w:iCs/>
          <w:szCs w:val="22"/>
          <w:lang w:val="sr-Latn-ME"/>
        </w:rPr>
        <w:t xml:space="preserve"> </w:t>
      </w:r>
      <w:r w:rsidRPr="00762596">
        <w:rPr>
          <w:iCs/>
          <w:szCs w:val="22"/>
        </w:rPr>
        <w:t>srca</w:t>
      </w:r>
      <w:r w:rsidRPr="00762596">
        <w:rPr>
          <w:iCs/>
          <w:szCs w:val="22"/>
          <w:lang w:val="sr-Latn-ME"/>
        </w:rPr>
        <w:t xml:space="preserve"> </w:t>
      </w:r>
      <w:r w:rsidRPr="00762596">
        <w:rPr>
          <w:iCs/>
          <w:szCs w:val="22"/>
        </w:rPr>
        <w:t>mogu</w:t>
      </w:r>
      <w:r w:rsidRPr="00762596">
        <w:rPr>
          <w:iCs/>
          <w:szCs w:val="22"/>
          <w:lang w:val="sr-Latn-ME"/>
        </w:rPr>
        <w:t xml:space="preserve"> </w:t>
      </w:r>
      <w:r w:rsidRPr="00762596">
        <w:rPr>
          <w:iCs/>
          <w:szCs w:val="22"/>
        </w:rPr>
        <w:t>biti</w:t>
      </w:r>
      <w:r w:rsidRPr="00762596">
        <w:rPr>
          <w:iCs/>
          <w:szCs w:val="22"/>
          <w:lang w:val="sr-Latn-ME"/>
        </w:rPr>
        <w:t xml:space="preserve"> </w:t>
      </w:r>
      <w:r w:rsidRPr="00762596">
        <w:rPr>
          <w:iCs/>
          <w:szCs w:val="22"/>
        </w:rPr>
        <w:t>precipitiraju</w:t>
      </w:r>
      <w:r w:rsidRPr="00762596">
        <w:rPr>
          <w:iCs/>
          <w:szCs w:val="22"/>
          <w:lang w:val="sr-Latn-ME"/>
        </w:rPr>
        <w:t>ć</w:t>
      </w:r>
      <w:r w:rsidRPr="00762596">
        <w:rPr>
          <w:iCs/>
          <w:szCs w:val="22"/>
        </w:rPr>
        <w:t>i</w:t>
      </w:r>
      <w:r w:rsidRPr="00762596">
        <w:rPr>
          <w:iCs/>
          <w:szCs w:val="22"/>
          <w:lang w:val="sr-Latn-ME"/>
        </w:rPr>
        <w:t xml:space="preserve"> </w:t>
      </w:r>
      <w:r w:rsidRPr="00762596">
        <w:rPr>
          <w:iCs/>
          <w:szCs w:val="22"/>
        </w:rPr>
        <w:t>faktori</w:t>
      </w:r>
      <w:r w:rsidRPr="00762596">
        <w:rPr>
          <w:iCs/>
          <w:szCs w:val="22"/>
          <w:lang w:val="sr-Latn-ME"/>
        </w:rPr>
        <w:t>.</w:t>
      </w:r>
    </w:p>
    <w:p w14:paraId="3B11A54B" w14:textId="77777777" w:rsidR="00EA6F00" w:rsidRPr="00762596" w:rsidRDefault="00EA6F00">
      <w:pPr>
        <w:widowControl w:val="0"/>
        <w:jc w:val="both"/>
        <w:rPr>
          <w:iCs/>
          <w:szCs w:val="22"/>
          <w:u w:val="single"/>
          <w:lang w:val="sr-Latn-ME"/>
        </w:rPr>
      </w:pPr>
    </w:p>
    <w:p w14:paraId="2EFF0743" w14:textId="77777777" w:rsidR="00EA6F00" w:rsidRPr="00762596" w:rsidRDefault="00861C42">
      <w:pPr>
        <w:widowControl w:val="0"/>
        <w:jc w:val="both"/>
        <w:rPr>
          <w:iCs/>
          <w:szCs w:val="22"/>
          <w:u w:val="single"/>
          <w:lang w:val="sr-Latn-ME"/>
        </w:rPr>
      </w:pPr>
      <w:r w:rsidRPr="00762596">
        <w:rPr>
          <w:iCs/>
          <w:szCs w:val="22"/>
          <w:u w:val="single"/>
          <w:lang w:val="sr-Latn-ME"/>
        </w:rPr>
        <w:t>Liječenje</w:t>
      </w:r>
    </w:p>
    <w:p w14:paraId="08C66717" w14:textId="77777777" w:rsidR="00EA6F00" w:rsidRPr="00762596" w:rsidRDefault="00EA6F00">
      <w:pPr>
        <w:widowControl w:val="0"/>
        <w:jc w:val="both"/>
        <w:rPr>
          <w:iCs/>
          <w:szCs w:val="22"/>
          <w:lang w:val="sr-Latn-ME"/>
        </w:rPr>
      </w:pPr>
    </w:p>
    <w:p w14:paraId="3E6D975A" w14:textId="77777777" w:rsidR="00EA6F00" w:rsidRPr="00762596" w:rsidRDefault="00861C42">
      <w:pPr>
        <w:widowControl w:val="0"/>
        <w:jc w:val="both"/>
        <w:rPr>
          <w:iCs/>
          <w:szCs w:val="22"/>
          <w:lang w:val="sr-Latn-ME"/>
        </w:rPr>
      </w:pPr>
      <w:r w:rsidRPr="00762596">
        <w:rPr>
          <w:szCs w:val="22"/>
          <w:lang w:val="sr-Latn-ME"/>
        </w:rPr>
        <w:t xml:space="preserve">Ako je lijek uzet nedavno, u obzir dolazi izazivanje povraćanja ili ispiranje želuca. Pokazano je da primjena aktivnog uglja zdravim dobrovoljcima odmah ili do dva sata nakon ingestije amlodipina značajno smanjuje resorpciju amlodipina. Klinički značajna hipotenzija zbog predoziranja kombinacijom </w:t>
      </w:r>
      <w:r w:rsidRPr="00762596">
        <w:rPr>
          <w:iCs/>
          <w:szCs w:val="22"/>
          <w:lang w:val="sr-Latn-ME"/>
        </w:rPr>
        <w:t xml:space="preserve">amlodipina/valsartana </w:t>
      </w:r>
      <w:r w:rsidRPr="00762596">
        <w:rPr>
          <w:szCs w:val="22"/>
          <w:lang w:val="sr-Latn-ME"/>
        </w:rPr>
        <w:t>zahtijeva aktivnu kardiovaskularnu potporu, uključujući često praćenje srčane i respiratorne funkcije, podizanje ekstremiteta, uz praćenje volumena cirkulišuće tečnosti i mokrenja. Vazokonstriktor može pomoći u ponovnom uspostavljanju vaskularnog tonusa i krvnog pritiska, pod uslovom da nema kontraindikacija za njegovu primjenu. Intravenski kalcijum glukonat može pomoći u poništavanju dejstva blokade kalcijumskih kanala.</w:t>
      </w:r>
    </w:p>
    <w:p w14:paraId="0D5421CE" w14:textId="77777777" w:rsidR="00EA6F00" w:rsidRPr="00762596" w:rsidRDefault="00EA6F00">
      <w:pPr>
        <w:widowControl w:val="0"/>
        <w:jc w:val="both"/>
        <w:rPr>
          <w:iCs/>
          <w:szCs w:val="22"/>
          <w:lang w:val="sr-Latn-ME"/>
        </w:rPr>
      </w:pPr>
    </w:p>
    <w:p w14:paraId="6FA18199" w14:textId="77777777" w:rsidR="00EA6F00" w:rsidRPr="00762596" w:rsidRDefault="00861C42">
      <w:pPr>
        <w:widowControl w:val="0"/>
        <w:jc w:val="both"/>
        <w:rPr>
          <w:szCs w:val="22"/>
          <w:lang w:val="sr-Latn-ME"/>
        </w:rPr>
      </w:pPr>
      <w:r w:rsidRPr="00762596">
        <w:rPr>
          <w:szCs w:val="22"/>
          <w:lang w:val="sr-Latn-ME"/>
        </w:rPr>
        <w:t>I valsartan i amlodipin se najvjerovatnije ne mogu ukloniti hemodijalizom.</w:t>
      </w:r>
    </w:p>
    <w:p w14:paraId="21F5B967" w14:textId="77777777" w:rsidR="00EA6F00" w:rsidRPr="00762596" w:rsidRDefault="00EA6F00">
      <w:pPr>
        <w:widowControl w:val="0"/>
        <w:jc w:val="both"/>
        <w:rPr>
          <w:szCs w:val="22"/>
          <w:lang w:val="sr-Latn-ME"/>
        </w:rPr>
      </w:pPr>
    </w:p>
    <w:p w14:paraId="6AD670C5" w14:textId="77777777" w:rsidR="00EA6F00" w:rsidRPr="00762596" w:rsidRDefault="00EA6F00">
      <w:pPr>
        <w:widowControl w:val="0"/>
        <w:jc w:val="both"/>
        <w:rPr>
          <w:szCs w:val="22"/>
          <w:lang w:val="sr-Latn-ME"/>
        </w:rPr>
      </w:pPr>
    </w:p>
    <w:p w14:paraId="3FB112ED" w14:textId="77777777" w:rsidR="00EA6F00" w:rsidRPr="00762596" w:rsidRDefault="00861C42">
      <w:pPr>
        <w:widowControl w:val="0"/>
        <w:ind w:left="567" w:hanging="567"/>
        <w:jc w:val="both"/>
        <w:rPr>
          <w:szCs w:val="22"/>
          <w:lang w:val="sr-Latn-ME"/>
        </w:rPr>
      </w:pPr>
      <w:r w:rsidRPr="00762596">
        <w:rPr>
          <w:b/>
          <w:szCs w:val="22"/>
          <w:lang w:val="sr-Latn-ME"/>
        </w:rPr>
        <w:t>5.</w:t>
      </w:r>
      <w:r w:rsidRPr="00762596">
        <w:rPr>
          <w:b/>
          <w:szCs w:val="22"/>
          <w:lang w:val="sr-Latn-ME"/>
        </w:rPr>
        <w:tab/>
      </w:r>
      <w:r w:rsidRPr="00762596">
        <w:rPr>
          <w:b/>
          <w:bCs/>
          <w:szCs w:val="22"/>
          <w:lang w:val="sr-Latn-ME"/>
        </w:rPr>
        <w:t>FARMAKOLOŠKI PODACI</w:t>
      </w:r>
    </w:p>
    <w:p w14:paraId="072FF487" w14:textId="77777777" w:rsidR="00EA6F00" w:rsidRPr="00762596" w:rsidRDefault="00EA6F00">
      <w:pPr>
        <w:widowControl w:val="0"/>
        <w:jc w:val="both"/>
        <w:rPr>
          <w:szCs w:val="22"/>
          <w:lang w:val="sr-Latn-ME"/>
        </w:rPr>
      </w:pPr>
    </w:p>
    <w:p w14:paraId="55C49E22" w14:textId="77777777" w:rsidR="00EA6F00" w:rsidRPr="00762596" w:rsidRDefault="00861C42">
      <w:pPr>
        <w:widowControl w:val="0"/>
        <w:ind w:left="567" w:hanging="567"/>
        <w:jc w:val="both"/>
        <w:outlineLvl w:val="0"/>
        <w:rPr>
          <w:szCs w:val="22"/>
          <w:lang w:val="sr-Latn-ME"/>
        </w:rPr>
      </w:pPr>
      <w:r w:rsidRPr="00762596">
        <w:rPr>
          <w:b/>
          <w:szCs w:val="22"/>
          <w:lang w:val="sr-Latn-ME"/>
        </w:rPr>
        <w:t>5.1</w:t>
      </w:r>
      <w:r w:rsidRPr="00762596">
        <w:rPr>
          <w:b/>
          <w:szCs w:val="22"/>
          <w:lang w:val="sr-Latn-ME"/>
        </w:rPr>
        <w:tab/>
      </w:r>
      <w:r w:rsidRPr="00762596">
        <w:rPr>
          <w:b/>
          <w:bCs/>
          <w:szCs w:val="22"/>
          <w:lang w:val="sr-Latn-ME"/>
        </w:rPr>
        <w:t>Farmakodinamski podaci</w:t>
      </w:r>
    </w:p>
    <w:p w14:paraId="72F355F1" w14:textId="77777777" w:rsidR="00EA6F00" w:rsidRPr="00762596" w:rsidRDefault="00EA6F00">
      <w:pPr>
        <w:widowControl w:val="0"/>
        <w:jc w:val="both"/>
        <w:rPr>
          <w:szCs w:val="22"/>
          <w:lang w:val="sr-Latn-ME"/>
        </w:rPr>
      </w:pPr>
    </w:p>
    <w:p w14:paraId="7C34E559" w14:textId="77777777" w:rsidR="00EA6F00" w:rsidRPr="00762596" w:rsidRDefault="00861C42">
      <w:pPr>
        <w:widowControl w:val="0"/>
        <w:jc w:val="both"/>
        <w:rPr>
          <w:szCs w:val="22"/>
          <w:lang w:val="sr-Latn-ME"/>
        </w:rPr>
      </w:pPr>
      <w:r w:rsidRPr="00762596">
        <w:rPr>
          <w:b/>
          <w:szCs w:val="22"/>
          <w:lang w:val="sr-Latn-ME"/>
        </w:rPr>
        <w:t>Farmakoterapijska grupa:</w:t>
      </w:r>
      <w:r w:rsidRPr="00762596">
        <w:rPr>
          <w:szCs w:val="22"/>
          <w:lang w:val="sr-Latn-ME"/>
        </w:rPr>
        <w:t xml:space="preserve"> ljekovi koji djeluju na renin-angiotenzin sistem; antagonisti angiotenzina II, kombinacije; antagonisti angiotenzina II, i blokatori kalcijumovih kanala </w:t>
      </w:r>
    </w:p>
    <w:p w14:paraId="144F8FA1" w14:textId="77777777" w:rsidR="00EA6F00" w:rsidRPr="00762596" w:rsidRDefault="00EA6F00">
      <w:pPr>
        <w:widowControl w:val="0"/>
        <w:jc w:val="both"/>
        <w:rPr>
          <w:szCs w:val="22"/>
          <w:lang w:val="sr-Latn-ME"/>
        </w:rPr>
      </w:pPr>
    </w:p>
    <w:p w14:paraId="4B45D68C" w14:textId="77777777" w:rsidR="00EA6F00" w:rsidRPr="00762596" w:rsidRDefault="00861C42">
      <w:pPr>
        <w:widowControl w:val="0"/>
        <w:jc w:val="both"/>
        <w:rPr>
          <w:szCs w:val="22"/>
          <w:lang w:val="sr-Latn-ME"/>
        </w:rPr>
      </w:pPr>
      <w:r w:rsidRPr="00762596">
        <w:rPr>
          <w:b/>
          <w:szCs w:val="22"/>
          <w:lang w:val="sr-Latn-ME"/>
        </w:rPr>
        <w:t>ATC kod:</w:t>
      </w:r>
      <w:r w:rsidRPr="00762596">
        <w:rPr>
          <w:szCs w:val="22"/>
          <w:lang w:val="sr-Latn-ME"/>
        </w:rPr>
        <w:t xml:space="preserve"> C09DB01</w:t>
      </w:r>
    </w:p>
    <w:p w14:paraId="5144A880" w14:textId="77777777" w:rsidR="00EA6F00" w:rsidRPr="00762596" w:rsidRDefault="00EA6F00">
      <w:pPr>
        <w:widowControl w:val="0"/>
        <w:jc w:val="both"/>
        <w:rPr>
          <w:szCs w:val="22"/>
          <w:lang w:val="sr-Latn-ME"/>
        </w:rPr>
      </w:pPr>
    </w:p>
    <w:p w14:paraId="52012911" w14:textId="77777777" w:rsidR="00EA6F00" w:rsidRPr="00762596" w:rsidRDefault="00861C42">
      <w:pPr>
        <w:widowControl w:val="0"/>
        <w:jc w:val="both"/>
        <w:rPr>
          <w:color w:val="000000"/>
          <w:szCs w:val="22"/>
          <w:lang w:val="sr-Latn-ME"/>
        </w:rPr>
      </w:pPr>
      <w:r w:rsidRPr="00762596">
        <w:rPr>
          <w:color w:val="000000"/>
          <w:szCs w:val="22"/>
          <w:lang w:val="sr-Latn-ME"/>
        </w:rPr>
        <w:t xml:space="preserve">Amlodipin/valsartan predstavlja </w:t>
      </w:r>
      <w:r w:rsidRPr="00762596">
        <w:rPr>
          <w:szCs w:val="22"/>
          <w:lang w:val="sr-Latn-ME"/>
        </w:rPr>
        <w:t>kombinaciju dva antihipertenzivna sastojka sa komplementarnim mehanizmima kontrole krvnog pritiska kod pacijenata sa esencijalnom hipertenzijom: amlodipin pripada grupi kalcijumskih antagonista, dok valsartan pripada grupi antagonista angiotenzina II. Kombinacija ovih ljekova ima dodatni antihipertenzivni efekat, čime u većoj mjeri snižava krvni pritisak nego svaka od pojedinih komponenti samostalno.</w:t>
      </w:r>
    </w:p>
    <w:p w14:paraId="1191409A" w14:textId="77777777" w:rsidR="00EA6F00" w:rsidRPr="00762596" w:rsidRDefault="00EA6F00">
      <w:pPr>
        <w:widowControl w:val="0"/>
        <w:jc w:val="both"/>
        <w:rPr>
          <w:color w:val="000000"/>
          <w:szCs w:val="22"/>
          <w:lang w:val="sr-Latn-ME"/>
        </w:rPr>
      </w:pPr>
    </w:p>
    <w:p w14:paraId="0C681C1B" w14:textId="77777777" w:rsidR="00EA6F00" w:rsidRPr="00762596" w:rsidRDefault="00861C42">
      <w:pPr>
        <w:widowControl w:val="0"/>
        <w:jc w:val="both"/>
        <w:rPr>
          <w:color w:val="000000"/>
          <w:szCs w:val="22"/>
          <w:u w:val="single"/>
          <w:lang w:val="sr-Latn-ME"/>
        </w:rPr>
      </w:pPr>
      <w:r w:rsidRPr="00762596">
        <w:rPr>
          <w:color w:val="000000"/>
          <w:szCs w:val="22"/>
          <w:u w:val="single"/>
          <w:lang w:val="sr-Latn-ME"/>
        </w:rPr>
        <w:lastRenderedPageBreak/>
        <w:t xml:space="preserve">Amlodipin/valsartan </w:t>
      </w:r>
    </w:p>
    <w:p w14:paraId="110AE837" w14:textId="77777777" w:rsidR="00EA6F00" w:rsidRPr="00762596" w:rsidRDefault="00EA6F00">
      <w:pPr>
        <w:widowControl w:val="0"/>
        <w:jc w:val="both"/>
        <w:rPr>
          <w:color w:val="000000"/>
          <w:szCs w:val="22"/>
          <w:lang w:val="sr-Latn-ME"/>
        </w:rPr>
      </w:pPr>
    </w:p>
    <w:p w14:paraId="6A7B467E" w14:textId="77777777" w:rsidR="00EA6F00" w:rsidRPr="00762596" w:rsidRDefault="00861C42">
      <w:pPr>
        <w:widowControl w:val="0"/>
        <w:jc w:val="both"/>
        <w:rPr>
          <w:color w:val="000000"/>
          <w:szCs w:val="22"/>
          <w:lang w:val="sr-Latn-ME"/>
        </w:rPr>
      </w:pPr>
      <w:r w:rsidRPr="00762596">
        <w:rPr>
          <w:szCs w:val="22"/>
          <w:lang w:val="sr-Latn-ME"/>
        </w:rPr>
        <w:t>Kombinacija amlodipina i valsartana dovodi do dodatnog sniženja krvnog pritiska povezanog sa dozom unutar terapijskog raspona doze. Antihipertenzivni efekat jednokratne doze kombinacije održan je tokom 24 sata.</w:t>
      </w:r>
    </w:p>
    <w:p w14:paraId="164C38AD" w14:textId="77777777" w:rsidR="00EA6F00" w:rsidRPr="00762596" w:rsidRDefault="00EA6F00">
      <w:pPr>
        <w:widowControl w:val="0"/>
        <w:jc w:val="both"/>
        <w:rPr>
          <w:color w:val="000000"/>
          <w:szCs w:val="22"/>
          <w:lang w:val="sr-Latn-ME"/>
        </w:rPr>
      </w:pPr>
    </w:p>
    <w:p w14:paraId="052703B7" w14:textId="77777777" w:rsidR="00EA6F00" w:rsidRPr="00762596" w:rsidRDefault="00861C42">
      <w:pPr>
        <w:widowControl w:val="0"/>
        <w:jc w:val="both"/>
        <w:rPr>
          <w:i/>
          <w:color w:val="000000"/>
          <w:szCs w:val="22"/>
          <w:lang w:val="sr-Latn-ME"/>
        </w:rPr>
      </w:pPr>
      <w:r w:rsidRPr="00762596">
        <w:rPr>
          <w:i/>
          <w:color w:val="000000"/>
          <w:szCs w:val="22"/>
          <w:lang w:val="sr-Latn-ME"/>
        </w:rPr>
        <w:t>Placebo kontrolisana ispitivanja</w:t>
      </w:r>
    </w:p>
    <w:p w14:paraId="44C6462B" w14:textId="77777777" w:rsidR="00EA6F00" w:rsidRPr="00762596" w:rsidRDefault="00EA6F00">
      <w:pPr>
        <w:widowControl w:val="0"/>
        <w:jc w:val="both"/>
        <w:rPr>
          <w:color w:val="000000"/>
          <w:szCs w:val="22"/>
          <w:lang w:val="sr-Latn-ME"/>
        </w:rPr>
      </w:pPr>
    </w:p>
    <w:p w14:paraId="057EAC6D" w14:textId="77777777" w:rsidR="00EA6F00" w:rsidRPr="00762596" w:rsidRDefault="00861C42">
      <w:pPr>
        <w:widowControl w:val="0"/>
        <w:jc w:val="both"/>
        <w:rPr>
          <w:color w:val="000000"/>
          <w:szCs w:val="22"/>
          <w:lang w:val="sr-Latn-ME"/>
        </w:rPr>
      </w:pPr>
      <w:r w:rsidRPr="00762596">
        <w:rPr>
          <w:szCs w:val="22"/>
          <w:lang w:val="sr-Latn-ME"/>
        </w:rPr>
        <w:t xml:space="preserve">Više od 1400 hipertenzivnih pacijenata primalo je kombinaciju </w:t>
      </w:r>
      <w:r w:rsidRPr="00762596">
        <w:rPr>
          <w:color w:val="000000"/>
          <w:szCs w:val="22"/>
          <w:lang w:val="sr-Latn-ME"/>
        </w:rPr>
        <w:t xml:space="preserve">amlodipin/valsartan </w:t>
      </w:r>
      <w:r w:rsidRPr="00762596">
        <w:rPr>
          <w:szCs w:val="22"/>
          <w:lang w:val="sr-Latn-ME"/>
        </w:rPr>
        <w:t>jednom dnevno u dva placebo kontrolisana klinička ispitivanja. Odrasle osobe sa blagom do umjerenom nekomplikovanom esencijalnom hipertenzijom (srednja vrijednost dijastolnog krvnog pritiska u sjedećem položaju ≥95 i &lt;110 mmHg) bile su uključene u ispitivanje. Pacijenti sa visokim kardiovaskularnim rizicima – insufijencija srca, dijabetes tip I i loše kontrolisani tip II, kao i sa infarktom miokarda ili moždanim udarom unutar godinu dana u anamnezi – bili su isključeni iz ispitivanja.</w:t>
      </w:r>
    </w:p>
    <w:p w14:paraId="67A98C0A" w14:textId="77777777" w:rsidR="00EA6F00" w:rsidRPr="00762596" w:rsidRDefault="00EA6F00">
      <w:pPr>
        <w:widowControl w:val="0"/>
        <w:jc w:val="both"/>
        <w:rPr>
          <w:color w:val="000000"/>
          <w:szCs w:val="22"/>
          <w:lang w:val="sr-Latn-ME"/>
        </w:rPr>
      </w:pPr>
    </w:p>
    <w:p w14:paraId="6E6E4F8B" w14:textId="77777777" w:rsidR="00EA6F00" w:rsidRPr="00762596" w:rsidRDefault="00861C42">
      <w:pPr>
        <w:widowControl w:val="0"/>
        <w:jc w:val="both"/>
        <w:rPr>
          <w:i/>
          <w:color w:val="000000"/>
          <w:szCs w:val="22"/>
          <w:lang w:val="sr-Latn-ME"/>
        </w:rPr>
      </w:pPr>
      <w:r w:rsidRPr="00762596">
        <w:rPr>
          <w:i/>
          <w:color w:val="000000"/>
          <w:szCs w:val="22"/>
          <w:lang w:val="sr-Latn-ME"/>
        </w:rPr>
        <w:t>Aktivno kontrolisana ispitivanja kod pacijenata koji nisu odgovarali na monoterapiju</w:t>
      </w:r>
    </w:p>
    <w:p w14:paraId="18EE87A0" w14:textId="77777777" w:rsidR="00EA6F00" w:rsidRPr="00762596" w:rsidRDefault="00EA6F00">
      <w:pPr>
        <w:widowControl w:val="0"/>
        <w:jc w:val="both"/>
        <w:rPr>
          <w:color w:val="000000"/>
          <w:szCs w:val="22"/>
          <w:lang w:val="sr-Latn-ME"/>
        </w:rPr>
      </w:pPr>
    </w:p>
    <w:p w14:paraId="11D5CFFB" w14:textId="77777777" w:rsidR="00EA6F00" w:rsidRPr="00762596" w:rsidRDefault="00861C42">
      <w:pPr>
        <w:widowControl w:val="0"/>
        <w:jc w:val="both"/>
        <w:rPr>
          <w:color w:val="000000"/>
          <w:szCs w:val="22"/>
          <w:lang w:val="sr-Latn-ME"/>
        </w:rPr>
      </w:pPr>
      <w:r w:rsidRPr="00762596">
        <w:rPr>
          <w:szCs w:val="22"/>
          <w:lang w:val="sr-Latn-ME"/>
        </w:rPr>
        <w:t>Multicentrično, randomizovano, dvostruko slijepo, aktivno kontrolisano ispitivanje paralelnih grupa je kod pacijenata, koji nisu bili odgovarajuće kontrolisani valsartanom 160 mg, pokazalo normalizaciju krvnog pritiska (donja vrijednost dijastolnog krvnog pritiska u sjedećem položaju &lt;90 mmHg na kraju ispitivanja) kod 75% pacijenata liječenih kombinacijom amlodipina/valsartana 10 mg/160 mg, i 62% pacijenata liječenih kombinacijom amlodipina/valsartana 5 mg/160 mg, u poređenju sa 53% pacijenata koji su ostali na valsartanu 160 mg. Dodatak amlodipina 10 mg i 5 mg doveo je do dodatnog sniženja sistolnog/dijastolnog krvnog pritiska za 6,0/4,8 mmHg, odnosno 3,9/2,9 mmHg, u poređenju sa pacijentima koji su ostali samo na valsartanu 160 mg.</w:t>
      </w:r>
    </w:p>
    <w:p w14:paraId="52989544" w14:textId="77777777" w:rsidR="00EA6F00" w:rsidRPr="00762596" w:rsidRDefault="00EA6F00">
      <w:pPr>
        <w:widowControl w:val="0"/>
        <w:jc w:val="both"/>
        <w:rPr>
          <w:color w:val="000000"/>
          <w:szCs w:val="22"/>
          <w:lang w:val="sr-Latn-ME"/>
        </w:rPr>
      </w:pPr>
    </w:p>
    <w:p w14:paraId="42A33DAD" w14:textId="77777777" w:rsidR="00EA6F00" w:rsidRPr="00762596" w:rsidRDefault="00861C42">
      <w:pPr>
        <w:widowControl w:val="0"/>
        <w:jc w:val="both"/>
        <w:rPr>
          <w:color w:val="000000"/>
          <w:szCs w:val="22"/>
          <w:lang w:val="sr-Latn-ME"/>
        </w:rPr>
      </w:pPr>
      <w:r w:rsidRPr="00762596">
        <w:rPr>
          <w:szCs w:val="22"/>
          <w:lang w:val="sr-Latn-ME"/>
        </w:rPr>
        <w:t>Multicentrično, randomizovano, dvostruko slijepo, aktivno kontrolisano ispitivanje paralelnih grupa je kod pacijenata, koji nisu bili odgovarajuće kontrolisani amlodipinom 10 mg, pokazalo normalizaciju krvnog pritiska (donja vrijednost dijastolnog krvnog pritiska u sjedećem položaju &lt;90 mmHg na kraju ispitivanja) kod 78% pacijenata liječenih kombinacijom amlodipina/valsartana 10 mg/160 mg, u poređenju sa 67% pacijenata koji su ostali na amlodipinu 10 mg. Dodatak valsartana 160 mg doveo je do dodatnog sniženja sistolnog/dijastolnog krvnog pritiska za 2,9/2,1 mmHg, u poređenju sa pacijentima koji su ostali samo na amlodipinu 10 mg.</w:t>
      </w:r>
    </w:p>
    <w:p w14:paraId="0B81E5E0" w14:textId="77777777" w:rsidR="00EA6F00" w:rsidRPr="00762596" w:rsidRDefault="00EA6F00">
      <w:pPr>
        <w:widowControl w:val="0"/>
        <w:jc w:val="both"/>
        <w:rPr>
          <w:color w:val="000000"/>
          <w:szCs w:val="22"/>
          <w:lang w:val="sr-Latn-ME"/>
        </w:rPr>
      </w:pPr>
    </w:p>
    <w:p w14:paraId="115C758E" w14:textId="77777777" w:rsidR="00EA6F00" w:rsidRPr="00762596" w:rsidRDefault="00861C42">
      <w:pPr>
        <w:widowControl w:val="0"/>
        <w:jc w:val="both"/>
        <w:rPr>
          <w:color w:val="000000"/>
          <w:szCs w:val="22"/>
          <w:lang w:val="sr-Latn-ME"/>
        </w:rPr>
      </w:pPr>
      <w:r w:rsidRPr="00762596">
        <w:rPr>
          <w:color w:val="000000"/>
          <w:szCs w:val="22"/>
          <w:lang w:val="sr-Latn-ME"/>
        </w:rPr>
        <w:t xml:space="preserve">Kombinacija amlodipin/valsartan </w:t>
      </w:r>
      <w:r w:rsidRPr="00762596">
        <w:rPr>
          <w:szCs w:val="22"/>
          <w:lang w:val="sr-Latn-ME"/>
        </w:rPr>
        <w:t xml:space="preserve">je ispitivana i u aktivno kontrolisanom kliničkom ispitivanju sa 130 hipertenzivnih pacijenata sa srednjom vrijednošću dijastolnog krvnog pritiska u sjedećem položaju ≥110 mmHg i &lt;120 mmHg. U tom ispitivanju (početni krvni pritisak 171/113 mmHg), liječenje kombinacijom </w:t>
      </w:r>
      <w:r w:rsidRPr="00762596">
        <w:rPr>
          <w:color w:val="000000"/>
          <w:szCs w:val="22"/>
          <w:lang w:val="sr-Latn-ME"/>
        </w:rPr>
        <w:t xml:space="preserve">amlodipina/valsartana </w:t>
      </w:r>
      <w:r w:rsidRPr="00762596">
        <w:rPr>
          <w:szCs w:val="22"/>
          <w:lang w:val="sr-Latn-ME"/>
        </w:rPr>
        <w:t>5 mg/160 mg titriranim do 10 mg/160 mg snizilo je krvni pritisak u sjedećem položaju za 36/29 mmHg, u poređenju sa 32/28 mmHg kod liječenja kombinacijom lizinoprila/hidrohlorotiazida 10 mg/12,5 mg titriranim do 20 mg/12,5 mg.</w:t>
      </w:r>
    </w:p>
    <w:p w14:paraId="23167E63" w14:textId="77777777" w:rsidR="00EA6F00" w:rsidRPr="00762596" w:rsidRDefault="00EA6F00">
      <w:pPr>
        <w:widowControl w:val="0"/>
        <w:jc w:val="both"/>
        <w:rPr>
          <w:color w:val="000000"/>
          <w:szCs w:val="22"/>
          <w:lang w:val="sr-Latn-ME"/>
        </w:rPr>
      </w:pPr>
    </w:p>
    <w:p w14:paraId="30FB5F7A" w14:textId="77777777" w:rsidR="00EA6F00" w:rsidRPr="00762596" w:rsidRDefault="00861C42">
      <w:pPr>
        <w:widowControl w:val="0"/>
        <w:jc w:val="both"/>
        <w:rPr>
          <w:szCs w:val="22"/>
          <w:lang w:val="sr-Latn-ME"/>
        </w:rPr>
      </w:pPr>
      <w:r w:rsidRPr="00762596">
        <w:rPr>
          <w:szCs w:val="22"/>
          <w:lang w:val="sr-Latn-ME"/>
        </w:rPr>
        <w:t xml:space="preserve">U dva dugotrajna ispitivanja praćenja, dejstvo kombinacije </w:t>
      </w:r>
      <w:r w:rsidRPr="00762596">
        <w:rPr>
          <w:color w:val="000000"/>
          <w:szCs w:val="22"/>
          <w:lang w:val="sr-Latn-ME"/>
        </w:rPr>
        <w:t xml:space="preserve">amlodipina/valsartana </w:t>
      </w:r>
      <w:r w:rsidRPr="00762596">
        <w:rPr>
          <w:szCs w:val="22"/>
          <w:lang w:val="sr-Latn-ME"/>
        </w:rPr>
        <w:t xml:space="preserve">bilo je održano tokom više od jedne godine. Nagli prekid primjene kombinacije </w:t>
      </w:r>
      <w:r w:rsidRPr="00762596">
        <w:rPr>
          <w:color w:val="000000"/>
          <w:szCs w:val="22"/>
          <w:lang w:val="sr-Latn-ME"/>
        </w:rPr>
        <w:t xml:space="preserve">amlodipina/valsartana </w:t>
      </w:r>
      <w:r w:rsidRPr="00762596">
        <w:rPr>
          <w:szCs w:val="22"/>
          <w:lang w:val="sr-Latn-ME"/>
        </w:rPr>
        <w:t>nije bio povezan sa naglim povišenjem krvnog pritiska.</w:t>
      </w:r>
    </w:p>
    <w:p w14:paraId="368A980C" w14:textId="77777777" w:rsidR="00EA6F00" w:rsidRPr="00762596" w:rsidRDefault="00861C42">
      <w:pPr>
        <w:widowControl w:val="0"/>
        <w:jc w:val="both"/>
        <w:rPr>
          <w:color w:val="000000"/>
          <w:szCs w:val="22"/>
          <w:lang w:val="sr-Latn-ME"/>
        </w:rPr>
      </w:pPr>
      <w:r w:rsidRPr="00762596">
        <w:rPr>
          <w:szCs w:val="22"/>
          <w:lang w:val="sr-Latn-ME"/>
        </w:rPr>
        <w:t>Starost, pol, rasa ili indeks tjelesne mase (≥30 kg/m</w:t>
      </w:r>
      <w:r w:rsidRPr="00762596">
        <w:rPr>
          <w:szCs w:val="22"/>
          <w:vertAlign w:val="superscript"/>
          <w:lang w:val="sr-Latn-ME"/>
        </w:rPr>
        <w:t>2</w:t>
      </w:r>
      <w:r w:rsidRPr="00762596">
        <w:rPr>
          <w:szCs w:val="22"/>
          <w:lang w:val="sr-Latn-ME"/>
        </w:rPr>
        <w:t>, &lt;30 kg/m</w:t>
      </w:r>
      <w:r w:rsidRPr="00762596">
        <w:rPr>
          <w:szCs w:val="22"/>
          <w:vertAlign w:val="superscript"/>
          <w:lang w:val="sr-Latn-ME"/>
        </w:rPr>
        <w:t>2</w:t>
      </w:r>
      <w:r w:rsidRPr="00762596">
        <w:rPr>
          <w:szCs w:val="22"/>
          <w:lang w:val="sr-Latn-ME"/>
        </w:rPr>
        <w:t xml:space="preserve">) nijesu uticali na odgovor na </w:t>
      </w:r>
      <w:r w:rsidRPr="00762596">
        <w:rPr>
          <w:color w:val="000000"/>
          <w:szCs w:val="22"/>
          <w:lang w:val="sr-Latn-ME"/>
        </w:rPr>
        <w:t>amlodipin/valsartan</w:t>
      </w:r>
      <w:r w:rsidRPr="00762596">
        <w:rPr>
          <w:szCs w:val="22"/>
          <w:lang w:val="sr-Latn-ME"/>
        </w:rPr>
        <w:t>.</w:t>
      </w:r>
    </w:p>
    <w:p w14:paraId="7DF7DE32" w14:textId="77777777" w:rsidR="00EA6F00" w:rsidRPr="00762596" w:rsidRDefault="00EA6F00">
      <w:pPr>
        <w:widowControl w:val="0"/>
        <w:jc w:val="both"/>
        <w:rPr>
          <w:color w:val="000000"/>
          <w:szCs w:val="22"/>
          <w:lang w:val="sr-Latn-ME"/>
        </w:rPr>
      </w:pPr>
    </w:p>
    <w:p w14:paraId="29141C33" w14:textId="77777777" w:rsidR="00EA6F00" w:rsidRPr="00762596" w:rsidRDefault="00861C42">
      <w:pPr>
        <w:widowControl w:val="0"/>
        <w:jc w:val="both"/>
        <w:rPr>
          <w:color w:val="000000"/>
          <w:szCs w:val="22"/>
          <w:lang w:val="sr-Latn-ME"/>
        </w:rPr>
      </w:pPr>
      <w:r w:rsidRPr="00762596">
        <w:rPr>
          <w:color w:val="000000"/>
          <w:szCs w:val="22"/>
          <w:lang w:val="sr-Latn-ME"/>
        </w:rPr>
        <w:t xml:space="preserve">Kombinacija amlodipina/valsartana </w:t>
      </w:r>
      <w:r w:rsidRPr="00762596">
        <w:rPr>
          <w:szCs w:val="22"/>
          <w:lang w:val="sr-Latn-ME"/>
        </w:rPr>
        <w:t>nije ispitivana ni u jednoj drugoj populaciji pacijenata, osim kod pacijenata sa hipertenzijom. Valsartan je ispitivan kod pacijenata nakon infarkta miokarda i kod pacijenata sa insuficijencijom srca. Amlodipin je ispitivan kod pacijenata sa hroničnom stabilnom anginom, vazospastičnom anginom i angiografski dokumentovanom bolešću koronarnih arterija.</w:t>
      </w:r>
    </w:p>
    <w:p w14:paraId="038AAA12" w14:textId="77777777" w:rsidR="00EA6F00" w:rsidRPr="00762596" w:rsidRDefault="00EA6F00">
      <w:pPr>
        <w:widowControl w:val="0"/>
        <w:jc w:val="both"/>
        <w:rPr>
          <w:color w:val="000000"/>
          <w:szCs w:val="22"/>
          <w:lang w:val="sr-Latn-ME"/>
        </w:rPr>
      </w:pPr>
    </w:p>
    <w:p w14:paraId="79AB2A56" w14:textId="77777777" w:rsidR="00EA6F00" w:rsidRPr="00762596" w:rsidRDefault="00861C42">
      <w:pPr>
        <w:widowControl w:val="0"/>
        <w:jc w:val="both"/>
        <w:rPr>
          <w:color w:val="000000"/>
          <w:szCs w:val="22"/>
          <w:u w:val="single"/>
          <w:lang w:val="sr-Latn-ME"/>
        </w:rPr>
      </w:pPr>
      <w:r w:rsidRPr="00762596">
        <w:rPr>
          <w:color w:val="000000"/>
          <w:szCs w:val="22"/>
          <w:u w:val="single"/>
          <w:lang w:val="sr-Latn-ME"/>
        </w:rPr>
        <w:t>Amlodipin</w:t>
      </w:r>
    </w:p>
    <w:p w14:paraId="36840F1E" w14:textId="77777777" w:rsidR="00EA6F00" w:rsidRPr="00762596" w:rsidRDefault="00EA6F00">
      <w:pPr>
        <w:widowControl w:val="0"/>
        <w:jc w:val="both"/>
        <w:rPr>
          <w:color w:val="000000"/>
          <w:szCs w:val="22"/>
          <w:lang w:val="sr-Latn-ME"/>
        </w:rPr>
      </w:pPr>
    </w:p>
    <w:p w14:paraId="0344BEB4" w14:textId="77777777" w:rsidR="00EA6F00" w:rsidRPr="00762596" w:rsidRDefault="00861C42">
      <w:pPr>
        <w:widowControl w:val="0"/>
        <w:jc w:val="both"/>
        <w:rPr>
          <w:color w:val="000000"/>
          <w:szCs w:val="22"/>
          <w:lang w:val="sr-Latn-ME"/>
        </w:rPr>
      </w:pPr>
      <w:r w:rsidRPr="00762596">
        <w:rPr>
          <w:szCs w:val="22"/>
          <w:lang w:val="sr-Latn-ME"/>
        </w:rPr>
        <w:t xml:space="preserve">Amlodipinska komponenta kombinacije </w:t>
      </w:r>
      <w:r w:rsidRPr="00762596">
        <w:rPr>
          <w:color w:val="000000"/>
          <w:szCs w:val="22"/>
          <w:lang w:val="sr-Latn-ME"/>
        </w:rPr>
        <w:t xml:space="preserve">amlodipina/valsartana </w:t>
      </w:r>
      <w:r w:rsidRPr="00762596">
        <w:rPr>
          <w:szCs w:val="22"/>
          <w:lang w:val="sr-Latn-ME"/>
        </w:rPr>
        <w:t xml:space="preserve">inhibira transmembranski ulaz jona kalcijuma u srčani mišić i glatki mišić krvnih sudova. Mehanizam antihipertenzivnog djelovanja </w:t>
      </w:r>
      <w:r w:rsidRPr="00762596">
        <w:rPr>
          <w:szCs w:val="22"/>
          <w:lang w:val="sr-Latn-ME"/>
        </w:rPr>
        <w:lastRenderedPageBreak/>
        <w:t>amlodipina je zbog direktnog relaksirajućeg dejstva na glatki mišić krvnih sudova, što uzrokuje smanjenje periferne vaskularne rezistencije i krvnog pritiska. Eksperimentalni podaci pokazuju da se amlodipin veže i na dihidropiridinska i na nedihidropiridinska vezna mjesta. Kontraktilni procesi srčanog mišića i glatkog mišića krvnih sudova zavise od kretanja ekstracelularnih jona kalcijuma u ove ćelije kroz specifične jonske kanale.</w:t>
      </w:r>
    </w:p>
    <w:p w14:paraId="7F54B9D5" w14:textId="77777777" w:rsidR="00EA6F00" w:rsidRPr="00762596" w:rsidRDefault="00EA6F00">
      <w:pPr>
        <w:widowControl w:val="0"/>
        <w:jc w:val="both"/>
        <w:rPr>
          <w:color w:val="000000"/>
          <w:szCs w:val="22"/>
          <w:lang w:val="sr-Latn-ME"/>
        </w:rPr>
      </w:pPr>
    </w:p>
    <w:p w14:paraId="706A144B" w14:textId="77777777" w:rsidR="00EA6F00" w:rsidRPr="00762596" w:rsidRDefault="00861C42">
      <w:pPr>
        <w:widowControl w:val="0"/>
        <w:jc w:val="both"/>
        <w:rPr>
          <w:szCs w:val="22"/>
          <w:lang w:val="sr-Latn-ME"/>
        </w:rPr>
      </w:pPr>
      <w:r w:rsidRPr="00762596">
        <w:rPr>
          <w:szCs w:val="22"/>
          <w:lang w:val="sr-Latn-ME"/>
        </w:rPr>
        <w:t>Nakon primjene terapijskih doza pacijentima sa hipertenzijom, amlodipin dovodi do vazodilatacije, što dovodi do sniženja krvnog pritiska u ležećem i stojećem položaju. Ova sniženja krvnog pritiska nijesu praćena značajnim promjenama srčane frekvencije ili koncentracije kateholamina u plazmi kod hroničnog doziranja.</w:t>
      </w:r>
    </w:p>
    <w:p w14:paraId="30997204" w14:textId="77777777" w:rsidR="00EA6F00" w:rsidRPr="00762596" w:rsidRDefault="00EA6F00">
      <w:pPr>
        <w:widowControl w:val="0"/>
        <w:jc w:val="both"/>
        <w:rPr>
          <w:color w:val="000000"/>
          <w:szCs w:val="22"/>
          <w:lang w:val="sr-Latn-ME"/>
        </w:rPr>
      </w:pPr>
    </w:p>
    <w:p w14:paraId="09B7C52B" w14:textId="77777777" w:rsidR="00EA6F00" w:rsidRPr="00762596" w:rsidRDefault="00861C42">
      <w:pPr>
        <w:widowControl w:val="0"/>
        <w:jc w:val="both"/>
        <w:rPr>
          <w:szCs w:val="22"/>
          <w:lang w:val="sr-Latn-ME"/>
        </w:rPr>
      </w:pPr>
      <w:r w:rsidRPr="00762596">
        <w:rPr>
          <w:szCs w:val="22"/>
          <w:lang w:val="sr-Latn-ME"/>
        </w:rPr>
        <w:t>Koncentracije u plazmi koreliraju sa postignutim efektom i kod mladih i kod starijih pacijenata.</w:t>
      </w:r>
    </w:p>
    <w:p w14:paraId="6A13C18F" w14:textId="77777777" w:rsidR="00EA6F00" w:rsidRPr="00762596" w:rsidRDefault="00EA6F00">
      <w:pPr>
        <w:widowControl w:val="0"/>
        <w:jc w:val="both"/>
        <w:rPr>
          <w:color w:val="000000"/>
          <w:szCs w:val="22"/>
          <w:lang w:val="sr-Latn-ME"/>
        </w:rPr>
      </w:pPr>
    </w:p>
    <w:p w14:paraId="12F57AF8" w14:textId="77777777" w:rsidR="00EA6F00" w:rsidRPr="00762596" w:rsidRDefault="00861C42">
      <w:pPr>
        <w:widowControl w:val="0"/>
        <w:jc w:val="both"/>
        <w:rPr>
          <w:color w:val="000000"/>
          <w:szCs w:val="22"/>
          <w:lang w:val="sr-Latn-ME"/>
        </w:rPr>
      </w:pPr>
      <w:r w:rsidRPr="00762596">
        <w:rPr>
          <w:szCs w:val="22"/>
          <w:lang w:val="sr-Latn-ME"/>
        </w:rPr>
        <w:t>Kod hipertenzivnih pacijenata sa normalnom bubrežnom funkcijom, terapijske doze amlodipina dovode do smanjenja bubrežne vaskularne rezistencije i do povećanja brzine glomerularne filtracije i efektivnog protoka plazme kroz bubreg, bez promjene filtracijske frakcije ili proteinurije.</w:t>
      </w:r>
    </w:p>
    <w:p w14:paraId="6E7B44C6" w14:textId="77777777" w:rsidR="00EA6F00" w:rsidRPr="00762596" w:rsidRDefault="00EA6F00">
      <w:pPr>
        <w:widowControl w:val="0"/>
        <w:jc w:val="both"/>
        <w:rPr>
          <w:color w:val="000000"/>
          <w:szCs w:val="22"/>
          <w:lang w:val="sr-Latn-ME"/>
        </w:rPr>
      </w:pPr>
    </w:p>
    <w:p w14:paraId="0A0A411E" w14:textId="77777777" w:rsidR="00EA6F00" w:rsidRPr="00762596" w:rsidRDefault="00861C42">
      <w:pPr>
        <w:widowControl w:val="0"/>
        <w:jc w:val="both"/>
        <w:rPr>
          <w:color w:val="000000"/>
          <w:szCs w:val="22"/>
          <w:lang w:val="sr-Latn-ME"/>
        </w:rPr>
      </w:pPr>
      <w:r w:rsidRPr="00762596">
        <w:rPr>
          <w:szCs w:val="22"/>
          <w:lang w:val="sr-Latn-ME"/>
        </w:rPr>
        <w:t>Kao i kod drugih blokatora kalcijumskih kanala, hemodinamska mjerenja srčane funkcije u mirovanju i tokom opterećenja (ili tempiranog hoda) kod pacijenata sa normalnom funkcijom ventrikula liječenih amlodipinom pokazala su generalno mali porast srčanog indeksa bez značajnog uticaja na dP/dt ili na krajnji dijastolni pritisak lijevog ventrikula ili volumen lijevog ventrikula. U hemodinamskim ispitivanjima, amlodipin nije bio povezan sa negativnim inotropnim efektom kada se primjenjivao u rasponu terapijskih doza zdravim životinjama i ljudima, čak i kada se kod ljudi primjenjivao istovremeno sa beta-blokatorima.</w:t>
      </w:r>
    </w:p>
    <w:p w14:paraId="4670BFA4" w14:textId="77777777" w:rsidR="00EA6F00" w:rsidRPr="00762596" w:rsidRDefault="00EA6F00">
      <w:pPr>
        <w:widowControl w:val="0"/>
        <w:jc w:val="both"/>
        <w:rPr>
          <w:color w:val="000000"/>
          <w:szCs w:val="22"/>
          <w:lang w:val="sr-Latn-ME"/>
        </w:rPr>
      </w:pPr>
    </w:p>
    <w:p w14:paraId="6E74C2B4" w14:textId="77777777" w:rsidR="00EA6F00" w:rsidRPr="00762596" w:rsidRDefault="00861C42">
      <w:pPr>
        <w:widowControl w:val="0"/>
        <w:jc w:val="both"/>
        <w:rPr>
          <w:szCs w:val="22"/>
          <w:lang w:val="sr-Latn-ME"/>
        </w:rPr>
      </w:pPr>
      <w:r w:rsidRPr="00762596">
        <w:rPr>
          <w:szCs w:val="22"/>
          <w:lang w:val="sr-Latn-ME"/>
        </w:rPr>
        <w:t>Amlodipin ne mijenja funkciju sinoatrijalnog čvora ili atrioventrikularnu provodljivost kod zdravih životinja ili ljudi. U kliničkim ispitivanjima u kojima je amlodipin primjenjivan u kombinaciji sa beta-blokatorima kod pacijenata sa hipertenzijom ili anginom, nisu zabilježena neželjena dejstva vezana za elektrokardiografske parametre.</w:t>
      </w:r>
    </w:p>
    <w:p w14:paraId="105E6236" w14:textId="77777777" w:rsidR="00EA6F00" w:rsidRPr="00762596" w:rsidRDefault="00EA6F00">
      <w:pPr>
        <w:widowControl w:val="0"/>
        <w:jc w:val="both"/>
        <w:rPr>
          <w:color w:val="000000"/>
          <w:szCs w:val="22"/>
          <w:lang w:val="sr-Latn-ME"/>
        </w:rPr>
      </w:pPr>
    </w:p>
    <w:p w14:paraId="0FEA7DF9" w14:textId="77777777" w:rsidR="00EA6F00" w:rsidRPr="00762596" w:rsidRDefault="00861C42">
      <w:pPr>
        <w:widowControl w:val="0"/>
        <w:jc w:val="both"/>
        <w:rPr>
          <w:i/>
          <w:color w:val="000000"/>
          <w:szCs w:val="22"/>
          <w:lang w:val="sr-Latn-ME"/>
        </w:rPr>
      </w:pPr>
      <w:r w:rsidRPr="00762596">
        <w:rPr>
          <w:i/>
          <w:color w:val="000000"/>
          <w:szCs w:val="22"/>
          <w:lang w:val="sr-Latn-ME"/>
        </w:rPr>
        <w:t>Primjena kod pacijenata sa hipertenzijom</w:t>
      </w:r>
    </w:p>
    <w:p w14:paraId="31EF7075" w14:textId="77777777" w:rsidR="00EA6F00" w:rsidRPr="00762596" w:rsidRDefault="00EA6F00">
      <w:pPr>
        <w:widowControl w:val="0"/>
        <w:jc w:val="both"/>
        <w:rPr>
          <w:color w:val="000000"/>
          <w:szCs w:val="22"/>
          <w:lang w:val="sr-Latn-ME"/>
        </w:rPr>
      </w:pPr>
    </w:p>
    <w:p w14:paraId="49B9F86B" w14:textId="77777777" w:rsidR="00EA6F00" w:rsidRPr="00762596" w:rsidRDefault="00861C42">
      <w:pPr>
        <w:widowControl w:val="0"/>
        <w:jc w:val="both"/>
        <w:rPr>
          <w:color w:val="000000"/>
          <w:szCs w:val="22"/>
          <w:lang w:val="sr-Latn-ME"/>
        </w:rPr>
      </w:pPr>
      <w:r w:rsidRPr="00762596">
        <w:rPr>
          <w:szCs w:val="22"/>
          <w:lang w:val="sr-Latn-ME"/>
        </w:rPr>
        <w:t xml:space="preserve">Randomizirano dvostruko slijepo ispitivanje morbiditeta-mortaliteta pod nazivom </w:t>
      </w:r>
      <w:r w:rsidRPr="00762596">
        <w:rPr>
          <w:i/>
          <w:szCs w:val="22"/>
          <w:lang w:val="sr-Latn-ME"/>
        </w:rPr>
        <w:t>Antihipertenzivno i antilipidno liječenje u cilju sprječavanja srčanog udara</w:t>
      </w:r>
      <w:r w:rsidRPr="00762596">
        <w:rPr>
          <w:szCs w:val="22"/>
          <w:lang w:val="sr-Latn-ME"/>
        </w:rPr>
        <w:t xml:space="preserve"> (ALLHAT) sprovedeno je da bi se uporedile novije terapije: amlodipin 2,5-10 mg/dan (blokator kalcijumskih kanala) ili lizinopril 10-40 mg/dan (ACE-inhibitor) kao terapije prve linije, sa terapijom tiazidnim diuretikom, hlortalidonom 12,5-25 mg/dan, u blagoj do umjerenoj hipertenziji.</w:t>
      </w:r>
    </w:p>
    <w:p w14:paraId="7E7BF862" w14:textId="77777777" w:rsidR="00EA6F00" w:rsidRPr="00762596" w:rsidRDefault="00EA6F00">
      <w:pPr>
        <w:widowControl w:val="0"/>
        <w:jc w:val="both"/>
        <w:rPr>
          <w:color w:val="000000"/>
          <w:szCs w:val="22"/>
          <w:lang w:val="sr-Latn-ME"/>
        </w:rPr>
      </w:pPr>
    </w:p>
    <w:p w14:paraId="74F4CDCC" w14:textId="77777777" w:rsidR="00EA6F00" w:rsidRPr="00762596" w:rsidRDefault="00861C42">
      <w:pPr>
        <w:widowControl w:val="0"/>
        <w:jc w:val="both"/>
        <w:rPr>
          <w:color w:val="000000"/>
          <w:szCs w:val="22"/>
          <w:lang w:val="sr-Latn-ME"/>
        </w:rPr>
      </w:pPr>
      <w:r w:rsidRPr="00762596">
        <w:rPr>
          <w:szCs w:val="22"/>
          <w:lang w:val="sr-Latn-ME"/>
        </w:rPr>
        <w:t>Ukupno 33357 hipertenzivnih pacijenata starosti od 55 godina ili starijih randomizovano je u terapijske grupe i praćeno u prosjeku 4,9 godina. Pacijenti su imali najmanje jedan dodatni faktor rizika za koronarnu bolest srca, uključujući: prethodni infarkt miokarda ili moždani udar (&gt;6 mjeseci prije uključivanja u ispitivanje) ili dokumentaciju o drugoj aterosklerotskoj kardiovaskularnoj bolesti (ukupno 51,5%), dijabetes tipa 2 (36,1%), lipoprotein visoke gustoće - holesterol &lt;35 mg/dl ili &lt;0,906 mmol/l (11,6%), hipertrofiju lijevog ventrikula dijagnostikovanu elektrokardiogramom ili ehokardiografijom (20,9%), aktivni status pušača (21,9%).</w:t>
      </w:r>
    </w:p>
    <w:p w14:paraId="6E87F13C" w14:textId="77777777" w:rsidR="00EA6F00" w:rsidRPr="00762596" w:rsidRDefault="00EA6F00">
      <w:pPr>
        <w:widowControl w:val="0"/>
        <w:jc w:val="both"/>
        <w:rPr>
          <w:color w:val="000000"/>
          <w:szCs w:val="22"/>
          <w:lang w:val="sr-Latn-ME"/>
        </w:rPr>
      </w:pPr>
    </w:p>
    <w:p w14:paraId="703E7AD0" w14:textId="77777777" w:rsidR="00EA6F00" w:rsidRPr="00762596" w:rsidRDefault="00861C42">
      <w:pPr>
        <w:widowControl w:val="0"/>
        <w:jc w:val="both"/>
        <w:rPr>
          <w:color w:val="000000"/>
          <w:szCs w:val="22"/>
          <w:lang w:val="sr-Latn-ME"/>
        </w:rPr>
      </w:pPr>
      <w:r w:rsidRPr="00762596">
        <w:rPr>
          <w:szCs w:val="22"/>
          <w:lang w:val="sr-Latn-ME"/>
        </w:rPr>
        <w:t>Primarni ishod bio je sastavljen od koronarne bolesti srca sa smrtnim ishodom ili infarkta miokarda bez smrtnog ishoda. Nije bilo značajne razlike u primarnom ishodu između terapije temeljene na amlodipinu i terapije temeljene na hlortalidonu: odnos rizika (OR) 0,98 95% CI (0,90-1,07) p=0,65. Među sekundarnim ishodima, incidencija insuficijencije srca (sastavni dio kombinovanog kardiovaskularnog ishoda) bila je značajno viša u grupi na amlodipinu u poređenjui sa grupom koja je uzimala hlortalidon (10,2% naspram 7,7%, OR 1,38, 95% CI [1,25-1,52] p&lt;0,001). Međutim, kad je riječ o smrtnosti od svih uzroka, između terapije temeljene na amlodipinu i terapije temeljene na hlortalidonu nije bilo značajne razlike OR 0,96 95% CI [0,89-1,02] p=0,20.</w:t>
      </w:r>
    </w:p>
    <w:p w14:paraId="27FA6CAF" w14:textId="77777777" w:rsidR="00EA6F00" w:rsidRPr="00762596" w:rsidRDefault="00EA6F00">
      <w:pPr>
        <w:widowControl w:val="0"/>
        <w:jc w:val="both"/>
        <w:rPr>
          <w:color w:val="000000"/>
          <w:szCs w:val="22"/>
          <w:lang w:val="sr-Latn-ME"/>
        </w:rPr>
      </w:pPr>
    </w:p>
    <w:p w14:paraId="4D283770" w14:textId="77777777" w:rsidR="00EA6F00" w:rsidRPr="00762596" w:rsidRDefault="00861C42">
      <w:pPr>
        <w:widowControl w:val="0"/>
        <w:jc w:val="both"/>
        <w:rPr>
          <w:color w:val="000000"/>
          <w:szCs w:val="22"/>
          <w:u w:val="single"/>
          <w:lang w:val="sr-Latn-ME"/>
        </w:rPr>
      </w:pPr>
      <w:r w:rsidRPr="00762596">
        <w:rPr>
          <w:color w:val="000000"/>
          <w:szCs w:val="22"/>
          <w:u w:val="single"/>
          <w:lang w:val="sr-Latn-ME"/>
        </w:rPr>
        <w:t xml:space="preserve">Valsartan </w:t>
      </w:r>
    </w:p>
    <w:p w14:paraId="1AE39091" w14:textId="77777777" w:rsidR="00EA6F00" w:rsidRPr="00762596" w:rsidRDefault="00EA6F00">
      <w:pPr>
        <w:widowControl w:val="0"/>
        <w:jc w:val="both"/>
        <w:rPr>
          <w:color w:val="000000"/>
          <w:szCs w:val="22"/>
          <w:lang w:val="sr-Latn-ME"/>
        </w:rPr>
      </w:pPr>
    </w:p>
    <w:p w14:paraId="272DCC17" w14:textId="77777777" w:rsidR="00EA6F00" w:rsidRPr="00762596" w:rsidRDefault="00861C42">
      <w:pPr>
        <w:widowControl w:val="0"/>
        <w:jc w:val="both"/>
        <w:rPr>
          <w:color w:val="000000"/>
          <w:szCs w:val="22"/>
          <w:lang w:val="sr-Latn-ME"/>
        </w:rPr>
      </w:pPr>
      <w:r w:rsidRPr="00762596">
        <w:rPr>
          <w:szCs w:val="22"/>
          <w:lang w:val="sr-Latn-ME"/>
        </w:rPr>
        <w:t>Valsartan je aktivan, potentan i specifičan antagonist angiotenzin II receptora pri oralnoj primjeni. Djeluje selektivno na podtip receptora AT</w:t>
      </w:r>
      <w:r w:rsidRPr="00762596">
        <w:rPr>
          <w:color w:val="000000"/>
          <w:szCs w:val="22"/>
          <w:vertAlign w:val="subscript"/>
          <w:lang w:val="sr-Latn-ME"/>
        </w:rPr>
        <w:t>1</w:t>
      </w:r>
      <w:r w:rsidRPr="00762596">
        <w:rPr>
          <w:szCs w:val="22"/>
          <w:lang w:val="sr-Latn-ME"/>
        </w:rPr>
        <w:t>, odgovoran za poznata djelovanja angiotenzina II. Povećana koncentracija angiotenzina II u plazmi, nakon blokade AT</w:t>
      </w:r>
      <w:r w:rsidRPr="00762596">
        <w:rPr>
          <w:szCs w:val="22"/>
          <w:vertAlign w:val="subscript"/>
          <w:lang w:val="sr-Latn-ME"/>
        </w:rPr>
        <w:t>1</w:t>
      </w:r>
      <w:r w:rsidRPr="00762596">
        <w:rPr>
          <w:szCs w:val="22"/>
          <w:lang w:val="sr-Latn-ME"/>
        </w:rPr>
        <w:t xml:space="preserve"> receptora valsartanom, mogu stimulisati neblokirani podtip AT</w:t>
      </w:r>
      <w:r w:rsidRPr="00762596">
        <w:rPr>
          <w:szCs w:val="22"/>
          <w:vertAlign w:val="subscript"/>
          <w:lang w:val="sr-Latn-ME"/>
        </w:rPr>
        <w:t>2</w:t>
      </w:r>
      <w:r w:rsidRPr="00762596">
        <w:rPr>
          <w:szCs w:val="22"/>
          <w:lang w:val="sr-Latn-ME"/>
        </w:rPr>
        <w:t xml:space="preserve"> receptora, što, čini se, djeluje kao protivteža dejstvu AT</w:t>
      </w:r>
      <w:r w:rsidRPr="00762596">
        <w:rPr>
          <w:szCs w:val="22"/>
          <w:vertAlign w:val="subscript"/>
          <w:lang w:val="sr-Latn-ME"/>
        </w:rPr>
        <w:t>1</w:t>
      </w:r>
      <w:r w:rsidRPr="00762596">
        <w:rPr>
          <w:szCs w:val="22"/>
          <w:lang w:val="sr-Latn-ME"/>
        </w:rPr>
        <w:t xml:space="preserve"> receptora. Valsartan ne ispoljava parcijalnu agonističku aktivnost na AT</w:t>
      </w:r>
      <w:r w:rsidRPr="00762596">
        <w:rPr>
          <w:szCs w:val="22"/>
          <w:vertAlign w:val="subscript"/>
          <w:lang w:val="sr-Latn-ME"/>
        </w:rPr>
        <w:t>1</w:t>
      </w:r>
      <w:r w:rsidRPr="00762596">
        <w:rPr>
          <w:szCs w:val="22"/>
          <w:lang w:val="sr-Latn-ME"/>
        </w:rPr>
        <w:t xml:space="preserve"> receptor i ima znatno veći afinitet za AT</w:t>
      </w:r>
      <w:r w:rsidRPr="00762596">
        <w:rPr>
          <w:szCs w:val="22"/>
          <w:vertAlign w:val="subscript"/>
          <w:lang w:val="sr-Latn-ME"/>
        </w:rPr>
        <w:t>1</w:t>
      </w:r>
      <w:r w:rsidRPr="00762596">
        <w:rPr>
          <w:szCs w:val="22"/>
          <w:lang w:val="sr-Latn-ME"/>
        </w:rPr>
        <w:t xml:space="preserve"> receptor (oko 20000 puta) nego za AT</w:t>
      </w:r>
      <w:r w:rsidRPr="00762596">
        <w:rPr>
          <w:szCs w:val="22"/>
          <w:vertAlign w:val="subscript"/>
          <w:lang w:val="sr-Latn-ME"/>
        </w:rPr>
        <w:t>2</w:t>
      </w:r>
      <w:r w:rsidRPr="00762596">
        <w:rPr>
          <w:szCs w:val="22"/>
          <w:lang w:val="sr-Latn-ME"/>
        </w:rPr>
        <w:t xml:space="preserve"> receptor.</w:t>
      </w:r>
    </w:p>
    <w:p w14:paraId="22FB57CA" w14:textId="77777777" w:rsidR="00EA6F00" w:rsidRPr="00762596" w:rsidRDefault="00EA6F00">
      <w:pPr>
        <w:widowControl w:val="0"/>
        <w:jc w:val="both"/>
        <w:rPr>
          <w:color w:val="000000"/>
          <w:szCs w:val="22"/>
          <w:lang w:val="sr-Latn-ME"/>
        </w:rPr>
      </w:pPr>
    </w:p>
    <w:p w14:paraId="1F639429" w14:textId="77777777" w:rsidR="00EA6F00" w:rsidRPr="00762596" w:rsidRDefault="00861C42">
      <w:pPr>
        <w:widowControl w:val="0"/>
        <w:jc w:val="both"/>
        <w:rPr>
          <w:color w:val="000000"/>
          <w:szCs w:val="22"/>
          <w:lang w:val="sr-Latn-ME"/>
        </w:rPr>
      </w:pPr>
      <w:r w:rsidRPr="00762596">
        <w:rPr>
          <w:szCs w:val="22"/>
          <w:lang w:val="sr-Latn-ME"/>
        </w:rPr>
        <w:t>Valsartan ne inhibira ACE, poznat i kao kininaza II, koji pretvara angiotenzin I u angiotenzin II i razgrađuje bradikinin. Budući da nema efekta na ACE, ne pojačava djelovanje bradikinina i supstance P, antagonisti angiotenzina II vrlo vjerovatno ne mogu biti povezani sa kašljem. U kliničkim ispitivanjima u kojima se valsartan upoređivao sa ACE inhibitorom, incidencija suvog kašlja bila je značajno (p &lt;0,05) niža kod pacijenata liječenih valsartanom, nego kod onih liječenih ACE inhibitorom (2,6% naspram 7,9%). U kliničkom ispitivanju pacijenata sa anamnezom suvog kašlja tokom terapije ACE inhibitorom, kašalj se javio u 19,5% ispitanika koji su primali valsartan i u 19,0% ispitanika koji su primali tiazidni diuretik, u odnosu na 68,5% ispitanika liječenih ACE inhibitorom (p &lt;0,05). Valsartan se ne veže i ne blokira druge hormonske receptore ili jonske kanale, za koje se zna da su važni u kardiovaskularnoj regulaciji.</w:t>
      </w:r>
    </w:p>
    <w:p w14:paraId="4A37B013" w14:textId="77777777" w:rsidR="00EA6F00" w:rsidRPr="00762596" w:rsidRDefault="00EA6F00">
      <w:pPr>
        <w:widowControl w:val="0"/>
        <w:jc w:val="both"/>
        <w:rPr>
          <w:color w:val="000000"/>
          <w:szCs w:val="22"/>
          <w:lang w:val="sr-Latn-ME"/>
        </w:rPr>
      </w:pPr>
    </w:p>
    <w:p w14:paraId="556AB82B" w14:textId="77777777" w:rsidR="00EA6F00" w:rsidRPr="00762596" w:rsidRDefault="00861C42">
      <w:pPr>
        <w:widowControl w:val="0"/>
        <w:jc w:val="both"/>
        <w:rPr>
          <w:color w:val="000000"/>
          <w:szCs w:val="22"/>
          <w:lang w:val="sr-Latn-ME"/>
        </w:rPr>
      </w:pPr>
      <w:r w:rsidRPr="00762596">
        <w:rPr>
          <w:szCs w:val="22"/>
          <w:lang w:val="sr-Latn-ME"/>
        </w:rPr>
        <w:t>Primjena valsartana kod pacijenata sa hipertenzijom dovodi do sniženja krvnog pritiska bez uticaja na brzinu pulsa.</w:t>
      </w:r>
    </w:p>
    <w:p w14:paraId="7A283FB4" w14:textId="77777777" w:rsidR="00EA6F00" w:rsidRPr="00762596" w:rsidRDefault="00EA6F00">
      <w:pPr>
        <w:widowControl w:val="0"/>
        <w:jc w:val="both"/>
        <w:rPr>
          <w:color w:val="000000"/>
          <w:szCs w:val="22"/>
          <w:lang w:val="sr-Latn-ME"/>
        </w:rPr>
      </w:pPr>
    </w:p>
    <w:p w14:paraId="7520E6C8" w14:textId="77777777" w:rsidR="00EA6F00" w:rsidRPr="00762596" w:rsidRDefault="00861C42">
      <w:pPr>
        <w:widowControl w:val="0"/>
        <w:jc w:val="both"/>
        <w:rPr>
          <w:color w:val="000000"/>
          <w:szCs w:val="22"/>
          <w:lang w:val="sr-Latn-ME"/>
        </w:rPr>
      </w:pPr>
      <w:r w:rsidRPr="00762596">
        <w:rPr>
          <w:szCs w:val="22"/>
          <w:lang w:val="sr-Latn-ME"/>
        </w:rPr>
        <w:t>Kod većine pacijenata, nastup antihipertenzivne aktivnosti počinje unutar 2 sata nakon primjene jednokratne oralne doze, a maksimalni pad krvnog pritiska postiže se unutar 4-6 sati. Antihipertenzivno dejstvo traje više od 24 sata nakon primjene. Tokom ponovljene primjene, maksimalno sniženje krvnog pritiska sa bilo kojom dozom se generalno postiže unutar 2-4 nedjelje i održava se tokom dugotrajne terapije. Nagli prekid liječenja valsartanom nije bio povezan sa pojavom povratne hipertenzije ili drugih klinički neželjenih dejstava.</w:t>
      </w:r>
    </w:p>
    <w:p w14:paraId="0A427361" w14:textId="77777777" w:rsidR="00EA6F00" w:rsidRPr="00762596" w:rsidRDefault="00EA6F00">
      <w:pPr>
        <w:widowControl w:val="0"/>
        <w:jc w:val="both"/>
        <w:rPr>
          <w:color w:val="000000"/>
          <w:szCs w:val="22"/>
          <w:lang w:val="sr-Latn-ME"/>
        </w:rPr>
      </w:pPr>
    </w:p>
    <w:p w14:paraId="3251194B" w14:textId="77777777" w:rsidR="00EA6F00" w:rsidRPr="00762596" w:rsidRDefault="00861C42">
      <w:pPr>
        <w:widowControl w:val="0"/>
        <w:jc w:val="both"/>
        <w:rPr>
          <w:color w:val="000000"/>
          <w:szCs w:val="22"/>
          <w:u w:val="single"/>
          <w:lang w:val="sr-Latn-ME"/>
        </w:rPr>
      </w:pPr>
      <w:r w:rsidRPr="00762596">
        <w:rPr>
          <w:color w:val="000000"/>
          <w:szCs w:val="22"/>
          <w:u w:val="single"/>
          <w:lang w:val="sr-Latn-ME"/>
        </w:rPr>
        <w:t>Ostalo: dvostruka blokada renin-angiotenzin-aldosteronskog sistema (RAAS)</w:t>
      </w:r>
    </w:p>
    <w:p w14:paraId="6C442FE7" w14:textId="77777777" w:rsidR="00EA6F00" w:rsidRPr="00762596" w:rsidRDefault="00EA6F00">
      <w:pPr>
        <w:widowControl w:val="0"/>
        <w:jc w:val="both"/>
        <w:rPr>
          <w:color w:val="000000"/>
          <w:szCs w:val="22"/>
          <w:lang w:val="sr-Latn-ME"/>
        </w:rPr>
      </w:pPr>
    </w:p>
    <w:p w14:paraId="0EEEB312" w14:textId="77777777" w:rsidR="00EA6F00" w:rsidRPr="00762596" w:rsidRDefault="00861C42">
      <w:pPr>
        <w:widowControl w:val="0"/>
        <w:jc w:val="both"/>
        <w:rPr>
          <w:color w:val="000000"/>
          <w:szCs w:val="22"/>
          <w:lang w:val="sr-Latn-ME"/>
        </w:rPr>
      </w:pPr>
      <w:r w:rsidRPr="00762596">
        <w:rPr>
          <w:szCs w:val="22"/>
          <w:lang w:val="sr-Latn-ME"/>
        </w:rPr>
        <w:t xml:space="preserve">Dva velika randomizovana, kontrolisana ispitivanja (ONTARGET </w:t>
      </w:r>
      <w:r w:rsidRPr="00762596">
        <w:rPr>
          <w:color w:val="000000"/>
          <w:szCs w:val="22"/>
          <w:lang w:val="sr-Latn-ME"/>
        </w:rPr>
        <w:t>[</w:t>
      </w:r>
      <w:r w:rsidRPr="00762596">
        <w:rPr>
          <w:szCs w:val="22"/>
          <w:lang w:val="sr-Latn-ME"/>
        </w:rPr>
        <w:t xml:space="preserve">eng. </w:t>
      </w:r>
      <w:r w:rsidRPr="00762596">
        <w:rPr>
          <w:i/>
          <w:szCs w:val="22"/>
          <w:lang w:val="sr-Latn-ME"/>
        </w:rPr>
        <w:t>ONgoing Telmisartan Alone and in combination with Ramipril Global Endpoint Trial</w:t>
      </w:r>
      <w:r w:rsidRPr="00762596">
        <w:rPr>
          <w:color w:val="000000"/>
          <w:szCs w:val="22"/>
          <w:lang w:val="sr-Latn-ME"/>
        </w:rPr>
        <w:t>]</w:t>
      </w:r>
      <w:r w:rsidRPr="00762596">
        <w:rPr>
          <w:szCs w:val="22"/>
          <w:lang w:val="sr-Latn-ME"/>
        </w:rPr>
        <w:t xml:space="preserve"> i VA NEPHRON-D </w:t>
      </w:r>
      <w:r w:rsidRPr="00762596">
        <w:rPr>
          <w:color w:val="000000"/>
          <w:szCs w:val="22"/>
          <w:lang w:val="sr-Latn-ME"/>
        </w:rPr>
        <w:t>[</w:t>
      </w:r>
      <w:r w:rsidRPr="00762596">
        <w:rPr>
          <w:szCs w:val="22"/>
          <w:lang w:val="sr-Latn-ME"/>
        </w:rPr>
        <w:t xml:space="preserve">eng. </w:t>
      </w:r>
      <w:r w:rsidRPr="00762596">
        <w:rPr>
          <w:i/>
          <w:szCs w:val="22"/>
          <w:lang w:val="sr-Latn-ME"/>
        </w:rPr>
        <w:t>The Veterans Affairs Nephropathy in Diabetes</w:t>
      </w:r>
      <w:r w:rsidRPr="00762596">
        <w:rPr>
          <w:color w:val="000000"/>
          <w:szCs w:val="22"/>
          <w:lang w:val="sr-Latn-ME"/>
        </w:rPr>
        <w:t>]</w:t>
      </w:r>
      <w:r w:rsidRPr="00762596">
        <w:rPr>
          <w:szCs w:val="22"/>
          <w:lang w:val="sr-Latn-ME"/>
        </w:rPr>
        <w:t>) ispitivala su primjenu kombinacije ACE inhibitora sa ARB.</w:t>
      </w:r>
    </w:p>
    <w:p w14:paraId="765880A5" w14:textId="77777777" w:rsidR="00EA6F00" w:rsidRPr="00762596" w:rsidRDefault="00EA6F00">
      <w:pPr>
        <w:widowControl w:val="0"/>
        <w:jc w:val="both"/>
        <w:rPr>
          <w:color w:val="000000"/>
          <w:szCs w:val="22"/>
          <w:lang w:val="sr-Latn-ME"/>
        </w:rPr>
      </w:pPr>
    </w:p>
    <w:p w14:paraId="3C4C223E" w14:textId="77777777" w:rsidR="00EA6F00" w:rsidRPr="00762596" w:rsidRDefault="00861C42">
      <w:pPr>
        <w:widowControl w:val="0"/>
        <w:jc w:val="both"/>
        <w:rPr>
          <w:color w:val="000000"/>
          <w:szCs w:val="22"/>
          <w:lang w:val="sr-Latn-ME"/>
        </w:rPr>
      </w:pPr>
      <w:r w:rsidRPr="00762596">
        <w:rPr>
          <w:szCs w:val="22"/>
          <w:lang w:val="sr-Latn-ME"/>
        </w:rPr>
        <w:t>ONTARGET je bilo ispitivanje sprovedeno kod pacijenata sa kardiovaskularnim ili cerebrovaskularnim oboljenjem u anamnezi, ili sa dijabetes melitusom tip 2 uz dokaze oštećenja ciljanih organa. VA NEPHRON-D je bilo ispitivanje kod pacijenata sa dijabetes melitusom tipa 2 i dijabetesnom nefropatijom.</w:t>
      </w:r>
    </w:p>
    <w:p w14:paraId="4FCA785E" w14:textId="77777777" w:rsidR="00EA6F00" w:rsidRPr="00762596" w:rsidRDefault="00EA6F00">
      <w:pPr>
        <w:widowControl w:val="0"/>
        <w:jc w:val="both"/>
        <w:rPr>
          <w:color w:val="000000"/>
          <w:szCs w:val="22"/>
          <w:lang w:val="sr-Latn-ME"/>
        </w:rPr>
      </w:pPr>
    </w:p>
    <w:p w14:paraId="257891CE" w14:textId="77777777" w:rsidR="00EA6F00" w:rsidRPr="00762596" w:rsidRDefault="00861C42">
      <w:pPr>
        <w:widowControl w:val="0"/>
        <w:jc w:val="both"/>
        <w:rPr>
          <w:szCs w:val="22"/>
          <w:lang w:val="sr-Latn-ME"/>
        </w:rPr>
      </w:pPr>
      <w:r w:rsidRPr="00762596">
        <w:rPr>
          <w:szCs w:val="22"/>
          <w:lang w:val="sr-Latn-ME"/>
        </w:rPr>
        <w:t>Ova ispitivanja nijesu pokazala nikakav značajan povoljan efekat na bubrežne i/ili kardiovaskularne ishode i smrtnost, a bio je uočen povećani rizik od hiperkalijemije, akutnog oštećenja bubrega i/ili hipotenzije, u poređenju sa monoterapijom. S obzirom na njihova slična farmakodinamička svojstva, ti su rezultati relevantni i za druge ACE inhibitore i ARB.</w:t>
      </w:r>
    </w:p>
    <w:p w14:paraId="1D7E55A5" w14:textId="77777777" w:rsidR="00EA6F00" w:rsidRPr="00762596" w:rsidRDefault="00EA6F00">
      <w:pPr>
        <w:widowControl w:val="0"/>
        <w:jc w:val="both"/>
        <w:rPr>
          <w:color w:val="000000"/>
          <w:szCs w:val="22"/>
          <w:lang w:val="sr-Latn-ME"/>
        </w:rPr>
      </w:pPr>
    </w:p>
    <w:p w14:paraId="12A84B33" w14:textId="77777777" w:rsidR="00EA6F00" w:rsidRPr="00762596" w:rsidRDefault="00861C42">
      <w:pPr>
        <w:widowControl w:val="0"/>
        <w:jc w:val="both"/>
        <w:rPr>
          <w:color w:val="000000"/>
          <w:szCs w:val="22"/>
          <w:lang w:val="sr-Latn-ME"/>
        </w:rPr>
      </w:pPr>
      <w:r w:rsidRPr="00762596">
        <w:rPr>
          <w:szCs w:val="22"/>
          <w:lang w:val="sr-Latn-ME"/>
        </w:rPr>
        <w:t>ACE inhibitori i ARB se stoga ne smiju istovremeno primjenjivati kod pacijenata sa dijabetesnom nefropatijom (vidjeti odjeljak 4.4).</w:t>
      </w:r>
    </w:p>
    <w:p w14:paraId="5D59961A" w14:textId="77777777" w:rsidR="00EA6F00" w:rsidRPr="00762596" w:rsidRDefault="00EA6F00">
      <w:pPr>
        <w:widowControl w:val="0"/>
        <w:jc w:val="both"/>
        <w:rPr>
          <w:color w:val="000000"/>
          <w:szCs w:val="22"/>
          <w:lang w:val="sr-Latn-ME"/>
        </w:rPr>
      </w:pPr>
    </w:p>
    <w:p w14:paraId="50E05496" w14:textId="77777777" w:rsidR="00EA6F00" w:rsidRPr="00762596" w:rsidRDefault="00861C42">
      <w:pPr>
        <w:widowControl w:val="0"/>
        <w:jc w:val="both"/>
        <w:rPr>
          <w:iCs/>
          <w:szCs w:val="22"/>
          <w:lang w:val="sr-Latn-ME"/>
        </w:rPr>
      </w:pPr>
      <w:r w:rsidRPr="00762596">
        <w:rPr>
          <w:szCs w:val="22"/>
          <w:lang w:val="sr-Latn-ME"/>
        </w:rPr>
        <w:t xml:space="preserve">ALTITUDE (eng. </w:t>
      </w:r>
      <w:r w:rsidRPr="00762596">
        <w:rPr>
          <w:i/>
          <w:szCs w:val="22"/>
          <w:lang w:val="sr-Latn-ME"/>
        </w:rPr>
        <w:t>Aliskiren Trial in Type 2 Diabetes Using Cardiovascular and Renal Disease Endpoints</w:t>
      </w:r>
      <w:r w:rsidRPr="00762596">
        <w:rPr>
          <w:szCs w:val="22"/>
          <w:lang w:val="sr-Latn-ME"/>
        </w:rPr>
        <w:t>) je bilo ispitivanje osmišljeno za testiranje koristi dodavanja aliskirena standardnoj terapiji sa ACE inhibitorom ili ARB kod pacijenata sa dijabetes melitusom tip 2 i hroničnom bolešću bubrega, kardiovaskularnom bolešću ili oboje. Ispitivanje je bilo ranije prekinuto zbog povećanog rizika od neželjenih ishoda. Kardiovaskularna smrt i moždani udar su numerički bili učestaliji u grupi koja je primala aliskiren nego u onoj koja je primala placebo, a neželjeni događaji i ozbiljni neželjeni događaji od značaja (hiperkalijemija, hipotenzija i bubrežna disfunkcija) bili su učestalije zabilježeni u grupi koja je primala aliskiren nego u onoj koja je primala placebo.</w:t>
      </w:r>
    </w:p>
    <w:p w14:paraId="4919E2F9" w14:textId="77777777" w:rsidR="00EA6F00" w:rsidRPr="00762596" w:rsidRDefault="00EA6F00">
      <w:pPr>
        <w:widowControl w:val="0"/>
        <w:autoSpaceDE w:val="0"/>
        <w:autoSpaceDN w:val="0"/>
        <w:adjustRightInd w:val="0"/>
        <w:jc w:val="both"/>
        <w:rPr>
          <w:color w:val="000000"/>
          <w:szCs w:val="22"/>
          <w:lang w:val="sr-Latn-ME"/>
        </w:rPr>
      </w:pPr>
    </w:p>
    <w:p w14:paraId="01253431" w14:textId="77777777" w:rsidR="00EA6F00" w:rsidRPr="00762596" w:rsidRDefault="00861C42">
      <w:pPr>
        <w:widowControl w:val="0"/>
        <w:ind w:left="567" w:hanging="567"/>
        <w:jc w:val="both"/>
        <w:outlineLvl w:val="0"/>
        <w:rPr>
          <w:b/>
          <w:szCs w:val="22"/>
          <w:lang w:val="sr-Latn-ME"/>
        </w:rPr>
      </w:pPr>
      <w:r w:rsidRPr="00762596">
        <w:rPr>
          <w:b/>
          <w:szCs w:val="22"/>
          <w:lang w:val="sr-Latn-ME"/>
        </w:rPr>
        <w:t>5.2</w:t>
      </w:r>
      <w:r w:rsidRPr="00762596">
        <w:rPr>
          <w:b/>
          <w:szCs w:val="22"/>
          <w:lang w:val="sr-Latn-ME"/>
        </w:rPr>
        <w:tab/>
      </w:r>
      <w:r w:rsidRPr="00762596">
        <w:rPr>
          <w:b/>
          <w:bCs/>
          <w:szCs w:val="22"/>
          <w:lang w:val="sr-Latn-ME"/>
        </w:rPr>
        <w:t>Farmakokinetički podaci</w:t>
      </w:r>
    </w:p>
    <w:p w14:paraId="0B4FE517" w14:textId="77777777" w:rsidR="00EA6F00" w:rsidRPr="00762596" w:rsidRDefault="00EA6F00">
      <w:pPr>
        <w:widowControl w:val="0"/>
        <w:numPr>
          <w:ilvl w:val="12"/>
          <w:numId w:val="0"/>
        </w:numPr>
        <w:ind w:right="-2"/>
        <w:jc w:val="both"/>
        <w:rPr>
          <w:iCs/>
          <w:szCs w:val="22"/>
          <w:u w:val="single"/>
          <w:lang w:val="sr-Latn-ME"/>
        </w:rPr>
      </w:pPr>
    </w:p>
    <w:p w14:paraId="13145A0F" w14:textId="77777777" w:rsidR="00EA6F00" w:rsidRPr="00762596" w:rsidRDefault="00861C42">
      <w:pPr>
        <w:widowControl w:val="0"/>
        <w:numPr>
          <w:ilvl w:val="12"/>
          <w:numId w:val="0"/>
        </w:numPr>
        <w:ind w:right="-2"/>
        <w:jc w:val="both"/>
        <w:rPr>
          <w:iCs/>
          <w:szCs w:val="22"/>
          <w:lang w:val="sr-Latn-ME"/>
        </w:rPr>
      </w:pPr>
      <w:r w:rsidRPr="00762596">
        <w:rPr>
          <w:iCs/>
          <w:szCs w:val="22"/>
          <w:u w:val="single"/>
          <w:lang w:val="sr-Latn-ME"/>
        </w:rPr>
        <w:t>Linearnost</w:t>
      </w:r>
    </w:p>
    <w:p w14:paraId="0ECFA0FF" w14:textId="77777777" w:rsidR="00EA6F00" w:rsidRPr="00762596" w:rsidRDefault="00EA6F00">
      <w:pPr>
        <w:widowControl w:val="0"/>
        <w:numPr>
          <w:ilvl w:val="12"/>
          <w:numId w:val="0"/>
        </w:numPr>
        <w:ind w:right="-2"/>
        <w:jc w:val="both"/>
        <w:rPr>
          <w:iCs/>
          <w:szCs w:val="22"/>
          <w:lang w:val="sr-Latn-ME"/>
        </w:rPr>
      </w:pPr>
    </w:p>
    <w:p w14:paraId="4E60008F" w14:textId="77777777" w:rsidR="00EA6F00" w:rsidRPr="00762596" w:rsidRDefault="00861C42">
      <w:pPr>
        <w:widowControl w:val="0"/>
        <w:numPr>
          <w:ilvl w:val="12"/>
          <w:numId w:val="0"/>
        </w:numPr>
        <w:ind w:right="-2"/>
        <w:jc w:val="both"/>
        <w:rPr>
          <w:iCs/>
          <w:szCs w:val="22"/>
          <w:lang w:val="sr-Latn-ME"/>
        </w:rPr>
      </w:pPr>
      <w:r w:rsidRPr="00762596">
        <w:rPr>
          <w:iCs/>
          <w:szCs w:val="22"/>
          <w:lang w:val="sr-Latn-ME"/>
        </w:rPr>
        <w:t>Amlodipin i valsartan pokazuju linearnu farmakokinetiku.</w:t>
      </w:r>
    </w:p>
    <w:p w14:paraId="54024CB2" w14:textId="77777777" w:rsidR="00EA6F00" w:rsidRPr="00762596" w:rsidRDefault="00EA6F00">
      <w:pPr>
        <w:widowControl w:val="0"/>
        <w:numPr>
          <w:ilvl w:val="12"/>
          <w:numId w:val="0"/>
        </w:numPr>
        <w:ind w:right="-2"/>
        <w:jc w:val="both"/>
        <w:rPr>
          <w:iCs/>
          <w:szCs w:val="22"/>
          <w:lang w:val="sr-Latn-ME"/>
        </w:rPr>
      </w:pPr>
    </w:p>
    <w:p w14:paraId="7745299E" w14:textId="77777777" w:rsidR="00EA6F00" w:rsidRPr="00762596" w:rsidRDefault="00861C42">
      <w:pPr>
        <w:widowControl w:val="0"/>
        <w:numPr>
          <w:ilvl w:val="12"/>
          <w:numId w:val="0"/>
        </w:numPr>
        <w:ind w:right="-2"/>
        <w:jc w:val="both"/>
        <w:rPr>
          <w:iCs/>
          <w:szCs w:val="22"/>
          <w:u w:val="single"/>
          <w:lang w:val="sr-Latn-ME"/>
        </w:rPr>
      </w:pPr>
      <w:r w:rsidRPr="00762596">
        <w:rPr>
          <w:iCs/>
          <w:szCs w:val="22"/>
          <w:u w:val="single"/>
          <w:lang w:val="sr-Latn-ME"/>
        </w:rPr>
        <w:t>Amlodipin/valsartan</w:t>
      </w:r>
    </w:p>
    <w:p w14:paraId="335A9440" w14:textId="77777777" w:rsidR="00EA6F00" w:rsidRPr="00762596" w:rsidRDefault="00EA6F00">
      <w:pPr>
        <w:widowControl w:val="0"/>
        <w:numPr>
          <w:ilvl w:val="12"/>
          <w:numId w:val="0"/>
        </w:numPr>
        <w:ind w:right="-2"/>
        <w:jc w:val="both"/>
        <w:rPr>
          <w:iCs/>
          <w:szCs w:val="22"/>
          <w:u w:val="single"/>
          <w:lang w:val="sr-Latn-ME"/>
        </w:rPr>
      </w:pPr>
    </w:p>
    <w:p w14:paraId="34F62CD9" w14:textId="77777777" w:rsidR="00EA6F00" w:rsidRPr="00762596" w:rsidRDefault="00861C42">
      <w:pPr>
        <w:widowControl w:val="0"/>
        <w:numPr>
          <w:ilvl w:val="12"/>
          <w:numId w:val="0"/>
        </w:numPr>
        <w:ind w:right="-2"/>
        <w:jc w:val="both"/>
        <w:rPr>
          <w:iCs/>
          <w:szCs w:val="22"/>
          <w:lang w:val="sr-Latn-ME"/>
        </w:rPr>
      </w:pPr>
      <w:r w:rsidRPr="00762596">
        <w:rPr>
          <w:szCs w:val="22"/>
          <w:lang w:val="sr-Latn-ME"/>
        </w:rPr>
        <w:t xml:space="preserve">Nakon oralne primjene kombinacije </w:t>
      </w:r>
      <w:r w:rsidRPr="00762596">
        <w:rPr>
          <w:iCs/>
          <w:szCs w:val="22"/>
          <w:lang w:val="sr-Latn-ME"/>
        </w:rPr>
        <w:t>amlodipina/valsartana</w:t>
      </w:r>
      <w:r w:rsidRPr="00762596">
        <w:rPr>
          <w:szCs w:val="22"/>
          <w:lang w:val="sr-Latn-ME"/>
        </w:rPr>
        <w:t xml:space="preserve">, maksimalne koncentracije amlodipina i valsartana u plazmi postižu se za 3 odnosno 6–8 sati. Brzina i stepen resorpcije kombinacije </w:t>
      </w:r>
      <w:r w:rsidRPr="00762596">
        <w:rPr>
          <w:iCs/>
          <w:szCs w:val="22"/>
          <w:lang w:val="sr-Latn-ME"/>
        </w:rPr>
        <w:t>amlodipina/valsartana</w:t>
      </w:r>
      <w:r w:rsidRPr="00762596">
        <w:rPr>
          <w:szCs w:val="22"/>
          <w:lang w:val="sr-Latn-ME"/>
        </w:rPr>
        <w:t xml:space="preserve"> jednaki su bioraspoloživosti valsartana i amlodipina kada se primjenjuju kao pojedinačne tablete.</w:t>
      </w:r>
    </w:p>
    <w:p w14:paraId="63235340" w14:textId="77777777" w:rsidR="00EA6F00" w:rsidRPr="00762596" w:rsidRDefault="00EA6F00">
      <w:pPr>
        <w:widowControl w:val="0"/>
        <w:numPr>
          <w:ilvl w:val="12"/>
          <w:numId w:val="0"/>
        </w:numPr>
        <w:ind w:right="-2"/>
        <w:jc w:val="both"/>
        <w:rPr>
          <w:iCs/>
          <w:szCs w:val="22"/>
          <w:lang w:val="sr-Latn-ME"/>
        </w:rPr>
      </w:pPr>
    </w:p>
    <w:p w14:paraId="5D3DB6F5" w14:textId="77777777" w:rsidR="00EA6F00" w:rsidRPr="00762596" w:rsidRDefault="00861C42">
      <w:pPr>
        <w:widowControl w:val="0"/>
        <w:numPr>
          <w:ilvl w:val="12"/>
          <w:numId w:val="0"/>
        </w:numPr>
        <w:ind w:right="-2"/>
        <w:jc w:val="both"/>
        <w:rPr>
          <w:iCs/>
          <w:szCs w:val="22"/>
          <w:u w:val="single"/>
          <w:lang w:val="sr-Latn-ME"/>
        </w:rPr>
      </w:pPr>
      <w:r w:rsidRPr="00762596">
        <w:rPr>
          <w:iCs/>
          <w:szCs w:val="22"/>
          <w:u w:val="single"/>
          <w:lang w:val="sr-Latn-ME"/>
        </w:rPr>
        <w:t>Amlodipin</w:t>
      </w:r>
    </w:p>
    <w:p w14:paraId="23A0C6BF" w14:textId="77777777" w:rsidR="00EA6F00" w:rsidRPr="00762596" w:rsidRDefault="00EA6F00">
      <w:pPr>
        <w:widowControl w:val="0"/>
        <w:numPr>
          <w:ilvl w:val="12"/>
          <w:numId w:val="0"/>
        </w:numPr>
        <w:ind w:right="-2"/>
        <w:jc w:val="both"/>
        <w:rPr>
          <w:iCs/>
          <w:szCs w:val="22"/>
          <w:lang w:val="sr-Latn-ME"/>
        </w:rPr>
      </w:pPr>
    </w:p>
    <w:p w14:paraId="69F55CE2" w14:textId="77777777" w:rsidR="00EA6F00" w:rsidRPr="00762596" w:rsidRDefault="00861C42">
      <w:pPr>
        <w:widowControl w:val="0"/>
        <w:numPr>
          <w:ilvl w:val="12"/>
          <w:numId w:val="0"/>
        </w:numPr>
        <w:ind w:right="-2"/>
        <w:jc w:val="both"/>
        <w:rPr>
          <w:iCs/>
          <w:szCs w:val="22"/>
          <w:lang w:val="sr-Latn-ME"/>
        </w:rPr>
      </w:pPr>
      <w:r w:rsidRPr="00762596">
        <w:rPr>
          <w:i/>
          <w:iCs/>
          <w:szCs w:val="22"/>
          <w:lang w:val="sr-Latn-ME"/>
        </w:rPr>
        <w:t xml:space="preserve">Resorpcija: </w:t>
      </w:r>
      <w:r w:rsidRPr="00762596">
        <w:rPr>
          <w:szCs w:val="22"/>
          <w:lang w:val="sr-Latn-ME"/>
        </w:rPr>
        <w:t>Nakon oralne primjene terapijskih doza samo amlodipina, maksimalne koncentracije amlodipina u plazmi postižu se za 6–12 sati. Apsolutna bioraspoloživost je izračunata između 64% i 80%. Unos hrane ne utiče na bioraspoloživost amlodipina.</w:t>
      </w:r>
    </w:p>
    <w:p w14:paraId="04F93F98" w14:textId="77777777" w:rsidR="00EA6F00" w:rsidRPr="00762596" w:rsidRDefault="00EA6F00">
      <w:pPr>
        <w:widowControl w:val="0"/>
        <w:numPr>
          <w:ilvl w:val="12"/>
          <w:numId w:val="0"/>
        </w:numPr>
        <w:ind w:right="-2"/>
        <w:jc w:val="both"/>
        <w:rPr>
          <w:iCs/>
          <w:szCs w:val="22"/>
          <w:lang w:val="sr-Latn-ME"/>
        </w:rPr>
      </w:pPr>
    </w:p>
    <w:p w14:paraId="69095680" w14:textId="77777777" w:rsidR="00EA6F00" w:rsidRPr="00762596" w:rsidRDefault="00861C42">
      <w:pPr>
        <w:widowControl w:val="0"/>
        <w:numPr>
          <w:ilvl w:val="12"/>
          <w:numId w:val="0"/>
        </w:numPr>
        <w:ind w:right="-2"/>
        <w:jc w:val="both"/>
        <w:rPr>
          <w:iCs/>
          <w:szCs w:val="22"/>
          <w:lang w:val="sr-Latn-ME"/>
        </w:rPr>
      </w:pPr>
      <w:r w:rsidRPr="00762596">
        <w:rPr>
          <w:i/>
          <w:iCs/>
          <w:szCs w:val="22"/>
          <w:lang w:val="sr-Latn-ME"/>
        </w:rPr>
        <w:t xml:space="preserve">Distribucija: </w:t>
      </w:r>
      <w:r w:rsidRPr="00762596">
        <w:rPr>
          <w:szCs w:val="22"/>
          <w:lang w:val="sr-Latn-ME"/>
        </w:rPr>
        <w:t xml:space="preserve">Volumen distribucije je otprilike 21 l/kg. </w:t>
      </w:r>
      <w:r w:rsidRPr="00762596">
        <w:rPr>
          <w:i/>
          <w:iCs/>
          <w:szCs w:val="22"/>
          <w:lang w:val="sr-Latn-ME"/>
        </w:rPr>
        <w:t xml:space="preserve">In vitro </w:t>
      </w:r>
      <w:r w:rsidRPr="00762596">
        <w:rPr>
          <w:szCs w:val="22"/>
          <w:lang w:val="sr-Latn-ME"/>
        </w:rPr>
        <w:t>ispitivanja sa amlodipinom pokazala su da se otprilike 97,5% cirkulišućeg lijeka veže za proteine plazme.</w:t>
      </w:r>
    </w:p>
    <w:p w14:paraId="264853C1" w14:textId="77777777" w:rsidR="00EA6F00" w:rsidRPr="00762596" w:rsidRDefault="00EA6F00">
      <w:pPr>
        <w:widowControl w:val="0"/>
        <w:numPr>
          <w:ilvl w:val="12"/>
          <w:numId w:val="0"/>
        </w:numPr>
        <w:ind w:right="-2"/>
        <w:jc w:val="both"/>
        <w:rPr>
          <w:iCs/>
          <w:szCs w:val="22"/>
          <w:lang w:val="sr-Latn-ME"/>
        </w:rPr>
      </w:pPr>
    </w:p>
    <w:p w14:paraId="3FC1D221" w14:textId="77777777" w:rsidR="00EA6F00" w:rsidRPr="00762596" w:rsidRDefault="00861C42">
      <w:pPr>
        <w:widowControl w:val="0"/>
        <w:numPr>
          <w:ilvl w:val="12"/>
          <w:numId w:val="0"/>
        </w:numPr>
        <w:ind w:right="-2"/>
        <w:jc w:val="both"/>
        <w:rPr>
          <w:iCs/>
          <w:szCs w:val="22"/>
          <w:lang w:val="sr-Latn-ME"/>
        </w:rPr>
      </w:pPr>
      <w:r w:rsidRPr="00762596">
        <w:rPr>
          <w:i/>
          <w:iCs/>
          <w:szCs w:val="22"/>
          <w:lang w:val="sr-Latn-ME"/>
        </w:rPr>
        <w:t xml:space="preserve">Biotransformacija: </w:t>
      </w:r>
      <w:r w:rsidRPr="00762596">
        <w:rPr>
          <w:szCs w:val="22"/>
          <w:lang w:val="sr-Latn-ME"/>
        </w:rPr>
        <w:t>Amlodipin se u velikoj mjeri (otprilike 90%) metaboliše u jetri do inaktivnih metabolita.</w:t>
      </w:r>
    </w:p>
    <w:p w14:paraId="09A70C9D" w14:textId="77777777" w:rsidR="00EA6F00" w:rsidRPr="00762596" w:rsidRDefault="00EA6F00">
      <w:pPr>
        <w:widowControl w:val="0"/>
        <w:numPr>
          <w:ilvl w:val="12"/>
          <w:numId w:val="0"/>
        </w:numPr>
        <w:ind w:right="-2"/>
        <w:jc w:val="both"/>
        <w:rPr>
          <w:iCs/>
          <w:szCs w:val="22"/>
          <w:lang w:val="sr-Latn-ME"/>
        </w:rPr>
      </w:pPr>
    </w:p>
    <w:p w14:paraId="689BA798" w14:textId="77777777" w:rsidR="00EA6F00" w:rsidRPr="00762596" w:rsidRDefault="00861C42">
      <w:pPr>
        <w:widowControl w:val="0"/>
        <w:numPr>
          <w:ilvl w:val="12"/>
          <w:numId w:val="0"/>
        </w:numPr>
        <w:ind w:right="-2"/>
        <w:jc w:val="both"/>
        <w:rPr>
          <w:iCs/>
          <w:szCs w:val="22"/>
          <w:lang w:val="sr-Latn-ME"/>
        </w:rPr>
      </w:pPr>
      <w:r w:rsidRPr="00762596">
        <w:rPr>
          <w:i/>
          <w:iCs/>
          <w:szCs w:val="22"/>
          <w:lang w:val="sr-Latn-ME"/>
        </w:rPr>
        <w:t xml:space="preserve">Eliminacija: </w:t>
      </w:r>
      <w:r w:rsidRPr="00762596">
        <w:rPr>
          <w:szCs w:val="22"/>
          <w:lang w:val="sr-Latn-ME"/>
        </w:rPr>
        <w:t>Eliminacija amlodipina iz plazme je dvofazna, sa poluvremenom eliminacije od otprilike 30 do 50 sati. Stanje dinamičke ravnoteže koncentracije lijeka u plazmi postiže se nakon kontinuirane primjene tokom 7–8 dana. Urinom se izlučuje deset posto nepromijenjenog amlodipina i 60% metabolita amlodipina.</w:t>
      </w:r>
    </w:p>
    <w:p w14:paraId="367953C7" w14:textId="77777777" w:rsidR="00EA6F00" w:rsidRPr="00762596" w:rsidRDefault="00EA6F00">
      <w:pPr>
        <w:widowControl w:val="0"/>
        <w:numPr>
          <w:ilvl w:val="12"/>
          <w:numId w:val="0"/>
        </w:numPr>
        <w:ind w:right="-2"/>
        <w:jc w:val="both"/>
        <w:rPr>
          <w:iCs/>
          <w:szCs w:val="22"/>
          <w:lang w:val="sr-Latn-ME"/>
        </w:rPr>
      </w:pPr>
    </w:p>
    <w:p w14:paraId="678FBFCC" w14:textId="77777777" w:rsidR="00EA6F00" w:rsidRPr="00762596" w:rsidRDefault="00861C42">
      <w:pPr>
        <w:widowControl w:val="0"/>
        <w:numPr>
          <w:ilvl w:val="12"/>
          <w:numId w:val="0"/>
        </w:numPr>
        <w:ind w:right="-2"/>
        <w:jc w:val="both"/>
        <w:rPr>
          <w:iCs/>
          <w:szCs w:val="22"/>
          <w:u w:val="single"/>
          <w:lang w:val="sr-Latn-ME"/>
        </w:rPr>
      </w:pPr>
      <w:r w:rsidRPr="00762596">
        <w:rPr>
          <w:iCs/>
          <w:szCs w:val="22"/>
          <w:u w:val="single"/>
          <w:lang w:val="sr-Latn-ME"/>
        </w:rPr>
        <w:t>Valsartan</w:t>
      </w:r>
    </w:p>
    <w:p w14:paraId="10BDF265" w14:textId="77777777" w:rsidR="00EA6F00" w:rsidRPr="00762596" w:rsidRDefault="00EA6F00">
      <w:pPr>
        <w:widowControl w:val="0"/>
        <w:numPr>
          <w:ilvl w:val="12"/>
          <w:numId w:val="0"/>
        </w:numPr>
        <w:ind w:right="-2"/>
        <w:jc w:val="both"/>
        <w:rPr>
          <w:iCs/>
          <w:szCs w:val="22"/>
          <w:lang w:val="sr-Latn-ME"/>
        </w:rPr>
      </w:pPr>
    </w:p>
    <w:p w14:paraId="6208B4C7" w14:textId="77777777" w:rsidR="00EA6F00" w:rsidRPr="00762596" w:rsidRDefault="00861C42">
      <w:pPr>
        <w:widowControl w:val="0"/>
        <w:numPr>
          <w:ilvl w:val="12"/>
          <w:numId w:val="0"/>
        </w:numPr>
        <w:ind w:right="-2"/>
        <w:jc w:val="both"/>
        <w:rPr>
          <w:iCs/>
          <w:szCs w:val="22"/>
          <w:lang w:val="sr-Latn-ME"/>
        </w:rPr>
      </w:pPr>
      <w:r w:rsidRPr="00762596">
        <w:rPr>
          <w:i/>
          <w:iCs/>
          <w:szCs w:val="22"/>
          <w:lang w:val="sr-Latn-ME"/>
        </w:rPr>
        <w:t xml:space="preserve">Resorpcija: </w:t>
      </w:r>
      <w:r w:rsidRPr="00762596">
        <w:rPr>
          <w:szCs w:val="22"/>
          <w:lang w:val="sr-Latn-ME"/>
        </w:rPr>
        <w:t>Nakon oralne primjene samo valsartana, maksimalne koncentracije valsartana u plazmi postižu se za 2–4 sata. Srednja vrijednost apsolutne bioraspoloživosti je 23%. Hrana smanjuje izloženost (mjereno pomoću PIK) valsartanu za oko 40% i maksimalnu koncentraciju u plazmi (C</w:t>
      </w:r>
      <w:r w:rsidRPr="00762596">
        <w:rPr>
          <w:szCs w:val="22"/>
          <w:vertAlign w:val="subscript"/>
          <w:lang w:val="sr-Latn-ME"/>
        </w:rPr>
        <w:t>max</w:t>
      </w:r>
      <w:r w:rsidRPr="00762596">
        <w:rPr>
          <w:szCs w:val="22"/>
          <w:lang w:val="sr-Latn-ME"/>
        </w:rPr>
        <w:t>) za oko 50%, premda su koncentracije valsartana u plazmi oko 8 h nakon doziranja slične u grupi koja je uzimala hranu i grupi koja je bila natašte. Međutim, to smanjenje PIK nije praćeno klinički značajnim smanjenjem terapijskog dejstva, te se stoga valsartan može davati sa hranom ili bez nje.</w:t>
      </w:r>
    </w:p>
    <w:p w14:paraId="030C16F4" w14:textId="77777777" w:rsidR="00EA6F00" w:rsidRPr="00762596" w:rsidRDefault="00EA6F00">
      <w:pPr>
        <w:widowControl w:val="0"/>
        <w:numPr>
          <w:ilvl w:val="12"/>
          <w:numId w:val="0"/>
        </w:numPr>
        <w:ind w:right="-2"/>
        <w:jc w:val="both"/>
        <w:rPr>
          <w:iCs/>
          <w:szCs w:val="22"/>
          <w:lang w:val="sr-Latn-ME"/>
        </w:rPr>
      </w:pPr>
    </w:p>
    <w:p w14:paraId="01D94E42" w14:textId="77777777" w:rsidR="00EA6F00" w:rsidRPr="00762596" w:rsidRDefault="00861C42">
      <w:pPr>
        <w:widowControl w:val="0"/>
        <w:numPr>
          <w:ilvl w:val="12"/>
          <w:numId w:val="0"/>
        </w:numPr>
        <w:ind w:right="-2"/>
        <w:jc w:val="both"/>
        <w:rPr>
          <w:iCs/>
          <w:szCs w:val="22"/>
          <w:lang w:val="sr-Latn-ME"/>
        </w:rPr>
      </w:pPr>
      <w:r w:rsidRPr="00762596">
        <w:rPr>
          <w:i/>
          <w:iCs/>
          <w:szCs w:val="22"/>
          <w:lang w:val="sr-Latn-ME"/>
        </w:rPr>
        <w:t xml:space="preserve">Distribucija: </w:t>
      </w:r>
      <w:r w:rsidRPr="00762596">
        <w:rPr>
          <w:szCs w:val="22"/>
          <w:lang w:val="sr-Latn-ME"/>
        </w:rPr>
        <w:t>Volumen distribucije valsartana u stanju dinamičke ravnoteže nakon intravenske primjene je oko 17 litara, što ukazuje na to da se valsartan ne distribuira u većoj mjeri u tkiva. Valsartan se u velikoj mjeri veže za serumske proteine (94–97%), uglavnom na serumski albumin.</w:t>
      </w:r>
    </w:p>
    <w:p w14:paraId="089BF5A0" w14:textId="77777777" w:rsidR="00EA6F00" w:rsidRPr="00762596" w:rsidRDefault="00EA6F00">
      <w:pPr>
        <w:widowControl w:val="0"/>
        <w:numPr>
          <w:ilvl w:val="12"/>
          <w:numId w:val="0"/>
        </w:numPr>
        <w:ind w:right="-2"/>
        <w:jc w:val="both"/>
        <w:rPr>
          <w:iCs/>
          <w:szCs w:val="22"/>
          <w:lang w:val="sr-Latn-ME"/>
        </w:rPr>
      </w:pPr>
    </w:p>
    <w:p w14:paraId="622AB5B6" w14:textId="77777777" w:rsidR="00EA6F00" w:rsidRPr="00762596" w:rsidRDefault="00861C42">
      <w:pPr>
        <w:widowControl w:val="0"/>
        <w:numPr>
          <w:ilvl w:val="12"/>
          <w:numId w:val="0"/>
        </w:numPr>
        <w:ind w:right="-2"/>
        <w:jc w:val="both"/>
        <w:rPr>
          <w:szCs w:val="22"/>
          <w:lang w:val="sr-Latn-ME"/>
        </w:rPr>
      </w:pPr>
      <w:r w:rsidRPr="00762596">
        <w:rPr>
          <w:i/>
          <w:iCs/>
          <w:szCs w:val="22"/>
          <w:lang w:val="sr-Latn-ME"/>
        </w:rPr>
        <w:t xml:space="preserve">Biotransformacija: </w:t>
      </w:r>
      <w:r w:rsidRPr="00762596">
        <w:rPr>
          <w:szCs w:val="22"/>
          <w:lang w:val="sr-Latn-ME"/>
        </w:rPr>
        <w:t>Valsartan se ne transformiše u većoj mjeri, budući da se svega 20% doze može naći u obliku metabolita. U plazmi je identifikovan hidroksi-metabolit u niskoj koncentraciji (manje od 10% PIK valsartana). Taj metabolit nije farmakološki aktivan.</w:t>
      </w:r>
    </w:p>
    <w:p w14:paraId="1B8A0159" w14:textId="77777777" w:rsidR="00EA6F00" w:rsidRPr="00762596" w:rsidRDefault="00EA6F00">
      <w:pPr>
        <w:widowControl w:val="0"/>
        <w:numPr>
          <w:ilvl w:val="12"/>
          <w:numId w:val="0"/>
        </w:numPr>
        <w:ind w:right="-2"/>
        <w:jc w:val="both"/>
        <w:rPr>
          <w:iCs/>
          <w:szCs w:val="22"/>
          <w:lang w:val="sr-Latn-ME"/>
        </w:rPr>
      </w:pPr>
    </w:p>
    <w:p w14:paraId="186268C2" w14:textId="77777777" w:rsidR="00EA6F00" w:rsidRPr="00762596" w:rsidRDefault="00861C42">
      <w:pPr>
        <w:widowControl w:val="0"/>
        <w:numPr>
          <w:ilvl w:val="12"/>
          <w:numId w:val="0"/>
        </w:numPr>
        <w:ind w:right="-2"/>
        <w:jc w:val="both"/>
        <w:rPr>
          <w:iCs/>
          <w:szCs w:val="22"/>
          <w:lang w:val="sr-Latn-ME"/>
        </w:rPr>
      </w:pPr>
      <w:r w:rsidRPr="00762596">
        <w:rPr>
          <w:i/>
          <w:iCs/>
          <w:szCs w:val="22"/>
          <w:lang w:val="sr-Latn-ME"/>
        </w:rPr>
        <w:t xml:space="preserve">Eliminacija: </w:t>
      </w:r>
      <w:r w:rsidRPr="00762596">
        <w:rPr>
          <w:szCs w:val="22"/>
          <w:lang w:val="sr-Latn-ME"/>
        </w:rPr>
        <w:t>Valsartan pokazuje multieksponencijalnu kinetiku eliminacije (</w:t>
      </w:r>
      <w:r w:rsidRPr="00762596">
        <w:rPr>
          <w:iCs/>
          <w:szCs w:val="22"/>
          <w:lang w:val="sr-Latn-ME"/>
        </w:rPr>
        <w:t xml:space="preserve">t½α </w:t>
      </w:r>
      <w:r w:rsidRPr="00762596">
        <w:rPr>
          <w:szCs w:val="22"/>
          <w:lang w:val="sr-Latn-ME"/>
        </w:rPr>
        <w:t xml:space="preserve">&lt;1 h i </w:t>
      </w:r>
      <w:r w:rsidRPr="00762596">
        <w:rPr>
          <w:iCs/>
          <w:szCs w:val="22"/>
          <w:lang w:val="sr-Latn-ME"/>
        </w:rPr>
        <w:t>t½ß</w:t>
      </w:r>
      <w:r w:rsidRPr="00762596">
        <w:rPr>
          <w:szCs w:val="22"/>
          <w:lang w:val="sr-Latn-ME"/>
        </w:rPr>
        <w:t xml:space="preserve"> oko 9 h). Valsartan se primarno eliminiše putem fecesa (oko 83% doze) i urina (oko 13% doze), uglavnom kao nepromijenjen lijek. Nakon intravenske primjene, klirens valsartana iz plazme je oko 2 l/h, dok je njegov bubrežni klirens 0,62 l/h (oko 30% ukupnog klirensa). Poluvrijeme eliminacije valsartana je 6 sati.</w:t>
      </w:r>
    </w:p>
    <w:p w14:paraId="1259A183" w14:textId="77777777" w:rsidR="00EA6F00" w:rsidRPr="00762596" w:rsidRDefault="00EA6F00">
      <w:pPr>
        <w:widowControl w:val="0"/>
        <w:numPr>
          <w:ilvl w:val="12"/>
          <w:numId w:val="0"/>
        </w:numPr>
        <w:ind w:right="-2"/>
        <w:jc w:val="both"/>
        <w:rPr>
          <w:iCs/>
          <w:szCs w:val="22"/>
          <w:lang w:val="sr-Latn-ME"/>
        </w:rPr>
      </w:pPr>
    </w:p>
    <w:p w14:paraId="1395D990" w14:textId="77777777" w:rsidR="00EA6F00" w:rsidRPr="00762596" w:rsidRDefault="00861C42">
      <w:pPr>
        <w:widowControl w:val="0"/>
        <w:jc w:val="both"/>
        <w:rPr>
          <w:iCs/>
          <w:szCs w:val="22"/>
          <w:u w:val="single"/>
          <w:lang w:val="sr-Latn-ME"/>
        </w:rPr>
      </w:pPr>
      <w:r w:rsidRPr="00762596">
        <w:rPr>
          <w:iCs/>
          <w:szCs w:val="22"/>
          <w:u w:val="single"/>
          <w:lang w:val="sr-Latn-ME"/>
        </w:rPr>
        <w:t>Posebne populacije</w:t>
      </w:r>
    </w:p>
    <w:p w14:paraId="76C81AE9" w14:textId="77777777" w:rsidR="00EA6F00" w:rsidRPr="00762596" w:rsidRDefault="00EA6F00">
      <w:pPr>
        <w:widowControl w:val="0"/>
        <w:jc w:val="both"/>
        <w:rPr>
          <w:iCs/>
          <w:szCs w:val="22"/>
          <w:lang w:val="sr-Latn-ME"/>
        </w:rPr>
      </w:pPr>
    </w:p>
    <w:p w14:paraId="75BD6649" w14:textId="77777777" w:rsidR="00EA6F00" w:rsidRPr="00762596" w:rsidRDefault="00861C42">
      <w:pPr>
        <w:widowControl w:val="0"/>
        <w:jc w:val="both"/>
        <w:rPr>
          <w:i/>
          <w:iCs/>
          <w:szCs w:val="22"/>
          <w:u w:val="single"/>
          <w:lang w:val="sr-Latn-ME"/>
        </w:rPr>
      </w:pPr>
      <w:r w:rsidRPr="00762596">
        <w:rPr>
          <w:i/>
          <w:iCs/>
          <w:szCs w:val="22"/>
          <w:u w:val="single"/>
          <w:lang w:val="sr-Latn-ME"/>
        </w:rPr>
        <w:t>Pedijatrijska populacija (mlađi od 18 godina)</w:t>
      </w:r>
    </w:p>
    <w:p w14:paraId="7E09F248" w14:textId="77777777" w:rsidR="00EA6F00" w:rsidRPr="00762596" w:rsidRDefault="00EA6F00">
      <w:pPr>
        <w:widowControl w:val="0"/>
        <w:jc w:val="both"/>
        <w:rPr>
          <w:iCs/>
          <w:szCs w:val="22"/>
          <w:lang w:val="sr-Latn-ME"/>
        </w:rPr>
      </w:pPr>
    </w:p>
    <w:p w14:paraId="5EA0A66C" w14:textId="77777777" w:rsidR="00EA6F00" w:rsidRPr="00762596" w:rsidRDefault="00861C42">
      <w:pPr>
        <w:widowControl w:val="0"/>
        <w:jc w:val="both"/>
        <w:rPr>
          <w:iCs/>
          <w:szCs w:val="22"/>
          <w:lang w:val="sr-Latn-ME"/>
        </w:rPr>
      </w:pPr>
      <w:r w:rsidRPr="00762596">
        <w:rPr>
          <w:iCs/>
          <w:szCs w:val="22"/>
          <w:lang w:val="sr-Latn-ME"/>
        </w:rPr>
        <w:t>Nisu dostupni farmakokinetički podaci u pedijatrijskoj populaciji.</w:t>
      </w:r>
    </w:p>
    <w:p w14:paraId="541D5739" w14:textId="77777777" w:rsidR="00EA6F00" w:rsidRPr="00762596" w:rsidRDefault="00EA6F00">
      <w:pPr>
        <w:widowControl w:val="0"/>
        <w:jc w:val="both"/>
        <w:rPr>
          <w:iCs/>
          <w:szCs w:val="22"/>
          <w:lang w:val="sr-Latn-ME"/>
        </w:rPr>
      </w:pPr>
    </w:p>
    <w:p w14:paraId="04A80552" w14:textId="77777777" w:rsidR="00EA6F00" w:rsidRPr="00762596" w:rsidRDefault="00861C42">
      <w:pPr>
        <w:widowControl w:val="0"/>
        <w:jc w:val="both"/>
        <w:rPr>
          <w:i/>
          <w:iCs/>
          <w:szCs w:val="22"/>
          <w:u w:val="single"/>
          <w:lang w:val="sr-Latn-ME"/>
        </w:rPr>
      </w:pPr>
      <w:r w:rsidRPr="00762596">
        <w:rPr>
          <w:i/>
          <w:iCs/>
          <w:szCs w:val="22"/>
          <w:u w:val="single"/>
          <w:lang w:val="sr-Latn-ME"/>
        </w:rPr>
        <w:t>Starije osobe (65 godina ili više)</w:t>
      </w:r>
    </w:p>
    <w:p w14:paraId="3CE0C593" w14:textId="77777777" w:rsidR="00EA6F00" w:rsidRPr="00762596" w:rsidRDefault="00EA6F00">
      <w:pPr>
        <w:widowControl w:val="0"/>
        <w:jc w:val="both"/>
        <w:rPr>
          <w:iCs/>
          <w:szCs w:val="22"/>
          <w:lang w:val="sr-Latn-ME"/>
        </w:rPr>
      </w:pPr>
    </w:p>
    <w:p w14:paraId="16086761" w14:textId="77777777" w:rsidR="00EA6F00" w:rsidRPr="00762596" w:rsidRDefault="00861C42">
      <w:pPr>
        <w:widowControl w:val="0"/>
        <w:jc w:val="both"/>
        <w:rPr>
          <w:iCs/>
          <w:szCs w:val="22"/>
          <w:lang w:val="sr-Latn-ME"/>
        </w:rPr>
      </w:pPr>
      <w:r w:rsidRPr="00762596">
        <w:rPr>
          <w:szCs w:val="22"/>
          <w:lang w:val="sr-Latn-ME"/>
        </w:rPr>
        <w:t>Vrijeme do postizanja maksimalnih koncentracija amlodipina u plazmi slično je kod mladih i starijih pacijenata. Kod starijih pacijenata postoji sklonost smanjenju klirensa amlodipina, što uzrokuje povećanja površine ispod krive (PIK) i poluvremena eliminacije. Srednja sistemska vrijednost PIK valsartana viša je za 70% kod starijih osoba nego kod mladih osoba, i stoga je potreban oprez pri povećavanju doze.</w:t>
      </w:r>
    </w:p>
    <w:p w14:paraId="5B72B8F2" w14:textId="77777777" w:rsidR="00EA6F00" w:rsidRPr="00762596" w:rsidRDefault="00EA6F00">
      <w:pPr>
        <w:widowControl w:val="0"/>
        <w:jc w:val="both"/>
        <w:rPr>
          <w:iCs/>
          <w:szCs w:val="22"/>
          <w:lang w:val="sr-Latn-ME"/>
        </w:rPr>
      </w:pPr>
    </w:p>
    <w:p w14:paraId="5B2E0B68" w14:textId="77777777" w:rsidR="00EA6F00" w:rsidRPr="00762596" w:rsidRDefault="00861C42">
      <w:pPr>
        <w:widowControl w:val="0"/>
        <w:jc w:val="both"/>
        <w:rPr>
          <w:i/>
          <w:iCs/>
          <w:szCs w:val="22"/>
          <w:lang w:val="sr-Latn-ME"/>
        </w:rPr>
      </w:pPr>
      <w:r w:rsidRPr="00762596">
        <w:rPr>
          <w:i/>
          <w:iCs/>
          <w:szCs w:val="22"/>
          <w:u w:val="single"/>
          <w:lang w:val="sr-Latn-ME"/>
        </w:rPr>
        <w:t>Oštećenje funkcije bubrega</w:t>
      </w:r>
    </w:p>
    <w:p w14:paraId="1078796A" w14:textId="77777777" w:rsidR="00EA6F00" w:rsidRPr="00762596" w:rsidRDefault="00EA6F00">
      <w:pPr>
        <w:widowControl w:val="0"/>
        <w:jc w:val="both"/>
        <w:rPr>
          <w:iCs/>
          <w:szCs w:val="22"/>
          <w:lang w:val="sr-Latn-ME"/>
        </w:rPr>
      </w:pPr>
    </w:p>
    <w:p w14:paraId="78D688CF" w14:textId="77777777" w:rsidR="00EA6F00" w:rsidRPr="00762596" w:rsidRDefault="00861C42">
      <w:pPr>
        <w:widowControl w:val="0"/>
        <w:jc w:val="both"/>
        <w:rPr>
          <w:iCs/>
          <w:szCs w:val="22"/>
          <w:lang w:val="sr-Latn-ME"/>
        </w:rPr>
      </w:pPr>
      <w:r w:rsidRPr="00762596">
        <w:rPr>
          <w:szCs w:val="22"/>
          <w:lang w:val="sr-Latn-ME"/>
        </w:rPr>
        <w:t>Oštećenje funkcije bubrega ne utiče u značajnoj mjeri na farmakokinetiku amlodipina. Kao što se i očekuje za lijek čiji bubrežni klirens iznosi samo 30% ukupnog klirensa iz plazme, nije uočena korelacija između funkcije bubrega i sistemske izloženosti valsartanu.</w:t>
      </w:r>
    </w:p>
    <w:p w14:paraId="594B5AF8" w14:textId="77777777" w:rsidR="00EA6F00" w:rsidRPr="00762596" w:rsidRDefault="00EA6F00">
      <w:pPr>
        <w:widowControl w:val="0"/>
        <w:jc w:val="both"/>
        <w:rPr>
          <w:iCs/>
          <w:szCs w:val="22"/>
          <w:lang w:val="sr-Latn-ME"/>
        </w:rPr>
      </w:pPr>
    </w:p>
    <w:p w14:paraId="3AEDB9FB" w14:textId="77777777" w:rsidR="00EA6F00" w:rsidRPr="00762596" w:rsidRDefault="00861C42">
      <w:pPr>
        <w:widowControl w:val="0"/>
        <w:jc w:val="both"/>
        <w:rPr>
          <w:i/>
          <w:iCs/>
          <w:szCs w:val="22"/>
          <w:u w:val="single"/>
          <w:lang w:val="sr-Latn-ME"/>
        </w:rPr>
      </w:pPr>
      <w:r w:rsidRPr="00762596">
        <w:rPr>
          <w:i/>
          <w:iCs/>
          <w:szCs w:val="22"/>
          <w:u w:val="single"/>
          <w:lang w:val="sr-Latn-ME"/>
        </w:rPr>
        <w:t>Oštećenje funkcije jetre</w:t>
      </w:r>
    </w:p>
    <w:p w14:paraId="4D049C83" w14:textId="77777777" w:rsidR="00EA6F00" w:rsidRPr="00762596" w:rsidRDefault="00EA6F00">
      <w:pPr>
        <w:widowControl w:val="0"/>
        <w:jc w:val="both"/>
        <w:rPr>
          <w:iCs/>
          <w:szCs w:val="22"/>
          <w:lang w:val="sr-Latn-ME"/>
        </w:rPr>
      </w:pPr>
    </w:p>
    <w:p w14:paraId="44F52E9F" w14:textId="77777777" w:rsidR="00EA6F00" w:rsidRPr="00762596" w:rsidRDefault="00861C42">
      <w:pPr>
        <w:widowControl w:val="0"/>
        <w:jc w:val="both"/>
        <w:rPr>
          <w:szCs w:val="22"/>
          <w:lang w:val="sr-Latn-ME"/>
        </w:rPr>
      </w:pPr>
      <w:r w:rsidRPr="00762596">
        <w:rPr>
          <w:szCs w:val="22"/>
          <w:lang w:val="sr-Latn-ME"/>
        </w:rPr>
        <w:t>Dostupni su vrlo ograničeni klinički podaci o primjeni amlodipina kod pacijenata sa oštećenjem funkcije jetre. Pacijenti sa oštećenjem funkcije jetre imaju smanjeni klirens amlodipina sa posljedičnim povećanjem PIK za otprilike 40–60%. Kod pacijenata sa blagom do umjerenom hroničnom bolešću jetre, izloženost (mjereno PIK vrijednostima) valsartanu u prosjeku je dva puta veća od one kod zdravih dobrovoljaca (odgovarajuće upoređenim sa obzirom na starost, pol i težinu). Kod pacijenata sa bolešću jetre je potreban oprez (vidjeti odjeljak 4.2).</w:t>
      </w:r>
    </w:p>
    <w:p w14:paraId="0D0A6C39" w14:textId="77777777" w:rsidR="00EA6F00" w:rsidRPr="00762596" w:rsidRDefault="00EA6F00">
      <w:pPr>
        <w:widowControl w:val="0"/>
        <w:jc w:val="both"/>
        <w:rPr>
          <w:szCs w:val="22"/>
          <w:lang w:val="sr-Latn-ME"/>
        </w:rPr>
      </w:pPr>
    </w:p>
    <w:p w14:paraId="63E66DBE" w14:textId="77777777" w:rsidR="00EA6F00" w:rsidRPr="00762596" w:rsidRDefault="00861C42">
      <w:pPr>
        <w:widowControl w:val="0"/>
        <w:ind w:left="567" w:hanging="567"/>
        <w:jc w:val="both"/>
        <w:outlineLvl w:val="0"/>
        <w:rPr>
          <w:szCs w:val="22"/>
          <w:lang w:val="sr-Latn-ME"/>
        </w:rPr>
      </w:pPr>
      <w:r w:rsidRPr="00762596">
        <w:rPr>
          <w:b/>
          <w:szCs w:val="22"/>
          <w:lang w:val="sr-Latn-ME"/>
        </w:rPr>
        <w:t>5.3</w:t>
      </w:r>
      <w:r w:rsidRPr="00762596">
        <w:rPr>
          <w:b/>
          <w:szCs w:val="22"/>
          <w:lang w:val="sr-Latn-ME"/>
        </w:rPr>
        <w:tab/>
      </w:r>
      <w:r w:rsidRPr="00762596">
        <w:rPr>
          <w:b/>
          <w:bCs/>
          <w:szCs w:val="22"/>
          <w:lang w:val="sr-Latn-ME"/>
        </w:rPr>
        <w:t>Pretklinički podaci o bezbjednosti</w:t>
      </w:r>
    </w:p>
    <w:p w14:paraId="1A0D0437" w14:textId="77777777" w:rsidR="00EA6F00" w:rsidRPr="00762596" w:rsidRDefault="00861C42">
      <w:pPr>
        <w:widowControl w:val="0"/>
        <w:jc w:val="both"/>
        <w:rPr>
          <w:szCs w:val="22"/>
          <w:lang w:val="sr-Latn-ME"/>
        </w:rPr>
      </w:pPr>
      <w:r w:rsidRPr="00762596">
        <w:rPr>
          <w:szCs w:val="22"/>
          <w:lang w:val="sr-Latn-ME"/>
        </w:rPr>
        <w:t xml:space="preserve"> </w:t>
      </w:r>
    </w:p>
    <w:p w14:paraId="006784EE" w14:textId="77777777" w:rsidR="00EA6F00" w:rsidRPr="00762596" w:rsidRDefault="00861C42">
      <w:pPr>
        <w:widowControl w:val="0"/>
        <w:jc w:val="both"/>
        <w:rPr>
          <w:szCs w:val="22"/>
          <w:u w:val="single"/>
          <w:lang w:val="sr-Latn-ME"/>
        </w:rPr>
      </w:pPr>
      <w:r w:rsidRPr="00762596">
        <w:rPr>
          <w:szCs w:val="22"/>
          <w:u w:val="single"/>
          <w:lang w:val="sr-Latn-ME"/>
        </w:rPr>
        <w:t>Amlodipin/valsartan</w:t>
      </w:r>
    </w:p>
    <w:p w14:paraId="1E6354DC" w14:textId="77777777" w:rsidR="00EA6F00" w:rsidRPr="00762596" w:rsidRDefault="00EA6F00">
      <w:pPr>
        <w:widowControl w:val="0"/>
        <w:jc w:val="both"/>
        <w:rPr>
          <w:szCs w:val="22"/>
          <w:lang w:val="sr-Latn-ME"/>
        </w:rPr>
      </w:pPr>
    </w:p>
    <w:p w14:paraId="63BB50D1" w14:textId="77777777" w:rsidR="00EA6F00" w:rsidRPr="00762596" w:rsidRDefault="00861C42">
      <w:pPr>
        <w:widowControl w:val="0"/>
        <w:jc w:val="both"/>
        <w:rPr>
          <w:szCs w:val="22"/>
          <w:lang w:val="sr-Latn-ME"/>
        </w:rPr>
      </w:pPr>
      <w:r w:rsidRPr="00762596">
        <w:rPr>
          <w:szCs w:val="22"/>
          <w:lang w:val="sr-Latn-ME"/>
        </w:rPr>
        <w:t>Neželjene reakcije primijećene u ispitivanjima na životinjama, sa mogućim kliničkim značajem, bile su sljedeće:</w:t>
      </w:r>
    </w:p>
    <w:p w14:paraId="2418426F" w14:textId="77777777" w:rsidR="00EA6F00" w:rsidRPr="00762596" w:rsidRDefault="00EA6F00">
      <w:pPr>
        <w:widowControl w:val="0"/>
        <w:jc w:val="both"/>
        <w:rPr>
          <w:szCs w:val="22"/>
          <w:lang w:val="sr-Latn-ME"/>
        </w:rPr>
      </w:pPr>
    </w:p>
    <w:p w14:paraId="51B9745D" w14:textId="77777777" w:rsidR="00EA6F00" w:rsidRPr="00762596" w:rsidRDefault="00861C42">
      <w:pPr>
        <w:widowControl w:val="0"/>
        <w:jc w:val="both"/>
        <w:rPr>
          <w:szCs w:val="22"/>
          <w:lang w:val="sr-Latn-ME"/>
        </w:rPr>
      </w:pPr>
      <w:r w:rsidRPr="00762596">
        <w:rPr>
          <w:szCs w:val="22"/>
          <w:lang w:val="sr-Latn-ME"/>
        </w:rPr>
        <w:t>Histopatološki znaci zapaljenja žlijezda želuca viđeni su kod mužjaka pacova pri izloženosti od oko 1,9 (valsartan) i 2,6 (amlodipin) puta većima od izloženosti kliničkom dozom od 160 mg valsartana i 10 mg amlodipina. Pri većim izloženostima, nastale su ulceracije i erozije sluznice želuca i kod ženki i kod mužjaka. Slične promjene su takođe viđene u grupi koja je bila samo na valsartanu (izloženost 8,5–11,0 puta veća od izloženosti kliničkom dozom od 160 mg valsartana).</w:t>
      </w:r>
    </w:p>
    <w:p w14:paraId="52B1FE08" w14:textId="77777777" w:rsidR="00EA6F00" w:rsidRPr="00762596" w:rsidRDefault="00EA6F00">
      <w:pPr>
        <w:widowControl w:val="0"/>
        <w:jc w:val="both"/>
        <w:rPr>
          <w:szCs w:val="22"/>
          <w:lang w:val="sr-Latn-ME"/>
        </w:rPr>
      </w:pPr>
    </w:p>
    <w:p w14:paraId="116B687A" w14:textId="77777777" w:rsidR="00EA6F00" w:rsidRPr="00762596" w:rsidRDefault="00861C42">
      <w:pPr>
        <w:widowControl w:val="0"/>
        <w:jc w:val="both"/>
        <w:rPr>
          <w:szCs w:val="22"/>
          <w:lang w:val="sr-Latn-ME"/>
        </w:rPr>
      </w:pPr>
      <w:r w:rsidRPr="00762596">
        <w:rPr>
          <w:szCs w:val="22"/>
          <w:lang w:val="sr-Latn-ME"/>
        </w:rPr>
        <w:t>Nađena je povećana incidencija i težina bazofilije/hijalinizacije bubrežnih tubula, dilatacija i cilindra, kao i intersticijska limfocitna upala i medijalna hipertrofija arteriola pri izloženosti 8–13 (valsartan) i 7–8 (amlodipin) puta višim od izloženosti kliničkim dozama od 160 mg valsartana i 10 mg amlodipina. Slične promjene su nađene i u grupi koja je bila samo na valsartanu (izloženost 8,5–11,0 puta viša od izloženosti kliničkoj dozi od 160 mg valsartana).</w:t>
      </w:r>
    </w:p>
    <w:p w14:paraId="6093D58D" w14:textId="77777777" w:rsidR="00EA6F00" w:rsidRPr="00762596" w:rsidRDefault="00EA6F00">
      <w:pPr>
        <w:widowControl w:val="0"/>
        <w:jc w:val="both"/>
        <w:rPr>
          <w:szCs w:val="22"/>
          <w:lang w:val="sr-Latn-ME"/>
        </w:rPr>
      </w:pPr>
    </w:p>
    <w:p w14:paraId="22747C22" w14:textId="77777777" w:rsidR="00EA6F00" w:rsidRPr="00762596" w:rsidRDefault="00861C42">
      <w:pPr>
        <w:widowControl w:val="0"/>
        <w:jc w:val="both"/>
        <w:rPr>
          <w:szCs w:val="22"/>
          <w:lang w:val="sr-Latn-ME"/>
        </w:rPr>
      </w:pPr>
      <w:r w:rsidRPr="00762596">
        <w:rPr>
          <w:szCs w:val="22"/>
          <w:lang w:val="sr-Latn-ME"/>
        </w:rPr>
        <w:t>U ispitivanju embriofetalnog razvoja pacova, primijećene su povećane incidencije dilatacije uretera, malformacija grudne kosti i neosificiranih falangi prednjih šapa pri izloženosti oko 12 (valsartan) i 10 (amlodipin) puta višoj od izloženosti kliničkim dozama od 160 mg valsartana i 10 mg amlodipina. Dilatirani ureteri takođe su nađeni u grupi koja je bila samo na valsartanu (izloženost 12 puta veća od izloženosti kliničkom dozom od 160 mg valsartana). U ovom su ispitivanju nađeni tek skromni znaci toksičnosti po majku (umjereno smanjenje tjelesne težine). Nivo bez uočenih efekata na razvojne poremećaje opažena je kod 3- (valsartan) i 4- (amlodipin) puta veće izloženosti od kliničke izloženosti (na temelju PIK-a).</w:t>
      </w:r>
    </w:p>
    <w:p w14:paraId="69CAEC21" w14:textId="77777777" w:rsidR="00EA6F00" w:rsidRPr="00762596" w:rsidRDefault="00EA6F00">
      <w:pPr>
        <w:widowControl w:val="0"/>
        <w:jc w:val="both"/>
        <w:rPr>
          <w:szCs w:val="22"/>
          <w:lang w:val="sr-Latn-ME"/>
        </w:rPr>
      </w:pPr>
    </w:p>
    <w:p w14:paraId="28D1AEA4" w14:textId="77777777" w:rsidR="00EA6F00" w:rsidRPr="00762596" w:rsidRDefault="00861C42">
      <w:pPr>
        <w:widowControl w:val="0"/>
        <w:jc w:val="both"/>
        <w:rPr>
          <w:szCs w:val="22"/>
          <w:lang w:val="sr-Latn-ME"/>
        </w:rPr>
      </w:pPr>
      <w:r w:rsidRPr="00762596">
        <w:rPr>
          <w:szCs w:val="22"/>
          <w:lang w:val="sr-Latn-ME"/>
        </w:rPr>
        <w:t>Nije bilo dokaza mutagenosti, klastogenosti ni karcinogenosti pojedinačnih komponenti.</w:t>
      </w:r>
    </w:p>
    <w:p w14:paraId="0F259EB3" w14:textId="77777777" w:rsidR="00EA6F00" w:rsidRPr="00762596" w:rsidRDefault="00EA6F00">
      <w:pPr>
        <w:widowControl w:val="0"/>
        <w:jc w:val="both"/>
        <w:rPr>
          <w:szCs w:val="22"/>
          <w:lang w:val="sr-Latn-ME"/>
        </w:rPr>
      </w:pPr>
    </w:p>
    <w:p w14:paraId="3145F9B1" w14:textId="77777777" w:rsidR="00EA6F00" w:rsidRPr="00762596" w:rsidRDefault="00861C42">
      <w:pPr>
        <w:widowControl w:val="0"/>
        <w:jc w:val="both"/>
        <w:rPr>
          <w:szCs w:val="22"/>
          <w:u w:val="single"/>
          <w:lang w:val="sr-Latn-ME"/>
        </w:rPr>
      </w:pPr>
      <w:r w:rsidRPr="00762596">
        <w:rPr>
          <w:szCs w:val="22"/>
          <w:u w:val="single"/>
          <w:lang w:val="sr-Latn-ME"/>
        </w:rPr>
        <w:lastRenderedPageBreak/>
        <w:t>Amlodipin</w:t>
      </w:r>
    </w:p>
    <w:p w14:paraId="6488CBC6" w14:textId="77777777" w:rsidR="00EA6F00" w:rsidRPr="00762596" w:rsidRDefault="00EA6F00">
      <w:pPr>
        <w:widowControl w:val="0"/>
        <w:jc w:val="both"/>
        <w:rPr>
          <w:szCs w:val="22"/>
          <w:lang w:val="sr-Latn-ME"/>
        </w:rPr>
      </w:pPr>
    </w:p>
    <w:p w14:paraId="6EFE47EA" w14:textId="77777777" w:rsidR="00EA6F00" w:rsidRPr="00762596" w:rsidRDefault="00861C42">
      <w:pPr>
        <w:widowControl w:val="0"/>
        <w:jc w:val="both"/>
        <w:rPr>
          <w:i/>
          <w:szCs w:val="22"/>
          <w:lang w:val="sr-Latn-ME"/>
        </w:rPr>
      </w:pPr>
      <w:r w:rsidRPr="00762596">
        <w:rPr>
          <w:i/>
          <w:szCs w:val="22"/>
          <w:lang w:val="sr-Latn-ME"/>
        </w:rPr>
        <w:t>Reproduktivna toksikologija</w:t>
      </w:r>
    </w:p>
    <w:p w14:paraId="2C19C5CF" w14:textId="77777777" w:rsidR="00EA6F00" w:rsidRPr="00762596" w:rsidRDefault="00EA6F00">
      <w:pPr>
        <w:widowControl w:val="0"/>
        <w:jc w:val="both"/>
        <w:rPr>
          <w:szCs w:val="22"/>
          <w:lang w:val="sr-Latn-ME"/>
        </w:rPr>
      </w:pPr>
    </w:p>
    <w:p w14:paraId="73C65BF4" w14:textId="77777777" w:rsidR="00EA6F00" w:rsidRPr="00762596" w:rsidRDefault="00861C42">
      <w:pPr>
        <w:widowControl w:val="0"/>
        <w:jc w:val="both"/>
        <w:rPr>
          <w:szCs w:val="22"/>
          <w:lang w:val="sr-Latn-ME"/>
        </w:rPr>
      </w:pPr>
      <w:r w:rsidRPr="00762596">
        <w:rPr>
          <w:szCs w:val="22"/>
          <w:lang w:val="sr-Latn-ME"/>
        </w:rPr>
        <w:t>Ispitivanja uticaja na reprodukciju pacova i miševa, pokazala su odlaganje dana okota, produženo trajanje porođaja i smanjeno preživljavanje mladunčadi, pri dozama koje su otprilike 50 puta veće od najviše preporučene doze za ljude, izražene u mg/kg.</w:t>
      </w:r>
    </w:p>
    <w:p w14:paraId="1BC2A3F7" w14:textId="77777777" w:rsidR="00EA6F00" w:rsidRPr="00762596" w:rsidRDefault="00EA6F00">
      <w:pPr>
        <w:widowControl w:val="0"/>
        <w:jc w:val="both"/>
        <w:rPr>
          <w:szCs w:val="22"/>
          <w:lang w:val="sr-Latn-ME"/>
        </w:rPr>
      </w:pPr>
    </w:p>
    <w:p w14:paraId="15190C2E" w14:textId="77777777" w:rsidR="00EA6F00" w:rsidRPr="00762596" w:rsidRDefault="00861C42">
      <w:pPr>
        <w:widowControl w:val="0"/>
        <w:jc w:val="both"/>
        <w:rPr>
          <w:i/>
          <w:szCs w:val="22"/>
          <w:lang w:val="sr-Latn-ME"/>
        </w:rPr>
      </w:pPr>
      <w:r w:rsidRPr="00762596">
        <w:rPr>
          <w:i/>
          <w:szCs w:val="22"/>
          <w:lang w:val="sr-Latn-ME"/>
        </w:rPr>
        <w:t>Poremećaj fertiliteta</w:t>
      </w:r>
    </w:p>
    <w:p w14:paraId="7CF50531" w14:textId="77777777" w:rsidR="00EA6F00" w:rsidRPr="00762596" w:rsidRDefault="00EA6F00">
      <w:pPr>
        <w:widowControl w:val="0"/>
        <w:jc w:val="both"/>
        <w:rPr>
          <w:szCs w:val="22"/>
          <w:lang w:val="sr-Latn-ME"/>
        </w:rPr>
      </w:pPr>
    </w:p>
    <w:p w14:paraId="5ED529C0" w14:textId="77777777" w:rsidR="00EA6F00" w:rsidRPr="00762596" w:rsidRDefault="00861C42">
      <w:pPr>
        <w:widowControl w:val="0"/>
        <w:jc w:val="both"/>
        <w:rPr>
          <w:szCs w:val="22"/>
          <w:lang w:val="sr-Latn-ME"/>
        </w:rPr>
      </w:pPr>
      <w:r w:rsidRPr="00762596">
        <w:rPr>
          <w:szCs w:val="22"/>
          <w:lang w:val="sr-Latn-ME"/>
        </w:rPr>
        <w:t>Nije bilo dejstva na fertilitet pacova koji su primali amlodipin (mužjaci 64 dana i ženke 14 dana prije parenja) pri dozama od najviše 10 mg/kg/dan (8 puta* više od najviše preporučene doze za ljude od 10 mg izražene u mg/m</w:t>
      </w:r>
      <w:r w:rsidRPr="00762596">
        <w:rPr>
          <w:szCs w:val="22"/>
          <w:vertAlign w:val="superscript"/>
          <w:lang w:val="sr-Latn-ME"/>
        </w:rPr>
        <w:t>2</w:t>
      </w:r>
      <w:r w:rsidRPr="00762596">
        <w:rPr>
          <w:szCs w:val="22"/>
          <w:lang w:val="sr-Latn-ME"/>
        </w:rPr>
        <w:t>). U drugom ispitivanju sa pacovima u kojem su mužjaci 30 dana primali amlodipin besilat u dozi uporedivoj sa dozom za ljude izraženoj u mg/kg, nađeni su sniženi folikulostimulišući hormon i testosteron u plazmi, kao i smanjenja gustoće sperme te smanjeni broj zrelih spermatozoida i Sertolijevih ćelija.</w:t>
      </w:r>
    </w:p>
    <w:p w14:paraId="32AF9BD1" w14:textId="77777777" w:rsidR="00EA6F00" w:rsidRPr="00762596" w:rsidRDefault="00EA6F00">
      <w:pPr>
        <w:widowControl w:val="0"/>
        <w:jc w:val="both"/>
        <w:rPr>
          <w:szCs w:val="22"/>
          <w:lang w:val="sr-Latn-ME"/>
        </w:rPr>
      </w:pPr>
    </w:p>
    <w:p w14:paraId="15F97E70" w14:textId="77777777" w:rsidR="00EA6F00" w:rsidRPr="00762596" w:rsidRDefault="00861C42">
      <w:pPr>
        <w:widowControl w:val="0"/>
        <w:jc w:val="both"/>
        <w:rPr>
          <w:i/>
          <w:szCs w:val="22"/>
          <w:lang w:val="sr-Latn-ME"/>
        </w:rPr>
      </w:pPr>
      <w:r w:rsidRPr="00762596">
        <w:rPr>
          <w:i/>
          <w:szCs w:val="22"/>
          <w:lang w:val="sr-Latn-ME"/>
        </w:rPr>
        <w:t>Karcinogeneza, mutageneza</w:t>
      </w:r>
    </w:p>
    <w:p w14:paraId="1F745C8A" w14:textId="77777777" w:rsidR="00EA6F00" w:rsidRPr="00762596" w:rsidRDefault="00EA6F00">
      <w:pPr>
        <w:widowControl w:val="0"/>
        <w:jc w:val="both"/>
        <w:rPr>
          <w:szCs w:val="22"/>
          <w:lang w:val="sr-Latn-ME"/>
        </w:rPr>
      </w:pPr>
    </w:p>
    <w:p w14:paraId="4E0EE968" w14:textId="77777777" w:rsidR="00EA6F00" w:rsidRPr="00762596" w:rsidRDefault="00861C42">
      <w:pPr>
        <w:widowControl w:val="0"/>
        <w:jc w:val="both"/>
        <w:rPr>
          <w:szCs w:val="22"/>
          <w:lang w:val="sr-Latn-ME"/>
        </w:rPr>
      </w:pPr>
      <w:r w:rsidRPr="00762596">
        <w:rPr>
          <w:szCs w:val="22"/>
          <w:lang w:val="sr-Latn-ME"/>
        </w:rPr>
        <w:t>Pacovi i miševi koji su dvije godine primali amlodipin sa hranom u koncentracijama koje su prema izračunu osiguravale nivo dnevnog doziranja od 0,5, 1,25 i 2,5 mg/kg/dan, nisu pokazali nikakav dokaz karcinogenosti. Najviša doza (za miševe slična, a za pacove jednaka dvostrukoj,* najvišoj preporučenoj kliničkoj dozi od 10 mg izraženoj u mg/m</w:t>
      </w:r>
      <w:r w:rsidRPr="00762596">
        <w:rPr>
          <w:szCs w:val="22"/>
          <w:vertAlign w:val="superscript"/>
          <w:lang w:val="sr-Latn-ME"/>
        </w:rPr>
        <w:t>2</w:t>
      </w:r>
      <w:r w:rsidRPr="00762596">
        <w:rPr>
          <w:szCs w:val="22"/>
          <w:lang w:val="sr-Latn-ME"/>
        </w:rPr>
        <w:t>) bila je blizu najviše podnošljive doze za miševe, ali ne i za štakore.</w:t>
      </w:r>
    </w:p>
    <w:p w14:paraId="2D1D1B5E" w14:textId="77777777" w:rsidR="00EA6F00" w:rsidRPr="00762596" w:rsidRDefault="00EA6F00">
      <w:pPr>
        <w:widowControl w:val="0"/>
        <w:jc w:val="both"/>
        <w:rPr>
          <w:szCs w:val="22"/>
          <w:lang w:val="sr-Latn-ME"/>
        </w:rPr>
      </w:pPr>
    </w:p>
    <w:p w14:paraId="50AF9DCB" w14:textId="77777777" w:rsidR="00EA6F00" w:rsidRPr="00762596" w:rsidRDefault="00861C42">
      <w:pPr>
        <w:widowControl w:val="0"/>
        <w:jc w:val="both"/>
        <w:rPr>
          <w:szCs w:val="22"/>
          <w:lang w:val="sr-Latn-ME"/>
        </w:rPr>
      </w:pPr>
      <w:r w:rsidRPr="00762596">
        <w:rPr>
          <w:szCs w:val="22"/>
          <w:lang w:val="sr-Latn-ME"/>
        </w:rPr>
        <w:t>Ispitivanja mutagenosti nisu otkrila nikakve efekte povezane sa lijekom ni na nivou gena ni na nivou hromozoma.</w:t>
      </w:r>
    </w:p>
    <w:p w14:paraId="7C455ADF" w14:textId="77777777" w:rsidR="00EA6F00" w:rsidRPr="00762596" w:rsidRDefault="00EA6F00">
      <w:pPr>
        <w:widowControl w:val="0"/>
        <w:jc w:val="both"/>
        <w:rPr>
          <w:szCs w:val="22"/>
          <w:lang w:val="sr-Latn-ME"/>
        </w:rPr>
      </w:pPr>
    </w:p>
    <w:p w14:paraId="0BBC0CF5" w14:textId="77777777" w:rsidR="00EA6F00" w:rsidRPr="00762596" w:rsidRDefault="00861C42">
      <w:pPr>
        <w:widowControl w:val="0"/>
        <w:jc w:val="both"/>
        <w:rPr>
          <w:szCs w:val="22"/>
          <w:lang w:val="sr-Latn-ME"/>
        </w:rPr>
      </w:pPr>
      <w:r w:rsidRPr="00762596">
        <w:rPr>
          <w:szCs w:val="22"/>
          <w:lang w:val="sr-Latn-ME"/>
        </w:rPr>
        <w:t>* Na osnovu tjelesne težine pacijenta od 50 kg</w:t>
      </w:r>
    </w:p>
    <w:p w14:paraId="4849D4DE" w14:textId="77777777" w:rsidR="00EA6F00" w:rsidRPr="00762596" w:rsidRDefault="00EA6F00">
      <w:pPr>
        <w:widowControl w:val="0"/>
        <w:jc w:val="both"/>
        <w:rPr>
          <w:szCs w:val="22"/>
          <w:lang w:val="sr-Latn-ME"/>
        </w:rPr>
      </w:pPr>
    </w:p>
    <w:p w14:paraId="53781586" w14:textId="77777777" w:rsidR="00EA6F00" w:rsidRPr="00762596" w:rsidRDefault="00861C42">
      <w:pPr>
        <w:widowControl w:val="0"/>
        <w:jc w:val="both"/>
        <w:rPr>
          <w:szCs w:val="22"/>
          <w:u w:val="single"/>
          <w:lang w:val="sr-Latn-ME"/>
        </w:rPr>
      </w:pPr>
      <w:r w:rsidRPr="00762596">
        <w:rPr>
          <w:szCs w:val="22"/>
          <w:u w:val="single"/>
          <w:lang w:val="sr-Latn-ME"/>
        </w:rPr>
        <w:t>Valsartan</w:t>
      </w:r>
    </w:p>
    <w:p w14:paraId="40DE9D75" w14:textId="77777777" w:rsidR="00EA6F00" w:rsidRPr="00762596" w:rsidRDefault="00EA6F00">
      <w:pPr>
        <w:widowControl w:val="0"/>
        <w:jc w:val="both"/>
        <w:rPr>
          <w:szCs w:val="22"/>
          <w:lang w:val="sr-Latn-ME"/>
        </w:rPr>
      </w:pPr>
    </w:p>
    <w:p w14:paraId="374B5AEF" w14:textId="77777777" w:rsidR="00EA6F00" w:rsidRPr="00762596" w:rsidRDefault="00861C42">
      <w:pPr>
        <w:widowControl w:val="0"/>
        <w:jc w:val="both"/>
        <w:rPr>
          <w:szCs w:val="22"/>
          <w:lang w:val="sr-Latn-ME"/>
        </w:rPr>
      </w:pPr>
      <w:r w:rsidRPr="00762596">
        <w:rPr>
          <w:szCs w:val="22"/>
          <w:lang w:val="sr-Latn-ME"/>
        </w:rPr>
        <w:t>Pretklinički podaci ne ukazuju na posebnu opasnost za ljude na osnovu konvencionalnih ispitivanja farmakološke bezbjednosti, toksičnosti ponovljenih doza, genotoksičnosti, karcinogenog potencijala, reproduktivne i razvojne toksičnosti.</w:t>
      </w:r>
    </w:p>
    <w:p w14:paraId="60EC5CF6" w14:textId="77777777" w:rsidR="00EA6F00" w:rsidRPr="00762596" w:rsidRDefault="00EA6F00">
      <w:pPr>
        <w:widowControl w:val="0"/>
        <w:jc w:val="both"/>
        <w:rPr>
          <w:szCs w:val="22"/>
          <w:lang w:val="sr-Latn-ME"/>
        </w:rPr>
      </w:pPr>
    </w:p>
    <w:p w14:paraId="66B736E9" w14:textId="77777777" w:rsidR="00EA6F00" w:rsidRPr="00762596" w:rsidRDefault="00861C42">
      <w:pPr>
        <w:widowControl w:val="0"/>
        <w:jc w:val="both"/>
        <w:rPr>
          <w:szCs w:val="22"/>
          <w:lang w:val="sr-Latn-ME"/>
        </w:rPr>
      </w:pPr>
      <w:r w:rsidRPr="00762596">
        <w:rPr>
          <w:szCs w:val="22"/>
          <w:lang w:val="sr-Latn-ME"/>
        </w:rPr>
        <w:t>Kod pacova su doze pri kojima se javlja toksičnost po majku (600 mg/kg/dan) u posljednjim danima gestacije i laktacije dovele do manjeg preživljavanja, manjeg dobijanja na težini i kašnjenja u razvoju (odvajanje ušne školjke i otvaranje slušnog kanala) kod mladunčadi (vidjeti odjeljak 4.6). Takve su doze kod pacova (600 mg/kg/dan) otprilike 18 puta veće od najviše preporučene doze za ljude izražene u mg/m</w:t>
      </w:r>
      <w:r w:rsidRPr="00762596">
        <w:rPr>
          <w:szCs w:val="22"/>
          <w:vertAlign w:val="superscript"/>
          <w:lang w:val="sr-Latn-ME"/>
        </w:rPr>
        <w:t>2</w:t>
      </w:r>
      <w:r w:rsidRPr="00762596">
        <w:rPr>
          <w:szCs w:val="22"/>
          <w:lang w:val="sr-Latn-ME"/>
        </w:rPr>
        <w:t xml:space="preserve"> (u izračunima je korištena pretpostavka da je oralna doza 320 mg/dan i da je tjelesna težina pacijenta 60 kg).</w:t>
      </w:r>
    </w:p>
    <w:p w14:paraId="1DC277EA" w14:textId="77777777" w:rsidR="00EA6F00" w:rsidRPr="00762596" w:rsidRDefault="00EA6F00">
      <w:pPr>
        <w:widowControl w:val="0"/>
        <w:jc w:val="both"/>
        <w:rPr>
          <w:szCs w:val="22"/>
          <w:lang w:val="sr-Latn-ME"/>
        </w:rPr>
      </w:pPr>
    </w:p>
    <w:p w14:paraId="487F1BBB" w14:textId="77777777" w:rsidR="00EA6F00" w:rsidRPr="00762596" w:rsidRDefault="00861C42">
      <w:pPr>
        <w:widowControl w:val="0"/>
        <w:jc w:val="both"/>
        <w:rPr>
          <w:szCs w:val="22"/>
          <w:lang w:val="sr-Latn-ME"/>
        </w:rPr>
      </w:pPr>
      <w:r w:rsidRPr="00762596">
        <w:rPr>
          <w:szCs w:val="22"/>
          <w:lang w:val="sr-Latn-ME"/>
        </w:rPr>
        <w:t>U pretkliničkim ispitivanjima bezbjednosti, visoke doze valsartana (200 do 600 mg/kg tjelesne težine) su kod pacova uzrokovale sniženje parametara crvenih krvnih ćelija (eritrocita, hemoglobina, hematokrita) i dokazale promjene u hemodinamici bubrega (blago povišen azot iz uree u krvi i bubrežna tubularna hiperplazija i bazofilija kod mužjaka). Takve doze kod pacova (200 i 600 mg/kg/dan) otprilike su 6 i 18 puta veće od najviše preporučene doze za ljude izražene u mg/m</w:t>
      </w:r>
      <w:r w:rsidRPr="00762596">
        <w:rPr>
          <w:szCs w:val="22"/>
          <w:vertAlign w:val="superscript"/>
          <w:lang w:val="sr-Latn-ME"/>
        </w:rPr>
        <w:t>2</w:t>
      </w:r>
      <w:r w:rsidRPr="00762596">
        <w:rPr>
          <w:szCs w:val="22"/>
          <w:lang w:val="sr-Latn-ME"/>
        </w:rPr>
        <w:t xml:space="preserve"> (u izračunima je korištena pretpostavka da je oralna doza 320 mg/dan i da je tjelesna težina pacijenta 60 kg).</w:t>
      </w:r>
    </w:p>
    <w:p w14:paraId="4F57B8F6" w14:textId="77777777" w:rsidR="00EA6F00" w:rsidRPr="00762596" w:rsidRDefault="00EA6F00">
      <w:pPr>
        <w:widowControl w:val="0"/>
        <w:jc w:val="both"/>
        <w:rPr>
          <w:szCs w:val="22"/>
          <w:lang w:val="sr-Latn-ME"/>
        </w:rPr>
      </w:pPr>
    </w:p>
    <w:p w14:paraId="735FA203" w14:textId="77777777" w:rsidR="00EA6F00" w:rsidRPr="00762596" w:rsidRDefault="00861C42">
      <w:pPr>
        <w:widowControl w:val="0"/>
        <w:jc w:val="both"/>
        <w:rPr>
          <w:szCs w:val="22"/>
          <w:lang w:val="sr-Latn-ME"/>
        </w:rPr>
      </w:pPr>
      <w:r w:rsidRPr="00762596">
        <w:rPr>
          <w:szCs w:val="22"/>
          <w:lang w:val="sr-Latn-ME"/>
        </w:rPr>
        <w:t>Kod marmozet majmuna su pri sličnim dozama promjene bile slične iako teže, posebno u bubrezima, gdje su se promjene razvile u nefropatiju, uključujući povišen azot iz uree u krvi i kreatinin.</w:t>
      </w:r>
    </w:p>
    <w:p w14:paraId="36D73577" w14:textId="77777777" w:rsidR="00EA6F00" w:rsidRPr="00762596" w:rsidRDefault="00EA6F00">
      <w:pPr>
        <w:widowControl w:val="0"/>
        <w:jc w:val="both"/>
        <w:rPr>
          <w:szCs w:val="22"/>
          <w:lang w:val="sr-Latn-ME"/>
        </w:rPr>
      </w:pPr>
    </w:p>
    <w:p w14:paraId="792AF11E" w14:textId="77777777" w:rsidR="00EA6F00" w:rsidRPr="00762596" w:rsidRDefault="00861C42">
      <w:pPr>
        <w:widowControl w:val="0"/>
        <w:jc w:val="both"/>
        <w:rPr>
          <w:szCs w:val="22"/>
          <w:lang w:val="sr-Latn-ME"/>
        </w:rPr>
      </w:pPr>
      <w:r w:rsidRPr="00762596">
        <w:rPr>
          <w:szCs w:val="22"/>
          <w:lang w:val="sr-Latn-ME"/>
        </w:rPr>
        <w:t xml:space="preserve">Hipertrofija jukstaglomerularnih bubrežnih ćelija takođe je viđena u obije vrste. Za sve se promjene smatralo da ih je uzrokovalo farmakološko djelovanje valsartana koji stvara produženu hipotenziju, posebno kod marmozet majmuna. Kod terapijskih doza valsartana kod ljudi, čini se da hipertrofija </w:t>
      </w:r>
      <w:r w:rsidRPr="00762596">
        <w:rPr>
          <w:szCs w:val="22"/>
          <w:lang w:val="sr-Latn-ME"/>
        </w:rPr>
        <w:lastRenderedPageBreak/>
        <w:t>jukstaglomerularnih bubrežnih ćelija nema nikakav značaj.</w:t>
      </w:r>
    </w:p>
    <w:p w14:paraId="7F70F266" w14:textId="77777777" w:rsidR="00EA6F00" w:rsidRPr="00762596" w:rsidRDefault="00EA6F00">
      <w:pPr>
        <w:widowControl w:val="0"/>
        <w:jc w:val="both"/>
        <w:rPr>
          <w:szCs w:val="22"/>
          <w:lang w:val="sr-Latn-ME"/>
        </w:rPr>
      </w:pPr>
    </w:p>
    <w:p w14:paraId="2B101F7A" w14:textId="77777777" w:rsidR="00EA6F00" w:rsidRPr="00762596" w:rsidRDefault="00EA6F00">
      <w:pPr>
        <w:widowControl w:val="0"/>
        <w:jc w:val="both"/>
        <w:rPr>
          <w:szCs w:val="22"/>
          <w:lang w:val="sr-Latn-ME"/>
        </w:rPr>
      </w:pPr>
    </w:p>
    <w:p w14:paraId="24945EDE" w14:textId="77777777" w:rsidR="00EA6F00" w:rsidRPr="00762596" w:rsidRDefault="00861C42">
      <w:pPr>
        <w:widowControl w:val="0"/>
        <w:ind w:left="567" w:hanging="567"/>
        <w:jc w:val="both"/>
        <w:rPr>
          <w:b/>
          <w:szCs w:val="22"/>
          <w:lang w:val="sr-Latn-ME"/>
        </w:rPr>
      </w:pPr>
      <w:r w:rsidRPr="00762596">
        <w:rPr>
          <w:b/>
          <w:szCs w:val="22"/>
          <w:lang w:val="sr-Latn-ME"/>
        </w:rPr>
        <w:t>6.</w:t>
      </w:r>
      <w:r w:rsidRPr="00762596">
        <w:rPr>
          <w:b/>
          <w:szCs w:val="22"/>
          <w:lang w:val="sr-Latn-ME"/>
        </w:rPr>
        <w:tab/>
        <w:t>FARMACEUTSKI PODACI</w:t>
      </w:r>
    </w:p>
    <w:p w14:paraId="6B08326D" w14:textId="77777777" w:rsidR="00EA6F00" w:rsidRPr="00762596" w:rsidRDefault="00EA6F00">
      <w:pPr>
        <w:widowControl w:val="0"/>
        <w:jc w:val="both"/>
        <w:rPr>
          <w:szCs w:val="22"/>
          <w:lang w:val="sr-Latn-ME"/>
        </w:rPr>
      </w:pPr>
    </w:p>
    <w:p w14:paraId="34838040" w14:textId="77777777" w:rsidR="00EA6F00" w:rsidRPr="00762596" w:rsidRDefault="00861C42">
      <w:pPr>
        <w:widowControl w:val="0"/>
        <w:ind w:left="567" w:hanging="567"/>
        <w:jc w:val="both"/>
        <w:outlineLvl w:val="0"/>
        <w:rPr>
          <w:szCs w:val="22"/>
          <w:lang w:val="sr-Latn-ME"/>
        </w:rPr>
      </w:pPr>
      <w:r w:rsidRPr="00762596">
        <w:rPr>
          <w:b/>
          <w:szCs w:val="22"/>
          <w:lang w:val="sr-Latn-ME"/>
        </w:rPr>
        <w:t>6.1</w:t>
      </w:r>
      <w:r w:rsidRPr="00762596">
        <w:rPr>
          <w:b/>
          <w:szCs w:val="22"/>
          <w:lang w:val="sr-Latn-ME"/>
        </w:rPr>
        <w:tab/>
      </w:r>
      <w:r w:rsidRPr="00762596">
        <w:rPr>
          <w:b/>
          <w:bCs/>
          <w:szCs w:val="22"/>
          <w:lang w:val="sr-Latn-ME"/>
        </w:rPr>
        <w:t>Lista pomoćnih supstanci (ekscipijenasa)</w:t>
      </w:r>
    </w:p>
    <w:p w14:paraId="33DBEC72" w14:textId="77777777" w:rsidR="00EA6F00" w:rsidRPr="00762596" w:rsidRDefault="00EA6F00">
      <w:pPr>
        <w:widowControl w:val="0"/>
        <w:jc w:val="both"/>
        <w:rPr>
          <w:szCs w:val="22"/>
          <w:lang w:val="sr-Latn-ME"/>
        </w:rPr>
      </w:pPr>
    </w:p>
    <w:p w14:paraId="170A990C" w14:textId="77777777" w:rsidR="00EA6F00" w:rsidRPr="00762596" w:rsidRDefault="00861C42">
      <w:pPr>
        <w:widowControl w:val="0"/>
        <w:tabs>
          <w:tab w:val="decimal" w:pos="5040"/>
        </w:tabs>
        <w:jc w:val="both"/>
        <w:rPr>
          <w:i/>
          <w:color w:val="000000"/>
          <w:szCs w:val="22"/>
          <w:u w:val="single"/>
          <w:lang w:val="sr-Latn-ME"/>
        </w:rPr>
      </w:pPr>
      <w:r w:rsidRPr="00762596">
        <w:rPr>
          <w:i/>
          <w:color w:val="000000"/>
          <w:szCs w:val="22"/>
          <w:u w:val="single"/>
          <w:lang w:val="sr-Latn-ME"/>
        </w:rPr>
        <w:t>Jezgro:</w:t>
      </w:r>
    </w:p>
    <w:p w14:paraId="0C9E2DB7" w14:textId="77777777" w:rsidR="00EA6F00" w:rsidRPr="00762596" w:rsidRDefault="007A697D">
      <w:pPr>
        <w:widowControl w:val="0"/>
        <w:tabs>
          <w:tab w:val="decimal" w:pos="5040"/>
        </w:tabs>
        <w:jc w:val="both"/>
        <w:rPr>
          <w:color w:val="000000"/>
          <w:szCs w:val="22"/>
          <w:lang w:val="sr-Latn-ME"/>
        </w:rPr>
      </w:pPr>
      <w:r w:rsidRPr="00762596">
        <w:rPr>
          <w:color w:val="000000"/>
          <w:szCs w:val="22"/>
          <w:lang w:val="sr-Latn-ME"/>
        </w:rPr>
        <w:t>- celuloza</w:t>
      </w:r>
      <w:r w:rsidR="00861C42" w:rsidRPr="00762596">
        <w:rPr>
          <w:color w:val="000000"/>
          <w:szCs w:val="22"/>
          <w:lang w:val="sr-Latn-ME"/>
        </w:rPr>
        <w:t>, mikrokristalna</w:t>
      </w:r>
    </w:p>
    <w:p w14:paraId="2B4C7C7B" w14:textId="77777777" w:rsidR="00EA6F00" w:rsidRPr="00762596" w:rsidRDefault="007A697D">
      <w:pPr>
        <w:widowControl w:val="0"/>
        <w:tabs>
          <w:tab w:val="decimal" w:pos="5040"/>
        </w:tabs>
        <w:jc w:val="both"/>
        <w:rPr>
          <w:color w:val="000000"/>
          <w:szCs w:val="22"/>
          <w:lang w:val="sr-Latn-ME"/>
        </w:rPr>
      </w:pPr>
      <w:r w:rsidRPr="00762596">
        <w:rPr>
          <w:color w:val="000000"/>
          <w:szCs w:val="22"/>
          <w:lang w:val="sr-Latn-ME"/>
        </w:rPr>
        <w:t>- ma</w:t>
      </w:r>
      <w:r w:rsidR="00861C42" w:rsidRPr="00762596">
        <w:rPr>
          <w:color w:val="000000"/>
          <w:szCs w:val="22"/>
          <w:lang w:val="sr-Latn-ME"/>
        </w:rPr>
        <w:t>nitol</w:t>
      </w:r>
    </w:p>
    <w:p w14:paraId="30503A99" w14:textId="77777777" w:rsidR="00EA6F00" w:rsidRPr="00762596" w:rsidRDefault="007A697D">
      <w:pPr>
        <w:widowControl w:val="0"/>
        <w:tabs>
          <w:tab w:val="decimal" w:pos="5040"/>
        </w:tabs>
        <w:jc w:val="both"/>
        <w:rPr>
          <w:color w:val="000000"/>
          <w:szCs w:val="22"/>
          <w:lang w:val="sr-Latn-ME"/>
        </w:rPr>
      </w:pPr>
      <w:r w:rsidRPr="00762596">
        <w:rPr>
          <w:color w:val="000000"/>
          <w:szCs w:val="22"/>
          <w:lang w:val="sr-Latn-ME"/>
        </w:rPr>
        <w:t>- mag</w:t>
      </w:r>
      <w:r w:rsidR="00861C42" w:rsidRPr="00762596">
        <w:rPr>
          <w:color w:val="000000"/>
          <w:szCs w:val="22"/>
          <w:lang w:val="sr-Latn-ME"/>
        </w:rPr>
        <w:t>nezijum stearat</w:t>
      </w:r>
    </w:p>
    <w:p w14:paraId="10E4D71A" w14:textId="77777777" w:rsidR="00EA6F00" w:rsidRPr="00762596" w:rsidRDefault="007A697D">
      <w:pPr>
        <w:widowControl w:val="0"/>
        <w:tabs>
          <w:tab w:val="decimal" w:pos="5040"/>
        </w:tabs>
        <w:jc w:val="both"/>
        <w:rPr>
          <w:color w:val="000000"/>
          <w:szCs w:val="22"/>
          <w:lang w:val="sr-Latn-ME"/>
        </w:rPr>
      </w:pPr>
      <w:r w:rsidRPr="00762596">
        <w:rPr>
          <w:color w:val="000000"/>
          <w:szCs w:val="22"/>
          <w:lang w:val="sr-Latn-ME"/>
        </w:rPr>
        <w:t>- kro</w:t>
      </w:r>
      <w:r w:rsidR="00861C42" w:rsidRPr="00762596">
        <w:rPr>
          <w:color w:val="000000"/>
          <w:szCs w:val="22"/>
          <w:lang w:val="sr-Latn-ME"/>
        </w:rPr>
        <w:t>skarmeloza natrijum</w:t>
      </w:r>
    </w:p>
    <w:p w14:paraId="361CB9EB" w14:textId="77777777" w:rsidR="00EA6F00" w:rsidRPr="00762596" w:rsidRDefault="007A697D">
      <w:pPr>
        <w:widowControl w:val="0"/>
        <w:tabs>
          <w:tab w:val="decimal" w:pos="5040"/>
        </w:tabs>
        <w:jc w:val="both"/>
        <w:rPr>
          <w:color w:val="000000"/>
          <w:szCs w:val="22"/>
          <w:lang w:val="sr-Latn-ME"/>
        </w:rPr>
      </w:pPr>
      <w:r w:rsidRPr="00762596">
        <w:rPr>
          <w:color w:val="000000"/>
          <w:szCs w:val="22"/>
          <w:lang w:val="sr-Latn-ME"/>
        </w:rPr>
        <w:t>- po</w:t>
      </w:r>
      <w:r w:rsidR="00861C42" w:rsidRPr="00762596">
        <w:rPr>
          <w:color w:val="000000"/>
          <w:szCs w:val="22"/>
          <w:lang w:val="sr-Latn-ME"/>
        </w:rPr>
        <w:t>vidon K25</w:t>
      </w:r>
    </w:p>
    <w:p w14:paraId="07152C10" w14:textId="77777777" w:rsidR="00EA6F00" w:rsidRPr="00762596" w:rsidRDefault="007A697D">
      <w:pPr>
        <w:widowControl w:val="0"/>
        <w:tabs>
          <w:tab w:val="decimal" w:pos="5040"/>
        </w:tabs>
        <w:jc w:val="both"/>
        <w:rPr>
          <w:color w:val="000000"/>
          <w:szCs w:val="22"/>
          <w:lang w:val="sr-Latn-ME"/>
        </w:rPr>
      </w:pPr>
      <w:r w:rsidRPr="00762596">
        <w:rPr>
          <w:color w:val="000000"/>
          <w:szCs w:val="22"/>
          <w:lang w:val="sr-Latn-ME"/>
        </w:rPr>
        <w:t>- sil</w:t>
      </w:r>
      <w:r w:rsidR="00861C42" w:rsidRPr="00762596">
        <w:rPr>
          <w:color w:val="000000"/>
          <w:szCs w:val="22"/>
          <w:lang w:val="sr-Latn-ME"/>
        </w:rPr>
        <w:t>icijum dioksid, koloidni, bezvodni</w:t>
      </w:r>
    </w:p>
    <w:p w14:paraId="5248246C" w14:textId="77777777" w:rsidR="00EA6F00" w:rsidRPr="00762596" w:rsidRDefault="007A697D">
      <w:pPr>
        <w:widowControl w:val="0"/>
        <w:tabs>
          <w:tab w:val="decimal" w:pos="5040"/>
        </w:tabs>
        <w:jc w:val="both"/>
        <w:rPr>
          <w:color w:val="000000"/>
          <w:szCs w:val="22"/>
          <w:lang w:val="sr-Latn-ME"/>
        </w:rPr>
      </w:pPr>
      <w:r w:rsidRPr="00762596">
        <w:rPr>
          <w:color w:val="000000"/>
          <w:szCs w:val="22"/>
          <w:lang w:val="sr-Latn-ME"/>
        </w:rPr>
        <w:t xml:space="preserve">- natrijum </w:t>
      </w:r>
      <w:r w:rsidR="00861C42" w:rsidRPr="00762596">
        <w:rPr>
          <w:color w:val="000000"/>
          <w:szCs w:val="22"/>
          <w:lang w:val="sr-Latn-ME"/>
        </w:rPr>
        <w:t>laurilsulfat</w:t>
      </w:r>
    </w:p>
    <w:p w14:paraId="34AA2F6F" w14:textId="77777777" w:rsidR="00EA6F00" w:rsidRPr="00762596" w:rsidRDefault="00EA6F00">
      <w:pPr>
        <w:widowControl w:val="0"/>
        <w:tabs>
          <w:tab w:val="decimal" w:pos="5040"/>
        </w:tabs>
        <w:jc w:val="both"/>
        <w:rPr>
          <w:i/>
          <w:color w:val="000000"/>
          <w:szCs w:val="22"/>
          <w:u w:val="single"/>
          <w:lang w:val="sr-Latn-ME"/>
        </w:rPr>
      </w:pPr>
    </w:p>
    <w:p w14:paraId="7FEA73E3" w14:textId="77777777" w:rsidR="00EA6F00" w:rsidRPr="00762596" w:rsidRDefault="00861C42">
      <w:pPr>
        <w:widowControl w:val="0"/>
        <w:tabs>
          <w:tab w:val="decimal" w:pos="5040"/>
        </w:tabs>
        <w:jc w:val="both"/>
        <w:rPr>
          <w:i/>
          <w:color w:val="000000"/>
          <w:szCs w:val="22"/>
          <w:u w:val="single"/>
          <w:lang w:val="sr-Latn-ME"/>
        </w:rPr>
      </w:pPr>
      <w:r w:rsidRPr="00762596">
        <w:rPr>
          <w:i/>
          <w:color w:val="000000"/>
          <w:szCs w:val="22"/>
          <w:u w:val="single"/>
          <w:lang w:val="sr-Latn-ME"/>
        </w:rPr>
        <w:t>Obloga (film) tablete:</w:t>
      </w:r>
    </w:p>
    <w:p w14:paraId="606CBF01" w14:textId="77777777" w:rsidR="00EA6F00" w:rsidRPr="00762596" w:rsidRDefault="007A697D">
      <w:pPr>
        <w:widowControl w:val="0"/>
        <w:tabs>
          <w:tab w:val="decimal" w:pos="5040"/>
        </w:tabs>
        <w:jc w:val="both"/>
        <w:rPr>
          <w:color w:val="000000"/>
          <w:szCs w:val="22"/>
          <w:lang w:val="sr-Latn-ME"/>
        </w:rPr>
      </w:pPr>
      <w:r w:rsidRPr="00762596">
        <w:rPr>
          <w:color w:val="000000"/>
          <w:szCs w:val="22"/>
          <w:lang w:val="sr-Latn-ME"/>
        </w:rPr>
        <w:t>- pol</w:t>
      </w:r>
      <w:r w:rsidR="00861C42" w:rsidRPr="00762596">
        <w:rPr>
          <w:color w:val="000000"/>
          <w:szCs w:val="22"/>
          <w:lang w:val="sr-Latn-ME"/>
        </w:rPr>
        <w:t>ivinil alkohol</w:t>
      </w:r>
    </w:p>
    <w:p w14:paraId="46E866CC" w14:textId="77777777" w:rsidR="00EA6F00" w:rsidRPr="00762596" w:rsidRDefault="007A697D">
      <w:pPr>
        <w:widowControl w:val="0"/>
        <w:tabs>
          <w:tab w:val="decimal" w:pos="5040"/>
        </w:tabs>
        <w:jc w:val="both"/>
        <w:rPr>
          <w:color w:val="000000"/>
          <w:szCs w:val="22"/>
          <w:lang w:val="sr-Latn-ME"/>
        </w:rPr>
      </w:pPr>
      <w:r w:rsidRPr="00762596">
        <w:rPr>
          <w:color w:val="000000"/>
          <w:szCs w:val="22"/>
          <w:lang w:val="sr-Latn-ME"/>
        </w:rPr>
        <w:t>- titan</w:t>
      </w:r>
      <w:r w:rsidR="00861C42" w:rsidRPr="00762596">
        <w:rPr>
          <w:color w:val="000000"/>
          <w:szCs w:val="22"/>
          <w:lang w:val="sr-Latn-ME"/>
        </w:rPr>
        <w:t xml:space="preserve"> dioksid (E171)</w:t>
      </w:r>
    </w:p>
    <w:p w14:paraId="5CBC8D5A" w14:textId="77777777" w:rsidR="00EA6F00" w:rsidRPr="00762596" w:rsidRDefault="007A697D">
      <w:pPr>
        <w:widowControl w:val="0"/>
        <w:tabs>
          <w:tab w:val="decimal" w:pos="5040"/>
        </w:tabs>
        <w:jc w:val="both"/>
        <w:rPr>
          <w:color w:val="000000"/>
          <w:szCs w:val="22"/>
          <w:lang w:val="sr-Latn-ME"/>
        </w:rPr>
      </w:pPr>
      <w:r w:rsidRPr="00762596">
        <w:rPr>
          <w:color w:val="000000"/>
          <w:szCs w:val="22"/>
          <w:lang w:val="sr-Latn-ME"/>
        </w:rPr>
        <w:t>- makro</w:t>
      </w:r>
      <w:r w:rsidR="00861C42" w:rsidRPr="00762596">
        <w:rPr>
          <w:color w:val="000000"/>
          <w:szCs w:val="22"/>
          <w:lang w:val="sr-Latn-ME"/>
        </w:rPr>
        <w:t>gol 3000</w:t>
      </w:r>
    </w:p>
    <w:p w14:paraId="4887AF74" w14:textId="77777777" w:rsidR="00EA6F00" w:rsidRPr="00762596" w:rsidRDefault="007A697D">
      <w:pPr>
        <w:widowControl w:val="0"/>
        <w:tabs>
          <w:tab w:val="decimal" w:pos="5040"/>
        </w:tabs>
        <w:jc w:val="both"/>
        <w:rPr>
          <w:color w:val="000000"/>
          <w:szCs w:val="22"/>
          <w:lang w:val="sr-Latn-ME"/>
        </w:rPr>
      </w:pPr>
      <w:r w:rsidRPr="00762596">
        <w:rPr>
          <w:color w:val="000000"/>
          <w:szCs w:val="22"/>
          <w:lang w:val="sr-Latn-ME"/>
        </w:rPr>
        <w:t>- talk</w:t>
      </w:r>
    </w:p>
    <w:p w14:paraId="1862D55A" w14:textId="77777777" w:rsidR="00EA6F00" w:rsidRPr="00762596" w:rsidRDefault="007A697D">
      <w:pPr>
        <w:widowControl w:val="0"/>
        <w:tabs>
          <w:tab w:val="decimal" w:pos="5040"/>
        </w:tabs>
        <w:jc w:val="both"/>
        <w:rPr>
          <w:color w:val="000000"/>
          <w:szCs w:val="22"/>
          <w:lang w:val="sr-Latn-ME"/>
        </w:rPr>
      </w:pPr>
      <w:r w:rsidRPr="00762596">
        <w:rPr>
          <w:color w:val="000000"/>
          <w:szCs w:val="22"/>
          <w:lang w:val="sr-Latn-ME" w:eastAsia="de-DE"/>
        </w:rPr>
        <w:t>- g</w:t>
      </w:r>
      <w:r w:rsidR="00861C42" w:rsidRPr="00762596">
        <w:rPr>
          <w:color w:val="000000"/>
          <w:szCs w:val="22"/>
          <w:lang w:val="sr-Latn-ME" w:eastAsia="de-DE"/>
        </w:rPr>
        <w:t>vožđe oksid, žuti</w:t>
      </w:r>
      <w:r w:rsidR="00861C42" w:rsidRPr="00762596">
        <w:rPr>
          <w:color w:val="000000"/>
          <w:szCs w:val="22"/>
          <w:lang w:val="sr-Latn-ME"/>
        </w:rPr>
        <w:t xml:space="preserve"> (E172)</w:t>
      </w:r>
    </w:p>
    <w:p w14:paraId="229F99DD" w14:textId="77777777" w:rsidR="00EA6F00" w:rsidRPr="00762596" w:rsidRDefault="00EA6F00">
      <w:pPr>
        <w:widowControl w:val="0"/>
        <w:jc w:val="both"/>
        <w:rPr>
          <w:szCs w:val="22"/>
          <w:highlight w:val="lightGray"/>
          <w:lang w:val="sr-Latn-ME"/>
        </w:rPr>
      </w:pPr>
    </w:p>
    <w:p w14:paraId="5FDE87A7" w14:textId="77777777" w:rsidR="00EA6F00" w:rsidRPr="00762596" w:rsidRDefault="00861C42">
      <w:pPr>
        <w:widowControl w:val="0"/>
        <w:ind w:left="567" w:hanging="567"/>
        <w:jc w:val="both"/>
        <w:outlineLvl w:val="0"/>
        <w:rPr>
          <w:szCs w:val="22"/>
          <w:lang w:val="sr-Latn-ME"/>
        </w:rPr>
      </w:pPr>
      <w:r w:rsidRPr="00762596">
        <w:rPr>
          <w:b/>
          <w:szCs w:val="22"/>
          <w:lang w:val="sr-Latn-ME"/>
        </w:rPr>
        <w:t>6.2</w:t>
      </w:r>
      <w:r w:rsidRPr="00762596">
        <w:rPr>
          <w:b/>
          <w:szCs w:val="22"/>
          <w:lang w:val="sr-Latn-ME"/>
        </w:rPr>
        <w:tab/>
        <w:t>Inkompatibilnosti</w:t>
      </w:r>
    </w:p>
    <w:p w14:paraId="7706FFBC" w14:textId="77777777" w:rsidR="00EA6F00" w:rsidRPr="00762596" w:rsidRDefault="00EA6F00">
      <w:pPr>
        <w:widowControl w:val="0"/>
        <w:jc w:val="both"/>
        <w:rPr>
          <w:szCs w:val="22"/>
          <w:lang w:val="sr-Latn-ME"/>
        </w:rPr>
      </w:pPr>
    </w:p>
    <w:p w14:paraId="628DC8FB" w14:textId="77777777" w:rsidR="00EA6F00" w:rsidRPr="00762596" w:rsidRDefault="00861C42">
      <w:pPr>
        <w:widowControl w:val="0"/>
        <w:jc w:val="both"/>
        <w:rPr>
          <w:szCs w:val="22"/>
          <w:lang w:val="sr-Latn-ME"/>
        </w:rPr>
      </w:pPr>
      <w:r w:rsidRPr="00762596">
        <w:rPr>
          <w:szCs w:val="22"/>
          <w:lang w:val="sr-Latn-ME"/>
        </w:rPr>
        <w:t>Nije primjenjivo.</w:t>
      </w:r>
    </w:p>
    <w:p w14:paraId="74641E6C" w14:textId="77777777" w:rsidR="00EA6F00" w:rsidRPr="00762596" w:rsidRDefault="00EA6F00">
      <w:pPr>
        <w:widowControl w:val="0"/>
        <w:jc w:val="both"/>
        <w:rPr>
          <w:szCs w:val="22"/>
          <w:lang w:val="sr-Latn-ME"/>
        </w:rPr>
      </w:pPr>
    </w:p>
    <w:p w14:paraId="3FEFFBE3" w14:textId="77777777" w:rsidR="00EA6F00" w:rsidRPr="00762596" w:rsidRDefault="00861C42">
      <w:pPr>
        <w:widowControl w:val="0"/>
        <w:ind w:left="567" w:hanging="567"/>
        <w:jc w:val="both"/>
        <w:outlineLvl w:val="0"/>
        <w:rPr>
          <w:szCs w:val="22"/>
          <w:lang w:val="sr-Latn-ME"/>
        </w:rPr>
      </w:pPr>
      <w:r w:rsidRPr="00762596">
        <w:rPr>
          <w:b/>
          <w:szCs w:val="22"/>
          <w:lang w:val="sr-Latn-ME"/>
        </w:rPr>
        <w:t>6.3</w:t>
      </w:r>
      <w:r w:rsidRPr="00762596">
        <w:rPr>
          <w:b/>
          <w:szCs w:val="22"/>
          <w:lang w:val="sr-Latn-ME"/>
        </w:rPr>
        <w:tab/>
        <w:t>Rok upotrebe</w:t>
      </w:r>
    </w:p>
    <w:p w14:paraId="749F079B" w14:textId="77777777" w:rsidR="00EA6F00" w:rsidRPr="00762596" w:rsidRDefault="00EA6F00">
      <w:pPr>
        <w:widowControl w:val="0"/>
        <w:jc w:val="both"/>
        <w:rPr>
          <w:szCs w:val="22"/>
          <w:u w:val="single"/>
          <w:lang w:val="sr-Latn-ME"/>
        </w:rPr>
      </w:pPr>
    </w:p>
    <w:p w14:paraId="13F3C4D7" w14:textId="77777777" w:rsidR="00EA6F00" w:rsidRPr="00762596" w:rsidRDefault="00861C42">
      <w:pPr>
        <w:widowControl w:val="0"/>
        <w:jc w:val="both"/>
        <w:rPr>
          <w:color w:val="000000"/>
          <w:szCs w:val="22"/>
          <w:lang w:val="sr-Latn-ME"/>
        </w:rPr>
      </w:pPr>
      <w:r w:rsidRPr="00762596">
        <w:rPr>
          <w:color w:val="000000"/>
          <w:szCs w:val="22"/>
          <w:lang w:val="sr-Latn-ME"/>
        </w:rPr>
        <w:t xml:space="preserve">3 </w:t>
      </w:r>
      <w:r w:rsidRPr="00762596">
        <w:rPr>
          <w:szCs w:val="22"/>
          <w:lang w:val="sr-Latn-ME"/>
        </w:rPr>
        <w:t>godine</w:t>
      </w:r>
    </w:p>
    <w:p w14:paraId="09D32594" w14:textId="77777777" w:rsidR="00EA6F00" w:rsidRPr="00762596" w:rsidRDefault="00EA6F00">
      <w:pPr>
        <w:widowControl w:val="0"/>
        <w:jc w:val="both"/>
        <w:rPr>
          <w:iCs/>
          <w:szCs w:val="22"/>
          <w:lang w:val="sr-Latn-ME"/>
        </w:rPr>
      </w:pPr>
    </w:p>
    <w:p w14:paraId="04555E75" w14:textId="77777777" w:rsidR="00EA6F00" w:rsidRPr="00762596" w:rsidRDefault="00861C42">
      <w:pPr>
        <w:widowControl w:val="0"/>
        <w:ind w:left="567" w:hanging="567"/>
        <w:jc w:val="both"/>
        <w:outlineLvl w:val="0"/>
        <w:rPr>
          <w:szCs w:val="22"/>
          <w:lang w:val="sr-Latn-ME"/>
        </w:rPr>
      </w:pPr>
      <w:r w:rsidRPr="00762596">
        <w:rPr>
          <w:b/>
          <w:szCs w:val="22"/>
          <w:lang w:val="sr-Latn-ME"/>
        </w:rPr>
        <w:t>6.4</w:t>
      </w:r>
      <w:r w:rsidRPr="00762596">
        <w:rPr>
          <w:b/>
          <w:szCs w:val="22"/>
          <w:lang w:val="sr-Latn-ME"/>
        </w:rPr>
        <w:tab/>
        <w:t>Posebne mjere upozorenja pri čuvanju lijeka</w:t>
      </w:r>
    </w:p>
    <w:p w14:paraId="5A15711D" w14:textId="77777777" w:rsidR="00EA6F00" w:rsidRPr="00762596" w:rsidRDefault="00EA6F00">
      <w:pPr>
        <w:widowControl w:val="0"/>
        <w:jc w:val="both"/>
        <w:outlineLvl w:val="0"/>
        <w:rPr>
          <w:szCs w:val="22"/>
          <w:lang w:val="sr-Latn-ME"/>
        </w:rPr>
      </w:pPr>
    </w:p>
    <w:p w14:paraId="03A151BC" w14:textId="77777777" w:rsidR="00EA6F00" w:rsidRPr="00762596" w:rsidRDefault="00861C42">
      <w:pPr>
        <w:widowControl w:val="0"/>
        <w:jc w:val="both"/>
        <w:rPr>
          <w:iCs/>
          <w:szCs w:val="22"/>
          <w:lang w:val="sr-Latn-ME"/>
        </w:rPr>
      </w:pPr>
      <w:r w:rsidRPr="00762596">
        <w:rPr>
          <w:iCs/>
          <w:szCs w:val="22"/>
          <w:lang w:val="sr-Latn-ME"/>
        </w:rPr>
        <w:t>Lijek čuvajte na temperaturi do 30°C.</w:t>
      </w:r>
    </w:p>
    <w:p w14:paraId="5EC957DC" w14:textId="77777777" w:rsidR="00EA6F00" w:rsidRPr="00762596" w:rsidRDefault="00EA6F00">
      <w:pPr>
        <w:widowControl w:val="0"/>
        <w:jc w:val="both"/>
        <w:rPr>
          <w:szCs w:val="22"/>
          <w:lang w:val="sr-Latn-ME"/>
        </w:rPr>
      </w:pPr>
    </w:p>
    <w:p w14:paraId="6D3C8675" w14:textId="77777777" w:rsidR="00EA6F00" w:rsidRPr="00762596" w:rsidRDefault="00861C42">
      <w:pPr>
        <w:widowControl w:val="0"/>
        <w:jc w:val="both"/>
        <w:outlineLvl w:val="0"/>
        <w:rPr>
          <w:b/>
          <w:szCs w:val="22"/>
          <w:lang w:val="sr-Latn-ME"/>
        </w:rPr>
      </w:pPr>
      <w:r w:rsidRPr="00762596">
        <w:rPr>
          <w:b/>
          <w:szCs w:val="22"/>
          <w:lang w:val="sr-Latn-ME"/>
        </w:rPr>
        <w:t>6.5</w:t>
      </w:r>
      <w:r w:rsidRPr="00762596">
        <w:rPr>
          <w:b/>
          <w:szCs w:val="22"/>
          <w:lang w:val="sr-Latn-ME"/>
        </w:rPr>
        <w:tab/>
        <w:t>Vrsta i sadržaj pakovanja</w:t>
      </w:r>
    </w:p>
    <w:p w14:paraId="45FF3A27" w14:textId="77777777" w:rsidR="00EA6F00" w:rsidRPr="00762596" w:rsidRDefault="00EA6F00">
      <w:pPr>
        <w:widowControl w:val="0"/>
        <w:jc w:val="both"/>
        <w:outlineLvl w:val="0"/>
        <w:rPr>
          <w:b/>
          <w:szCs w:val="22"/>
          <w:lang w:val="sr-Latn-ME"/>
        </w:rPr>
      </w:pPr>
    </w:p>
    <w:p w14:paraId="6B66C98D" w14:textId="77777777" w:rsidR="007A697D" w:rsidRPr="00762596" w:rsidRDefault="007A697D">
      <w:pPr>
        <w:widowControl w:val="0"/>
        <w:jc w:val="both"/>
        <w:rPr>
          <w:szCs w:val="22"/>
          <w:lang w:val="hr-HR"/>
        </w:rPr>
      </w:pPr>
      <w:r w:rsidRPr="00762596">
        <w:rPr>
          <w:szCs w:val="22"/>
          <w:lang w:val="hr-HR"/>
        </w:rPr>
        <w:t>Unutrašnje pakovanje je blister (OPA/Al/PVC-Al folija) koji sadrži 10 film tableta.</w:t>
      </w:r>
    </w:p>
    <w:p w14:paraId="614F08D4" w14:textId="77777777" w:rsidR="007A697D" w:rsidRPr="00762596" w:rsidRDefault="007A697D">
      <w:pPr>
        <w:widowControl w:val="0"/>
        <w:spacing w:before="240"/>
        <w:jc w:val="both"/>
        <w:rPr>
          <w:szCs w:val="22"/>
          <w:lang w:val="hr-HR"/>
        </w:rPr>
      </w:pPr>
      <w:r w:rsidRPr="00762596">
        <w:rPr>
          <w:szCs w:val="22"/>
          <w:lang w:val="hr-HR"/>
        </w:rPr>
        <w:t>Spoljašnje pakovanje je složiva kartonska kutija u kojoj se nalaze 3 blistera sa po 10 tableta (ukupno 30 film tableta) i Uputstvo za lijek.</w:t>
      </w:r>
    </w:p>
    <w:p w14:paraId="5205CEA5" w14:textId="77777777" w:rsidR="00EA6F00" w:rsidRPr="00762596" w:rsidRDefault="00EA6F00">
      <w:pPr>
        <w:widowControl w:val="0"/>
        <w:jc w:val="both"/>
        <w:rPr>
          <w:szCs w:val="22"/>
          <w:lang w:val="sr-Latn-ME"/>
        </w:rPr>
      </w:pPr>
    </w:p>
    <w:p w14:paraId="43D563A3" w14:textId="77777777" w:rsidR="00EA6F00" w:rsidRPr="00762596" w:rsidRDefault="00861C42">
      <w:pPr>
        <w:widowControl w:val="0"/>
        <w:jc w:val="both"/>
        <w:outlineLvl w:val="0"/>
        <w:rPr>
          <w:b/>
          <w:bCs/>
          <w:szCs w:val="22"/>
          <w:lang w:val="sr-Latn-ME"/>
        </w:rPr>
      </w:pPr>
      <w:r w:rsidRPr="00762596">
        <w:rPr>
          <w:b/>
          <w:szCs w:val="22"/>
          <w:lang w:val="sr-Latn-ME"/>
        </w:rPr>
        <w:t>6.6</w:t>
      </w:r>
      <w:r w:rsidRPr="00762596">
        <w:rPr>
          <w:b/>
          <w:szCs w:val="22"/>
          <w:lang w:val="sr-Latn-ME"/>
        </w:rPr>
        <w:tab/>
      </w:r>
      <w:r w:rsidRPr="00762596">
        <w:rPr>
          <w:b/>
          <w:bCs/>
          <w:szCs w:val="22"/>
          <w:lang w:val="sr-Latn-ME"/>
        </w:rPr>
        <w:t>Posebne mjere opreza pri odlaganju materijala koji treba odbaciti nakon primjene</w:t>
      </w:r>
      <w:bookmarkStart w:id="1" w:name="OLE_LINK2"/>
    </w:p>
    <w:bookmarkEnd w:id="1"/>
    <w:p w14:paraId="6C5C39EE" w14:textId="77777777" w:rsidR="00EA6F00" w:rsidRPr="00762596" w:rsidRDefault="00861C42">
      <w:pPr>
        <w:widowControl w:val="0"/>
        <w:jc w:val="both"/>
        <w:outlineLvl w:val="0"/>
        <w:rPr>
          <w:szCs w:val="22"/>
          <w:lang w:val="sr-Latn-ME"/>
        </w:rPr>
      </w:pPr>
      <w:r w:rsidRPr="00762596">
        <w:rPr>
          <w:b/>
          <w:bCs/>
          <w:szCs w:val="22"/>
          <w:lang w:val="sr-Latn-ME"/>
        </w:rPr>
        <w:t>lijeka (i druga uputstva za rukovanje lijekom)</w:t>
      </w:r>
    </w:p>
    <w:p w14:paraId="292757DF" w14:textId="77777777" w:rsidR="00EA6F00" w:rsidRPr="00762596" w:rsidRDefault="00EA6F00">
      <w:pPr>
        <w:widowControl w:val="0"/>
        <w:jc w:val="both"/>
        <w:rPr>
          <w:szCs w:val="22"/>
          <w:highlight w:val="yellow"/>
          <w:lang w:val="sr-Latn-ME"/>
        </w:rPr>
      </w:pPr>
    </w:p>
    <w:p w14:paraId="6562DBF4" w14:textId="77777777" w:rsidR="00EA6F00" w:rsidRPr="00762596" w:rsidRDefault="00861C42">
      <w:pPr>
        <w:widowControl w:val="0"/>
        <w:jc w:val="both"/>
        <w:rPr>
          <w:szCs w:val="22"/>
          <w:lang w:val="sr-Latn-ME"/>
        </w:rPr>
      </w:pPr>
      <w:r w:rsidRPr="00762596">
        <w:rPr>
          <w:szCs w:val="22"/>
          <w:lang w:val="sr-Latn-ME"/>
        </w:rPr>
        <w:t>Neupotrijebljeni lijek se uništava u skladu sa važećim propisima.</w:t>
      </w:r>
    </w:p>
    <w:p w14:paraId="1C9D0698" w14:textId="77777777" w:rsidR="00EA6F00" w:rsidRPr="00762596" w:rsidRDefault="00EA6F00">
      <w:pPr>
        <w:widowControl w:val="0"/>
        <w:jc w:val="both"/>
        <w:rPr>
          <w:szCs w:val="22"/>
          <w:lang w:val="sr-Latn-ME"/>
        </w:rPr>
      </w:pPr>
    </w:p>
    <w:p w14:paraId="4F12BEB9" w14:textId="77777777" w:rsidR="00EA6F00" w:rsidRPr="00762596" w:rsidRDefault="00EA6F00">
      <w:pPr>
        <w:widowControl w:val="0"/>
        <w:jc w:val="both"/>
        <w:rPr>
          <w:szCs w:val="22"/>
          <w:lang w:val="sr-Latn-ME"/>
        </w:rPr>
      </w:pPr>
    </w:p>
    <w:p w14:paraId="1D2BA051" w14:textId="77777777" w:rsidR="00EA6F00" w:rsidRPr="00762596" w:rsidRDefault="00861C42">
      <w:pPr>
        <w:widowControl w:val="0"/>
        <w:ind w:left="567" w:hanging="567"/>
        <w:jc w:val="both"/>
        <w:rPr>
          <w:szCs w:val="22"/>
          <w:lang w:val="sr-Latn-ME"/>
        </w:rPr>
      </w:pPr>
      <w:r w:rsidRPr="00762596">
        <w:rPr>
          <w:b/>
          <w:szCs w:val="22"/>
          <w:lang w:val="sr-Latn-ME"/>
        </w:rPr>
        <w:t>7.</w:t>
      </w:r>
      <w:r w:rsidRPr="00762596">
        <w:rPr>
          <w:b/>
          <w:szCs w:val="22"/>
          <w:lang w:val="sr-Latn-ME"/>
        </w:rPr>
        <w:tab/>
      </w:r>
      <w:r w:rsidRPr="00762596">
        <w:rPr>
          <w:b/>
          <w:bCs/>
          <w:szCs w:val="22"/>
          <w:lang w:val="sr-Latn-ME"/>
        </w:rPr>
        <w:t>NOSILAC DOZVOLE</w:t>
      </w:r>
    </w:p>
    <w:p w14:paraId="2DB2067D" w14:textId="77777777" w:rsidR="00EA6F00" w:rsidRPr="00762596" w:rsidRDefault="00EA6F00">
      <w:pPr>
        <w:widowControl w:val="0"/>
        <w:jc w:val="both"/>
        <w:rPr>
          <w:szCs w:val="22"/>
          <w:lang w:val="sr-Latn-ME"/>
        </w:rPr>
      </w:pPr>
    </w:p>
    <w:p w14:paraId="21AFB2B1" w14:textId="77777777" w:rsidR="00EA6F00" w:rsidRPr="00762596" w:rsidRDefault="00861C42">
      <w:pPr>
        <w:autoSpaceDE w:val="0"/>
        <w:autoSpaceDN w:val="0"/>
        <w:adjustRightInd w:val="0"/>
        <w:ind w:left="1985" w:hanging="1985"/>
        <w:jc w:val="both"/>
        <w:rPr>
          <w:szCs w:val="22"/>
          <w:lang w:val="sr-Latn-ME"/>
        </w:rPr>
      </w:pPr>
      <w:r w:rsidRPr="00762596">
        <w:rPr>
          <w:szCs w:val="22"/>
          <w:lang w:val="sr-Latn-ME"/>
        </w:rPr>
        <w:t>D.S.D. „KRKA, d.d., Novo mesto“ - predstavništvo Podgorica</w:t>
      </w:r>
    </w:p>
    <w:p w14:paraId="6C66FC80" w14:textId="77777777" w:rsidR="00EA6F00" w:rsidRPr="00762596" w:rsidRDefault="00861C42">
      <w:pPr>
        <w:autoSpaceDE w:val="0"/>
        <w:autoSpaceDN w:val="0"/>
        <w:adjustRightInd w:val="0"/>
        <w:ind w:right="71"/>
        <w:jc w:val="both"/>
        <w:rPr>
          <w:szCs w:val="22"/>
          <w:lang w:val="sr-Latn-ME"/>
        </w:rPr>
      </w:pPr>
      <w:r w:rsidRPr="00762596">
        <w:rPr>
          <w:szCs w:val="22"/>
          <w:lang w:val="sr-Latn-ME"/>
        </w:rPr>
        <w:t>Svetlane Kane Radević br. 3, 81000 Podgorica, Crna Gora</w:t>
      </w:r>
    </w:p>
    <w:p w14:paraId="45F1B04A" w14:textId="77777777" w:rsidR="00EA6F00" w:rsidRPr="00762596" w:rsidRDefault="00EA6F00">
      <w:pPr>
        <w:widowControl w:val="0"/>
        <w:jc w:val="both"/>
        <w:rPr>
          <w:szCs w:val="22"/>
          <w:lang w:val="sr-Latn-ME"/>
        </w:rPr>
      </w:pPr>
    </w:p>
    <w:p w14:paraId="6404CF09" w14:textId="77777777" w:rsidR="00EA6F00" w:rsidRPr="00762596" w:rsidRDefault="00EA6F00">
      <w:pPr>
        <w:widowControl w:val="0"/>
        <w:jc w:val="both"/>
        <w:rPr>
          <w:szCs w:val="22"/>
          <w:lang w:val="sr-Latn-ME"/>
        </w:rPr>
      </w:pPr>
    </w:p>
    <w:p w14:paraId="27878967" w14:textId="77777777" w:rsidR="00EA6F00" w:rsidRPr="00762596" w:rsidRDefault="00861C42">
      <w:pPr>
        <w:tabs>
          <w:tab w:val="clear" w:pos="567"/>
          <w:tab w:val="left" w:pos="540"/>
          <w:tab w:val="left" w:pos="569"/>
        </w:tabs>
        <w:jc w:val="both"/>
        <w:rPr>
          <w:b/>
          <w:bCs/>
          <w:szCs w:val="22"/>
          <w:lang w:val="sr-Latn-ME"/>
        </w:rPr>
      </w:pPr>
      <w:r w:rsidRPr="00762596">
        <w:rPr>
          <w:b/>
          <w:bCs/>
          <w:szCs w:val="22"/>
          <w:lang w:val="sr-Latn-ME"/>
        </w:rPr>
        <w:t xml:space="preserve">8. </w:t>
      </w:r>
      <w:r w:rsidRPr="00762596">
        <w:rPr>
          <w:b/>
          <w:bCs/>
          <w:szCs w:val="22"/>
          <w:lang w:val="sr-Latn-ME"/>
        </w:rPr>
        <w:tab/>
        <w:t>BROJ DOZVOLE ZA STAVLJANJE LIJEKA U PROMET</w:t>
      </w:r>
    </w:p>
    <w:p w14:paraId="15AEF4EF" w14:textId="77777777" w:rsidR="00EA6F00" w:rsidRPr="00762596" w:rsidRDefault="00EA6F00">
      <w:pPr>
        <w:tabs>
          <w:tab w:val="clear" w:pos="567"/>
          <w:tab w:val="left" w:pos="540"/>
          <w:tab w:val="left" w:pos="569"/>
        </w:tabs>
        <w:jc w:val="both"/>
        <w:rPr>
          <w:b/>
          <w:bCs/>
          <w:szCs w:val="22"/>
          <w:lang w:val="sr-Latn-ME"/>
        </w:rPr>
      </w:pPr>
    </w:p>
    <w:p w14:paraId="73F7375C" w14:textId="77777777" w:rsidR="00EA6F00" w:rsidRPr="00762596" w:rsidRDefault="00861C42">
      <w:pPr>
        <w:widowControl w:val="0"/>
        <w:jc w:val="both"/>
        <w:rPr>
          <w:color w:val="000000"/>
          <w:szCs w:val="22"/>
          <w:lang w:val="sr-Latn-ME"/>
        </w:rPr>
      </w:pPr>
      <w:r w:rsidRPr="00762596">
        <w:rPr>
          <w:color w:val="000000"/>
          <w:szCs w:val="22"/>
          <w:lang w:val="sr-Latn-ME"/>
        </w:rPr>
        <w:lastRenderedPageBreak/>
        <w:t>Wamlox, film tableta, 5 mg + 80 mg, blister, 30 (3x10) film tableta: 2030/20/248 - 3986</w:t>
      </w:r>
    </w:p>
    <w:p w14:paraId="6E13A9A6" w14:textId="77777777" w:rsidR="00EA6F00" w:rsidRPr="00762596" w:rsidRDefault="00861C42">
      <w:pPr>
        <w:widowControl w:val="0"/>
        <w:jc w:val="both"/>
        <w:rPr>
          <w:color w:val="000000"/>
          <w:szCs w:val="22"/>
          <w:lang w:val="sr-Latn-ME"/>
        </w:rPr>
      </w:pPr>
      <w:r w:rsidRPr="00762596">
        <w:rPr>
          <w:color w:val="000000"/>
          <w:szCs w:val="22"/>
          <w:lang w:val="sr-Latn-ME"/>
        </w:rPr>
        <w:t>Wamlox, film tableta, 5 mg + 160 mg, blister, 30 (3x10) film tableta: 2030/20/249 - 3987</w:t>
      </w:r>
    </w:p>
    <w:p w14:paraId="03602E6F" w14:textId="77777777" w:rsidR="00EA6F00" w:rsidRPr="00762596" w:rsidRDefault="00861C42">
      <w:pPr>
        <w:widowControl w:val="0"/>
        <w:jc w:val="both"/>
        <w:rPr>
          <w:color w:val="000000"/>
          <w:szCs w:val="22"/>
          <w:lang w:val="sr-Latn-ME"/>
        </w:rPr>
      </w:pPr>
      <w:r w:rsidRPr="00762596">
        <w:rPr>
          <w:color w:val="000000"/>
          <w:szCs w:val="22"/>
          <w:lang w:val="sr-Latn-ME"/>
        </w:rPr>
        <w:t>Wamlox, film tableta, 10 mg + 160 mg, blister, 30 (3x10) film tableta: 2030/20/250 - 3988</w:t>
      </w:r>
    </w:p>
    <w:p w14:paraId="1BE205CF" w14:textId="77777777" w:rsidR="00EA6F00" w:rsidRPr="00762596" w:rsidRDefault="00EA6F00">
      <w:pPr>
        <w:tabs>
          <w:tab w:val="clear" w:pos="567"/>
          <w:tab w:val="left" w:pos="540"/>
          <w:tab w:val="left" w:pos="569"/>
        </w:tabs>
        <w:jc w:val="both"/>
        <w:rPr>
          <w:bCs/>
          <w:szCs w:val="22"/>
          <w:lang w:val="sr-Latn-ME"/>
        </w:rPr>
      </w:pPr>
    </w:p>
    <w:p w14:paraId="4905937E" w14:textId="77777777" w:rsidR="00EA6F00" w:rsidRPr="00762596" w:rsidRDefault="00EA6F00">
      <w:pPr>
        <w:tabs>
          <w:tab w:val="clear" w:pos="567"/>
          <w:tab w:val="left" w:pos="540"/>
          <w:tab w:val="left" w:pos="569"/>
        </w:tabs>
        <w:jc w:val="both"/>
        <w:rPr>
          <w:bCs/>
          <w:szCs w:val="22"/>
          <w:lang w:val="sr-Latn-ME"/>
        </w:rPr>
      </w:pPr>
    </w:p>
    <w:p w14:paraId="75F81293" w14:textId="77777777" w:rsidR="00EA6F00" w:rsidRPr="00762596" w:rsidRDefault="00861C42">
      <w:pPr>
        <w:tabs>
          <w:tab w:val="clear" w:pos="567"/>
          <w:tab w:val="left" w:pos="540"/>
          <w:tab w:val="left" w:pos="569"/>
        </w:tabs>
        <w:jc w:val="both"/>
        <w:rPr>
          <w:b/>
          <w:bCs/>
          <w:szCs w:val="22"/>
          <w:lang w:val="sr-Latn-ME"/>
        </w:rPr>
      </w:pPr>
      <w:r w:rsidRPr="00762596">
        <w:rPr>
          <w:b/>
          <w:bCs/>
          <w:szCs w:val="22"/>
          <w:lang w:val="sr-Latn-ME"/>
        </w:rPr>
        <w:t xml:space="preserve">9. </w:t>
      </w:r>
      <w:r w:rsidRPr="00762596">
        <w:rPr>
          <w:b/>
          <w:bCs/>
          <w:szCs w:val="22"/>
          <w:lang w:val="sr-Latn-ME"/>
        </w:rPr>
        <w:tab/>
        <w:t>DATUM PRVE DOZVOLE/ OBNOVE DOZVOLE ZA STAVLJANJE LIJEKA U PROMET</w:t>
      </w:r>
    </w:p>
    <w:p w14:paraId="48ED8E62" w14:textId="77777777" w:rsidR="00EA6F00" w:rsidRPr="00762596" w:rsidRDefault="00EA6F00">
      <w:pPr>
        <w:tabs>
          <w:tab w:val="clear" w:pos="567"/>
          <w:tab w:val="left" w:pos="540"/>
          <w:tab w:val="left" w:pos="569"/>
        </w:tabs>
        <w:jc w:val="both"/>
        <w:rPr>
          <w:b/>
          <w:bCs/>
          <w:szCs w:val="22"/>
          <w:lang w:val="sr-Latn-ME"/>
        </w:rPr>
      </w:pPr>
    </w:p>
    <w:p w14:paraId="5C7C1E8A" w14:textId="77777777" w:rsidR="00EA6F00" w:rsidRPr="00762596" w:rsidRDefault="00861C42">
      <w:pPr>
        <w:widowControl w:val="0"/>
        <w:jc w:val="both"/>
        <w:rPr>
          <w:color w:val="000000"/>
          <w:szCs w:val="22"/>
          <w:lang w:val="sr-Latn-ME"/>
        </w:rPr>
      </w:pPr>
      <w:r w:rsidRPr="00762596">
        <w:rPr>
          <w:color w:val="000000"/>
          <w:szCs w:val="22"/>
          <w:lang w:val="sr-Latn-ME"/>
        </w:rPr>
        <w:t>Wamlox, film tableta, 5 mg + 80 mg, blister, 30 (3x10) film tableta: 19.03.2020. godine</w:t>
      </w:r>
    </w:p>
    <w:p w14:paraId="20AC8547" w14:textId="77777777" w:rsidR="00EA6F00" w:rsidRPr="00762596" w:rsidRDefault="00861C42">
      <w:pPr>
        <w:widowControl w:val="0"/>
        <w:jc w:val="both"/>
        <w:rPr>
          <w:color w:val="000000"/>
          <w:szCs w:val="22"/>
          <w:lang w:val="sr-Latn-ME"/>
        </w:rPr>
      </w:pPr>
      <w:r w:rsidRPr="00762596">
        <w:rPr>
          <w:color w:val="000000"/>
          <w:szCs w:val="22"/>
          <w:lang w:val="sr-Latn-ME"/>
        </w:rPr>
        <w:t>Wamlox, film tableta, 5 mg + 160 mg, blister, 30 (3x10) film tableta: 19.03.2020. godine</w:t>
      </w:r>
    </w:p>
    <w:p w14:paraId="1581B2E9" w14:textId="77777777" w:rsidR="00EA6F00" w:rsidRPr="00762596" w:rsidRDefault="00861C42">
      <w:pPr>
        <w:widowControl w:val="0"/>
        <w:jc w:val="both"/>
        <w:rPr>
          <w:color w:val="000000"/>
          <w:szCs w:val="22"/>
          <w:lang w:val="sr-Latn-ME"/>
        </w:rPr>
      </w:pPr>
      <w:r w:rsidRPr="00762596">
        <w:rPr>
          <w:color w:val="000000"/>
          <w:szCs w:val="22"/>
          <w:lang w:val="sr-Latn-ME"/>
        </w:rPr>
        <w:t>Wamlox, film tableta, 10 mg + 160 mg, blister, 30 (3x10) film tableta: 19.03.2020. godine</w:t>
      </w:r>
    </w:p>
    <w:p w14:paraId="2BB95E60" w14:textId="77777777" w:rsidR="00EA6F00" w:rsidRPr="00762596" w:rsidRDefault="00EA6F00">
      <w:pPr>
        <w:tabs>
          <w:tab w:val="clear" w:pos="567"/>
          <w:tab w:val="left" w:pos="540"/>
          <w:tab w:val="left" w:pos="569"/>
        </w:tabs>
        <w:jc w:val="both"/>
        <w:rPr>
          <w:b/>
          <w:bCs/>
          <w:szCs w:val="22"/>
          <w:lang w:val="sr-Latn-ME"/>
        </w:rPr>
      </w:pPr>
    </w:p>
    <w:p w14:paraId="01665887" w14:textId="77777777" w:rsidR="00EA6F00" w:rsidRPr="00762596" w:rsidRDefault="00EA6F00">
      <w:pPr>
        <w:tabs>
          <w:tab w:val="clear" w:pos="567"/>
          <w:tab w:val="left" w:pos="540"/>
          <w:tab w:val="left" w:pos="569"/>
        </w:tabs>
        <w:jc w:val="both"/>
        <w:rPr>
          <w:bCs/>
          <w:szCs w:val="22"/>
          <w:lang w:val="sr-Latn-ME"/>
        </w:rPr>
      </w:pPr>
    </w:p>
    <w:p w14:paraId="4E5EE9BD" w14:textId="77777777" w:rsidR="00EA6F00" w:rsidRPr="00762596" w:rsidRDefault="00861C42">
      <w:pPr>
        <w:jc w:val="both"/>
        <w:rPr>
          <w:szCs w:val="22"/>
          <w:lang w:val="sr-Latn-ME"/>
        </w:rPr>
      </w:pPr>
      <w:r w:rsidRPr="00762596">
        <w:rPr>
          <w:b/>
          <w:bCs/>
          <w:szCs w:val="22"/>
          <w:lang w:val="sr-Latn-ME"/>
        </w:rPr>
        <w:t xml:space="preserve">10. </w:t>
      </w:r>
      <w:r w:rsidRPr="00762596">
        <w:rPr>
          <w:b/>
          <w:bCs/>
          <w:szCs w:val="22"/>
          <w:lang w:val="sr-Latn-ME"/>
        </w:rPr>
        <w:tab/>
        <w:t xml:space="preserve">DATUM  REVIZIJE TEKSTA </w:t>
      </w:r>
    </w:p>
    <w:p w14:paraId="2A39E86E" w14:textId="77777777" w:rsidR="00EA6F00" w:rsidRPr="00762596" w:rsidRDefault="00EA6F00">
      <w:pPr>
        <w:jc w:val="both"/>
        <w:rPr>
          <w:szCs w:val="22"/>
          <w:lang w:val="sr-Latn-ME"/>
        </w:rPr>
      </w:pPr>
    </w:p>
    <w:p w14:paraId="0A969111" w14:textId="6EAB3566" w:rsidR="00EA6F00" w:rsidRPr="00762596" w:rsidRDefault="00505A81">
      <w:pPr>
        <w:tabs>
          <w:tab w:val="left" w:pos="2751"/>
        </w:tabs>
        <w:jc w:val="both"/>
        <w:rPr>
          <w:szCs w:val="22"/>
          <w:lang w:val="de-DE"/>
        </w:rPr>
      </w:pPr>
      <w:r>
        <w:rPr>
          <w:szCs w:val="22"/>
          <w:lang w:val="de-DE"/>
        </w:rPr>
        <w:t>Ju</w:t>
      </w:r>
      <w:bookmarkStart w:id="2" w:name="_GoBack"/>
      <w:bookmarkEnd w:id="2"/>
      <w:r>
        <w:rPr>
          <w:szCs w:val="22"/>
          <w:lang w:val="de-DE"/>
        </w:rPr>
        <w:t>n</w:t>
      </w:r>
      <w:r w:rsidR="007A697D" w:rsidRPr="00762596">
        <w:rPr>
          <w:szCs w:val="22"/>
          <w:lang w:val="de-DE"/>
        </w:rPr>
        <w:t>, 2025. godine</w:t>
      </w:r>
    </w:p>
    <w:p w14:paraId="4D47E921" w14:textId="77777777" w:rsidR="00EA6F00" w:rsidRPr="00762596" w:rsidRDefault="00861C42">
      <w:pPr>
        <w:tabs>
          <w:tab w:val="left" w:pos="2751"/>
        </w:tabs>
        <w:jc w:val="both"/>
        <w:rPr>
          <w:szCs w:val="22"/>
          <w:lang w:val="de-DE"/>
        </w:rPr>
      </w:pPr>
      <w:r w:rsidRPr="00762596">
        <w:rPr>
          <w:szCs w:val="22"/>
          <w:lang w:val="de-DE"/>
        </w:rPr>
        <w:tab/>
      </w:r>
    </w:p>
    <w:p w14:paraId="5AC77A6B" w14:textId="77777777" w:rsidR="00EA6F00" w:rsidRPr="00762596" w:rsidRDefault="00EA6F00" w:rsidP="00762596">
      <w:pPr>
        <w:jc w:val="both"/>
        <w:rPr>
          <w:szCs w:val="22"/>
          <w:lang w:val="de-DE"/>
        </w:rPr>
      </w:pPr>
    </w:p>
    <w:sectPr w:rsidR="00EA6F00" w:rsidRPr="00762596">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60E5B" w14:textId="77777777" w:rsidR="00C40DDF" w:rsidRDefault="00C40DDF">
      <w:pPr>
        <w:spacing w:line="240" w:lineRule="auto"/>
      </w:pPr>
      <w:r>
        <w:separator/>
      </w:r>
    </w:p>
  </w:endnote>
  <w:endnote w:type="continuationSeparator" w:id="0">
    <w:p w14:paraId="38881604" w14:textId="77777777" w:rsidR="00C40DDF" w:rsidRDefault="00C40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DD30F" w14:textId="77777777" w:rsidR="00EA6F00" w:rsidRDefault="00EA6F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5157E" w14:textId="1609AA63" w:rsidR="00EA6F00" w:rsidRDefault="00861C42">
    <w:pPr>
      <w:pStyle w:val="Footer"/>
      <w:tabs>
        <w:tab w:val="right" w:pos="8931"/>
      </w:tabs>
      <w:ind w:right="96"/>
      <w:jc w:val="center"/>
      <w:rPr>
        <w:sz w:val="14"/>
      </w:rPr>
    </w:pPr>
    <w:r>
      <w:fldChar w:fldCharType="begin"/>
    </w:r>
    <w:r>
      <w:instrText xml:space="preserve"> EQ </w:instrText>
    </w:r>
    <w:r>
      <w:fldChar w:fldCharType="end"/>
    </w:r>
    <w:r>
      <w:rPr>
        <w:rStyle w:val="PageNumber"/>
        <w:rFonts w:ascii="Times New Roman" w:hAnsi="Times New Roman"/>
        <w:sz w:val="22"/>
        <w:szCs w:val="24"/>
      </w:rPr>
      <w:fldChar w:fldCharType="begin"/>
    </w:r>
    <w:r>
      <w:rPr>
        <w:rStyle w:val="PageNumber"/>
        <w:rFonts w:ascii="Times New Roman" w:hAnsi="Times New Roman"/>
        <w:sz w:val="22"/>
        <w:szCs w:val="24"/>
      </w:rPr>
      <w:instrText xml:space="preserve">PAGE  </w:instrText>
    </w:r>
    <w:r>
      <w:rPr>
        <w:rStyle w:val="PageNumber"/>
        <w:rFonts w:ascii="Times New Roman" w:hAnsi="Times New Roman"/>
        <w:sz w:val="22"/>
        <w:szCs w:val="24"/>
      </w:rPr>
      <w:fldChar w:fldCharType="separate"/>
    </w:r>
    <w:r w:rsidR="00505A81">
      <w:rPr>
        <w:rStyle w:val="PageNumber"/>
        <w:rFonts w:ascii="Times New Roman" w:hAnsi="Times New Roman"/>
        <w:sz w:val="22"/>
        <w:szCs w:val="24"/>
      </w:rPr>
      <w:t>21</w:t>
    </w:r>
    <w:r>
      <w:rPr>
        <w:rStyle w:val="PageNumber"/>
        <w:rFonts w:ascii="Times New Roman" w:hAnsi="Times New Roman"/>
        <w:sz w:val="22"/>
        <w:szCs w:val="24"/>
      </w:rPr>
      <w:fldChar w:fldCharType="end"/>
    </w:r>
    <w:r>
      <w:rPr>
        <w:rStyle w:val="PageNumber"/>
        <w:rFonts w:ascii="Times New Roman" w:hAnsi="Times New Roman"/>
        <w:sz w:val="22"/>
        <w:szCs w:val="24"/>
      </w:rPr>
      <w:t xml:space="preserve"> / 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DD708" w14:textId="77777777" w:rsidR="00EA6F00" w:rsidRDefault="00861C42">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92AF3" w14:textId="77777777" w:rsidR="00C40DDF" w:rsidRDefault="00C40DDF">
      <w:pPr>
        <w:spacing w:line="240" w:lineRule="auto"/>
      </w:pPr>
      <w:r>
        <w:separator/>
      </w:r>
    </w:p>
  </w:footnote>
  <w:footnote w:type="continuationSeparator" w:id="0">
    <w:p w14:paraId="6F02A78C" w14:textId="77777777" w:rsidR="00C40DDF" w:rsidRDefault="00C40D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5A752" w14:textId="77777777" w:rsidR="00EA6F00" w:rsidRDefault="00EA6F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C61B3" w14:textId="77777777" w:rsidR="00EA6F00" w:rsidRDefault="00EA6F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B94F3" w14:textId="77777777" w:rsidR="00EA6F00" w:rsidRDefault="00EA6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C1136"/>
    <w:multiLevelType w:val="hybridMultilevel"/>
    <w:tmpl w:val="D8A4C146"/>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4D004B2E"/>
    <w:multiLevelType w:val="hybridMultilevel"/>
    <w:tmpl w:val="0B04ED02"/>
    <w:lvl w:ilvl="0" w:tplc="618A557C">
      <w:start w:val="1"/>
      <w:numFmt w:val="decimal"/>
      <w:lvlText w:val="%1."/>
      <w:lvlJc w:val="left"/>
      <w:pPr>
        <w:ind w:left="930" w:hanging="57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EA6F00"/>
    <w:rsid w:val="00505A81"/>
    <w:rsid w:val="006C460E"/>
    <w:rsid w:val="00762596"/>
    <w:rsid w:val="007A697D"/>
    <w:rsid w:val="00861C42"/>
    <w:rsid w:val="00B36BCA"/>
    <w:rsid w:val="00BD1494"/>
    <w:rsid w:val="00C40DDF"/>
    <w:rsid w:val="00EA6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F018C0"/>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Heading2">
    <w:name w:val="heading 2"/>
    <w:basedOn w:val="Normal"/>
    <w:next w:val="Normal"/>
    <w:link w:val="Heading2Char"/>
    <w:qFormat/>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Heading3">
    <w:name w:val="heading 3"/>
    <w:basedOn w:val="Normal"/>
    <w:next w:val="Normal"/>
    <w:link w:val="Heading3Char"/>
    <w:qFormat/>
    <w:pPr>
      <w:keepNext/>
      <w:tabs>
        <w:tab w:val="clear" w:pos="567"/>
        <w:tab w:val="decimal" w:pos="6760"/>
      </w:tabs>
      <w:spacing w:line="480" w:lineRule="atLeast"/>
      <w:outlineLvl w:val="2"/>
    </w:pPr>
    <w:rPr>
      <w:b/>
      <w:sz w:val="24"/>
      <w:lang w:val="en-US" w:eastAsia="sl-SI"/>
    </w:rPr>
  </w:style>
  <w:style w:type="paragraph" w:styleId="Heading4">
    <w:name w:val="heading 4"/>
    <w:basedOn w:val="Normal"/>
    <w:next w:val="Normal"/>
    <w:link w:val="Heading4Char"/>
    <w:qFormat/>
    <w:pPr>
      <w:keepNext/>
      <w:tabs>
        <w:tab w:val="clear" w:pos="567"/>
      </w:tabs>
      <w:spacing w:before="240" w:after="60" w:line="240" w:lineRule="auto"/>
      <w:outlineLvl w:val="3"/>
    </w:pPr>
    <w:rPr>
      <w:b/>
      <w:bCs/>
      <w:sz w:val="28"/>
      <w:szCs w:val="28"/>
      <w:lang w:val="sl-SI" w:eastAsia="sl-SI"/>
    </w:rPr>
  </w:style>
  <w:style w:type="paragraph" w:styleId="Heading6">
    <w:name w:val="heading 6"/>
    <w:basedOn w:val="Normal"/>
    <w:next w:val="Normal"/>
    <w:link w:val="Heading6Char"/>
    <w:qFormat/>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link w:val="BalloonTextChar"/>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character" w:customStyle="1" w:styleId="Heading1Char">
    <w:name w:val="Heading 1 Char"/>
    <w:link w:val="Heading1"/>
    <w:rPr>
      <w:rFonts w:ascii="Arial" w:eastAsia="Times New Roman" w:hAnsi="Arial" w:cs="Arial"/>
      <w:b/>
      <w:bCs/>
      <w:kern w:val="32"/>
      <w:sz w:val="32"/>
      <w:szCs w:val="32"/>
      <w:lang w:val="sl-SI" w:eastAsia="sl-SI"/>
    </w:rPr>
  </w:style>
  <w:style w:type="character" w:customStyle="1" w:styleId="Heading2Char">
    <w:name w:val="Heading 2 Char"/>
    <w:link w:val="Heading2"/>
    <w:rPr>
      <w:rFonts w:eastAsia="Times New Roman"/>
      <w:b/>
      <w:sz w:val="24"/>
      <w:u w:val="single"/>
      <w:lang w:val="en-US" w:eastAsia="sl-SI"/>
    </w:rPr>
  </w:style>
  <w:style w:type="character" w:customStyle="1" w:styleId="Heading3Char">
    <w:name w:val="Heading 3 Char"/>
    <w:link w:val="Heading3"/>
    <w:rPr>
      <w:rFonts w:eastAsia="Times New Roman"/>
      <w:b/>
      <w:sz w:val="24"/>
      <w:lang w:val="en-US" w:eastAsia="sl-SI"/>
    </w:rPr>
  </w:style>
  <w:style w:type="character" w:customStyle="1" w:styleId="Heading4Char">
    <w:name w:val="Heading 4 Char"/>
    <w:link w:val="Heading4"/>
    <w:rPr>
      <w:rFonts w:eastAsia="Times New Roman"/>
      <w:b/>
      <w:bCs/>
      <w:sz w:val="28"/>
      <w:szCs w:val="28"/>
      <w:lang w:val="sl-SI" w:eastAsia="sl-SI"/>
    </w:rPr>
  </w:style>
  <w:style w:type="character" w:customStyle="1" w:styleId="Heading6Char">
    <w:name w:val="Heading 6 Char"/>
    <w:link w:val="Heading6"/>
    <w:rPr>
      <w:rFonts w:eastAsia="Times New Roman"/>
      <w:b/>
      <w:sz w:val="24"/>
      <w:lang w:val="en-US" w:eastAsia="sl-SI"/>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link w:val="Header"/>
    <w:rPr>
      <w:rFonts w:ascii="Arial" w:eastAsia="Times New Roman" w:hAnsi="Arial"/>
      <w:lang w:eastAsia="en-US"/>
    </w:rPr>
  </w:style>
  <w:style w:type="character" w:customStyle="1" w:styleId="FooterChar">
    <w:name w:val="Footer Char"/>
    <w:link w:val="Footer"/>
    <w:rPr>
      <w:rFonts w:ascii="Arial" w:eastAsia="Times New Roman" w:hAnsi="Arial"/>
      <w:noProof/>
      <w:sz w:val="16"/>
      <w:lang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Pr>
      <w:lang w:val="en-US" w:eastAsia="en-US" w:bidi="ar-SA"/>
    </w:rPr>
  </w:style>
  <w:style w:type="table" w:styleId="TableGrid">
    <w:name w:val="Table Grid"/>
    <w:basedOn w:val="TableNormal"/>
    <w:rPr>
      <w:rFonts w:eastAsia="Times New Roman"/>
      <w:lang w:val="sr-Latn-ME"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paragraph" w:styleId="PlainText">
    <w:name w:val="Plain Text"/>
    <w:basedOn w:val="Normal"/>
    <w:link w:val="PlainTextChar"/>
    <w:pPr>
      <w:tabs>
        <w:tab w:val="clear" w:pos="567"/>
      </w:tabs>
      <w:spacing w:line="240" w:lineRule="auto"/>
    </w:pPr>
    <w:rPr>
      <w:rFonts w:ascii="Courier New" w:hAnsi="Courier New"/>
      <w:sz w:val="20"/>
      <w:lang w:eastAsia="sl-SI"/>
    </w:rPr>
  </w:style>
  <w:style w:type="character" w:customStyle="1" w:styleId="PlainTextChar">
    <w:name w:val="Plain Text Char"/>
    <w:link w:val="PlainText"/>
    <w:rPr>
      <w:rFonts w:ascii="Courier New" w:eastAsia="Times New Roman" w:hAnsi="Courier New"/>
      <w:lang w:eastAsia="sl-SI"/>
    </w:rPr>
  </w:style>
  <w:style w:type="paragraph" w:styleId="Caption">
    <w:name w:val="caption"/>
    <w:basedOn w:val="Normal"/>
    <w:next w:val="Normal"/>
    <w:qFormat/>
    <w:pPr>
      <w:tabs>
        <w:tab w:val="clear" w:pos="567"/>
      </w:tabs>
      <w:spacing w:line="240" w:lineRule="auto"/>
      <w:jc w:val="both"/>
    </w:pPr>
    <w:rPr>
      <w:sz w:val="24"/>
      <w:lang w:eastAsia="sl-SI"/>
    </w:rPr>
  </w:style>
  <w:style w:type="paragraph" w:customStyle="1" w:styleId="Naslov1">
    <w:name w:val="Naslov1"/>
    <w:basedOn w:val="Heading1"/>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pPr>
      <w:tabs>
        <w:tab w:val="clear" w:pos="567"/>
      </w:tabs>
      <w:spacing w:before="120" w:line="240" w:lineRule="auto"/>
    </w:pPr>
    <w:rPr>
      <w:b/>
      <w:bCs/>
      <w:i/>
      <w:iCs/>
      <w:sz w:val="24"/>
      <w:szCs w:val="28"/>
      <w:lang w:val="sl-SI" w:eastAsia="sl-SI"/>
    </w:rPr>
  </w:style>
  <w:style w:type="character" w:customStyle="1" w:styleId="BodyTextChar">
    <w:name w:val="Body Text Char"/>
    <w:link w:val="BodyText"/>
    <w:rPr>
      <w:rFonts w:eastAsia="Times New Roman"/>
      <w:i/>
      <w:color w:val="008000"/>
      <w:sz w:val="22"/>
      <w:lang w:eastAsia="en-US"/>
    </w:rPr>
  </w:style>
  <w:style w:type="paragraph" w:styleId="BodyText2">
    <w:name w:val="Body Text 2"/>
    <w:basedOn w:val="Normal"/>
    <w:link w:val="BodyText2Char"/>
    <w:pPr>
      <w:tabs>
        <w:tab w:val="clear" w:pos="567"/>
      </w:tabs>
      <w:spacing w:after="120" w:line="480" w:lineRule="auto"/>
    </w:pPr>
    <w:rPr>
      <w:sz w:val="24"/>
      <w:lang w:val="sl-SI" w:eastAsia="sl-SI"/>
    </w:rPr>
  </w:style>
  <w:style w:type="character" w:customStyle="1" w:styleId="BodyText2Char">
    <w:name w:val="Body Text 2 Char"/>
    <w:link w:val="BodyText2"/>
    <w:rPr>
      <w:rFonts w:eastAsia="Times New Roman"/>
      <w:sz w:val="24"/>
      <w:lang w:val="sl-SI" w:eastAsia="sl-SI"/>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numbering" w:customStyle="1" w:styleId="Brezseznama1">
    <w:name w:val="Brez seznama1"/>
    <w:next w:val="NoList"/>
    <w:semiHidden/>
  </w:style>
  <w:style w:type="paragraph" w:styleId="EndnoteText">
    <w:name w:val="endnote text"/>
    <w:basedOn w:val="Normal"/>
    <w:link w:val="EndnoteTextChar"/>
    <w:pPr>
      <w:spacing w:line="240" w:lineRule="auto"/>
    </w:pPr>
  </w:style>
  <w:style w:type="character" w:customStyle="1" w:styleId="EndnoteTextChar">
    <w:name w:val="Endnote Text Char"/>
    <w:link w:val="EndnoteText"/>
    <w:rPr>
      <w:rFonts w:eastAsia="Times New Roman"/>
      <w:sz w:val="22"/>
      <w:lang w:eastAsia="en-US"/>
    </w:rPr>
  </w:style>
  <w:style w:type="numbering" w:customStyle="1" w:styleId="Brezseznama2">
    <w:name w:val="Brez seznama2"/>
    <w:next w:val="NoList"/>
    <w:semiHidden/>
  </w:style>
  <w:style w:type="numbering" w:customStyle="1" w:styleId="Brezseznama3">
    <w:name w:val="Brez seznama3"/>
    <w:next w:val="NoList"/>
    <w:semiHidden/>
  </w:style>
  <w:style w:type="paragraph" w:styleId="Title">
    <w:name w:val="Title"/>
    <w:basedOn w:val="Normal"/>
    <w:link w:val="TitleChar"/>
    <w:qFormat/>
    <w:pPr>
      <w:tabs>
        <w:tab w:val="clear" w:pos="567"/>
      </w:tabs>
      <w:spacing w:line="240" w:lineRule="auto"/>
      <w:jc w:val="center"/>
    </w:pPr>
    <w:rPr>
      <w:b/>
    </w:rPr>
  </w:style>
  <w:style w:type="character" w:customStyle="1" w:styleId="TitleChar">
    <w:name w:val="Title Char"/>
    <w:link w:val="Title"/>
    <w:rPr>
      <w:rFonts w:eastAsia="Times New Roman"/>
      <w:b/>
      <w:sz w:val="22"/>
      <w:lang w:eastAsia="en-US"/>
    </w:rPr>
  </w:style>
  <w:style w:type="numbering" w:customStyle="1" w:styleId="Brezseznama4">
    <w:name w:val="Brez seznama4"/>
    <w:next w:val="NoList"/>
    <w:semiHidden/>
  </w:style>
  <w:style w:type="numbering" w:customStyle="1" w:styleId="Brezseznama5">
    <w:name w:val="Brez seznama5"/>
    <w:next w:val="NoList"/>
    <w:uiPriority w:val="99"/>
    <w:semiHidden/>
    <w:unhideWhenUsed/>
  </w:style>
  <w:style w:type="character" w:customStyle="1" w:styleId="BalloonTextChar">
    <w:name w:val="Balloon Text Char"/>
    <w:link w:val="BalloonText"/>
    <w:rPr>
      <w:rFonts w:ascii="Tahoma" w:eastAsia="Times New Roman" w:hAnsi="Tahoma" w:cs="Tahoma"/>
      <w:sz w:val="16"/>
      <w:szCs w:val="16"/>
      <w:lang w:eastAsia="en-US"/>
    </w:rPr>
  </w:style>
  <w:style w:type="paragraph" w:customStyle="1" w:styleId="TitleA">
    <w:name w:val="Title A"/>
    <w:basedOn w:val="Normal"/>
    <w:link w:val="TitleAZnak"/>
    <w:qFormat/>
    <w:pPr>
      <w:widowControl w:val="0"/>
      <w:tabs>
        <w:tab w:val="clear" w:pos="567"/>
      </w:tabs>
      <w:spacing w:line="240" w:lineRule="auto"/>
      <w:jc w:val="center"/>
      <w:outlineLvl w:val="0"/>
    </w:pPr>
    <w:rPr>
      <w:b/>
      <w:noProof/>
      <w:szCs w:val="22"/>
    </w:rPr>
  </w:style>
  <w:style w:type="character" w:customStyle="1" w:styleId="TitleAZnak">
    <w:name w:val="Title A Znak"/>
    <w:link w:val="TitleA"/>
    <w:rPr>
      <w:rFonts w:eastAsia="Times New Roman"/>
      <w:b/>
      <w:noProof/>
      <w:sz w:val="22"/>
      <w:szCs w:val="22"/>
      <w:lang w:eastAsia="en-US"/>
    </w:rPr>
  </w:style>
  <w:style w:type="character" w:customStyle="1" w:styleId="hps">
    <w:name w:val="hps"/>
  </w:style>
  <w:style w:type="paragraph" w:styleId="ListParagraph">
    <w:name w:val="List Paragraph"/>
    <w:basedOn w:val="Normal"/>
    <w:uiPriority w:val="1"/>
    <w:qFormat/>
    <w:pPr>
      <w:tabs>
        <w:tab w:val="clear" w:pos="567"/>
      </w:tabs>
      <w:spacing w:line="240" w:lineRule="auto"/>
      <w:ind w:left="708"/>
    </w:pPr>
    <w:rPr>
      <w:sz w:val="24"/>
      <w:lang w:val="hr-HR" w:eastAsia="sl-SI"/>
    </w:rPr>
  </w:style>
  <w:style w:type="paragraph" w:styleId="NoSpacing">
    <w:name w:val="No Spacing"/>
    <w:uiPriority w:val="1"/>
    <w:qFormat/>
    <w:rPr>
      <w:rFonts w:eastAsia="Times New Roman"/>
      <w:sz w:val="24"/>
      <w:szCs w:val="24"/>
    </w:rPr>
  </w:style>
  <w:style w:type="paragraph" w:styleId="NormalWeb">
    <w:name w:val="Normal (Web)"/>
    <w:basedOn w:val="Normal"/>
    <w:uiPriority w:val="99"/>
    <w:unhideWhenUsed/>
    <w:pPr>
      <w:tabs>
        <w:tab w:val="clear" w:pos="567"/>
      </w:tabs>
      <w:spacing w:before="100" w:beforeAutospacing="1" w:after="225" w:line="240" w:lineRule="auto"/>
    </w:pPr>
    <w:rPr>
      <w:sz w:val="24"/>
      <w:szCs w:val="24"/>
      <w:lang w:val="sl-SI" w:eastAsia="sl-SI"/>
    </w:rPr>
  </w:style>
  <w:style w:type="paragraph" w:styleId="HTMLPreformatted">
    <w:name w:val="HTML Preformatted"/>
    <w:basedOn w:val="Normal"/>
    <w:link w:val="HTMLPreformattedChar"/>
    <w:pPr>
      <w:spacing w:line="240" w:lineRule="auto"/>
    </w:pPr>
    <w:rPr>
      <w:rFonts w:ascii="Consolas" w:hAnsi="Consolas"/>
      <w:sz w:val="20"/>
    </w:rPr>
  </w:style>
  <w:style w:type="character" w:customStyle="1" w:styleId="HTMLPreformattedChar">
    <w:name w:val="HTML Preformatted Char"/>
    <w:basedOn w:val="DefaultParagraphFont"/>
    <w:link w:val="HTMLPreformatted"/>
    <w:rPr>
      <w:rFonts w:ascii="Consolas" w:eastAsia="Times New Roman" w:hAnsi="Consola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1550">
      <w:bodyDiv w:val="1"/>
      <w:marLeft w:val="0"/>
      <w:marRight w:val="0"/>
      <w:marTop w:val="0"/>
      <w:marBottom w:val="0"/>
      <w:divBdr>
        <w:top w:val="none" w:sz="0" w:space="0" w:color="auto"/>
        <w:left w:val="none" w:sz="0" w:space="0" w:color="auto"/>
        <w:bottom w:val="none" w:sz="0" w:space="0" w:color="auto"/>
        <w:right w:val="none" w:sz="0" w:space="0" w:color="auto"/>
      </w:divBdr>
      <w:divsChild>
        <w:div w:id="1341393908">
          <w:marLeft w:val="0"/>
          <w:marRight w:val="0"/>
          <w:marTop w:val="0"/>
          <w:marBottom w:val="0"/>
          <w:divBdr>
            <w:top w:val="none" w:sz="0" w:space="0" w:color="auto"/>
            <w:left w:val="none" w:sz="0" w:space="0" w:color="auto"/>
            <w:bottom w:val="none" w:sz="0" w:space="0" w:color="auto"/>
            <w:right w:val="none" w:sz="0" w:space="0" w:color="auto"/>
          </w:divBdr>
          <w:divsChild>
            <w:div w:id="485247687">
              <w:marLeft w:val="0"/>
              <w:marRight w:val="0"/>
              <w:marTop w:val="0"/>
              <w:marBottom w:val="0"/>
              <w:divBdr>
                <w:top w:val="none" w:sz="0" w:space="0" w:color="auto"/>
                <w:left w:val="none" w:sz="0" w:space="0" w:color="auto"/>
                <w:bottom w:val="none" w:sz="0" w:space="0" w:color="auto"/>
                <w:right w:val="none" w:sz="0" w:space="0" w:color="auto"/>
              </w:divBdr>
              <w:divsChild>
                <w:div w:id="1841239926">
                  <w:marLeft w:val="0"/>
                  <w:marRight w:val="0"/>
                  <w:marTop w:val="0"/>
                  <w:marBottom w:val="0"/>
                  <w:divBdr>
                    <w:top w:val="none" w:sz="0" w:space="0" w:color="auto"/>
                    <w:left w:val="none" w:sz="0" w:space="0" w:color="auto"/>
                    <w:bottom w:val="none" w:sz="0" w:space="0" w:color="auto"/>
                    <w:right w:val="none" w:sz="0" w:space="0" w:color="auto"/>
                  </w:divBdr>
                  <w:divsChild>
                    <w:div w:id="564074470">
                      <w:marLeft w:val="0"/>
                      <w:marRight w:val="0"/>
                      <w:marTop w:val="0"/>
                      <w:marBottom w:val="0"/>
                      <w:divBdr>
                        <w:top w:val="none" w:sz="0" w:space="0" w:color="auto"/>
                        <w:left w:val="none" w:sz="0" w:space="0" w:color="auto"/>
                        <w:bottom w:val="none" w:sz="0" w:space="0" w:color="auto"/>
                        <w:right w:val="none" w:sz="0" w:space="0" w:color="auto"/>
                      </w:divBdr>
                      <w:divsChild>
                        <w:div w:id="152186570">
                          <w:marLeft w:val="0"/>
                          <w:marRight w:val="0"/>
                          <w:marTop w:val="0"/>
                          <w:marBottom w:val="0"/>
                          <w:divBdr>
                            <w:top w:val="none" w:sz="0" w:space="0" w:color="auto"/>
                            <w:left w:val="none" w:sz="0" w:space="0" w:color="auto"/>
                            <w:bottom w:val="none" w:sz="0" w:space="0" w:color="auto"/>
                            <w:right w:val="none" w:sz="0" w:space="0" w:color="auto"/>
                          </w:divBdr>
                          <w:divsChild>
                            <w:div w:id="1293095063">
                              <w:marLeft w:val="0"/>
                              <w:marRight w:val="0"/>
                              <w:marTop w:val="0"/>
                              <w:marBottom w:val="0"/>
                              <w:divBdr>
                                <w:top w:val="none" w:sz="0" w:space="0" w:color="auto"/>
                                <w:left w:val="none" w:sz="0" w:space="0" w:color="auto"/>
                                <w:bottom w:val="none" w:sz="0" w:space="0" w:color="auto"/>
                                <w:right w:val="none" w:sz="0" w:space="0" w:color="auto"/>
                              </w:divBdr>
                              <w:divsChild>
                                <w:div w:id="1192647915">
                                  <w:marLeft w:val="0"/>
                                  <w:marRight w:val="0"/>
                                  <w:marTop w:val="0"/>
                                  <w:marBottom w:val="0"/>
                                  <w:divBdr>
                                    <w:top w:val="none" w:sz="0" w:space="0" w:color="auto"/>
                                    <w:left w:val="none" w:sz="0" w:space="0" w:color="auto"/>
                                    <w:bottom w:val="none" w:sz="0" w:space="0" w:color="auto"/>
                                    <w:right w:val="none" w:sz="0" w:space="0" w:color="auto"/>
                                  </w:divBdr>
                                  <w:divsChild>
                                    <w:div w:id="8543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21</Pages>
  <Words>8172</Words>
  <Characters>46581</Characters>
  <Application>Microsoft Office Word</Application>
  <DocSecurity>0</DocSecurity>
  <Lines>388</Lines>
  <Paragraphs>109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Poleksić, Katarina</dc:creator>
  <cp:lastModifiedBy>Aleksandra Minić</cp:lastModifiedBy>
  <cp:revision>18</cp:revision>
  <dcterms:created xsi:type="dcterms:W3CDTF">2024-08-20T10:09:00Z</dcterms:created>
  <dcterms:modified xsi:type="dcterms:W3CDTF">2025-06-05T10:50:00Z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