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326EC" w14:textId="77777777" w:rsidR="00986E21" w:rsidRPr="00491E0E" w:rsidRDefault="00070A10" w:rsidP="00753B1E">
      <w:pPr>
        <w:widowControl w:val="0"/>
        <w:spacing w:line="240" w:lineRule="auto"/>
        <w:jc w:val="center"/>
        <w:rPr>
          <w:b/>
          <w:szCs w:val="22"/>
          <w:lang w:val="sr-Latn-ME"/>
        </w:rPr>
      </w:pPr>
      <w:r w:rsidRPr="00491E0E">
        <w:rPr>
          <w:b/>
          <w:bCs/>
          <w:iCs/>
          <w:szCs w:val="22"/>
          <w:u w:val="single"/>
          <w:lang w:val="sr-Latn-ME"/>
        </w:rPr>
        <w:t>SAŽETAK KARAKTERISTIKA LIJEKA</w:t>
      </w:r>
    </w:p>
    <w:p w14:paraId="60390B44" w14:textId="77777777" w:rsidR="00986E21" w:rsidRPr="00491E0E" w:rsidRDefault="00986E21" w:rsidP="00753B1E">
      <w:pPr>
        <w:widowControl w:val="0"/>
        <w:spacing w:line="240" w:lineRule="auto"/>
        <w:jc w:val="center"/>
        <w:rPr>
          <w:b/>
          <w:szCs w:val="22"/>
          <w:lang w:val="sr-Latn-ME"/>
        </w:rPr>
      </w:pPr>
    </w:p>
    <w:p w14:paraId="07722040" w14:textId="77777777" w:rsidR="00986E21" w:rsidRPr="00491E0E" w:rsidRDefault="00986E21" w:rsidP="00753B1E">
      <w:pPr>
        <w:widowControl w:val="0"/>
        <w:spacing w:line="240" w:lineRule="auto"/>
        <w:ind w:left="567"/>
        <w:jc w:val="both"/>
        <w:rPr>
          <w:b/>
          <w:szCs w:val="22"/>
          <w:lang w:val="sr-Latn-ME"/>
        </w:rPr>
      </w:pPr>
    </w:p>
    <w:p w14:paraId="404BE3FC" w14:textId="77777777" w:rsidR="00986E21" w:rsidRPr="00491E0E" w:rsidRDefault="00070A10" w:rsidP="00753B1E">
      <w:pPr>
        <w:widowControl w:val="0"/>
        <w:numPr>
          <w:ilvl w:val="0"/>
          <w:numId w:val="26"/>
        </w:numPr>
        <w:spacing w:line="240" w:lineRule="auto"/>
        <w:ind w:left="567"/>
        <w:jc w:val="both"/>
        <w:rPr>
          <w:b/>
          <w:szCs w:val="22"/>
          <w:lang w:val="sr-Latn-ME"/>
        </w:rPr>
      </w:pPr>
      <w:r w:rsidRPr="00491E0E">
        <w:rPr>
          <w:b/>
          <w:szCs w:val="22"/>
          <w:lang w:val="sr-Latn-ME"/>
        </w:rPr>
        <w:t>NAZIV LIJEKA</w:t>
      </w:r>
    </w:p>
    <w:p w14:paraId="3A75FEE2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5BBFF0C0" w14:textId="77777777" w:rsidR="00986E21" w:rsidRPr="00491E0E" w:rsidRDefault="00070A10" w:rsidP="00753B1E">
      <w:pPr>
        <w:widowControl w:val="0"/>
        <w:spacing w:line="240" w:lineRule="auto"/>
        <w:jc w:val="both"/>
        <w:rPr>
          <w:b/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Nolpaza</w:t>
      </w:r>
      <w:proofErr w:type="spellEnd"/>
      <w:r w:rsidRPr="00491E0E">
        <w:rPr>
          <w:szCs w:val="22"/>
          <w:lang w:val="sr-Latn-ME"/>
        </w:rPr>
        <w:t>,</w:t>
      </w:r>
      <w:r w:rsidRPr="00491E0E">
        <w:rPr>
          <w:szCs w:val="22"/>
          <w:vertAlign w:val="superscript"/>
          <w:lang w:val="sr-Latn-ME"/>
        </w:rPr>
        <w:t xml:space="preserve"> </w:t>
      </w:r>
      <w:r w:rsidRPr="00491E0E">
        <w:rPr>
          <w:szCs w:val="22"/>
          <w:lang w:val="sr-Latn-ME"/>
        </w:rPr>
        <w:t xml:space="preserve">20 mg, </w:t>
      </w:r>
      <w:proofErr w:type="spellStart"/>
      <w:r w:rsidRPr="00491E0E">
        <w:rPr>
          <w:szCs w:val="22"/>
          <w:lang w:val="sr-Latn-ME"/>
        </w:rPr>
        <w:t>gastrorezistentna</w:t>
      </w:r>
      <w:proofErr w:type="spellEnd"/>
      <w:r w:rsidRPr="00491E0E">
        <w:rPr>
          <w:szCs w:val="22"/>
          <w:lang w:val="sr-Latn-ME"/>
        </w:rPr>
        <w:t xml:space="preserve"> tableta</w:t>
      </w:r>
    </w:p>
    <w:p w14:paraId="6D83EEFB" w14:textId="77777777" w:rsidR="00986E21" w:rsidRPr="00491E0E" w:rsidRDefault="00986E21" w:rsidP="00753B1E">
      <w:pPr>
        <w:widowControl w:val="0"/>
        <w:spacing w:line="240" w:lineRule="auto"/>
        <w:ind w:left="930"/>
        <w:jc w:val="both"/>
        <w:rPr>
          <w:b/>
          <w:szCs w:val="22"/>
          <w:lang w:val="sr-Latn-ME"/>
        </w:rPr>
      </w:pPr>
    </w:p>
    <w:p w14:paraId="79740F56" w14:textId="77777777" w:rsidR="00986E21" w:rsidRPr="00491E0E" w:rsidRDefault="00070A10" w:rsidP="00753B1E">
      <w:pPr>
        <w:widowControl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INN:</w:t>
      </w:r>
      <w:r w:rsidRPr="00491E0E">
        <w:rPr>
          <w:szCs w:val="22"/>
          <w:lang w:val="sr-Latn-ME"/>
        </w:rPr>
        <w:tab/>
      </w:r>
      <w:proofErr w:type="spellStart"/>
      <w:r w:rsidRPr="00491E0E">
        <w:rPr>
          <w:szCs w:val="22"/>
          <w:lang w:val="sr-Latn-ME"/>
        </w:rPr>
        <w:t>pantoprazol</w:t>
      </w:r>
      <w:proofErr w:type="spellEnd"/>
    </w:p>
    <w:p w14:paraId="747D55B1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074D6675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3F60536C" w14:textId="77777777" w:rsidR="00986E21" w:rsidRPr="00491E0E" w:rsidRDefault="00070A10" w:rsidP="00753B1E">
      <w:pPr>
        <w:widowControl w:val="0"/>
        <w:spacing w:line="240" w:lineRule="auto"/>
        <w:jc w:val="both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2.</w:t>
      </w:r>
      <w:r w:rsidRPr="00491E0E">
        <w:rPr>
          <w:b/>
          <w:szCs w:val="22"/>
          <w:lang w:val="sr-Latn-ME"/>
        </w:rPr>
        <w:tab/>
        <w:t>KVALITATIVNI I KVANTITATIVNI SASTAV</w:t>
      </w:r>
    </w:p>
    <w:p w14:paraId="6D6D238F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0EFA102D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Svaka </w:t>
      </w:r>
      <w:proofErr w:type="spellStart"/>
      <w:r w:rsidRPr="00491E0E">
        <w:rPr>
          <w:szCs w:val="22"/>
          <w:lang w:val="sr-Latn-ME"/>
        </w:rPr>
        <w:t>gastrorezistentna</w:t>
      </w:r>
      <w:proofErr w:type="spellEnd"/>
      <w:r w:rsidRPr="00491E0E">
        <w:rPr>
          <w:szCs w:val="22"/>
          <w:lang w:val="sr-Latn-ME"/>
        </w:rPr>
        <w:t xml:space="preserve"> tableta sadrži 20 mg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u obliku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natrijum </w:t>
      </w:r>
      <w:proofErr w:type="spellStart"/>
      <w:r w:rsidRPr="00491E0E">
        <w:rPr>
          <w:szCs w:val="22"/>
          <w:lang w:val="sr-Latn-ME"/>
        </w:rPr>
        <w:t>seskvihidrata</w:t>
      </w:r>
      <w:proofErr w:type="spellEnd"/>
      <w:r w:rsidRPr="00491E0E">
        <w:rPr>
          <w:szCs w:val="22"/>
          <w:lang w:val="sr-Latn-ME"/>
        </w:rPr>
        <w:t>.</w:t>
      </w:r>
    </w:p>
    <w:p w14:paraId="2A4B3F21" w14:textId="77777777" w:rsidR="00986E21" w:rsidRPr="00491E0E" w:rsidRDefault="00986E21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</w:p>
    <w:p w14:paraId="23C191FB" w14:textId="1ADBC130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u w:val="single"/>
          <w:lang w:val="sr-Latn-ME"/>
        </w:rPr>
        <w:t>Pomoćna supstanca sa potvrđenim dejstvom</w:t>
      </w:r>
      <w:r w:rsidRPr="00491E0E">
        <w:rPr>
          <w:szCs w:val="22"/>
          <w:lang w:val="sr-Latn-ME"/>
        </w:rPr>
        <w:t xml:space="preserve"> </w:t>
      </w:r>
    </w:p>
    <w:p w14:paraId="540A1E7A" w14:textId="3AD8A232" w:rsidR="00986E21" w:rsidRPr="00491E0E" w:rsidRDefault="00753B1E" w:rsidP="00A024A5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Svaka </w:t>
      </w:r>
      <w:proofErr w:type="spellStart"/>
      <w:r w:rsidRPr="00491E0E">
        <w:rPr>
          <w:szCs w:val="22"/>
          <w:lang w:val="sr-Latn-ME"/>
        </w:rPr>
        <w:t>gastrorezistentna</w:t>
      </w:r>
      <w:proofErr w:type="spellEnd"/>
      <w:r w:rsidRPr="00491E0E">
        <w:rPr>
          <w:szCs w:val="22"/>
          <w:lang w:val="sr-Latn-ME"/>
        </w:rPr>
        <w:t xml:space="preserve"> tableta sadrži 18 mg </w:t>
      </w:r>
      <w:proofErr w:type="spellStart"/>
      <w:r w:rsidR="00070A10" w:rsidRPr="00491E0E">
        <w:rPr>
          <w:szCs w:val="22"/>
          <w:lang w:val="sr-Latn-ME"/>
        </w:rPr>
        <w:t>sorbitol</w:t>
      </w:r>
      <w:r w:rsidRPr="00491E0E">
        <w:rPr>
          <w:szCs w:val="22"/>
          <w:lang w:val="sr-Latn-ME"/>
        </w:rPr>
        <w:t>a</w:t>
      </w:r>
      <w:proofErr w:type="spellEnd"/>
      <w:r w:rsidR="00070A10" w:rsidRPr="00491E0E">
        <w:rPr>
          <w:szCs w:val="22"/>
          <w:lang w:val="sr-Latn-ME"/>
        </w:rPr>
        <w:t xml:space="preserve"> (E420)</w:t>
      </w:r>
      <w:r w:rsidRPr="00491E0E">
        <w:rPr>
          <w:szCs w:val="22"/>
          <w:lang w:val="sr-Latn-ME"/>
        </w:rPr>
        <w:t>.</w:t>
      </w:r>
      <w:r w:rsidR="00070A10" w:rsidRPr="00491E0E">
        <w:rPr>
          <w:szCs w:val="22"/>
          <w:lang w:val="sr-Latn-ME"/>
        </w:rPr>
        <w:t xml:space="preserve"> </w:t>
      </w:r>
    </w:p>
    <w:p w14:paraId="2340156C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6C82A7AC" w14:textId="77777777" w:rsidR="00986E21" w:rsidRPr="00491E0E" w:rsidRDefault="00070A10" w:rsidP="00753B1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Za spisak svih </w:t>
      </w:r>
      <w:proofErr w:type="spellStart"/>
      <w:r w:rsidRPr="00491E0E">
        <w:rPr>
          <w:szCs w:val="22"/>
          <w:lang w:val="sr-Latn-ME"/>
        </w:rPr>
        <w:t>ekscipijenasa</w:t>
      </w:r>
      <w:proofErr w:type="spellEnd"/>
      <w:r w:rsidRPr="00491E0E">
        <w:rPr>
          <w:szCs w:val="22"/>
          <w:lang w:val="sr-Latn-ME"/>
        </w:rPr>
        <w:t>, pogledati dio 6.1.</w:t>
      </w:r>
    </w:p>
    <w:p w14:paraId="6B6770B6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7A5BE070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31BE1F4D" w14:textId="77777777" w:rsidR="00986E21" w:rsidRPr="00491E0E" w:rsidRDefault="00070A10" w:rsidP="00753B1E">
      <w:pPr>
        <w:widowControl w:val="0"/>
        <w:spacing w:line="240" w:lineRule="auto"/>
        <w:jc w:val="both"/>
        <w:rPr>
          <w:b/>
          <w:szCs w:val="22"/>
          <w:lang w:val="sr-Latn-ME"/>
        </w:rPr>
      </w:pPr>
      <w:r w:rsidRPr="00491E0E">
        <w:rPr>
          <w:b/>
          <w:szCs w:val="22"/>
          <w:lang w:val="sr-Latn-ME"/>
        </w:rPr>
        <w:t>3.</w:t>
      </w:r>
      <w:r w:rsidRPr="00491E0E">
        <w:rPr>
          <w:b/>
          <w:szCs w:val="22"/>
          <w:lang w:val="sr-Latn-ME"/>
        </w:rPr>
        <w:tab/>
        <w:t>FARMACEUTSKI OBLIK</w:t>
      </w:r>
    </w:p>
    <w:p w14:paraId="65C39520" w14:textId="77777777" w:rsidR="00986E21" w:rsidRPr="00491E0E" w:rsidRDefault="00986E21" w:rsidP="00753B1E">
      <w:pPr>
        <w:widowControl w:val="0"/>
        <w:spacing w:line="240" w:lineRule="auto"/>
        <w:jc w:val="both"/>
        <w:rPr>
          <w:b/>
          <w:caps/>
          <w:szCs w:val="22"/>
          <w:lang w:val="sr-Latn-ME"/>
        </w:rPr>
      </w:pPr>
    </w:p>
    <w:p w14:paraId="1B3CE9C2" w14:textId="77777777" w:rsidR="00986E21" w:rsidRPr="00491E0E" w:rsidRDefault="00070A10" w:rsidP="00753B1E">
      <w:pPr>
        <w:tabs>
          <w:tab w:val="left" w:pos="284"/>
          <w:tab w:val="left" w:pos="2880"/>
        </w:tabs>
        <w:autoSpaceDE w:val="0"/>
        <w:autoSpaceDN w:val="0"/>
        <w:adjustRightInd w:val="0"/>
        <w:spacing w:line="240" w:lineRule="auto"/>
        <w:ind w:left="3062" w:hanging="3062"/>
        <w:jc w:val="both"/>
        <w:rPr>
          <w:bCs/>
          <w:szCs w:val="22"/>
          <w:lang w:val="sr-Latn-ME"/>
        </w:rPr>
      </w:pPr>
      <w:proofErr w:type="spellStart"/>
      <w:r w:rsidRPr="00491E0E">
        <w:rPr>
          <w:bCs/>
          <w:szCs w:val="22"/>
          <w:lang w:val="sr-Latn-ME"/>
        </w:rPr>
        <w:t>Gastrorezistentna</w:t>
      </w:r>
      <w:proofErr w:type="spellEnd"/>
      <w:r w:rsidRPr="00491E0E">
        <w:rPr>
          <w:bCs/>
          <w:szCs w:val="22"/>
          <w:lang w:val="sr-Latn-ME"/>
        </w:rPr>
        <w:t xml:space="preserve"> tableta.</w:t>
      </w:r>
    </w:p>
    <w:p w14:paraId="0AE077FE" w14:textId="49836EA8" w:rsidR="00986E21" w:rsidRPr="00491E0E" w:rsidRDefault="00753B1E" w:rsidP="00753B1E">
      <w:pPr>
        <w:tabs>
          <w:tab w:val="left" w:pos="284"/>
          <w:tab w:val="left" w:pos="2880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  <w:lang w:val="sr-Latn-ME"/>
        </w:rPr>
      </w:pPr>
      <w:proofErr w:type="spellStart"/>
      <w:r w:rsidRPr="00491E0E">
        <w:rPr>
          <w:bCs/>
          <w:szCs w:val="22"/>
          <w:lang w:val="sr-Latn-ME"/>
        </w:rPr>
        <w:t>S</w:t>
      </w:r>
      <w:r w:rsidR="00070A10" w:rsidRPr="00491E0E">
        <w:rPr>
          <w:bCs/>
          <w:szCs w:val="22"/>
          <w:lang w:val="sr-Latn-ME"/>
        </w:rPr>
        <w:t>vijetlo</w:t>
      </w:r>
      <w:r w:rsidRPr="00491E0E">
        <w:rPr>
          <w:bCs/>
          <w:szCs w:val="22"/>
          <w:lang w:val="sr-Latn-ME"/>
        </w:rPr>
        <w:t>žućkasto</w:t>
      </w:r>
      <w:proofErr w:type="spellEnd"/>
      <w:r w:rsidRPr="00491E0E">
        <w:rPr>
          <w:bCs/>
          <w:szCs w:val="22"/>
          <w:lang w:val="sr-Latn-ME"/>
        </w:rPr>
        <w:t>-braon</w:t>
      </w:r>
      <w:r w:rsidR="00070A10" w:rsidRPr="00491E0E">
        <w:rPr>
          <w:bCs/>
          <w:szCs w:val="22"/>
          <w:lang w:val="sr-Latn-ME"/>
        </w:rPr>
        <w:t>, ovaln</w:t>
      </w:r>
      <w:r w:rsidRPr="00491E0E">
        <w:rPr>
          <w:bCs/>
          <w:szCs w:val="22"/>
          <w:lang w:val="sr-Latn-ME"/>
        </w:rPr>
        <w:t>a</w:t>
      </w:r>
      <w:r w:rsidR="00070A10" w:rsidRPr="00491E0E">
        <w:rPr>
          <w:bCs/>
          <w:szCs w:val="22"/>
          <w:lang w:val="sr-Latn-ME"/>
        </w:rPr>
        <w:t>,</w:t>
      </w:r>
      <w:r w:rsidRPr="00491E0E">
        <w:rPr>
          <w:bCs/>
          <w:szCs w:val="22"/>
          <w:lang w:val="sr-Latn-ME"/>
        </w:rPr>
        <w:t xml:space="preserve"> blago </w:t>
      </w:r>
      <w:proofErr w:type="spellStart"/>
      <w:r w:rsidRPr="00491E0E">
        <w:rPr>
          <w:bCs/>
          <w:szCs w:val="22"/>
          <w:lang w:val="sr-Latn-ME"/>
        </w:rPr>
        <w:t>bikonveksna</w:t>
      </w:r>
      <w:proofErr w:type="spellEnd"/>
      <w:r w:rsidR="00070A10" w:rsidRPr="00491E0E">
        <w:rPr>
          <w:bCs/>
          <w:szCs w:val="22"/>
          <w:lang w:val="sr-Latn-ME"/>
        </w:rPr>
        <w:t xml:space="preserve"> filmom obložen</w:t>
      </w:r>
      <w:r w:rsidRPr="00491E0E">
        <w:rPr>
          <w:bCs/>
          <w:szCs w:val="22"/>
          <w:lang w:val="sr-Latn-ME"/>
        </w:rPr>
        <w:t>a</w:t>
      </w:r>
      <w:r w:rsidR="00070A10" w:rsidRPr="00491E0E">
        <w:rPr>
          <w:bCs/>
          <w:szCs w:val="22"/>
          <w:lang w:val="sr-Latn-ME"/>
        </w:rPr>
        <w:t xml:space="preserve"> tablet</w:t>
      </w:r>
      <w:r w:rsidRPr="00491E0E">
        <w:rPr>
          <w:bCs/>
          <w:szCs w:val="22"/>
          <w:lang w:val="sr-Latn-ME"/>
        </w:rPr>
        <w:t>a</w:t>
      </w:r>
      <w:r w:rsidR="00070A10" w:rsidRPr="00491E0E">
        <w:rPr>
          <w:bCs/>
          <w:szCs w:val="22"/>
          <w:lang w:val="sr-Latn-ME"/>
        </w:rPr>
        <w:t>.</w:t>
      </w:r>
    </w:p>
    <w:p w14:paraId="60680DCF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12E6A36E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351875A6" w14:textId="77777777" w:rsidR="00986E21" w:rsidRPr="00491E0E" w:rsidRDefault="00070A10" w:rsidP="00753B1E">
      <w:pPr>
        <w:widowControl w:val="0"/>
        <w:spacing w:line="240" w:lineRule="auto"/>
        <w:ind w:left="567" w:hanging="567"/>
        <w:jc w:val="both"/>
        <w:rPr>
          <w:caps/>
          <w:szCs w:val="22"/>
          <w:lang w:val="sr-Latn-ME"/>
        </w:rPr>
      </w:pPr>
      <w:r w:rsidRPr="00491E0E">
        <w:rPr>
          <w:b/>
          <w:caps/>
          <w:szCs w:val="22"/>
          <w:lang w:val="sr-Latn-ME"/>
        </w:rPr>
        <w:t>4.</w:t>
      </w:r>
      <w:r w:rsidRPr="00491E0E">
        <w:rPr>
          <w:b/>
          <w:caps/>
          <w:szCs w:val="22"/>
          <w:lang w:val="sr-Latn-ME"/>
        </w:rPr>
        <w:tab/>
        <w:t>KLINIČKI PODACI</w:t>
      </w:r>
    </w:p>
    <w:p w14:paraId="06662E1C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1903A29E" w14:textId="77777777" w:rsidR="00986E21" w:rsidRPr="00491E0E" w:rsidRDefault="00070A10" w:rsidP="00753B1E">
      <w:pPr>
        <w:widowControl w:val="0"/>
        <w:spacing w:line="240" w:lineRule="auto"/>
        <w:ind w:left="567" w:hanging="567"/>
        <w:jc w:val="both"/>
        <w:outlineLvl w:val="0"/>
        <w:rPr>
          <w:b/>
          <w:szCs w:val="22"/>
          <w:lang w:val="sr-Latn-ME"/>
        </w:rPr>
      </w:pPr>
      <w:r w:rsidRPr="00491E0E">
        <w:rPr>
          <w:b/>
          <w:szCs w:val="22"/>
          <w:lang w:val="sr-Latn-ME"/>
        </w:rPr>
        <w:t>4.1</w:t>
      </w:r>
      <w:r w:rsidRPr="00491E0E">
        <w:rPr>
          <w:b/>
          <w:szCs w:val="22"/>
          <w:lang w:val="sr-Latn-ME"/>
        </w:rPr>
        <w:tab/>
        <w:t>Terapijske indikacije</w:t>
      </w:r>
    </w:p>
    <w:p w14:paraId="3B8254F3" w14:textId="77777777" w:rsidR="00986E21" w:rsidRPr="00491E0E" w:rsidRDefault="00986E21" w:rsidP="00753B1E">
      <w:pPr>
        <w:widowControl w:val="0"/>
        <w:spacing w:line="240" w:lineRule="auto"/>
        <w:ind w:left="567" w:hanging="567"/>
        <w:jc w:val="both"/>
        <w:outlineLvl w:val="0"/>
        <w:rPr>
          <w:b/>
          <w:szCs w:val="22"/>
          <w:lang w:val="sr-Latn-ME"/>
        </w:rPr>
      </w:pPr>
    </w:p>
    <w:p w14:paraId="1201C80B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iCs/>
          <w:szCs w:val="22"/>
          <w:lang w:val="sr-Latn-ME"/>
        </w:rPr>
        <w:t>Odrasli i adolescenti od 12 godina i stariji:</w:t>
      </w:r>
    </w:p>
    <w:p w14:paraId="4014688A" w14:textId="77777777" w:rsidR="00986E21" w:rsidRPr="00491E0E" w:rsidRDefault="00070A10" w:rsidP="00753B1E">
      <w:pPr>
        <w:widowControl w:val="0"/>
        <w:numPr>
          <w:ilvl w:val="0"/>
          <w:numId w:val="27"/>
        </w:numPr>
        <w:tabs>
          <w:tab w:val="clear" w:pos="567"/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Simptomatska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gastroezofagealna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refluksna</w:t>
      </w:r>
      <w:proofErr w:type="spellEnd"/>
      <w:r w:rsidRPr="00491E0E">
        <w:rPr>
          <w:szCs w:val="22"/>
          <w:lang w:val="sr-Latn-ME"/>
        </w:rPr>
        <w:t xml:space="preserve"> bolest, </w:t>
      </w:r>
    </w:p>
    <w:p w14:paraId="676BE9D2" w14:textId="77777777" w:rsidR="00986E21" w:rsidRPr="00491E0E" w:rsidRDefault="00070A10" w:rsidP="00753B1E">
      <w:pPr>
        <w:widowControl w:val="0"/>
        <w:numPr>
          <w:ilvl w:val="0"/>
          <w:numId w:val="27"/>
        </w:numPr>
        <w:tabs>
          <w:tab w:val="clear" w:pos="567"/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Dugotrajna terapija i prevencija </w:t>
      </w:r>
      <w:proofErr w:type="spellStart"/>
      <w:r w:rsidRPr="00491E0E">
        <w:rPr>
          <w:szCs w:val="22"/>
          <w:lang w:val="sr-Latn-ME"/>
        </w:rPr>
        <w:t>relapsa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refluksnog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ezofagitisa</w:t>
      </w:r>
      <w:proofErr w:type="spellEnd"/>
      <w:r w:rsidRPr="00491E0E">
        <w:rPr>
          <w:szCs w:val="22"/>
          <w:lang w:val="sr-Latn-ME"/>
        </w:rPr>
        <w:t xml:space="preserve">. </w:t>
      </w:r>
    </w:p>
    <w:p w14:paraId="31F5FDDF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5193305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iCs/>
          <w:szCs w:val="22"/>
          <w:lang w:val="sr-Latn-ME"/>
        </w:rPr>
        <w:t>Odrasli:</w:t>
      </w:r>
    </w:p>
    <w:p w14:paraId="5E14097E" w14:textId="77777777" w:rsidR="00986E21" w:rsidRPr="00491E0E" w:rsidRDefault="00070A10" w:rsidP="00753B1E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   Prevencija </w:t>
      </w:r>
      <w:proofErr w:type="spellStart"/>
      <w:r w:rsidRPr="00491E0E">
        <w:rPr>
          <w:szCs w:val="22"/>
          <w:lang w:val="sr-Latn-ME"/>
        </w:rPr>
        <w:t>gastroduodenalnih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ulkusa</w:t>
      </w:r>
      <w:proofErr w:type="spellEnd"/>
      <w:r w:rsidRPr="00491E0E">
        <w:rPr>
          <w:szCs w:val="22"/>
          <w:lang w:val="sr-Latn-ME"/>
        </w:rPr>
        <w:t xml:space="preserve"> uzrokovanih primjenom neselektivnih </w:t>
      </w:r>
      <w:proofErr w:type="spellStart"/>
      <w:r w:rsidRPr="00491E0E">
        <w:rPr>
          <w:szCs w:val="22"/>
          <w:lang w:val="sr-Latn-ME"/>
        </w:rPr>
        <w:t>nesteroidnih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antiinflamatornih</w:t>
      </w:r>
      <w:proofErr w:type="spellEnd"/>
      <w:r w:rsidRPr="00491E0E">
        <w:rPr>
          <w:szCs w:val="22"/>
          <w:lang w:val="sr-Latn-ME"/>
        </w:rPr>
        <w:t xml:space="preserve"> ljekova (NSAIL) kod pacijenata koji su pod rizikom, kod kojih je neophodna kontinuirana terapija NSAIL (vidjeti dio 4.4).</w:t>
      </w:r>
    </w:p>
    <w:p w14:paraId="41BD0F00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0CF53FE1" w14:textId="77777777" w:rsidR="00986E21" w:rsidRPr="00491E0E" w:rsidRDefault="00070A10" w:rsidP="00753B1E">
      <w:pPr>
        <w:widowControl w:val="0"/>
        <w:numPr>
          <w:ilvl w:val="1"/>
          <w:numId w:val="13"/>
        </w:numPr>
        <w:tabs>
          <w:tab w:val="clear" w:pos="570"/>
          <w:tab w:val="left" w:pos="567"/>
          <w:tab w:val="num" w:pos="712"/>
        </w:tabs>
        <w:spacing w:line="240" w:lineRule="auto"/>
        <w:ind w:left="712" w:hanging="712"/>
        <w:jc w:val="both"/>
        <w:outlineLvl w:val="0"/>
        <w:rPr>
          <w:b/>
          <w:szCs w:val="22"/>
          <w:lang w:val="sr-Latn-ME"/>
        </w:rPr>
      </w:pPr>
      <w:r w:rsidRPr="00491E0E">
        <w:rPr>
          <w:b/>
          <w:szCs w:val="22"/>
          <w:lang w:val="sr-Latn-ME"/>
        </w:rPr>
        <w:t>Doziranje i način primjene</w:t>
      </w:r>
    </w:p>
    <w:p w14:paraId="37A05C27" w14:textId="77777777" w:rsidR="00986E21" w:rsidRPr="00491E0E" w:rsidRDefault="00986E21" w:rsidP="00753B1E">
      <w:pPr>
        <w:widowControl w:val="0"/>
        <w:spacing w:line="240" w:lineRule="auto"/>
        <w:jc w:val="both"/>
        <w:outlineLvl w:val="0"/>
        <w:rPr>
          <w:b/>
          <w:szCs w:val="22"/>
          <w:lang w:val="sr-Latn-ME"/>
        </w:rPr>
      </w:pPr>
    </w:p>
    <w:p w14:paraId="1DFC0D9A" w14:textId="77777777" w:rsidR="00986E21" w:rsidRPr="00491E0E" w:rsidRDefault="00070A10" w:rsidP="00753B1E">
      <w:pPr>
        <w:widowControl w:val="0"/>
        <w:spacing w:line="240" w:lineRule="auto"/>
        <w:jc w:val="both"/>
        <w:rPr>
          <w:iCs/>
          <w:szCs w:val="22"/>
          <w:u w:val="single"/>
          <w:lang w:val="sr-Latn-ME"/>
        </w:rPr>
      </w:pPr>
      <w:r w:rsidRPr="00491E0E">
        <w:rPr>
          <w:iCs/>
          <w:szCs w:val="22"/>
          <w:u w:val="single"/>
          <w:lang w:val="sr-Latn-ME"/>
        </w:rPr>
        <w:t>Doziranje</w:t>
      </w:r>
    </w:p>
    <w:p w14:paraId="69A280B8" w14:textId="77777777" w:rsidR="00986E21" w:rsidRPr="00491E0E" w:rsidRDefault="00986E21" w:rsidP="00753B1E">
      <w:pPr>
        <w:widowControl w:val="0"/>
        <w:spacing w:line="240" w:lineRule="auto"/>
        <w:jc w:val="both"/>
        <w:rPr>
          <w:iCs/>
          <w:szCs w:val="22"/>
          <w:u w:val="single"/>
          <w:lang w:val="sr-Latn-ME"/>
        </w:rPr>
      </w:pPr>
    </w:p>
    <w:p w14:paraId="1A310064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  <w:lang w:val="sr-Latn-ME"/>
        </w:rPr>
      </w:pPr>
      <w:r w:rsidRPr="00491E0E">
        <w:rPr>
          <w:i/>
          <w:iCs/>
          <w:szCs w:val="22"/>
          <w:lang w:val="sr-Latn-ME"/>
        </w:rPr>
        <w:t>Odrasli i adolescenti uzrasta 12 godina i stariji:</w:t>
      </w:r>
    </w:p>
    <w:p w14:paraId="64E8C53B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50E35E85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proofErr w:type="spellStart"/>
      <w:r w:rsidRPr="00491E0E">
        <w:rPr>
          <w:i/>
          <w:iCs/>
          <w:szCs w:val="22"/>
          <w:u w:val="single"/>
          <w:lang w:val="sr-Latn-ME"/>
        </w:rPr>
        <w:t>Simptomatska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iCs/>
          <w:szCs w:val="22"/>
          <w:u w:val="single"/>
          <w:lang w:val="sr-Latn-ME"/>
        </w:rPr>
        <w:t>gastroezofagealna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iCs/>
          <w:szCs w:val="22"/>
          <w:u w:val="single"/>
          <w:lang w:val="sr-Latn-ME"/>
        </w:rPr>
        <w:t>refluksna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bolest</w:t>
      </w:r>
    </w:p>
    <w:p w14:paraId="561D349D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Preporučena oralna doza je jedna tableta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od 20 mg dnevno. Poboljšanje simptoma se generalno postiže za 2-4 nedjelje. Ako ovaj period nije dovoljan, liječenje se može nastaviti tokom sljedeće 4 nedjelje. Kada se simptomi povuku, njihovo ponovno pojavljivanje može se kontrolisati primjenom 20 mg dnevno, po potrebi. Ako se adekvatna kontrola simptoma ne može postići terapijom po potrebi, treba uzeti u obzir prelazak na kontinuiranu terapiju.</w:t>
      </w:r>
    </w:p>
    <w:p w14:paraId="39785369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5824BDF5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491E0E">
        <w:rPr>
          <w:i/>
          <w:iCs/>
          <w:szCs w:val="22"/>
          <w:u w:val="single"/>
          <w:lang w:val="sr-Latn-ME"/>
        </w:rPr>
        <w:t xml:space="preserve">Dugotrajna terapija i prevencija </w:t>
      </w:r>
      <w:proofErr w:type="spellStart"/>
      <w:r w:rsidRPr="00491E0E">
        <w:rPr>
          <w:i/>
          <w:iCs/>
          <w:szCs w:val="22"/>
          <w:u w:val="single"/>
          <w:lang w:val="sr-Latn-ME"/>
        </w:rPr>
        <w:t>relapsa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iCs/>
          <w:szCs w:val="22"/>
          <w:u w:val="single"/>
          <w:lang w:val="sr-Latn-ME"/>
        </w:rPr>
        <w:t>refluksnog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iCs/>
          <w:szCs w:val="22"/>
          <w:u w:val="single"/>
          <w:lang w:val="sr-Latn-ME"/>
        </w:rPr>
        <w:t>ezofagitisa</w:t>
      </w:r>
      <w:proofErr w:type="spellEnd"/>
    </w:p>
    <w:p w14:paraId="2FCA5B50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Za dugotrajnu terapiju preporučuje se dnevna doza održavanja od 20 mg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, koja se, u slučaju </w:t>
      </w:r>
      <w:proofErr w:type="spellStart"/>
      <w:r w:rsidRPr="00491E0E">
        <w:rPr>
          <w:szCs w:val="22"/>
          <w:lang w:val="sr-Latn-ME"/>
        </w:rPr>
        <w:t>relapsa</w:t>
      </w:r>
      <w:proofErr w:type="spellEnd"/>
      <w:r w:rsidRPr="00491E0E">
        <w:rPr>
          <w:szCs w:val="22"/>
          <w:lang w:val="sr-Latn-ME"/>
        </w:rPr>
        <w:t xml:space="preserve">, može povećati na 40 mg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dnevno. U tom slučaju je dostupna tableta </w:t>
      </w:r>
      <w:proofErr w:type="spellStart"/>
      <w:r w:rsidRPr="00491E0E">
        <w:rPr>
          <w:szCs w:val="22"/>
          <w:lang w:val="sr-Latn-ME"/>
        </w:rPr>
        <w:t>Nolpaza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gastrorezostentna</w:t>
      </w:r>
      <w:proofErr w:type="spellEnd"/>
      <w:r w:rsidRPr="00491E0E">
        <w:rPr>
          <w:szCs w:val="22"/>
          <w:lang w:val="sr-Latn-ME"/>
        </w:rPr>
        <w:t xml:space="preserve"> tableta 40 mg. Nakon oporavka od rekurentne epizode, doza se ponovo može smanjiti na 20 mg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dnevno.</w:t>
      </w:r>
    </w:p>
    <w:p w14:paraId="011DDF2A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7206EC3A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i/>
          <w:iCs/>
          <w:szCs w:val="22"/>
          <w:lang w:val="sr-Latn-ME"/>
        </w:rPr>
        <w:t>Odrasli:</w:t>
      </w:r>
    </w:p>
    <w:p w14:paraId="0EA16017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5FF00A7A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491E0E">
        <w:rPr>
          <w:i/>
          <w:iCs/>
          <w:szCs w:val="22"/>
          <w:u w:val="single"/>
          <w:lang w:val="sr-Latn-ME"/>
        </w:rPr>
        <w:t xml:space="preserve">Prevencija </w:t>
      </w:r>
      <w:proofErr w:type="spellStart"/>
      <w:r w:rsidRPr="00491E0E">
        <w:rPr>
          <w:i/>
          <w:iCs/>
          <w:szCs w:val="22"/>
          <w:u w:val="single"/>
          <w:lang w:val="sr-Latn-ME"/>
        </w:rPr>
        <w:t>gastroduodenalnih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iCs/>
          <w:szCs w:val="22"/>
          <w:u w:val="single"/>
          <w:lang w:val="sr-Latn-ME"/>
        </w:rPr>
        <w:t>ulkusa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uzrokovanih primjenom neselektivnih </w:t>
      </w:r>
      <w:proofErr w:type="spellStart"/>
      <w:r w:rsidRPr="00491E0E">
        <w:rPr>
          <w:i/>
          <w:iCs/>
          <w:szCs w:val="22"/>
          <w:u w:val="single"/>
          <w:lang w:val="sr-Latn-ME"/>
        </w:rPr>
        <w:t>nesteroidnih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iCs/>
          <w:szCs w:val="22"/>
          <w:u w:val="single"/>
          <w:lang w:val="sr-Latn-ME"/>
        </w:rPr>
        <w:t>antiinflamatornih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ljekova (NSAIL) kod pacijenata koji su pod rizikom, kod kojih je neophodna kontinuirana terapija NSAIL</w:t>
      </w:r>
    </w:p>
    <w:p w14:paraId="15900756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Preporučena oralna doza je jedna </w:t>
      </w:r>
      <w:proofErr w:type="spellStart"/>
      <w:r w:rsidRPr="00491E0E">
        <w:rPr>
          <w:szCs w:val="22"/>
          <w:lang w:val="sr-Latn-ME"/>
        </w:rPr>
        <w:t>gastrorezistentna</w:t>
      </w:r>
      <w:proofErr w:type="spellEnd"/>
      <w:r w:rsidRPr="00491E0E">
        <w:rPr>
          <w:szCs w:val="22"/>
          <w:lang w:val="sr-Latn-ME"/>
        </w:rPr>
        <w:t xml:space="preserve"> tableta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od 20 mg dnevno.</w:t>
      </w:r>
    </w:p>
    <w:p w14:paraId="51762D55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DB5ED78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bCs/>
          <w:i/>
          <w:szCs w:val="22"/>
          <w:lang w:val="sr-Latn-ME"/>
        </w:rPr>
      </w:pPr>
      <w:r w:rsidRPr="00491E0E">
        <w:rPr>
          <w:bCs/>
          <w:i/>
          <w:szCs w:val="22"/>
          <w:lang w:val="sr-Latn-ME"/>
        </w:rPr>
        <w:t>Pedijatrijska populacija</w:t>
      </w:r>
    </w:p>
    <w:p w14:paraId="0763FB66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Primjena </w:t>
      </w:r>
      <w:proofErr w:type="spellStart"/>
      <w:r w:rsidRPr="00491E0E">
        <w:rPr>
          <w:szCs w:val="22"/>
          <w:lang w:val="sr-Latn-ME" w:eastAsia="hr-HR"/>
        </w:rPr>
        <w:t>Nolpaza</w:t>
      </w:r>
      <w:proofErr w:type="spellEnd"/>
      <w:r w:rsidRPr="00491E0E">
        <w:rPr>
          <w:szCs w:val="22"/>
          <w:lang w:val="sr-Latn-ME" w:eastAsia="hr-HR"/>
        </w:rPr>
        <w:t xml:space="preserve"> 20 mg </w:t>
      </w:r>
      <w:proofErr w:type="spellStart"/>
      <w:r w:rsidRPr="00491E0E">
        <w:rPr>
          <w:szCs w:val="22"/>
          <w:lang w:val="sr-Latn-ME" w:eastAsia="hr-HR"/>
        </w:rPr>
        <w:t>gastrorezistentnih</w:t>
      </w:r>
      <w:proofErr w:type="spellEnd"/>
      <w:r w:rsidRPr="00491E0E">
        <w:rPr>
          <w:szCs w:val="22"/>
          <w:lang w:val="sr-Latn-ME" w:eastAsia="hr-HR"/>
        </w:rPr>
        <w:t xml:space="preserve"> tableta</w:t>
      </w:r>
      <w:r w:rsidRPr="00491E0E">
        <w:rPr>
          <w:szCs w:val="22"/>
          <w:lang w:val="sr-Latn-ME"/>
        </w:rPr>
        <w:t xml:space="preserve"> se ne preporučuje kod djece mlađe od 12 godina zbog nedostatka kliničkih podataka o bezbjednosti i efikasnosti lijeka kod ove populacije (vidjeti dio 5.2).</w:t>
      </w:r>
    </w:p>
    <w:p w14:paraId="21B033A0" w14:textId="77777777" w:rsidR="00986E21" w:rsidRPr="00491E0E" w:rsidRDefault="00986E21" w:rsidP="00753B1E">
      <w:pPr>
        <w:spacing w:line="240" w:lineRule="auto"/>
        <w:rPr>
          <w:szCs w:val="22"/>
          <w:lang w:val="sr-Latn-ME"/>
        </w:rPr>
      </w:pPr>
    </w:p>
    <w:p w14:paraId="7FB9441B" w14:textId="77777777" w:rsidR="00986E21" w:rsidRPr="00491E0E" w:rsidRDefault="00070A10" w:rsidP="00753B1E">
      <w:pPr>
        <w:spacing w:line="240" w:lineRule="auto"/>
        <w:rPr>
          <w:i/>
          <w:szCs w:val="22"/>
          <w:lang w:val="sr-Latn-ME"/>
        </w:rPr>
      </w:pPr>
      <w:r w:rsidRPr="00491E0E">
        <w:rPr>
          <w:i/>
          <w:szCs w:val="22"/>
          <w:lang w:val="sr-Latn-ME"/>
        </w:rPr>
        <w:t>Pacijenti sa oštećenjem funkcije jetre:</w:t>
      </w:r>
    </w:p>
    <w:p w14:paraId="0176CEDA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right="140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Kod pacijenata sa teškim oštećenjem jetre ne smije se primijeniti doza veća od 20 mg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dnevno (vidjeti dio 4.4).</w:t>
      </w:r>
    </w:p>
    <w:p w14:paraId="45EA2B3B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3894C74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i/>
          <w:szCs w:val="22"/>
          <w:lang w:val="sr-Latn-ME"/>
        </w:rPr>
        <w:t>Pacijenti sa oštećenjem funkcije bubrega:</w:t>
      </w:r>
    </w:p>
    <w:p w14:paraId="08D2F5A1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Nije potrebno prilagođavanje doze kod pacijenata sa oštećenjem funkcije bubrega.</w:t>
      </w:r>
    </w:p>
    <w:p w14:paraId="2025CBE6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650C090C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i/>
          <w:iCs/>
          <w:szCs w:val="22"/>
          <w:lang w:val="sr-Latn-ME"/>
        </w:rPr>
        <w:t>Stariji pacijenti</w:t>
      </w:r>
    </w:p>
    <w:p w14:paraId="11CE73E5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Nije potrebno prilagođavanje doze kod starijih pacijenata.</w:t>
      </w:r>
    </w:p>
    <w:p w14:paraId="3840C1B4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u w:val="single"/>
          <w:lang w:val="sr-Latn-ME"/>
        </w:rPr>
      </w:pPr>
    </w:p>
    <w:p w14:paraId="2753E1FF" w14:textId="77777777" w:rsidR="00986E21" w:rsidRPr="00491E0E" w:rsidRDefault="00070A10" w:rsidP="00753B1E">
      <w:pPr>
        <w:pStyle w:val="Default"/>
        <w:widowControl w:val="0"/>
        <w:jc w:val="both"/>
        <w:rPr>
          <w:color w:val="auto"/>
          <w:sz w:val="22"/>
          <w:szCs w:val="22"/>
          <w:u w:val="single"/>
          <w:lang w:val="sr-Latn-ME"/>
        </w:rPr>
      </w:pPr>
      <w:r w:rsidRPr="00491E0E">
        <w:rPr>
          <w:color w:val="auto"/>
          <w:sz w:val="22"/>
          <w:szCs w:val="22"/>
          <w:u w:val="single"/>
          <w:lang w:val="sr-Latn-ME"/>
        </w:rPr>
        <w:t>Način primjene</w:t>
      </w:r>
    </w:p>
    <w:p w14:paraId="39DA22F9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 w:eastAsia="hr-HR"/>
        </w:rPr>
      </w:pPr>
      <w:r w:rsidRPr="00491E0E">
        <w:rPr>
          <w:szCs w:val="22"/>
          <w:lang w:val="sr-Latn-ME" w:eastAsia="hr-HR"/>
        </w:rPr>
        <w:t>Oralna pr</w:t>
      </w:r>
      <w:r w:rsidR="00753B1E" w:rsidRPr="00491E0E">
        <w:rPr>
          <w:szCs w:val="22"/>
          <w:lang w:val="sr-Latn-ME" w:eastAsia="hr-HR"/>
        </w:rPr>
        <w:t>i</w:t>
      </w:r>
      <w:r w:rsidRPr="00491E0E">
        <w:rPr>
          <w:szCs w:val="22"/>
          <w:lang w:val="sr-Latn-ME" w:eastAsia="hr-HR"/>
        </w:rPr>
        <w:t>mjena.</w:t>
      </w:r>
    </w:p>
    <w:p w14:paraId="007C7E3B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 w:eastAsia="hr-HR"/>
        </w:rPr>
        <w:t>Nolpaza</w:t>
      </w:r>
      <w:proofErr w:type="spellEnd"/>
      <w:r w:rsidRPr="00491E0E">
        <w:rPr>
          <w:szCs w:val="22"/>
          <w:lang w:val="sr-Latn-ME" w:eastAsia="hr-HR"/>
        </w:rPr>
        <w:t xml:space="preserve"> 20 mg </w:t>
      </w:r>
      <w:proofErr w:type="spellStart"/>
      <w:r w:rsidRPr="00491E0E">
        <w:rPr>
          <w:szCs w:val="22"/>
          <w:lang w:val="sr-Latn-ME" w:eastAsia="hr-HR"/>
        </w:rPr>
        <w:t>gastrorezistentne</w:t>
      </w:r>
      <w:proofErr w:type="spellEnd"/>
      <w:r w:rsidRPr="00491E0E">
        <w:rPr>
          <w:szCs w:val="22"/>
          <w:lang w:val="sr-Latn-ME" w:eastAsia="hr-HR"/>
        </w:rPr>
        <w:t xml:space="preserve"> </w:t>
      </w:r>
      <w:r w:rsidRPr="00491E0E">
        <w:rPr>
          <w:szCs w:val="22"/>
          <w:lang w:val="sr-Latn-ME"/>
        </w:rPr>
        <w:t>tablete ne treba žvakati ili lomiti i treba ih progutati cijele jedan sat prije obroka sa malo vode.</w:t>
      </w:r>
    </w:p>
    <w:p w14:paraId="430353C2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71B10767" w14:textId="77777777" w:rsidR="00986E21" w:rsidRPr="00491E0E" w:rsidRDefault="00070A10" w:rsidP="00753B1E">
      <w:pPr>
        <w:widowControl w:val="0"/>
        <w:spacing w:line="240" w:lineRule="auto"/>
        <w:jc w:val="both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4.3</w:t>
      </w:r>
      <w:r w:rsidRPr="00491E0E">
        <w:rPr>
          <w:b/>
          <w:szCs w:val="22"/>
          <w:lang w:val="sr-Latn-ME"/>
        </w:rPr>
        <w:tab/>
      </w:r>
      <w:proofErr w:type="spellStart"/>
      <w:r w:rsidRPr="00491E0E">
        <w:rPr>
          <w:b/>
          <w:szCs w:val="22"/>
          <w:lang w:val="sr-Latn-ME"/>
        </w:rPr>
        <w:t>Kontraindikacije</w:t>
      </w:r>
      <w:proofErr w:type="spellEnd"/>
    </w:p>
    <w:p w14:paraId="2F75DC20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578A8C11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Preosjetljivost na aktivnu supstancu, supstituisane </w:t>
      </w:r>
      <w:proofErr w:type="spellStart"/>
      <w:r w:rsidRPr="00491E0E">
        <w:rPr>
          <w:szCs w:val="22"/>
          <w:lang w:val="sr-Latn-ME"/>
        </w:rPr>
        <w:t>benzimidazole</w:t>
      </w:r>
      <w:proofErr w:type="spellEnd"/>
      <w:r w:rsidRPr="00491E0E">
        <w:rPr>
          <w:szCs w:val="22"/>
          <w:lang w:val="sr-Latn-ME"/>
        </w:rPr>
        <w:t xml:space="preserve"> ili bilo koju pomoćnu supstancu lijeka (vidjeti dio 6.1).</w:t>
      </w:r>
    </w:p>
    <w:p w14:paraId="792C5D36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3600D62E" w14:textId="77777777" w:rsidR="00986E21" w:rsidRPr="00491E0E" w:rsidRDefault="00070A10" w:rsidP="00753B1E">
      <w:pPr>
        <w:widowControl w:val="0"/>
        <w:spacing w:line="240" w:lineRule="auto"/>
        <w:jc w:val="both"/>
        <w:rPr>
          <w:b/>
          <w:szCs w:val="22"/>
          <w:lang w:val="sr-Latn-ME"/>
        </w:rPr>
      </w:pPr>
      <w:r w:rsidRPr="00491E0E">
        <w:rPr>
          <w:b/>
          <w:szCs w:val="22"/>
          <w:lang w:val="sr-Latn-ME"/>
        </w:rPr>
        <w:t>4.4</w:t>
      </w:r>
      <w:r w:rsidRPr="00491E0E">
        <w:rPr>
          <w:b/>
          <w:szCs w:val="22"/>
          <w:lang w:val="sr-Latn-ME"/>
        </w:rPr>
        <w:tab/>
        <w:t>Posebna upozorenja i mjere opreza pri upotrebi lijeka</w:t>
      </w:r>
    </w:p>
    <w:p w14:paraId="59257C66" w14:textId="77777777" w:rsidR="00986E21" w:rsidRPr="00491E0E" w:rsidRDefault="00986E21" w:rsidP="00753B1E">
      <w:pPr>
        <w:widowControl w:val="0"/>
        <w:spacing w:line="240" w:lineRule="auto"/>
        <w:jc w:val="both"/>
        <w:rPr>
          <w:b/>
          <w:szCs w:val="22"/>
          <w:lang w:val="sr-Latn-ME"/>
        </w:rPr>
      </w:pPr>
    </w:p>
    <w:p w14:paraId="0E223F28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i/>
          <w:iCs/>
          <w:szCs w:val="22"/>
          <w:u w:val="single"/>
          <w:lang w:val="sr-Latn-ME"/>
        </w:rPr>
        <w:t>Pacijenti sa oštećenjem funkcije jetre</w:t>
      </w:r>
    </w:p>
    <w:p w14:paraId="1AD531F3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Kod pacijenata sa teškim oštećenjem jetre, vrijednosti enzima jetre treba redovno pratiti tokom terapije </w:t>
      </w:r>
      <w:proofErr w:type="spellStart"/>
      <w:r w:rsidRPr="00491E0E">
        <w:rPr>
          <w:szCs w:val="22"/>
          <w:lang w:val="sr-Latn-ME"/>
        </w:rPr>
        <w:t>pantoprazolom</w:t>
      </w:r>
      <w:proofErr w:type="spellEnd"/>
      <w:r w:rsidRPr="00491E0E">
        <w:rPr>
          <w:szCs w:val="22"/>
          <w:lang w:val="sr-Latn-ME"/>
        </w:rPr>
        <w:t>, naročito tokom dugotrajne terapije. U slučaju porasta enzima jetre, liječenje treba prekinuti  (vidjeti dio 4.2).</w:t>
      </w:r>
    </w:p>
    <w:p w14:paraId="7FEA0A12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509149BA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i/>
          <w:iCs/>
          <w:szCs w:val="22"/>
          <w:u w:val="single"/>
          <w:lang w:val="sr-Latn-ME"/>
        </w:rPr>
        <w:t>Istovremena primjena sa NSAIL</w:t>
      </w:r>
    </w:p>
    <w:p w14:paraId="00D38E21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Primjenu lijeka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20 mg u prevenciji </w:t>
      </w:r>
      <w:proofErr w:type="spellStart"/>
      <w:r w:rsidRPr="00491E0E">
        <w:rPr>
          <w:szCs w:val="22"/>
          <w:lang w:val="sr-Latn-ME"/>
        </w:rPr>
        <w:t>gastroduodenalnih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ulkusa</w:t>
      </w:r>
      <w:proofErr w:type="spellEnd"/>
      <w:r w:rsidRPr="00491E0E">
        <w:rPr>
          <w:szCs w:val="22"/>
          <w:lang w:val="sr-Latn-ME"/>
        </w:rPr>
        <w:t xml:space="preserve"> uzrokovanih </w:t>
      </w:r>
      <w:proofErr w:type="spellStart"/>
      <w:r w:rsidRPr="00491E0E">
        <w:rPr>
          <w:szCs w:val="22"/>
          <w:lang w:val="sr-Latn-ME"/>
        </w:rPr>
        <w:t>nesteroidnim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antiinflamatornim</w:t>
      </w:r>
      <w:proofErr w:type="spellEnd"/>
      <w:r w:rsidRPr="00491E0E">
        <w:rPr>
          <w:szCs w:val="22"/>
          <w:lang w:val="sr-Latn-ME"/>
        </w:rPr>
        <w:t xml:space="preserve"> ljekovima (NSAIL) treba ograničiti kod pacijenata koji zahtijevaju dugotrajnu terapiju NSAIL, i kod onih koji su pod povećanim rizikom od razvoja gastrointestinalnih komplikacija.</w:t>
      </w:r>
    </w:p>
    <w:p w14:paraId="4F0045A7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587D0450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Povećan rizik treba procijeniti na osnovu individualnih faktora rizika, npr. starije životno doba (&gt; 65 godina), </w:t>
      </w:r>
      <w:proofErr w:type="spellStart"/>
      <w:r w:rsidRPr="00491E0E">
        <w:rPr>
          <w:szCs w:val="22"/>
          <w:lang w:val="sr-Latn-ME"/>
        </w:rPr>
        <w:t>anamnestički</w:t>
      </w:r>
      <w:proofErr w:type="spellEnd"/>
      <w:r w:rsidRPr="00491E0E">
        <w:rPr>
          <w:szCs w:val="22"/>
          <w:lang w:val="sr-Latn-ME"/>
        </w:rPr>
        <w:t xml:space="preserve"> podaci o ranijim </w:t>
      </w:r>
      <w:proofErr w:type="spellStart"/>
      <w:r w:rsidRPr="00491E0E">
        <w:rPr>
          <w:szCs w:val="22"/>
          <w:lang w:val="sr-Latn-ME"/>
        </w:rPr>
        <w:t>gastričnim</w:t>
      </w:r>
      <w:proofErr w:type="spellEnd"/>
      <w:r w:rsidRPr="00491E0E">
        <w:rPr>
          <w:szCs w:val="22"/>
          <w:lang w:val="sr-Latn-ME"/>
        </w:rPr>
        <w:t xml:space="preserve"> ili </w:t>
      </w:r>
      <w:proofErr w:type="spellStart"/>
      <w:r w:rsidRPr="00491E0E">
        <w:rPr>
          <w:szCs w:val="22"/>
          <w:lang w:val="sr-Latn-ME"/>
        </w:rPr>
        <w:t>duodenalnim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ulkusima</w:t>
      </w:r>
      <w:proofErr w:type="spellEnd"/>
      <w:r w:rsidRPr="00491E0E">
        <w:rPr>
          <w:szCs w:val="22"/>
          <w:lang w:val="sr-Latn-ME"/>
        </w:rPr>
        <w:t xml:space="preserve"> ili krvarenje iz gornjih partija </w:t>
      </w:r>
      <w:proofErr w:type="spellStart"/>
      <w:r w:rsidRPr="00491E0E">
        <w:rPr>
          <w:szCs w:val="22"/>
          <w:lang w:val="sr-Latn-ME"/>
        </w:rPr>
        <w:t>digestivnog</w:t>
      </w:r>
      <w:proofErr w:type="spellEnd"/>
      <w:r w:rsidRPr="00491E0E">
        <w:rPr>
          <w:szCs w:val="22"/>
          <w:lang w:val="sr-Latn-ME"/>
        </w:rPr>
        <w:t xml:space="preserve"> trakta.</w:t>
      </w:r>
    </w:p>
    <w:p w14:paraId="4F1B64E7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68FAC4B6" w14:textId="77777777" w:rsidR="00986E21" w:rsidRPr="00491E0E" w:rsidRDefault="00070A10" w:rsidP="00753B1E">
      <w:pPr>
        <w:pStyle w:val="Default"/>
        <w:jc w:val="both"/>
        <w:rPr>
          <w:i/>
          <w:color w:val="auto"/>
          <w:sz w:val="22"/>
          <w:szCs w:val="22"/>
          <w:u w:val="single"/>
          <w:lang w:val="sr-Latn-ME"/>
        </w:rPr>
      </w:pPr>
      <w:proofErr w:type="spellStart"/>
      <w:r w:rsidRPr="00491E0E">
        <w:rPr>
          <w:i/>
          <w:color w:val="auto"/>
          <w:sz w:val="22"/>
          <w:szCs w:val="22"/>
          <w:u w:val="single"/>
          <w:lang w:val="sr-Latn-ME"/>
        </w:rPr>
        <w:t>Gastrični</w:t>
      </w:r>
      <w:proofErr w:type="spellEnd"/>
      <w:r w:rsidRPr="00491E0E">
        <w:rPr>
          <w:i/>
          <w:color w:val="auto"/>
          <w:sz w:val="22"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color w:val="auto"/>
          <w:sz w:val="22"/>
          <w:szCs w:val="22"/>
          <w:u w:val="single"/>
          <w:lang w:val="sr-Latn-ME"/>
        </w:rPr>
        <w:t>malignitet</w:t>
      </w:r>
      <w:proofErr w:type="spellEnd"/>
      <w:r w:rsidRPr="00491E0E">
        <w:rPr>
          <w:i/>
          <w:color w:val="auto"/>
          <w:sz w:val="22"/>
          <w:szCs w:val="22"/>
          <w:u w:val="single"/>
          <w:lang w:val="sr-Latn-ME"/>
        </w:rPr>
        <w:t xml:space="preserve"> </w:t>
      </w:r>
    </w:p>
    <w:p w14:paraId="77596F4D" w14:textId="77777777" w:rsidR="00986E21" w:rsidRPr="00491E0E" w:rsidRDefault="00070A10" w:rsidP="00753B1E">
      <w:pPr>
        <w:pStyle w:val="Default"/>
        <w:jc w:val="both"/>
        <w:rPr>
          <w:color w:val="auto"/>
          <w:sz w:val="22"/>
          <w:szCs w:val="22"/>
          <w:lang w:val="sr-Latn-ME"/>
        </w:rPr>
      </w:pPr>
      <w:proofErr w:type="spellStart"/>
      <w:r w:rsidRPr="00491E0E">
        <w:rPr>
          <w:color w:val="auto"/>
          <w:sz w:val="22"/>
          <w:szCs w:val="22"/>
          <w:lang w:val="sr-Latn-ME"/>
        </w:rPr>
        <w:t>Simptomatski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odgovor na terapiju </w:t>
      </w:r>
      <w:proofErr w:type="spellStart"/>
      <w:r w:rsidRPr="00491E0E">
        <w:rPr>
          <w:color w:val="auto"/>
          <w:sz w:val="22"/>
          <w:szCs w:val="22"/>
          <w:lang w:val="sr-Latn-ME"/>
        </w:rPr>
        <w:t>pantoprazolom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može da maskira simptome </w:t>
      </w:r>
      <w:proofErr w:type="spellStart"/>
      <w:r w:rsidRPr="00491E0E">
        <w:rPr>
          <w:color w:val="auto"/>
          <w:sz w:val="22"/>
          <w:szCs w:val="22"/>
          <w:lang w:val="sr-Latn-ME"/>
        </w:rPr>
        <w:t>gastričnog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</w:t>
      </w:r>
      <w:proofErr w:type="spellStart"/>
      <w:r w:rsidRPr="00491E0E">
        <w:rPr>
          <w:color w:val="auto"/>
          <w:sz w:val="22"/>
          <w:szCs w:val="22"/>
          <w:lang w:val="sr-Latn-ME"/>
        </w:rPr>
        <w:t>maligniteta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i može da odloži postavljanje dijagnoze. U prisustvu bilo kojih simptoma upozorenja (npr. značajan, neželjeni gubitak tjelesne mase, ponavljano povraćanje, </w:t>
      </w:r>
      <w:proofErr w:type="spellStart"/>
      <w:r w:rsidRPr="00491E0E">
        <w:rPr>
          <w:color w:val="auto"/>
          <w:sz w:val="22"/>
          <w:szCs w:val="22"/>
          <w:lang w:val="sr-Latn-ME"/>
        </w:rPr>
        <w:t>disfagija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, </w:t>
      </w:r>
      <w:proofErr w:type="spellStart"/>
      <w:r w:rsidRPr="00491E0E">
        <w:rPr>
          <w:color w:val="auto"/>
          <w:sz w:val="22"/>
          <w:szCs w:val="22"/>
          <w:lang w:val="sr-Latn-ME"/>
        </w:rPr>
        <w:t>hematemeza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, anemija ili </w:t>
      </w:r>
      <w:proofErr w:type="spellStart"/>
      <w:r w:rsidRPr="00491E0E">
        <w:rPr>
          <w:color w:val="auto"/>
          <w:sz w:val="22"/>
          <w:szCs w:val="22"/>
          <w:lang w:val="sr-Latn-ME"/>
        </w:rPr>
        <w:t>melena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) i u slučaju sumnje na </w:t>
      </w:r>
      <w:proofErr w:type="spellStart"/>
      <w:r w:rsidRPr="00491E0E">
        <w:rPr>
          <w:color w:val="auto"/>
          <w:sz w:val="22"/>
          <w:szCs w:val="22"/>
          <w:lang w:val="sr-Latn-ME"/>
        </w:rPr>
        <w:t>gastrični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</w:t>
      </w:r>
      <w:proofErr w:type="spellStart"/>
      <w:r w:rsidRPr="00491E0E">
        <w:rPr>
          <w:color w:val="auto"/>
          <w:sz w:val="22"/>
          <w:szCs w:val="22"/>
          <w:lang w:val="sr-Latn-ME"/>
        </w:rPr>
        <w:t>ulkus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ili njegovo prisustvo, potrebno je isključiti </w:t>
      </w:r>
      <w:proofErr w:type="spellStart"/>
      <w:r w:rsidRPr="00491E0E">
        <w:rPr>
          <w:color w:val="auto"/>
          <w:sz w:val="22"/>
          <w:szCs w:val="22"/>
          <w:lang w:val="sr-Latn-ME"/>
        </w:rPr>
        <w:t>malignitet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. </w:t>
      </w:r>
    </w:p>
    <w:p w14:paraId="3D0FE079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25235368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Ako uprkos adekvatnoj terapiji simptomi i dalje </w:t>
      </w:r>
      <w:proofErr w:type="spellStart"/>
      <w:r w:rsidRPr="00491E0E">
        <w:rPr>
          <w:szCs w:val="22"/>
          <w:lang w:val="sr-Latn-ME"/>
        </w:rPr>
        <w:t>perzistiraju</w:t>
      </w:r>
      <w:proofErr w:type="spellEnd"/>
      <w:r w:rsidRPr="00491E0E">
        <w:rPr>
          <w:szCs w:val="22"/>
          <w:lang w:val="sr-Latn-ME"/>
        </w:rPr>
        <w:t>, treba uzeti u obzir sprovođenje daljih ispitivanja.</w:t>
      </w:r>
    </w:p>
    <w:p w14:paraId="57438144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53C2E84A" w14:textId="77777777" w:rsidR="00986E21" w:rsidRPr="00491E0E" w:rsidRDefault="00070A10" w:rsidP="00753B1E">
      <w:pPr>
        <w:pStyle w:val="Default"/>
        <w:jc w:val="both"/>
        <w:rPr>
          <w:i/>
          <w:color w:val="auto"/>
          <w:sz w:val="22"/>
          <w:szCs w:val="22"/>
          <w:u w:val="single"/>
          <w:lang w:val="sr-Latn-ME"/>
        </w:rPr>
      </w:pPr>
      <w:r w:rsidRPr="00491E0E">
        <w:rPr>
          <w:i/>
          <w:color w:val="auto"/>
          <w:sz w:val="22"/>
          <w:szCs w:val="22"/>
          <w:u w:val="single"/>
          <w:lang w:val="sr-Latn-ME"/>
        </w:rPr>
        <w:t xml:space="preserve">Istovremena primjena sa </w:t>
      </w:r>
      <w:proofErr w:type="spellStart"/>
      <w:r w:rsidRPr="00491E0E">
        <w:rPr>
          <w:i/>
          <w:color w:val="auto"/>
          <w:sz w:val="22"/>
          <w:szCs w:val="22"/>
          <w:u w:val="single"/>
          <w:lang w:val="sr-Latn-ME"/>
        </w:rPr>
        <w:t>inhibitorima</w:t>
      </w:r>
      <w:proofErr w:type="spellEnd"/>
      <w:r w:rsidRPr="00491E0E">
        <w:rPr>
          <w:i/>
          <w:color w:val="auto"/>
          <w:sz w:val="22"/>
          <w:szCs w:val="22"/>
          <w:u w:val="single"/>
          <w:lang w:val="sr-Latn-ME"/>
        </w:rPr>
        <w:t xml:space="preserve"> HIV </w:t>
      </w:r>
      <w:proofErr w:type="spellStart"/>
      <w:r w:rsidRPr="00491E0E">
        <w:rPr>
          <w:i/>
          <w:color w:val="auto"/>
          <w:sz w:val="22"/>
          <w:szCs w:val="22"/>
          <w:u w:val="single"/>
          <w:lang w:val="sr-Latn-ME"/>
        </w:rPr>
        <w:t>proteaze</w:t>
      </w:r>
      <w:proofErr w:type="spellEnd"/>
      <w:r w:rsidRPr="00491E0E">
        <w:rPr>
          <w:i/>
          <w:color w:val="auto"/>
          <w:sz w:val="22"/>
          <w:szCs w:val="22"/>
          <w:u w:val="single"/>
          <w:lang w:val="sr-Latn-ME"/>
        </w:rPr>
        <w:t xml:space="preserve"> </w:t>
      </w:r>
    </w:p>
    <w:p w14:paraId="77564FDF" w14:textId="52391226" w:rsidR="00986E21" w:rsidRPr="00491E0E" w:rsidRDefault="00070A10" w:rsidP="00753B1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491E0E">
        <w:rPr>
          <w:color w:val="auto"/>
          <w:sz w:val="22"/>
          <w:szCs w:val="22"/>
          <w:lang w:val="sr-Latn-ME"/>
        </w:rPr>
        <w:t xml:space="preserve">Ne preporučuje se istovremena primjena </w:t>
      </w:r>
      <w:proofErr w:type="spellStart"/>
      <w:r w:rsidRPr="00491E0E">
        <w:rPr>
          <w:color w:val="auto"/>
          <w:sz w:val="22"/>
          <w:szCs w:val="22"/>
          <w:lang w:val="sr-Latn-ME"/>
        </w:rPr>
        <w:t>inhibitora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protonske pumpe sa </w:t>
      </w:r>
      <w:proofErr w:type="spellStart"/>
      <w:r w:rsidRPr="00491E0E">
        <w:rPr>
          <w:color w:val="auto"/>
          <w:sz w:val="22"/>
          <w:szCs w:val="22"/>
          <w:lang w:val="sr-Latn-ME"/>
        </w:rPr>
        <w:t>inhibitorima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HIV </w:t>
      </w:r>
      <w:proofErr w:type="spellStart"/>
      <w:r w:rsidRPr="00491E0E">
        <w:rPr>
          <w:color w:val="auto"/>
          <w:sz w:val="22"/>
          <w:szCs w:val="22"/>
          <w:lang w:val="sr-Latn-ME"/>
        </w:rPr>
        <w:t>proteaze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, čija resorpcija zavisi od </w:t>
      </w:r>
      <w:proofErr w:type="spellStart"/>
      <w:r w:rsidRPr="00491E0E">
        <w:rPr>
          <w:color w:val="auto"/>
          <w:sz w:val="22"/>
          <w:szCs w:val="22"/>
          <w:lang w:val="sr-Latn-ME"/>
        </w:rPr>
        <w:t>pH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vrijednosti u želucu, kao što je </w:t>
      </w:r>
      <w:proofErr w:type="spellStart"/>
      <w:r w:rsidRPr="00491E0E">
        <w:rPr>
          <w:color w:val="auto"/>
          <w:sz w:val="22"/>
          <w:szCs w:val="22"/>
          <w:lang w:val="sr-Latn-ME"/>
        </w:rPr>
        <w:t>atazanavir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, jer može doći do značajnog smanjenja </w:t>
      </w:r>
      <w:proofErr w:type="spellStart"/>
      <w:r w:rsidRPr="00491E0E">
        <w:rPr>
          <w:color w:val="auto"/>
          <w:sz w:val="22"/>
          <w:szCs w:val="22"/>
          <w:lang w:val="sr-Latn-ME"/>
        </w:rPr>
        <w:t>bioraspoloživosti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ovih ljekova (vidjeti dio 4.5).</w:t>
      </w:r>
    </w:p>
    <w:p w14:paraId="45431AEB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A6C7B6B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i/>
          <w:iCs/>
          <w:szCs w:val="22"/>
          <w:u w:val="single"/>
          <w:lang w:val="sr-Latn-ME"/>
        </w:rPr>
        <w:t>Uticaj na resorpciju vitamina B12</w:t>
      </w:r>
    </w:p>
    <w:p w14:paraId="78956BA4" w14:textId="77777777" w:rsidR="00986E21" w:rsidRPr="00491E0E" w:rsidRDefault="00070A10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, kao i drugi </w:t>
      </w:r>
      <w:proofErr w:type="spellStart"/>
      <w:r w:rsidRPr="00491E0E">
        <w:rPr>
          <w:szCs w:val="22"/>
          <w:lang w:val="sr-Latn-ME"/>
        </w:rPr>
        <w:t>blokatori</w:t>
      </w:r>
      <w:proofErr w:type="spellEnd"/>
      <w:r w:rsidRPr="00491E0E">
        <w:rPr>
          <w:szCs w:val="22"/>
          <w:lang w:val="sr-Latn-ME"/>
        </w:rPr>
        <w:t xml:space="preserve"> stvaranja želudačne kiseline, može dovesti do smanjenja resorpcije vitamina B12 (</w:t>
      </w:r>
      <w:proofErr w:type="spellStart"/>
      <w:r w:rsidRPr="00491E0E">
        <w:rPr>
          <w:szCs w:val="22"/>
          <w:lang w:val="sr-Latn-ME"/>
        </w:rPr>
        <w:t>cijanokobalamina</w:t>
      </w:r>
      <w:proofErr w:type="spellEnd"/>
      <w:r w:rsidRPr="00491E0E">
        <w:rPr>
          <w:szCs w:val="22"/>
          <w:lang w:val="sr-Latn-ME"/>
        </w:rPr>
        <w:t xml:space="preserve">) kao posljedice </w:t>
      </w:r>
      <w:proofErr w:type="spellStart"/>
      <w:r w:rsidRPr="00491E0E">
        <w:rPr>
          <w:szCs w:val="22"/>
          <w:lang w:val="sr-Latn-ME"/>
        </w:rPr>
        <w:t>hipo</w:t>
      </w:r>
      <w:proofErr w:type="spellEnd"/>
      <w:r w:rsidRPr="00491E0E">
        <w:rPr>
          <w:szCs w:val="22"/>
          <w:lang w:val="sr-Latn-ME"/>
        </w:rPr>
        <w:t xml:space="preserve">-ili </w:t>
      </w:r>
      <w:proofErr w:type="spellStart"/>
      <w:r w:rsidRPr="00491E0E">
        <w:rPr>
          <w:szCs w:val="22"/>
          <w:lang w:val="sr-Latn-ME"/>
        </w:rPr>
        <w:t>ahlorhidrije</w:t>
      </w:r>
      <w:proofErr w:type="spellEnd"/>
      <w:r w:rsidRPr="00491E0E">
        <w:rPr>
          <w:szCs w:val="22"/>
          <w:lang w:val="sr-Latn-ME"/>
        </w:rPr>
        <w:t xml:space="preserve">. Ovo treba uzeti u obzir naročito tokom dugotrajne terapije kod pacijenata sa smanjenim rezervama vitamina B12 ili kod pacijenata koji imaju posebne faktore rizika za nastanak </w:t>
      </w:r>
      <w:proofErr w:type="spellStart"/>
      <w:r w:rsidRPr="00491E0E">
        <w:rPr>
          <w:szCs w:val="22"/>
          <w:lang w:val="sr-Latn-ME"/>
        </w:rPr>
        <w:t>malapsorpcije</w:t>
      </w:r>
      <w:proofErr w:type="spellEnd"/>
      <w:r w:rsidRPr="00491E0E">
        <w:rPr>
          <w:szCs w:val="22"/>
          <w:lang w:val="sr-Latn-ME"/>
        </w:rPr>
        <w:t xml:space="preserve"> vitamina B12 ili ako se pojave odgovarajući klinički simptomi.</w:t>
      </w:r>
    </w:p>
    <w:p w14:paraId="174F66A5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5C21895A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i/>
          <w:iCs/>
          <w:szCs w:val="22"/>
          <w:u w:val="single"/>
          <w:lang w:val="sr-Latn-ME"/>
        </w:rPr>
        <w:t>Dugotrajna terapija</w:t>
      </w:r>
    </w:p>
    <w:p w14:paraId="2F3A628D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Za vrijeme dugotrajne terapije, naročito u trajanju koje prevazilazi period od 1 godine, pacijente treba držati pod stalnim nadzorom.</w:t>
      </w:r>
    </w:p>
    <w:p w14:paraId="6DE38267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C0E98B0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i/>
          <w:iCs/>
          <w:szCs w:val="22"/>
          <w:u w:val="single"/>
          <w:lang w:val="sr-Latn-ME"/>
        </w:rPr>
        <w:t xml:space="preserve">Gastrointestinalne </w:t>
      </w:r>
      <w:proofErr w:type="spellStart"/>
      <w:r w:rsidRPr="00491E0E">
        <w:rPr>
          <w:i/>
          <w:iCs/>
          <w:szCs w:val="22"/>
          <w:u w:val="single"/>
          <w:lang w:val="sr-Latn-ME"/>
        </w:rPr>
        <w:t>bakterijske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infekcije</w:t>
      </w:r>
    </w:p>
    <w:p w14:paraId="2F0C824C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, kao i svi </w:t>
      </w:r>
      <w:proofErr w:type="spellStart"/>
      <w:r w:rsidRPr="00491E0E">
        <w:rPr>
          <w:szCs w:val="22"/>
          <w:lang w:val="sr-Latn-ME"/>
        </w:rPr>
        <w:t>inhibitori</w:t>
      </w:r>
      <w:proofErr w:type="spellEnd"/>
      <w:r w:rsidRPr="00491E0E">
        <w:rPr>
          <w:szCs w:val="22"/>
          <w:lang w:val="sr-Latn-ME"/>
        </w:rPr>
        <w:t xml:space="preserve"> protonske pumpe (IPP), može dovesti do povećanja broja bakterija koje su normalno prisutne u gornjim partijama gastrointestinalnog trakta. Terapija </w:t>
      </w:r>
      <w:proofErr w:type="spellStart"/>
      <w:r w:rsidRPr="00491E0E">
        <w:rPr>
          <w:szCs w:val="22"/>
          <w:lang w:val="sr-Latn-ME"/>
        </w:rPr>
        <w:t>pantoprazolom</w:t>
      </w:r>
      <w:proofErr w:type="spellEnd"/>
      <w:r w:rsidRPr="00491E0E">
        <w:rPr>
          <w:szCs w:val="22"/>
          <w:lang w:val="sr-Latn-ME"/>
        </w:rPr>
        <w:t xml:space="preserve"> može dovesti do blagog povećanja rizika od gastrointestinalne infekcije, kao što su infekcije bakterijama </w:t>
      </w:r>
      <w:proofErr w:type="spellStart"/>
      <w:r w:rsidRPr="00491E0E">
        <w:rPr>
          <w:i/>
          <w:iCs/>
          <w:szCs w:val="22"/>
          <w:lang w:val="sr-Latn-ME"/>
        </w:rPr>
        <w:t>Salmonella</w:t>
      </w:r>
      <w:proofErr w:type="spellEnd"/>
      <w:r w:rsidRPr="00491E0E">
        <w:rPr>
          <w:i/>
          <w:iCs/>
          <w:szCs w:val="22"/>
          <w:lang w:val="sr-Latn-ME"/>
        </w:rPr>
        <w:t xml:space="preserve">, </w:t>
      </w:r>
      <w:proofErr w:type="spellStart"/>
      <w:r w:rsidRPr="00491E0E">
        <w:rPr>
          <w:i/>
          <w:iCs/>
          <w:szCs w:val="22"/>
          <w:lang w:val="sr-Latn-ME"/>
        </w:rPr>
        <w:t>Campylobacter</w:t>
      </w:r>
      <w:proofErr w:type="spellEnd"/>
      <w:r w:rsidRPr="00491E0E">
        <w:rPr>
          <w:i/>
          <w:iCs/>
          <w:szCs w:val="22"/>
          <w:lang w:val="sr-Latn-ME"/>
        </w:rPr>
        <w:t xml:space="preserve"> </w:t>
      </w:r>
      <w:r w:rsidRPr="00491E0E">
        <w:rPr>
          <w:iCs/>
          <w:szCs w:val="22"/>
          <w:lang w:val="sr-Latn-ME"/>
        </w:rPr>
        <w:t xml:space="preserve">i </w:t>
      </w:r>
      <w:r w:rsidRPr="00491E0E">
        <w:rPr>
          <w:i/>
          <w:iCs/>
          <w:szCs w:val="22"/>
          <w:lang w:val="sr-Latn-ME"/>
        </w:rPr>
        <w:t xml:space="preserve">C. </w:t>
      </w:r>
      <w:proofErr w:type="spellStart"/>
      <w:r w:rsidRPr="00491E0E">
        <w:rPr>
          <w:i/>
          <w:iCs/>
          <w:szCs w:val="22"/>
          <w:lang w:val="sr-Latn-ME"/>
        </w:rPr>
        <w:t>difficile</w:t>
      </w:r>
      <w:proofErr w:type="spellEnd"/>
      <w:r w:rsidRPr="00491E0E">
        <w:rPr>
          <w:szCs w:val="22"/>
          <w:lang w:val="sr-Latn-ME"/>
        </w:rPr>
        <w:t>.</w:t>
      </w:r>
    </w:p>
    <w:p w14:paraId="0DEF5FC6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339F151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proofErr w:type="spellStart"/>
      <w:r w:rsidRPr="00491E0E">
        <w:rPr>
          <w:i/>
          <w:iCs/>
          <w:szCs w:val="22"/>
          <w:u w:val="single"/>
          <w:lang w:val="sr-Latn-ME"/>
        </w:rPr>
        <w:t>Hipomagnez</w:t>
      </w:r>
      <w:r w:rsidR="004D4567" w:rsidRPr="00491E0E">
        <w:rPr>
          <w:i/>
          <w:iCs/>
          <w:szCs w:val="22"/>
          <w:u w:val="single"/>
          <w:lang w:val="sr-Latn-ME"/>
        </w:rPr>
        <w:t>ij</w:t>
      </w:r>
      <w:r w:rsidRPr="00491E0E">
        <w:rPr>
          <w:i/>
          <w:iCs/>
          <w:szCs w:val="22"/>
          <w:u w:val="single"/>
          <w:lang w:val="sr-Latn-ME"/>
        </w:rPr>
        <w:t>emija</w:t>
      </w:r>
      <w:proofErr w:type="spellEnd"/>
    </w:p>
    <w:p w14:paraId="76C268C5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Kod pacijenata koji su liječeni </w:t>
      </w:r>
      <w:proofErr w:type="spellStart"/>
      <w:r w:rsidRPr="00491E0E">
        <w:rPr>
          <w:szCs w:val="22"/>
          <w:lang w:val="sr-Latn-ME"/>
        </w:rPr>
        <w:t>inhibitorima</w:t>
      </w:r>
      <w:proofErr w:type="spellEnd"/>
      <w:r w:rsidRPr="00491E0E">
        <w:rPr>
          <w:szCs w:val="22"/>
          <w:lang w:val="sr-Latn-ME"/>
        </w:rPr>
        <w:t xml:space="preserve"> protonske pumpe (IPP), kao što je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, tokom najmanje tri mjeseca, a u većini slučajeva tokom godinu dana, prijavljena je teška </w:t>
      </w:r>
      <w:proofErr w:type="spellStart"/>
      <w:r w:rsidRPr="00491E0E">
        <w:rPr>
          <w:szCs w:val="22"/>
          <w:lang w:val="sr-Latn-ME"/>
        </w:rPr>
        <w:t>hipomagnez</w:t>
      </w:r>
      <w:r w:rsidR="004D4567" w:rsidRPr="00491E0E">
        <w:rPr>
          <w:szCs w:val="22"/>
          <w:lang w:val="sr-Latn-ME"/>
        </w:rPr>
        <w:t>ij</w:t>
      </w:r>
      <w:r w:rsidRPr="00491E0E">
        <w:rPr>
          <w:szCs w:val="22"/>
          <w:lang w:val="sr-Latn-ME"/>
        </w:rPr>
        <w:t>emija</w:t>
      </w:r>
      <w:proofErr w:type="spellEnd"/>
      <w:r w:rsidRPr="00491E0E">
        <w:rPr>
          <w:szCs w:val="22"/>
          <w:lang w:val="sr-Latn-ME"/>
        </w:rPr>
        <w:t xml:space="preserve">. Mogu se javiti ozbiljne manifestacije </w:t>
      </w:r>
      <w:proofErr w:type="spellStart"/>
      <w:r w:rsidRPr="00491E0E">
        <w:rPr>
          <w:szCs w:val="22"/>
          <w:lang w:val="sr-Latn-ME"/>
        </w:rPr>
        <w:t>hipomagnez</w:t>
      </w:r>
      <w:r w:rsidR="004D4567" w:rsidRPr="00491E0E">
        <w:rPr>
          <w:szCs w:val="22"/>
          <w:lang w:val="sr-Latn-ME"/>
        </w:rPr>
        <w:t>ij</w:t>
      </w:r>
      <w:r w:rsidRPr="00491E0E">
        <w:rPr>
          <w:szCs w:val="22"/>
          <w:lang w:val="sr-Latn-ME"/>
        </w:rPr>
        <w:t>emije</w:t>
      </w:r>
      <w:proofErr w:type="spellEnd"/>
      <w:r w:rsidRPr="00491E0E">
        <w:rPr>
          <w:szCs w:val="22"/>
          <w:lang w:val="sr-Latn-ME"/>
        </w:rPr>
        <w:t xml:space="preserve">, kao što su umor, </w:t>
      </w:r>
      <w:proofErr w:type="spellStart"/>
      <w:r w:rsidRPr="00491E0E">
        <w:rPr>
          <w:szCs w:val="22"/>
          <w:lang w:val="sr-Latn-ME"/>
        </w:rPr>
        <w:t>tetanija</w:t>
      </w:r>
      <w:proofErr w:type="spellEnd"/>
      <w:r w:rsidRPr="00491E0E">
        <w:rPr>
          <w:szCs w:val="22"/>
          <w:lang w:val="sr-Latn-ME"/>
        </w:rPr>
        <w:t xml:space="preserve">, delirijum, konvulzije, vrtoglavica i </w:t>
      </w:r>
      <w:proofErr w:type="spellStart"/>
      <w:r w:rsidRPr="00491E0E">
        <w:rPr>
          <w:szCs w:val="22"/>
          <w:lang w:val="sr-Latn-ME"/>
        </w:rPr>
        <w:t>ventrikularna</w:t>
      </w:r>
      <w:proofErr w:type="spellEnd"/>
      <w:r w:rsidRPr="00491E0E">
        <w:rPr>
          <w:szCs w:val="22"/>
          <w:lang w:val="sr-Latn-ME"/>
        </w:rPr>
        <w:t xml:space="preserve"> aritmija, ali one mogu početi neprimjetno i previdjeti se. </w:t>
      </w:r>
      <w:proofErr w:type="spellStart"/>
      <w:r w:rsidRPr="00491E0E">
        <w:rPr>
          <w:szCs w:val="22"/>
          <w:lang w:val="sr-Latn-ME"/>
        </w:rPr>
        <w:t>Hipomagnez</w:t>
      </w:r>
      <w:r w:rsidR="004D4567" w:rsidRPr="00491E0E">
        <w:rPr>
          <w:szCs w:val="22"/>
          <w:lang w:val="sr-Latn-ME"/>
        </w:rPr>
        <w:t>ij</w:t>
      </w:r>
      <w:r w:rsidRPr="00491E0E">
        <w:rPr>
          <w:szCs w:val="22"/>
          <w:lang w:val="sr-Latn-ME"/>
        </w:rPr>
        <w:t>emija</w:t>
      </w:r>
      <w:proofErr w:type="spellEnd"/>
      <w:r w:rsidRPr="00491E0E">
        <w:rPr>
          <w:szCs w:val="22"/>
          <w:lang w:val="sr-Latn-ME"/>
        </w:rPr>
        <w:t xml:space="preserve"> može dovesti do </w:t>
      </w:r>
      <w:proofErr w:type="spellStart"/>
      <w:r w:rsidRPr="00491E0E">
        <w:rPr>
          <w:szCs w:val="22"/>
          <w:lang w:val="sr-Latn-ME"/>
        </w:rPr>
        <w:t>hipokalc</w:t>
      </w:r>
      <w:r w:rsidR="004D4567" w:rsidRPr="00491E0E">
        <w:rPr>
          <w:szCs w:val="22"/>
          <w:lang w:val="sr-Latn-ME"/>
        </w:rPr>
        <w:t>ij</w:t>
      </w:r>
      <w:r w:rsidRPr="00491E0E">
        <w:rPr>
          <w:szCs w:val="22"/>
          <w:lang w:val="sr-Latn-ME"/>
        </w:rPr>
        <w:t>emije</w:t>
      </w:r>
      <w:proofErr w:type="spellEnd"/>
      <w:r w:rsidRPr="00491E0E">
        <w:rPr>
          <w:szCs w:val="22"/>
          <w:lang w:val="sr-Latn-ME"/>
        </w:rPr>
        <w:t xml:space="preserve"> i/ili </w:t>
      </w:r>
      <w:proofErr w:type="spellStart"/>
      <w:r w:rsidRPr="00491E0E">
        <w:rPr>
          <w:szCs w:val="22"/>
          <w:lang w:val="sr-Latn-ME"/>
        </w:rPr>
        <w:t>hipokalijemije</w:t>
      </w:r>
      <w:proofErr w:type="spellEnd"/>
      <w:r w:rsidRPr="00491E0E">
        <w:rPr>
          <w:szCs w:val="22"/>
          <w:lang w:val="sr-Latn-ME"/>
        </w:rPr>
        <w:t xml:space="preserve"> (vidjeti dio 4.8). Kod većine pacijenata, </w:t>
      </w:r>
      <w:proofErr w:type="spellStart"/>
      <w:r w:rsidRPr="00491E0E">
        <w:rPr>
          <w:szCs w:val="22"/>
          <w:lang w:val="sr-Latn-ME"/>
        </w:rPr>
        <w:t>hipomagnez</w:t>
      </w:r>
      <w:r w:rsidR="004D4567" w:rsidRPr="00491E0E">
        <w:rPr>
          <w:szCs w:val="22"/>
          <w:lang w:val="sr-Latn-ME"/>
        </w:rPr>
        <w:t>ij</w:t>
      </w:r>
      <w:r w:rsidRPr="00491E0E">
        <w:rPr>
          <w:szCs w:val="22"/>
          <w:lang w:val="sr-Latn-ME"/>
        </w:rPr>
        <w:t>emija</w:t>
      </w:r>
      <w:proofErr w:type="spellEnd"/>
      <w:r w:rsidRPr="00491E0E">
        <w:rPr>
          <w:szCs w:val="22"/>
          <w:lang w:val="sr-Latn-ME"/>
        </w:rPr>
        <w:t xml:space="preserve"> (i </w:t>
      </w:r>
      <w:proofErr w:type="spellStart"/>
      <w:r w:rsidRPr="00491E0E">
        <w:rPr>
          <w:szCs w:val="22"/>
          <w:lang w:val="sr-Latn-ME"/>
        </w:rPr>
        <w:t>hipomagnez</w:t>
      </w:r>
      <w:r w:rsidR="004D4567" w:rsidRPr="00491E0E">
        <w:rPr>
          <w:szCs w:val="22"/>
          <w:lang w:val="sr-Latn-ME"/>
        </w:rPr>
        <w:t>ij</w:t>
      </w:r>
      <w:r w:rsidRPr="00491E0E">
        <w:rPr>
          <w:szCs w:val="22"/>
          <w:lang w:val="sr-Latn-ME"/>
        </w:rPr>
        <w:t>emija</w:t>
      </w:r>
      <w:proofErr w:type="spellEnd"/>
      <w:r w:rsidRPr="00491E0E">
        <w:rPr>
          <w:szCs w:val="22"/>
          <w:lang w:val="sr-Latn-ME"/>
        </w:rPr>
        <w:t xml:space="preserve"> udružena sa </w:t>
      </w:r>
      <w:proofErr w:type="spellStart"/>
      <w:r w:rsidRPr="00491E0E">
        <w:rPr>
          <w:szCs w:val="22"/>
          <w:lang w:val="sr-Latn-ME"/>
        </w:rPr>
        <w:t>hipokalc</w:t>
      </w:r>
      <w:r w:rsidR="004D4567" w:rsidRPr="00491E0E">
        <w:rPr>
          <w:szCs w:val="22"/>
          <w:lang w:val="sr-Latn-ME"/>
        </w:rPr>
        <w:t>ij</w:t>
      </w:r>
      <w:r w:rsidRPr="00491E0E">
        <w:rPr>
          <w:szCs w:val="22"/>
          <w:lang w:val="sr-Latn-ME"/>
        </w:rPr>
        <w:t>emijom</w:t>
      </w:r>
      <w:proofErr w:type="spellEnd"/>
      <w:r w:rsidRPr="00491E0E">
        <w:rPr>
          <w:szCs w:val="22"/>
          <w:lang w:val="sr-Latn-ME"/>
        </w:rPr>
        <w:t xml:space="preserve"> i/ili </w:t>
      </w:r>
      <w:proofErr w:type="spellStart"/>
      <w:r w:rsidRPr="00491E0E">
        <w:rPr>
          <w:szCs w:val="22"/>
          <w:lang w:val="sr-Latn-ME"/>
        </w:rPr>
        <w:t>hipokalijemijom</w:t>
      </w:r>
      <w:proofErr w:type="spellEnd"/>
      <w:r w:rsidRPr="00491E0E">
        <w:rPr>
          <w:szCs w:val="22"/>
          <w:lang w:val="sr-Latn-ME"/>
        </w:rPr>
        <w:t>) se povlači nakon primjene magnezijuma i prekida terapije IPP.</w:t>
      </w:r>
    </w:p>
    <w:p w14:paraId="1B3A3FFC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24B5681C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Kada se očekuje da će pacijent biti na dugotrajnoj terapiji ili kada se IPP primjenjuju sa </w:t>
      </w:r>
      <w:proofErr w:type="spellStart"/>
      <w:r w:rsidRPr="00491E0E">
        <w:rPr>
          <w:szCs w:val="22"/>
          <w:lang w:val="sr-Latn-ME"/>
        </w:rPr>
        <w:t>digoksinom</w:t>
      </w:r>
      <w:proofErr w:type="spellEnd"/>
      <w:r w:rsidRPr="00491E0E">
        <w:rPr>
          <w:szCs w:val="22"/>
          <w:lang w:val="sr-Latn-ME"/>
        </w:rPr>
        <w:t xml:space="preserve"> ili drugim ljekovima koji mogu prouzrokovati </w:t>
      </w:r>
      <w:proofErr w:type="spellStart"/>
      <w:r w:rsidRPr="00491E0E">
        <w:rPr>
          <w:szCs w:val="22"/>
          <w:lang w:val="sr-Latn-ME"/>
        </w:rPr>
        <w:t>hipomagnez</w:t>
      </w:r>
      <w:r w:rsidR="004D4567" w:rsidRPr="00491E0E">
        <w:rPr>
          <w:szCs w:val="22"/>
          <w:lang w:val="sr-Latn-ME"/>
        </w:rPr>
        <w:t>ij</w:t>
      </w:r>
      <w:r w:rsidRPr="00491E0E">
        <w:rPr>
          <w:szCs w:val="22"/>
          <w:lang w:val="sr-Latn-ME"/>
        </w:rPr>
        <w:t>emiju</w:t>
      </w:r>
      <w:proofErr w:type="spellEnd"/>
      <w:r w:rsidRPr="00491E0E">
        <w:rPr>
          <w:szCs w:val="22"/>
          <w:lang w:val="sr-Latn-ME"/>
        </w:rPr>
        <w:t xml:space="preserve"> (npr. </w:t>
      </w:r>
      <w:proofErr w:type="spellStart"/>
      <w:r w:rsidRPr="00491E0E">
        <w:rPr>
          <w:szCs w:val="22"/>
          <w:lang w:val="sr-Latn-ME"/>
        </w:rPr>
        <w:t>diuretici</w:t>
      </w:r>
      <w:proofErr w:type="spellEnd"/>
      <w:r w:rsidRPr="00491E0E">
        <w:rPr>
          <w:szCs w:val="22"/>
          <w:lang w:val="sr-Latn-ME"/>
        </w:rPr>
        <w:t>), zdravstveni radnik treba da razmotri mjerenje nivoa magnezijuma prije početka terapije IPP i periodično u toku terapije.</w:t>
      </w:r>
    </w:p>
    <w:p w14:paraId="5E67D189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  <w:lang w:val="sr-Latn-ME"/>
        </w:rPr>
      </w:pPr>
    </w:p>
    <w:p w14:paraId="4FDE6D07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i/>
          <w:iCs/>
          <w:szCs w:val="22"/>
          <w:u w:val="single"/>
          <w:lang w:val="sr-Latn-ME"/>
        </w:rPr>
        <w:t>Frakture kostiju</w:t>
      </w:r>
    </w:p>
    <w:p w14:paraId="230993D7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Inhibitori</w:t>
      </w:r>
      <w:proofErr w:type="spellEnd"/>
      <w:r w:rsidRPr="00491E0E">
        <w:rPr>
          <w:szCs w:val="22"/>
          <w:lang w:val="sr-Latn-ME"/>
        </w:rPr>
        <w:t xml:space="preserve"> protonske pumpe (IPP), naročito ako se koriste u visokim dozama i dugoročno (više od 1 godine), mogu umjereno povećati rizik od </w:t>
      </w:r>
      <w:proofErr w:type="spellStart"/>
      <w:r w:rsidRPr="00491E0E">
        <w:rPr>
          <w:szCs w:val="22"/>
          <w:lang w:val="sr-Latn-ME"/>
        </w:rPr>
        <w:t>preloma</w:t>
      </w:r>
      <w:proofErr w:type="spellEnd"/>
      <w:r w:rsidRPr="00491E0E">
        <w:rPr>
          <w:szCs w:val="22"/>
          <w:lang w:val="sr-Latn-ME"/>
        </w:rPr>
        <w:t xml:space="preserve"> kuka, ručnog zgloba i kičme, </w:t>
      </w:r>
      <w:proofErr w:type="spellStart"/>
      <w:r w:rsidRPr="00491E0E">
        <w:rPr>
          <w:szCs w:val="22"/>
          <w:lang w:val="sr-Latn-ME"/>
        </w:rPr>
        <w:t>pretežno</w:t>
      </w:r>
      <w:proofErr w:type="spellEnd"/>
      <w:r w:rsidRPr="00491E0E">
        <w:rPr>
          <w:szCs w:val="22"/>
          <w:lang w:val="sr-Latn-ME"/>
        </w:rPr>
        <w:t xml:space="preserve"> kod starijih osoba ili u prisustvu drugih poznatih faktora rizika. Opservacione studije pokazuju da IPP mogu povećati ukupni rizik od </w:t>
      </w:r>
      <w:proofErr w:type="spellStart"/>
      <w:r w:rsidRPr="00491E0E">
        <w:rPr>
          <w:szCs w:val="22"/>
          <w:lang w:val="sr-Latn-ME"/>
        </w:rPr>
        <w:t>preloma</w:t>
      </w:r>
      <w:proofErr w:type="spellEnd"/>
      <w:r w:rsidRPr="00491E0E">
        <w:rPr>
          <w:szCs w:val="22"/>
          <w:lang w:val="sr-Latn-ME"/>
        </w:rPr>
        <w:t xml:space="preserve"> za 10-40%. Ovo povećanje može biti posljedica drugih faktora rizika. Pacijenti sa povećanim rizikom od </w:t>
      </w:r>
      <w:proofErr w:type="spellStart"/>
      <w:r w:rsidRPr="00491E0E">
        <w:rPr>
          <w:szCs w:val="22"/>
          <w:lang w:val="sr-Latn-ME"/>
        </w:rPr>
        <w:t>osteoporoze</w:t>
      </w:r>
      <w:proofErr w:type="spellEnd"/>
      <w:r w:rsidRPr="00491E0E">
        <w:rPr>
          <w:szCs w:val="22"/>
          <w:lang w:val="sr-Latn-ME"/>
        </w:rPr>
        <w:t xml:space="preserve"> treba da imaju </w:t>
      </w:r>
      <w:proofErr w:type="spellStart"/>
      <w:r w:rsidRPr="00491E0E">
        <w:rPr>
          <w:szCs w:val="22"/>
          <w:lang w:val="sr-Latn-ME"/>
        </w:rPr>
        <w:t>njegu</w:t>
      </w:r>
      <w:proofErr w:type="spellEnd"/>
      <w:r w:rsidRPr="00491E0E">
        <w:rPr>
          <w:szCs w:val="22"/>
          <w:lang w:val="sr-Latn-ME"/>
        </w:rPr>
        <w:t xml:space="preserve"> u skladu sa važećim kliničkim vodičima, kao i odgovarajući unos vitamina D i kalcijuma.</w:t>
      </w:r>
    </w:p>
    <w:p w14:paraId="417960F8" w14:textId="77777777" w:rsidR="00986E21" w:rsidRPr="00491E0E" w:rsidRDefault="00986E21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pacing w:val="-3"/>
          <w:szCs w:val="22"/>
          <w:lang w:val="sr-Latn-ME"/>
        </w:rPr>
      </w:pPr>
    </w:p>
    <w:p w14:paraId="6889D6F8" w14:textId="77777777" w:rsidR="00986E21" w:rsidRPr="00491E0E" w:rsidRDefault="00070A10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Cs/>
          <w:spacing w:val="-3"/>
          <w:szCs w:val="22"/>
          <w:lang w:val="sr-Latn-ME"/>
        </w:rPr>
      </w:pPr>
      <w:r w:rsidRPr="00491E0E">
        <w:rPr>
          <w:i/>
          <w:spacing w:val="-3"/>
          <w:szCs w:val="22"/>
          <w:u w:val="single"/>
          <w:lang w:val="sr-Latn-ME"/>
        </w:rPr>
        <w:t xml:space="preserve">Ozbiljne kožne neželjene reakcije (engl. </w:t>
      </w:r>
      <w:proofErr w:type="spellStart"/>
      <w:r w:rsidRPr="00491E0E">
        <w:rPr>
          <w:i/>
          <w:spacing w:val="-3"/>
          <w:szCs w:val="22"/>
          <w:u w:val="single"/>
          <w:lang w:val="sr-Latn-ME"/>
        </w:rPr>
        <w:t>severe</w:t>
      </w:r>
      <w:proofErr w:type="spellEnd"/>
      <w:r w:rsidRPr="00491E0E">
        <w:rPr>
          <w:i/>
          <w:spacing w:val="-3"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spacing w:val="-3"/>
          <w:szCs w:val="22"/>
          <w:u w:val="single"/>
          <w:lang w:val="sr-Latn-ME"/>
        </w:rPr>
        <w:t>cutaneous</w:t>
      </w:r>
      <w:proofErr w:type="spellEnd"/>
      <w:r w:rsidRPr="00491E0E">
        <w:rPr>
          <w:i/>
          <w:spacing w:val="-3"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spacing w:val="-3"/>
          <w:szCs w:val="22"/>
          <w:u w:val="single"/>
          <w:lang w:val="sr-Latn-ME"/>
        </w:rPr>
        <w:t>adverse</w:t>
      </w:r>
      <w:proofErr w:type="spellEnd"/>
      <w:r w:rsidRPr="00491E0E">
        <w:rPr>
          <w:i/>
          <w:spacing w:val="-3"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spacing w:val="-3"/>
          <w:szCs w:val="22"/>
          <w:u w:val="single"/>
          <w:lang w:val="sr-Latn-ME"/>
        </w:rPr>
        <w:t>reactions</w:t>
      </w:r>
      <w:proofErr w:type="spellEnd"/>
      <w:r w:rsidRPr="00491E0E">
        <w:rPr>
          <w:i/>
          <w:spacing w:val="-3"/>
          <w:szCs w:val="22"/>
          <w:u w:val="single"/>
          <w:lang w:val="sr-Latn-ME"/>
        </w:rPr>
        <w:t xml:space="preserve">, </w:t>
      </w:r>
      <w:proofErr w:type="spellStart"/>
      <w:r w:rsidRPr="00491E0E">
        <w:rPr>
          <w:i/>
          <w:spacing w:val="-3"/>
          <w:szCs w:val="22"/>
          <w:u w:val="single"/>
          <w:lang w:val="sr-Latn-ME"/>
        </w:rPr>
        <w:t>SCARs</w:t>
      </w:r>
      <w:proofErr w:type="spellEnd"/>
      <w:r w:rsidRPr="00491E0E">
        <w:rPr>
          <w:i/>
          <w:spacing w:val="-3"/>
          <w:szCs w:val="22"/>
          <w:u w:val="single"/>
          <w:lang w:val="sr-Latn-ME"/>
        </w:rPr>
        <w:t>,)</w:t>
      </w:r>
      <w:r w:rsidRPr="00491E0E">
        <w:rPr>
          <w:i/>
          <w:spacing w:val="-3"/>
          <w:szCs w:val="22"/>
          <w:u w:val="single"/>
          <w:lang w:val="sr-Latn-ME"/>
        </w:rPr>
        <w:cr/>
      </w:r>
      <w:r w:rsidRPr="00491E0E">
        <w:rPr>
          <w:iCs/>
          <w:spacing w:val="-3"/>
          <w:szCs w:val="22"/>
          <w:lang w:val="sr-Latn-ME"/>
        </w:rPr>
        <w:t>Prijavljene su teške kožne neželjene reakcije (</w:t>
      </w:r>
      <w:proofErr w:type="spellStart"/>
      <w:r w:rsidRPr="00491E0E">
        <w:rPr>
          <w:iCs/>
          <w:spacing w:val="-3"/>
          <w:szCs w:val="22"/>
          <w:lang w:val="sr-Latn-ME"/>
        </w:rPr>
        <w:t>SCARs</w:t>
      </w:r>
      <w:proofErr w:type="spellEnd"/>
      <w:r w:rsidRPr="00491E0E">
        <w:rPr>
          <w:iCs/>
          <w:spacing w:val="-3"/>
          <w:szCs w:val="22"/>
          <w:lang w:val="sr-Latn-ME"/>
        </w:rPr>
        <w:t xml:space="preserve">) nepoznate učestalosti, uključujući </w:t>
      </w:r>
      <w:proofErr w:type="spellStart"/>
      <w:r w:rsidRPr="00491E0E">
        <w:rPr>
          <w:iCs/>
          <w:spacing w:val="-3"/>
          <w:szCs w:val="22"/>
          <w:lang w:val="sr-Latn-ME"/>
        </w:rPr>
        <w:t>multiformni</w:t>
      </w:r>
      <w:proofErr w:type="spellEnd"/>
      <w:r w:rsidRPr="00491E0E">
        <w:rPr>
          <w:iCs/>
          <w:spacing w:val="-3"/>
          <w:szCs w:val="22"/>
          <w:lang w:val="sr-Latn-ME"/>
        </w:rPr>
        <w:t xml:space="preserve"> </w:t>
      </w:r>
      <w:proofErr w:type="spellStart"/>
      <w:r w:rsidRPr="00491E0E">
        <w:rPr>
          <w:iCs/>
          <w:spacing w:val="-3"/>
          <w:szCs w:val="22"/>
          <w:lang w:val="sr-Latn-ME"/>
        </w:rPr>
        <w:t>eritem</w:t>
      </w:r>
      <w:proofErr w:type="spellEnd"/>
      <w:r w:rsidRPr="00491E0E">
        <w:rPr>
          <w:iCs/>
          <w:spacing w:val="-3"/>
          <w:szCs w:val="22"/>
          <w:lang w:val="sr-Latn-ME"/>
        </w:rPr>
        <w:t xml:space="preserve">, </w:t>
      </w:r>
      <w:proofErr w:type="spellStart"/>
      <w:r w:rsidRPr="00491E0E">
        <w:rPr>
          <w:i/>
          <w:iCs/>
          <w:spacing w:val="-3"/>
          <w:szCs w:val="22"/>
          <w:lang w:val="sr-Latn-ME"/>
        </w:rPr>
        <w:t>Stevens</w:t>
      </w:r>
      <w:proofErr w:type="spellEnd"/>
      <w:r w:rsidRPr="00491E0E">
        <w:rPr>
          <w:i/>
          <w:iCs/>
          <w:spacing w:val="-3"/>
          <w:szCs w:val="22"/>
          <w:lang w:val="sr-Latn-ME"/>
        </w:rPr>
        <w:t>-</w:t>
      </w:r>
      <w:r w:rsidRPr="00491E0E">
        <w:rPr>
          <w:iCs/>
          <w:spacing w:val="-3"/>
          <w:szCs w:val="22"/>
          <w:lang w:val="sr-Latn-ME"/>
        </w:rPr>
        <w:t>Johnson</w:t>
      </w:r>
      <w:r w:rsidR="00F637C2" w:rsidRPr="00491E0E">
        <w:rPr>
          <w:iCs/>
          <w:spacing w:val="-3"/>
          <w:szCs w:val="22"/>
          <w:lang w:val="sr-Latn-ME"/>
        </w:rPr>
        <w:t>-</w:t>
      </w:r>
      <w:r w:rsidRPr="00491E0E">
        <w:rPr>
          <w:iCs/>
          <w:spacing w:val="-3"/>
          <w:szCs w:val="22"/>
          <w:lang w:val="sr-Latn-ME"/>
        </w:rPr>
        <w:t xml:space="preserve">ov sindrom (SJS), toksičnu </w:t>
      </w:r>
      <w:proofErr w:type="spellStart"/>
      <w:r w:rsidRPr="00491E0E">
        <w:rPr>
          <w:iCs/>
          <w:spacing w:val="-3"/>
          <w:szCs w:val="22"/>
          <w:lang w:val="sr-Latn-ME"/>
        </w:rPr>
        <w:t>epidermalnu</w:t>
      </w:r>
      <w:proofErr w:type="spellEnd"/>
      <w:r w:rsidRPr="00491E0E">
        <w:rPr>
          <w:iCs/>
          <w:spacing w:val="-3"/>
          <w:szCs w:val="22"/>
          <w:lang w:val="sr-Latn-ME"/>
        </w:rPr>
        <w:t xml:space="preserve"> </w:t>
      </w:r>
      <w:proofErr w:type="spellStart"/>
      <w:r w:rsidRPr="00491E0E">
        <w:rPr>
          <w:iCs/>
          <w:spacing w:val="-3"/>
          <w:szCs w:val="22"/>
          <w:lang w:val="sr-Latn-ME"/>
        </w:rPr>
        <w:t>nekrolizu</w:t>
      </w:r>
      <w:proofErr w:type="spellEnd"/>
      <w:r w:rsidRPr="00491E0E">
        <w:rPr>
          <w:iCs/>
          <w:spacing w:val="-3"/>
          <w:szCs w:val="22"/>
          <w:lang w:val="sr-Latn-ME"/>
        </w:rPr>
        <w:t xml:space="preserve"> (TEN) i reakciju na lijek praćenu </w:t>
      </w:r>
      <w:proofErr w:type="spellStart"/>
      <w:r w:rsidRPr="00491E0E">
        <w:rPr>
          <w:iCs/>
          <w:spacing w:val="-3"/>
          <w:szCs w:val="22"/>
          <w:lang w:val="sr-Latn-ME"/>
        </w:rPr>
        <w:t>eozinofilijom</w:t>
      </w:r>
      <w:proofErr w:type="spellEnd"/>
      <w:r w:rsidRPr="00491E0E">
        <w:rPr>
          <w:iCs/>
          <w:spacing w:val="-3"/>
          <w:szCs w:val="22"/>
          <w:lang w:val="sr-Latn-ME"/>
        </w:rPr>
        <w:t xml:space="preserve"> i sistemskim simptomima (</w:t>
      </w:r>
      <w:r w:rsidRPr="00491E0E">
        <w:rPr>
          <w:i/>
          <w:spacing w:val="-3"/>
          <w:szCs w:val="22"/>
          <w:lang w:val="sr-Latn-ME"/>
        </w:rPr>
        <w:t xml:space="preserve">engl. drug </w:t>
      </w:r>
      <w:proofErr w:type="spellStart"/>
      <w:r w:rsidRPr="00491E0E">
        <w:rPr>
          <w:i/>
          <w:spacing w:val="-3"/>
          <w:szCs w:val="22"/>
          <w:lang w:val="sr-Latn-ME"/>
        </w:rPr>
        <w:t>reaction</w:t>
      </w:r>
      <w:proofErr w:type="spellEnd"/>
      <w:r w:rsidRPr="00491E0E">
        <w:rPr>
          <w:i/>
          <w:spacing w:val="-3"/>
          <w:szCs w:val="22"/>
          <w:lang w:val="sr-Latn-ME"/>
        </w:rPr>
        <w:t xml:space="preserve"> </w:t>
      </w:r>
      <w:proofErr w:type="spellStart"/>
      <w:r w:rsidRPr="00491E0E">
        <w:rPr>
          <w:i/>
          <w:spacing w:val="-3"/>
          <w:szCs w:val="22"/>
          <w:lang w:val="sr-Latn-ME"/>
        </w:rPr>
        <w:t>with</w:t>
      </w:r>
      <w:proofErr w:type="spellEnd"/>
      <w:r w:rsidRPr="00491E0E">
        <w:rPr>
          <w:i/>
          <w:spacing w:val="-3"/>
          <w:szCs w:val="22"/>
          <w:lang w:val="sr-Latn-ME"/>
        </w:rPr>
        <w:t xml:space="preserve"> </w:t>
      </w:r>
      <w:proofErr w:type="spellStart"/>
      <w:r w:rsidRPr="00491E0E">
        <w:rPr>
          <w:i/>
          <w:spacing w:val="-3"/>
          <w:szCs w:val="22"/>
          <w:lang w:val="sr-Latn-ME"/>
        </w:rPr>
        <w:t>eosinophilia</w:t>
      </w:r>
      <w:proofErr w:type="spellEnd"/>
      <w:r w:rsidRPr="00491E0E">
        <w:rPr>
          <w:i/>
          <w:spacing w:val="-3"/>
          <w:szCs w:val="22"/>
          <w:lang w:val="sr-Latn-ME"/>
        </w:rPr>
        <w:t xml:space="preserve"> </w:t>
      </w:r>
      <w:proofErr w:type="spellStart"/>
      <w:r w:rsidRPr="00491E0E">
        <w:rPr>
          <w:i/>
          <w:spacing w:val="-3"/>
          <w:szCs w:val="22"/>
          <w:lang w:val="sr-Latn-ME"/>
        </w:rPr>
        <w:t>and</w:t>
      </w:r>
      <w:proofErr w:type="spellEnd"/>
      <w:r w:rsidRPr="00491E0E">
        <w:rPr>
          <w:i/>
          <w:spacing w:val="-3"/>
          <w:szCs w:val="22"/>
          <w:lang w:val="sr-Latn-ME"/>
        </w:rPr>
        <w:t xml:space="preserve"> </w:t>
      </w:r>
      <w:proofErr w:type="spellStart"/>
      <w:r w:rsidRPr="00491E0E">
        <w:rPr>
          <w:i/>
          <w:spacing w:val="-3"/>
          <w:szCs w:val="22"/>
          <w:lang w:val="sr-Latn-ME"/>
        </w:rPr>
        <w:t>systemic</w:t>
      </w:r>
      <w:proofErr w:type="spellEnd"/>
      <w:r w:rsidRPr="00491E0E">
        <w:rPr>
          <w:i/>
          <w:spacing w:val="-3"/>
          <w:szCs w:val="22"/>
          <w:lang w:val="sr-Latn-ME"/>
        </w:rPr>
        <w:t xml:space="preserve"> </w:t>
      </w:r>
      <w:proofErr w:type="spellStart"/>
      <w:r w:rsidRPr="00491E0E">
        <w:rPr>
          <w:i/>
          <w:spacing w:val="-3"/>
          <w:szCs w:val="22"/>
          <w:lang w:val="sr-Latn-ME"/>
        </w:rPr>
        <w:t>symptoms</w:t>
      </w:r>
      <w:proofErr w:type="spellEnd"/>
      <w:r w:rsidRPr="00491E0E">
        <w:rPr>
          <w:iCs/>
          <w:spacing w:val="-3"/>
          <w:szCs w:val="22"/>
          <w:lang w:val="sr-Latn-ME"/>
        </w:rPr>
        <w:t xml:space="preserve">, DRESS) povezane sa liječenjem </w:t>
      </w:r>
      <w:proofErr w:type="spellStart"/>
      <w:r w:rsidRPr="00491E0E">
        <w:rPr>
          <w:iCs/>
          <w:spacing w:val="-3"/>
          <w:szCs w:val="22"/>
          <w:lang w:val="sr-Latn-ME"/>
        </w:rPr>
        <w:t>pantoprazolom</w:t>
      </w:r>
      <w:proofErr w:type="spellEnd"/>
      <w:r w:rsidRPr="00491E0E">
        <w:rPr>
          <w:iCs/>
          <w:spacing w:val="-3"/>
          <w:szCs w:val="22"/>
          <w:lang w:val="sr-Latn-ME"/>
        </w:rPr>
        <w:t>, a koje mogu biti opasane po život ili smrtonosne (vidjeti dio 4.8.). Pacijente je potrebno savjetovati o znakovima i simptomima ovih reakcija i pažljivo pratiti moguću pojavu istih</w:t>
      </w:r>
      <w:r w:rsidR="00F637C2" w:rsidRPr="00491E0E">
        <w:rPr>
          <w:iCs/>
          <w:spacing w:val="-3"/>
          <w:szCs w:val="22"/>
          <w:lang w:val="sr-Latn-ME"/>
        </w:rPr>
        <w:t xml:space="preserve">. </w:t>
      </w:r>
      <w:r w:rsidRPr="00491E0E">
        <w:rPr>
          <w:iCs/>
          <w:spacing w:val="-3"/>
          <w:szCs w:val="22"/>
          <w:lang w:val="sr-Latn-ME"/>
        </w:rPr>
        <w:t xml:space="preserve">U slučaju pojavljivanja znakova i simptoma koji upućuju na navedene reakcije, potrebno je odmah prekinuti primjenu </w:t>
      </w:r>
      <w:proofErr w:type="spellStart"/>
      <w:r w:rsidRPr="00491E0E">
        <w:rPr>
          <w:iCs/>
          <w:spacing w:val="-3"/>
          <w:szCs w:val="22"/>
          <w:lang w:val="sr-Latn-ME"/>
        </w:rPr>
        <w:t>pantoprazola</w:t>
      </w:r>
      <w:proofErr w:type="spellEnd"/>
      <w:r w:rsidRPr="00491E0E">
        <w:rPr>
          <w:iCs/>
          <w:spacing w:val="-3"/>
          <w:szCs w:val="22"/>
          <w:lang w:val="sr-Latn-ME"/>
        </w:rPr>
        <w:t xml:space="preserve"> i razmotriti </w:t>
      </w:r>
      <w:proofErr w:type="spellStart"/>
      <w:r w:rsidRPr="00491E0E">
        <w:rPr>
          <w:iCs/>
          <w:spacing w:val="-3"/>
          <w:szCs w:val="22"/>
          <w:lang w:val="sr-Latn-ME"/>
        </w:rPr>
        <w:t>zamjenske</w:t>
      </w:r>
      <w:proofErr w:type="spellEnd"/>
      <w:r w:rsidRPr="00491E0E">
        <w:rPr>
          <w:iCs/>
          <w:spacing w:val="-3"/>
          <w:szCs w:val="22"/>
          <w:lang w:val="sr-Latn-ME"/>
        </w:rPr>
        <w:t xml:space="preserve"> terapijske opcije.</w:t>
      </w:r>
    </w:p>
    <w:p w14:paraId="0B08CFDF" w14:textId="77777777" w:rsidR="00986E21" w:rsidRPr="00491E0E" w:rsidRDefault="00986E21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pacing w:val="-3"/>
          <w:szCs w:val="22"/>
          <w:lang w:val="sr-Latn-ME"/>
        </w:rPr>
      </w:pPr>
    </w:p>
    <w:p w14:paraId="6C1B6770" w14:textId="77777777" w:rsidR="00986E21" w:rsidRPr="00491E0E" w:rsidRDefault="00070A10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/>
          <w:szCs w:val="22"/>
          <w:u w:val="single"/>
          <w:lang w:val="sr-Latn-ME"/>
        </w:rPr>
      </w:pPr>
      <w:proofErr w:type="spellStart"/>
      <w:r w:rsidRPr="00491E0E">
        <w:rPr>
          <w:i/>
          <w:szCs w:val="22"/>
          <w:u w:val="single"/>
          <w:lang w:val="sr-Latn-ME"/>
        </w:rPr>
        <w:t>Subakutni</w:t>
      </w:r>
      <w:proofErr w:type="spellEnd"/>
      <w:r w:rsidRPr="00491E0E">
        <w:rPr>
          <w:i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szCs w:val="22"/>
          <w:u w:val="single"/>
          <w:lang w:val="sr-Latn-ME"/>
        </w:rPr>
        <w:t>kutani</w:t>
      </w:r>
      <w:proofErr w:type="spellEnd"/>
      <w:r w:rsidRPr="00491E0E">
        <w:rPr>
          <w:i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szCs w:val="22"/>
          <w:u w:val="single"/>
          <w:lang w:val="sr-Latn-ME"/>
        </w:rPr>
        <w:t>lupus</w:t>
      </w:r>
      <w:proofErr w:type="spellEnd"/>
      <w:r w:rsidRPr="00491E0E">
        <w:rPr>
          <w:i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szCs w:val="22"/>
          <w:u w:val="single"/>
          <w:lang w:val="sr-Latn-ME"/>
        </w:rPr>
        <w:t>erythematosus</w:t>
      </w:r>
      <w:proofErr w:type="spellEnd"/>
      <w:r w:rsidRPr="00491E0E">
        <w:rPr>
          <w:i/>
          <w:szCs w:val="22"/>
          <w:u w:val="single"/>
          <w:lang w:val="sr-Latn-ME"/>
        </w:rPr>
        <w:t xml:space="preserve"> (SCLE)</w:t>
      </w:r>
    </w:p>
    <w:p w14:paraId="725C3430" w14:textId="77777777" w:rsidR="00986E21" w:rsidRPr="00491E0E" w:rsidRDefault="00070A10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Primjena </w:t>
      </w:r>
      <w:proofErr w:type="spellStart"/>
      <w:r w:rsidRPr="00491E0E">
        <w:rPr>
          <w:szCs w:val="22"/>
          <w:lang w:val="sr-Latn-ME"/>
        </w:rPr>
        <w:t>inhibitora</w:t>
      </w:r>
      <w:proofErr w:type="spellEnd"/>
      <w:r w:rsidRPr="00491E0E">
        <w:rPr>
          <w:szCs w:val="22"/>
          <w:lang w:val="sr-Latn-ME"/>
        </w:rPr>
        <w:t xml:space="preserve"> protonske pumpe je povezana sa veoma rijetkim slučajevima SCLE. Ukoliko se pojave </w:t>
      </w:r>
      <w:proofErr w:type="spellStart"/>
      <w:r w:rsidRPr="00491E0E">
        <w:rPr>
          <w:szCs w:val="22"/>
          <w:lang w:val="sr-Latn-ME"/>
        </w:rPr>
        <w:t>lezije</w:t>
      </w:r>
      <w:proofErr w:type="spellEnd"/>
      <w:r w:rsidRPr="00491E0E">
        <w:rPr>
          <w:szCs w:val="22"/>
          <w:lang w:val="sr-Latn-ME"/>
        </w:rPr>
        <w:t xml:space="preserve">, naročito na regijama kože izloženim sunčevim zracima, i ukoliko pojavu ovih simptoma prati i </w:t>
      </w:r>
      <w:proofErr w:type="spellStart"/>
      <w:r w:rsidRPr="00491E0E">
        <w:rPr>
          <w:szCs w:val="22"/>
          <w:lang w:val="sr-Latn-ME"/>
        </w:rPr>
        <w:t>artralgija</w:t>
      </w:r>
      <w:proofErr w:type="spellEnd"/>
      <w:r w:rsidRPr="00491E0E">
        <w:rPr>
          <w:szCs w:val="22"/>
          <w:lang w:val="sr-Latn-ME"/>
        </w:rPr>
        <w:t xml:space="preserve">, pacijent treba odmah da potraži medicinsku pomoć, dok bi ljekar trebalo da razmotri </w:t>
      </w:r>
      <w:r w:rsidRPr="00491E0E">
        <w:rPr>
          <w:szCs w:val="22"/>
          <w:lang w:val="sr-Latn-ME"/>
        </w:rPr>
        <w:lastRenderedPageBreak/>
        <w:t xml:space="preserve">prekid primjene lijeka </w:t>
      </w:r>
      <w:proofErr w:type="spellStart"/>
      <w:r w:rsidRPr="00491E0E">
        <w:rPr>
          <w:szCs w:val="22"/>
          <w:lang w:val="sr-Latn-ME"/>
        </w:rPr>
        <w:t>Nolpaza</w:t>
      </w:r>
      <w:proofErr w:type="spellEnd"/>
      <w:r w:rsidRPr="00491E0E">
        <w:rPr>
          <w:szCs w:val="22"/>
          <w:lang w:val="sr-Latn-ME"/>
        </w:rPr>
        <w:t xml:space="preserve">. SCLE nakon prethodne terapije </w:t>
      </w:r>
      <w:proofErr w:type="spellStart"/>
      <w:r w:rsidRPr="00491E0E">
        <w:rPr>
          <w:szCs w:val="22"/>
          <w:lang w:val="sr-Latn-ME"/>
        </w:rPr>
        <w:t>inhibitorima</w:t>
      </w:r>
      <w:proofErr w:type="spellEnd"/>
      <w:r w:rsidRPr="00491E0E">
        <w:rPr>
          <w:szCs w:val="22"/>
          <w:lang w:val="sr-Latn-ME"/>
        </w:rPr>
        <w:t xml:space="preserve"> protonske pumpe može povećati rizik od kasnijeg ispoljavanja SCLE prilikom primjene drugih </w:t>
      </w:r>
      <w:proofErr w:type="spellStart"/>
      <w:r w:rsidRPr="00491E0E">
        <w:rPr>
          <w:szCs w:val="22"/>
          <w:lang w:val="sr-Latn-ME"/>
        </w:rPr>
        <w:t>inhibitora</w:t>
      </w:r>
      <w:proofErr w:type="spellEnd"/>
      <w:r w:rsidRPr="00491E0E">
        <w:rPr>
          <w:szCs w:val="22"/>
          <w:lang w:val="sr-Latn-ME"/>
        </w:rPr>
        <w:t xml:space="preserve"> protonske pumpe.</w:t>
      </w:r>
    </w:p>
    <w:p w14:paraId="564B030E" w14:textId="77777777" w:rsidR="00986E21" w:rsidRPr="00491E0E" w:rsidRDefault="00986E21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</w:p>
    <w:p w14:paraId="16C12667" w14:textId="77777777" w:rsidR="00986E21" w:rsidRPr="00491E0E" w:rsidRDefault="00070A10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/>
          <w:szCs w:val="22"/>
          <w:u w:val="single"/>
          <w:lang w:val="sr-Latn-ME"/>
        </w:rPr>
      </w:pPr>
      <w:r w:rsidRPr="00491E0E">
        <w:rPr>
          <w:i/>
          <w:szCs w:val="22"/>
          <w:u w:val="single"/>
          <w:lang w:val="sr-Latn-ME"/>
        </w:rPr>
        <w:t xml:space="preserve">Interferencija sa laboratorijskim testovima </w:t>
      </w:r>
    </w:p>
    <w:p w14:paraId="0AEAE9A1" w14:textId="77777777" w:rsidR="00986E21" w:rsidRPr="00491E0E" w:rsidRDefault="00070A10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Povećana vrijednost </w:t>
      </w:r>
      <w:proofErr w:type="spellStart"/>
      <w:r w:rsidRPr="00491E0E">
        <w:rPr>
          <w:szCs w:val="22"/>
          <w:lang w:val="sr-Latn-ME"/>
        </w:rPr>
        <w:t>hromogranina</w:t>
      </w:r>
      <w:proofErr w:type="spellEnd"/>
      <w:r w:rsidRPr="00491E0E">
        <w:rPr>
          <w:szCs w:val="22"/>
          <w:lang w:val="sr-Latn-ME"/>
        </w:rPr>
        <w:t xml:space="preserve"> A (</w:t>
      </w:r>
      <w:proofErr w:type="spellStart"/>
      <w:r w:rsidRPr="00491E0E">
        <w:rPr>
          <w:szCs w:val="22"/>
          <w:lang w:val="sr-Latn-ME"/>
        </w:rPr>
        <w:t>CgA</w:t>
      </w:r>
      <w:proofErr w:type="spellEnd"/>
      <w:r w:rsidRPr="00491E0E">
        <w:rPr>
          <w:szCs w:val="22"/>
          <w:lang w:val="sr-Latn-ME"/>
        </w:rPr>
        <w:t xml:space="preserve">) može da utiče na ispitivanje prisustva </w:t>
      </w:r>
      <w:proofErr w:type="spellStart"/>
      <w:r w:rsidRPr="00491E0E">
        <w:rPr>
          <w:szCs w:val="22"/>
          <w:lang w:val="sr-Latn-ME"/>
        </w:rPr>
        <w:t>neuroendokrinih</w:t>
      </w:r>
      <w:proofErr w:type="spellEnd"/>
      <w:r w:rsidRPr="00491E0E">
        <w:rPr>
          <w:szCs w:val="22"/>
          <w:lang w:val="sr-Latn-ME"/>
        </w:rPr>
        <w:t xml:space="preserve"> tumora. Da bi se ovo izbjeglo, terapiju lijekom </w:t>
      </w:r>
      <w:proofErr w:type="spellStart"/>
      <w:r w:rsidRPr="00491E0E">
        <w:rPr>
          <w:szCs w:val="22"/>
          <w:lang w:val="sr-Latn-ME"/>
        </w:rPr>
        <w:t>Nolpaza</w:t>
      </w:r>
      <w:proofErr w:type="spellEnd"/>
      <w:r w:rsidRPr="00491E0E">
        <w:rPr>
          <w:szCs w:val="22"/>
          <w:lang w:val="sr-Latn-ME"/>
        </w:rPr>
        <w:t xml:space="preserve"> treba obustaviti najmanje 5 dana prije određivanja vrijednosti </w:t>
      </w:r>
      <w:proofErr w:type="spellStart"/>
      <w:r w:rsidRPr="00491E0E">
        <w:rPr>
          <w:szCs w:val="22"/>
          <w:lang w:val="sr-Latn-ME"/>
        </w:rPr>
        <w:t>CgA</w:t>
      </w:r>
      <w:proofErr w:type="spellEnd"/>
      <w:r w:rsidRPr="00491E0E">
        <w:rPr>
          <w:szCs w:val="22"/>
          <w:lang w:val="sr-Latn-ME"/>
        </w:rPr>
        <w:t xml:space="preserve"> (vidjeti dio 5.1). Ako se nakon početnog određivanja koncentracije </w:t>
      </w:r>
      <w:proofErr w:type="spellStart"/>
      <w:r w:rsidRPr="00491E0E">
        <w:rPr>
          <w:szCs w:val="22"/>
          <w:lang w:val="sr-Latn-ME"/>
        </w:rPr>
        <w:t>CgA</w:t>
      </w:r>
      <w:proofErr w:type="spellEnd"/>
      <w:r w:rsidRPr="00491E0E">
        <w:rPr>
          <w:szCs w:val="22"/>
          <w:lang w:val="sr-Latn-ME"/>
        </w:rPr>
        <w:t xml:space="preserve"> i </w:t>
      </w:r>
      <w:proofErr w:type="spellStart"/>
      <w:r w:rsidRPr="00491E0E">
        <w:rPr>
          <w:szCs w:val="22"/>
          <w:lang w:val="sr-Latn-ME"/>
        </w:rPr>
        <w:t>gastrina</w:t>
      </w:r>
      <w:proofErr w:type="spellEnd"/>
      <w:r w:rsidRPr="00491E0E">
        <w:rPr>
          <w:szCs w:val="22"/>
          <w:lang w:val="sr-Latn-ME"/>
        </w:rPr>
        <w:t xml:space="preserve"> ne vrate na referentne vrijednosti, potrebno je ponoviti analizu 14 dana nakon prestanka primjene </w:t>
      </w:r>
      <w:proofErr w:type="spellStart"/>
      <w:r w:rsidRPr="00491E0E">
        <w:rPr>
          <w:szCs w:val="22"/>
          <w:lang w:val="sr-Latn-ME"/>
        </w:rPr>
        <w:t>inhibitora</w:t>
      </w:r>
      <w:proofErr w:type="spellEnd"/>
      <w:r w:rsidRPr="00491E0E">
        <w:rPr>
          <w:szCs w:val="22"/>
          <w:lang w:val="sr-Latn-ME"/>
        </w:rPr>
        <w:t xml:space="preserve"> protonske pumpe.</w:t>
      </w:r>
    </w:p>
    <w:p w14:paraId="71117F68" w14:textId="77777777" w:rsidR="00986E21" w:rsidRPr="00491E0E" w:rsidRDefault="00986E21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</w:p>
    <w:p w14:paraId="4751A248" w14:textId="77777777" w:rsidR="00986E21" w:rsidRPr="00491E0E" w:rsidRDefault="00070A10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/>
          <w:szCs w:val="22"/>
          <w:u w:val="single"/>
          <w:lang w:val="sr-Latn-ME"/>
        </w:rPr>
      </w:pPr>
      <w:r w:rsidRPr="00491E0E">
        <w:rPr>
          <w:i/>
          <w:szCs w:val="22"/>
          <w:u w:val="single"/>
          <w:lang w:val="sr-Latn-ME"/>
        </w:rPr>
        <w:t>Pomoćne supstance sa potvrđenim dejstvom</w:t>
      </w:r>
    </w:p>
    <w:p w14:paraId="21CB7468" w14:textId="77777777" w:rsidR="00986E21" w:rsidRPr="00491E0E" w:rsidRDefault="00070A10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/>
          <w:szCs w:val="22"/>
          <w:lang w:val="sr-Latn-ME"/>
        </w:rPr>
      </w:pPr>
      <w:r w:rsidRPr="00491E0E">
        <w:rPr>
          <w:i/>
          <w:szCs w:val="22"/>
          <w:lang w:val="sr-Latn-ME"/>
        </w:rPr>
        <w:t xml:space="preserve">Lijek </w:t>
      </w:r>
      <w:proofErr w:type="spellStart"/>
      <w:r w:rsidRPr="00491E0E">
        <w:rPr>
          <w:i/>
          <w:szCs w:val="22"/>
          <w:lang w:val="sr-Latn-ME"/>
        </w:rPr>
        <w:t>Nolpaza</w:t>
      </w:r>
      <w:proofErr w:type="spellEnd"/>
      <w:r w:rsidRPr="00491E0E">
        <w:rPr>
          <w:i/>
          <w:szCs w:val="22"/>
          <w:lang w:val="sr-Latn-ME"/>
        </w:rPr>
        <w:t xml:space="preserve"> sadrži natrijum</w:t>
      </w:r>
    </w:p>
    <w:p w14:paraId="153D81DD" w14:textId="77777777" w:rsidR="00986E21" w:rsidRPr="00491E0E" w:rsidRDefault="00070A10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Ovaj lijek sadrži manje od 1 </w:t>
      </w:r>
      <w:proofErr w:type="spellStart"/>
      <w:r w:rsidRPr="00491E0E">
        <w:rPr>
          <w:szCs w:val="22"/>
          <w:lang w:val="sr-Latn-ME"/>
        </w:rPr>
        <w:t>mmol</w:t>
      </w:r>
      <w:proofErr w:type="spellEnd"/>
      <w:r w:rsidRPr="00491E0E">
        <w:rPr>
          <w:szCs w:val="22"/>
          <w:lang w:val="sr-Latn-ME"/>
        </w:rPr>
        <w:t xml:space="preserve"> natrijuma (23 mg) po tableti, tj. zanemarljive količine natrijuma.</w:t>
      </w:r>
    </w:p>
    <w:p w14:paraId="73ABCB15" w14:textId="77777777" w:rsidR="00986E21" w:rsidRPr="00491E0E" w:rsidRDefault="00986E21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</w:p>
    <w:p w14:paraId="209ACFA1" w14:textId="77777777" w:rsidR="00986E21" w:rsidRPr="00491E0E" w:rsidRDefault="00070A10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/>
          <w:szCs w:val="22"/>
          <w:lang w:val="sr-Latn-ME"/>
        </w:rPr>
      </w:pPr>
      <w:r w:rsidRPr="00491E0E">
        <w:rPr>
          <w:i/>
          <w:szCs w:val="22"/>
          <w:lang w:val="sr-Latn-ME"/>
        </w:rPr>
        <w:t xml:space="preserve">Lijek </w:t>
      </w:r>
      <w:proofErr w:type="spellStart"/>
      <w:r w:rsidRPr="00491E0E">
        <w:rPr>
          <w:i/>
          <w:szCs w:val="22"/>
          <w:lang w:val="sr-Latn-ME"/>
        </w:rPr>
        <w:t>Nolpaza</w:t>
      </w:r>
      <w:proofErr w:type="spellEnd"/>
      <w:r w:rsidRPr="00491E0E">
        <w:rPr>
          <w:i/>
          <w:szCs w:val="22"/>
          <w:lang w:val="sr-Latn-ME"/>
        </w:rPr>
        <w:t xml:space="preserve"> sadrži </w:t>
      </w:r>
      <w:proofErr w:type="spellStart"/>
      <w:r w:rsidRPr="00491E0E">
        <w:rPr>
          <w:i/>
          <w:szCs w:val="22"/>
          <w:lang w:val="sr-Latn-ME"/>
        </w:rPr>
        <w:t>sorbitol</w:t>
      </w:r>
      <w:proofErr w:type="spellEnd"/>
    </w:p>
    <w:p w14:paraId="6E1C15A6" w14:textId="77777777" w:rsidR="00986E21" w:rsidRPr="00491E0E" w:rsidRDefault="00070A10" w:rsidP="00753B1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pacing w:val="-3"/>
          <w:szCs w:val="22"/>
          <w:lang w:val="sr-Latn-ME"/>
        </w:rPr>
      </w:pPr>
      <w:r w:rsidRPr="00491E0E">
        <w:rPr>
          <w:szCs w:val="22"/>
          <w:lang w:val="sr-Latn-ME"/>
        </w:rPr>
        <w:t xml:space="preserve">Treba uzeti u obzir aditivni efekat istovremeno primijenjenih ljekova koji sadrže </w:t>
      </w:r>
      <w:proofErr w:type="spellStart"/>
      <w:r w:rsidRPr="00491E0E">
        <w:rPr>
          <w:szCs w:val="22"/>
          <w:lang w:val="sr-Latn-ME"/>
        </w:rPr>
        <w:t>sorbitol</w:t>
      </w:r>
      <w:proofErr w:type="spellEnd"/>
      <w:r w:rsidRPr="00491E0E">
        <w:rPr>
          <w:szCs w:val="22"/>
          <w:lang w:val="sr-Latn-ME"/>
        </w:rPr>
        <w:t xml:space="preserve"> (ili </w:t>
      </w:r>
      <w:proofErr w:type="spellStart"/>
      <w:r w:rsidRPr="00491E0E">
        <w:rPr>
          <w:szCs w:val="22"/>
          <w:lang w:val="sr-Latn-ME"/>
        </w:rPr>
        <w:t>fruktozu</w:t>
      </w:r>
      <w:proofErr w:type="spellEnd"/>
      <w:r w:rsidRPr="00491E0E">
        <w:rPr>
          <w:szCs w:val="22"/>
          <w:lang w:val="sr-Latn-ME"/>
        </w:rPr>
        <w:t xml:space="preserve">) te unos </w:t>
      </w:r>
      <w:proofErr w:type="spellStart"/>
      <w:r w:rsidRPr="00491E0E">
        <w:rPr>
          <w:szCs w:val="22"/>
          <w:lang w:val="sr-Latn-ME"/>
        </w:rPr>
        <w:t>sorbitola</w:t>
      </w:r>
      <w:proofErr w:type="spellEnd"/>
      <w:r w:rsidRPr="00491E0E">
        <w:rPr>
          <w:szCs w:val="22"/>
          <w:lang w:val="sr-Latn-ME"/>
        </w:rPr>
        <w:t xml:space="preserve"> (ili </w:t>
      </w:r>
      <w:proofErr w:type="spellStart"/>
      <w:r w:rsidRPr="00491E0E">
        <w:rPr>
          <w:szCs w:val="22"/>
          <w:lang w:val="sr-Latn-ME"/>
        </w:rPr>
        <w:t>fruktoze</w:t>
      </w:r>
      <w:proofErr w:type="spellEnd"/>
      <w:r w:rsidRPr="00491E0E">
        <w:rPr>
          <w:szCs w:val="22"/>
          <w:lang w:val="sr-Latn-ME"/>
        </w:rPr>
        <w:t xml:space="preserve">) ishranom. Sadržaj </w:t>
      </w:r>
      <w:proofErr w:type="spellStart"/>
      <w:r w:rsidRPr="00491E0E">
        <w:rPr>
          <w:szCs w:val="22"/>
          <w:lang w:val="sr-Latn-ME"/>
        </w:rPr>
        <w:t>sorbitola</w:t>
      </w:r>
      <w:proofErr w:type="spellEnd"/>
      <w:r w:rsidRPr="00491E0E">
        <w:rPr>
          <w:szCs w:val="22"/>
          <w:lang w:val="sr-Latn-ME"/>
        </w:rPr>
        <w:t xml:space="preserve"> u ljekovima za oralnu primjenu može uticati na </w:t>
      </w:r>
      <w:proofErr w:type="spellStart"/>
      <w:r w:rsidRPr="00491E0E">
        <w:rPr>
          <w:szCs w:val="22"/>
          <w:lang w:val="sr-Latn-ME"/>
        </w:rPr>
        <w:t>bioraspoloživost</w:t>
      </w:r>
      <w:proofErr w:type="spellEnd"/>
      <w:r w:rsidRPr="00491E0E">
        <w:rPr>
          <w:szCs w:val="22"/>
          <w:lang w:val="sr-Latn-ME"/>
        </w:rPr>
        <w:t xml:space="preserve"> drugih istovremeno primijenjenih ljekova za oralnu primjenu. </w:t>
      </w:r>
    </w:p>
    <w:p w14:paraId="46776A0E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6E2C7286" w14:textId="77777777" w:rsidR="00986E21" w:rsidRPr="00491E0E" w:rsidRDefault="00070A10" w:rsidP="00753B1E">
      <w:pPr>
        <w:widowControl w:val="0"/>
        <w:spacing w:line="240" w:lineRule="auto"/>
        <w:ind w:left="567" w:hanging="567"/>
        <w:jc w:val="both"/>
        <w:outlineLvl w:val="0"/>
        <w:rPr>
          <w:b/>
          <w:szCs w:val="22"/>
          <w:lang w:val="sr-Latn-ME"/>
        </w:rPr>
      </w:pPr>
      <w:r w:rsidRPr="00491E0E">
        <w:rPr>
          <w:b/>
          <w:szCs w:val="22"/>
          <w:lang w:val="sr-Latn-ME"/>
        </w:rPr>
        <w:t>4.5</w:t>
      </w:r>
      <w:r w:rsidRPr="00491E0E">
        <w:rPr>
          <w:b/>
          <w:szCs w:val="22"/>
          <w:lang w:val="sr-Latn-ME"/>
        </w:rPr>
        <w:tab/>
        <w:t>Interakcije sa drugim ljekovima i druge vrste interakcija</w:t>
      </w:r>
    </w:p>
    <w:p w14:paraId="3A327DE9" w14:textId="77777777" w:rsidR="00986E21" w:rsidRPr="00491E0E" w:rsidRDefault="00986E21" w:rsidP="00753B1E">
      <w:pPr>
        <w:widowControl w:val="0"/>
        <w:spacing w:line="240" w:lineRule="auto"/>
        <w:ind w:left="567" w:hanging="567"/>
        <w:jc w:val="both"/>
        <w:outlineLvl w:val="0"/>
        <w:rPr>
          <w:szCs w:val="22"/>
          <w:lang w:val="sr-Latn-ME"/>
        </w:rPr>
      </w:pPr>
    </w:p>
    <w:p w14:paraId="3E15179B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i/>
          <w:szCs w:val="22"/>
          <w:u w:val="single"/>
          <w:lang w:val="sr-Latn-ME"/>
        </w:rPr>
        <w:t xml:space="preserve">Ljekovi sa </w:t>
      </w:r>
      <w:proofErr w:type="spellStart"/>
      <w:r w:rsidRPr="00491E0E">
        <w:rPr>
          <w:i/>
          <w:szCs w:val="22"/>
          <w:u w:val="single"/>
          <w:lang w:val="sr-Latn-ME"/>
        </w:rPr>
        <w:t>pH</w:t>
      </w:r>
      <w:proofErr w:type="spellEnd"/>
      <w:r w:rsidRPr="00491E0E">
        <w:rPr>
          <w:i/>
          <w:szCs w:val="22"/>
          <w:u w:val="single"/>
          <w:lang w:val="sr-Latn-ME"/>
        </w:rPr>
        <w:t xml:space="preserve"> zavisnom resorpcionom </w:t>
      </w:r>
      <w:proofErr w:type="spellStart"/>
      <w:r w:rsidRPr="00491E0E">
        <w:rPr>
          <w:i/>
          <w:szCs w:val="22"/>
          <w:u w:val="single"/>
          <w:lang w:val="sr-Latn-ME"/>
        </w:rPr>
        <w:t>farmakokinetikom</w:t>
      </w:r>
      <w:proofErr w:type="spellEnd"/>
      <w:r w:rsidRPr="00491E0E">
        <w:rPr>
          <w:szCs w:val="22"/>
          <w:lang w:val="sr-Latn-ME"/>
        </w:rPr>
        <w:t xml:space="preserve"> </w:t>
      </w:r>
    </w:p>
    <w:p w14:paraId="4A3D0729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Usljed</w:t>
      </w:r>
      <w:proofErr w:type="spellEnd"/>
      <w:r w:rsidRPr="00491E0E">
        <w:rPr>
          <w:szCs w:val="22"/>
          <w:lang w:val="sr-Latn-ME"/>
        </w:rPr>
        <w:t xml:space="preserve"> snažne i dugotrajne inhibicije sekrecije želudačne kiseline,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može smanjiti resorpciju ljekova čija je </w:t>
      </w:r>
      <w:proofErr w:type="spellStart"/>
      <w:r w:rsidRPr="00491E0E">
        <w:rPr>
          <w:szCs w:val="22"/>
          <w:lang w:val="sr-Latn-ME"/>
        </w:rPr>
        <w:t>bioraspolož</w:t>
      </w:r>
      <w:r w:rsidR="004D4567" w:rsidRPr="00491E0E">
        <w:rPr>
          <w:szCs w:val="22"/>
          <w:lang w:val="sr-Latn-ME"/>
        </w:rPr>
        <w:t>i</w:t>
      </w:r>
      <w:r w:rsidRPr="00491E0E">
        <w:rPr>
          <w:szCs w:val="22"/>
          <w:lang w:val="sr-Latn-ME"/>
        </w:rPr>
        <w:t>vost</w:t>
      </w:r>
      <w:proofErr w:type="spellEnd"/>
      <w:r w:rsidRPr="00491E0E">
        <w:rPr>
          <w:szCs w:val="22"/>
          <w:lang w:val="sr-Latn-ME"/>
        </w:rPr>
        <w:t xml:space="preserve"> zavisna od </w:t>
      </w:r>
      <w:proofErr w:type="spellStart"/>
      <w:r w:rsidRPr="00491E0E">
        <w:rPr>
          <w:szCs w:val="22"/>
          <w:lang w:val="sr-Latn-ME"/>
        </w:rPr>
        <w:t>pH</w:t>
      </w:r>
      <w:proofErr w:type="spellEnd"/>
      <w:r w:rsidRPr="00491E0E">
        <w:rPr>
          <w:szCs w:val="22"/>
          <w:lang w:val="sr-Latn-ME"/>
        </w:rPr>
        <w:t xml:space="preserve"> želudačnog sadržaja, npr. nekih </w:t>
      </w:r>
      <w:proofErr w:type="spellStart"/>
      <w:r w:rsidRPr="00491E0E">
        <w:rPr>
          <w:szCs w:val="22"/>
          <w:lang w:val="sr-Latn-ME"/>
        </w:rPr>
        <w:t>azolnih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antimikotika</w:t>
      </w:r>
      <w:proofErr w:type="spellEnd"/>
      <w:r w:rsidRPr="00491E0E">
        <w:rPr>
          <w:szCs w:val="22"/>
          <w:lang w:val="sr-Latn-ME"/>
        </w:rPr>
        <w:t xml:space="preserve">, kao što su </w:t>
      </w:r>
      <w:proofErr w:type="spellStart"/>
      <w:r w:rsidRPr="00491E0E">
        <w:rPr>
          <w:szCs w:val="22"/>
          <w:lang w:val="sr-Latn-ME"/>
        </w:rPr>
        <w:t>ketokonazol</w:t>
      </w:r>
      <w:proofErr w:type="spellEnd"/>
      <w:r w:rsidRPr="00491E0E">
        <w:rPr>
          <w:szCs w:val="22"/>
          <w:lang w:val="sr-Latn-ME"/>
        </w:rPr>
        <w:t xml:space="preserve">, </w:t>
      </w:r>
      <w:proofErr w:type="spellStart"/>
      <w:r w:rsidRPr="00491E0E">
        <w:rPr>
          <w:szCs w:val="22"/>
          <w:lang w:val="sr-Latn-ME"/>
        </w:rPr>
        <w:t>itrakonazol</w:t>
      </w:r>
      <w:proofErr w:type="spellEnd"/>
      <w:r w:rsidRPr="00491E0E">
        <w:rPr>
          <w:szCs w:val="22"/>
          <w:lang w:val="sr-Latn-ME"/>
        </w:rPr>
        <w:t xml:space="preserve">, </w:t>
      </w:r>
      <w:proofErr w:type="spellStart"/>
      <w:r w:rsidRPr="00491E0E">
        <w:rPr>
          <w:szCs w:val="22"/>
          <w:lang w:val="sr-Latn-ME"/>
        </w:rPr>
        <w:t>posakonazol</w:t>
      </w:r>
      <w:proofErr w:type="spellEnd"/>
      <w:r w:rsidRPr="00491E0E">
        <w:rPr>
          <w:szCs w:val="22"/>
          <w:lang w:val="sr-Latn-ME"/>
        </w:rPr>
        <w:t xml:space="preserve">, i ostalih ljekova, kao što je </w:t>
      </w:r>
      <w:proofErr w:type="spellStart"/>
      <w:r w:rsidRPr="00491E0E">
        <w:rPr>
          <w:szCs w:val="22"/>
          <w:lang w:val="sr-Latn-ME"/>
        </w:rPr>
        <w:t>erlotinib</w:t>
      </w:r>
      <w:proofErr w:type="spellEnd"/>
      <w:r w:rsidRPr="00491E0E">
        <w:rPr>
          <w:szCs w:val="22"/>
          <w:lang w:val="sr-Latn-ME"/>
        </w:rPr>
        <w:t>.</w:t>
      </w:r>
    </w:p>
    <w:p w14:paraId="224883D1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52F5AD2F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u w:val="single"/>
          <w:lang w:val="sr-Latn-ME"/>
        </w:rPr>
      </w:pPr>
      <w:proofErr w:type="spellStart"/>
      <w:r w:rsidRPr="00491E0E">
        <w:rPr>
          <w:i/>
          <w:szCs w:val="22"/>
          <w:u w:val="single"/>
          <w:lang w:val="sr-Latn-ME"/>
        </w:rPr>
        <w:t>Inhibitori</w:t>
      </w:r>
      <w:proofErr w:type="spellEnd"/>
      <w:r w:rsidRPr="00491E0E">
        <w:rPr>
          <w:i/>
          <w:szCs w:val="22"/>
          <w:u w:val="single"/>
          <w:lang w:val="sr-Latn-ME"/>
        </w:rPr>
        <w:t xml:space="preserve"> HIV </w:t>
      </w:r>
      <w:proofErr w:type="spellStart"/>
      <w:r w:rsidRPr="00491E0E">
        <w:rPr>
          <w:i/>
          <w:szCs w:val="22"/>
          <w:u w:val="single"/>
          <w:lang w:val="sr-Latn-ME"/>
        </w:rPr>
        <w:t>proteaze</w:t>
      </w:r>
      <w:proofErr w:type="spellEnd"/>
    </w:p>
    <w:p w14:paraId="3601D01F" w14:textId="727A23F4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Ne preporučuje se istovremena primjena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sa </w:t>
      </w:r>
      <w:proofErr w:type="spellStart"/>
      <w:r w:rsidRPr="00491E0E">
        <w:rPr>
          <w:szCs w:val="22"/>
          <w:lang w:val="sr-Latn-ME"/>
        </w:rPr>
        <w:t>inhibitorima</w:t>
      </w:r>
      <w:proofErr w:type="spellEnd"/>
      <w:r w:rsidRPr="00491E0E">
        <w:rPr>
          <w:szCs w:val="22"/>
          <w:lang w:val="sr-Latn-ME"/>
        </w:rPr>
        <w:t xml:space="preserve"> HIV </w:t>
      </w:r>
      <w:proofErr w:type="spellStart"/>
      <w:r w:rsidRPr="00491E0E">
        <w:rPr>
          <w:szCs w:val="22"/>
          <w:lang w:val="sr-Latn-ME"/>
        </w:rPr>
        <w:t>proteaze</w:t>
      </w:r>
      <w:proofErr w:type="spellEnd"/>
      <w:r w:rsidRPr="00491E0E">
        <w:rPr>
          <w:szCs w:val="22"/>
          <w:lang w:val="sr-Latn-ME"/>
        </w:rPr>
        <w:t xml:space="preserve">, čija resorpcija zavisi od </w:t>
      </w:r>
      <w:proofErr w:type="spellStart"/>
      <w:r w:rsidRPr="00491E0E">
        <w:rPr>
          <w:szCs w:val="22"/>
          <w:lang w:val="sr-Latn-ME"/>
        </w:rPr>
        <w:t>pH</w:t>
      </w:r>
      <w:proofErr w:type="spellEnd"/>
      <w:r w:rsidRPr="00491E0E">
        <w:rPr>
          <w:szCs w:val="22"/>
          <w:lang w:val="sr-Latn-ME"/>
        </w:rPr>
        <w:t xml:space="preserve"> vrijednosti u želucu, kao što je </w:t>
      </w:r>
      <w:proofErr w:type="spellStart"/>
      <w:r w:rsidRPr="00491E0E">
        <w:rPr>
          <w:szCs w:val="22"/>
          <w:lang w:val="sr-Latn-ME"/>
        </w:rPr>
        <w:t>atazanavir</w:t>
      </w:r>
      <w:proofErr w:type="spellEnd"/>
      <w:r w:rsidRPr="00491E0E">
        <w:rPr>
          <w:szCs w:val="22"/>
          <w:lang w:val="sr-Latn-ME"/>
        </w:rPr>
        <w:t xml:space="preserve">, jer može doći do značajnog smanjenja </w:t>
      </w:r>
      <w:proofErr w:type="spellStart"/>
      <w:r w:rsidRPr="00491E0E">
        <w:rPr>
          <w:szCs w:val="22"/>
          <w:lang w:val="sr-Latn-ME"/>
        </w:rPr>
        <w:t>bioraspoloživosti</w:t>
      </w:r>
      <w:proofErr w:type="spellEnd"/>
      <w:r w:rsidRPr="00491E0E">
        <w:rPr>
          <w:szCs w:val="22"/>
          <w:lang w:val="sr-Latn-ME"/>
        </w:rPr>
        <w:t xml:space="preserve"> ovih ljekova (vidjeti dio 4.4). Ako se procijeni da je istovremena primjena </w:t>
      </w:r>
      <w:proofErr w:type="spellStart"/>
      <w:r w:rsidRPr="00491E0E">
        <w:rPr>
          <w:szCs w:val="22"/>
          <w:lang w:val="sr-Latn-ME"/>
        </w:rPr>
        <w:t>inhibitora</w:t>
      </w:r>
      <w:proofErr w:type="spellEnd"/>
      <w:r w:rsidRPr="00491E0E">
        <w:rPr>
          <w:szCs w:val="22"/>
          <w:lang w:val="sr-Latn-ME"/>
        </w:rPr>
        <w:t xml:space="preserve"> protonske pumpe i </w:t>
      </w:r>
      <w:proofErr w:type="spellStart"/>
      <w:r w:rsidRPr="00491E0E">
        <w:rPr>
          <w:szCs w:val="22"/>
          <w:lang w:val="sr-Latn-ME"/>
        </w:rPr>
        <w:t>inhibitora</w:t>
      </w:r>
      <w:proofErr w:type="spellEnd"/>
      <w:r w:rsidRPr="00491E0E">
        <w:rPr>
          <w:szCs w:val="22"/>
          <w:lang w:val="sr-Latn-ME"/>
        </w:rPr>
        <w:t xml:space="preserve"> HIV </w:t>
      </w:r>
      <w:proofErr w:type="spellStart"/>
      <w:r w:rsidRPr="00491E0E">
        <w:rPr>
          <w:szCs w:val="22"/>
          <w:lang w:val="sr-Latn-ME"/>
        </w:rPr>
        <w:t>proteaze</w:t>
      </w:r>
      <w:proofErr w:type="spellEnd"/>
      <w:r w:rsidRPr="00491E0E">
        <w:rPr>
          <w:szCs w:val="22"/>
          <w:lang w:val="sr-Latn-ME"/>
        </w:rPr>
        <w:t xml:space="preserve"> neizbježna, preporučuje se pažljivo kliničko praćenje (npr. virusnog opterećenja, engl. </w:t>
      </w:r>
      <w:r w:rsidRPr="00491E0E">
        <w:rPr>
          <w:i/>
          <w:szCs w:val="22"/>
          <w:lang w:val="sr-Latn-ME"/>
        </w:rPr>
        <w:t xml:space="preserve">virus </w:t>
      </w:r>
      <w:proofErr w:type="spellStart"/>
      <w:r w:rsidRPr="00491E0E">
        <w:rPr>
          <w:i/>
          <w:szCs w:val="22"/>
          <w:lang w:val="sr-Latn-ME"/>
        </w:rPr>
        <w:t>load</w:t>
      </w:r>
      <w:proofErr w:type="spellEnd"/>
      <w:r w:rsidRPr="00491E0E">
        <w:rPr>
          <w:szCs w:val="22"/>
          <w:lang w:val="sr-Latn-ME"/>
        </w:rPr>
        <w:t xml:space="preserve">). Dozu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od 20 mg dnevno ne treba prekoračiti. Možda će biti potrebno prilagođavanje doze </w:t>
      </w:r>
      <w:proofErr w:type="spellStart"/>
      <w:r w:rsidRPr="00491E0E">
        <w:rPr>
          <w:szCs w:val="22"/>
          <w:lang w:val="sr-Latn-ME"/>
        </w:rPr>
        <w:t>inhibitora</w:t>
      </w:r>
      <w:proofErr w:type="spellEnd"/>
      <w:r w:rsidRPr="00491E0E">
        <w:rPr>
          <w:szCs w:val="22"/>
          <w:lang w:val="sr-Latn-ME"/>
        </w:rPr>
        <w:t xml:space="preserve"> HIV </w:t>
      </w:r>
      <w:proofErr w:type="spellStart"/>
      <w:r w:rsidRPr="00491E0E">
        <w:rPr>
          <w:szCs w:val="22"/>
          <w:lang w:val="sr-Latn-ME"/>
        </w:rPr>
        <w:t>proteaze</w:t>
      </w:r>
      <w:proofErr w:type="spellEnd"/>
      <w:r w:rsidRPr="00491E0E">
        <w:rPr>
          <w:szCs w:val="22"/>
          <w:lang w:val="sr-Latn-ME"/>
        </w:rPr>
        <w:t>.</w:t>
      </w:r>
    </w:p>
    <w:p w14:paraId="7E9A0C40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76D4EF07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proofErr w:type="spellStart"/>
      <w:r w:rsidRPr="00491E0E">
        <w:rPr>
          <w:i/>
          <w:iCs/>
          <w:szCs w:val="22"/>
          <w:u w:val="single"/>
          <w:lang w:val="sr-Latn-ME"/>
        </w:rPr>
        <w:t>Kumarinski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</w:t>
      </w:r>
      <w:proofErr w:type="spellStart"/>
      <w:r w:rsidRPr="00491E0E">
        <w:rPr>
          <w:i/>
          <w:iCs/>
          <w:szCs w:val="22"/>
          <w:u w:val="single"/>
          <w:lang w:val="sr-Latn-ME"/>
        </w:rPr>
        <w:t>antikoagulansi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(</w:t>
      </w:r>
      <w:proofErr w:type="spellStart"/>
      <w:r w:rsidRPr="00491E0E">
        <w:rPr>
          <w:i/>
          <w:iCs/>
          <w:szCs w:val="22"/>
          <w:u w:val="single"/>
          <w:lang w:val="sr-Latn-ME"/>
        </w:rPr>
        <w:t>fenprokumon</w:t>
      </w:r>
      <w:proofErr w:type="spellEnd"/>
      <w:r w:rsidRPr="00491E0E">
        <w:rPr>
          <w:i/>
          <w:iCs/>
          <w:szCs w:val="22"/>
          <w:u w:val="single"/>
          <w:lang w:val="sr-Latn-ME"/>
        </w:rPr>
        <w:t xml:space="preserve"> ili </w:t>
      </w:r>
      <w:proofErr w:type="spellStart"/>
      <w:r w:rsidRPr="00491E0E">
        <w:rPr>
          <w:i/>
          <w:iCs/>
          <w:szCs w:val="22"/>
          <w:u w:val="single"/>
          <w:lang w:val="sr-Latn-ME"/>
        </w:rPr>
        <w:t>varfarin</w:t>
      </w:r>
      <w:proofErr w:type="spellEnd"/>
      <w:r w:rsidRPr="00491E0E">
        <w:rPr>
          <w:i/>
          <w:iCs/>
          <w:szCs w:val="22"/>
          <w:u w:val="single"/>
          <w:lang w:val="sr-Latn-ME"/>
        </w:rPr>
        <w:t>)</w:t>
      </w:r>
    </w:p>
    <w:p w14:paraId="5815EF7A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Iako u kliničkim </w:t>
      </w:r>
      <w:proofErr w:type="spellStart"/>
      <w:r w:rsidRPr="00491E0E">
        <w:rPr>
          <w:szCs w:val="22"/>
          <w:lang w:val="sr-Latn-ME"/>
        </w:rPr>
        <w:t>farmakokinetičkim</w:t>
      </w:r>
      <w:proofErr w:type="spellEnd"/>
      <w:r w:rsidRPr="00491E0E">
        <w:rPr>
          <w:szCs w:val="22"/>
          <w:lang w:val="sr-Latn-ME"/>
        </w:rPr>
        <w:t xml:space="preserve"> studijama nije zabilježena interakcija tokom istovremene primjene sa </w:t>
      </w:r>
      <w:proofErr w:type="spellStart"/>
      <w:r w:rsidRPr="00491E0E">
        <w:rPr>
          <w:szCs w:val="22"/>
          <w:lang w:val="sr-Latn-ME"/>
        </w:rPr>
        <w:t>fenprokumonom</w:t>
      </w:r>
      <w:proofErr w:type="spellEnd"/>
      <w:r w:rsidRPr="00491E0E">
        <w:rPr>
          <w:szCs w:val="22"/>
          <w:lang w:val="sr-Latn-ME"/>
        </w:rPr>
        <w:t xml:space="preserve"> ili </w:t>
      </w:r>
      <w:proofErr w:type="spellStart"/>
      <w:r w:rsidRPr="00491E0E">
        <w:rPr>
          <w:szCs w:val="22"/>
          <w:lang w:val="sr-Latn-ME"/>
        </w:rPr>
        <w:t>varfarinom</w:t>
      </w:r>
      <w:proofErr w:type="spellEnd"/>
      <w:r w:rsidRPr="00491E0E">
        <w:rPr>
          <w:szCs w:val="22"/>
          <w:lang w:val="sr-Latn-ME"/>
        </w:rPr>
        <w:t xml:space="preserve">, prijavljeno je nekoliko izolovanih slučajeva promjene </w:t>
      </w:r>
      <w:proofErr w:type="spellStart"/>
      <w:r w:rsidRPr="00491E0E">
        <w:rPr>
          <w:szCs w:val="22"/>
          <w:lang w:val="sr-Latn-ME"/>
        </w:rPr>
        <w:t>protrombinskog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vremena</w:t>
      </w:r>
      <w:proofErr w:type="spellEnd"/>
      <w:r w:rsidRPr="00491E0E">
        <w:rPr>
          <w:szCs w:val="22"/>
          <w:lang w:val="sr-Latn-ME"/>
        </w:rPr>
        <w:t xml:space="preserve">/INR tokom istovremene primjene u </w:t>
      </w:r>
      <w:proofErr w:type="spellStart"/>
      <w:r w:rsidRPr="00491E0E">
        <w:rPr>
          <w:szCs w:val="22"/>
          <w:lang w:val="sr-Latn-ME"/>
        </w:rPr>
        <w:t>postmarkentiškom</w:t>
      </w:r>
      <w:proofErr w:type="spellEnd"/>
      <w:r w:rsidRPr="00491E0E">
        <w:rPr>
          <w:szCs w:val="22"/>
          <w:lang w:val="sr-Latn-ME"/>
        </w:rPr>
        <w:t xml:space="preserve"> periodu. Zbog toga se kod pacijenata koji su na terapiji </w:t>
      </w:r>
      <w:proofErr w:type="spellStart"/>
      <w:r w:rsidRPr="00491E0E">
        <w:rPr>
          <w:szCs w:val="22"/>
          <w:lang w:val="sr-Latn-ME"/>
        </w:rPr>
        <w:t>kumarinskim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antikoagulansima</w:t>
      </w:r>
      <w:proofErr w:type="spellEnd"/>
      <w:r w:rsidRPr="00491E0E">
        <w:rPr>
          <w:szCs w:val="22"/>
          <w:lang w:val="sr-Latn-ME"/>
        </w:rPr>
        <w:t xml:space="preserve"> (npr. </w:t>
      </w:r>
      <w:proofErr w:type="spellStart"/>
      <w:r w:rsidRPr="00491E0E">
        <w:rPr>
          <w:szCs w:val="22"/>
          <w:lang w:val="sr-Latn-ME"/>
        </w:rPr>
        <w:t>fenprokumon</w:t>
      </w:r>
      <w:proofErr w:type="spellEnd"/>
      <w:r w:rsidRPr="00491E0E">
        <w:rPr>
          <w:szCs w:val="22"/>
          <w:lang w:val="sr-Latn-ME"/>
        </w:rPr>
        <w:t xml:space="preserve"> ili </w:t>
      </w:r>
      <w:proofErr w:type="spellStart"/>
      <w:r w:rsidRPr="00491E0E">
        <w:rPr>
          <w:szCs w:val="22"/>
          <w:lang w:val="sr-Latn-ME"/>
        </w:rPr>
        <w:t>varfarin</w:t>
      </w:r>
      <w:proofErr w:type="spellEnd"/>
      <w:r w:rsidRPr="00491E0E">
        <w:rPr>
          <w:szCs w:val="22"/>
          <w:lang w:val="sr-Latn-ME"/>
        </w:rPr>
        <w:t xml:space="preserve">), preporučuje praćenje </w:t>
      </w:r>
      <w:proofErr w:type="spellStart"/>
      <w:r w:rsidRPr="00491E0E">
        <w:rPr>
          <w:szCs w:val="22"/>
          <w:lang w:val="sr-Latn-ME"/>
        </w:rPr>
        <w:t>protrombinskog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vremena</w:t>
      </w:r>
      <w:proofErr w:type="spellEnd"/>
      <w:r w:rsidRPr="00491E0E">
        <w:rPr>
          <w:szCs w:val="22"/>
          <w:lang w:val="sr-Latn-ME"/>
        </w:rPr>
        <w:t xml:space="preserve">/INR nakon započinjanja terapije, nakon završetka terapije ili tokom neredovne upotrebe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>.</w:t>
      </w:r>
    </w:p>
    <w:p w14:paraId="5C9100C6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1D78385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proofErr w:type="spellStart"/>
      <w:r w:rsidRPr="00491E0E">
        <w:rPr>
          <w:i/>
          <w:iCs/>
          <w:szCs w:val="22"/>
          <w:u w:val="single"/>
          <w:lang w:val="sr-Latn-ME"/>
        </w:rPr>
        <w:t>Metotreksat</w:t>
      </w:r>
      <w:proofErr w:type="spellEnd"/>
    </w:p>
    <w:p w14:paraId="60899CD4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Istovremena primjena visokih doza </w:t>
      </w:r>
      <w:proofErr w:type="spellStart"/>
      <w:r w:rsidRPr="00491E0E">
        <w:rPr>
          <w:szCs w:val="22"/>
          <w:lang w:val="sr-Latn-ME"/>
        </w:rPr>
        <w:t>metotreksata</w:t>
      </w:r>
      <w:proofErr w:type="spellEnd"/>
      <w:r w:rsidRPr="00491E0E">
        <w:rPr>
          <w:szCs w:val="22"/>
          <w:lang w:val="sr-Latn-ME"/>
        </w:rPr>
        <w:t xml:space="preserve"> (npr. 300 mg) i IPP dovodi do povećanja nivoa </w:t>
      </w:r>
      <w:proofErr w:type="spellStart"/>
      <w:r w:rsidRPr="00491E0E">
        <w:rPr>
          <w:szCs w:val="22"/>
          <w:lang w:val="sr-Latn-ME"/>
        </w:rPr>
        <w:t>metotreksata</w:t>
      </w:r>
      <w:proofErr w:type="spellEnd"/>
      <w:r w:rsidRPr="00491E0E">
        <w:rPr>
          <w:szCs w:val="22"/>
          <w:lang w:val="sr-Latn-ME"/>
        </w:rPr>
        <w:t xml:space="preserve"> kod pojedinih pacijenata. Zbog toga je kod terapija koje zahtijevaju primjenu većih doza </w:t>
      </w:r>
      <w:proofErr w:type="spellStart"/>
      <w:r w:rsidRPr="00491E0E">
        <w:rPr>
          <w:szCs w:val="22"/>
          <w:lang w:val="sr-Latn-ME"/>
        </w:rPr>
        <w:t>metotreksata</w:t>
      </w:r>
      <w:proofErr w:type="spellEnd"/>
      <w:r w:rsidRPr="00491E0E">
        <w:rPr>
          <w:szCs w:val="22"/>
          <w:lang w:val="sr-Latn-ME"/>
        </w:rPr>
        <w:t xml:space="preserve">, kao npr. kancer i psorijaza, potrebno razmotriti privremeni prekid terapije </w:t>
      </w:r>
      <w:proofErr w:type="spellStart"/>
      <w:r w:rsidRPr="00491E0E">
        <w:rPr>
          <w:szCs w:val="22"/>
          <w:lang w:val="sr-Latn-ME"/>
        </w:rPr>
        <w:t>pantoprazolom</w:t>
      </w:r>
      <w:proofErr w:type="spellEnd"/>
      <w:r w:rsidRPr="00491E0E">
        <w:rPr>
          <w:szCs w:val="22"/>
          <w:lang w:val="sr-Latn-ME"/>
        </w:rPr>
        <w:t>.</w:t>
      </w:r>
    </w:p>
    <w:p w14:paraId="1A525A5E" w14:textId="77777777" w:rsidR="00986E21" w:rsidRPr="00491E0E" w:rsidRDefault="00986E21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64618A75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i/>
          <w:iCs/>
          <w:szCs w:val="22"/>
          <w:u w:val="single"/>
          <w:lang w:val="sr-Latn-ME"/>
        </w:rPr>
        <w:t>Ostale studije interakcija</w:t>
      </w:r>
    </w:p>
    <w:p w14:paraId="0D09A132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se intenzivno </w:t>
      </w:r>
      <w:proofErr w:type="spellStart"/>
      <w:r w:rsidRPr="00491E0E">
        <w:rPr>
          <w:szCs w:val="22"/>
          <w:lang w:val="sr-Latn-ME"/>
        </w:rPr>
        <w:t>metaboliše</w:t>
      </w:r>
      <w:proofErr w:type="spellEnd"/>
      <w:r w:rsidRPr="00491E0E">
        <w:rPr>
          <w:szCs w:val="22"/>
          <w:lang w:val="sr-Latn-ME"/>
        </w:rPr>
        <w:t xml:space="preserve"> u jetri putem sistema enzima </w:t>
      </w:r>
      <w:proofErr w:type="spellStart"/>
      <w:r w:rsidRPr="00491E0E">
        <w:rPr>
          <w:szCs w:val="22"/>
          <w:lang w:val="sr-Latn-ME"/>
        </w:rPr>
        <w:t>citohroma</w:t>
      </w:r>
      <w:proofErr w:type="spellEnd"/>
      <w:r w:rsidRPr="00491E0E">
        <w:rPr>
          <w:szCs w:val="22"/>
          <w:lang w:val="sr-Latn-ME"/>
        </w:rPr>
        <w:t xml:space="preserve"> P450. Glavni </w:t>
      </w:r>
      <w:proofErr w:type="spellStart"/>
      <w:r w:rsidRPr="00491E0E">
        <w:rPr>
          <w:szCs w:val="22"/>
          <w:lang w:val="sr-Latn-ME"/>
        </w:rPr>
        <w:t>metabolički</w:t>
      </w:r>
      <w:proofErr w:type="spellEnd"/>
      <w:r w:rsidRPr="00491E0E">
        <w:rPr>
          <w:szCs w:val="22"/>
          <w:lang w:val="sr-Latn-ME"/>
        </w:rPr>
        <w:t xml:space="preserve"> put je </w:t>
      </w:r>
      <w:proofErr w:type="spellStart"/>
      <w:r w:rsidRPr="00491E0E">
        <w:rPr>
          <w:szCs w:val="22"/>
          <w:lang w:val="sr-Latn-ME"/>
        </w:rPr>
        <w:t>demetilacija</w:t>
      </w:r>
      <w:proofErr w:type="spellEnd"/>
      <w:r w:rsidRPr="00491E0E">
        <w:rPr>
          <w:szCs w:val="22"/>
          <w:lang w:val="sr-Latn-ME"/>
        </w:rPr>
        <w:t xml:space="preserve"> putem CYP2C19 i ostalih </w:t>
      </w:r>
      <w:proofErr w:type="spellStart"/>
      <w:r w:rsidRPr="00491E0E">
        <w:rPr>
          <w:szCs w:val="22"/>
          <w:lang w:val="sr-Latn-ME"/>
        </w:rPr>
        <w:t>metaboličkih</w:t>
      </w:r>
      <w:proofErr w:type="spellEnd"/>
      <w:r w:rsidRPr="00491E0E">
        <w:rPr>
          <w:szCs w:val="22"/>
          <w:lang w:val="sr-Latn-ME"/>
        </w:rPr>
        <w:t xml:space="preserve"> puteva, uključujući i oksidaciju putem CYP 3A4.</w:t>
      </w:r>
    </w:p>
    <w:p w14:paraId="4579A3DA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668FADDF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Studije interakcije sa ljekovima koji se takođe </w:t>
      </w:r>
      <w:proofErr w:type="spellStart"/>
      <w:r w:rsidRPr="00491E0E">
        <w:rPr>
          <w:szCs w:val="22"/>
          <w:lang w:val="sr-Latn-ME"/>
        </w:rPr>
        <w:t>metabolišu</w:t>
      </w:r>
      <w:proofErr w:type="spellEnd"/>
      <w:r w:rsidRPr="00491E0E">
        <w:rPr>
          <w:szCs w:val="22"/>
          <w:lang w:val="sr-Latn-ME"/>
        </w:rPr>
        <w:t xml:space="preserve"> ovim putevima, kao što su </w:t>
      </w:r>
      <w:proofErr w:type="spellStart"/>
      <w:r w:rsidRPr="00491E0E">
        <w:rPr>
          <w:szCs w:val="22"/>
          <w:lang w:val="sr-Latn-ME"/>
        </w:rPr>
        <w:t>karbamazepin</w:t>
      </w:r>
      <w:proofErr w:type="spellEnd"/>
      <w:r w:rsidRPr="00491E0E">
        <w:rPr>
          <w:szCs w:val="22"/>
          <w:lang w:val="sr-Latn-ME"/>
        </w:rPr>
        <w:t xml:space="preserve">, </w:t>
      </w:r>
      <w:proofErr w:type="spellStart"/>
      <w:r w:rsidRPr="00491E0E">
        <w:rPr>
          <w:szCs w:val="22"/>
          <w:lang w:val="sr-Latn-ME"/>
        </w:rPr>
        <w:t>diazepam</w:t>
      </w:r>
      <w:proofErr w:type="spellEnd"/>
      <w:r w:rsidRPr="00491E0E">
        <w:rPr>
          <w:szCs w:val="22"/>
          <w:lang w:val="sr-Latn-ME"/>
        </w:rPr>
        <w:t xml:space="preserve">, </w:t>
      </w:r>
      <w:proofErr w:type="spellStart"/>
      <w:r w:rsidRPr="00491E0E">
        <w:rPr>
          <w:szCs w:val="22"/>
          <w:lang w:val="sr-Latn-ME"/>
        </w:rPr>
        <w:t>glibenklamid</w:t>
      </w:r>
      <w:proofErr w:type="spellEnd"/>
      <w:r w:rsidRPr="00491E0E">
        <w:rPr>
          <w:szCs w:val="22"/>
          <w:lang w:val="sr-Latn-ME"/>
        </w:rPr>
        <w:t xml:space="preserve">, </w:t>
      </w:r>
      <w:proofErr w:type="spellStart"/>
      <w:r w:rsidRPr="00491E0E">
        <w:rPr>
          <w:szCs w:val="22"/>
          <w:lang w:val="sr-Latn-ME"/>
        </w:rPr>
        <w:t>nifedipin</w:t>
      </w:r>
      <w:proofErr w:type="spellEnd"/>
      <w:r w:rsidRPr="00491E0E">
        <w:rPr>
          <w:szCs w:val="22"/>
          <w:lang w:val="sr-Latn-ME"/>
        </w:rPr>
        <w:t xml:space="preserve"> i oralni </w:t>
      </w:r>
      <w:proofErr w:type="spellStart"/>
      <w:r w:rsidRPr="00491E0E">
        <w:rPr>
          <w:szCs w:val="22"/>
          <w:lang w:val="sr-Latn-ME"/>
        </w:rPr>
        <w:t>kontraceptivi</w:t>
      </w:r>
      <w:proofErr w:type="spellEnd"/>
      <w:r w:rsidRPr="00491E0E">
        <w:rPr>
          <w:szCs w:val="22"/>
          <w:lang w:val="sr-Latn-ME"/>
        </w:rPr>
        <w:t xml:space="preserve"> koji sadrže </w:t>
      </w:r>
      <w:proofErr w:type="spellStart"/>
      <w:r w:rsidRPr="00491E0E">
        <w:rPr>
          <w:szCs w:val="22"/>
          <w:lang w:val="sr-Latn-ME"/>
        </w:rPr>
        <w:t>levonorgestrel</w:t>
      </w:r>
      <w:proofErr w:type="spellEnd"/>
      <w:r w:rsidRPr="00491E0E">
        <w:rPr>
          <w:szCs w:val="22"/>
          <w:lang w:val="sr-Latn-ME"/>
        </w:rPr>
        <w:t xml:space="preserve"> i </w:t>
      </w:r>
      <w:proofErr w:type="spellStart"/>
      <w:r w:rsidRPr="00491E0E">
        <w:rPr>
          <w:szCs w:val="22"/>
          <w:lang w:val="sr-Latn-ME"/>
        </w:rPr>
        <w:t>etinil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estradiol</w:t>
      </w:r>
      <w:proofErr w:type="spellEnd"/>
      <w:r w:rsidRPr="00491E0E">
        <w:rPr>
          <w:szCs w:val="22"/>
          <w:lang w:val="sr-Latn-ME"/>
        </w:rPr>
        <w:t xml:space="preserve"> nijesu pokazale klinički značajne interakcije.</w:t>
      </w:r>
    </w:p>
    <w:p w14:paraId="310E2F63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19F6B975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Ne mogu se isključiti interakcije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i drugih ljekova ili jedinjenja, koji se </w:t>
      </w:r>
      <w:proofErr w:type="spellStart"/>
      <w:r w:rsidRPr="00491E0E">
        <w:rPr>
          <w:szCs w:val="22"/>
          <w:lang w:val="sr-Latn-ME"/>
        </w:rPr>
        <w:t>metabolišu</w:t>
      </w:r>
      <w:proofErr w:type="spellEnd"/>
      <w:r w:rsidRPr="00491E0E">
        <w:rPr>
          <w:szCs w:val="22"/>
          <w:lang w:val="sr-Latn-ME"/>
        </w:rPr>
        <w:t xml:space="preserve"> putem </w:t>
      </w:r>
      <w:r w:rsidRPr="00491E0E">
        <w:rPr>
          <w:szCs w:val="22"/>
          <w:lang w:val="sr-Latn-ME"/>
        </w:rPr>
        <w:lastRenderedPageBreak/>
        <w:t xml:space="preserve">ovog </w:t>
      </w:r>
      <w:proofErr w:type="spellStart"/>
      <w:r w:rsidRPr="00491E0E">
        <w:rPr>
          <w:szCs w:val="22"/>
          <w:lang w:val="sr-Latn-ME"/>
        </w:rPr>
        <w:t>enzimskog</w:t>
      </w:r>
      <w:proofErr w:type="spellEnd"/>
      <w:r w:rsidRPr="00491E0E">
        <w:rPr>
          <w:szCs w:val="22"/>
          <w:lang w:val="sr-Latn-ME"/>
        </w:rPr>
        <w:t xml:space="preserve"> sistema. </w:t>
      </w:r>
    </w:p>
    <w:p w14:paraId="2935704F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02224006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Rezultati opsežnih studija interakcija pokazale su da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ne utiče na metabolizam aktivnih supstanci koje se </w:t>
      </w:r>
      <w:proofErr w:type="spellStart"/>
      <w:r w:rsidRPr="00491E0E">
        <w:rPr>
          <w:szCs w:val="22"/>
          <w:lang w:val="sr-Latn-ME"/>
        </w:rPr>
        <w:t>metabolišu</w:t>
      </w:r>
      <w:proofErr w:type="spellEnd"/>
      <w:r w:rsidRPr="00491E0E">
        <w:rPr>
          <w:szCs w:val="22"/>
          <w:lang w:val="sr-Latn-ME"/>
        </w:rPr>
        <w:t xml:space="preserve"> putem CYP1A2 (kao što su kofein, teofilin), CYP2C9 (kao što su </w:t>
      </w:r>
      <w:proofErr w:type="spellStart"/>
      <w:r w:rsidRPr="00491E0E">
        <w:rPr>
          <w:szCs w:val="22"/>
          <w:lang w:val="sr-Latn-ME"/>
        </w:rPr>
        <w:t>piroksikam</w:t>
      </w:r>
      <w:proofErr w:type="spellEnd"/>
      <w:r w:rsidRPr="00491E0E">
        <w:rPr>
          <w:szCs w:val="22"/>
          <w:lang w:val="sr-Latn-ME"/>
        </w:rPr>
        <w:t xml:space="preserve">, </w:t>
      </w:r>
      <w:proofErr w:type="spellStart"/>
      <w:r w:rsidRPr="00491E0E">
        <w:rPr>
          <w:szCs w:val="22"/>
          <w:lang w:val="sr-Latn-ME"/>
        </w:rPr>
        <w:t>diklofenak</w:t>
      </w:r>
      <w:proofErr w:type="spellEnd"/>
      <w:r w:rsidRPr="00491E0E">
        <w:rPr>
          <w:szCs w:val="22"/>
          <w:lang w:val="sr-Latn-ME"/>
        </w:rPr>
        <w:t xml:space="preserve">, </w:t>
      </w:r>
      <w:proofErr w:type="spellStart"/>
      <w:r w:rsidRPr="00491E0E">
        <w:rPr>
          <w:szCs w:val="22"/>
          <w:lang w:val="sr-Latn-ME"/>
        </w:rPr>
        <w:t>naproksen</w:t>
      </w:r>
      <w:proofErr w:type="spellEnd"/>
      <w:r w:rsidRPr="00491E0E">
        <w:rPr>
          <w:szCs w:val="22"/>
          <w:lang w:val="sr-Latn-ME"/>
        </w:rPr>
        <w:t xml:space="preserve">), CYP2D6 (kao što je </w:t>
      </w:r>
      <w:proofErr w:type="spellStart"/>
      <w:r w:rsidRPr="00491E0E">
        <w:rPr>
          <w:szCs w:val="22"/>
          <w:lang w:val="sr-Latn-ME"/>
        </w:rPr>
        <w:t>metoprolol</w:t>
      </w:r>
      <w:proofErr w:type="spellEnd"/>
      <w:r w:rsidRPr="00491E0E">
        <w:rPr>
          <w:szCs w:val="22"/>
          <w:lang w:val="sr-Latn-ME"/>
        </w:rPr>
        <w:t xml:space="preserve">), CYP2E1 (kao što je etanol) i ne remeti resorpciju </w:t>
      </w:r>
      <w:proofErr w:type="spellStart"/>
      <w:r w:rsidRPr="00491E0E">
        <w:rPr>
          <w:szCs w:val="22"/>
          <w:lang w:val="sr-Latn-ME"/>
        </w:rPr>
        <w:t>digoksina</w:t>
      </w:r>
      <w:proofErr w:type="spellEnd"/>
      <w:r w:rsidRPr="00491E0E">
        <w:rPr>
          <w:szCs w:val="22"/>
          <w:lang w:val="sr-Latn-ME"/>
        </w:rPr>
        <w:t xml:space="preserve"> povezanu sa p-</w:t>
      </w:r>
      <w:proofErr w:type="spellStart"/>
      <w:r w:rsidRPr="00491E0E">
        <w:rPr>
          <w:szCs w:val="22"/>
          <w:lang w:val="sr-Latn-ME"/>
        </w:rPr>
        <w:t>glikoproteinom</w:t>
      </w:r>
      <w:proofErr w:type="spellEnd"/>
      <w:r w:rsidRPr="00491E0E">
        <w:rPr>
          <w:szCs w:val="22"/>
          <w:lang w:val="sr-Latn-ME"/>
        </w:rPr>
        <w:t>.</w:t>
      </w:r>
    </w:p>
    <w:p w14:paraId="76FED7EE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29AEB6AE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Nema interakcije tokom istovremene upotrebe sa antacidima.</w:t>
      </w:r>
    </w:p>
    <w:p w14:paraId="2EA30D4D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041FF84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Takođe su sprovedene studije u kojima je istovremeno primjenjivan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sa odgovarajućim antibioticima (</w:t>
      </w:r>
      <w:proofErr w:type="spellStart"/>
      <w:r w:rsidRPr="00491E0E">
        <w:rPr>
          <w:szCs w:val="22"/>
          <w:lang w:val="sr-Latn-ME"/>
        </w:rPr>
        <w:t>klaritromicin</w:t>
      </w:r>
      <w:proofErr w:type="spellEnd"/>
      <w:r w:rsidRPr="00491E0E">
        <w:rPr>
          <w:szCs w:val="22"/>
          <w:lang w:val="sr-Latn-ME"/>
        </w:rPr>
        <w:t xml:space="preserve">, </w:t>
      </w:r>
      <w:proofErr w:type="spellStart"/>
      <w:r w:rsidRPr="00491E0E">
        <w:rPr>
          <w:szCs w:val="22"/>
          <w:lang w:val="sr-Latn-ME"/>
        </w:rPr>
        <w:t>metronidazol</w:t>
      </w:r>
      <w:proofErr w:type="spellEnd"/>
      <w:r w:rsidRPr="00491E0E">
        <w:rPr>
          <w:szCs w:val="22"/>
          <w:lang w:val="sr-Latn-ME"/>
        </w:rPr>
        <w:t xml:space="preserve">, </w:t>
      </w:r>
      <w:proofErr w:type="spellStart"/>
      <w:r w:rsidRPr="00491E0E">
        <w:rPr>
          <w:szCs w:val="22"/>
          <w:lang w:val="sr-Latn-ME"/>
        </w:rPr>
        <w:t>amoksicilin</w:t>
      </w:r>
      <w:proofErr w:type="spellEnd"/>
      <w:r w:rsidRPr="00491E0E">
        <w:rPr>
          <w:szCs w:val="22"/>
          <w:lang w:val="sr-Latn-ME"/>
        </w:rPr>
        <w:t>). Nijesu utvrđene klinički značajne interakcije.</w:t>
      </w:r>
    </w:p>
    <w:p w14:paraId="3EF43BCD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AA700F0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i/>
          <w:szCs w:val="22"/>
          <w:u w:val="single"/>
          <w:lang w:val="sr-Latn-ME"/>
        </w:rPr>
      </w:pPr>
      <w:r w:rsidRPr="00491E0E">
        <w:rPr>
          <w:i/>
          <w:szCs w:val="22"/>
          <w:u w:val="single"/>
          <w:lang w:val="sr-Latn-ME"/>
        </w:rPr>
        <w:t xml:space="preserve">Ljekovi koji inhibiraju/indukuju CYP2C19: </w:t>
      </w:r>
    </w:p>
    <w:p w14:paraId="33DBCC62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CYP2C19 </w:t>
      </w:r>
      <w:proofErr w:type="spellStart"/>
      <w:r w:rsidRPr="00491E0E">
        <w:rPr>
          <w:szCs w:val="22"/>
          <w:lang w:val="sr-Latn-ME"/>
        </w:rPr>
        <w:t>inhibitori</w:t>
      </w:r>
      <w:proofErr w:type="spellEnd"/>
      <w:r w:rsidRPr="00491E0E">
        <w:rPr>
          <w:szCs w:val="22"/>
          <w:lang w:val="sr-Latn-ME"/>
        </w:rPr>
        <w:t xml:space="preserve">, kao što je </w:t>
      </w:r>
      <w:proofErr w:type="spellStart"/>
      <w:r w:rsidRPr="00491E0E">
        <w:rPr>
          <w:szCs w:val="22"/>
          <w:lang w:val="sr-Latn-ME"/>
        </w:rPr>
        <w:t>fluvoksamin</w:t>
      </w:r>
      <w:proofErr w:type="spellEnd"/>
      <w:r w:rsidRPr="00491E0E">
        <w:rPr>
          <w:szCs w:val="22"/>
          <w:lang w:val="sr-Latn-ME"/>
        </w:rPr>
        <w:t xml:space="preserve">, mogu da povećaju sistemsku izloženost </w:t>
      </w:r>
      <w:proofErr w:type="spellStart"/>
      <w:r w:rsidRPr="00491E0E">
        <w:rPr>
          <w:szCs w:val="22"/>
          <w:lang w:val="sr-Latn-ME"/>
        </w:rPr>
        <w:t>pantoprazolu</w:t>
      </w:r>
      <w:proofErr w:type="spellEnd"/>
      <w:r w:rsidRPr="00491E0E">
        <w:rPr>
          <w:szCs w:val="22"/>
          <w:lang w:val="sr-Latn-ME"/>
        </w:rPr>
        <w:t xml:space="preserve">. Potrebno je razmotriti smanjenje doze lijeka kod pacijenata na dugotrajnoj terapiji visokim dozama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ili kod pacijenata sa oštećenom funkcijom jetre.</w:t>
      </w:r>
    </w:p>
    <w:p w14:paraId="123C933C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CYP2C19 i CYP3A4 induktori, kao što su </w:t>
      </w:r>
      <w:proofErr w:type="spellStart"/>
      <w:r w:rsidRPr="00491E0E">
        <w:rPr>
          <w:szCs w:val="22"/>
          <w:lang w:val="sr-Latn-ME"/>
        </w:rPr>
        <w:t>rifampicin</w:t>
      </w:r>
      <w:proofErr w:type="spellEnd"/>
      <w:r w:rsidRPr="00491E0E">
        <w:rPr>
          <w:szCs w:val="22"/>
          <w:lang w:val="sr-Latn-ME"/>
        </w:rPr>
        <w:t xml:space="preserve"> i kantarion (</w:t>
      </w:r>
      <w:proofErr w:type="spellStart"/>
      <w:r w:rsidRPr="00491E0E">
        <w:rPr>
          <w:i/>
          <w:szCs w:val="22"/>
          <w:lang w:val="sr-Latn-ME"/>
        </w:rPr>
        <w:t>Hypericum</w:t>
      </w:r>
      <w:proofErr w:type="spellEnd"/>
      <w:r w:rsidRPr="00491E0E">
        <w:rPr>
          <w:i/>
          <w:szCs w:val="22"/>
          <w:lang w:val="sr-Latn-ME"/>
        </w:rPr>
        <w:t xml:space="preserve"> </w:t>
      </w:r>
      <w:proofErr w:type="spellStart"/>
      <w:r w:rsidRPr="00491E0E">
        <w:rPr>
          <w:i/>
          <w:szCs w:val="22"/>
          <w:lang w:val="sr-Latn-ME"/>
        </w:rPr>
        <w:t>perforatum</w:t>
      </w:r>
      <w:proofErr w:type="spellEnd"/>
      <w:r w:rsidRPr="00491E0E">
        <w:rPr>
          <w:szCs w:val="22"/>
          <w:lang w:val="sr-Latn-ME"/>
        </w:rPr>
        <w:t xml:space="preserve">) mogu da smanje koncentraciju </w:t>
      </w:r>
      <w:proofErr w:type="spellStart"/>
      <w:r w:rsidRPr="00491E0E">
        <w:rPr>
          <w:szCs w:val="22"/>
          <w:lang w:val="sr-Latn-ME"/>
        </w:rPr>
        <w:t>inhibitora</w:t>
      </w:r>
      <w:proofErr w:type="spellEnd"/>
      <w:r w:rsidRPr="00491E0E">
        <w:rPr>
          <w:szCs w:val="22"/>
          <w:lang w:val="sr-Latn-ME"/>
        </w:rPr>
        <w:t xml:space="preserve"> protonske pumpe u plazmi, koji se </w:t>
      </w:r>
      <w:proofErr w:type="spellStart"/>
      <w:r w:rsidRPr="00491E0E">
        <w:rPr>
          <w:szCs w:val="22"/>
          <w:lang w:val="sr-Latn-ME"/>
        </w:rPr>
        <w:t>metabolišu</w:t>
      </w:r>
      <w:proofErr w:type="spellEnd"/>
      <w:r w:rsidRPr="00491E0E">
        <w:rPr>
          <w:szCs w:val="22"/>
          <w:lang w:val="sr-Latn-ME"/>
        </w:rPr>
        <w:t xml:space="preserve"> posredstvom ovih enzima.</w:t>
      </w:r>
    </w:p>
    <w:p w14:paraId="38E93126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650F5C2A" w14:textId="52C233E9" w:rsidR="00986E21" w:rsidRPr="00491E0E" w:rsidRDefault="00070A10" w:rsidP="00753B1E">
      <w:pPr>
        <w:widowControl w:val="0"/>
        <w:spacing w:line="240" w:lineRule="auto"/>
        <w:jc w:val="both"/>
        <w:rPr>
          <w:szCs w:val="22"/>
          <w:lang w:val="sr-Latn-ME"/>
        </w:rPr>
      </w:pPr>
      <w:r w:rsidRPr="00491E0E">
        <w:rPr>
          <w:i/>
          <w:iCs/>
          <w:szCs w:val="22"/>
          <w:u w:val="single"/>
          <w:lang w:val="sr-Latn-ME"/>
        </w:rPr>
        <w:t>Interakcije lijeka s laboratorijskim pretragama</w:t>
      </w:r>
      <w:r w:rsidRPr="00491E0E">
        <w:rPr>
          <w:i/>
          <w:iCs/>
          <w:szCs w:val="22"/>
          <w:u w:val="single"/>
          <w:lang w:val="sr-Latn-ME"/>
        </w:rPr>
        <w:cr/>
      </w:r>
      <w:r w:rsidRPr="00491E0E">
        <w:rPr>
          <w:szCs w:val="22"/>
          <w:lang w:val="sr-Latn-ME"/>
        </w:rPr>
        <w:t xml:space="preserve">Kod pacijenata koji su primali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prijavljeni su lažno pozitivni rezultati u nekim </w:t>
      </w:r>
      <w:proofErr w:type="spellStart"/>
      <w:r w:rsidRPr="00491E0E">
        <w:rPr>
          <w:szCs w:val="22"/>
          <w:lang w:val="sr-Latn-ME"/>
        </w:rPr>
        <w:t>skrining</w:t>
      </w:r>
      <w:proofErr w:type="spellEnd"/>
      <w:r w:rsidRPr="00491E0E">
        <w:rPr>
          <w:szCs w:val="22"/>
          <w:lang w:val="sr-Latn-ME"/>
        </w:rPr>
        <w:t xml:space="preserve"> pretragama urina na </w:t>
      </w:r>
      <w:proofErr w:type="spellStart"/>
      <w:r w:rsidRPr="00491E0E">
        <w:rPr>
          <w:szCs w:val="22"/>
          <w:lang w:val="sr-Latn-ME"/>
        </w:rPr>
        <w:t>tetrahidrokanabinol</w:t>
      </w:r>
      <w:proofErr w:type="spellEnd"/>
      <w:r w:rsidRPr="00491E0E">
        <w:rPr>
          <w:szCs w:val="22"/>
          <w:lang w:val="sr-Latn-ME"/>
        </w:rPr>
        <w:t xml:space="preserve"> (THC). Potrebno je razmotriti koriš</w:t>
      </w:r>
      <w:r w:rsidR="004D4567" w:rsidRPr="00491E0E">
        <w:rPr>
          <w:szCs w:val="22"/>
          <w:lang w:val="sr-Latn-ME"/>
        </w:rPr>
        <w:t>ć</w:t>
      </w:r>
      <w:r w:rsidRPr="00491E0E">
        <w:rPr>
          <w:szCs w:val="22"/>
          <w:lang w:val="sr-Latn-ME"/>
        </w:rPr>
        <w:t>enje alternativne potvrdne metode za provjeru pozitivnih rezultata.</w:t>
      </w:r>
    </w:p>
    <w:p w14:paraId="194F9D8A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1E5B684A" w14:textId="77777777" w:rsidR="00986E21" w:rsidRPr="00491E0E" w:rsidRDefault="00070A10" w:rsidP="00753B1E">
      <w:pPr>
        <w:widowControl w:val="0"/>
        <w:spacing w:line="240" w:lineRule="auto"/>
        <w:ind w:left="567" w:hanging="567"/>
        <w:jc w:val="both"/>
        <w:outlineLvl w:val="0"/>
        <w:rPr>
          <w:b/>
          <w:bCs/>
          <w:szCs w:val="22"/>
          <w:lang w:val="sr-Latn-ME"/>
        </w:rPr>
      </w:pPr>
      <w:r w:rsidRPr="00491E0E">
        <w:rPr>
          <w:b/>
          <w:szCs w:val="22"/>
          <w:lang w:val="sr-Latn-ME"/>
        </w:rPr>
        <w:t>4.6</w:t>
      </w:r>
      <w:r w:rsidRPr="00491E0E">
        <w:rPr>
          <w:b/>
          <w:szCs w:val="22"/>
          <w:lang w:val="sr-Latn-ME"/>
        </w:rPr>
        <w:tab/>
      </w:r>
      <w:r w:rsidRPr="00491E0E">
        <w:rPr>
          <w:b/>
          <w:bCs/>
          <w:szCs w:val="22"/>
          <w:lang w:val="sr-Latn-ME"/>
        </w:rPr>
        <w:t>Plodnost, trudnoća i dojenje</w:t>
      </w:r>
    </w:p>
    <w:p w14:paraId="33BC985B" w14:textId="77777777" w:rsidR="00986E21" w:rsidRPr="00491E0E" w:rsidRDefault="00986E21" w:rsidP="00753B1E">
      <w:pPr>
        <w:widowControl w:val="0"/>
        <w:spacing w:line="240" w:lineRule="auto"/>
        <w:ind w:left="567" w:hanging="567"/>
        <w:jc w:val="both"/>
        <w:outlineLvl w:val="0"/>
        <w:rPr>
          <w:b/>
          <w:bCs/>
          <w:szCs w:val="22"/>
          <w:lang w:val="sr-Latn-ME"/>
        </w:rPr>
      </w:pPr>
    </w:p>
    <w:p w14:paraId="652D9ABF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val="sr-Latn-ME"/>
        </w:rPr>
      </w:pPr>
      <w:r w:rsidRPr="00491E0E">
        <w:rPr>
          <w:iCs/>
          <w:szCs w:val="22"/>
          <w:u w:val="single"/>
          <w:lang w:val="sr-Latn-ME"/>
        </w:rPr>
        <w:t>Trudnoća</w:t>
      </w:r>
    </w:p>
    <w:p w14:paraId="21967A5D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Ograničen broj podataka kod trudnica (između 300-1000 ishoda trudnoće) ukazuju da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nema </w:t>
      </w:r>
      <w:proofErr w:type="spellStart"/>
      <w:r w:rsidRPr="00491E0E">
        <w:rPr>
          <w:szCs w:val="22"/>
          <w:lang w:val="sr-Latn-ME"/>
        </w:rPr>
        <w:t>malformativnu</w:t>
      </w:r>
      <w:proofErr w:type="spellEnd"/>
      <w:r w:rsidRPr="00491E0E">
        <w:rPr>
          <w:szCs w:val="22"/>
          <w:lang w:val="sr-Latn-ME"/>
        </w:rPr>
        <w:t xml:space="preserve"> ili </w:t>
      </w:r>
      <w:proofErr w:type="spellStart"/>
      <w:r w:rsidRPr="00491E0E">
        <w:rPr>
          <w:szCs w:val="22"/>
          <w:lang w:val="sr-Latn-ME"/>
        </w:rPr>
        <w:t>feto</w:t>
      </w:r>
      <w:proofErr w:type="spellEnd"/>
      <w:r w:rsidRPr="00491E0E">
        <w:rPr>
          <w:szCs w:val="22"/>
          <w:lang w:val="sr-Latn-ME"/>
        </w:rPr>
        <w:t>/</w:t>
      </w:r>
      <w:proofErr w:type="spellStart"/>
      <w:r w:rsidRPr="00491E0E">
        <w:rPr>
          <w:szCs w:val="22"/>
          <w:lang w:val="sr-Latn-ME"/>
        </w:rPr>
        <w:t>neonatalnu</w:t>
      </w:r>
      <w:proofErr w:type="spellEnd"/>
      <w:r w:rsidRPr="00491E0E">
        <w:rPr>
          <w:szCs w:val="22"/>
          <w:lang w:val="sr-Latn-ME"/>
        </w:rPr>
        <w:t xml:space="preserve"> toksičnost. </w:t>
      </w:r>
    </w:p>
    <w:p w14:paraId="24E1079F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Ispitivanja na životinjama su pokazala reproduktivnu toksičnost (vidjeti dio 5.3). </w:t>
      </w:r>
    </w:p>
    <w:p w14:paraId="67EE1D53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szCs w:val="22"/>
          <w:lang w:val="sr-Latn-ME"/>
        </w:rPr>
        <w:t xml:space="preserve">Kao mjera opreza, poželjno je izbjegavati primjenu lijeka </w:t>
      </w:r>
      <w:proofErr w:type="spellStart"/>
      <w:r w:rsidRPr="00491E0E">
        <w:rPr>
          <w:szCs w:val="22"/>
          <w:lang w:val="sr-Latn-ME"/>
        </w:rPr>
        <w:t>Nolpaza</w:t>
      </w:r>
      <w:proofErr w:type="spellEnd"/>
      <w:r w:rsidRPr="00491E0E">
        <w:rPr>
          <w:szCs w:val="22"/>
          <w:lang w:val="sr-Latn-ME"/>
        </w:rPr>
        <w:t xml:space="preserve"> tokom trudnoće.</w:t>
      </w:r>
    </w:p>
    <w:p w14:paraId="34E7ECB1" w14:textId="77777777" w:rsidR="00986E21" w:rsidRPr="00491E0E" w:rsidRDefault="00986E21" w:rsidP="00753B1E">
      <w:pPr>
        <w:spacing w:line="240" w:lineRule="auto"/>
        <w:rPr>
          <w:szCs w:val="22"/>
          <w:lang w:val="sr-Latn-ME"/>
        </w:rPr>
      </w:pPr>
    </w:p>
    <w:p w14:paraId="40701F96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val="sr-Latn-ME"/>
        </w:rPr>
      </w:pPr>
      <w:r w:rsidRPr="00491E0E">
        <w:rPr>
          <w:iCs/>
          <w:szCs w:val="22"/>
          <w:u w:val="single"/>
          <w:lang w:val="sr-Latn-ME"/>
        </w:rPr>
        <w:t>Dojenje</w:t>
      </w:r>
    </w:p>
    <w:p w14:paraId="28789CCE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szCs w:val="22"/>
          <w:lang w:val="sr-Latn-ME"/>
        </w:rPr>
        <w:t xml:space="preserve">Studije na životinjama pokazale su da se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izlučuje putem mlijeka. Nema dovoljno podataka o izlučivanju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u ljudsko mlijeko, ali postoji izvještaj i o ekskreciji u mlijeku kod žena. Rizik po novorođenče/odojče se ne može isključiti. Zbog toga odluku o prekidu dojenja ili prekidu/uzdržavanju od terapije </w:t>
      </w:r>
      <w:proofErr w:type="spellStart"/>
      <w:r w:rsidRPr="00491E0E">
        <w:rPr>
          <w:szCs w:val="22"/>
          <w:lang w:val="sr-Latn-ME"/>
        </w:rPr>
        <w:t>pantoprazolom</w:t>
      </w:r>
      <w:proofErr w:type="spellEnd"/>
      <w:r w:rsidRPr="00491E0E">
        <w:rPr>
          <w:szCs w:val="22"/>
          <w:lang w:val="sr-Latn-ME"/>
        </w:rPr>
        <w:t xml:space="preserve"> treba donijeti uzimajući u obzir korist dojenja za dijete i korist primjene terapije kod žene.</w:t>
      </w:r>
    </w:p>
    <w:p w14:paraId="3624401C" w14:textId="77777777" w:rsidR="00986E21" w:rsidRPr="00491E0E" w:rsidRDefault="00986E21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</w:p>
    <w:p w14:paraId="27BC51A2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szCs w:val="22"/>
          <w:u w:val="single"/>
          <w:lang w:val="sr-Latn-ME"/>
        </w:rPr>
        <w:t xml:space="preserve">Plodnost </w:t>
      </w:r>
    </w:p>
    <w:p w14:paraId="7E94770F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Ispitivanja na životinjama nijesu pokazala da primjena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ima uticaja na plodnost (vidjeti dio 5.3).</w:t>
      </w:r>
    </w:p>
    <w:p w14:paraId="20A87808" w14:textId="77777777" w:rsidR="00986E21" w:rsidRPr="00491E0E" w:rsidRDefault="00986E21" w:rsidP="00753B1E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7A118EDD" w14:textId="77777777" w:rsidR="00986E21" w:rsidRPr="00491E0E" w:rsidRDefault="00070A10" w:rsidP="00753B1E">
      <w:pPr>
        <w:widowControl w:val="0"/>
        <w:spacing w:line="240" w:lineRule="auto"/>
        <w:ind w:left="567" w:hanging="567"/>
        <w:jc w:val="both"/>
        <w:outlineLvl w:val="0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4.7</w:t>
      </w:r>
      <w:r w:rsidRPr="00491E0E">
        <w:rPr>
          <w:b/>
          <w:szCs w:val="22"/>
          <w:lang w:val="sr-Latn-ME"/>
        </w:rPr>
        <w:tab/>
      </w:r>
      <w:r w:rsidRPr="00491E0E">
        <w:rPr>
          <w:b/>
          <w:bCs/>
          <w:szCs w:val="22"/>
          <w:lang w:val="sr-Latn-ME"/>
        </w:rPr>
        <w:t xml:space="preserve">Uticaj na sposobnost upravljanja vozilima i rukovanje mašinama </w:t>
      </w:r>
    </w:p>
    <w:p w14:paraId="0EA2AAD3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118021EB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nema ili ima zanemarljiv uticaj na sposobnost upravljanja vozilima i rukovanje mašinama. </w:t>
      </w:r>
    </w:p>
    <w:p w14:paraId="7BA1EFDC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Mogu se javiti neželjena dejstva poput vrtoglavice i poremećaja vida (vidjeti poglavlje 4.8). U slučaju pojave ovih neželjenih reakcija, pacijenti ne smiju upravljati motornim vozilom i rukovati mašinama.</w:t>
      </w:r>
    </w:p>
    <w:p w14:paraId="0E7BD3AB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3F740DA1" w14:textId="77777777" w:rsidR="00986E21" w:rsidRPr="00491E0E" w:rsidRDefault="00070A10" w:rsidP="00753B1E">
      <w:pPr>
        <w:widowControl w:val="0"/>
        <w:numPr>
          <w:ilvl w:val="1"/>
          <w:numId w:val="11"/>
        </w:numPr>
        <w:spacing w:line="240" w:lineRule="auto"/>
        <w:jc w:val="both"/>
        <w:outlineLvl w:val="0"/>
        <w:rPr>
          <w:b/>
          <w:szCs w:val="22"/>
          <w:lang w:val="sr-Latn-ME"/>
        </w:rPr>
      </w:pPr>
      <w:r w:rsidRPr="00491E0E">
        <w:rPr>
          <w:b/>
          <w:szCs w:val="22"/>
          <w:lang w:val="sr-Latn-ME"/>
        </w:rPr>
        <w:t>Neželjena dejstva</w:t>
      </w:r>
    </w:p>
    <w:p w14:paraId="623BB067" w14:textId="77777777" w:rsidR="00986E21" w:rsidRPr="00491E0E" w:rsidRDefault="00986E21" w:rsidP="00753B1E">
      <w:pPr>
        <w:pStyle w:val="Default"/>
        <w:widowControl w:val="0"/>
        <w:jc w:val="both"/>
        <w:rPr>
          <w:color w:val="auto"/>
          <w:sz w:val="22"/>
          <w:szCs w:val="22"/>
          <w:lang w:val="sr-Latn-ME"/>
        </w:rPr>
      </w:pPr>
    </w:p>
    <w:p w14:paraId="26EB543C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U prosjeku se kod 5% pacijenata  može očekivati pojava neželjenih reakcija. </w:t>
      </w:r>
    </w:p>
    <w:p w14:paraId="2D0B3C18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230D2456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Neželjena dejstva prikazana u Tabeli 1 svrstana su prema sljedećoj klasifikaciji učestalosti: veoma česta (≥1/10), česta (≥1/100; &lt;1/10), povremena (≥1/1000; &lt;1/100), rijetka (≥1/10000; &lt;1/1000), veoma rijetka (&lt;1/10000) i nepoznata (ne mogu se procijeniti na osnovu raspoloživih podataka). </w:t>
      </w:r>
    </w:p>
    <w:p w14:paraId="4A37B2E3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lastRenderedPageBreak/>
        <w:t xml:space="preserve">Za sva neželjena dejstva prijavljena tokom </w:t>
      </w:r>
      <w:proofErr w:type="spellStart"/>
      <w:r w:rsidRPr="00491E0E">
        <w:rPr>
          <w:szCs w:val="22"/>
          <w:lang w:val="sr-Latn-ME"/>
        </w:rPr>
        <w:t>postmarketinškog</w:t>
      </w:r>
      <w:proofErr w:type="spellEnd"/>
      <w:r w:rsidRPr="00491E0E">
        <w:rPr>
          <w:szCs w:val="22"/>
          <w:lang w:val="sr-Latn-ME"/>
        </w:rPr>
        <w:t xml:space="preserve"> iskustva nije moguće odrediti učestalost javljanja i zbog toga se nalaze u dijelu "nepoznata" učestalost.</w:t>
      </w:r>
    </w:p>
    <w:p w14:paraId="55D6786B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1FD6856D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U svakoj kategoriji učestalosti, redosl</w:t>
      </w:r>
      <w:r w:rsidR="004D4567" w:rsidRPr="00491E0E">
        <w:rPr>
          <w:szCs w:val="22"/>
          <w:lang w:val="sr-Latn-ME"/>
        </w:rPr>
        <w:t>i</w:t>
      </w:r>
      <w:r w:rsidRPr="00491E0E">
        <w:rPr>
          <w:szCs w:val="22"/>
          <w:lang w:val="sr-Latn-ME"/>
        </w:rPr>
        <w:t>jed neželjenih dejstava kreće se od najozbiljnijih do najblažih.</w:t>
      </w:r>
    </w:p>
    <w:p w14:paraId="03C9774D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62F26A23" w14:textId="77777777" w:rsidR="00986E21" w:rsidRPr="00491E0E" w:rsidRDefault="00070A10" w:rsidP="00753B1E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0"/>
        <w:jc w:val="both"/>
        <w:rPr>
          <w:i/>
          <w:szCs w:val="22"/>
          <w:lang w:val="sr-Latn-ME"/>
        </w:rPr>
      </w:pPr>
      <w:r w:rsidRPr="00491E0E">
        <w:rPr>
          <w:b/>
          <w:i/>
          <w:szCs w:val="22"/>
          <w:lang w:val="sr-Latn-ME"/>
        </w:rPr>
        <w:t>Tabela 1.</w:t>
      </w:r>
      <w:r w:rsidRPr="00491E0E">
        <w:rPr>
          <w:i/>
          <w:szCs w:val="22"/>
          <w:lang w:val="sr-Latn-ME"/>
        </w:rPr>
        <w:t xml:space="preserve"> Neželjena dejstva </w:t>
      </w:r>
      <w:proofErr w:type="spellStart"/>
      <w:r w:rsidRPr="00491E0E">
        <w:rPr>
          <w:i/>
          <w:szCs w:val="22"/>
          <w:lang w:val="sr-Latn-ME"/>
        </w:rPr>
        <w:t>pantoprazola</w:t>
      </w:r>
      <w:proofErr w:type="spellEnd"/>
      <w:r w:rsidRPr="00491E0E">
        <w:rPr>
          <w:i/>
          <w:szCs w:val="22"/>
          <w:lang w:val="sr-Latn-ME"/>
        </w:rPr>
        <w:t xml:space="preserve"> u kliničkim ispitivanjima i </w:t>
      </w:r>
      <w:proofErr w:type="spellStart"/>
      <w:r w:rsidRPr="00491E0E">
        <w:rPr>
          <w:i/>
          <w:szCs w:val="22"/>
          <w:lang w:val="sr-Latn-ME"/>
        </w:rPr>
        <w:t>postmarketinškom</w:t>
      </w:r>
      <w:proofErr w:type="spellEnd"/>
      <w:r w:rsidRPr="00491E0E">
        <w:rPr>
          <w:i/>
          <w:szCs w:val="22"/>
          <w:lang w:val="sr-Latn-ME"/>
        </w:rPr>
        <w:t xml:space="preserve"> iskustvu</w:t>
      </w:r>
    </w:p>
    <w:p w14:paraId="08DE9E27" w14:textId="77777777" w:rsidR="00986E21" w:rsidRPr="00491E0E" w:rsidRDefault="00986E21" w:rsidP="00753B1E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0"/>
        <w:jc w:val="both"/>
        <w:rPr>
          <w:i/>
          <w:szCs w:val="22"/>
          <w:lang w:val="sr-Latn-ME"/>
        </w:rPr>
      </w:pPr>
    </w:p>
    <w:tbl>
      <w:tblPr>
        <w:tblW w:w="506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813"/>
        <w:gridCol w:w="1271"/>
        <w:gridCol w:w="1255"/>
        <w:gridCol w:w="1580"/>
        <w:gridCol w:w="1637"/>
        <w:gridCol w:w="1598"/>
      </w:tblGrid>
      <w:tr w:rsidR="00986E21" w:rsidRPr="00491E0E" w14:paraId="31EFB45F" w14:textId="77777777">
        <w:trPr>
          <w:trHeight w:val="469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66050C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single" w:sz="8" w:space="0" w:color="auto"/>
              <w:left w:val="nil"/>
              <w:right w:val="single" w:sz="8" w:space="0" w:color="auto"/>
              <w:tl2br w:val="single" w:sz="4" w:space="0" w:color="auto"/>
            </w:tcBorders>
            <w:vAlign w:val="bottom"/>
          </w:tcPr>
          <w:p w14:paraId="67DC971E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lang w:val="sr-Latn-ME"/>
              </w:rPr>
            </w:pPr>
            <w:r w:rsidRPr="00491E0E">
              <w:rPr>
                <w:b/>
                <w:szCs w:val="22"/>
                <w:lang w:val="sr-Latn-ME"/>
              </w:rPr>
              <w:t xml:space="preserve">             Učestalost</w:t>
            </w:r>
          </w:p>
          <w:p w14:paraId="149E3A1C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u w:val="single"/>
                <w:lang w:val="sr-Latn-ME"/>
              </w:rPr>
            </w:pPr>
          </w:p>
          <w:p w14:paraId="15280058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lang w:val="sr-Latn-ME"/>
              </w:rPr>
            </w:pPr>
            <w:r w:rsidRPr="00491E0E">
              <w:rPr>
                <w:b/>
                <w:szCs w:val="22"/>
                <w:lang w:val="sr-Latn-ME"/>
              </w:rPr>
              <w:t xml:space="preserve">Klasa </w:t>
            </w:r>
          </w:p>
          <w:p w14:paraId="3AA1DDFA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lang w:val="sr-Latn-ME"/>
              </w:rPr>
            </w:pPr>
            <w:r w:rsidRPr="00491E0E">
              <w:rPr>
                <w:b/>
                <w:szCs w:val="22"/>
                <w:lang w:val="sr-Latn-ME"/>
              </w:rPr>
              <w:t>organskih</w:t>
            </w:r>
          </w:p>
          <w:p w14:paraId="6ECD8786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r w:rsidRPr="00491E0E">
              <w:rPr>
                <w:b/>
                <w:szCs w:val="22"/>
                <w:lang w:val="sr-Latn-ME"/>
              </w:rPr>
              <w:t xml:space="preserve"> sistema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DD5195D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center"/>
              <w:rPr>
                <w:b/>
                <w:szCs w:val="22"/>
                <w:lang w:val="sr-Latn-ME"/>
              </w:rPr>
            </w:pPr>
            <w:r w:rsidRPr="00491E0E">
              <w:rPr>
                <w:b/>
                <w:szCs w:val="22"/>
                <w:lang w:val="sr-Latn-ME"/>
              </w:rPr>
              <w:t>Česta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3ADE06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center"/>
              <w:rPr>
                <w:b/>
                <w:szCs w:val="22"/>
                <w:lang w:val="sr-Latn-ME"/>
              </w:rPr>
            </w:pPr>
            <w:r w:rsidRPr="00491E0E">
              <w:rPr>
                <w:b/>
                <w:szCs w:val="22"/>
                <w:lang w:val="sr-Latn-ME"/>
              </w:rPr>
              <w:t>Povremena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46472D6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center"/>
              <w:rPr>
                <w:b/>
                <w:szCs w:val="22"/>
                <w:lang w:val="sr-Latn-ME"/>
              </w:rPr>
            </w:pPr>
            <w:r w:rsidRPr="00491E0E">
              <w:rPr>
                <w:b/>
                <w:szCs w:val="22"/>
                <w:lang w:val="sr-Latn-ME"/>
              </w:rPr>
              <w:t>Rijetka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C96295F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center"/>
              <w:rPr>
                <w:b/>
                <w:szCs w:val="22"/>
                <w:lang w:val="sr-Latn-ME"/>
              </w:rPr>
            </w:pPr>
            <w:r w:rsidRPr="00491E0E">
              <w:rPr>
                <w:b/>
                <w:szCs w:val="22"/>
                <w:lang w:val="sr-Latn-ME"/>
              </w:rPr>
              <w:t>Veoma rijetka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7BE131A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center"/>
              <w:rPr>
                <w:b/>
                <w:szCs w:val="22"/>
                <w:lang w:val="sr-Latn-ME"/>
              </w:rPr>
            </w:pPr>
            <w:r w:rsidRPr="00491E0E">
              <w:rPr>
                <w:b/>
                <w:szCs w:val="22"/>
                <w:lang w:val="sr-Latn-ME"/>
              </w:rPr>
              <w:t>Nepoznata</w:t>
            </w:r>
          </w:p>
        </w:tc>
      </w:tr>
      <w:tr w:rsidR="00986E21" w:rsidRPr="00491E0E" w14:paraId="063C6C6C" w14:textId="77777777">
        <w:trPr>
          <w:trHeight w:val="8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E777E1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EEC4A2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FFA6925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A098AA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0DA512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82925C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359FB3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3DED2458" w14:textId="77777777">
        <w:trPr>
          <w:trHeight w:val="203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182F45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DA4135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Poremećaji na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104719C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8741F8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FA87D4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Agranulocitoza</w:t>
            </w:r>
            <w:proofErr w:type="spellEnd"/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39CDD2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Trombocitopenija</w:t>
            </w:r>
            <w:proofErr w:type="spellEnd"/>
            <w:r w:rsidRPr="00491E0E">
              <w:rPr>
                <w:szCs w:val="22"/>
                <w:lang w:val="sr-Latn-ME"/>
              </w:rPr>
              <w:t>,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99CA28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5AD3B99C" w14:textId="77777777">
        <w:trPr>
          <w:trHeight w:val="235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980634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32E89B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nivou krvi i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8127BD8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25D8C5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F9EC77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F13E1D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Leukopenija</w:t>
            </w:r>
            <w:proofErr w:type="spellEnd"/>
            <w:r w:rsidRPr="00491E0E">
              <w:rPr>
                <w:szCs w:val="22"/>
                <w:lang w:val="sr-Latn-ME"/>
              </w:rPr>
              <w:t>,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E8B0CE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2670320E" w14:textId="77777777">
        <w:trPr>
          <w:trHeight w:val="262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84694C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C830FE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limfnog sistema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C7CCF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1CC07A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10F9C3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4A87FC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Pancitopenija</w:t>
            </w:r>
            <w:proofErr w:type="spellEnd"/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4F6F5D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6C59D74D" w14:textId="77777777">
        <w:trPr>
          <w:trHeight w:val="208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3D12E3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0A5319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Imunološki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22CE9B" w14:textId="77777777" w:rsidR="00986E21" w:rsidRPr="00491E0E" w:rsidRDefault="00986E21" w:rsidP="00753B1E">
            <w:pPr>
              <w:keepNext/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5CF922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CE6B9D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Hipersenzitivnost</w:t>
            </w:r>
            <w:proofErr w:type="spellEnd"/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032CFF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E1E6A3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7D116009" w14:textId="77777777">
        <w:trPr>
          <w:trHeight w:val="235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A587E1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5A9396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poremećaji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7DCBAF5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FD1E32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7C5228" w14:textId="77777777" w:rsidR="00986E21" w:rsidRPr="00491E0E" w:rsidRDefault="00070A10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(uključujući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68BB40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E43D53" w14:textId="77777777" w:rsidR="00986E21" w:rsidRPr="00491E0E" w:rsidRDefault="00986E21" w:rsidP="00753B1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09F56D59" w14:textId="77777777">
        <w:trPr>
          <w:trHeight w:val="235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9E23A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CAD26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F6824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EF9A0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F40084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anafilaktičke</w:t>
            </w:r>
            <w:proofErr w:type="spellEnd"/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C48DD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831CD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5E572CAA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70A6A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B54A4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EF4CD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631BF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356A97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reakcije i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46E6B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0ED03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6829DE69" w14:textId="77777777">
        <w:trPr>
          <w:trHeight w:val="87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596FA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1DBAE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980A3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CC687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CFCB69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anafilaktički</w:t>
            </w:r>
            <w:proofErr w:type="spellEnd"/>
            <w:r w:rsidRPr="00491E0E">
              <w:rPr>
                <w:szCs w:val="22"/>
                <w:lang w:val="sr-Latn-ME"/>
              </w:rPr>
              <w:t xml:space="preserve"> šok)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BB477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B2B07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400E607E" w14:textId="77777777">
        <w:trPr>
          <w:trHeight w:val="43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46600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DEA604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Poremećaji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93A72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7FF90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68253FF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Hiperlipidemija</w:t>
            </w:r>
            <w:proofErr w:type="spellEnd"/>
          </w:p>
          <w:p w14:paraId="70DD233E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i povećanje lipida</w:t>
            </w:r>
          </w:p>
          <w:p w14:paraId="6E9DF7E8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(</w:t>
            </w:r>
            <w:proofErr w:type="spellStart"/>
            <w:r w:rsidRPr="00491E0E">
              <w:rPr>
                <w:szCs w:val="22"/>
                <w:lang w:val="sr-Latn-ME"/>
              </w:rPr>
              <w:t>triglicerida</w:t>
            </w:r>
            <w:proofErr w:type="spellEnd"/>
            <w:r w:rsidRPr="00491E0E">
              <w:rPr>
                <w:szCs w:val="22"/>
                <w:lang w:val="sr-Latn-ME"/>
              </w:rPr>
              <w:t>,</w:t>
            </w:r>
          </w:p>
          <w:p w14:paraId="3D3C7F2F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holesterola</w:t>
            </w:r>
            <w:proofErr w:type="spellEnd"/>
            <w:r w:rsidRPr="00491E0E">
              <w:rPr>
                <w:szCs w:val="22"/>
                <w:lang w:val="sr-Latn-ME"/>
              </w:rPr>
              <w:t>),</w:t>
            </w:r>
          </w:p>
          <w:p w14:paraId="54E80A4F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Promjene tjelesne</w:t>
            </w:r>
          </w:p>
          <w:p w14:paraId="64E0698A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mase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3DC21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C4C39A9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Hiponatrijemija</w:t>
            </w:r>
            <w:proofErr w:type="spellEnd"/>
            <w:r w:rsidRPr="00491E0E">
              <w:rPr>
                <w:szCs w:val="22"/>
                <w:lang w:val="sr-Latn-ME"/>
              </w:rPr>
              <w:t>,</w:t>
            </w:r>
          </w:p>
          <w:p w14:paraId="034CD68C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hipomagnezijemija</w:t>
            </w:r>
            <w:proofErr w:type="spellEnd"/>
          </w:p>
          <w:p w14:paraId="35CF7DA5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(vidjeti dio   4.4)</w:t>
            </w:r>
          </w:p>
          <w:p w14:paraId="7413F30A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vertAlign w:val="superscript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Hipokalcijemija</w:t>
            </w:r>
            <w:proofErr w:type="spellEnd"/>
            <w:r w:rsidRPr="00491E0E">
              <w:rPr>
                <w:szCs w:val="22"/>
                <w:vertAlign w:val="superscript"/>
                <w:lang w:val="sr-Latn-ME"/>
              </w:rPr>
              <w:t>(1)</w:t>
            </w:r>
          </w:p>
          <w:p w14:paraId="3C5FBE25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Hipokalijemija</w:t>
            </w:r>
            <w:proofErr w:type="spellEnd"/>
            <w:r w:rsidRPr="00491E0E">
              <w:rPr>
                <w:szCs w:val="22"/>
                <w:vertAlign w:val="superscript"/>
                <w:lang w:val="sr-Latn-ME"/>
              </w:rPr>
              <w:t>(1)</w:t>
            </w:r>
          </w:p>
        </w:tc>
      </w:tr>
      <w:tr w:rsidR="00986E21" w:rsidRPr="00491E0E" w14:paraId="244A001A" w14:textId="77777777">
        <w:trPr>
          <w:trHeight w:val="189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988D7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776027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metabolizma i ishrane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B076C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CACE5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E5AFC6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92E87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ED1BA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53E8CA4F" w14:textId="77777777">
        <w:trPr>
          <w:trHeight w:val="235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F2AEC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28C1A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99A23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F2136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9DFC31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4D282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30AE46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2B016BF0" w14:textId="77777777">
        <w:trPr>
          <w:trHeight w:val="235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A62DD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3871B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7005B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986E8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4D55FE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CDDF2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CF62BF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6646E883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969B6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D551C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AF2D8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71DBD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80BE4F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5C402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D16299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3A8C3E35" w14:textId="77777777">
        <w:trPr>
          <w:trHeight w:val="262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52D53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C965F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5A3C5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C93CC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2E7FF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EF9AA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0D629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60AFBFE6" w14:textId="77777777">
        <w:trPr>
          <w:trHeight w:val="293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3B3AB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475E0F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 xml:space="preserve">Psihijatrijski poremećaji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4F0436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56E471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Poremećaji sna</w:t>
            </w:r>
          </w:p>
        </w:tc>
        <w:tc>
          <w:tcPr>
            <w:tcW w:w="86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086A009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Depresija</w:t>
            </w:r>
          </w:p>
          <w:p w14:paraId="27B66312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(sa svim</w:t>
            </w:r>
          </w:p>
          <w:p w14:paraId="1B036F4D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pogoršanjima)</w:t>
            </w:r>
          </w:p>
        </w:tc>
        <w:tc>
          <w:tcPr>
            <w:tcW w:w="891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DD19491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Dezorijentacija</w:t>
            </w:r>
          </w:p>
          <w:p w14:paraId="1C3D7657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(sa svim</w:t>
            </w:r>
          </w:p>
          <w:p w14:paraId="7CF19E3A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pogoršanjima)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5C5000DE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Halucinacija</w:t>
            </w:r>
          </w:p>
          <w:p w14:paraId="043E30C6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Konfuzija (naročito kod</w:t>
            </w:r>
          </w:p>
          <w:p w14:paraId="60E1D386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predisponiranih</w:t>
            </w:r>
          </w:p>
          <w:p w14:paraId="527CB357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pacijenata, kao i</w:t>
            </w:r>
          </w:p>
          <w:p w14:paraId="14F8ED85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pogoršanje ovih</w:t>
            </w:r>
          </w:p>
          <w:p w14:paraId="2CBCC3C9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simptoma u slučaju postojeće bolesti)</w:t>
            </w:r>
          </w:p>
        </w:tc>
      </w:tr>
      <w:tr w:rsidR="00986E21" w:rsidRPr="00491E0E" w14:paraId="3CC78B41" w14:textId="77777777">
        <w:trPr>
          <w:trHeight w:val="235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61B82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E211E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D56FB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2B53B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33748C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AEEF39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vMerge/>
            <w:tcBorders>
              <w:left w:val="nil"/>
              <w:right w:val="single" w:sz="8" w:space="0" w:color="auto"/>
            </w:tcBorders>
          </w:tcPr>
          <w:p w14:paraId="1C03119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256C9361" w14:textId="77777777">
        <w:trPr>
          <w:trHeight w:val="87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36009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C0D79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1B09E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56D0A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68FA7A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201F9DB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vMerge/>
            <w:tcBorders>
              <w:left w:val="nil"/>
              <w:right w:val="single" w:sz="8" w:space="0" w:color="auto"/>
            </w:tcBorders>
          </w:tcPr>
          <w:p w14:paraId="77F24C7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73ED65A5" w14:textId="77777777">
        <w:trPr>
          <w:trHeight w:val="87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5EA66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22F07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71169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7DAD7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B74E16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F7520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vMerge/>
            <w:tcBorders>
              <w:left w:val="nil"/>
              <w:right w:val="single" w:sz="8" w:space="0" w:color="auto"/>
            </w:tcBorders>
          </w:tcPr>
          <w:p w14:paraId="3413BAA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78965932" w14:textId="77777777">
        <w:trPr>
          <w:trHeight w:val="235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61733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8EAE3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BE8A1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C35AF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38640D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72B3B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vMerge/>
            <w:tcBorders>
              <w:left w:val="nil"/>
              <w:right w:val="single" w:sz="8" w:space="0" w:color="auto"/>
            </w:tcBorders>
          </w:tcPr>
          <w:p w14:paraId="2B65B9D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64D7F622" w14:textId="77777777">
        <w:trPr>
          <w:trHeight w:val="252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E8BDF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CB73E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297AD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599C5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CF651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66C32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759A33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5B46F90B" w14:textId="77777777">
        <w:trPr>
          <w:trHeight w:val="208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0A5F2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F21F9C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Poremećaji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B36A7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08BD1C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Glavobolja,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4BBF80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Poremećaji čula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FE73A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A7CBEC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 xml:space="preserve"> </w:t>
            </w:r>
            <w:proofErr w:type="spellStart"/>
            <w:r w:rsidRPr="00491E0E">
              <w:rPr>
                <w:szCs w:val="22"/>
                <w:lang w:val="sr-Latn-ME"/>
              </w:rPr>
              <w:t>Parestezija</w:t>
            </w:r>
            <w:proofErr w:type="spellEnd"/>
          </w:p>
        </w:tc>
      </w:tr>
      <w:tr w:rsidR="00986E21" w:rsidRPr="00491E0E" w14:paraId="666D5592" w14:textId="77777777">
        <w:trPr>
          <w:trHeight w:val="262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CD12C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5753AE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nervnog sistema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323B2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1484F5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Vrtoglavica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3DAEE1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ukusa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6ABB9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AB5F2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69AD94FA" w14:textId="77777777">
        <w:trPr>
          <w:trHeight w:val="198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78A10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C72F7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b/>
                <w:bCs/>
                <w:szCs w:val="22"/>
                <w:lang w:val="sr-Latn-ME"/>
              </w:rPr>
            </w:pPr>
          </w:p>
          <w:p w14:paraId="4D7597FD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Poremećaji na nivou oka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54ACF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7D24D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FB88DA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Poremećaji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BDDBE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A9018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07769E60" w14:textId="77777777">
        <w:trPr>
          <w:trHeight w:val="267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39265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80CA8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728C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39AC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24CDC1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vida/zamućen vid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F657A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8E7DA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7DDBB7D8" w14:textId="77777777">
        <w:trPr>
          <w:trHeight w:val="203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A6794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877FAB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Gastrointestinalni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39AC18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 xml:space="preserve">Polipi </w:t>
            </w:r>
            <w:proofErr w:type="spellStart"/>
            <w:r w:rsidRPr="00491E0E">
              <w:rPr>
                <w:szCs w:val="22"/>
                <w:lang w:val="sr-Latn-ME"/>
              </w:rPr>
              <w:t>fundusnih</w:t>
            </w:r>
            <w:proofErr w:type="spellEnd"/>
            <w:r w:rsidRPr="00491E0E">
              <w:rPr>
                <w:szCs w:val="22"/>
                <w:lang w:val="sr-Latn-ME"/>
              </w:rPr>
              <w:t xml:space="preserve"> žlijezda (benigni)</w:t>
            </w: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8C00EB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Dijareja, mučnina/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0BF5E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E6C55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2E5E12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 w:eastAsia="en-IE"/>
              </w:rPr>
              <w:t>Mikroskopski kolitis</w:t>
            </w:r>
          </w:p>
        </w:tc>
      </w:tr>
      <w:tr w:rsidR="00986E21" w:rsidRPr="00491E0E" w14:paraId="6BD9E594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28E6F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31A650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poremećaji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C62C6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A1F6A9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Povraćanje,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806E4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14C06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25813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042640DF" w14:textId="77777777">
        <w:trPr>
          <w:trHeight w:val="23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49421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7A73B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B5B56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FE0C2A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Abdominalna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255A9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10F03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DCC2B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14346BC8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93577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8E7F3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B4244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E148FB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distenzija</w:t>
            </w:r>
            <w:proofErr w:type="spellEnd"/>
            <w:r w:rsidRPr="00491E0E">
              <w:rPr>
                <w:szCs w:val="22"/>
                <w:lang w:val="sr-Latn-ME"/>
              </w:rPr>
              <w:t xml:space="preserve"> i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B9A91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97A99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5223C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1A9E9BE4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17A3B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F1AE8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C1C5B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C9DDD0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flatulencija,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4F251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4FBE5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463CF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1996976D" w14:textId="77777777">
        <w:trPr>
          <w:trHeight w:val="235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CF357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432CE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1ECB3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66343A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Opstipacija, Suvoća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EE609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CAB0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39A5B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333C91A3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3BEA7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9DD39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CACF7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872934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usta, Abdominalni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44A9A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2D258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04F52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2A6DA1AC" w14:textId="77777777">
        <w:trPr>
          <w:trHeight w:val="262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ABD8D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AB1DB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F5B8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883645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bol i nelagodnost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96CD4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4D2EC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092F6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588964D4" w14:textId="77777777">
        <w:trPr>
          <w:trHeight w:val="203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E0102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D7E197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proofErr w:type="spellStart"/>
            <w:r w:rsidRPr="00491E0E">
              <w:rPr>
                <w:b/>
                <w:bCs/>
                <w:i/>
                <w:szCs w:val="22"/>
                <w:lang w:val="sr-Latn-ME"/>
              </w:rPr>
              <w:t>Hepatobilijarni</w:t>
            </w:r>
            <w:proofErr w:type="spellEnd"/>
            <w:r w:rsidRPr="00491E0E">
              <w:rPr>
                <w:b/>
                <w:bCs/>
                <w:i/>
                <w:szCs w:val="22"/>
                <w:lang w:val="sr-Latn-ME"/>
              </w:rPr>
              <w:t xml:space="preserve"> poremećaji</w:t>
            </w:r>
          </w:p>
        </w:tc>
        <w:tc>
          <w:tcPr>
            <w:tcW w:w="692" w:type="pct"/>
            <w:tcBorders>
              <w:top w:val="nil"/>
              <w:left w:val="nil"/>
              <w:right w:val="single" w:sz="8" w:space="0" w:color="auto"/>
            </w:tcBorders>
          </w:tcPr>
          <w:p w14:paraId="44F60D4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E688289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Povećanje  enzima</w:t>
            </w:r>
          </w:p>
          <w:p w14:paraId="7A649383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Jetre (</w:t>
            </w:r>
            <w:proofErr w:type="spellStart"/>
            <w:r w:rsidRPr="00491E0E">
              <w:rPr>
                <w:szCs w:val="22"/>
                <w:lang w:val="sr-Latn-ME"/>
              </w:rPr>
              <w:t>transaminaza</w:t>
            </w:r>
            <w:proofErr w:type="spellEnd"/>
            <w:r w:rsidRPr="00491E0E">
              <w:rPr>
                <w:szCs w:val="22"/>
                <w:lang w:val="sr-Latn-ME"/>
              </w:rPr>
              <w:t>,</w:t>
            </w:r>
          </w:p>
          <w:p w14:paraId="7F7C0F4F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γ-GT)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643A51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Povećanje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1E0F9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47F4DB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Hepatocelularna</w:t>
            </w:r>
            <w:proofErr w:type="spellEnd"/>
          </w:p>
        </w:tc>
      </w:tr>
      <w:tr w:rsidR="00986E21" w:rsidRPr="00491E0E" w14:paraId="1625F094" w14:textId="77777777">
        <w:trPr>
          <w:trHeight w:val="235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EDF45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C40AA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left w:val="nil"/>
              <w:right w:val="single" w:sz="8" w:space="0" w:color="auto"/>
            </w:tcBorders>
          </w:tcPr>
          <w:p w14:paraId="03D92FA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0555E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BE83DE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bilirubina</w:t>
            </w:r>
            <w:proofErr w:type="spellEnd"/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D5D7E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C7B2DF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oštećenja, Žutica,</w:t>
            </w:r>
          </w:p>
        </w:tc>
      </w:tr>
      <w:tr w:rsidR="00986E21" w:rsidRPr="00491E0E" w14:paraId="7D9090DF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8B0FE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ED8B8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left w:val="nil"/>
              <w:bottom w:val="nil"/>
              <w:right w:val="single" w:sz="8" w:space="0" w:color="auto"/>
            </w:tcBorders>
          </w:tcPr>
          <w:p w14:paraId="490E6A8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9195E2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3E2FA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B7BF1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2A9484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Hepatocelularna</w:t>
            </w:r>
            <w:proofErr w:type="spellEnd"/>
          </w:p>
        </w:tc>
      </w:tr>
      <w:tr w:rsidR="00986E21" w:rsidRPr="00491E0E" w14:paraId="7E2D50FE" w14:textId="77777777">
        <w:trPr>
          <w:trHeight w:val="262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12C43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FDEF3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CEA8C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EDDE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038C1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21DF1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77560E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insuficijencija</w:t>
            </w:r>
            <w:proofErr w:type="spellEnd"/>
          </w:p>
        </w:tc>
      </w:tr>
      <w:tr w:rsidR="00986E21" w:rsidRPr="00491E0E" w14:paraId="23E4703A" w14:textId="77777777">
        <w:trPr>
          <w:trHeight w:val="201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890E7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FDD91B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Poremećaji na nivou kože i potkožnog tkiva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C7EB8C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836736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 xml:space="preserve">  Osip/</w:t>
            </w:r>
            <w:proofErr w:type="spellStart"/>
            <w:r w:rsidRPr="00491E0E">
              <w:rPr>
                <w:szCs w:val="22"/>
                <w:lang w:val="sr-Latn-ME"/>
              </w:rPr>
              <w:t>egzantem</w:t>
            </w:r>
            <w:proofErr w:type="spellEnd"/>
            <w:r w:rsidRPr="00491E0E">
              <w:rPr>
                <w:szCs w:val="22"/>
                <w:lang w:val="sr-Latn-ME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1B5004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Urtikarija,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D99BA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34DBE3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i/>
                <w:iCs/>
                <w:szCs w:val="22"/>
                <w:lang w:val="sr-Latn-ME"/>
              </w:rPr>
              <w:t>Stevens</w:t>
            </w:r>
            <w:proofErr w:type="spellEnd"/>
            <w:r w:rsidRPr="00491E0E">
              <w:rPr>
                <w:i/>
                <w:iCs/>
                <w:szCs w:val="22"/>
                <w:lang w:val="sr-Latn-ME"/>
              </w:rPr>
              <w:t>-Johnson-ov</w:t>
            </w:r>
          </w:p>
        </w:tc>
      </w:tr>
      <w:tr w:rsidR="00986E21" w:rsidRPr="00491E0E" w14:paraId="537B9E6E" w14:textId="77777777">
        <w:trPr>
          <w:trHeight w:val="235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B235F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CD16D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F2860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0CBCC4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erupcije po koži,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B29F90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Angioedem</w:t>
            </w:r>
            <w:proofErr w:type="spellEnd"/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A05AF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CE6EC0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 xml:space="preserve">sindrom, </w:t>
            </w:r>
            <w:proofErr w:type="spellStart"/>
            <w:r w:rsidRPr="00491E0E">
              <w:rPr>
                <w:i/>
                <w:iCs/>
                <w:szCs w:val="22"/>
                <w:lang w:val="sr-Latn-ME"/>
              </w:rPr>
              <w:t>Lyell</w:t>
            </w:r>
            <w:proofErr w:type="spellEnd"/>
            <w:r w:rsidRPr="00491E0E">
              <w:rPr>
                <w:i/>
                <w:iCs/>
                <w:szCs w:val="22"/>
                <w:lang w:val="sr-Latn-ME"/>
              </w:rPr>
              <w:t>-ov</w:t>
            </w:r>
          </w:p>
        </w:tc>
      </w:tr>
      <w:tr w:rsidR="00986E21" w:rsidRPr="00491E0E" w14:paraId="2ED05AC9" w14:textId="77777777">
        <w:trPr>
          <w:trHeight w:val="242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79C44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6B4A8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17177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EC7585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Pruritus</w:t>
            </w:r>
            <w:proofErr w:type="spellEnd"/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6543C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E55E8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67BD27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i/>
                <w:iCs/>
                <w:szCs w:val="22"/>
                <w:lang w:val="sr-Latn-ME"/>
              </w:rPr>
              <w:t>S</w:t>
            </w:r>
            <w:r w:rsidRPr="00491E0E">
              <w:rPr>
                <w:szCs w:val="22"/>
                <w:lang w:val="sr-Latn-ME"/>
              </w:rPr>
              <w:t xml:space="preserve">indrom (TEN), Reakcija na lijek praćena </w:t>
            </w:r>
            <w:proofErr w:type="spellStart"/>
            <w:r w:rsidRPr="00491E0E">
              <w:rPr>
                <w:szCs w:val="22"/>
                <w:lang w:val="sr-Latn-ME"/>
              </w:rPr>
              <w:t>eozinofilijom</w:t>
            </w:r>
            <w:proofErr w:type="spellEnd"/>
            <w:r w:rsidRPr="00491E0E">
              <w:rPr>
                <w:szCs w:val="22"/>
                <w:lang w:val="sr-Latn-ME"/>
              </w:rPr>
              <w:t xml:space="preserve"> i sistemskim simptomima (DRESS), </w:t>
            </w:r>
            <w:proofErr w:type="spellStart"/>
            <w:r w:rsidRPr="00491E0E">
              <w:rPr>
                <w:i/>
                <w:szCs w:val="22"/>
                <w:lang w:val="sr-Latn-ME"/>
              </w:rPr>
              <w:t>Erythema</w:t>
            </w:r>
            <w:proofErr w:type="spellEnd"/>
          </w:p>
        </w:tc>
      </w:tr>
      <w:tr w:rsidR="00986E21" w:rsidRPr="00491E0E" w14:paraId="4478FF5D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378DC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473DC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819A20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69E33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3EE52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E94AF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EE3BCC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i/>
                <w:szCs w:val="22"/>
                <w:lang w:val="sr-Latn-ME"/>
              </w:rPr>
              <w:t>multiforme</w:t>
            </w:r>
            <w:proofErr w:type="spellEnd"/>
            <w:r w:rsidRPr="00491E0E">
              <w:rPr>
                <w:szCs w:val="22"/>
                <w:lang w:val="sr-Latn-ME"/>
              </w:rPr>
              <w:t>,</w:t>
            </w:r>
          </w:p>
        </w:tc>
      </w:tr>
      <w:tr w:rsidR="00986E21" w:rsidRPr="00491E0E" w14:paraId="44759A2D" w14:textId="77777777">
        <w:trPr>
          <w:trHeight w:val="257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E96F2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5AC36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0706C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9C019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F6F7D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8FE7F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C22920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Fotosenzitivnost</w:t>
            </w:r>
            <w:proofErr w:type="spellEnd"/>
          </w:p>
          <w:p w14:paraId="0DB06DEB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subakutni</w:t>
            </w:r>
            <w:proofErr w:type="spellEnd"/>
            <w:r w:rsidRPr="00491E0E">
              <w:rPr>
                <w:szCs w:val="22"/>
                <w:lang w:val="sr-Latn-ME"/>
              </w:rPr>
              <w:t xml:space="preserve"> kožni </w:t>
            </w:r>
            <w:proofErr w:type="spellStart"/>
            <w:r w:rsidRPr="00491E0E">
              <w:rPr>
                <w:szCs w:val="22"/>
                <w:lang w:val="sr-Latn-ME"/>
              </w:rPr>
              <w:t>lupus</w:t>
            </w:r>
            <w:proofErr w:type="spellEnd"/>
            <w:r w:rsidRPr="00491E0E">
              <w:rPr>
                <w:szCs w:val="22"/>
                <w:lang w:val="sr-Latn-ME"/>
              </w:rPr>
              <w:t xml:space="preserve"> </w:t>
            </w:r>
            <w:proofErr w:type="spellStart"/>
            <w:r w:rsidRPr="00491E0E">
              <w:rPr>
                <w:szCs w:val="22"/>
                <w:lang w:val="sr-Latn-ME"/>
              </w:rPr>
              <w:t>eritematodes</w:t>
            </w:r>
            <w:proofErr w:type="spellEnd"/>
            <w:r w:rsidRPr="00491E0E">
              <w:rPr>
                <w:szCs w:val="22"/>
                <w:lang w:val="sr-Latn-ME"/>
              </w:rPr>
              <w:t xml:space="preserve"> (vidjeti dio 4.4.)</w:t>
            </w:r>
            <w:r w:rsidRPr="00491E0E">
              <w:rPr>
                <w:szCs w:val="22"/>
                <w:highlight w:val="yellow"/>
                <w:lang w:val="sr-Latn-ME"/>
              </w:rPr>
              <w:t xml:space="preserve"> </w:t>
            </w:r>
          </w:p>
        </w:tc>
      </w:tr>
      <w:tr w:rsidR="00986E21" w:rsidRPr="00491E0E" w14:paraId="652C8A8E" w14:textId="77777777">
        <w:trPr>
          <w:trHeight w:val="208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A886F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4E8AAB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Poremećaji mišićno-skeletnog i vezivnog tkiva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2AB35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2ED5B1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Prelom kuka, ručnog zgloba ili kičme (vidjeti dio 4.4)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C8ACE8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Artralgija</w:t>
            </w:r>
            <w:proofErr w:type="spellEnd"/>
            <w:r w:rsidRPr="00491E0E">
              <w:rPr>
                <w:szCs w:val="22"/>
                <w:lang w:val="sr-Latn-ME"/>
              </w:rPr>
              <w:t xml:space="preserve">, </w:t>
            </w:r>
            <w:proofErr w:type="spellStart"/>
            <w:r w:rsidRPr="00491E0E">
              <w:rPr>
                <w:szCs w:val="22"/>
                <w:lang w:val="sr-Latn-ME"/>
              </w:rPr>
              <w:t>Mijalgija</w:t>
            </w:r>
            <w:proofErr w:type="spellEnd"/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9E36A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A417A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361AE5E4" w14:textId="77777777">
        <w:trPr>
          <w:trHeight w:val="235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CC537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AAA29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2C7B0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79C01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CC3EA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8C5AE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587CEF2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 xml:space="preserve"> Spazam mišića</w:t>
            </w:r>
            <w:r w:rsidRPr="00491E0E">
              <w:rPr>
                <w:szCs w:val="22"/>
                <w:vertAlign w:val="superscript"/>
                <w:lang w:val="sr-Latn-ME"/>
              </w:rPr>
              <w:t>(2)</w:t>
            </w:r>
          </w:p>
        </w:tc>
      </w:tr>
      <w:tr w:rsidR="00986E21" w:rsidRPr="00491E0E" w14:paraId="349FD835" w14:textId="77777777">
        <w:trPr>
          <w:trHeight w:val="246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F23CB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0FE6A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0FD0D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CC530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9900F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C7C98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8AC47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396F8915" w14:textId="77777777">
        <w:trPr>
          <w:trHeight w:val="256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362DF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E25D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F4D8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5EF1E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728AB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3FCAD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54B34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577367C3" w14:textId="77777777">
        <w:trPr>
          <w:trHeight w:val="209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EACAF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7A1603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 xml:space="preserve">Poremećaji na nivou bubrega i </w:t>
            </w:r>
            <w:proofErr w:type="spellStart"/>
            <w:r w:rsidRPr="00491E0E">
              <w:rPr>
                <w:b/>
                <w:bCs/>
                <w:i/>
                <w:szCs w:val="22"/>
                <w:lang w:val="sr-Latn-ME"/>
              </w:rPr>
              <w:t>urinarnog</w:t>
            </w:r>
            <w:proofErr w:type="spellEnd"/>
            <w:r w:rsidRPr="00491E0E">
              <w:rPr>
                <w:b/>
                <w:bCs/>
                <w:i/>
                <w:szCs w:val="22"/>
                <w:lang w:val="sr-Latn-ME"/>
              </w:rPr>
              <w:t xml:space="preserve"> sistema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AB639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18139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B42DD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4F94D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0D6F4C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Tubulointersticijalni</w:t>
            </w:r>
            <w:proofErr w:type="spellEnd"/>
            <w:r w:rsidRPr="00491E0E">
              <w:rPr>
                <w:szCs w:val="22"/>
                <w:lang w:val="sr-Latn-ME"/>
              </w:rPr>
              <w:t xml:space="preserve"> nefritis (TIN) (koji može dovesti do </w:t>
            </w:r>
            <w:proofErr w:type="spellStart"/>
            <w:r w:rsidRPr="00491E0E">
              <w:rPr>
                <w:szCs w:val="22"/>
                <w:lang w:val="sr-Latn-ME"/>
              </w:rPr>
              <w:t>renalne</w:t>
            </w:r>
            <w:proofErr w:type="spellEnd"/>
            <w:r w:rsidRPr="00491E0E">
              <w:rPr>
                <w:szCs w:val="22"/>
                <w:lang w:val="sr-Latn-ME"/>
              </w:rPr>
              <w:t xml:space="preserve"> </w:t>
            </w:r>
            <w:proofErr w:type="spellStart"/>
            <w:r w:rsidRPr="00491E0E">
              <w:rPr>
                <w:szCs w:val="22"/>
                <w:lang w:val="sr-Latn-ME"/>
              </w:rPr>
              <w:t>insuficijencije</w:t>
            </w:r>
            <w:proofErr w:type="spellEnd"/>
            <w:r w:rsidRPr="00491E0E">
              <w:rPr>
                <w:szCs w:val="22"/>
                <w:lang w:val="sr-Latn-ME"/>
              </w:rPr>
              <w:t>)</w:t>
            </w:r>
          </w:p>
        </w:tc>
      </w:tr>
      <w:tr w:rsidR="00986E21" w:rsidRPr="00491E0E" w14:paraId="6AEB9EB8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6083A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A8438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33C7B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82BBD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CC53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D71CA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734A0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7A4525AD" w14:textId="77777777">
        <w:trPr>
          <w:trHeight w:val="251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34F12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1540C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2449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EE473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2E2A0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0FE2E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FA76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3A3DD568" w14:textId="77777777">
        <w:trPr>
          <w:trHeight w:val="209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C35E3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01AA35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Poremećaji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EBB1B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0E442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595141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491E0E">
              <w:rPr>
                <w:szCs w:val="22"/>
                <w:lang w:val="sr-Latn-ME"/>
              </w:rPr>
              <w:t>Ginekomastija</w:t>
            </w:r>
            <w:proofErr w:type="spellEnd"/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8EF05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A84A7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3865F2A4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30BB4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8CFA4A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reproduktivnog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6AD9F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A381CD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B81F1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8E19F7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86D35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56D710B7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1A4F2D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5C43C5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sistema i na nivou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A0AEE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63126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C52F7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BAB75A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18F0B5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5BD22823" w14:textId="77777777">
        <w:trPr>
          <w:trHeight w:val="251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A928D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901984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>dojki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FC84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21D4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CA51C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B064D0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183C6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1A052DB5" w14:textId="77777777">
        <w:trPr>
          <w:trHeight w:val="203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5AB60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07342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b/>
                <w:bCs/>
                <w:i/>
                <w:szCs w:val="22"/>
                <w:lang w:val="sr-Latn-ME"/>
              </w:rPr>
            </w:pPr>
          </w:p>
          <w:p w14:paraId="1E6828FD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  <w:r w:rsidRPr="00491E0E">
              <w:rPr>
                <w:b/>
                <w:bCs/>
                <w:i/>
                <w:szCs w:val="22"/>
                <w:lang w:val="sr-Latn-ME"/>
              </w:rPr>
              <w:t xml:space="preserve">Opšti poremećaji i </w:t>
            </w:r>
            <w:r w:rsidRPr="00491E0E">
              <w:rPr>
                <w:b/>
                <w:bCs/>
                <w:i/>
                <w:szCs w:val="22"/>
                <w:lang w:val="sr-Latn-ME"/>
              </w:rPr>
              <w:lastRenderedPageBreak/>
              <w:t>reakcije na mjestu primjene lijeka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F93892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FBF788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Astenija, osjećaj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53E29E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 xml:space="preserve">Porast tjelesne temperature, </w:t>
            </w:r>
            <w:r w:rsidRPr="00491E0E">
              <w:rPr>
                <w:szCs w:val="22"/>
                <w:lang w:val="sr-Latn-ME"/>
              </w:rPr>
              <w:lastRenderedPageBreak/>
              <w:t xml:space="preserve">Periferni </w:t>
            </w:r>
            <w:proofErr w:type="spellStart"/>
            <w:r w:rsidRPr="00491E0E">
              <w:rPr>
                <w:szCs w:val="22"/>
                <w:lang w:val="sr-Latn-ME"/>
              </w:rPr>
              <w:t>edemi</w:t>
            </w:r>
            <w:proofErr w:type="spellEnd"/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29827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7E07FC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6E8B6E54" w14:textId="77777777">
        <w:trPr>
          <w:trHeight w:val="240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B74674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16B7D8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7979BE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45D7B8" w14:textId="77777777" w:rsidR="00986E21" w:rsidRPr="00491E0E" w:rsidRDefault="00070A10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491E0E">
              <w:rPr>
                <w:szCs w:val="22"/>
                <w:lang w:val="sr-Latn-ME"/>
              </w:rPr>
              <w:t>slabosti, malaksalost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719B0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54B4E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AC0011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986E21" w:rsidRPr="00491E0E" w14:paraId="63EE57B3" w14:textId="77777777">
        <w:trPr>
          <w:trHeight w:val="267"/>
        </w:trPr>
        <w:tc>
          <w:tcPr>
            <w:tcW w:w="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148AE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2243B3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80"/>
              <w:rPr>
                <w:i/>
                <w:szCs w:val="22"/>
                <w:lang w:val="sr-Latn-M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BD3E9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4D8016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37C24E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25FCFB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67106F" w14:textId="77777777" w:rsidR="00986E21" w:rsidRPr="00491E0E" w:rsidRDefault="00986E21" w:rsidP="00753B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</w:tbl>
    <w:p w14:paraId="35DB0F03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vertAlign w:val="superscript"/>
          <w:lang w:val="sr-Latn-ME"/>
        </w:rPr>
        <w:t>1.</w:t>
      </w:r>
      <w:r w:rsidRPr="00491E0E">
        <w:rPr>
          <w:szCs w:val="22"/>
          <w:lang w:val="sr-Latn-ME"/>
        </w:rPr>
        <w:t xml:space="preserve">Hipokalcijemija povezana sa </w:t>
      </w:r>
      <w:proofErr w:type="spellStart"/>
      <w:r w:rsidRPr="00491E0E">
        <w:rPr>
          <w:szCs w:val="22"/>
          <w:lang w:val="sr-Latn-ME"/>
        </w:rPr>
        <w:t>hipomagnezijemijom</w:t>
      </w:r>
      <w:proofErr w:type="spellEnd"/>
    </w:p>
    <w:p w14:paraId="2FDBC7A6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vertAlign w:val="superscript"/>
          <w:lang w:val="sr-Latn-ME"/>
        </w:rPr>
        <w:t>2.</w:t>
      </w:r>
      <w:r w:rsidRPr="00491E0E">
        <w:rPr>
          <w:szCs w:val="22"/>
          <w:lang w:val="sr-Latn-ME"/>
        </w:rPr>
        <w:t xml:space="preserve">Spazam mišića kao posljedica </w:t>
      </w:r>
      <w:proofErr w:type="spellStart"/>
      <w:r w:rsidRPr="00491E0E">
        <w:rPr>
          <w:szCs w:val="22"/>
          <w:lang w:val="sr-Latn-ME"/>
        </w:rPr>
        <w:t>elektrolitnog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disbalansa</w:t>
      </w:r>
      <w:proofErr w:type="spellEnd"/>
    </w:p>
    <w:p w14:paraId="1D86F1D1" w14:textId="77777777" w:rsidR="00986E21" w:rsidRPr="00491E0E" w:rsidRDefault="00986E21" w:rsidP="00753B1E">
      <w:pPr>
        <w:pStyle w:val="Default"/>
        <w:widowControl w:val="0"/>
        <w:jc w:val="both"/>
        <w:rPr>
          <w:color w:val="auto"/>
          <w:sz w:val="22"/>
          <w:szCs w:val="22"/>
          <w:lang w:val="sr-Latn-ME"/>
        </w:rPr>
      </w:pPr>
    </w:p>
    <w:p w14:paraId="5CF78F7A" w14:textId="77777777" w:rsidR="00986E21" w:rsidRPr="00491E0E" w:rsidRDefault="00070A10" w:rsidP="00753B1E">
      <w:pPr>
        <w:spacing w:line="240" w:lineRule="auto"/>
        <w:rPr>
          <w:rFonts w:eastAsia="Calibri"/>
          <w:szCs w:val="22"/>
          <w:u w:val="single"/>
          <w:lang w:val="sr-Latn-ME"/>
        </w:rPr>
      </w:pPr>
      <w:r w:rsidRPr="00491E0E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20483023" w14:textId="77777777" w:rsidR="00986E21" w:rsidRPr="00491E0E" w:rsidRDefault="00070A10" w:rsidP="00753B1E">
      <w:pPr>
        <w:spacing w:line="240" w:lineRule="auto"/>
        <w:jc w:val="both"/>
        <w:rPr>
          <w:rFonts w:eastAsia="Calibri"/>
          <w:szCs w:val="22"/>
          <w:lang w:val="sr-Latn-ME"/>
        </w:rPr>
      </w:pPr>
      <w:r w:rsidRPr="00491E0E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0C6B6903" w14:textId="77777777" w:rsidR="004D4567" w:rsidRPr="00491E0E" w:rsidRDefault="004D4567" w:rsidP="00753B1E">
      <w:pPr>
        <w:spacing w:line="240" w:lineRule="auto"/>
        <w:jc w:val="both"/>
        <w:rPr>
          <w:rFonts w:eastAsia="Calibri"/>
          <w:szCs w:val="22"/>
          <w:lang w:val="sr-Latn-ME"/>
        </w:rPr>
      </w:pPr>
    </w:p>
    <w:p w14:paraId="0FA857B5" w14:textId="77777777" w:rsidR="00986E21" w:rsidRPr="00491E0E" w:rsidRDefault="00070A10" w:rsidP="00753B1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91E0E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48397666" w14:textId="77777777" w:rsidR="00986E21" w:rsidRPr="00491E0E" w:rsidRDefault="00070A10" w:rsidP="00753B1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91E0E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491E0E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5F7FF102" w14:textId="77777777" w:rsidR="00986E21" w:rsidRPr="00491E0E" w:rsidRDefault="00070A10" w:rsidP="00753B1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91E0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A4DBE48" w14:textId="77777777" w:rsidR="00986E21" w:rsidRPr="00491E0E" w:rsidRDefault="00986E21" w:rsidP="00753B1E">
      <w:pPr>
        <w:pStyle w:val="NoSpacing"/>
        <w:rPr>
          <w:rFonts w:eastAsia="Calibri"/>
          <w:sz w:val="22"/>
          <w:szCs w:val="22"/>
          <w:lang w:val="sr-Latn-ME"/>
        </w:rPr>
      </w:pPr>
    </w:p>
    <w:p w14:paraId="2389A0DB" w14:textId="77777777" w:rsidR="00986E21" w:rsidRPr="00491E0E" w:rsidRDefault="00070A10" w:rsidP="00753B1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91E0E">
        <w:rPr>
          <w:rFonts w:eastAsia="Calibri"/>
          <w:sz w:val="22"/>
          <w:szCs w:val="22"/>
          <w:lang w:val="sr-Latn-ME"/>
        </w:rPr>
        <w:t>tel: +382 (0) 20 310 280</w:t>
      </w:r>
    </w:p>
    <w:p w14:paraId="71ECBD15" w14:textId="77777777" w:rsidR="00986E21" w:rsidRPr="00491E0E" w:rsidRDefault="00070A10" w:rsidP="00753B1E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491E0E">
        <w:rPr>
          <w:rFonts w:eastAsia="Calibri"/>
          <w:sz w:val="22"/>
          <w:szCs w:val="22"/>
          <w:lang w:val="sr-Latn-ME"/>
        </w:rPr>
        <w:t>fax</w:t>
      </w:r>
      <w:proofErr w:type="spellEnd"/>
      <w:r w:rsidRPr="00491E0E">
        <w:rPr>
          <w:rFonts w:eastAsia="Calibri"/>
          <w:sz w:val="22"/>
          <w:szCs w:val="22"/>
          <w:lang w:val="sr-Latn-ME"/>
        </w:rPr>
        <w:t>: +382 (0) 20 310 581</w:t>
      </w:r>
      <w:r w:rsidRPr="00491E0E">
        <w:rPr>
          <w:rFonts w:eastAsia="Calibri"/>
          <w:sz w:val="22"/>
          <w:szCs w:val="22"/>
          <w:lang w:val="sr-Latn-ME"/>
        </w:rPr>
        <w:tab/>
      </w:r>
    </w:p>
    <w:p w14:paraId="221ED26E" w14:textId="77777777" w:rsidR="00986E21" w:rsidRPr="00491E0E" w:rsidRDefault="003A519C" w:rsidP="00753B1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070A10" w:rsidRPr="00491E0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37B8CEC" w14:textId="77777777" w:rsidR="00986E21" w:rsidRPr="00491E0E" w:rsidRDefault="003A519C" w:rsidP="00753B1E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070A10" w:rsidRPr="00491E0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5D9EDBD" w14:textId="77777777" w:rsidR="00986E21" w:rsidRPr="00491E0E" w:rsidRDefault="00070A10" w:rsidP="00753B1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91E0E">
        <w:rPr>
          <w:rFonts w:eastAsia="Calibri"/>
          <w:sz w:val="22"/>
          <w:szCs w:val="22"/>
          <w:lang w:val="sr-Latn-ME"/>
        </w:rPr>
        <w:t>putem IS zdravstvene zaštite</w:t>
      </w:r>
    </w:p>
    <w:p w14:paraId="14822163" w14:textId="77777777" w:rsidR="00986E21" w:rsidRPr="00491E0E" w:rsidRDefault="00070A10" w:rsidP="00753B1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91E0E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491E0E">
        <w:rPr>
          <w:rFonts w:eastAsia="Calibri"/>
          <w:sz w:val="22"/>
          <w:szCs w:val="22"/>
          <w:lang w:val="sr-Latn-ME"/>
        </w:rPr>
        <w:t>online</w:t>
      </w:r>
      <w:proofErr w:type="spellEnd"/>
      <w:r w:rsidRPr="00491E0E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5F478F81" w14:textId="77777777" w:rsidR="00986E21" w:rsidRPr="00491E0E" w:rsidRDefault="00986E21" w:rsidP="00753B1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7593F13" w14:textId="77777777" w:rsidR="00986E21" w:rsidRPr="00491E0E" w:rsidRDefault="00070A10" w:rsidP="00753B1E">
      <w:pPr>
        <w:pStyle w:val="NoSpacing"/>
        <w:rPr>
          <w:rFonts w:eastAsia="Calibri"/>
          <w:sz w:val="22"/>
          <w:szCs w:val="22"/>
          <w:lang w:val="sr-Latn-ME"/>
        </w:rPr>
      </w:pPr>
      <w:r w:rsidRPr="00491E0E">
        <w:rPr>
          <w:b/>
          <w:bCs/>
          <w:sz w:val="22"/>
          <w:szCs w:val="22"/>
          <w:lang w:val="sr-Latn-ME"/>
        </w:rPr>
        <w:drawing>
          <wp:inline distT="0" distB="0" distL="0" distR="0" wp14:anchorId="4D9D30AB" wp14:editId="2260DFFF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D5955F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3DD00C58" w14:textId="77777777" w:rsidR="00986E21" w:rsidRPr="00491E0E" w:rsidRDefault="00070A10" w:rsidP="00753B1E">
      <w:pPr>
        <w:widowControl w:val="0"/>
        <w:spacing w:line="240" w:lineRule="auto"/>
        <w:ind w:left="567" w:hanging="567"/>
        <w:outlineLvl w:val="0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4.9</w:t>
      </w:r>
      <w:r w:rsidRPr="00491E0E">
        <w:rPr>
          <w:b/>
          <w:szCs w:val="22"/>
          <w:lang w:val="sr-Latn-ME"/>
        </w:rPr>
        <w:tab/>
      </w:r>
      <w:proofErr w:type="spellStart"/>
      <w:r w:rsidRPr="00491E0E">
        <w:rPr>
          <w:b/>
          <w:szCs w:val="22"/>
          <w:lang w:val="sr-Latn-ME"/>
        </w:rPr>
        <w:t>Predoziranje</w:t>
      </w:r>
      <w:proofErr w:type="spellEnd"/>
    </w:p>
    <w:p w14:paraId="71765399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6372074C" w14:textId="77777777" w:rsidR="00986E21" w:rsidRPr="00491E0E" w:rsidRDefault="00070A10" w:rsidP="00753B1E">
      <w:pPr>
        <w:spacing w:line="240" w:lineRule="auto"/>
        <w:rPr>
          <w:szCs w:val="22"/>
          <w:lang w:val="sr-Latn-ME"/>
        </w:rPr>
      </w:pPr>
      <w:r w:rsidRPr="00491E0E">
        <w:rPr>
          <w:iCs/>
          <w:szCs w:val="22"/>
          <w:u w:val="single"/>
          <w:lang w:val="sr-Latn-ME"/>
        </w:rPr>
        <w:t>Simptomi</w:t>
      </w:r>
    </w:p>
    <w:p w14:paraId="288ECC0C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Nema poznatih simptoma </w:t>
      </w:r>
      <w:proofErr w:type="spellStart"/>
      <w:r w:rsidRPr="00491E0E">
        <w:rPr>
          <w:szCs w:val="22"/>
          <w:lang w:val="sr-Latn-ME"/>
        </w:rPr>
        <w:t>predoziranja</w:t>
      </w:r>
      <w:proofErr w:type="spellEnd"/>
      <w:r w:rsidRPr="00491E0E">
        <w:rPr>
          <w:szCs w:val="22"/>
          <w:lang w:val="sr-Latn-ME"/>
        </w:rPr>
        <w:t xml:space="preserve"> kod </w:t>
      </w:r>
      <w:proofErr w:type="spellStart"/>
      <w:r w:rsidRPr="00491E0E">
        <w:rPr>
          <w:szCs w:val="22"/>
          <w:lang w:val="sr-Latn-ME"/>
        </w:rPr>
        <w:t>ljudi</w:t>
      </w:r>
      <w:proofErr w:type="spellEnd"/>
      <w:r w:rsidRPr="00491E0E">
        <w:rPr>
          <w:szCs w:val="22"/>
          <w:lang w:val="sr-Latn-ME"/>
        </w:rPr>
        <w:t>.</w:t>
      </w:r>
    </w:p>
    <w:p w14:paraId="11EDB0EC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Doze do 240 mg primijenjene </w:t>
      </w:r>
      <w:proofErr w:type="spellStart"/>
      <w:r w:rsidRPr="00491E0E">
        <w:rPr>
          <w:szCs w:val="22"/>
          <w:lang w:val="sr-Latn-ME"/>
        </w:rPr>
        <w:t>intravenskim</w:t>
      </w:r>
      <w:proofErr w:type="spellEnd"/>
      <w:r w:rsidRPr="00491E0E">
        <w:rPr>
          <w:szCs w:val="22"/>
          <w:lang w:val="sr-Latn-ME"/>
        </w:rPr>
        <w:t xml:space="preserve"> putem tokom 2 minuta imaju dobru </w:t>
      </w:r>
      <w:proofErr w:type="spellStart"/>
      <w:r w:rsidRPr="00491E0E">
        <w:rPr>
          <w:szCs w:val="22"/>
          <w:lang w:val="sr-Latn-ME"/>
        </w:rPr>
        <w:t>podnošljivost</w:t>
      </w:r>
      <w:proofErr w:type="spellEnd"/>
      <w:r w:rsidRPr="00491E0E">
        <w:rPr>
          <w:szCs w:val="22"/>
          <w:lang w:val="sr-Latn-ME"/>
        </w:rPr>
        <w:t xml:space="preserve">. </w:t>
      </w:r>
    </w:p>
    <w:p w14:paraId="7D949B4B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</w:p>
    <w:p w14:paraId="491686FA" w14:textId="77777777" w:rsidR="00986E21" w:rsidRPr="00491E0E" w:rsidRDefault="00070A10" w:rsidP="00753B1E">
      <w:pPr>
        <w:widowControl w:val="0"/>
        <w:spacing w:line="240" w:lineRule="auto"/>
        <w:rPr>
          <w:iCs/>
          <w:szCs w:val="22"/>
          <w:u w:val="single"/>
          <w:lang w:val="sr-Latn-ME"/>
        </w:rPr>
      </w:pPr>
      <w:r w:rsidRPr="00491E0E">
        <w:rPr>
          <w:iCs/>
          <w:szCs w:val="22"/>
          <w:u w:val="single"/>
          <w:lang w:val="sr-Latn-ME"/>
        </w:rPr>
        <w:t>Liječenje</w:t>
      </w:r>
    </w:p>
    <w:p w14:paraId="0045130B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S obzirom na to da se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u velikom procentu vezuje za proteine plazme, ne eliminiše se lako dijalizom. </w:t>
      </w:r>
    </w:p>
    <w:p w14:paraId="74F847E3" w14:textId="77777777" w:rsidR="00986E21" w:rsidRPr="00491E0E" w:rsidRDefault="00070A10" w:rsidP="00753B1E">
      <w:pPr>
        <w:widowControl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U slučaju </w:t>
      </w:r>
      <w:proofErr w:type="spellStart"/>
      <w:r w:rsidRPr="00491E0E">
        <w:rPr>
          <w:szCs w:val="22"/>
          <w:lang w:val="sr-Latn-ME"/>
        </w:rPr>
        <w:t>predoziranja</w:t>
      </w:r>
      <w:proofErr w:type="spellEnd"/>
      <w:r w:rsidRPr="00491E0E">
        <w:rPr>
          <w:szCs w:val="22"/>
          <w:lang w:val="sr-Latn-ME"/>
        </w:rPr>
        <w:t xml:space="preserve"> sa kliničkim znacima </w:t>
      </w:r>
      <w:proofErr w:type="spellStart"/>
      <w:r w:rsidRPr="00491E0E">
        <w:rPr>
          <w:szCs w:val="22"/>
          <w:lang w:val="sr-Latn-ME"/>
        </w:rPr>
        <w:t>intoksikacije</w:t>
      </w:r>
      <w:proofErr w:type="spellEnd"/>
      <w:r w:rsidRPr="00491E0E">
        <w:rPr>
          <w:szCs w:val="22"/>
          <w:lang w:val="sr-Latn-ME"/>
        </w:rPr>
        <w:t xml:space="preserve">, osim </w:t>
      </w:r>
      <w:proofErr w:type="spellStart"/>
      <w:r w:rsidRPr="00491E0E">
        <w:rPr>
          <w:szCs w:val="22"/>
          <w:lang w:val="sr-Latn-ME"/>
        </w:rPr>
        <w:t>simptomatske</w:t>
      </w:r>
      <w:proofErr w:type="spellEnd"/>
      <w:r w:rsidRPr="00491E0E">
        <w:rPr>
          <w:szCs w:val="22"/>
          <w:lang w:val="sr-Latn-ME"/>
        </w:rPr>
        <w:t xml:space="preserve"> i </w:t>
      </w:r>
      <w:proofErr w:type="spellStart"/>
      <w:r w:rsidRPr="00491E0E">
        <w:rPr>
          <w:szCs w:val="22"/>
          <w:lang w:val="sr-Latn-ME"/>
        </w:rPr>
        <w:t>suportivne</w:t>
      </w:r>
      <w:proofErr w:type="spellEnd"/>
      <w:r w:rsidRPr="00491E0E">
        <w:rPr>
          <w:szCs w:val="22"/>
          <w:lang w:val="sr-Latn-ME"/>
        </w:rPr>
        <w:t xml:space="preserve"> terapije, ne mogu se dati druge specifične preporuke kod </w:t>
      </w:r>
      <w:proofErr w:type="spellStart"/>
      <w:r w:rsidRPr="00491E0E">
        <w:rPr>
          <w:szCs w:val="22"/>
          <w:lang w:val="sr-Latn-ME"/>
        </w:rPr>
        <w:t>predoziranja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pantoprazolom</w:t>
      </w:r>
      <w:proofErr w:type="spellEnd"/>
      <w:r w:rsidRPr="00491E0E">
        <w:rPr>
          <w:szCs w:val="22"/>
          <w:lang w:val="sr-Latn-ME"/>
        </w:rPr>
        <w:t>.</w:t>
      </w:r>
    </w:p>
    <w:p w14:paraId="73EAC6D3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10DA8285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29CDD127" w14:textId="77777777" w:rsidR="00986E21" w:rsidRPr="00491E0E" w:rsidRDefault="00070A10" w:rsidP="00753B1E">
      <w:pPr>
        <w:widowControl w:val="0"/>
        <w:spacing w:line="240" w:lineRule="auto"/>
        <w:ind w:left="567" w:hanging="567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5.</w:t>
      </w:r>
      <w:r w:rsidRPr="00491E0E">
        <w:rPr>
          <w:b/>
          <w:szCs w:val="22"/>
          <w:lang w:val="sr-Latn-ME"/>
        </w:rPr>
        <w:tab/>
      </w:r>
      <w:r w:rsidRPr="00491E0E">
        <w:rPr>
          <w:b/>
          <w:bCs/>
          <w:szCs w:val="22"/>
          <w:lang w:val="sr-Latn-ME"/>
        </w:rPr>
        <w:t>FARMAKOLOŠKI PODACI</w:t>
      </w:r>
    </w:p>
    <w:p w14:paraId="57DD9EC8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6C2141C9" w14:textId="77777777" w:rsidR="00986E21" w:rsidRPr="00491E0E" w:rsidRDefault="00070A10" w:rsidP="00753B1E">
      <w:pPr>
        <w:widowControl w:val="0"/>
        <w:spacing w:line="240" w:lineRule="auto"/>
        <w:ind w:left="567" w:hanging="567"/>
        <w:outlineLvl w:val="0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5.1</w:t>
      </w:r>
      <w:r w:rsidRPr="00491E0E">
        <w:rPr>
          <w:b/>
          <w:szCs w:val="22"/>
          <w:lang w:val="sr-Latn-ME"/>
        </w:rPr>
        <w:tab/>
      </w:r>
      <w:proofErr w:type="spellStart"/>
      <w:r w:rsidRPr="00491E0E">
        <w:rPr>
          <w:b/>
          <w:bCs/>
          <w:szCs w:val="22"/>
          <w:lang w:val="sr-Latn-ME"/>
        </w:rPr>
        <w:t>Farmakodinamski</w:t>
      </w:r>
      <w:proofErr w:type="spellEnd"/>
      <w:r w:rsidRPr="00491E0E">
        <w:rPr>
          <w:b/>
          <w:bCs/>
          <w:szCs w:val="22"/>
          <w:lang w:val="sr-Latn-ME"/>
        </w:rPr>
        <w:t xml:space="preserve"> podaci</w:t>
      </w:r>
    </w:p>
    <w:p w14:paraId="52E5A1C5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4E7BF62E" w14:textId="77777777" w:rsidR="00986E21" w:rsidRPr="00491E0E" w:rsidRDefault="00070A10" w:rsidP="00753B1E">
      <w:pPr>
        <w:spacing w:line="240" w:lineRule="auto"/>
        <w:ind w:left="2268" w:hanging="2268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Farmakoterapijska</w:t>
      </w:r>
      <w:proofErr w:type="spellEnd"/>
      <w:r w:rsidRPr="00491E0E">
        <w:rPr>
          <w:szCs w:val="22"/>
          <w:lang w:val="sr-Latn-ME"/>
        </w:rPr>
        <w:t xml:space="preserve">  grupa: </w:t>
      </w:r>
      <w:proofErr w:type="spellStart"/>
      <w:r w:rsidRPr="00491E0E">
        <w:rPr>
          <w:szCs w:val="22"/>
          <w:lang w:val="sr-Latn-ME"/>
        </w:rPr>
        <w:t>inhibitori</w:t>
      </w:r>
      <w:proofErr w:type="spellEnd"/>
      <w:r w:rsidRPr="00491E0E">
        <w:rPr>
          <w:szCs w:val="22"/>
          <w:lang w:val="sr-Latn-ME"/>
        </w:rPr>
        <w:t xml:space="preserve"> protonske pumpe</w:t>
      </w:r>
    </w:p>
    <w:p w14:paraId="04A026F8" w14:textId="77777777" w:rsidR="00986E21" w:rsidRPr="00491E0E" w:rsidRDefault="00986E21" w:rsidP="00753B1E">
      <w:pPr>
        <w:spacing w:line="240" w:lineRule="auto"/>
        <w:jc w:val="both"/>
        <w:rPr>
          <w:szCs w:val="22"/>
          <w:lang w:val="sr-Latn-ME"/>
        </w:rPr>
      </w:pPr>
    </w:p>
    <w:p w14:paraId="0F03ACEC" w14:textId="77777777" w:rsidR="00986E21" w:rsidRPr="00491E0E" w:rsidRDefault="00070A10" w:rsidP="00753B1E">
      <w:pPr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ATC kod: A02BC02</w:t>
      </w:r>
    </w:p>
    <w:p w14:paraId="1B0D8F63" w14:textId="77777777" w:rsidR="00986E21" w:rsidRPr="00491E0E" w:rsidRDefault="00986E21" w:rsidP="00753B1E">
      <w:pPr>
        <w:spacing w:line="240" w:lineRule="auto"/>
        <w:jc w:val="both"/>
        <w:rPr>
          <w:szCs w:val="22"/>
          <w:lang w:val="sr-Latn-ME"/>
        </w:rPr>
      </w:pPr>
    </w:p>
    <w:p w14:paraId="72427E89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val="sr-Latn-ME"/>
        </w:rPr>
      </w:pPr>
      <w:r w:rsidRPr="00491E0E">
        <w:rPr>
          <w:iCs/>
          <w:szCs w:val="22"/>
          <w:u w:val="single"/>
          <w:lang w:val="sr-Latn-ME"/>
        </w:rPr>
        <w:t>Mehanizam djelovanja</w:t>
      </w:r>
    </w:p>
    <w:p w14:paraId="3EEA43AF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je supstituisani </w:t>
      </w:r>
      <w:proofErr w:type="spellStart"/>
      <w:r w:rsidRPr="00491E0E">
        <w:rPr>
          <w:szCs w:val="22"/>
          <w:lang w:val="sr-Latn-ME"/>
        </w:rPr>
        <w:t>benzimidazol</w:t>
      </w:r>
      <w:proofErr w:type="spellEnd"/>
      <w:r w:rsidRPr="00491E0E">
        <w:rPr>
          <w:szCs w:val="22"/>
          <w:lang w:val="sr-Latn-ME"/>
        </w:rPr>
        <w:t xml:space="preserve"> koji inhibira sekreciju hlorovodonične kiseline djelujući na protonsku pumpu u </w:t>
      </w:r>
      <w:proofErr w:type="spellStart"/>
      <w:r w:rsidRPr="00491E0E">
        <w:rPr>
          <w:szCs w:val="22"/>
          <w:lang w:val="sr-Latn-ME"/>
        </w:rPr>
        <w:t>parijetalnim</w:t>
      </w:r>
      <w:proofErr w:type="spellEnd"/>
      <w:r w:rsidRPr="00491E0E">
        <w:rPr>
          <w:szCs w:val="22"/>
          <w:lang w:val="sr-Latn-ME"/>
        </w:rPr>
        <w:t xml:space="preserve"> ćelijama želuca.</w:t>
      </w:r>
    </w:p>
    <w:p w14:paraId="3C33774D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1D749FF0" w14:textId="7C6A466B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se konvertuje u aktivnu formu u kiseloj sredini u </w:t>
      </w:r>
      <w:proofErr w:type="spellStart"/>
      <w:r w:rsidRPr="00491E0E">
        <w:rPr>
          <w:szCs w:val="22"/>
          <w:lang w:val="sr-Latn-ME"/>
        </w:rPr>
        <w:t>parijetalnim</w:t>
      </w:r>
      <w:proofErr w:type="spellEnd"/>
      <w:r w:rsidRPr="00491E0E">
        <w:rPr>
          <w:szCs w:val="22"/>
          <w:lang w:val="sr-Latn-ME"/>
        </w:rPr>
        <w:t xml:space="preserve"> ćelijama gdje inhibira enzim </w:t>
      </w:r>
      <w:r w:rsidRPr="00491E0E">
        <w:rPr>
          <w:szCs w:val="22"/>
          <w:lang w:val="sr-Latn-ME"/>
        </w:rPr>
        <w:lastRenderedPageBreak/>
        <w:t>H+, K+-</w:t>
      </w:r>
      <w:proofErr w:type="spellStart"/>
      <w:r w:rsidRPr="00491E0E">
        <w:rPr>
          <w:szCs w:val="22"/>
          <w:lang w:val="sr-Latn-ME"/>
        </w:rPr>
        <w:t>ATPazu</w:t>
      </w:r>
      <w:proofErr w:type="spellEnd"/>
      <w:r w:rsidRPr="00491E0E">
        <w:rPr>
          <w:szCs w:val="22"/>
          <w:lang w:val="sr-Latn-ME"/>
        </w:rPr>
        <w:t xml:space="preserve">, tj. finalnu fazu stvaranja hlorovodonične kiseline u želucu. Inhibicija je </w:t>
      </w:r>
      <w:proofErr w:type="spellStart"/>
      <w:r w:rsidRPr="00491E0E">
        <w:rPr>
          <w:szCs w:val="22"/>
          <w:lang w:val="sr-Latn-ME"/>
        </w:rPr>
        <w:t>dozno</w:t>
      </w:r>
      <w:proofErr w:type="spellEnd"/>
      <w:r w:rsidR="004D4567" w:rsidRPr="00491E0E">
        <w:rPr>
          <w:szCs w:val="22"/>
          <w:lang w:val="sr-Latn-ME"/>
        </w:rPr>
        <w:t>-</w:t>
      </w:r>
      <w:r w:rsidRPr="00491E0E">
        <w:rPr>
          <w:szCs w:val="22"/>
          <w:lang w:val="sr-Latn-ME"/>
        </w:rPr>
        <w:t xml:space="preserve">zavisna i djeluje i na </w:t>
      </w:r>
      <w:proofErr w:type="spellStart"/>
      <w:r w:rsidRPr="00491E0E">
        <w:rPr>
          <w:szCs w:val="22"/>
          <w:lang w:val="sr-Latn-ME"/>
        </w:rPr>
        <w:t>bazalnu</w:t>
      </w:r>
      <w:proofErr w:type="spellEnd"/>
      <w:r w:rsidRPr="00491E0E">
        <w:rPr>
          <w:szCs w:val="22"/>
          <w:lang w:val="sr-Latn-ME"/>
        </w:rPr>
        <w:t xml:space="preserve"> i na stimulisanu sekreciju kiseline. Kod većine pacijenata, gubitak simptoma se javlja nakon 2 nedjelje. Kao i kod primjene drugih </w:t>
      </w:r>
      <w:proofErr w:type="spellStart"/>
      <w:r w:rsidRPr="00491E0E">
        <w:rPr>
          <w:szCs w:val="22"/>
          <w:lang w:val="sr-Latn-ME"/>
        </w:rPr>
        <w:t>inhibitora</w:t>
      </w:r>
      <w:proofErr w:type="spellEnd"/>
      <w:r w:rsidRPr="00491E0E">
        <w:rPr>
          <w:szCs w:val="22"/>
          <w:lang w:val="sr-Latn-ME"/>
        </w:rPr>
        <w:t xml:space="preserve"> protonske pumpe i </w:t>
      </w:r>
      <w:proofErr w:type="spellStart"/>
      <w:r w:rsidRPr="00491E0E">
        <w:rPr>
          <w:szCs w:val="22"/>
          <w:lang w:val="sr-Latn-ME"/>
        </w:rPr>
        <w:t>inhibitora</w:t>
      </w:r>
      <w:proofErr w:type="spellEnd"/>
      <w:r w:rsidRPr="00491E0E">
        <w:rPr>
          <w:szCs w:val="22"/>
          <w:lang w:val="sr-Latn-ME"/>
        </w:rPr>
        <w:t xml:space="preserve"> H</w:t>
      </w:r>
      <w:r w:rsidRPr="00491E0E">
        <w:rPr>
          <w:szCs w:val="22"/>
          <w:vertAlign w:val="subscript"/>
          <w:lang w:val="sr-Latn-ME"/>
        </w:rPr>
        <w:t>2</w:t>
      </w:r>
      <w:r w:rsidRPr="00491E0E">
        <w:rPr>
          <w:szCs w:val="22"/>
          <w:lang w:val="sr-Latn-ME"/>
        </w:rPr>
        <w:t xml:space="preserve"> receptora, terapija </w:t>
      </w:r>
      <w:proofErr w:type="spellStart"/>
      <w:r w:rsidRPr="00491E0E">
        <w:rPr>
          <w:szCs w:val="22"/>
          <w:lang w:val="sr-Latn-ME"/>
        </w:rPr>
        <w:t>pantoprazolom</w:t>
      </w:r>
      <w:proofErr w:type="spellEnd"/>
      <w:r w:rsidRPr="00491E0E">
        <w:rPr>
          <w:szCs w:val="22"/>
          <w:lang w:val="sr-Latn-ME"/>
        </w:rPr>
        <w:t xml:space="preserve"> uzrokuje smanjenje kiselosti u želucu, a time povećanje </w:t>
      </w:r>
      <w:proofErr w:type="spellStart"/>
      <w:r w:rsidRPr="00491E0E">
        <w:rPr>
          <w:szCs w:val="22"/>
          <w:lang w:val="sr-Latn-ME"/>
        </w:rPr>
        <w:t>gastrina</w:t>
      </w:r>
      <w:proofErr w:type="spellEnd"/>
      <w:r w:rsidRPr="00491E0E">
        <w:rPr>
          <w:szCs w:val="22"/>
          <w:lang w:val="sr-Latn-ME"/>
        </w:rPr>
        <w:t xml:space="preserve"> proporcionalno smanjenju </w:t>
      </w:r>
      <w:proofErr w:type="spellStart"/>
      <w:r w:rsidRPr="00491E0E">
        <w:rPr>
          <w:szCs w:val="22"/>
          <w:lang w:val="sr-Latn-ME"/>
        </w:rPr>
        <w:t>aciditeta</w:t>
      </w:r>
      <w:proofErr w:type="spellEnd"/>
      <w:r w:rsidRPr="00491E0E">
        <w:rPr>
          <w:szCs w:val="22"/>
          <w:lang w:val="sr-Latn-ME"/>
        </w:rPr>
        <w:t xml:space="preserve">. Povećanje </w:t>
      </w:r>
      <w:proofErr w:type="spellStart"/>
      <w:r w:rsidRPr="00491E0E">
        <w:rPr>
          <w:szCs w:val="22"/>
          <w:lang w:val="sr-Latn-ME"/>
        </w:rPr>
        <w:t>gastrina</w:t>
      </w:r>
      <w:proofErr w:type="spellEnd"/>
      <w:r w:rsidRPr="00491E0E">
        <w:rPr>
          <w:szCs w:val="22"/>
          <w:lang w:val="sr-Latn-ME"/>
        </w:rPr>
        <w:t xml:space="preserve"> je </w:t>
      </w:r>
      <w:proofErr w:type="spellStart"/>
      <w:r w:rsidRPr="00491E0E">
        <w:rPr>
          <w:szCs w:val="22"/>
          <w:lang w:val="sr-Latn-ME"/>
        </w:rPr>
        <w:t>reverzibilno</w:t>
      </w:r>
      <w:proofErr w:type="spellEnd"/>
      <w:r w:rsidRPr="00491E0E">
        <w:rPr>
          <w:szCs w:val="22"/>
          <w:lang w:val="sr-Latn-ME"/>
        </w:rPr>
        <w:t xml:space="preserve">. S obzirom na to da se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vezuje za enzime </w:t>
      </w:r>
      <w:proofErr w:type="spellStart"/>
      <w:r w:rsidRPr="00491E0E">
        <w:rPr>
          <w:szCs w:val="22"/>
          <w:lang w:val="sr-Latn-ME"/>
        </w:rPr>
        <w:t>distalno</w:t>
      </w:r>
      <w:proofErr w:type="spellEnd"/>
      <w:r w:rsidRPr="00491E0E">
        <w:rPr>
          <w:szCs w:val="22"/>
          <w:lang w:val="sr-Latn-ME"/>
        </w:rPr>
        <w:t xml:space="preserve"> od ćelijskih receptora, on može da inhibira sekreciju hlorovodonične kiseline nezavisno od stimulacije ostalim supstancama (</w:t>
      </w:r>
      <w:proofErr w:type="spellStart"/>
      <w:r w:rsidRPr="00491E0E">
        <w:rPr>
          <w:szCs w:val="22"/>
          <w:lang w:val="sr-Latn-ME"/>
        </w:rPr>
        <w:t>acetilholin</w:t>
      </w:r>
      <w:proofErr w:type="spellEnd"/>
      <w:r w:rsidRPr="00491E0E">
        <w:rPr>
          <w:szCs w:val="22"/>
          <w:lang w:val="sr-Latn-ME"/>
        </w:rPr>
        <w:t xml:space="preserve">, histamin, </w:t>
      </w:r>
      <w:proofErr w:type="spellStart"/>
      <w:r w:rsidRPr="00491E0E">
        <w:rPr>
          <w:szCs w:val="22"/>
          <w:lang w:val="sr-Latn-ME"/>
        </w:rPr>
        <w:t>gastrin</w:t>
      </w:r>
      <w:proofErr w:type="spellEnd"/>
      <w:r w:rsidRPr="00491E0E">
        <w:rPr>
          <w:szCs w:val="22"/>
          <w:lang w:val="sr-Latn-ME"/>
        </w:rPr>
        <w:t xml:space="preserve">). Efekat je isti bilo da se lijek primjenjuje oralnim ili </w:t>
      </w:r>
      <w:proofErr w:type="spellStart"/>
      <w:r w:rsidRPr="00491E0E">
        <w:rPr>
          <w:szCs w:val="22"/>
          <w:lang w:val="sr-Latn-ME"/>
        </w:rPr>
        <w:t>intravenskim</w:t>
      </w:r>
      <w:proofErr w:type="spellEnd"/>
      <w:r w:rsidRPr="00491E0E">
        <w:rPr>
          <w:szCs w:val="22"/>
          <w:lang w:val="sr-Latn-ME"/>
        </w:rPr>
        <w:t xml:space="preserve"> putem.</w:t>
      </w:r>
    </w:p>
    <w:p w14:paraId="1E28814C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12F5028D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proofErr w:type="spellStart"/>
      <w:r w:rsidRPr="00491E0E">
        <w:rPr>
          <w:szCs w:val="22"/>
          <w:u w:val="single"/>
          <w:lang w:val="sr-Latn-ME"/>
        </w:rPr>
        <w:t>Farmakodinamski</w:t>
      </w:r>
      <w:proofErr w:type="spellEnd"/>
      <w:r w:rsidRPr="00491E0E">
        <w:rPr>
          <w:szCs w:val="22"/>
          <w:u w:val="single"/>
          <w:lang w:val="sr-Latn-ME"/>
        </w:rPr>
        <w:t xml:space="preserve"> efekti</w:t>
      </w:r>
    </w:p>
    <w:p w14:paraId="5C6F88B4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Vrijednosti </w:t>
      </w:r>
      <w:proofErr w:type="spellStart"/>
      <w:r w:rsidRPr="00491E0E">
        <w:rPr>
          <w:szCs w:val="22"/>
          <w:lang w:val="sr-Latn-ME"/>
        </w:rPr>
        <w:t>gastrina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natašte</w:t>
      </w:r>
      <w:proofErr w:type="spellEnd"/>
      <w:r w:rsidRPr="00491E0E">
        <w:rPr>
          <w:szCs w:val="22"/>
          <w:lang w:val="sr-Latn-ME"/>
        </w:rPr>
        <w:t xml:space="preserve"> se povećavaju pod dejstvom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. Pri kratkotrajnoj upotrebi, u većini slučajeva vrijednosti </w:t>
      </w:r>
      <w:proofErr w:type="spellStart"/>
      <w:r w:rsidRPr="00491E0E">
        <w:rPr>
          <w:szCs w:val="22"/>
          <w:lang w:val="sr-Latn-ME"/>
        </w:rPr>
        <w:t>gastrina</w:t>
      </w:r>
      <w:proofErr w:type="spellEnd"/>
      <w:r w:rsidRPr="00491E0E">
        <w:rPr>
          <w:szCs w:val="22"/>
          <w:lang w:val="sr-Latn-ME"/>
        </w:rPr>
        <w:t xml:space="preserve"> ne prelaze gornju granicu. Tokom dugotrajne terapije, u većini slučajeva se vrijednosti </w:t>
      </w:r>
      <w:proofErr w:type="spellStart"/>
      <w:r w:rsidRPr="00491E0E">
        <w:rPr>
          <w:szCs w:val="22"/>
          <w:lang w:val="sr-Latn-ME"/>
        </w:rPr>
        <w:t>gastrina</w:t>
      </w:r>
      <w:proofErr w:type="spellEnd"/>
      <w:r w:rsidRPr="00491E0E">
        <w:rPr>
          <w:szCs w:val="22"/>
          <w:lang w:val="sr-Latn-ME"/>
        </w:rPr>
        <w:t xml:space="preserve"> udvostručuju. Međutim, izraziti porast vrijednosti se javlja samo u izolovanim slučajevima. Kao rezultat toga, u malom broju slučajeva tokom dugotrajne primjene zabilježen je blagi do umjereni porast broja specifičnih endokrinih ćelija (ECL) u želucu (jednostavna do </w:t>
      </w:r>
      <w:proofErr w:type="spellStart"/>
      <w:r w:rsidRPr="00491E0E">
        <w:rPr>
          <w:szCs w:val="22"/>
          <w:lang w:val="sr-Latn-ME"/>
        </w:rPr>
        <w:t>adenomatoidna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hiperplazija</w:t>
      </w:r>
      <w:proofErr w:type="spellEnd"/>
      <w:r w:rsidRPr="00491E0E">
        <w:rPr>
          <w:szCs w:val="22"/>
          <w:lang w:val="sr-Latn-ME"/>
        </w:rPr>
        <w:t xml:space="preserve">). Međutim, prema studijama koje su do sada sprovedene, za razliku od eksperimenata na životinjama, kod </w:t>
      </w:r>
      <w:proofErr w:type="spellStart"/>
      <w:r w:rsidRPr="00491E0E">
        <w:rPr>
          <w:szCs w:val="22"/>
          <w:lang w:val="sr-Latn-ME"/>
        </w:rPr>
        <w:t>ljudi</w:t>
      </w:r>
      <w:proofErr w:type="spellEnd"/>
      <w:r w:rsidRPr="00491E0E">
        <w:rPr>
          <w:szCs w:val="22"/>
          <w:lang w:val="sr-Latn-ME"/>
        </w:rPr>
        <w:t xml:space="preserve"> nije zabilježeno stvaranje </w:t>
      </w:r>
      <w:proofErr w:type="spellStart"/>
      <w:r w:rsidRPr="00491E0E">
        <w:rPr>
          <w:szCs w:val="22"/>
          <w:lang w:val="sr-Latn-ME"/>
        </w:rPr>
        <w:t>karcinoidnih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prekursora</w:t>
      </w:r>
      <w:proofErr w:type="spellEnd"/>
      <w:r w:rsidRPr="00491E0E">
        <w:rPr>
          <w:szCs w:val="22"/>
          <w:lang w:val="sr-Latn-ME"/>
        </w:rPr>
        <w:t xml:space="preserve"> (atipična </w:t>
      </w:r>
      <w:proofErr w:type="spellStart"/>
      <w:r w:rsidRPr="00491E0E">
        <w:rPr>
          <w:szCs w:val="22"/>
          <w:lang w:val="sr-Latn-ME"/>
        </w:rPr>
        <w:t>hiperplazija</w:t>
      </w:r>
      <w:proofErr w:type="spellEnd"/>
      <w:r w:rsidRPr="00491E0E">
        <w:rPr>
          <w:szCs w:val="22"/>
          <w:lang w:val="sr-Latn-ME"/>
        </w:rPr>
        <w:t xml:space="preserve">) ili </w:t>
      </w:r>
      <w:proofErr w:type="spellStart"/>
      <w:r w:rsidRPr="00491E0E">
        <w:rPr>
          <w:szCs w:val="22"/>
          <w:lang w:val="sr-Latn-ME"/>
        </w:rPr>
        <w:t>gastrični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karcinoidi</w:t>
      </w:r>
      <w:proofErr w:type="spellEnd"/>
      <w:r w:rsidRPr="00491E0E">
        <w:rPr>
          <w:szCs w:val="22"/>
          <w:lang w:val="sr-Latn-ME"/>
        </w:rPr>
        <w:t xml:space="preserve"> (vidjeti dio 5.3).</w:t>
      </w:r>
    </w:p>
    <w:p w14:paraId="3DDC450C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651A72A" w14:textId="77777777" w:rsidR="00986E21" w:rsidRPr="00491E0E" w:rsidRDefault="00070A10" w:rsidP="00753B1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491E0E">
        <w:rPr>
          <w:color w:val="auto"/>
          <w:sz w:val="22"/>
          <w:szCs w:val="22"/>
          <w:lang w:val="sr-Latn-ME"/>
        </w:rPr>
        <w:t xml:space="preserve">Tokom primjene </w:t>
      </w:r>
      <w:proofErr w:type="spellStart"/>
      <w:r w:rsidRPr="00491E0E">
        <w:rPr>
          <w:color w:val="auto"/>
          <w:sz w:val="22"/>
          <w:szCs w:val="22"/>
          <w:lang w:val="sr-Latn-ME"/>
        </w:rPr>
        <w:t>antisekretornih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ljekova, koncentracija </w:t>
      </w:r>
      <w:proofErr w:type="spellStart"/>
      <w:r w:rsidRPr="00491E0E">
        <w:rPr>
          <w:color w:val="auto"/>
          <w:sz w:val="22"/>
          <w:szCs w:val="22"/>
          <w:lang w:val="sr-Latn-ME"/>
        </w:rPr>
        <w:t>gastrina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u serumu se povećava kao odgovor na smanjenje sekrecije želudačne kiseline. Takođe, zbog smanjenja želudačne kiselosti dolazi do povećanja nivoa </w:t>
      </w:r>
      <w:proofErr w:type="spellStart"/>
      <w:r w:rsidRPr="00491E0E">
        <w:rPr>
          <w:color w:val="auto"/>
          <w:sz w:val="22"/>
          <w:szCs w:val="22"/>
          <w:lang w:val="sr-Latn-ME"/>
        </w:rPr>
        <w:t>CgA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. Povećani nivoi </w:t>
      </w:r>
      <w:proofErr w:type="spellStart"/>
      <w:r w:rsidRPr="00491E0E">
        <w:rPr>
          <w:color w:val="auto"/>
          <w:sz w:val="22"/>
          <w:szCs w:val="22"/>
          <w:lang w:val="sr-Latn-ME"/>
        </w:rPr>
        <w:t>CgA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mogu da utiču na laboratorijska ispitivanja prisustva </w:t>
      </w:r>
      <w:proofErr w:type="spellStart"/>
      <w:r w:rsidRPr="00491E0E">
        <w:rPr>
          <w:color w:val="auto"/>
          <w:sz w:val="22"/>
          <w:szCs w:val="22"/>
          <w:lang w:val="sr-Latn-ME"/>
        </w:rPr>
        <w:t>neuroendokrinih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tumora.</w:t>
      </w:r>
    </w:p>
    <w:p w14:paraId="4586CCE0" w14:textId="77777777" w:rsidR="00B04010" w:rsidRPr="00491E0E" w:rsidRDefault="00B04010" w:rsidP="00753B1E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5F6E8650" w14:textId="77777777" w:rsidR="00986E21" w:rsidRPr="00491E0E" w:rsidRDefault="00070A10" w:rsidP="00753B1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491E0E">
        <w:rPr>
          <w:color w:val="auto"/>
          <w:sz w:val="22"/>
          <w:szCs w:val="22"/>
          <w:lang w:val="sr-Latn-ME"/>
        </w:rPr>
        <w:t xml:space="preserve">Dostupni objavljeni dokazi ukazuju na to da je potrebno obustaviti primjenu </w:t>
      </w:r>
      <w:proofErr w:type="spellStart"/>
      <w:r w:rsidRPr="00491E0E">
        <w:rPr>
          <w:color w:val="auto"/>
          <w:sz w:val="22"/>
          <w:szCs w:val="22"/>
          <w:lang w:val="sr-Latn-ME"/>
        </w:rPr>
        <w:t>inhibitora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protonske pumpe između 5 dana i 2 nedjelje prije određivanja nivoa </w:t>
      </w:r>
      <w:proofErr w:type="spellStart"/>
      <w:r w:rsidRPr="00491E0E">
        <w:rPr>
          <w:color w:val="auto"/>
          <w:sz w:val="22"/>
          <w:szCs w:val="22"/>
          <w:lang w:val="sr-Latn-ME"/>
        </w:rPr>
        <w:t>CgA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. Ovaj prekid omogućava da se nivo </w:t>
      </w:r>
      <w:proofErr w:type="spellStart"/>
      <w:r w:rsidRPr="00491E0E">
        <w:rPr>
          <w:color w:val="auto"/>
          <w:sz w:val="22"/>
          <w:szCs w:val="22"/>
          <w:lang w:val="sr-Latn-ME"/>
        </w:rPr>
        <w:t>CgA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, koji može biti povećan </w:t>
      </w:r>
      <w:proofErr w:type="spellStart"/>
      <w:r w:rsidRPr="00491E0E">
        <w:rPr>
          <w:color w:val="auto"/>
          <w:sz w:val="22"/>
          <w:szCs w:val="22"/>
          <w:lang w:val="sr-Latn-ME"/>
        </w:rPr>
        <w:t>usl</w:t>
      </w:r>
      <w:r w:rsidR="004D4567" w:rsidRPr="00491E0E">
        <w:rPr>
          <w:color w:val="auto"/>
          <w:sz w:val="22"/>
          <w:szCs w:val="22"/>
          <w:lang w:val="sr-Latn-ME"/>
        </w:rPr>
        <w:t>j</w:t>
      </w:r>
      <w:r w:rsidRPr="00491E0E">
        <w:rPr>
          <w:color w:val="auto"/>
          <w:sz w:val="22"/>
          <w:szCs w:val="22"/>
          <w:lang w:val="sr-Latn-ME"/>
        </w:rPr>
        <w:t>ed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liječenja </w:t>
      </w:r>
      <w:proofErr w:type="spellStart"/>
      <w:r w:rsidRPr="00491E0E">
        <w:rPr>
          <w:color w:val="auto"/>
          <w:sz w:val="22"/>
          <w:szCs w:val="22"/>
          <w:lang w:val="sr-Latn-ME"/>
        </w:rPr>
        <w:t>inhibitorima</w:t>
      </w:r>
      <w:proofErr w:type="spellEnd"/>
      <w:r w:rsidRPr="00491E0E">
        <w:rPr>
          <w:color w:val="auto"/>
          <w:sz w:val="22"/>
          <w:szCs w:val="22"/>
          <w:lang w:val="sr-Latn-ME"/>
        </w:rPr>
        <w:t xml:space="preserve"> protonske pumpe, vrati u okvire referentnih vrijednosti.</w:t>
      </w:r>
    </w:p>
    <w:p w14:paraId="2E239C35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272C5B5F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Prema rezultatima istraživanja na životinjama, kod dugotrajne primjene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u trajanju dužem od jedne godine, ne može se potpuno isključiti uticaj na endokrine parametre </w:t>
      </w:r>
      <w:proofErr w:type="spellStart"/>
      <w:r w:rsidRPr="00491E0E">
        <w:rPr>
          <w:szCs w:val="22"/>
          <w:lang w:val="sr-Latn-ME"/>
        </w:rPr>
        <w:t>tireoidne</w:t>
      </w:r>
      <w:proofErr w:type="spellEnd"/>
      <w:r w:rsidRPr="00491E0E">
        <w:rPr>
          <w:szCs w:val="22"/>
          <w:lang w:val="sr-Latn-ME"/>
        </w:rPr>
        <w:t xml:space="preserve"> žlijezde.</w:t>
      </w:r>
    </w:p>
    <w:p w14:paraId="6BBA153D" w14:textId="77777777" w:rsidR="00986E21" w:rsidRPr="00491E0E" w:rsidRDefault="00986E21" w:rsidP="00753B1E">
      <w:pPr>
        <w:spacing w:line="240" w:lineRule="auto"/>
        <w:jc w:val="both"/>
        <w:rPr>
          <w:szCs w:val="22"/>
          <w:lang w:val="sr-Latn-ME"/>
        </w:rPr>
      </w:pPr>
    </w:p>
    <w:p w14:paraId="5CCDBB2C" w14:textId="77777777" w:rsidR="00986E21" w:rsidRPr="00491E0E" w:rsidRDefault="00070A10" w:rsidP="00753B1E">
      <w:pPr>
        <w:widowControl w:val="0"/>
        <w:spacing w:line="240" w:lineRule="auto"/>
        <w:ind w:left="567" w:hanging="567"/>
        <w:jc w:val="both"/>
        <w:outlineLvl w:val="0"/>
        <w:rPr>
          <w:b/>
          <w:szCs w:val="22"/>
          <w:lang w:val="sr-Latn-ME"/>
        </w:rPr>
      </w:pPr>
      <w:r w:rsidRPr="00491E0E">
        <w:rPr>
          <w:b/>
          <w:szCs w:val="22"/>
          <w:lang w:val="sr-Latn-ME"/>
        </w:rPr>
        <w:t>5.2</w:t>
      </w:r>
      <w:r w:rsidRPr="00491E0E">
        <w:rPr>
          <w:b/>
          <w:szCs w:val="22"/>
          <w:lang w:val="sr-Latn-ME"/>
        </w:rPr>
        <w:tab/>
      </w:r>
      <w:proofErr w:type="spellStart"/>
      <w:r w:rsidRPr="00491E0E">
        <w:rPr>
          <w:b/>
          <w:bCs/>
          <w:szCs w:val="22"/>
          <w:lang w:val="sr-Latn-ME"/>
        </w:rPr>
        <w:t>Farmakokinetički</w:t>
      </w:r>
      <w:proofErr w:type="spellEnd"/>
      <w:r w:rsidRPr="00491E0E">
        <w:rPr>
          <w:b/>
          <w:bCs/>
          <w:szCs w:val="22"/>
          <w:lang w:val="sr-Latn-ME"/>
        </w:rPr>
        <w:t xml:space="preserve"> podaci</w:t>
      </w:r>
    </w:p>
    <w:p w14:paraId="5B92641E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1A17CAA3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outlineLvl w:val="6"/>
        <w:rPr>
          <w:bCs/>
          <w:iCs/>
          <w:szCs w:val="22"/>
          <w:u w:val="single"/>
          <w:lang w:val="sr-Latn-ME"/>
        </w:rPr>
      </w:pPr>
      <w:r w:rsidRPr="00491E0E">
        <w:rPr>
          <w:bCs/>
          <w:iCs/>
          <w:szCs w:val="22"/>
          <w:u w:val="single"/>
          <w:lang w:val="sr-Latn-ME"/>
        </w:rPr>
        <w:t>Resorpcija</w:t>
      </w:r>
    </w:p>
    <w:p w14:paraId="1DC58CBC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 w:eastAsia="hr-HR"/>
        </w:rPr>
      </w:pPr>
      <w:proofErr w:type="spellStart"/>
      <w:r w:rsidRPr="00491E0E">
        <w:rPr>
          <w:szCs w:val="22"/>
          <w:lang w:val="sr-Latn-ME" w:eastAsia="hr-HR"/>
        </w:rPr>
        <w:t>Pantoprazol</w:t>
      </w:r>
      <w:proofErr w:type="spellEnd"/>
      <w:r w:rsidRPr="00491E0E">
        <w:rPr>
          <w:szCs w:val="22"/>
          <w:lang w:val="sr-Latn-ME" w:eastAsia="hr-HR"/>
        </w:rPr>
        <w:t xml:space="preserve"> se brzo resorbuje i postiže najvišu koncentraciju u plazmi već nakon jednokratne oralne doze od 20 mg. </w:t>
      </w:r>
      <w:r w:rsidRPr="00491E0E">
        <w:rPr>
          <w:szCs w:val="22"/>
          <w:lang w:val="sr-Latn-ME"/>
        </w:rPr>
        <w:t xml:space="preserve">U prosjeku, maksimalne koncentracije u serumu od oko 1-1,5 </w:t>
      </w:r>
      <w:proofErr w:type="spellStart"/>
      <w:r w:rsidRPr="00491E0E">
        <w:rPr>
          <w:szCs w:val="22"/>
          <w:lang w:val="sr-Latn-ME"/>
        </w:rPr>
        <w:t>mikrograma</w:t>
      </w:r>
      <w:proofErr w:type="spellEnd"/>
      <w:r w:rsidRPr="00491E0E">
        <w:rPr>
          <w:szCs w:val="22"/>
          <w:lang w:val="sr-Latn-ME"/>
        </w:rPr>
        <w:t>/ml se postižu tokom 2-2,5 sata nakon primjene doze i ostaju konstantne čak i nakon višestrukog doziranja.</w:t>
      </w:r>
    </w:p>
    <w:p w14:paraId="3EB4C0A5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74F4432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Farmakokinetika</w:t>
      </w:r>
      <w:proofErr w:type="spellEnd"/>
      <w:r w:rsidRPr="00491E0E">
        <w:rPr>
          <w:szCs w:val="22"/>
          <w:lang w:val="sr-Latn-ME"/>
        </w:rPr>
        <w:t xml:space="preserve"> se ne mijenja nakon jednog ili višestrukog doziranja. U </w:t>
      </w:r>
      <w:proofErr w:type="spellStart"/>
      <w:r w:rsidRPr="00491E0E">
        <w:rPr>
          <w:szCs w:val="22"/>
          <w:lang w:val="sr-Latn-ME"/>
        </w:rPr>
        <w:t>doznom</w:t>
      </w:r>
      <w:proofErr w:type="spellEnd"/>
      <w:r w:rsidRPr="00491E0E">
        <w:rPr>
          <w:szCs w:val="22"/>
          <w:lang w:val="sr-Latn-ME"/>
        </w:rPr>
        <w:t xml:space="preserve"> opsegu od 10 mg do 80 mg, plazma kinetika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je linearna i nakon oralne i nakon </w:t>
      </w:r>
      <w:proofErr w:type="spellStart"/>
      <w:r w:rsidRPr="00491E0E">
        <w:rPr>
          <w:szCs w:val="22"/>
          <w:lang w:val="sr-Latn-ME"/>
        </w:rPr>
        <w:t>intravenske</w:t>
      </w:r>
      <w:proofErr w:type="spellEnd"/>
      <w:r w:rsidRPr="00491E0E">
        <w:rPr>
          <w:szCs w:val="22"/>
          <w:lang w:val="sr-Latn-ME"/>
        </w:rPr>
        <w:t xml:space="preserve"> primjene.</w:t>
      </w:r>
    </w:p>
    <w:p w14:paraId="76F80C3A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Utvrđeno je da je apsolutna </w:t>
      </w:r>
      <w:proofErr w:type="spellStart"/>
      <w:r w:rsidRPr="00491E0E">
        <w:rPr>
          <w:szCs w:val="22"/>
          <w:lang w:val="sr-Latn-ME"/>
        </w:rPr>
        <w:t>bioraspoloživost</w:t>
      </w:r>
      <w:proofErr w:type="spellEnd"/>
      <w:r w:rsidRPr="00491E0E">
        <w:rPr>
          <w:szCs w:val="22"/>
          <w:lang w:val="sr-Latn-ME"/>
        </w:rPr>
        <w:t xml:space="preserve"> iz tablete oko 77%. Istovremeno uzimanje hrane nema uticaja na PIK (površina ispod krive), maksimalnu koncentraciju u serumu, pa prema tome ni na </w:t>
      </w:r>
      <w:proofErr w:type="spellStart"/>
      <w:r w:rsidRPr="00491E0E">
        <w:rPr>
          <w:szCs w:val="22"/>
          <w:lang w:val="sr-Latn-ME"/>
        </w:rPr>
        <w:t>bioraspoloživost</w:t>
      </w:r>
      <w:proofErr w:type="spellEnd"/>
      <w:r w:rsidRPr="00491E0E">
        <w:rPr>
          <w:szCs w:val="22"/>
          <w:lang w:val="sr-Latn-ME"/>
        </w:rPr>
        <w:t xml:space="preserve">. Jedino što kod istovremenog uzimanja hrane može da dođe do povećanja varijabilnosti </w:t>
      </w:r>
      <w:proofErr w:type="spellStart"/>
      <w:r w:rsidRPr="00491E0E">
        <w:rPr>
          <w:szCs w:val="22"/>
          <w:lang w:val="sr-Latn-ME"/>
        </w:rPr>
        <w:t>vremena</w:t>
      </w:r>
      <w:proofErr w:type="spellEnd"/>
      <w:r w:rsidRPr="00491E0E">
        <w:rPr>
          <w:szCs w:val="22"/>
          <w:lang w:val="sr-Latn-ME"/>
        </w:rPr>
        <w:t xml:space="preserve"> kašnjenja.</w:t>
      </w:r>
    </w:p>
    <w:p w14:paraId="24F9F3A6" w14:textId="77777777" w:rsidR="00986E21" w:rsidRPr="00491E0E" w:rsidRDefault="00986E21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b/>
          <w:bCs/>
          <w:iCs/>
          <w:szCs w:val="22"/>
          <w:lang w:val="sr-Latn-ME"/>
        </w:rPr>
      </w:pPr>
    </w:p>
    <w:p w14:paraId="2404F468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bCs/>
          <w:iCs/>
          <w:szCs w:val="22"/>
          <w:u w:val="single"/>
          <w:lang w:val="sr-Latn-ME"/>
        </w:rPr>
      </w:pPr>
      <w:r w:rsidRPr="00491E0E">
        <w:rPr>
          <w:bCs/>
          <w:iCs/>
          <w:szCs w:val="22"/>
          <w:u w:val="single"/>
          <w:lang w:val="sr-Latn-ME"/>
        </w:rPr>
        <w:t>Distribucija</w:t>
      </w:r>
    </w:p>
    <w:p w14:paraId="6D211019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 w:eastAsia="hr-HR"/>
        </w:rPr>
        <w:t xml:space="preserve">Vezivanje </w:t>
      </w:r>
      <w:proofErr w:type="spellStart"/>
      <w:r w:rsidRPr="00491E0E">
        <w:rPr>
          <w:szCs w:val="22"/>
          <w:lang w:val="sr-Latn-ME" w:eastAsia="hr-HR"/>
        </w:rPr>
        <w:t>pantoprazola</w:t>
      </w:r>
      <w:proofErr w:type="spellEnd"/>
      <w:r w:rsidRPr="00491E0E">
        <w:rPr>
          <w:szCs w:val="22"/>
          <w:lang w:val="sr-Latn-ME" w:eastAsia="hr-HR"/>
        </w:rPr>
        <w:t xml:space="preserve"> za proteine plazme je oko 98%.</w:t>
      </w:r>
      <w:r w:rsidRPr="00491E0E">
        <w:rPr>
          <w:szCs w:val="22"/>
          <w:lang w:val="sr-Latn-ME"/>
        </w:rPr>
        <w:t>Volumen distribucije je oko 0,15 l/kg.</w:t>
      </w:r>
    </w:p>
    <w:p w14:paraId="28737283" w14:textId="77777777" w:rsidR="00986E21" w:rsidRPr="00491E0E" w:rsidRDefault="00986E21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 w:eastAsia="hr-HR"/>
        </w:rPr>
      </w:pPr>
    </w:p>
    <w:p w14:paraId="6FFCE6ED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szCs w:val="22"/>
          <w:u w:val="single"/>
          <w:lang w:val="sr-Latn-ME" w:eastAsia="hr-HR"/>
        </w:rPr>
      </w:pPr>
      <w:r w:rsidRPr="00491E0E">
        <w:rPr>
          <w:szCs w:val="22"/>
          <w:u w:val="single"/>
          <w:lang w:val="sr-Latn-ME" w:eastAsia="hr-HR"/>
        </w:rPr>
        <w:t>Metabolizam</w:t>
      </w:r>
    </w:p>
    <w:p w14:paraId="5433FC0C" w14:textId="77777777" w:rsidR="00986E21" w:rsidRPr="00491E0E" w:rsidRDefault="00070A10" w:rsidP="00753B1E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 w:eastAsia="hr-HR"/>
        </w:rPr>
      </w:pPr>
      <w:r w:rsidRPr="00491E0E">
        <w:rPr>
          <w:szCs w:val="22"/>
          <w:lang w:val="sr-Latn-ME" w:eastAsia="hr-HR"/>
        </w:rPr>
        <w:t xml:space="preserve">Lijek se skoro u potpunosti </w:t>
      </w:r>
      <w:proofErr w:type="spellStart"/>
      <w:r w:rsidRPr="00491E0E">
        <w:rPr>
          <w:szCs w:val="22"/>
          <w:lang w:val="sr-Latn-ME" w:eastAsia="hr-HR"/>
        </w:rPr>
        <w:t>metaboliše</w:t>
      </w:r>
      <w:proofErr w:type="spellEnd"/>
      <w:r w:rsidRPr="00491E0E">
        <w:rPr>
          <w:szCs w:val="22"/>
          <w:lang w:val="sr-Latn-ME" w:eastAsia="hr-HR"/>
        </w:rPr>
        <w:t xml:space="preserve"> u jetri. Glavni </w:t>
      </w:r>
      <w:proofErr w:type="spellStart"/>
      <w:r w:rsidRPr="00491E0E">
        <w:rPr>
          <w:szCs w:val="22"/>
          <w:lang w:val="sr-Latn-ME" w:eastAsia="hr-HR"/>
        </w:rPr>
        <w:t>metabolički</w:t>
      </w:r>
      <w:proofErr w:type="spellEnd"/>
      <w:r w:rsidRPr="00491E0E">
        <w:rPr>
          <w:szCs w:val="22"/>
          <w:lang w:val="sr-Latn-ME" w:eastAsia="hr-HR"/>
        </w:rPr>
        <w:t xml:space="preserve"> put je </w:t>
      </w:r>
      <w:proofErr w:type="spellStart"/>
      <w:r w:rsidRPr="00491E0E">
        <w:rPr>
          <w:szCs w:val="22"/>
          <w:lang w:val="sr-Latn-ME" w:eastAsia="hr-HR"/>
        </w:rPr>
        <w:t>demetilacija</w:t>
      </w:r>
      <w:proofErr w:type="spellEnd"/>
      <w:r w:rsidRPr="00491E0E">
        <w:rPr>
          <w:szCs w:val="22"/>
          <w:lang w:val="sr-Latn-ME" w:eastAsia="hr-HR"/>
        </w:rPr>
        <w:t xml:space="preserve"> putem CYP2C19 sa kasnijom </w:t>
      </w:r>
      <w:proofErr w:type="spellStart"/>
      <w:r w:rsidRPr="00491E0E">
        <w:rPr>
          <w:szCs w:val="22"/>
          <w:lang w:val="sr-Latn-ME" w:eastAsia="hr-HR"/>
        </w:rPr>
        <w:t>sulfatnom</w:t>
      </w:r>
      <w:proofErr w:type="spellEnd"/>
      <w:r w:rsidRPr="00491E0E">
        <w:rPr>
          <w:szCs w:val="22"/>
          <w:lang w:val="sr-Latn-ME" w:eastAsia="hr-HR"/>
        </w:rPr>
        <w:t xml:space="preserve"> konjugacijom. Drugi </w:t>
      </w:r>
      <w:proofErr w:type="spellStart"/>
      <w:r w:rsidRPr="00491E0E">
        <w:rPr>
          <w:szCs w:val="22"/>
          <w:lang w:val="sr-Latn-ME" w:eastAsia="hr-HR"/>
        </w:rPr>
        <w:t>metabolički</w:t>
      </w:r>
      <w:proofErr w:type="spellEnd"/>
      <w:r w:rsidRPr="00491E0E">
        <w:rPr>
          <w:szCs w:val="22"/>
          <w:lang w:val="sr-Latn-ME" w:eastAsia="hr-HR"/>
        </w:rPr>
        <w:t xml:space="preserve"> put uključuje oksidaciju putem CYP3A4.</w:t>
      </w:r>
    </w:p>
    <w:p w14:paraId="69592C34" w14:textId="77777777" w:rsidR="00986E21" w:rsidRPr="00491E0E" w:rsidRDefault="00986E21" w:rsidP="00753B1E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 w:eastAsia="hr-HR"/>
        </w:rPr>
      </w:pPr>
    </w:p>
    <w:p w14:paraId="1D01AA8C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491E0E">
        <w:rPr>
          <w:iCs/>
          <w:szCs w:val="22"/>
          <w:u w:val="single"/>
          <w:lang w:val="sr-Latn-ME"/>
        </w:rPr>
        <w:t>Eliminacija</w:t>
      </w:r>
    </w:p>
    <w:p w14:paraId="5052FE60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Terminalno poluvrijeme eliminacije je oko 1 sat i </w:t>
      </w:r>
      <w:proofErr w:type="spellStart"/>
      <w:r w:rsidRPr="00491E0E">
        <w:rPr>
          <w:szCs w:val="22"/>
          <w:lang w:val="sr-Latn-ME"/>
        </w:rPr>
        <w:t>klirens</w:t>
      </w:r>
      <w:proofErr w:type="spellEnd"/>
      <w:r w:rsidRPr="00491E0E">
        <w:rPr>
          <w:szCs w:val="22"/>
          <w:lang w:val="sr-Latn-ME"/>
        </w:rPr>
        <w:t xml:space="preserve"> je oko 0,1 l/h/kg. Bilo je nekoliko slučajeva ispitanika sa odloženom eliminacijom. Zbog specifičnog vezivanja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za protonske pumpe </w:t>
      </w:r>
      <w:proofErr w:type="spellStart"/>
      <w:r w:rsidRPr="00491E0E">
        <w:rPr>
          <w:szCs w:val="22"/>
          <w:lang w:val="sr-Latn-ME"/>
        </w:rPr>
        <w:t>parijetalnih</w:t>
      </w:r>
      <w:proofErr w:type="spellEnd"/>
      <w:r w:rsidRPr="00491E0E">
        <w:rPr>
          <w:szCs w:val="22"/>
          <w:lang w:val="sr-Latn-ME"/>
        </w:rPr>
        <w:t xml:space="preserve"> ćelija, poluvrijeme eliminacije nije u korelaciji sa mnogo dužim </w:t>
      </w:r>
      <w:proofErr w:type="spellStart"/>
      <w:r w:rsidRPr="00491E0E">
        <w:rPr>
          <w:szCs w:val="22"/>
          <w:lang w:val="sr-Latn-ME"/>
        </w:rPr>
        <w:t>vremenom</w:t>
      </w:r>
      <w:proofErr w:type="spellEnd"/>
      <w:r w:rsidRPr="00491E0E">
        <w:rPr>
          <w:szCs w:val="22"/>
          <w:lang w:val="sr-Latn-ME"/>
        </w:rPr>
        <w:t xml:space="preserve"> aktivnosti (inhibicije sekrecije želudačne kiseline). </w:t>
      </w:r>
    </w:p>
    <w:p w14:paraId="1AF581D1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lastRenderedPageBreak/>
        <w:t xml:space="preserve">Eliminacija putem bubrega predstavlja glavni put eliminacije (oko 80%) za </w:t>
      </w:r>
      <w:proofErr w:type="spellStart"/>
      <w:r w:rsidRPr="00491E0E">
        <w:rPr>
          <w:szCs w:val="22"/>
          <w:lang w:val="sr-Latn-ME"/>
        </w:rPr>
        <w:t>metabolite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; ostatak se eliminiše putem </w:t>
      </w:r>
      <w:proofErr w:type="spellStart"/>
      <w:r w:rsidRPr="00491E0E">
        <w:rPr>
          <w:szCs w:val="22"/>
          <w:lang w:val="sr-Latn-ME"/>
        </w:rPr>
        <w:t>fecesa</w:t>
      </w:r>
      <w:proofErr w:type="spellEnd"/>
      <w:r w:rsidRPr="00491E0E">
        <w:rPr>
          <w:szCs w:val="22"/>
          <w:lang w:val="sr-Latn-ME"/>
        </w:rPr>
        <w:t xml:space="preserve">. Glavni </w:t>
      </w:r>
      <w:proofErr w:type="spellStart"/>
      <w:r w:rsidRPr="00491E0E">
        <w:rPr>
          <w:szCs w:val="22"/>
          <w:lang w:val="sr-Latn-ME"/>
        </w:rPr>
        <w:t>metabolit</w:t>
      </w:r>
      <w:proofErr w:type="spellEnd"/>
      <w:r w:rsidRPr="00491E0E">
        <w:rPr>
          <w:szCs w:val="22"/>
          <w:lang w:val="sr-Latn-ME"/>
        </w:rPr>
        <w:t xml:space="preserve"> i u serumu i u urinu je </w:t>
      </w:r>
      <w:proofErr w:type="spellStart"/>
      <w:r w:rsidRPr="00491E0E">
        <w:rPr>
          <w:szCs w:val="22"/>
          <w:lang w:val="sr-Latn-ME"/>
        </w:rPr>
        <w:t>desmetilpantoprazol</w:t>
      </w:r>
      <w:proofErr w:type="spellEnd"/>
      <w:r w:rsidRPr="00491E0E">
        <w:rPr>
          <w:szCs w:val="22"/>
          <w:lang w:val="sr-Latn-ME"/>
        </w:rPr>
        <w:t xml:space="preserve"> koji je </w:t>
      </w:r>
      <w:proofErr w:type="spellStart"/>
      <w:r w:rsidRPr="00491E0E">
        <w:rPr>
          <w:szCs w:val="22"/>
          <w:lang w:val="sr-Latn-ME"/>
        </w:rPr>
        <w:t>konjugovan</w:t>
      </w:r>
      <w:proofErr w:type="spellEnd"/>
      <w:r w:rsidRPr="00491E0E">
        <w:rPr>
          <w:szCs w:val="22"/>
          <w:lang w:val="sr-Latn-ME"/>
        </w:rPr>
        <w:t xml:space="preserve"> sa sulfatima. Poluvrijeme eliminacije glavnog </w:t>
      </w:r>
      <w:proofErr w:type="spellStart"/>
      <w:r w:rsidRPr="00491E0E">
        <w:rPr>
          <w:szCs w:val="22"/>
          <w:lang w:val="sr-Latn-ME"/>
        </w:rPr>
        <w:t>metabolita</w:t>
      </w:r>
      <w:proofErr w:type="spellEnd"/>
      <w:r w:rsidRPr="00491E0E">
        <w:rPr>
          <w:szCs w:val="22"/>
          <w:lang w:val="sr-Latn-ME"/>
        </w:rPr>
        <w:t xml:space="preserve"> (oko 1,5 sat) nije mnogo duže nego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>.</w:t>
      </w:r>
    </w:p>
    <w:p w14:paraId="5781F9B4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05552DF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bCs/>
          <w:iCs/>
          <w:szCs w:val="22"/>
          <w:u w:val="single"/>
          <w:lang w:val="sr-Latn-ME"/>
        </w:rPr>
      </w:pPr>
      <w:r w:rsidRPr="00491E0E">
        <w:rPr>
          <w:bCs/>
          <w:iCs/>
          <w:szCs w:val="22"/>
          <w:u w:val="single"/>
          <w:lang w:val="sr-Latn-ME"/>
        </w:rPr>
        <w:t>Posebne populacije</w:t>
      </w:r>
    </w:p>
    <w:p w14:paraId="5458FEBE" w14:textId="77777777" w:rsidR="00986E21" w:rsidRPr="00491E0E" w:rsidRDefault="00986E21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bCs/>
          <w:iCs/>
          <w:szCs w:val="22"/>
          <w:u w:val="single"/>
          <w:lang w:val="sr-Latn-ME"/>
        </w:rPr>
      </w:pPr>
    </w:p>
    <w:p w14:paraId="75318EAB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bCs/>
          <w:i/>
          <w:iCs/>
          <w:szCs w:val="22"/>
          <w:lang w:val="sr-Latn-ME"/>
        </w:rPr>
      </w:pPr>
      <w:r w:rsidRPr="00491E0E">
        <w:rPr>
          <w:bCs/>
          <w:i/>
          <w:iCs/>
          <w:szCs w:val="22"/>
          <w:lang w:val="sr-Latn-ME"/>
        </w:rPr>
        <w:t xml:space="preserve">Spori </w:t>
      </w:r>
      <w:proofErr w:type="spellStart"/>
      <w:r w:rsidRPr="00491E0E">
        <w:rPr>
          <w:bCs/>
          <w:i/>
          <w:iCs/>
          <w:szCs w:val="22"/>
          <w:lang w:val="sr-Latn-ME"/>
        </w:rPr>
        <w:t>metabolizeri</w:t>
      </w:r>
      <w:proofErr w:type="spellEnd"/>
    </w:p>
    <w:p w14:paraId="093B398D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Oko 3% populacije Evropljana ima smanjenu funkciju enzima CYP2C19 i oni se nazivaju spori </w:t>
      </w:r>
      <w:proofErr w:type="spellStart"/>
      <w:r w:rsidRPr="00491E0E">
        <w:rPr>
          <w:szCs w:val="22"/>
          <w:lang w:val="sr-Latn-ME"/>
        </w:rPr>
        <w:t>metabolizeri</w:t>
      </w:r>
      <w:proofErr w:type="spellEnd"/>
      <w:r w:rsidRPr="00491E0E">
        <w:rPr>
          <w:szCs w:val="22"/>
          <w:lang w:val="sr-Latn-ME"/>
        </w:rPr>
        <w:t xml:space="preserve">. Kod ovih osoba metabolizam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je vjerovatno uglavnom </w:t>
      </w:r>
      <w:proofErr w:type="spellStart"/>
      <w:r w:rsidRPr="00491E0E">
        <w:rPr>
          <w:szCs w:val="22"/>
          <w:lang w:val="sr-Latn-ME"/>
        </w:rPr>
        <w:t>katalizovan</w:t>
      </w:r>
      <w:proofErr w:type="spellEnd"/>
      <w:r w:rsidRPr="00491E0E">
        <w:rPr>
          <w:szCs w:val="22"/>
          <w:lang w:val="sr-Latn-ME"/>
        </w:rPr>
        <w:t xml:space="preserve"> enzimom CYP3A4. Nakon primjene jedne doze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od 40 mg, PIK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bio je oko 6 puta veći kod sporih </w:t>
      </w:r>
      <w:proofErr w:type="spellStart"/>
      <w:r w:rsidRPr="00491E0E">
        <w:rPr>
          <w:szCs w:val="22"/>
          <w:lang w:val="sr-Latn-ME"/>
        </w:rPr>
        <w:t>metabolizera</w:t>
      </w:r>
      <w:proofErr w:type="spellEnd"/>
      <w:r w:rsidRPr="00491E0E">
        <w:rPr>
          <w:szCs w:val="22"/>
          <w:lang w:val="sr-Latn-ME"/>
        </w:rPr>
        <w:t xml:space="preserve"> nego kod osoba sa očuvanom funkcijom enzima CYP2C19 (ekstenzivni </w:t>
      </w:r>
      <w:proofErr w:type="spellStart"/>
      <w:r w:rsidRPr="00491E0E">
        <w:rPr>
          <w:szCs w:val="22"/>
          <w:lang w:val="sr-Latn-ME"/>
        </w:rPr>
        <w:t>metabolizeri</w:t>
      </w:r>
      <w:proofErr w:type="spellEnd"/>
      <w:r w:rsidRPr="00491E0E">
        <w:rPr>
          <w:szCs w:val="22"/>
          <w:lang w:val="sr-Latn-ME"/>
        </w:rPr>
        <w:t xml:space="preserve">). Srednja vrijednost maksimalnih koncentracija u plazmi bila je povećana za oko 60%. Ovi nalazi ne utiču na doziranje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>.</w:t>
      </w:r>
    </w:p>
    <w:p w14:paraId="401B7A6A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</w:p>
    <w:p w14:paraId="79340414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491E0E">
        <w:rPr>
          <w:i/>
          <w:iCs/>
          <w:szCs w:val="22"/>
          <w:lang w:val="sr-Latn-ME"/>
        </w:rPr>
        <w:t>Pacijenti sa oštećenjem funkcije bubrega</w:t>
      </w:r>
    </w:p>
    <w:p w14:paraId="5B8D6FB8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Ne preporučuje se smanjenje doze kada se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 primjenjuje kod pacijenata sa oštećenjem funkcije bubrega (uključujući i pacijente na dijalizi). Kao i kod zdravih ispitanika, poluvrijeme eliminacije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je kratko. Samo mala količina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se može </w:t>
      </w:r>
      <w:proofErr w:type="spellStart"/>
      <w:r w:rsidRPr="00491E0E">
        <w:rPr>
          <w:szCs w:val="22"/>
          <w:lang w:val="sr-Latn-ME"/>
        </w:rPr>
        <w:t>dijalizirati</w:t>
      </w:r>
      <w:proofErr w:type="spellEnd"/>
      <w:r w:rsidRPr="00491E0E">
        <w:rPr>
          <w:szCs w:val="22"/>
          <w:lang w:val="sr-Latn-ME"/>
        </w:rPr>
        <w:t xml:space="preserve">. Iako glavni </w:t>
      </w:r>
      <w:proofErr w:type="spellStart"/>
      <w:r w:rsidRPr="00491E0E">
        <w:rPr>
          <w:szCs w:val="22"/>
          <w:lang w:val="sr-Latn-ME"/>
        </w:rPr>
        <w:t>metabolit</w:t>
      </w:r>
      <w:proofErr w:type="spellEnd"/>
      <w:r w:rsidRPr="00491E0E">
        <w:rPr>
          <w:szCs w:val="22"/>
          <w:lang w:val="sr-Latn-ME"/>
        </w:rPr>
        <w:t xml:space="preserve"> ima umjereno produženo poluvrijeme eliminacije (2-3 sata), izlučivanje je i dalje brzo, tako da ne dolazi do akumulacije lijeka.</w:t>
      </w:r>
    </w:p>
    <w:p w14:paraId="5C03DACE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val="sr-Latn-ME"/>
        </w:rPr>
      </w:pPr>
    </w:p>
    <w:p w14:paraId="1AEDFF6F" w14:textId="77777777" w:rsidR="00986E21" w:rsidRPr="00491E0E" w:rsidRDefault="00070A10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491E0E">
        <w:rPr>
          <w:i/>
          <w:iCs/>
          <w:szCs w:val="22"/>
          <w:lang w:val="sr-Latn-ME"/>
        </w:rPr>
        <w:t>Pacijenti sa oštećenjem funkcije jetre</w:t>
      </w:r>
    </w:p>
    <w:p w14:paraId="376CFCB2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Iako su kod pacijenata sa cirozom jetre (</w:t>
      </w:r>
      <w:proofErr w:type="spellStart"/>
      <w:r w:rsidRPr="00491E0E">
        <w:rPr>
          <w:szCs w:val="22"/>
          <w:lang w:val="sr-Latn-ME"/>
        </w:rPr>
        <w:t>Child</w:t>
      </w:r>
      <w:proofErr w:type="spellEnd"/>
      <w:r w:rsidRPr="00491E0E">
        <w:rPr>
          <w:szCs w:val="22"/>
          <w:lang w:val="sr-Latn-ME"/>
        </w:rPr>
        <w:t xml:space="preserve"> klasa A i B) vrijednosti </w:t>
      </w:r>
      <w:proofErr w:type="spellStart"/>
      <w:r w:rsidRPr="00491E0E">
        <w:rPr>
          <w:szCs w:val="22"/>
          <w:lang w:val="sr-Latn-ME"/>
        </w:rPr>
        <w:t>poluvremena</w:t>
      </w:r>
      <w:proofErr w:type="spellEnd"/>
      <w:r w:rsidRPr="00491E0E">
        <w:rPr>
          <w:szCs w:val="22"/>
          <w:lang w:val="sr-Latn-ME"/>
        </w:rPr>
        <w:t xml:space="preserve"> eliminacije povećane za 3-6 sati i vrijednosti PIK povećane za faktor 3-5, maksimalna plazma koncentracija se samo blago povećava za faktor 1,3, u poređenju sa zdravim ispitanicima.</w:t>
      </w:r>
    </w:p>
    <w:p w14:paraId="6B271B6B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</w:p>
    <w:p w14:paraId="5653C125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491E0E">
        <w:rPr>
          <w:i/>
          <w:szCs w:val="22"/>
          <w:lang w:val="sr-Latn-ME"/>
        </w:rPr>
        <w:t>Stariji pacijenti</w:t>
      </w:r>
    </w:p>
    <w:p w14:paraId="4934881F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Blagi porast PIK i </w:t>
      </w:r>
      <w:proofErr w:type="spellStart"/>
      <w:r w:rsidRPr="00491E0E">
        <w:rPr>
          <w:szCs w:val="22"/>
          <w:lang w:val="sr-Latn-ME"/>
        </w:rPr>
        <w:t>C</w:t>
      </w:r>
      <w:r w:rsidRPr="00491E0E">
        <w:rPr>
          <w:szCs w:val="22"/>
          <w:vertAlign w:val="subscript"/>
          <w:lang w:val="sr-Latn-ME"/>
        </w:rPr>
        <w:t>max</w:t>
      </w:r>
      <w:proofErr w:type="spellEnd"/>
      <w:r w:rsidRPr="00491E0E">
        <w:rPr>
          <w:szCs w:val="22"/>
          <w:lang w:val="sr-Latn-ME"/>
        </w:rPr>
        <w:t xml:space="preserve"> kod starijih osoba u poređenju sa mlađim ispitanicima nije klinički značajan.</w:t>
      </w:r>
    </w:p>
    <w:p w14:paraId="7F56D7D0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1A23C80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 w:eastAsia="hr-HR"/>
        </w:rPr>
      </w:pPr>
      <w:r w:rsidRPr="00491E0E">
        <w:rPr>
          <w:i/>
          <w:szCs w:val="22"/>
          <w:lang w:val="sr-Latn-ME"/>
        </w:rPr>
        <w:t>Pedijatrijska populacija</w:t>
      </w:r>
    </w:p>
    <w:p w14:paraId="07F7D0BF" w14:textId="141C76C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Poslije jednokratne oralne primjene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u dozi od 20 ili 40 mg kod djece u uzrastu od 5 do 16 godina  vrijednosti PIK i </w:t>
      </w:r>
      <w:proofErr w:type="spellStart"/>
      <w:r w:rsidRPr="00491E0E">
        <w:rPr>
          <w:szCs w:val="22"/>
          <w:lang w:val="sr-Latn-ME"/>
        </w:rPr>
        <w:t>C</w:t>
      </w:r>
      <w:r w:rsidRPr="00491E0E">
        <w:rPr>
          <w:szCs w:val="22"/>
          <w:vertAlign w:val="subscript"/>
          <w:lang w:val="sr-Latn-ME"/>
        </w:rPr>
        <w:t>max</w:t>
      </w:r>
      <w:proofErr w:type="spellEnd"/>
      <w:r w:rsidRPr="00491E0E">
        <w:rPr>
          <w:szCs w:val="22"/>
          <w:lang w:val="sr-Latn-ME"/>
        </w:rPr>
        <w:t xml:space="preserve"> su bile u rasponu koji odgovaraju vrijednostima kod odraslih. </w:t>
      </w:r>
    </w:p>
    <w:p w14:paraId="490FE57C" w14:textId="77777777" w:rsidR="00986E21" w:rsidRPr="00491E0E" w:rsidRDefault="00070A10" w:rsidP="00753B1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Poslije jednokratne </w:t>
      </w:r>
      <w:proofErr w:type="spellStart"/>
      <w:r w:rsidRPr="00491E0E">
        <w:rPr>
          <w:szCs w:val="22"/>
          <w:lang w:val="sr-Latn-ME"/>
        </w:rPr>
        <w:t>intravenske</w:t>
      </w:r>
      <w:proofErr w:type="spellEnd"/>
      <w:r w:rsidRPr="00491E0E">
        <w:rPr>
          <w:szCs w:val="22"/>
          <w:lang w:val="sr-Latn-ME"/>
        </w:rPr>
        <w:t xml:space="preserve"> primjene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u dozi od 0,8 ili 1,6 mg/kg kod djece u uzrastu od 2 do 16 godina nije uočena značajna povezanost </w:t>
      </w:r>
      <w:proofErr w:type="spellStart"/>
      <w:r w:rsidRPr="00491E0E">
        <w:rPr>
          <w:szCs w:val="22"/>
          <w:lang w:val="sr-Latn-ME"/>
        </w:rPr>
        <w:t>klirensa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sa uzrastom ili tjelesnom težinom. Vrijednosti PIK i volumena distribucije su bili u skladu sa vrijednostima kod odraslih.</w:t>
      </w:r>
    </w:p>
    <w:p w14:paraId="01E3A56F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154E4F92" w14:textId="77777777" w:rsidR="00986E21" w:rsidRPr="00491E0E" w:rsidRDefault="00070A10" w:rsidP="00753B1E">
      <w:pPr>
        <w:widowControl w:val="0"/>
        <w:spacing w:line="240" w:lineRule="auto"/>
        <w:ind w:left="567" w:hanging="567"/>
        <w:jc w:val="both"/>
        <w:outlineLvl w:val="0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5.3</w:t>
      </w:r>
      <w:r w:rsidRPr="00491E0E">
        <w:rPr>
          <w:b/>
          <w:szCs w:val="22"/>
          <w:lang w:val="sr-Latn-ME"/>
        </w:rPr>
        <w:tab/>
      </w:r>
      <w:proofErr w:type="spellStart"/>
      <w:r w:rsidRPr="00491E0E">
        <w:rPr>
          <w:b/>
          <w:bCs/>
          <w:szCs w:val="22"/>
          <w:lang w:val="sr-Latn-ME"/>
        </w:rPr>
        <w:t>Pretklinički</w:t>
      </w:r>
      <w:proofErr w:type="spellEnd"/>
      <w:r w:rsidRPr="00491E0E">
        <w:rPr>
          <w:b/>
          <w:bCs/>
          <w:szCs w:val="22"/>
          <w:lang w:val="sr-Latn-ME"/>
        </w:rPr>
        <w:t xml:space="preserve"> podaci o bezbjednosti</w:t>
      </w:r>
    </w:p>
    <w:p w14:paraId="784F4903" w14:textId="77777777" w:rsidR="00986E21" w:rsidRPr="00491E0E" w:rsidRDefault="00070A10" w:rsidP="00753B1E">
      <w:pPr>
        <w:widowControl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 </w:t>
      </w:r>
    </w:p>
    <w:p w14:paraId="14B0F90B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Pretklinički</w:t>
      </w:r>
      <w:proofErr w:type="spellEnd"/>
      <w:r w:rsidRPr="00491E0E">
        <w:rPr>
          <w:szCs w:val="22"/>
          <w:lang w:val="sr-Latn-ME"/>
        </w:rPr>
        <w:t xml:space="preserve"> podaci dobijeni na osnovu konvencionalnih farmakoloških ispitivanja bezbjednosti, toksičnosti ponavljanih doza i </w:t>
      </w:r>
      <w:proofErr w:type="spellStart"/>
      <w:r w:rsidRPr="00491E0E">
        <w:rPr>
          <w:szCs w:val="22"/>
          <w:lang w:val="sr-Latn-ME"/>
        </w:rPr>
        <w:t>genotoksičnosti</w:t>
      </w:r>
      <w:proofErr w:type="spellEnd"/>
      <w:r w:rsidRPr="00491E0E">
        <w:rPr>
          <w:szCs w:val="22"/>
          <w:lang w:val="sr-Latn-ME"/>
        </w:rPr>
        <w:t xml:space="preserve"> ne ukazuju na posebne opasnosti pri primjeni lijeka kod </w:t>
      </w:r>
      <w:proofErr w:type="spellStart"/>
      <w:r w:rsidRPr="00491E0E">
        <w:rPr>
          <w:szCs w:val="22"/>
          <w:lang w:val="sr-Latn-ME"/>
        </w:rPr>
        <w:t>ljudi</w:t>
      </w:r>
      <w:proofErr w:type="spellEnd"/>
      <w:r w:rsidRPr="00491E0E">
        <w:rPr>
          <w:szCs w:val="22"/>
          <w:lang w:val="sr-Latn-ME"/>
        </w:rPr>
        <w:t>.</w:t>
      </w:r>
    </w:p>
    <w:p w14:paraId="644EE5B3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1CEE18A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U dvogodišnjoj studiji </w:t>
      </w:r>
      <w:proofErr w:type="spellStart"/>
      <w:r w:rsidRPr="00491E0E">
        <w:rPr>
          <w:szCs w:val="22"/>
          <w:lang w:val="sr-Latn-ME"/>
        </w:rPr>
        <w:t>karcinogenosti</w:t>
      </w:r>
      <w:proofErr w:type="spellEnd"/>
      <w:r w:rsidRPr="00491E0E">
        <w:rPr>
          <w:szCs w:val="22"/>
          <w:lang w:val="sr-Latn-ME"/>
        </w:rPr>
        <w:t xml:space="preserve"> kod pacova, pronađena je </w:t>
      </w:r>
      <w:proofErr w:type="spellStart"/>
      <w:r w:rsidRPr="00491E0E">
        <w:rPr>
          <w:szCs w:val="22"/>
          <w:lang w:val="sr-Latn-ME"/>
        </w:rPr>
        <w:t>neuroendokrina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neoplazma</w:t>
      </w:r>
      <w:proofErr w:type="spellEnd"/>
      <w:r w:rsidRPr="00491E0E">
        <w:rPr>
          <w:szCs w:val="22"/>
          <w:lang w:val="sr-Latn-ME"/>
        </w:rPr>
        <w:t xml:space="preserve">. Pored toga, u </w:t>
      </w:r>
      <w:proofErr w:type="spellStart"/>
      <w:r w:rsidRPr="00491E0E">
        <w:rPr>
          <w:szCs w:val="22"/>
          <w:lang w:val="sr-Latn-ME"/>
        </w:rPr>
        <w:t>predželucu</w:t>
      </w:r>
      <w:proofErr w:type="spellEnd"/>
      <w:r w:rsidRPr="00491E0E">
        <w:rPr>
          <w:szCs w:val="22"/>
          <w:lang w:val="sr-Latn-ME"/>
        </w:rPr>
        <w:t xml:space="preserve"> pacova utvrđen je </w:t>
      </w:r>
      <w:proofErr w:type="spellStart"/>
      <w:r w:rsidRPr="00491E0E">
        <w:rPr>
          <w:szCs w:val="22"/>
          <w:lang w:val="sr-Latn-ME"/>
        </w:rPr>
        <w:t>skvamocelularni</w:t>
      </w:r>
      <w:proofErr w:type="spellEnd"/>
      <w:r w:rsidRPr="00491E0E">
        <w:rPr>
          <w:szCs w:val="22"/>
          <w:lang w:val="sr-Latn-ME"/>
        </w:rPr>
        <w:t xml:space="preserve"> papilom. Pažljivo je ispitan mehanizam kojim supstituisani </w:t>
      </w:r>
      <w:proofErr w:type="spellStart"/>
      <w:r w:rsidRPr="00491E0E">
        <w:rPr>
          <w:szCs w:val="22"/>
          <w:lang w:val="sr-Latn-ME"/>
        </w:rPr>
        <w:t>benzimidazoli</w:t>
      </w:r>
      <w:proofErr w:type="spellEnd"/>
      <w:r w:rsidRPr="00491E0E">
        <w:rPr>
          <w:szCs w:val="22"/>
          <w:lang w:val="sr-Latn-ME"/>
        </w:rPr>
        <w:t xml:space="preserve"> dovode do stvaranja </w:t>
      </w:r>
      <w:proofErr w:type="spellStart"/>
      <w:r w:rsidRPr="00491E0E">
        <w:rPr>
          <w:szCs w:val="22"/>
          <w:lang w:val="sr-Latn-ME"/>
        </w:rPr>
        <w:t>gastričnih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karcinoida</w:t>
      </w:r>
      <w:proofErr w:type="spellEnd"/>
      <w:r w:rsidRPr="00491E0E">
        <w:rPr>
          <w:szCs w:val="22"/>
          <w:lang w:val="sr-Latn-ME"/>
        </w:rPr>
        <w:t xml:space="preserve">, i zaključeno je da je to sekundarna reakcija na izraženi porast serumskog </w:t>
      </w:r>
      <w:proofErr w:type="spellStart"/>
      <w:r w:rsidRPr="00491E0E">
        <w:rPr>
          <w:szCs w:val="22"/>
          <w:lang w:val="sr-Latn-ME"/>
        </w:rPr>
        <w:t>gastrina</w:t>
      </w:r>
      <w:proofErr w:type="spellEnd"/>
      <w:r w:rsidRPr="00491E0E">
        <w:rPr>
          <w:szCs w:val="22"/>
          <w:lang w:val="sr-Latn-ME"/>
        </w:rPr>
        <w:t xml:space="preserve"> koji se javlja kod pacova tokom hronične terapije. U dvogodišnjoj studiji, kod pacova i ženki miševa je uočen porast broja tumora jetre, što se objašnjava visokim stepenom metabolizma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u jetri.</w:t>
      </w:r>
    </w:p>
    <w:p w14:paraId="3529EAD2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24225AE0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U grupi pacova koja je primala visoke doze (200 mg/kg) uočen je blagi porast </w:t>
      </w:r>
      <w:proofErr w:type="spellStart"/>
      <w:r w:rsidRPr="00491E0E">
        <w:rPr>
          <w:szCs w:val="22"/>
          <w:lang w:val="sr-Latn-ME"/>
        </w:rPr>
        <w:t>neoplastičnih</w:t>
      </w:r>
      <w:proofErr w:type="spellEnd"/>
      <w:r w:rsidRPr="00491E0E">
        <w:rPr>
          <w:szCs w:val="22"/>
          <w:lang w:val="sr-Latn-ME"/>
        </w:rPr>
        <w:t xml:space="preserve"> promjena </w:t>
      </w:r>
      <w:proofErr w:type="spellStart"/>
      <w:r w:rsidRPr="00491E0E">
        <w:rPr>
          <w:szCs w:val="22"/>
          <w:lang w:val="sr-Latn-ME"/>
        </w:rPr>
        <w:t>tireoidne</w:t>
      </w:r>
      <w:proofErr w:type="spellEnd"/>
      <w:r w:rsidRPr="00491E0E">
        <w:rPr>
          <w:szCs w:val="22"/>
          <w:lang w:val="sr-Latn-ME"/>
        </w:rPr>
        <w:t xml:space="preserve"> žlijezde. Pojava ovih </w:t>
      </w:r>
      <w:proofErr w:type="spellStart"/>
      <w:r w:rsidRPr="00491E0E">
        <w:rPr>
          <w:szCs w:val="22"/>
          <w:lang w:val="sr-Latn-ME"/>
        </w:rPr>
        <w:t>neoplazmi</w:t>
      </w:r>
      <w:proofErr w:type="spellEnd"/>
      <w:r w:rsidRPr="00491E0E">
        <w:rPr>
          <w:szCs w:val="22"/>
          <w:lang w:val="sr-Latn-ME"/>
        </w:rPr>
        <w:t xml:space="preserve"> udružena je sa </w:t>
      </w:r>
      <w:proofErr w:type="spellStart"/>
      <w:r w:rsidRPr="00491E0E">
        <w:rPr>
          <w:szCs w:val="22"/>
          <w:lang w:val="sr-Latn-ME"/>
        </w:rPr>
        <w:t>pantoprazol</w:t>
      </w:r>
      <w:proofErr w:type="spellEnd"/>
      <w:r w:rsidRPr="00491E0E">
        <w:rPr>
          <w:szCs w:val="22"/>
          <w:lang w:val="sr-Latn-ME"/>
        </w:rPr>
        <w:t xml:space="preserve">-indukovanim promjenama u razgradnji </w:t>
      </w:r>
      <w:proofErr w:type="spellStart"/>
      <w:r w:rsidRPr="00491E0E">
        <w:rPr>
          <w:szCs w:val="22"/>
          <w:lang w:val="sr-Latn-ME"/>
        </w:rPr>
        <w:t>tiroksina</w:t>
      </w:r>
      <w:proofErr w:type="spellEnd"/>
      <w:r w:rsidRPr="00491E0E">
        <w:rPr>
          <w:szCs w:val="22"/>
          <w:lang w:val="sr-Latn-ME"/>
        </w:rPr>
        <w:t xml:space="preserve"> u jetri pacova. S obzirom na to da je terapijska doza za </w:t>
      </w:r>
      <w:proofErr w:type="spellStart"/>
      <w:r w:rsidRPr="00491E0E">
        <w:rPr>
          <w:szCs w:val="22"/>
          <w:lang w:val="sr-Latn-ME"/>
        </w:rPr>
        <w:t>ljude</w:t>
      </w:r>
      <w:proofErr w:type="spellEnd"/>
      <w:r w:rsidRPr="00491E0E">
        <w:rPr>
          <w:szCs w:val="22"/>
          <w:lang w:val="sr-Latn-ME"/>
        </w:rPr>
        <w:t xml:space="preserve"> niska, ne očekuju se neželjena dejstva na </w:t>
      </w:r>
      <w:proofErr w:type="spellStart"/>
      <w:r w:rsidRPr="00491E0E">
        <w:rPr>
          <w:szCs w:val="22"/>
          <w:lang w:val="sr-Latn-ME"/>
        </w:rPr>
        <w:t>tireoidnoj</w:t>
      </w:r>
      <w:proofErr w:type="spellEnd"/>
      <w:r w:rsidRPr="00491E0E">
        <w:rPr>
          <w:szCs w:val="22"/>
          <w:lang w:val="sr-Latn-ME"/>
        </w:rPr>
        <w:t xml:space="preserve"> žlijezdi.</w:t>
      </w:r>
    </w:p>
    <w:p w14:paraId="5504FC05" w14:textId="77777777" w:rsidR="00986E21" w:rsidRPr="00491E0E" w:rsidRDefault="00986E21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B4531F2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U peri-</w:t>
      </w:r>
      <w:proofErr w:type="spellStart"/>
      <w:r w:rsidRPr="00491E0E">
        <w:rPr>
          <w:szCs w:val="22"/>
          <w:lang w:val="sr-Latn-ME"/>
        </w:rPr>
        <w:t>postnatalnoj</w:t>
      </w:r>
      <w:proofErr w:type="spellEnd"/>
      <w:r w:rsidRPr="00491E0E">
        <w:rPr>
          <w:szCs w:val="22"/>
          <w:lang w:val="sr-Latn-ME"/>
        </w:rPr>
        <w:t xml:space="preserve"> studiji reproduktivne toksičnosti kod pacova, koja je dizajnirana za procjenu razvoja kostiju, znakovi toksičnosti kod potomstva (smrtnost, snižena srednja vrijednost tjelesne mase, snižena </w:t>
      </w:r>
      <w:r w:rsidRPr="00491E0E">
        <w:rPr>
          <w:szCs w:val="22"/>
          <w:lang w:val="sr-Latn-ME"/>
        </w:rPr>
        <w:lastRenderedPageBreak/>
        <w:t>srednja vrijednost rasta tjelesne mase i redukovan rast kostiju) zabilježeni su pri izloženostima (</w:t>
      </w:r>
      <w:proofErr w:type="spellStart"/>
      <w:r w:rsidRPr="00491E0E">
        <w:rPr>
          <w:szCs w:val="22"/>
          <w:lang w:val="sr-Latn-ME"/>
        </w:rPr>
        <w:t>C</w:t>
      </w:r>
      <w:r w:rsidRPr="00491E0E">
        <w:rPr>
          <w:szCs w:val="22"/>
          <w:vertAlign w:val="subscript"/>
          <w:lang w:val="sr-Latn-ME"/>
        </w:rPr>
        <w:t>max</w:t>
      </w:r>
      <w:proofErr w:type="spellEnd"/>
      <w:r w:rsidRPr="00491E0E">
        <w:rPr>
          <w:szCs w:val="22"/>
          <w:lang w:val="sr-Latn-ME"/>
        </w:rPr>
        <w:t xml:space="preserve">) približno 2x većim od kliničke izloženosti kod </w:t>
      </w:r>
      <w:proofErr w:type="spellStart"/>
      <w:r w:rsidRPr="00491E0E">
        <w:rPr>
          <w:szCs w:val="22"/>
          <w:lang w:val="sr-Latn-ME"/>
        </w:rPr>
        <w:t>ljudi</w:t>
      </w:r>
      <w:proofErr w:type="spellEnd"/>
      <w:r w:rsidRPr="00491E0E">
        <w:rPr>
          <w:szCs w:val="22"/>
          <w:lang w:val="sr-Latn-ME"/>
        </w:rPr>
        <w:t xml:space="preserve">. Do kraja faze oporavka, koštani parametri bili su slični u svim ispitivanim grupama, a tjelesna masa je pokazivala trend ka </w:t>
      </w:r>
      <w:proofErr w:type="spellStart"/>
      <w:r w:rsidRPr="00491E0E">
        <w:rPr>
          <w:szCs w:val="22"/>
          <w:lang w:val="sr-Latn-ME"/>
        </w:rPr>
        <w:t>reverzibilnosti</w:t>
      </w:r>
      <w:proofErr w:type="spellEnd"/>
      <w:r w:rsidRPr="00491E0E">
        <w:rPr>
          <w:szCs w:val="22"/>
          <w:lang w:val="sr-Latn-ME"/>
        </w:rPr>
        <w:t xml:space="preserve"> nakon perioda bez uzimanja lijeka. Povećana smrtnost zabilježena je samo kod mladunčadi pacova u razdoblju prije prestanka </w:t>
      </w:r>
      <w:proofErr w:type="spellStart"/>
      <w:r w:rsidRPr="00491E0E">
        <w:rPr>
          <w:szCs w:val="22"/>
          <w:lang w:val="sr-Latn-ME"/>
        </w:rPr>
        <w:t>sisanja</w:t>
      </w:r>
      <w:proofErr w:type="spellEnd"/>
      <w:r w:rsidRPr="00491E0E">
        <w:rPr>
          <w:szCs w:val="22"/>
          <w:lang w:val="sr-Latn-ME"/>
        </w:rPr>
        <w:t xml:space="preserve"> (do 21 dan starosti), za koji je procijenjeno da odgovara životnom razdoblju djece uzrasta do 2 godine. Značaj ovog opažanja za kliničku primjenu u trudnoći, tokom dojenja i u pedijatrijskoj populaciji nije jasan. Prethodna peri – </w:t>
      </w:r>
      <w:proofErr w:type="spellStart"/>
      <w:r w:rsidRPr="00491E0E">
        <w:rPr>
          <w:szCs w:val="22"/>
          <w:lang w:val="sr-Latn-ME"/>
        </w:rPr>
        <w:t>postnatalna</w:t>
      </w:r>
      <w:proofErr w:type="spellEnd"/>
      <w:r w:rsidRPr="00491E0E">
        <w:rPr>
          <w:szCs w:val="22"/>
          <w:lang w:val="sr-Latn-ME"/>
        </w:rPr>
        <w:t xml:space="preserve"> studija na pacovima uz blago smanjenu dozu od 3 mg/kg nije pokazala neželjene efekte u poređenju sa niskom dozom od 5 mg/kg u ovoj studiji.</w:t>
      </w:r>
    </w:p>
    <w:p w14:paraId="6899DA7E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Istraživanjima nijesu otkriveni dokazi o oštećenju fertiliteta ili </w:t>
      </w:r>
      <w:proofErr w:type="spellStart"/>
      <w:r w:rsidRPr="00491E0E">
        <w:rPr>
          <w:szCs w:val="22"/>
          <w:lang w:val="sr-Latn-ME"/>
        </w:rPr>
        <w:t>teratogenim</w:t>
      </w:r>
      <w:proofErr w:type="spellEnd"/>
      <w:r w:rsidRPr="00491E0E">
        <w:rPr>
          <w:szCs w:val="22"/>
          <w:lang w:val="sr-Latn-ME"/>
        </w:rPr>
        <w:t xml:space="preserve"> efektima.</w:t>
      </w:r>
    </w:p>
    <w:p w14:paraId="0A4D9924" w14:textId="77777777" w:rsidR="00986E21" w:rsidRPr="00491E0E" w:rsidRDefault="00986E21" w:rsidP="00753B1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5DF89D5E" w14:textId="77777777" w:rsidR="00986E21" w:rsidRPr="00491E0E" w:rsidRDefault="00070A10" w:rsidP="00753B1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Prolazak kroz placentu je istraživan kod pacova, pri čemu je utvrđen porast u </w:t>
      </w:r>
      <w:proofErr w:type="spellStart"/>
      <w:r w:rsidRPr="00491E0E">
        <w:rPr>
          <w:szCs w:val="22"/>
          <w:lang w:val="sr-Latn-ME"/>
        </w:rPr>
        <w:t>uznapredovaloj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gestaciji</w:t>
      </w:r>
      <w:proofErr w:type="spellEnd"/>
      <w:r w:rsidRPr="00491E0E">
        <w:rPr>
          <w:szCs w:val="22"/>
          <w:lang w:val="sr-Latn-ME"/>
        </w:rPr>
        <w:t xml:space="preserve">. Posljedica je povećanje koncentracije </w:t>
      </w:r>
      <w:proofErr w:type="spellStart"/>
      <w:r w:rsidRPr="00491E0E">
        <w:rPr>
          <w:szCs w:val="22"/>
          <w:lang w:val="sr-Latn-ME"/>
        </w:rPr>
        <w:t>pantoprazola</w:t>
      </w:r>
      <w:proofErr w:type="spellEnd"/>
      <w:r w:rsidRPr="00491E0E">
        <w:rPr>
          <w:szCs w:val="22"/>
          <w:lang w:val="sr-Latn-ME"/>
        </w:rPr>
        <w:t xml:space="preserve"> kod fetusa neposredno prije rođenja.</w:t>
      </w:r>
    </w:p>
    <w:p w14:paraId="25BA0E32" w14:textId="77777777" w:rsidR="00986E21" w:rsidRPr="00491E0E" w:rsidRDefault="00986E21" w:rsidP="00753B1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6DBF4EFB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5F45E393" w14:textId="77777777" w:rsidR="00986E21" w:rsidRPr="00491E0E" w:rsidRDefault="00070A10" w:rsidP="00753B1E">
      <w:pPr>
        <w:widowControl w:val="0"/>
        <w:spacing w:line="240" w:lineRule="auto"/>
        <w:ind w:left="567" w:hanging="567"/>
        <w:rPr>
          <w:b/>
          <w:szCs w:val="22"/>
          <w:lang w:val="sr-Latn-ME"/>
        </w:rPr>
      </w:pPr>
      <w:r w:rsidRPr="00491E0E">
        <w:rPr>
          <w:b/>
          <w:szCs w:val="22"/>
          <w:lang w:val="sr-Latn-ME"/>
        </w:rPr>
        <w:t>6.</w:t>
      </w:r>
      <w:r w:rsidRPr="00491E0E">
        <w:rPr>
          <w:b/>
          <w:szCs w:val="22"/>
          <w:lang w:val="sr-Latn-ME"/>
        </w:rPr>
        <w:tab/>
        <w:t>FARMACEUTSKI PODACI</w:t>
      </w:r>
    </w:p>
    <w:p w14:paraId="173869ED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6A4475AC" w14:textId="77777777" w:rsidR="00986E21" w:rsidRPr="00491E0E" w:rsidRDefault="00070A10" w:rsidP="00753B1E">
      <w:pPr>
        <w:widowControl w:val="0"/>
        <w:spacing w:line="240" w:lineRule="auto"/>
        <w:ind w:left="567" w:hanging="567"/>
        <w:outlineLvl w:val="0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6.1</w:t>
      </w:r>
      <w:r w:rsidRPr="00491E0E">
        <w:rPr>
          <w:b/>
          <w:szCs w:val="22"/>
          <w:lang w:val="sr-Latn-ME"/>
        </w:rPr>
        <w:tab/>
      </w:r>
      <w:r w:rsidRPr="00491E0E">
        <w:rPr>
          <w:b/>
          <w:bCs/>
          <w:szCs w:val="22"/>
          <w:lang w:val="sr-Latn-ME"/>
        </w:rPr>
        <w:t>Lista pomoćnih supstanci (</w:t>
      </w:r>
      <w:proofErr w:type="spellStart"/>
      <w:r w:rsidRPr="00491E0E">
        <w:rPr>
          <w:b/>
          <w:bCs/>
          <w:szCs w:val="22"/>
          <w:lang w:val="sr-Latn-ME"/>
        </w:rPr>
        <w:t>ekscipijenasa</w:t>
      </w:r>
      <w:proofErr w:type="spellEnd"/>
      <w:r w:rsidRPr="00491E0E">
        <w:rPr>
          <w:b/>
          <w:bCs/>
          <w:szCs w:val="22"/>
          <w:lang w:val="sr-Latn-ME"/>
        </w:rPr>
        <w:t>)</w:t>
      </w:r>
    </w:p>
    <w:p w14:paraId="5F6339C0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7CAB54A9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bCs/>
          <w:iCs/>
          <w:szCs w:val="22"/>
          <w:u w:val="single"/>
          <w:lang w:val="sr-Latn-ME"/>
        </w:rPr>
      </w:pPr>
      <w:r w:rsidRPr="00491E0E">
        <w:rPr>
          <w:bCs/>
          <w:iCs/>
          <w:szCs w:val="22"/>
          <w:u w:val="single"/>
          <w:lang w:val="sr-Latn-ME"/>
        </w:rPr>
        <w:t>Jezgro</w:t>
      </w:r>
      <w:r w:rsidR="00E23778" w:rsidRPr="00491E0E">
        <w:rPr>
          <w:bCs/>
          <w:iCs/>
          <w:szCs w:val="22"/>
          <w:u w:val="single"/>
          <w:lang w:val="sr-Latn-ME"/>
        </w:rPr>
        <w:t xml:space="preserve"> tablete</w:t>
      </w:r>
      <w:r w:rsidRPr="00491E0E">
        <w:rPr>
          <w:bCs/>
          <w:iCs/>
          <w:szCs w:val="22"/>
          <w:u w:val="single"/>
          <w:lang w:val="sr-Latn-ME"/>
        </w:rPr>
        <w:t>:</w:t>
      </w:r>
    </w:p>
    <w:p w14:paraId="53DBD666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Manitol</w:t>
      </w:r>
      <w:proofErr w:type="spellEnd"/>
      <w:r w:rsidRPr="00491E0E">
        <w:rPr>
          <w:szCs w:val="22"/>
          <w:lang w:val="sr-Latn-ME"/>
        </w:rPr>
        <w:t xml:space="preserve"> (E421) </w:t>
      </w:r>
    </w:p>
    <w:p w14:paraId="33BCDC66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Krospovidon</w:t>
      </w:r>
      <w:proofErr w:type="spellEnd"/>
      <w:r w:rsidRPr="00491E0E">
        <w:rPr>
          <w:szCs w:val="22"/>
          <w:lang w:val="sr-Latn-ME"/>
        </w:rPr>
        <w:t xml:space="preserve"> (tip A)</w:t>
      </w:r>
    </w:p>
    <w:p w14:paraId="6F600A9F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Krospovidon</w:t>
      </w:r>
      <w:proofErr w:type="spellEnd"/>
      <w:r w:rsidRPr="00491E0E">
        <w:rPr>
          <w:szCs w:val="22"/>
          <w:lang w:val="sr-Latn-ME"/>
        </w:rPr>
        <w:t xml:space="preserve"> (tip B)</w:t>
      </w:r>
    </w:p>
    <w:p w14:paraId="5284603C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Natrijum karbonat</w:t>
      </w:r>
    </w:p>
    <w:p w14:paraId="3B6CBBFB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Sorbitol</w:t>
      </w:r>
      <w:proofErr w:type="spellEnd"/>
      <w:r w:rsidRPr="00491E0E">
        <w:rPr>
          <w:szCs w:val="22"/>
          <w:lang w:val="sr-Latn-ME"/>
        </w:rPr>
        <w:t xml:space="preserve"> (E420)</w:t>
      </w:r>
    </w:p>
    <w:p w14:paraId="55747263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Kalcijum </w:t>
      </w:r>
      <w:proofErr w:type="spellStart"/>
      <w:r w:rsidRPr="00491E0E">
        <w:rPr>
          <w:szCs w:val="22"/>
          <w:lang w:val="sr-Latn-ME"/>
        </w:rPr>
        <w:t>stearat</w:t>
      </w:r>
      <w:proofErr w:type="spellEnd"/>
      <w:r w:rsidRPr="00491E0E">
        <w:rPr>
          <w:szCs w:val="22"/>
          <w:lang w:val="sr-Latn-ME"/>
        </w:rPr>
        <w:t xml:space="preserve"> (E572)</w:t>
      </w:r>
    </w:p>
    <w:p w14:paraId="6F551083" w14:textId="77777777" w:rsidR="00986E21" w:rsidRPr="00491E0E" w:rsidRDefault="00986E21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</w:p>
    <w:p w14:paraId="2D67558C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bCs/>
          <w:iCs/>
          <w:szCs w:val="22"/>
          <w:u w:val="single"/>
          <w:lang w:val="sr-Latn-ME"/>
        </w:rPr>
      </w:pPr>
      <w:r w:rsidRPr="00491E0E">
        <w:rPr>
          <w:bCs/>
          <w:iCs/>
          <w:szCs w:val="22"/>
          <w:u w:val="single"/>
          <w:lang w:val="sr-Latn-ME"/>
        </w:rPr>
        <w:t>Film omotač:</w:t>
      </w:r>
    </w:p>
    <w:p w14:paraId="70499B52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Hipromeloza</w:t>
      </w:r>
      <w:proofErr w:type="spellEnd"/>
      <w:r w:rsidRPr="00491E0E">
        <w:rPr>
          <w:szCs w:val="22"/>
          <w:lang w:val="sr-Latn-ME"/>
        </w:rPr>
        <w:t xml:space="preserve"> (E464)</w:t>
      </w:r>
    </w:p>
    <w:p w14:paraId="52D89339" w14:textId="212D4A1A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Povidon</w:t>
      </w:r>
      <w:proofErr w:type="spellEnd"/>
      <w:r w:rsidRPr="00491E0E">
        <w:rPr>
          <w:szCs w:val="22"/>
          <w:lang w:val="sr-Latn-ME"/>
        </w:rPr>
        <w:t xml:space="preserve"> K25</w:t>
      </w:r>
    </w:p>
    <w:p w14:paraId="5994C40D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Titan dioksid (E171)</w:t>
      </w:r>
    </w:p>
    <w:p w14:paraId="3B321877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Gvožđe </w:t>
      </w:r>
      <w:r w:rsidR="004D4567" w:rsidRPr="00491E0E">
        <w:rPr>
          <w:szCs w:val="22"/>
          <w:lang w:val="sr-Latn-ME"/>
        </w:rPr>
        <w:t>(III)</w:t>
      </w:r>
      <w:r w:rsidRPr="00491E0E">
        <w:rPr>
          <w:szCs w:val="22"/>
          <w:lang w:val="sr-Latn-ME"/>
        </w:rPr>
        <w:t xml:space="preserve"> oksid, žuti (E172) </w:t>
      </w:r>
    </w:p>
    <w:p w14:paraId="0BE15CBC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b/>
          <w:bCs/>
          <w:i/>
          <w:iCs/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Propilen</w:t>
      </w:r>
      <w:proofErr w:type="spellEnd"/>
      <w:r w:rsidR="004D4567"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glikol</w:t>
      </w:r>
      <w:proofErr w:type="spellEnd"/>
      <w:r w:rsidRPr="00491E0E">
        <w:rPr>
          <w:szCs w:val="22"/>
          <w:lang w:val="sr-Latn-ME"/>
        </w:rPr>
        <w:t xml:space="preserve"> (E1520)</w:t>
      </w:r>
    </w:p>
    <w:p w14:paraId="5FAF410E" w14:textId="34A0C51B" w:rsidR="00986E21" w:rsidRPr="00491E0E" w:rsidRDefault="004D4567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M</w:t>
      </w:r>
      <w:r w:rsidR="00070A10" w:rsidRPr="00491E0E">
        <w:rPr>
          <w:szCs w:val="22"/>
          <w:lang w:val="sr-Latn-ME"/>
        </w:rPr>
        <w:t>etakriln</w:t>
      </w:r>
      <w:r w:rsidRPr="00491E0E">
        <w:rPr>
          <w:szCs w:val="22"/>
          <w:lang w:val="sr-Latn-ME"/>
        </w:rPr>
        <w:t>a</w:t>
      </w:r>
      <w:proofErr w:type="spellEnd"/>
      <w:r w:rsidR="00070A10" w:rsidRPr="00491E0E">
        <w:rPr>
          <w:szCs w:val="22"/>
          <w:lang w:val="sr-Latn-ME"/>
        </w:rPr>
        <w:t xml:space="preserve"> kiselin</w:t>
      </w:r>
      <w:r w:rsidRPr="00491E0E">
        <w:rPr>
          <w:szCs w:val="22"/>
          <w:lang w:val="sr-Latn-ME"/>
        </w:rPr>
        <w:t>a –</w:t>
      </w:r>
      <w:r w:rsidR="00070A10" w:rsidRPr="00491E0E">
        <w:rPr>
          <w:szCs w:val="22"/>
          <w:lang w:val="sr-Latn-ME"/>
        </w:rPr>
        <w:t xml:space="preserve"> etil</w:t>
      </w:r>
      <w:r w:rsidRPr="00491E0E">
        <w:rPr>
          <w:szCs w:val="22"/>
          <w:lang w:val="sr-Latn-ME"/>
        </w:rPr>
        <w:t xml:space="preserve"> </w:t>
      </w:r>
      <w:proofErr w:type="spellStart"/>
      <w:r w:rsidR="00070A10" w:rsidRPr="00491E0E">
        <w:rPr>
          <w:szCs w:val="22"/>
          <w:lang w:val="sr-Latn-ME"/>
        </w:rPr>
        <w:t>akrilat</w:t>
      </w:r>
      <w:proofErr w:type="spellEnd"/>
      <w:r w:rsidRPr="00491E0E">
        <w:rPr>
          <w:szCs w:val="22"/>
          <w:lang w:val="sr-Latn-ME"/>
        </w:rPr>
        <w:t xml:space="preserve"> </w:t>
      </w:r>
      <w:proofErr w:type="spellStart"/>
      <w:r w:rsidRPr="00491E0E">
        <w:rPr>
          <w:szCs w:val="22"/>
          <w:lang w:val="sr-Latn-ME"/>
        </w:rPr>
        <w:t>kopolimer</w:t>
      </w:r>
      <w:proofErr w:type="spellEnd"/>
      <w:r w:rsidRPr="00491E0E">
        <w:rPr>
          <w:szCs w:val="22"/>
          <w:lang w:val="sr-Latn-ME"/>
        </w:rPr>
        <w:t xml:space="preserve"> (1:1)</w:t>
      </w:r>
      <w:r w:rsidR="00070A10" w:rsidRPr="00491E0E">
        <w:rPr>
          <w:szCs w:val="22"/>
          <w:lang w:val="sr-Latn-ME"/>
        </w:rPr>
        <w:t xml:space="preserve"> disperzija</w:t>
      </w:r>
      <w:r w:rsidR="00A87E64" w:rsidRPr="00491E0E">
        <w:rPr>
          <w:szCs w:val="22"/>
          <w:lang w:val="sr-Latn-ME"/>
        </w:rPr>
        <w:t xml:space="preserve"> 30%</w:t>
      </w:r>
    </w:p>
    <w:p w14:paraId="615FAF18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Natrijum </w:t>
      </w:r>
      <w:proofErr w:type="spellStart"/>
      <w:r w:rsidRPr="00491E0E">
        <w:rPr>
          <w:szCs w:val="22"/>
          <w:lang w:val="sr-Latn-ME"/>
        </w:rPr>
        <w:t>laurilsulfat</w:t>
      </w:r>
      <w:proofErr w:type="spellEnd"/>
    </w:p>
    <w:p w14:paraId="2ECD12F9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Polisorbat</w:t>
      </w:r>
      <w:proofErr w:type="spellEnd"/>
      <w:r w:rsidRPr="00491E0E">
        <w:rPr>
          <w:szCs w:val="22"/>
          <w:lang w:val="sr-Latn-ME"/>
        </w:rPr>
        <w:t xml:space="preserve"> 80 (E433)</w:t>
      </w:r>
    </w:p>
    <w:p w14:paraId="0C5D997A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Makrogol</w:t>
      </w:r>
      <w:proofErr w:type="spellEnd"/>
      <w:r w:rsidRPr="00491E0E">
        <w:rPr>
          <w:szCs w:val="22"/>
          <w:lang w:val="sr-Latn-ME"/>
        </w:rPr>
        <w:t xml:space="preserve"> 6000</w:t>
      </w:r>
    </w:p>
    <w:p w14:paraId="7DD58794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Talk (E553b)</w:t>
      </w:r>
    </w:p>
    <w:p w14:paraId="03BF23B1" w14:textId="77777777" w:rsidR="00986E21" w:rsidRPr="00491E0E" w:rsidRDefault="00986E21" w:rsidP="00753B1E">
      <w:pPr>
        <w:widowControl w:val="0"/>
        <w:spacing w:line="240" w:lineRule="auto"/>
        <w:rPr>
          <w:szCs w:val="22"/>
          <w:highlight w:val="lightGray"/>
          <w:lang w:val="sr-Latn-ME"/>
        </w:rPr>
      </w:pPr>
    </w:p>
    <w:p w14:paraId="56C8F891" w14:textId="77777777" w:rsidR="00986E21" w:rsidRPr="00491E0E" w:rsidRDefault="00070A10" w:rsidP="00753B1E">
      <w:pPr>
        <w:widowControl w:val="0"/>
        <w:spacing w:line="240" w:lineRule="auto"/>
        <w:ind w:left="567" w:hanging="567"/>
        <w:outlineLvl w:val="0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6.2</w:t>
      </w:r>
      <w:r w:rsidRPr="00491E0E">
        <w:rPr>
          <w:b/>
          <w:szCs w:val="22"/>
          <w:lang w:val="sr-Latn-ME"/>
        </w:rPr>
        <w:tab/>
        <w:t>Inkompatibilnosti</w:t>
      </w:r>
    </w:p>
    <w:p w14:paraId="76F4C683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277088C0" w14:textId="77777777" w:rsidR="00986E21" w:rsidRPr="00491E0E" w:rsidRDefault="00070A10" w:rsidP="00753B1E">
      <w:pPr>
        <w:widowControl w:val="0"/>
        <w:spacing w:line="240" w:lineRule="auto"/>
        <w:rPr>
          <w:szCs w:val="22"/>
          <w:lang w:val="sr-Latn-ME"/>
        </w:rPr>
      </w:pPr>
      <w:r w:rsidRPr="00491E0E">
        <w:rPr>
          <w:szCs w:val="22"/>
          <w:lang w:val="sr-Latn-ME"/>
        </w:rPr>
        <w:t>Nije primjen</w:t>
      </w:r>
      <w:r w:rsidR="00A87E64" w:rsidRPr="00491E0E">
        <w:rPr>
          <w:szCs w:val="22"/>
          <w:lang w:val="sr-Latn-ME"/>
        </w:rPr>
        <w:t>l</w:t>
      </w:r>
      <w:r w:rsidRPr="00491E0E">
        <w:rPr>
          <w:szCs w:val="22"/>
          <w:lang w:val="sr-Latn-ME"/>
        </w:rPr>
        <w:t>jivo.</w:t>
      </w:r>
    </w:p>
    <w:p w14:paraId="233AFCA7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28FB5069" w14:textId="77777777" w:rsidR="00986E21" w:rsidRPr="00491E0E" w:rsidRDefault="00070A10" w:rsidP="00753B1E">
      <w:pPr>
        <w:widowControl w:val="0"/>
        <w:spacing w:line="240" w:lineRule="auto"/>
        <w:ind w:left="567" w:hanging="567"/>
        <w:outlineLvl w:val="0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6.3</w:t>
      </w:r>
      <w:r w:rsidRPr="00491E0E">
        <w:rPr>
          <w:b/>
          <w:szCs w:val="22"/>
          <w:lang w:val="sr-Latn-ME"/>
        </w:rPr>
        <w:tab/>
        <w:t>Rok upotrebe</w:t>
      </w:r>
    </w:p>
    <w:p w14:paraId="4C489965" w14:textId="77777777" w:rsidR="00986E21" w:rsidRPr="00491E0E" w:rsidRDefault="00986E21" w:rsidP="00753B1E">
      <w:pPr>
        <w:widowControl w:val="0"/>
        <w:spacing w:line="240" w:lineRule="auto"/>
        <w:rPr>
          <w:szCs w:val="22"/>
          <w:u w:val="single"/>
          <w:lang w:val="sr-Latn-ME"/>
        </w:rPr>
      </w:pPr>
    </w:p>
    <w:p w14:paraId="18319BF3" w14:textId="77777777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5 godina</w:t>
      </w:r>
      <w:r w:rsidR="00A87E64" w:rsidRPr="00491E0E">
        <w:rPr>
          <w:szCs w:val="22"/>
          <w:lang w:val="sr-Latn-ME"/>
        </w:rPr>
        <w:t>.</w:t>
      </w:r>
    </w:p>
    <w:p w14:paraId="42386E1A" w14:textId="77777777" w:rsidR="00986E21" w:rsidRPr="00491E0E" w:rsidRDefault="00986E21" w:rsidP="00753B1E">
      <w:pPr>
        <w:widowControl w:val="0"/>
        <w:spacing w:line="240" w:lineRule="auto"/>
        <w:rPr>
          <w:iCs/>
          <w:szCs w:val="22"/>
          <w:lang w:val="sr-Latn-ME"/>
        </w:rPr>
      </w:pPr>
    </w:p>
    <w:p w14:paraId="09E4B776" w14:textId="77777777" w:rsidR="00986E21" w:rsidRPr="00491E0E" w:rsidRDefault="00070A10" w:rsidP="00753B1E">
      <w:pPr>
        <w:widowControl w:val="0"/>
        <w:spacing w:line="240" w:lineRule="auto"/>
        <w:ind w:left="567" w:hanging="567"/>
        <w:outlineLvl w:val="0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6.4</w:t>
      </w:r>
      <w:r w:rsidRPr="00491E0E">
        <w:rPr>
          <w:b/>
          <w:szCs w:val="22"/>
          <w:lang w:val="sr-Latn-ME"/>
        </w:rPr>
        <w:tab/>
        <w:t>Posebne mjere upozorenja pri čuvanju lijeka</w:t>
      </w:r>
    </w:p>
    <w:p w14:paraId="265EDF71" w14:textId="77777777" w:rsidR="00986E21" w:rsidRPr="00491E0E" w:rsidRDefault="00986E21" w:rsidP="00753B1E">
      <w:pPr>
        <w:widowControl w:val="0"/>
        <w:spacing w:line="240" w:lineRule="auto"/>
        <w:outlineLvl w:val="0"/>
        <w:rPr>
          <w:szCs w:val="22"/>
          <w:lang w:val="sr-Latn-ME"/>
        </w:rPr>
      </w:pPr>
    </w:p>
    <w:p w14:paraId="6C15E3E7" w14:textId="4DF055D5" w:rsidR="00986E21" w:rsidRPr="00491E0E" w:rsidRDefault="00070A10" w:rsidP="00753B1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Lijek </w:t>
      </w:r>
      <w:r w:rsidR="00A87E64" w:rsidRPr="00491E0E">
        <w:rPr>
          <w:szCs w:val="22"/>
          <w:lang w:val="sr-Latn-ME"/>
        </w:rPr>
        <w:t xml:space="preserve">čuvati </w:t>
      </w:r>
      <w:r w:rsidRPr="00491E0E">
        <w:rPr>
          <w:szCs w:val="22"/>
          <w:lang w:val="sr-Latn-ME"/>
        </w:rPr>
        <w:t>u originalnom pakovanju radi zaštite od vlage.</w:t>
      </w:r>
    </w:p>
    <w:p w14:paraId="1ED51400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6F6CF9DF" w14:textId="77777777" w:rsidR="00986E21" w:rsidRPr="00491E0E" w:rsidRDefault="00070A10" w:rsidP="00753B1E">
      <w:pPr>
        <w:widowControl w:val="0"/>
        <w:spacing w:line="240" w:lineRule="auto"/>
        <w:outlineLvl w:val="0"/>
        <w:rPr>
          <w:b/>
          <w:szCs w:val="22"/>
          <w:lang w:val="sr-Latn-ME"/>
        </w:rPr>
      </w:pPr>
      <w:r w:rsidRPr="00491E0E">
        <w:rPr>
          <w:b/>
          <w:szCs w:val="22"/>
          <w:lang w:val="sr-Latn-ME"/>
        </w:rPr>
        <w:t>6.5</w:t>
      </w:r>
      <w:r w:rsidRPr="00491E0E">
        <w:rPr>
          <w:b/>
          <w:szCs w:val="22"/>
          <w:lang w:val="sr-Latn-ME"/>
        </w:rPr>
        <w:tab/>
        <w:t>Vrsta i sadržaj pakovanja</w:t>
      </w:r>
    </w:p>
    <w:p w14:paraId="42BAD0DB" w14:textId="77777777" w:rsidR="00986E21" w:rsidRPr="00491E0E" w:rsidRDefault="00986E21" w:rsidP="00753B1E">
      <w:pPr>
        <w:spacing w:line="240" w:lineRule="auto"/>
        <w:rPr>
          <w:szCs w:val="22"/>
          <w:lang w:val="sr-Latn-ME"/>
        </w:rPr>
      </w:pPr>
    </w:p>
    <w:p w14:paraId="13EB2A51" w14:textId="1819B80E" w:rsidR="00986E21" w:rsidRPr="00491E0E" w:rsidRDefault="00070A10" w:rsidP="00753B1E">
      <w:pPr>
        <w:widowControl w:val="0"/>
        <w:numPr>
          <w:ilvl w:val="12"/>
          <w:numId w:val="0"/>
        </w:numPr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Unutrašnje pakovanje </w:t>
      </w:r>
      <w:r w:rsidR="00A87E64" w:rsidRPr="00491E0E">
        <w:rPr>
          <w:szCs w:val="22"/>
          <w:lang w:val="sr-Latn-ME"/>
        </w:rPr>
        <w:t xml:space="preserve">lijeka </w:t>
      </w:r>
      <w:r w:rsidRPr="00491E0E">
        <w:rPr>
          <w:szCs w:val="22"/>
          <w:lang w:val="sr-Latn-ME"/>
        </w:rPr>
        <w:t xml:space="preserve">je </w:t>
      </w:r>
      <w:r w:rsidR="00A87E64" w:rsidRPr="00491E0E">
        <w:rPr>
          <w:szCs w:val="22"/>
          <w:lang w:val="sr-Latn-ME"/>
        </w:rPr>
        <w:t xml:space="preserve">OPA/Al/PVC//Al </w:t>
      </w:r>
      <w:proofErr w:type="spellStart"/>
      <w:r w:rsidRPr="00491E0E">
        <w:rPr>
          <w:szCs w:val="22"/>
          <w:lang w:val="sr-Latn-ME"/>
        </w:rPr>
        <w:t>blister</w:t>
      </w:r>
      <w:proofErr w:type="spellEnd"/>
      <w:r w:rsidRPr="00491E0E">
        <w:rPr>
          <w:szCs w:val="22"/>
          <w:lang w:val="sr-Latn-ME"/>
        </w:rPr>
        <w:t xml:space="preserve"> koji sadrži 14 </w:t>
      </w:r>
      <w:proofErr w:type="spellStart"/>
      <w:r w:rsidRPr="00491E0E">
        <w:rPr>
          <w:szCs w:val="22"/>
          <w:lang w:val="sr-Latn-ME"/>
        </w:rPr>
        <w:t>gastrorezistentnih</w:t>
      </w:r>
      <w:proofErr w:type="spellEnd"/>
      <w:r w:rsidRPr="00491E0E">
        <w:rPr>
          <w:szCs w:val="22"/>
          <w:lang w:val="sr-Latn-ME"/>
        </w:rPr>
        <w:t xml:space="preserve"> tableta. </w:t>
      </w:r>
    </w:p>
    <w:p w14:paraId="3FC32737" w14:textId="77777777" w:rsidR="00986E21" w:rsidRPr="00491E0E" w:rsidRDefault="00986E21" w:rsidP="00753B1E">
      <w:pPr>
        <w:widowControl w:val="0"/>
        <w:numPr>
          <w:ilvl w:val="12"/>
          <w:numId w:val="0"/>
        </w:numPr>
        <w:spacing w:line="240" w:lineRule="auto"/>
        <w:jc w:val="both"/>
        <w:rPr>
          <w:szCs w:val="22"/>
          <w:lang w:val="sr-Latn-ME"/>
        </w:rPr>
      </w:pPr>
    </w:p>
    <w:p w14:paraId="3CC42EE4" w14:textId="77777777" w:rsidR="00986E21" w:rsidRPr="00491E0E" w:rsidRDefault="00070A10" w:rsidP="00753B1E">
      <w:pPr>
        <w:widowControl w:val="0"/>
        <w:numPr>
          <w:ilvl w:val="12"/>
          <w:numId w:val="0"/>
        </w:numPr>
        <w:spacing w:line="240" w:lineRule="auto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 xml:space="preserve">Spoljašnje pakovanje </w:t>
      </w:r>
      <w:r w:rsidR="00A87E64" w:rsidRPr="00491E0E">
        <w:rPr>
          <w:szCs w:val="22"/>
          <w:lang w:val="sr-Latn-ME"/>
        </w:rPr>
        <w:t xml:space="preserve">lijeka </w:t>
      </w:r>
      <w:r w:rsidRPr="00491E0E">
        <w:rPr>
          <w:szCs w:val="22"/>
          <w:lang w:val="sr-Latn-ME"/>
        </w:rPr>
        <w:t xml:space="preserve">je </w:t>
      </w:r>
      <w:proofErr w:type="spellStart"/>
      <w:r w:rsidRPr="00491E0E">
        <w:rPr>
          <w:szCs w:val="22"/>
          <w:lang w:val="sr-Latn-ME"/>
        </w:rPr>
        <w:t>složiva</w:t>
      </w:r>
      <w:proofErr w:type="spellEnd"/>
      <w:r w:rsidRPr="00491E0E">
        <w:rPr>
          <w:szCs w:val="22"/>
          <w:lang w:val="sr-Latn-ME"/>
        </w:rPr>
        <w:t xml:space="preserve"> kartonska kutija u kojoj se nalaze 2 </w:t>
      </w:r>
      <w:proofErr w:type="spellStart"/>
      <w:r w:rsidRPr="00491E0E">
        <w:rPr>
          <w:szCs w:val="22"/>
          <w:lang w:val="sr-Latn-ME"/>
        </w:rPr>
        <w:t>blistera</w:t>
      </w:r>
      <w:proofErr w:type="spellEnd"/>
      <w:r w:rsidRPr="00491E0E">
        <w:rPr>
          <w:szCs w:val="22"/>
          <w:lang w:val="sr-Latn-ME"/>
        </w:rPr>
        <w:t xml:space="preserve"> (ukupno 28 </w:t>
      </w:r>
      <w:proofErr w:type="spellStart"/>
      <w:r w:rsidRPr="00491E0E">
        <w:rPr>
          <w:szCs w:val="22"/>
          <w:lang w:val="sr-Latn-ME"/>
        </w:rPr>
        <w:t>gastrorezistentnih</w:t>
      </w:r>
      <w:proofErr w:type="spellEnd"/>
      <w:r w:rsidRPr="00491E0E">
        <w:rPr>
          <w:szCs w:val="22"/>
          <w:lang w:val="sr-Latn-ME"/>
        </w:rPr>
        <w:t xml:space="preserve"> tableta) i Uputstvo za lijek.</w:t>
      </w:r>
    </w:p>
    <w:p w14:paraId="4D47A65C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50C606D7" w14:textId="77777777" w:rsidR="00986E21" w:rsidRPr="00491E0E" w:rsidRDefault="00070A10" w:rsidP="00753B1E">
      <w:pPr>
        <w:widowControl w:val="0"/>
        <w:spacing w:line="240" w:lineRule="auto"/>
        <w:outlineLvl w:val="0"/>
        <w:rPr>
          <w:b/>
          <w:bCs/>
          <w:szCs w:val="22"/>
          <w:lang w:val="sr-Latn-ME"/>
        </w:rPr>
      </w:pPr>
      <w:r w:rsidRPr="00491E0E">
        <w:rPr>
          <w:b/>
          <w:szCs w:val="22"/>
          <w:lang w:val="sr-Latn-ME"/>
        </w:rPr>
        <w:lastRenderedPageBreak/>
        <w:t>6.6</w:t>
      </w:r>
      <w:r w:rsidRPr="00491E0E">
        <w:rPr>
          <w:b/>
          <w:szCs w:val="22"/>
          <w:lang w:val="sr-Latn-ME"/>
        </w:rPr>
        <w:tab/>
      </w:r>
      <w:r w:rsidRPr="00491E0E">
        <w:rPr>
          <w:b/>
          <w:bCs/>
          <w:szCs w:val="22"/>
          <w:lang w:val="sr-Latn-ME"/>
        </w:rPr>
        <w:t>Posebne mjere opreza pri odlaganju materijala koji treba odbaciti nakon primjene</w:t>
      </w:r>
      <w:bookmarkStart w:id="0" w:name="OLE_LINK2"/>
    </w:p>
    <w:bookmarkEnd w:id="0"/>
    <w:p w14:paraId="580143C4" w14:textId="77777777" w:rsidR="00986E21" w:rsidRPr="00491E0E" w:rsidRDefault="00070A10" w:rsidP="00753B1E">
      <w:pPr>
        <w:widowControl w:val="0"/>
        <w:spacing w:line="240" w:lineRule="auto"/>
        <w:outlineLvl w:val="0"/>
        <w:rPr>
          <w:szCs w:val="22"/>
          <w:lang w:val="sr-Latn-ME"/>
        </w:rPr>
      </w:pPr>
      <w:r w:rsidRPr="00491E0E">
        <w:rPr>
          <w:b/>
          <w:bCs/>
          <w:szCs w:val="22"/>
          <w:lang w:val="sr-Latn-ME"/>
        </w:rPr>
        <w:t>lijeka (i druga uputstva za rukovanje lijekom)</w:t>
      </w:r>
    </w:p>
    <w:p w14:paraId="439191FE" w14:textId="77777777" w:rsidR="00986E21" w:rsidRPr="00491E0E" w:rsidRDefault="00986E21" w:rsidP="00753B1E">
      <w:pPr>
        <w:widowControl w:val="0"/>
        <w:spacing w:line="240" w:lineRule="auto"/>
        <w:rPr>
          <w:szCs w:val="22"/>
          <w:highlight w:val="yellow"/>
          <w:lang w:val="sr-Latn-ME"/>
        </w:rPr>
      </w:pPr>
    </w:p>
    <w:p w14:paraId="429A844E" w14:textId="77777777" w:rsidR="00986E21" w:rsidRPr="00491E0E" w:rsidRDefault="00070A10" w:rsidP="00753B1E">
      <w:pPr>
        <w:widowControl w:val="0"/>
        <w:spacing w:line="240" w:lineRule="auto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Neupotrijebljeni</w:t>
      </w:r>
      <w:proofErr w:type="spellEnd"/>
      <w:r w:rsidRPr="00491E0E">
        <w:rPr>
          <w:szCs w:val="22"/>
          <w:lang w:val="sr-Latn-ME"/>
        </w:rPr>
        <w:t xml:space="preserve"> lijek se uništava u skladu sa važećim propisima.</w:t>
      </w:r>
    </w:p>
    <w:p w14:paraId="3CD285AB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735EC916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16553446" w14:textId="77777777" w:rsidR="00986E21" w:rsidRPr="00491E0E" w:rsidRDefault="00070A10" w:rsidP="00753B1E">
      <w:pPr>
        <w:widowControl w:val="0"/>
        <w:spacing w:line="240" w:lineRule="auto"/>
        <w:ind w:left="567" w:hanging="567"/>
        <w:rPr>
          <w:szCs w:val="22"/>
          <w:lang w:val="sr-Latn-ME"/>
        </w:rPr>
      </w:pPr>
      <w:r w:rsidRPr="00491E0E">
        <w:rPr>
          <w:b/>
          <w:szCs w:val="22"/>
          <w:lang w:val="sr-Latn-ME"/>
        </w:rPr>
        <w:t>7.</w:t>
      </w:r>
      <w:r w:rsidRPr="00491E0E">
        <w:rPr>
          <w:b/>
          <w:szCs w:val="22"/>
          <w:lang w:val="sr-Latn-ME"/>
        </w:rPr>
        <w:tab/>
      </w:r>
      <w:r w:rsidRPr="00491E0E">
        <w:rPr>
          <w:b/>
          <w:bCs/>
          <w:szCs w:val="22"/>
          <w:lang w:val="sr-Latn-ME"/>
        </w:rPr>
        <w:t>NOSILAC DOZVOLE</w:t>
      </w:r>
    </w:p>
    <w:p w14:paraId="5DC32ED4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23E86D35" w14:textId="2DB6A53D" w:rsidR="00986E21" w:rsidRPr="00491E0E" w:rsidRDefault="00070A10" w:rsidP="00753B1E">
      <w:pPr>
        <w:autoSpaceDE w:val="0"/>
        <w:autoSpaceDN w:val="0"/>
        <w:adjustRightInd w:val="0"/>
        <w:spacing w:line="240" w:lineRule="auto"/>
        <w:ind w:left="1985" w:hanging="1985"/>
        <w:jc w:val="both"/>
        <w:rPr>
          <w:szCs w:val="22"/>
          <w:lang w:val="sr-Latn-ME"/>
        </w:rPr>
      </w:pPr>
      <w:r w:rsidRPr="00491E0E">
        <w:rPr>
          <w:szCs w:val="22"/>
          <w:lang w:val="sr-Latn-ME"/>
        </w:rPr>
        <w:t>D</w:t>
      </w:r>
      <w:r w:rsidR="00A87E64" w:rsidRPr="00491E0E">
        <w:rPr>
          <w:szCs w:val="22"/>
          <w:lang w:val="sr-Latn-ME"/>
        </w:rPr>
        <w:t>.</w:t>
      </w:r>
      <w:r w:rsidRPr="00491E0E">
        <w:rPr>
          <w:szCs w:val="22"/>
          <w:lang w:val="sr-Latn-ME"/>
        </w:rPr>
        <w:t>S</w:t>
      </w:r>
      <w:r w:rsidR="00A87E64" w:rsidRPr="00491E0E">
        <w:rPr>
          <w:szCs w:val="22"/>
          <w:lang w:val="sr-Latn-ME"/>
        </w:rPr>
        <w:t>.</w:t>
      </w:r>
      <w:r w:rsidRPr="00491E0E">
        <w:rPr>
          <w:szCs w:val="22"/>
          <w:lang w:val="sr-Latn-ME"/>
        </w:rPr>
        <w:t>D</w:t>
      </w:r>
      <w:r w:rsidR="00A87E64" w:rsidRPr="00491E0E">
        <w:rPr>
          <w:szCs w:val="22"/>
          <w:lang w:val="sr-Latn-ME"/>
        </w:rPr>
        <w:t>.</w:t>
      </w:r>
      <w:r w:rsidRPr="00491E0E">
        <w:rPr>
          <w:szCs w:val="22"/>
          <w:lang w:val="sr-Latn-ME"/>
        </w:rPr>
        <w:t xml:space="preserve"> „KRKA </w:t>
      </w:r>
      <w:proofErr w:type="spellStart"/>
      <w:r w:rsidRPr="00491E0E">
        <w:rPr>
          <w:szCs w:val="22"/>
          <w:lang w:val="sr-Latn-ME"/>
        </w:rPr>
        <w:t>d.d</w:t>
      </w:r>
      <w:proofErr w:type="spellEnd"/>
      <w:r w:rsidRPr="00491E0E">
        <w:rPr>
          <w:szCs w:val="22"/>
          <w:lang w:val="sr-Latn-ME"/>
        </w:rPr>
        <w:t xml:space="preserve">., Novo </w:t>
      </w:r>
      <w:proofErr w:type="spellStart"/>
      <w:r w:rsidRPr="00491E0E">
        <w:rPr>
          <w:szCs w:val="22"/>
          <w:lang w:val="sr-Latn-ME"/>
        </w:rPr>
        <w:t>mesto</w:t>
      </w:r>
      <w:proofErr w:type="spellEnd"/>
      <w:r w:rsidRPr="00491E0E">
        <w:rPr>
          <w:szCs w:val="22"/>
          <w:lang w:val="sr-Latn-ME"/>
        </w:rPr>
        <w:t>“</w:t>
      </w:r>
      <w:r w:rsidR="00A87E64" w:rsidRPr="00491E0E">
        <w:rPr>
          <w:szCs w:val="22"/>
          <w:lang w:val="sr-Latn-ME"/>
        </w:rPr>
        <w:t xml:space="preserve"> Slovenija</w:t>
      </w:r>
      <w:r w:rsidRPr="00491E0E">
        <w:rPr>
          <w:szCs w:val="22"/>
          <w:lang w:val="sr-Latn-ME"/>
        </w:rPr>
        <w:t xml:space="preserve"> - predstavništvo Podgorica</w:t>
      </w:r>
      <w:r w:rsidR="00A87E64" w:rsidRPr="00491E0E">
        <w:rPr>
          <w:szCs w:val="22"/>
          <w:lang w:val="sr-Latn-ME"/>
        </w:rPr>
        <w:t>,</w:t>
      </w:r>
    </w:p>
    <w:p w14:paraId="26B25D34" w14:textId="77777777" w:rsidR="00986E21" w:rsidRPr="00491E0E" w:rsidRDefault="00070A10" w:rsidP="00753B1E">
      <w:pPr>
        <w:autoSpaceDE w:val="0"/>
        <w:autoSpaceDN w:val="0"/>
        <w:adjustRightInd w:val="0"/>
        <w:spacing w:line="240" w:lineRule="auto"/>
        <w:ind w:right="71"/>
        <w:rPr>
          <w:szCs w:val="22"/>
          <w:lang w:val="sr-Latn-ME"/>
        </w:rPr>
      </w:pPr>
      <w:proofErr w:type="spellStart"/>
      <w:r w:rsidRPr="00491E0E">
        <w:rPr>
          <w:szCs w:val="22"/>
          <w:lang w:val="sr-Latn-ME"/>
        </w:rPr>
        <w:t>Svetlane</w:t>
      </w:r>
      <w:proofErr w:type="spellEnd"/>
      <w:r w:rsidRPr="00491E0E">
        <w:rPr>
          <w:szCs w:val="22"/>
          <w:lang w:val="sr-Latn-ME"/>
        </w:rPr>
        <w:t xml:space="preserve"> Kane </w:t>
      </w:r>
      <w:proofErr w:type="spellStart"/>
      <w:r w:rsidRPr="00491E0E">
        <w:rPr>
          <w:szCs w:val="22"/>
          <w:lang w:val="sr-Latn-ME"/>
        </w:rPr>
        <w:t>Radević</w:t>
      </w:r>
      <w:proofErr w:type="spellEnd"/>
      <w:r w:rsidRPr="00491E0E">
        <w:rPr>
          <w:szCs w:val="22"/>
          <w:lang w:val="sr-Latn-ME"/>
        </w:rPr>
        <w:t xml:space="preserve"> br. 3, 81000 Podgorica, Crna Gora</w:t>
      </w:r>
    </w:p>
    <w:p w14:paraId="23AE4A4A" w14:textId="77777777" w:rsidR="00A87E64" w:rsidRPr="00491E0E" w:rsidRDefault="00A87E64" w:rsidP="00753B1E">
      <w:pPr>
        <w:autoSpaceDE w:val="0"/>
        <w:autoSpaceDN w:val="0"/>
        <w:adjustRightInd w:val="0"/>
        <w:spacing w:line="240" w:lineRule="auto"/>
        <w:ind w:right="71"/>
        <w:rPr>
          <w:szCs w:val="22"/>
          <w:lang w:val="sr-Latn-ME"/>
        </w:rPr>
      </w:pPr>
    </w:p>
    <w:p w14:paraId="7064CDC6" w14:textId="77777777" w:rsidR="00986E21" w:rsidRPr="00491E0E" w:rsidRDefault="00986E21" w:rsidP="00753B1E">
      <w:pPr>
        <w:widowControl w:val="0"/>
        <w:spacing w:line="240" w:lineRule="auto"/>
        <w:rPr>
          <w:szCs w:val="22"/>
          <w:lang w:val="sr-Latn-ME"/>
        </w:rPr>
      </w:pPr>
    </w:p>
    <w:p w14:paraId="66371D6A" w14:textId="77777777" w:rsidR="00986E21" w:rsidRPr="00491E0E" w:rsidRDefault="00070A10" w:rsidP="00753B1E">
      <w:pPr>
        <w:tabs>
          <w:tab w:val="clear" w:pos="567"/>
          <w:tab w:val="left" w:pos="540"/>
          <w:tab w:val="left" w:pos="569"/>
        </w:tabs>
        <w:spacing w:line="240" w:lineRule="auto"/>
        <w:rPr>
          <w:b/>
          <w:bCs/>
          <w:szCs w:val="22"/>
          <w:lang w:val="sr-Latn-ME"/>
        </w:rPr>
      </w:pPr>
      <w:r w:rsidRPr="00491E0E">
        <w:rPr>
          <w:b/>
          <w:bCs/>
          <w:szCs w:val="22"/>
          <w:lang w:val="sr-Latn-ME"/>
        </w:rPr>
        <w:t xml:space="preserve">8. </w:t>
      </w:r>
      <w:r w:rsidRPr="00491E0E">
        <w:rPr>
          <w:b/>
          <w:bCs/>
          <w:szCs w:val="22"/>
          <w:lang w:val="sr-Latn-ME"/>
        </w:rPr>
        <w:tab/>
        <w:t>BROJ DOZVOLE ZA STAVLJANJE LIJEKA U PROMET</w:t>
      </w:r>
    </w:p>
    <w:p w14:paraId="6B704857" w14:textId="77777777" w:rsidR="00986E21" w:rsidRPr="00491E0E" w:rsidRDefault="00986E21" w:rsidP="00753B1E">
      <w:pPr>
        <w:tabs>
          <w:tab w:val="clear" w:pos="567"/>
          <w:tab w:val="left" w:pos="540"/>
          <w:tab w:val="left" w:pos="569"/>
        </w:tabs>
        <w:spacing w:line="240" w:lineRule="auto"/>
        <w:rPr>
          <w:b/>
          <w:bCs/>
          <w:szCs w:val="22"/>
          <w:lang w:val="sr-Latn-ME"/>
        </w:rPr>
      </w:pPr>
    </w:p>
    <w:p w14:paraId="2388FDF2" w14:textId="73B7DA1B" w:rsidR="00491E0E" w:rsidRPr="00491E0E" w:rsidRDefault="00491E0E" w:rsidP="00491E0E">
      <w:pPr>
        <w:spacing w:line="240" w:lineRule="auto"/>
        <w:jc w:val="both"/>
        <w:rPr>
          <w:bCs/>
          <w:szCs w:val="22"/>
          <w:lang w:val="sr-Latn-ME" w:eastAsia="sr-Latn-ME"/>
        </w:rPr>
      </w:pPr>
      <w:r w:rsidRPr="00491E0E">
        <w:rPr>
          <w:szCs w:val="22"/>
          <w:lang w:val="sr-Latn-ME"/>
        </w:rPr>
        <w:t xml:space="preserve">2030/25/2290 – 3951 </w:t>
      </w:r>
    </w:p>
    <w:p w14:paraId="49954087" w14:textId="77777777" w:rsidR="00986E21" w:rsidRPr="00491E0E" w:rsidRDefault="00986E21" w:rsidP="00753B1E">
      <w:pPr>
        <w:tabs>
          <w:tab w:val="clear" w:pos="567"/>
          <w:tab w:val="left" w:pos="540"/>
          <w:tab w:val="left" w:pos="569"/>
        </w:tabs>
        <w:spacing w:line="240" w:lineRule="auto"/>
        <w:rPr>
          <w:bCs/>
          <w:szCs w:val="22"/>
          <w:lang w:val="sr-Latn-ME"/>
        </w:rPr>
      </w:pPr>
    </w:p>
    <w:p w14:paraId="7DD96630" w14:textId="77777777" w:rsidR="00986E21" w:rsidRPr="00491E0E" w:rsidRDefault="00986E21" w:rsidP="00753B1E">
      <w:pPr>
        <w:tabs>
          <w:tab w:val="clear" w:pos="567"/>
          <w:tab w:val="left" w:pos="540"/>
          <w:tab w:val="left" w:pos="569"/>
        </w:tabs>
        <w:spacing w:line="240" w:lineRule="auto"/>
        <w:rPr>
          <w:bCs/>
          <w:szCs w:val="22"/>
          <w:lang w:val="sr-Latn-ME"/>
        </w:rPr>
      </w:pPr>
      <w:bookmarkStart w:id="1" w:name="_GoBack"/>
      <w:bookmarkEnd w:id="1"/>
    </w:p>
    <w:p w14:paraId="183235E7" w14:textId="77777777" w:rsidR="00986E21" w:rsidRPr="00491E0E" w:rsidRDefault="00070A10" w:rsidP="00753B1E">
      <w:pPr>
        <w:tabs>
          <w:tab w:val="clear" w:pos="567"/>
          <w:tab w:val="left" w:pos="540"/>
          <w:tab w:val="left" w:pos="569"/>
        </w:tabs>
        <w:spacing w:line="240" w:lineRule="auto"/>
        <w:rPr>
          <w:b/>
          <w:bCs/>
          <w:szCs w:val="22"/>
          <w:lang w:val="sr-Latn-ME"/>
        </w:rPr>
      </w:pPr>
      <w:r w:rsidRPr="00491E0E">
        <w:rPr>
          <w:b/>
          <w:bCs/>
          <w:szCs w:val="22"/>
          <w:lang w:val="sr-Latn-ME"/>
        </w:rPr>
        <w:t xml:space="preserve">9. </w:t>
      </w:r>
      <w:r w:rsidRPr="00491E0E">
        <w:rPr>
          <w:b/>
          <w:bCs/>
          <w:szCs w:val="22"/>
          <w:lang w:val="sr-Latn-ME"/>
        </w:rPr>
        <w:tab/>
        <w:t>DATUM PRVE DOZVOLE/ OBNOVE DOZVOLE ZA STAVLJANJE LIJEKA U PROMET</w:t>
      </w:r>
    </w:p>
    <w:p w14:paraId="594A9923" w14:textId="77777777" w:rsidR="00986E21" w:rsidRPr="00491E0E" w:rsidRDefault="00986E21" w:rsidP="00753B1E">
      <w:pPr>
        <w:tabs>
          <w:tab w:val="clear" w:pos="567"/>
          <w:tab w:val="left" w:pos="540"/>
          <w:tab w:val="left" w:pos="569"/>
        </w:tabs>
        <w:spacing w:line="240" w:lineRule="auto"/>
        <w:rPr>
          <w:b/>
          <w:bCs/>
          <w:szCs w:val="22"/>
          <w:lang w:val="sr-Latn-ME"/>
        </w:rPr>
      </w:pPr>
    </w:p>
    <w:p w14:paraId="1DE1B2BA" w14:textId="77777777" w:rsidR="00986E21" w:rsidRPr="00491E0E" w:rsidRDefault="00A87E64" w:rsidP="00753B1E">
      <w:pPr>
        <w:tabs>
          <w:tab w:val="left" w:pos="284"/>
        </w:tabs>
        <w:spacing w:line="240" w:lineRule="auto"/>
        <w:jc w:val="both"/>
        <w:rPr>
          <w:bCs/>
          <w:szCs w:val="22"/>
          <w:lang w:val="sr-Latn-ME"/>
        </w:rPr>
      </w:pPr>
      <w:r w:rsidRPr="00491E0E">
        <w:rPr>
          <w:bCs/>
          <w:szCs w:val="22"/>
          <w:lang w:val="sr-Latn-ME" w:eastAsia="sl-SI"/>
        </w:rPr>
        <w:t xml:space="preserve">Datum prve dozvole: </w:t>
      </w:r>
      <w:r w:rsidR="00070A10" w:rsidRPr="00491E0E">
        <w:rPr>
          <w:bCs/>
          <w:szCs w:val="22"/>
          <w:lang w:val="sr-Latn-ME" w:eastAsia="sl-SI"/>
        </w:rPr>
        <w:t>03.12.2015. godine</w:t>
      </w:r>
    </w:p>
    <w:p w14:paraId="76924955" w14:textId="5C2E3285" w:rsidR="00986E21" w:rsidRPr="00491E0E" w:rsidRDefault="00A87E64" w:rsidP="00753B1E">
      <w:pPr>
        <w:tabs>
          <w:tab w:val="clear" w:pos="567"/>
          <w:tab w:val="left" w:pos="540"/>
          <w:tab w:val="left" w:pos="569"/>
        </w:tabs>
        <w:spacing w:line="240" w:lineRule="auto"/>
        <w:rPr>
          <w:bCs/>
          <w:szCs w:val="22"/>
          <w:lang w:val="sr-Latn-ME"/>
        </w:rPr>
      </w:pPr>
      <w:r w:rsidRPr="00491E0E">
        <w:rPr>
          <w:bCs/>
          <w:szCs w:val="22"/>
          <w:lang w:val="sr-Latn-ME"/>
        </w:rPr>
        <w:t>Datum posljednje obnove dozvole:</w:t>
      </w:r>
      <w:r w:rsidR="00491E0E" w:rsidRPr="00491E0E">
        <w:rPr>
          <w:szCs w:val="22"/>
          <w:lang w:val="sr-Latn-ME"/>
        </w:rPr>
        <w:t xml:space="preserve"> </w:t>
      </w:r>
      <w:r w:rsidR="00491E0E" w:rsidRPr="00491E0E">
        <w:rPr>
          <w:szCs w:val="22"/>
          <w:lang w:val="sr-Latn-ME"/>
        </w:rPr>
        <w:t>09.06.2025. godine</w:t>
      </w:r>
    </w:p>
    <w:p w14:paraId="651431D2" w14:textId="77777777" w:rsidR="00A87E64" w:rsidRPr="00491E0E" w:rsidRDefault="00A87E64" w:rsidP="00753B1E">
      <w:pPr>
        <w:tabs>
          <w:tab w:val="clear" w:pos="567"/>
          <w:tab w:val="left" w:pos="540"/>
          <w:tab w:val="left" w:pos="569"/>
        </w:tabs>
        <w:spacing w:line="240" w:lineRule="auto"/>
        <w:rPr>
          <w:bCs/>
          <w:szCs w:val="22"/>
          <w:lang w:val="sr-Latn-ME"/>
        </w:rPr>
      </w:pPr>
    </w:p>
    <w:p w14:paraId="52C82D83" w14:textId="77777777" w:rsidR="00986E21" w:rsidRPr="00491E0E" w:rsidRDefault="00986E21" w:rsidP="00753B1E">
      <w:pPr>
        <w:tabs>
          <w:tab w:val="clear" w:pos="567"/>
          <w:tab w:val="left" w:pos="540"/>
          <w:tab w:val="left" w:pos="569"/>
        </w:tabs>
        <w:spacing w:line="240" w:lineRule="auto"/>
        <w:ind w:left="540" w:hanging="540"/>
        <w:rPr>
          <w:b/>
          <w:bCs/>
          <w:szCs w:val="22"/>
          <w:lang w:val="sr-Latn-ME"/>
        </w:rPr>
      </w:pPr>
    </w:p>
    <w:p w14:paraId="6486EDD4" w14:textId="77777777" w:rsidR="00986E21" w:rsidRPr="00491E0E" w:rsidRDefault="00070A10" w:rsidP="00753B1E">
      <w:pPr>
        <w:tabs>
          <w:tab w:val="clear" w:pos="567"/>
          <w:tab w:val="left" w:pos="540"/>
          <w:tab w:val="left" w:pos="569"/>
        </w:tabs>
        <w:spacing w:line="240" w:lineRule="auto"/>
        <w:ind w:left="540" w:hanging="540"/>
        <w:rPr>
          <w:b/>
          <w:bCs/>
          <w:szCs w:val="22"/>
          <w:lang w:val="sr-Latn-ME"/>
        </w:rPr>
      </w:pPr>
      <w:r w:rsidRPr="00491E0E">
        <w:rPr>
          <w:b/>
          <w:bCs/>
          <w:szCs w:val="22"/>
          <w:lang w:val="sr-Latn-ME"/>
        </w:rPr>
        <w:t xml:space="preserve">10. </w:t>
      </w:r>
      <w:r w:rsidRPr="00491E0E">
        <w:rPr>
          <w:b/>
          <w:bCs/>
          <w:szCs w:val="22"/>
          <w:lang w:val="sr-Latn-ME"/>
        </w:rPr>
        <w:tab/>
        <w:t xml:space="preserve">DATUM  REVIZIJE TEKSTA </w:t>
      </w:r>
    </w:p>
    <w:p w14:paraId="275EC5CB" w14:textId="77777777" w:rsidR="00986E21" w:rsidRPr="00491E0E" w:rsidRDefault="00986E21" w:rsidP="00753B1E">
      <w:pPr>
        <w:tabs>
          <w:tab w:val="clear" w:pos="567"/>
          <w:tab w:val="left" w:pos="540"/>
          <w:tab w:val="left" w:pos="569"/>
        </w:tabs>
        <w:spacing w:line="240" w:lineRule="auto"/>
        <w:ind w:left="540" w:hanging="540"/>
        <w:rPr>
          <w:b/>
          <w:bCs/>
          <w:szCs w:val="22"/>
          <w:lang w:val="sr-Latn-ME"/>
        </w:rPr>
      </w:pPr>
    </w:p>
    <w:p w14:paraId="79D6C62C" w14:textId="2B610719" w:rsidR="00986E21" w:rsidRPr="00491E0E" w:rsidRDefault="00491E0E" w:rsidP="00753B1E">
      <w:pPr>
        <w:widowControl w:val="0"/>
        <w:spacing w:line="240" w:lineRule="auto"/>
        <w:rPr>
          <w:szCs w:val="22"/>
          <w:lang w:val="sr-Latn-ME"/>
        </w:rPr>
      </w:pPr>
      <w:r w:rsidRPr="00491E0E">
        <w:rPr>
          <w:szCs w:val="22"/>
          <w:lang w:val="sr-Latn-ME"/>
        </w:rPr>
        <w:t>Jun, 2025. godine</w:t>
      </w:r>
    </w:p>
    <w:p w14:paraId="3F7D867D" w14:textId="77777777" w:rsidR="00986E21" w:rsidRPr="00491E0E" w:rsidRDefault="00986E21" w:rsidP="00753B1E">
      <w:pPr>
        <w:spacing w:line="240" w:lineRule="auto"/>
        <w:rPr>
          <w:szCs w:val="22"/>
          <w:lang w:val="sr-Latn-ME"/>
        </w:rPr>
      </w:pPr>
    </w:p>
    <w:sectPr w:rsidR="00986E21" w:rsidRPr="00491E0E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4A1F1" w14:textId="77777777" w:rsidR="003A519C" w:rsidRDefault="003A519C">
      <w:pPr>
        <w:spacing w:line="240" w:lineRule="auto"/>
      </w:pPr>
      <w:r>
        <w:separator/>
      </w:r>
    </w:p>
  </w:endnote>
  <w:endnote w:type="continuationSeparator" w:id="0">
    <w:p w14:paraId="3EC3A86E" w14:textId="77777777" w:rsidR="003A519C" w:rsidRDefault="003A5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01D60" w14:textId="6654CABA" w:rsidR="00753B1E" w:rsidRDefault="00753B1E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PAGE  </w:instrText>
    </w:r>
    <w:r>
      <w:rPr>
        <w:rStyle w:val="PageNumber"/>
        <w:rFonts w:ascii="Times New Roman" w:hAnsi="Times New Roman"/>
        <w:sz w:val="22"/>
      </w:rPr>
      <w:fldChar w:fldCharType="separate"/>
    </w:r>
    <w:r w:rsidR="00491E0E">
      <w:rPr>
        <w:rStyle w:val="PageNumber"/>
        <w:rFonts w:ascii="Times New Roman" w:hAnsi="Times New Roman"/>
        <w:sz w:val="22"/>
      </w:rPr>
      <w:t>12</w:t>
    </w:r>
    <w:r>
      <w:rPr>
        <w:rStyle w:val="PageNumber"/>
        <w:rFonts w:ascii="Times New Roman" w:hAnsi="Times New Roman"/>
        <w:sz w:val="22"/>
      </w:rPr>
      <w:fldChar w:fldCharType="end"/>
    </w:r>
    <w:r>
      <w:rPr>
        <w:rStyle w:val="PageNumber"/>
        <w:rFonts w:ascii="Times New Roman" w:hAnsi="Times New Roman"/>
        <w:sz w:val="22"/>
      </w:rPr>
      <w:t xml:space="preserve"> / 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9A52F" w14:textId="77777777" w:rsidR="00753B1E" w:rsidRPr="00491E0E" w:rsidRDefault="00753B1E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 w:rsidRPr="00491E0E">
      <w:rPr>
        <w:rFonts w:ascii="Times New Roman" w:hAnsi="Times New Roman"/>
        <w:sz w:val="22"/>
        <w:szCs w:val="22"/>
      </w:rPr>
      <w:t>1 / 12</w:t>
    </w:r>
    <w:r w:rsidRPr="00491E0E">
      <w:rPr>
        <w:rFonts w:ascii="Times New Roman" w:hAnsi="Times New Roman"/>
        <w:sz w:val="22"/>
        <w:szCs w:val="22"/>
      </w:rPr>
      <w:fldChar w:fldCharType="begin"/>
    </w:r>
    <w:r w:rsidRPr="00491E0E">
      <w:rPr>
        <w:rFonts w:ascii="Times New Roman" w:hAnsi="Times New Roman"/>
        <w:sz w:val="22"/>
        <w:szCs w:val="22"/>
      </w:rPr>
      <w:instrText xml:space="preserve"> EQ </w:instrText>
    </w:r>
    <w:r w:rsidRPr="00491E0E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338C8" w14:textId="77777777" w:rsidR="003A519C" w:rsidRDefault="003A519C">
      <w:pPr>
        <w:spacing w:line="240" w:lineRule="auto"/>
      </w:pPr>
      <w:r>
        <w:separator/>
      </w:r>
    </w:p>
  </w:footnote>
  <w:footnote w:type="continuationSeparator" w:id="0">
    <w:p w14:paraId="21699E57" w14:textId="77777777" w:rsidR="003A519C" w:rsidRDefault="003A51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6C13A2F"/>
    <w:multiLevelType w:val="hybridMultilevel"/>
    <w:tmpl w:val="EEE8E4DC"/>
    <w:lvl w:ilvl="0" w:tplc="44C828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4D004B2E"/>
    <w:multiLevelType w:val="hybridMultilevel"/>
    <w:tmpl w:val="0B04ED02"/>
    <w:lvl w:ilvl="0" w:tplc="618A557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230C4"/>
    <w:multiLevelType w:val="hybridMultilevel"/>
    <w:tmpl w:val="27B4A64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B73246"/>
    <w:multiLevelType w:val="hybridMultilevel"/>
    <w:tmpl w:val="DB8AD430"/>
    <w:lvl w:ilvl="0" w:tplc="2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4"/>
  </w:num>
  <w:num w:numId="7">
    <w:abstractNumId w:val="6"/>
  </w:num>
  <w:num w:numId="8">
    <w:abstractNumId w:val="9"/>
  </w:num>
  <w:num w:numId="9">
    <w:abstractNumId w:val="23"/>
  </w:num>
  <w:num w:numId="10">
    <w:abstractNumId w:val="1"/>
  </w:num>
  <w:num w:numId="11">
    <w:abstractNumId w:val="20"/>
  </w:num>
  <w:num w:numId="12">
    <w:abstractNumId w:val="7"/>
  </w:num>
  <w:num w:numId="13">
    <w:abstractNumId w:val="4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0"/>
  </w:num>
  <w:num w:numId="18">
    <w:abstractNumId w:val="13"/>
  </w:num>
  <w:num w:numId="19">
    <w:abstractNumId w:val="24"/>
  </w:num>
  <w:num w:numId="20">
    <w:abstractNumId w:val="16"/>
  </w:num>
  <w:num w:numId="21">
    <w:abstractNumId w:val="22"/>
  </w:num>
  <w:num w:numId="22">
    <w:abstractNumId w:val="19"/>
  </w:num>
  <w:num w:numId="23">
    <w:abstractNumId w:val="5"/>
  </w:num>
  <w:num w:numId="24">
    <w:abstractNumId w:val="22"/>
  </w:num>
  <w:num w:numId="25">
    <w:abstractNumId w:val="3"/>
  </w:num>
  <w:num w:numId="26">
    <w:abstractNumId w:val="11"/>
  </w:num>
  <w:num w:numId="27">
    <w:abstractNumId w:val="15"/>
  </w:num>
  <w:num w:numId="28">
    <w:abstractNumId w:val="1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986E21"/>
    <w:rsid w:val="00070A10"/>
    <w:rsid w:val="003A519C"/>
    <w:rsid w:val="00491E0E"/>
    <w:rsid w:val="004D4567"/>
    <w:rsid w:val="00753B1E"/>
    <w:rsid w:val="00986E21"/>
    <w:rsid w:val="00A024A5"/>
    <w:rsid w:val="00A87E64"/>
    <w:rsid w:val="00B04010"/>
    <w:rsid w:val="00E23778"/>
    <w:rsid w:val="00E30BB8"/>
    <w:rsid w:val="00E87240"/>
    <w:rsid w:val="00F637C2"/>
    <w:rsid w:val="00FD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E149D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link w:val="CommentText"/>
    <w:semiHidden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Pr>
      <w:rFonts w:eastAsia="Times New Roman"/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sl-SI" w:eastAsia="sl-SI"/>
    </w:rPr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0BE7-110C-4AA2-B20B-7F95F7AA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4485</Words>
  <Characters>25567</Characters>
  <Application>Microsoft Office Word</Application>
  <DocSecurity>0</DocSecurity>
  <Lines>213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Dedejić</dc:creator>
  <cp:lastModifiedBy>Ninoslava Lalatović</cp:lastModifiedBy>
  <cp:revision>35</cp:revision>
  <dcterms:created xsi:type="dcterms:W3CDTF">2025-01-17T06:12:00Z</dcterms:created>
  <dcterms:modified xsi:type="dcterms:W3CDTF">2025-06-09T08:14:00Z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