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ACE62" w14:textId="77777777" w:rsidR="0040341B" w:rsidRPr="003E0A1F" w:rsidRDefault="00B87F20" w:rsidP="00054FCE">
      <w:pPr>
        <w:widowControl w:val="0"/>
        <w:spacing w:line="240" w:lineRule="auto"/>
        <w:ind w:left="567"/>
        <w:jc w:val="center"/>
        <w:rPr>
          <w:b/>
          <w:bCs/>
          <w:iCs/>
          <w:szCs w:val="22"/>
          <w:u w:val="single"/>
          <w:lang w:val="sr-Latn-ME"/>
        </w:rPr>
      </w:pPr>
      <w:r w:rsidRPr="003E0A1F">
        <w:rPr>
          <w:b/>
          <w:bCs/>
          <w:iCs/>
          <w:szCs w:val="22"/>
          <w:u w:val="single"/>
          <w:lang w:val="sr-Latn-ME"/>
        </w:rPr>
        <w:t>SAŽETAK KARAKTERISTIKA LIJEKA</w:t>
      </w:r>
    </w:p>
    <w:p w14:paraId="72AC8640" w14:textId="77777777" w:rsidR="0040341B" w:rsidRPr="003E0A1F" w:rsidRDefault="0040341B" w:rsidP="00054FCE">
      <w:pPr>
        <w:widowControl w:val="0"/>
        <w:spacing w:line="240" w:lineRule="auto"/>
        <w:ind w:left="567"/>
        <w:jc w:val="center"/>
        <w:rPr>
          <w:b/>
          <w:bCs/>
          <w:iCs/>
          <w:szCs w:val="22"/>
          <w:u w:val="single"/>
          <w:lang w:val="sr-Latn-ME"/>
        </w:rPr>
      </w:pPr>
    </w:p>
    <w:p w14:paraId="5FA740CE" w14:textId="77777777" w:rsidR="0040341B" w:rsidRPr="003E0A1F" w:rsidRDefault="0040341B" w:rsidP="00054FCE">
      <w:pPr>
        <w:widowControl w:val="0"/>
        <w:spacing w:line="240" w:lineRule="auto"/>
        <w:ind w:left="567"/>
        <w:jc w:val="center"/>
        <w:rPr>
          <w:b/>
          <w:bCs/>
          <w:iCs/>
          <w:szCs w:val="22"/>
          <w:u w:val="single"/>
          <w:lang w:val="sr-Latn-ME"/>
        </w:rPr>
      </w:pPr>
    </w:p>
    <w:p w14:paraId="2E6E0CE8" w14:textId="77777777" w:rsidR="0040341B" w:rsidRPr="003E0A1F" w:rsidRDefault="00B87F20" w:rsidP="00054FCE">
      <w:pPr>
        <w:widowControl w:val="0"/>
        <w:numPr>
          <w:ilvl w:val="0"/>
          <w:numId w:val="26"/>
        </w:numPr>
        <w:spacing w:line="240" w:lineRule="auto"/>
        <w:ind w:left="567"/>
        <w:jc w:val="both"/>
        <w:rPr>
          <w:b/>
          <w:szCs w:val="22"/>
          <w:lang w:val="sr-Latn-ME"/>
        </w:rPr>
      </w:pPr>
      <w:r w:rsidRPr="003E0A1F">
        <w:rPr>
          <w:b/>
          <w:szCs w:val="22"/>
          <w:lang w:val="sr-Latn-ME"/>
        </w:rPr>
        <w:t>NAZIV LIJEKA</w:t>
      </w:r>
    </w:p>
    <w:p w14:paraId="4EF1F39A" w14:textId="77777777" w:rsidR="0040341B" w:rsidRPr="003E0A1F" w:rsidRDefault="0040341B" w:rsidP="00054FCE">
      <w:pPr>
        <w:widowControl w:val="0"/>
        <w:spacing w:line="240" w:lineRule="auto"/>
        <w:jc w:val="both"/>
        <w:rPr>
          <w:b/>
          <w:szCs w:val="22"/>
          <w:lang w:val="sr-Latn-ME"/>
        </w:rPr>
      </w:pPr>
    </w:p>
    <w:p w14:paraId="331B3430" w14:textId="77777777" w:rsidR="0040341B" w:rsidRPr="003E0A1F" w:rsidRDefault="00B87F20" w:rsidP="00054FCE">
      <w:pPr>
        <w:widowControl w:val="0"/>
        <w:spacing w:line="240" w:lineRule="auto"/>
        <w:jc w:val="both"/>
        <w:rPr>
          <w:szCs w:val="22"/>
          <w:lang w:val="sr-Latn-ME"/>
        </w:rPr>
      </w:pPr>
      <w:proofErr w:type="spellStart"/>
      <w:r w:rsidRPr="003E0A1F">
        <w:rPr>
          <w:szCs w:val="22"/>
          <w:lang w:val="sr-Latn-ME"/>
        </w:rPr>
        <w:t>Nolpaza</w:t>
      </w:r>
      <w:proofErr w:type="spellEnd"/>
      <w:r w:rsidRPr="003E0A1F">
        <w:rPr>
          <w:szCs w:val="22"/>
          <w:lang w:val="sr-Latn-ME"/>
        </w:rPr>
        <w:t xml:space="preserve">, 40 mg, </w:t>
      </w:r>
      <w:proofErr w:type="spellStart"/>
      <w:r w:rsidRPr="003E0A1F">
        <w:rPr>
          <w:szCs w:val="22"/>
          <w:lang w:val="sr-Latn-ME"/>
        </w:rPr>
        <w:t>gastrorezistentna</w:t>
      </w:r>
      <w:proofErr w:type="spellEnd"/>
      <w:r w:rsidRPr="003E0A1F">
        <w:rPr>
          <w:szCs w:val="22"/>
          <w:lang w:val="sr-Latn-ME"/>
        </w:rPr>
        <w:t xml:space="preserve"> tableta</w:t>
      </w:r>
    </w:p>
    <w:p w14:paraId="35ADD5BA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68ED1490" w14:textId="77777777" w:rsidR="0040341B" w:rsidRPr="003E0A1F" w:rsidRDefault="00B87F20" w:rsidP="00054FCE">
      <w:pPr>
        <w:widowControl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>INN:</w:t>
      </w:r>
      <w:r w:rsidRPr="003E0A1F">
        <w:rPr>
          <w:szCs w:val="22"/>
          <w:lang w:val="sr-Latn-ME"/>
        </w:rPr>
        <w:tab/>
      </w:r>
      <w:proofErr w:type="spellStart"/>
      <w:r w:rsidRPr="003E0A1F">
        <w:rPr>
          <w:szCs w:val="22"/>
          <w:lang w:val="sr-Latn-ME"/>
        </w:rPr>
        <w:t>pantoprazol</w:t>
      </w:r>
      <w:proofErr w:type="spellEnd"/>
    </w:p>
    <w:p w14:paraId="6A3AC9E7" w14:textId="77777777" w:rsidR="0040341B" w:rsidRPr="003E0A1F" w:rsidRDefault="0040341B" w:rsidP="00054FCE">
      <w:pPr>
        <w:widowControl w:val="0"/>
        <w:spacing w:line="240" w:lineRule="auto"/>
        <w:ind w:left="930"/>
        <w:jc w:val="both"/>
        <w:rPr>
          <w:b/>
          <w:szCs w:val="22"/>
          <w:lang w:val="sr-Latn-ME"/>
        </w:rPr>
      </w:pPr>
    </w:p>
    <w:p w14:paraId="6C608AD7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4EBB57D6" w14:textId="77777777" w:rsidR="0040341B" w:rsidRPr="003E0A1F" w:rsidRDefault="00B87F20" w:rsidP="00054FCE">
      <w:pPr>
        <w:widowControl w:val="0"/>
        <w:spacing w:line="240" w:lineRule="auto"/>
        <w:jc w:val="both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2.</w:t>
      </w:r>
      <w:r w:rsidRPr="003E0A1F">
        <w:rPr>
          <w:b/>
          <w:szCs w:val="22"/>
          <w:lang w:val="sr-Latn-ME"/>
        </w:rPr>
        <w:tab/>
        <w:t>KVALITATIVNI I KVANTITATIVNI SASTAV</w:t>
      </w:r>
    </w:p>
    <w:p w14:paraId="04257ECB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2D7DE141" w14:textId="77777777" w:rsidR="0040341B" w:rsidRPr="003E0A1F" w:rsidRDefault="00B87F20" w:rsidP="00054FCE">
      <w:pPr>
        <w:tabs>
          <w:tab w:val="left" w:pos="2880"/>
        </w:tabs>
        <w:autoSpaceDE w:val="0"/>
        <w:autoSpaceDN w:val="0"/>
        <w:adjustRightInd w:val="0"/>
        <w:spacing w:line="240" w:lineRule="auto"/>
        <w:ind w:left="3062" w:hanging="3062"/>
        <w:jc w:val="both"/>
        <w:rPr>
          <w:bCs/>
          <w:szCs w:val="22"/>
          <w:lang w:val="sr-Latn-ME"/>
        </w:rPr>
      </w:pPr>
      <w:r w:rsidRPr="003E0A1F">
        <w:rPr>
          <w:bCs/>
          <w:szCs w:val="22"/>
          <w:lang w:val="sr-Latn-ME"/>
        </w:rPr>
        <w:t xml:space="preserve">Svaka </w:t>
      </w:r>
      <w:proofErr w:type="spellStart"/>
      <w:r w:rsidRPr="003E0A1F">
        <w:rPr>
          <w:bCs/>
          <w:szCs w:val="22"/>
          <w:lang w:val="sr-Latn-ME"/>
        </w:rPr>
        <w:t>gastrorezistentna</w:t>
      </w:r>
      <w:proofErr w:type="spellEnd"/>
      <w:r w:rsidRPr="003E0A1F">
        <w:rPr>
          <w:bCs/>
          <w:szCs w:val="22"/>
          <w:lang w:val="sr-Latn-ME"/>
        </w:rPr>
        <w:t xml:space="preserve"> tableta sadrži 40 mg </w:t>
      </w:r>
      <w:proofErr w:type="spellStart"/>
      <w:r w:rsidRPr="003E0A1F">
        <w:rPr>
          <w:bCs/>
          <w:szCs w:val="22"/>
          <w:lang w:val="sr-Latn-ME"/>
        </w:rPr>
        <w:t>pantoprazola</w:t>
      </w:r>
      <w:proofErr w:type="spellEnd"/>
      <w:r w:rsidRPr="003E0A1F">
        <w:rPr>
          <w:bCs/>
          <w:szCs w:val="22"/>
          <w:lang w:val="sr-Latn-ME"/>
        </w:rPr>
        <w:t xml:space="preserve"> u obliku </w:t>
      </w:r>
      <w:proofErr w:type="spellStart"/>
      <w:r w:rsidRPr="003E0A1F">
        <w:rPr>
          <w:bCs/>
          <w:szCs w:val="22"/>
          <w:lang w:val="sr-Latn-ME"/>
        </w:rPr>
        <w:t>pantoprazol</w:t>
      </w:r>
      <w:proofErr w:type="spellEnd"/>
      <w:r w:rsidR="00054FCE" w:rsidRPr="003E0A1F">
        <w:rPr>
          <w:bCs/>
          <w:szCs w:val="22"/>
          <w:lang w:val="sr-Latn-ME"/>
        </w:rPr>
        <w:t xml:space="preserve"> </w:t>
      </w:r>
      <w:r w:rsidRPr="003E0A1F">
        <w:rPr>
          <w:bCs/>
          <w:szCs w:val="22"/>
          <w:lang w:val="sr-Latn-ME"/>
        </w:rPr>
        <w:t xml:space="preserve">natrijum </w:t>
      </w:r>
      <w:proofErr w:type="spellStart"/>
      <w:r w:rsidRPr="003E0A1F">
        <w:rPr>
          <w:bCs/>
          <w:szCs w:val="22"/>
          <w:lang w:val="sr-Latn-ME"/>
        </w:rPr>
        <w:t>seskvihidrata</w:t>
      </w:r>
      <w:proofErr w:type="spellEnd"/>
      <w:r w:rsidRPr="003E0A1F">
        <w:rPr>
          <w:bCs/>
          <w:szCs w:val="22"/>
          <w:lang w:val="sr-Latn-ME"/>
        </w:rPr>
        <w:t>.</w:t>
      </w:r>
    </w:p>
    <w:p w14:paraId="5137343B" w14:textId="77777777" w:rsidR="0040341B" w:rsidRPr="003E0A1F" w:rsidRDefault="0040341B" w:rsidP="00054FCE">
      <w:pPr>
        <w:tabs>
          <w:tab w:val="left" w:pos="2880"/>
        </w:tabs>
        <w:autoSpaceDE w:val="0"/>
        <w:autoSpaceDN w:val="0"/>
        <w:adjustRightInd w:val="0"/>
        <w:spacing w:line="240" w:lineRule="auto"/>
        <w:ind w:left="3062" w:hanging="3062"/>
        <w:jc w:val="both"/>
        <w:rPr>
          <w:bCs/>
          <w:szCs w:val="22"/>
          <w:lang w:val="sr-Latn-ME"/>
        </w:rPr>
      </w:pPr>
    </w:p>
    <w:p w14:paraId="4DDBAF6C" w14:textId="681E382C" w:rsidR="0040341B" w:rsidRPr="003E0A1F" w:rsidRDefault="00B87F20" w:rsidP="00054FCE">
      <w:pPr>
        <w:tabs>
          <w:tab w:val="left" w:pos="2880"/>
        </w:tabs>
        <w:autoSpaceDE w:val="0"/>
        <w:autoSpaceDN w:val="0"/>
        <w:adjustRightInd w:val="0"/>
        <w:spacing w:line="240" w:lineRule="auto"/>
        <w:ind w:left="3062" w:hanging="3062"/>
        <w:jc w:val="both"/>
        <w:rPr>
          <w:bCs/>
          <w:szCs w:val="22"/>
          <w:lang w:val="sr-Latn-ME"/>
        </w:rPr>
      </w:pPr>
      <w:r w:rsidRPr="003E0A1F">
        <w:rPr>
          <w:bCs/>
          <w:szCs w:val="22"/>
          <w:u w:val="single"/>
          <w:lang w:val="sr-Latn-ME"/>
        </w:rPr>
        <w:t>Pomoćna supstanca sa potvrđenim dejstvom</w:t>
      </w:r>
      <w:r w:rsidRPr="003E0A1F">
        <w:rPr>
          <w:bCs/>
          <w:szCs w:val="22"/>
          <w:lang w:val="sr-Latn-ME"/>
        </w:rPr>
        <w:t xml:space="preserve"> </w:t>
      </w:r>
    </w:p>
    <w:p w14:paraId="7FE5A2F7" w14:textId="26F629E6" w:rsidR="0040341B" w:rsidRPr="003E0A1F" w:rsidRDefault="00054FCE" w:rsidP="00162483">
      <w:pPr>
        <w:tabs>
          <w:tab w:val="left" w:pos="2880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sr-Latn-ME"/>
        </w:rPr>
      </w:pPr>
      <w:r w:rsidRPr="003E0A1F">
        <w:rPr>
          <w:bCs/>
          <w:szCs w:val="22"/>
          <w:lang w:val="sr-Latn-ME"/>
        </w:rPr>
        <w:t xml:space="preserve">Svaka </w:t>
      </w:r>
      <w:proofErr w:type="spellStart"/>
      <w:r w:rsidRPr="003E0A1F">
        <w:rPr>
          <w:bCs/>
          <w:szCs w:val="22"/>
          <w:lang w:val="sr-Latn-ME"/>
        </w:rPr>
        <w:t>gastrorezistentna</w:t>
      </w:r>
      <w:proofErr w:type="spellEnd"/>
      <w:r w:rsidRPr="003E0A1F">
        <w:rPr>
          <w:bCs/>
          <w:szCs w:val="22"/>
          <w:lang w:val="sr-Latn-ME"/>
        </w:rPr>
        <w:t xml:space="preserve"> tableta sadrži 36 mg </w:t>
      </w:r>
      <w:proofErr w:type="spellStart"/>
      <w:r w:rsidR="00B87F20" w:rsidRPr="003E0A1F">
        <w:rPr>
          <w:bCs/>
          <w:szCs w:val="22"/>
          <w:lang w:val="sr-Latn-ME"/>
        </w:rPr>
        <w:t>sorbitol</w:t>
      </w:r>
      <w:r w:rsidRPr="003E0A1F">
        <w:rPr>
          <w:bCs/>
          <w:szCs w:val="22"/>
          <w:lang w:val="sr-Latn-ME"/>
        </w:rPr>
        <w:t>a</w:t>
      </w:r>
      <w:proofErr w:type="spellEnd"/>
      <w:r w:rsidR="00B87F20" w:rsidRPr="003E0A1F">
        <w:rPr>
          <w:bCs/>
          <w:szCs w:val="22"/>
          <w:lang w:val="sr-Latn-ME"/>
        </w:rPr>
        <w:t xml:space="preserve"> (E420</w:t>
      </w:r>
      <w:r w:rsidRPr="003E0A1F">
        <w:rPr>
          <w:bCs/>
          <w:szCs w:val="22"/>
          <w:lang w:val="sr-Latn-ME"/>
        </w:rPr>
        <w:t>)</w:t>
      </w:r>
      <w:r w:rsidR="00B87F20" w:rsidRPr="003E0A1F">
        <w:rPr>
          <w:bCs/>
          <w:szCs w:val="22"/>
          <w:lang w:val="sr-Latn-ME"/>
        </w:rPr>
        <w:t>.</w:t>
      </w:r>
    </w:p>
    <w:p w14:paraId="27A9CAAE" w14:textId="77777777" w:rsidR="0040341B" w:rsidRPr="003E0A1F" w:rsidRDefault="0040341B" w:rsidP="00054FCE">
      <w:pPr>
        <w:tabs>
          <w:tab w:val="left" w:pos="2880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sr-Latn-ME"/>
        </w:rPr>
      </w:pPr>
    </w:p>
    <w:p w14:paraId="37D12CE2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Za spisak svih </w:t>
      </w:r>
      <w:proofErr w:type="spellStart"/>
      <w:r w:rsidRPr="003E0A1F">
        <w:rPr>
          <w:szCs w:val="22"/>
          <w:lang w:val="sr-Latn-ME"/>
        </w:rPr>
        <w:t>ekscipijenasa</w:t>
      </w:r>
      <w:proofErr w:type="spellEnd"/>
      <w:r w:rsidRPr="003E0A1F">
        <w:rPr>
          <w:szCs w:val="22"/>
          <w:lang w:val="sr-Latn-ME"/>
        </w:rPr>
        <w:t>, pogledati dio 6.1.</w:t>
      </w:r>
    </w:p>
    <w:p w14:paraId="6EB3B25D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7ECE98EF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56CE1277" w14:textId="77777777" w:rsidR="0040341B" w:rsidRPr="003E0A1F" w:rsidRDefault="00B87F20" w:rsidP="00054FCE">
      <w:pPr>
        <w:widowControl w:val="0"/>
        <w:spacing w:line="240" w:lineRule="auto"/>
        <w:jc w:val="both"/>
        <w:rPr>
          <w:b/>
          <w:caps/>
          <w:szCs w:val="22"/>
          <w:lang w:val="sr-Latn-ME"/>
        </w:rPr>
      </w:pPr>
      <w:r w:rsidRPr="003E0A1F">
        <w:rPr>
          <w:b/>
          <w:szCs w:val="22"/>
          <w:lang w:val="sr-Latn-ME"/>
        </w:rPr>
        <w:t>3.</w:t>
      </w:r>
      <w:r w:rsidRPr="003E0A1F">
        <w:rPr>
          <w:b/>
          <w:szCs w:val="22"/>
          <w:lang w:val="sr-Latn-ME"/>
        </w:rPr>
        <w:tab/>
        <w:t>FARMACEUTSKI OBLIK</w:t>
      </w:r>
    </w:p>
    <w:p w14:paraId="3AA752FF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4027CC77" w14:textId="77777777" w:rsidR="0040341B" w:rsidRPr="003E0A1F" w:rsidRDefault="00B87F20" w:rsidP="00054FCE">
      <w:pPr>
        <w:tabs>
          <w:tab w:val="left" w:pos="2880"/>
        </w:tabs>
        <w:autoSpaceDE w:val="0"/>
        <w:autoSpaceDN w:val="0"/>
        <w:adjustRightInd w:val="0"/>
        <w:spacing w:line="240" w:lineRule="auto"/>
        <w:ind w:left="3062" w:hanging="3062"/>
        <w:jc w:val="both"/>
        <w:rPr>
          <w:bCs/>
          <w:szCs w:val="22"/>
          <w:lang w:val="sr-Latn-ME"/>
        </w:rPr>
      </w:pPr>
      <w:proofErr w:type="spellStart"/>
      <w:r w:rsidRPr="003E0A1F">
        <w:rPr>
          <w:bCs/>
          <w:szCs w:val="22"/>
          <w:lang w:val="sr-Latn-ME"/>
        </w:rPr>
        <w:t>Gastrorezistentna</w:t>
      </w:r>
      <w:proofErr w:type="spellEnd"/>
      <w:r w:rsidRPr="003E0A1F">
        <w:rPr>
          <w:bCs/>
          <w:szCs w:val="22"/>
          <w:lang w:val="sr-Latn-ME"/>
        </w:rPr>
        <w:t xml:space="preserve"> tableta.</w:t>
      </w:r>
    </w:p>
    <w:p w14:paraId="51DBC42D" w14:textId="1BBEE928" w:rsidR="0040341B" w:rsidRPr="003E0A1F" w:rsidRDefault="00054FCE" w:rsidP="00054FCE">
      <w:pPr>
        <w:tabs>
          <w:tab w:val="left" w:pos="2880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sr-Latn-ME"/>
        </w:rPr>
      </w:pPr>
      <w:proofErr w:type="spellStart"/>
      <w:r w:rsidRPr="003E0A1F">
        <w:rPr>
          <w:bCs/>
          <w:szCs w:val="22"/>
          <w:lang w:val="sr-Latn-ME"/>
        </w:rPr>
        <w:t>Svijetložućkasto</w:t>
      </w:r>
      <w:proofErr w:type="spellEnd"/>
      <w:r w:rsidRPr="003E0A1F">
        <w:rPr>
          <w:bCs/>
          <w:szCs w:val="22"/>
          <w:lang w:val="sr-Latn-ME"/>
        </w:rPr>
        <w:t>-braon</w:t>
      </w:r>
      <w:r w:rsidR="00B87F20" w:rsidRPr="003E0A1F">
        <w:rPr>
          <w:bCs/>
          <w:szCs w:val="22"/>
          <w:lang w:val="sr-Latn-ME"/>
        </w:rPr>
        <w:t>, ovaln</w:t>
      </w:r>
      <w:r w:rsidRPr="003E0A1F">
        <w:rPr>
          <w:bCs/>
          <w:szCs w:val="22"/>
          <w:lang w:val="sr-Latn-ME"/>
        </w:rPr>
        <w:t>a</w:t>
      </w:r>
      <w:r w:rsidR="00B87F20" w:rsidRPr="003E0A1F">
        <w:rPr>
          <w:bCs/>
          <w:szCs w:val="22"/>
          <w:lang w:val="sr-Latn-ME"/>
        </w:rPr>
        <w:t xml:space="preserve">, blago </w:t>
      </w:r>
      <w:proofErr w:type="spellStart"/>
      <w:r w:rsidRPr="003E0A1F">
        <w:rPr>
          <w:bCs/>
          <w:szCs w:val="22"/>
          <w:lang w:val="sr-Latn-ME"/>
        </w:rPr>
        <w:t>bikonveksna</w:t>
      </w:r>
      <w:proofErr w:type="spellEnd"/>
      <w:r w:rsidRPr="003E0A1F">
        <w:rPr>
          <w:bCs/>
          <w:szCs w:val="22"/>
          <w:lang w:val="sr-Latn-ME"/>
        </w:rPr>
        <w:t xml:space="preserve"> </w:t>
      </w:r>
      <w:r w:rsidR="00B87F20" w:rsidRPr="003E0A1F">
        <w:rPr>
          <w:bCs/>
          <w:szCs w:val="22"/>
          <w:lang w:val="sr-Latn-ME"/>
        </w:rPr>
        <w:t>filmom obložen</w:t>
      </w:r>
      <w:r w:rsidRPr="003E0A1F">
        <w:rPr>
          <w:bCs/>
          <w:szCs w:val="22"/>
          <w:lang w:val="sr-Latn-ME"/>
        </w:rPr>
        <w:t>a</w:t>
      </w:r>
      <w:r w:rsidR="00B87F20" w:rsidRPr="003E0A1F">
        <w:rPr>
          <w:bCs/>
          <w:szCs w:val="22"/>
          <w:lang w:val="sr-Latn-ME"/>
        </w:rPr>
        <w:t xml:space="preserve"> tablet</w:t>
      </w:r>
      <w:r w:rsidRPr="003E0A1F">
        <w:rPr>
          <w:bCs/>
          <w:szCs w:val="22"/>
          <w:lang w:val="sr-Latn-ME"/>
        </w:rPr>
        <w:t>a</w:t>
      </w:r>
      <w:r w:rsidR="00B87F20" w:rsidRPr="003E0A1F">
        <w:rPr>
          <w:bCs/>
          <w:szCs w:val="22"/>
          <w:lang w:val="sr-Latn-ME"/>
        </w:rPr>
        <w:t>.</w:t>
      </w:r>
    </w:p>
    <w:p w14:paraId="7701CF1B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1B733A11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2E877060" w14:textId="77777777" w:rsidR="0040341B" w:rsidRPr="003E0A1F" w:rsidRDefault="00B87F20" w:rsidP="00054FCE">
      <w:pPr>
        <w:widowControl w:val="0"/>
        <w:spacing w:line="240" w:lineRule="auto"/>
        <w:ind w:left="567" w:hanging="567"/>
        <w:jc w:val="both"/>
        <w:rPr>
          <w:caps/>
          <w:szCs w:val="22"/>
          <w:lang w:val="sr-Latn-ME"/>
        </w:rPr>
      </w:pPr>
      <w:r w:rsidRPr="003E0A1F">
        <w:rPr>
          <w:b/>
          <w:caps/>
          <w:szCs w:val="22"/>
          <w:lang w:val="sr-Latn-ME"/>
        </w:rPr>
        <w:t>4.</w:t>
      </w:r>
      <w:r w:rsidRPr="003E0A1F">
        <w:rPr>
          <w:b/>
          <w:caps/>
          <w:szCs w:val="22"/>
          <w:lang w:val="sr-Latn-ME"/>
        </w:rPr>
        <w:tab/>
        <w:t>KLINIČKI PODACI</w:t>
      </w:r>
    </w:p>
    <w:p w14:paraId="1CEED052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10BA8B2C" w14:textId="77777777" w:rsidR="0040341B" w:rsidRPr="003E0A1F" w:rsidRDefault="00B87F20" w:rsidP="00054FCE">
      <w:pPr>
        <w:pStyle w:val="ListParagraph"/>
        <w:widowControl w:val="0"/>
        <w:numPr>
          <w:ilvl w:val="1"/>
          <w:numId w:val="37"/>
        </w:numPr>
        <w:spacing w:line="240" w:lineRule="auto"/>
        <w:jc w:val="both"/>
        <w:outlineLvl w:val="0"/>
        <w:rPr>
          <w:b/>
          <w:szCs w:val="22"/>
          <w:lang w:val="sr-Latn-ME"/>
        </w:rPr>
      </w:pPr>
      <w:r w:rsidRPr="003E0A1F">
        <w:rPr>
          <w:b/>
          <w:szCs w:val="22"/>
          <w:lang w:val="sr-Latn-ME"/>
        </w:rPr>
        <w:t>Terapijske indikacije</w:t>
      </w:r>
    </w:p>
    <w:p w14:paraId="5F79BEFF" w14:textId="77777777" w:rsidR="0040341B" w:rsidRPr="003E0A1F" w:rsidRDefault="0040341B" w:rsidP="00054FCE">
      <w:pPr>
        <w:widowControl w:val="0"/>
        <w:spacing w:line="240" w:lineRule="auto"/>
        <w:ind w:left="567" w:hanging="567"/>
        <w:jc w:val="both"/>
        <w:outlineLvl w:val="0"/>
        <w:rPr>
          <w:b/>
          <w:szCs w:val="22"/>
          <w:lang w:val="sr-Latn-ME"/>
        </w:rPr>
      </w:pPr>
    </w:p>
    <w:p w14:paraId="5CA11653" w14:textId="77777777" w:rsidR="0040341B" w:rsidRPr="003E0A1F" w:rsidRDefault="00B87F20" w:rsidP="00054FCE">
      <w:pPr>
        <w:tabs>
          <w:tab w:val="clear" w:pos="567"/>
          <w:tab w:val="left" w:pos="540"/>
          <w:tab w:val="left" w:pos="569"/>
        </w:tabs>
        <w:spacing w:line="240" w:lineRule="auto"/>
        <w:jc w:val="both"/>
        <w:rPr>
          <w:bCs/>
          <w:i/>
          <w:szCs w:val="22"/>
          <w:lang w:val="sr-Latn-ME"/>
        </w:rPr>
      </w:pPr>
      <w:r w:rsidRPr="003E0A1F">
        <w:rPr>
          <w:bCs/>
          <w:i/>
          <w:szCs w:val="22"/>
          <w:lang w:val="sr-Latn-ME"/>
        </w:rPr>
        <w:t>Odrasli i adolescenti (12 godina i stariji)</w:t>
      </w:r>
    </w:p>
    <w:p w14:paraId="2AE25841" w14:textId="77777777" w:rsidR="0040341B" w:rsidRPr="003E0A1F" w:rsidRDefault="00B87F20" w:rsidP="00054FCE">
      <w:pPr>
        <w:pStyle w:val="ListParagraph"/>
        <w:numPr>
          <w:ilvl w:val="0"/>
          <w:numId w:val="38"/>
        </w:numPr>
        <w:tabs>
          <w:tab w:val="left" w:pos="540"/>
        </w:tabs>
        <w:spacing w:line="240" w:lineRule="auto"/>
        <w:jc w:val="both"/>
        <w:rPr>
          <w:bCs/>
          <w:szCs w:val="22"/>
          <w:lang w:val="sr-Latn-ME"/>
        </w:rPr>
      </w:pPr>
      <w:proofErr w:type="spellStart"/>
      <w:r w:rsidRPr="003E0A1F">
        <w:rPr>
          <w:bCs/>
          <w:szCs w:val="22"/>
          <w:lang w:val="sr-Latn-ME"/>
        </w:rPr>
        <w:t>Refluksni</w:t>
      </w:r>
      <w:proofErr w:type="spellEnd"/>
      <w:r w:rsidRPr="003E0A1F">
        <w:rPr>
          <w:bCs/>
          <w:szCs w:val="22"/>
          <w:lang w:val="sr-Latn-ME"/>
        </w:rPr>
        <w:t xml:space="preserve"> </w:t>
      </w:r>
      <w:proofErr w:type="spellStart"/>
      <w:r w:rsidRPr="003E0A1F">
        <w:rPr>
          <w:bCs/>
          <w:szCs w:val="22"/>
          <w:lang w:val="sr-Latn-ME"/>
        </w:rPr>
        <w:t>ezofagitis</w:t>
      </w:r>
      <w:proofErr w:type="spellEnd"/>
      <w:r w:rsidRPr="003E0A1F">
        <w:rPr>
          <w:bCs/>
          <w:szCs w:val="22"/>
          <w:lang w:val="sr-Latn-ME"/>
        </w:rPr>
        <w:t>.</w:t>
      </w:r>
    </w:p>
    <w:p w14:paraId="486070E2" w14:textId="77777777" w:rsidR="0040341B" w:rsidRPr="003E0A1F" w:rsidRDefault="0040341B" w:rsidP="00054FCE">
      <w:pPr>
        <w:tabs>
          <w:tab w:val="clear" w:pos="567"/>
          <w:tab w:val="left" w:pos="540"/>
          <w:tab w:val="left" w:pos="569"/>
        </w:tabs>
        <w:spacing w:line="240" w:lineRule="auto"/>
        <w:ind w:firstLine="426"/>
        <w:jc w:val="both"/>
        <w:rPr>
          <w:bCs/>
          <w:szCs w:val="22"/>
          <w:lang w:val="sr-Latn-ME"/>
        </w:rPr>
      </w:pPr>
    </w:p>
    <w:p w14:paraId="36D75B94" w14:textId="77777777" w:rsidR="0040341B" w:rsidRPr="003E0A1F" w:rsidRDefault="00B87F20" w:rsidP="00054FCE">
      <w:pPr>
        <w:tabs>
          <w:tab w:val="clear" w:pos="567"/>
          <w:tab w:val="left" w:pos="540"/>
          <w:tab w:val="left" w:pos="569"/>
        </w:tabs>
        <w:spacing w:line="240" w:lineRule="auto"/>
        <w:jc w:val="both"/>
        <w:rPr>
          <w:bCs/>
          <w:szCs w:val="22"/>
          <w:lang w:val="sr-Latn-ME"/>
        </w:rPr>
      </w:pPr>
      <w:r w:rsidRPr="003E0A1F">
        <w:rPr>
          <w:bCs/>
          <w:i/>
          <w:szCs w:val="22"/>
          <w:lang w:val="sr-Latn-ME"/>
        </w:rPr>
        <w:t>Odrasli</w:t>
      </w:r>
    </w:p>
    <w:p w14:paraId="7EE10F8F" w14:textId="77777777" w:rsidR="0040341B" w:rsidRPr="003E0A1F" w:rsidRDefault="00B87F20" w:rsidP="00054FCE">
      <w:pPr>
        <w:pStyle w:val="ListParagraph"/>
        <w:numPr>
          <w:ilvl w:val="0"/>
          <w:numId w:val="36"/>
        </w:numPr>
        <w:spacing w:line="240" w:lineRule="auto"/>
        <w:rPr>
          <w:szCs w:val="22"/>
          <w:lang w:val="sr-Latn-ME"/>
        </w:rPr>
      </w:pPr>
      <w:proofErr w:type="spellStart"/>
      <w:r w:rsidRPr="003E0A1F">
        <w:rPr>
          <w:bCs/>
          <w:szCs w:val="22"/>
          <w:lang w:val="sr-Latn-ME"/>
        </w:rPr>
        <w:t>Eradikacija</w:t>
      </w:r>
      <w:proofErr w:type="spellEnd"/>
      <w:r w:rsidRPr="003E0A1F">
        <w:rPr>
          <w:bCs/>
          <w:szCs w:val="22"/>
          <w:lang w:val="sr-Latn-ME"/>
        </w:rPr>
        <w:t xml:space="preserve"> </w:t>
      </w:r>
      <w:proofErr w:type="spellStart"/>
      <w:r w:rsidRPr="003E0A1F">
        <w:rPr>
          <w:bCs/>
          <w:i/>
          <w:iCs/>
          <w:szCs w:val="22"/>
          <w:lang w:val="sr-Latn-ME"/>
        </w:rPr>
        <w:t>Helicobacter</w:t>
      </w:r>
      <w:proofErr w:type="spellEnd"/>
      <w:r w:rsidRPr="003E0A1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3E0A1F">
        <w:rPr>
          <w:bCs/>
          <w:i/>
          <w:iCs/>
          <w:szCs w:val="22"/>
          <w:lang w:val="sr-Latn-ME"/>
        </w:rPr>
        <w:t>pylori</w:t>
      </w:r>
      <w:proofErr w:type="spellEnd"/>
      <w:r w:rsidRPr="003E0A1F">
        <w:rPr>
          <w:bCs/>
          <w:i/>
          <w:iCs/>
          <w:szCs w:val="22"/>
          <w:lang w:val="sr-Latn-ME"/>
        </w:rPr>
        <w:t xml:space="preserve"> </w:t>
      </w:r>
      <w:r w:rsidRPr="003E0A1F">
        <w:rPr>
          <w:bCs/>
          <w:iCs/>
          <w:szCs w:val="22"/>
          <w:lang w:val="sr-Latn-ME"/>
        </w:rPr>
        <w:t xml:space="preserve">u kombinaciji sa adekvatnom </w:t>
      </w:r>
      <w:proofErr w:type="spellStart"/>
      <w:r w:rsidRPr="003E0A1F">
        <w:rPr>
          <w:bCs/>
          <w:iCs/>
          <w:szCs w:val="22"/>
          <w:lang w:val="sr-Latn-ME"/>
        </w:rPr>
        <w:t>antibiotskom</w:t>
      </w:r>
      <w:proofErr w:type="spellEnd"/>
      <w:r w:rsidRPr="003E0A1F">
        <w:rPr>
          <w:bCs/>
          <w:iCs/>
          <w:szCs w:val="22"/>
          <w:lang w:val="sr-Latn-ME"/>
        </w:rPr>
        <w:t xml:space="preserve"> terapijom </w:t>
      </w:r>
      <w:r w:rsidRPr="003E0A1F">
        <w:rPr>
          <w:bCs/>
          <w:szCs w:val="22"/>
          <w:lang w:val="sr-Latn-ME"/>
        </w:rPr>
        <w:t xml:space="preserve">kod pacijenata </w:t>
      </w:r>
      <w:r w:rsidRPr="003E0A1F">
        <w:rPr>
          <w:szCs w:val="22"/>
          <w:lang w:val="sr-Latn-ME"/>
        </w:rPr>
        <w:t xml:space="preserve">sa </w:t>
      </w:r>
      <w:proofErr w:type="spellStart"/>
      <w:r w:rsidRPr="003E0A1F">
        <w:rPr>
          <w:szCs w:val="22"/>
          <w:lang w:val="sr-Latn-ME"/>
        </w:rPr>
        <w:t>ulkusima</w:t>
      </w:r>
      <w:proofErr w:type="spellEnd"/>
      <w:r w:rsidRPr="003E0A1F">
        <w:rPr>
          <w:szCs w:val="22"/>
          <w:lang w:val="sr-Latn-ME"/>
        </w:rPr>
        <w:t xml:space="preserve"> koji su u vezi sa </w:t>
      </w:r>
      <w:r w:rsidRPr="003E0A1F">
        <w:rPr>
          <w:i/>
          <w:szCs w:val="22"/>
          <w:lang w:val="sr-Latn-ME"/>
        </w:rPr>
        <w:t xml:space="preserve">H. </w:t>
      </w:r>
      <w:proofErr w:type="spellStart"/>
      <w:r w:rsidRPr="003E0A1F">
        <w:rPr>
          <w:i/>
          <w:szCs w:val="22"/>
          <w:lang w:val="sr-Latn-ME"/>
        </w:rPr>
        <w:t>Pylori</w:t>
      </w:r>
      <w:proofErr w:type="spellEnd"/>
      <w:r w:rsidRPr="003E0A1F">
        <w:rPr>
          <w:i/>
          <w:szCs w:val="22"/>
          <w:lang w:val="sr-Latn-ME"/>
        </w:rPr>
        <w:t>,</w:t>
      </w:r>
    </w:p>
    <w:p w14:paraId="1B1ED624" w14:textId="77777777" w:rsidR="0040341B" w:rsidRPr="003E0A1F" w:rsidRDefault="00B87F20" w:rsidP="00054FCE">
      <w:pPr>
        <w:pStyle w:val="ListParagraph"/>
        <w:numPr>
          <w:ilvl w:val="0"/>
          <w:numId w:val="34"/>
        </w:numPr>
        <w:tabs>
          <w:tab w:val="left" w:pos="426"/>
        </w:tabs>
        <w:spacing w:line="240" w:lineRule="auto"/>
        <w:jc w:val="both"/>
        <w:rPr>
          <w:bCs/>
          <w:szCs w:val="22"/>
          <w:lang w:val="sr-Latn-ME"/>
        </w:rPr>
      </w:pPr>
      <w:proofErr w:type="spellStart"/>
      <w:r w:rsidRPr="003E0A1F">
        <w:rPr>
          <w:bCs/>
          <w:szCs w:val="22"/>
          <w:lang w:val="sr-Latn-ME"/>
        </w:rPr>
        <w:t>Ulkus</w:t>
      </w:r>
      <w:proofErr w:type="spellEnd"/>
      <w:r w:rsidRPr="003E0A1F">
        <w:rPr>
          <w:bCs/>
          <w:szCs w:val="22"/>
          <w:lang w:val="sr-Latn-ME"/>
        </w:rPr>
        <w:t xml:space="preserve"> želuca i </w:t>
      </w:r>
      <w:proofErr w:type="spellStart"/>
      <w:r w:rsidRPr="003E0A1F">
        <w:rPr>
          <w:bCs/>
          <w:szCs w:val="22"/>
          <w:lang w:val="sr-Latn-ME"/>
        </w:rPr>
        <w:t>duodenuma</w:t>
      </w:r>
      <w:proofErr w:type="spellEnd"/>
      <w:r w:rsidRPr="003E0A1F">
        <w:rPr>
          <w:bCs/>
          <w:szCs w:val="22"/>
          <w:lang w:val="sr-Latn-ME"/>
        </w:rPr>
        <w:t>,</w:t>
      </w:r>
    </w:p>
    <w:p w14:paraId="0909D9DB" w14:textId="77777777" w:rsidR="0040341B" w:rsidRPr="003E0A1F" w:rsidRDefault="00B87F20" w:rsidP="00054FCE">
      <w:pPr>
        <w:pStyle w:val="ListParagraph"/>
        <w:numPr>
          <w:ilvl w:val="0"/>
          <w:numId w:val="34"/>
        </w:numPr>
        <w:tabs>
          <w:tab w:val="left" w:pos="426"/>
        </w:tabs>
        <w:spacing w:line="240" w:lineRule="auto"/>
        <w:jc w:val="both"/>
        <w:rPr>
          <w:bCs/>
          <w:szCs w:val="22"/>
          <w:lang w:val="sr-Latn-ME"/>
        </w:rPr>
      </w:pPr>
      <w:proofErr w:type="spellStart"/>
      <w:r w:rsidRPr="003E0A1F">
        <w:rPr>
          <w:bCs/>
          <w:i/>
          <w:iCs/>
          <w:szCs w:val="22"/>
          <w:lang w:val="sr-Latn-ME"/>
        </w:rPr>
        <w:t>Zollinger-Ellison</w:t>
      </w:r>
      <w:proofErr w:type="spellEnd"/>
      <w:r w:rsidRPr="003E0A1F">
        <w:rPr>
          <w:bCs/>
          <w:szCs w:val="22"/>
          <w:lang w:val="sr-Latn-ME"/>
        </w:rPr>
        <w:t xml:space="preserve"> sindrom i druga stanja praćena </w:t>
      </w:r>
      <w:proofErr w:type="spellStart"/>
      <w:r w:rsidRPr="003E0A1F">
        <w:rPr>
          <w:bCs/>
          <w:szCs w:val="22"/>
          <w:lang w:val="sr-Latn-ME"/>
        </w:rPr>
        <w:t>hipersekrecijom</w:t>
      </w:r>
      <w:proofErr w:type="spellEnd"/>
      <w:r w:rsidRPr="003E0A1F">
        <w:rPr>
          <w:bCs/>
          <w:szCs w:val="22"/>
          <w:lang w:val="sr-Latn-ME"/>
        </w:rPr>
        <w:t>.</w:t>
      </w:r>
    </w:p>
    <w:p w14:paraId="00010B8F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4325254C" w14:textId="77777777" w:rsidR="0040341B" w:rsidRPr="003E0A1F" w:rsidRDefault="00B87F20" w:rsidP="00054FCE">
      <w:pPr>
        <w:widowControl w:val="0"/>
        <w:numPr>
          <w:ilvl w:val="1"/>
          <w:numId w:val="13"/>
        </w:numPr>
        <w:tabs>
          <w:tab w:val="clear" w:pos="570"/>
          <w:tab w:val="left" w:pos="567"/>
          <w:tab w:val="num" w:pos="712"/>
        </w:tabs>
        <w:spacing w:line="240" w:lineRule="auto"/>
        <w:ind w:left="712" w:hanging="712"/>
        <w:jc w:val="both"/>
        <w:outlineLvl w:val="0"/>
        <w:rPr>
          <w:b/>
          <w:szCs w:val="22"/>
          <w:lang w:val="sr-Latn-ME"/>
        </w:rPr>
      </w:pPr>
      <w:r w:rsidRPr="003E0A1F">
        <w:rPr>
          <w:b/>
          <w:szCs w:val="22"/>
          <w:lang w:val="sr-Latn-ME"/>
        </w:rPr>
        <w:t>Doziranje i način primjene</w:t>
      </w:r>
    </w:p>
    <w:p w14:paraId="03149EDE" w14:textId="77777777" w:rsidR="0040341B" w:rsidRPr="003E0A1F" w:rsidRDefault="0040341B" w:rsidP="00054FCE">
      <w:pPr>
        <w:spacing w:line="240" w:lineRule="auto"/>
        <w:jc w:val="both"/>
        <w:rPr>
          <w:i/>
          <w:szCs w:val="22"/>
          <w:u w:val="single"/>
          <w:lang w:val="sr-Latn-ME"/>
        </w:rPr>
      </w:pPr>
    </w:p>
    <w:p w14:paraId="491F6C36" w14:textId="77777777" w:rsidR="0040341B" w:rsidRPr="003E0A1F" w:rsidRDefault="00B87F20" w:rsidP="00054FCE">
      <w:pPr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szCs w:val="22"/>
          <w:u w:val="single"/>
          <w:lang w:val="sr-Latn-ME"/>
        </w:rPr>
        <w:t>Doziranje</w:t>
      </w:r>
    </w:p>
    <w:p w14:paraId="55872AFC" w14:textId="77777777" w:rsidR="0040341B" w:rsidRPr="003E0A1F" w:rsidRDefault="0040341B" w:rsidP="00054FCE">
      <w:pPr>
        <w:spacing w:line="240" w:lineRule="auto"/>
        <w:jc w:val="both"/>
        <w:rPr>
          <w:i/>
          <w:szCs w:val="22"/>
          <w:u w:val="single"/>
          <w:lang w:val="sr-Latn-ME"/>
        </w:rPr>
      </w:pPr>
    </w:p>
    <w:p w14:paraId="3D88EE72" w14:textId="77777777" w:rsidR="0040341B" w:rsidRPr="003E0A1F" w:rsidRDefault="00B87F20" w:rsidP="00054FCE">
      <w:pPr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i/>
          <w:szCs w:val="22"/>
          <w:lang w:val="sr-Latn-ME"/>
        </w:rPr>
        <w:t>Odrasli i adolescenti uzrasta 12 i više godina:</w:t>
      </w:r>
    </w:p>
    <w:p w14:paraId="493070A4" w14:textId="77777777" w:rsidR="0040341B" w:rsidRPr="003E0A1F" w:rsidRDefault="0040341B" w:rsidP="00054FCE">
      <w:pPr>
        <w:spacing w:line="240" w:lineRule="auto"/>
        <w:jc w:val="both"/>
        <w:rPr>
          <w:i/>
          <w:szCs w:val="22"/>
          <w:lang w:val="sr-Latn-ME"/>
        </w:rPr>
      </w:pPr>
    </w:p>
    <w:p w14:paraId="625E2CA0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i/>
          <w:szCs w:val="22"/>
          <w:u w:val="single"/>
          <w:lang w:val="sr-Latn-ME"/>
        </w:rPr>
      </w:pPr>
      <w:proofErr w:type="spellStart"/>
      <w:r w:rsidRPr="003E0A1F">
        <w:rPr>
          <w:i/>
          <w:szCs w:val="22"/>
          <w:u w:val="single"/>
          <w:lang w:val="sr-Latn-ME"/>
        </w:rPr>
        <w:t>Refluksni</w:t>
      </w:r>
      <w:proofErr w:type="spellEnd"/>
      <w:r w:rsidRPr="003E0A1F">
        <w:rPr>
          <w:i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szCs w:val="22"/>
          <w:u w:val="single"/>
          <w:lang w:val="sr-Latn-ME"/>
        </w:rPr>
        <w:t>ezofagitis</w:t>
      </w:r>
      <w:proofErr w:type="spellEnd"/>
    </w:p>
    <w:p w14:paraId="51E2E94A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Preporučena doza je jedna </w:t>
      </w:r>
      <w:proofErr w:type="spellStart"/>
      <w:r w:rsidRPr="003E0A1F">
        <w:rPr>
          <w:szCs w:val="22"/>
          <w:lang w:val="sr-Latn-ME" w:eastAsia="hr-HR"/>
        </w:rPr>
        <w:t>Nolpaza</w:t>
      </w:r>
      <w:proofErr w:type="spellEnd"/>
      <w:r w:rsidRPr="003E0A1F">
        <w:rPr>
          <w:szCs w:val="22"/>
          <w:lang w:val="sr-Latn-ME" w:eastAsia="hr-HR"/>
        </w:rPr>
        <w:t xml:space="preserve"> 40 mg </w:t>
      </w:r>
      <w:proofErr w:type="spellStart"/>
      <w:r w:rsidRPr="003E0A1F">
        <w:rPr>
          <w:szCs w:val="22"/>
          <w:lang w:val="sr-Latn-ME" w:eastAsia="hr-HR"/>
        </w:rPr>
        <w:t>gastrorezistentna</w:t>
      </w:r>
      <w:proofErr w:type="spellEnd"/>
      <w:r w:rsidRPr="003E0A1F">
        <w:rPr>
          <w:szCs w:val="22"/>
          <w:lang w:val="sr-Latn-ME" w:eastAsia="hr-HR"/>
        </w:rPr>
        <w:t xml:space="preserve"> </w:t>
      </w:r>
      <w:r w:rsidRPr="003E0A1F">
        <w:rPr>
          <w:szCs w:val="22"/>
          <w:lang w:val="sr-Latn-ME"/>
        </w:rPr>
        <w:t xml:space="preserve">tableta na dan. </w:t>
      </w:r>
    </w:p>
    <w:p w14:paraId="091C9CB2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sr-Latn-ME"/>
        </w:rPr>
      </w:pPr>
      <w:r w:rsidRPr="003E0A1F">
        <w:rPr>
          <w:szCs w:val="22"/>
          <w:lang w:val="sr-Latn-ME"/>
        </w:rPr>
        <w:t xml:space="preserve">U pojedinačnim slučajevima doza može biti udvostručena (do 2 tablete na dan), posebno kada izostane odgovor na ostalu terapiju. Period od 4 nedjelje je najčešće potreban za liječenje </w:t>
      </w:r>
      <w:proofErr w:type="spellStart"/>
      <w:r w:rsidRPr="003E0A1F">
        <w:rPr>
          <w:szCs w:val="22"/>
          <w:lang w:val="sr-Latn-ME"/>
        </w:rPr>
        <w:t>refluksnog</w:t>
      </w:r>
      <w:proofErr w:type="spellEnd"/>
      <w:r w:rsidRPr="003E0A1F">
        <w:rPr>
          <w:szCs w:val="22"/>
          <w:lang w:val="sr-Latn-ME"/>
        </w:rPr>
        <w:t xml:space="preserve"> </w:t>
      </w:r>
      <w:proofErr w:type="spellStart"/>
      <w:r w:rsidRPr="003E0A1F">
        <w:rPr>
          <w:szCs w:val="22"/>
          <w:lang w:val="sr-Latn-ME"/>
        </w:rPr>
        <w:t>ezofagitisa</w:t>
      </w:r>
      <w:proofErr w:type="spellEnd"/>
      <w:r w:rsidRPr="003E0A1F">
        <w:rPr>
          <w:szCs w:val="22"/>
          <w:lang w:val="sr-Latn-ME"/>
        </w:rPr>
        <w:t>. Ako ovo nije dovoljno, izl</w:t>
      </w:r>
      <w:r w:rsidR="003D0663" w:rsidRPr="003E0A1F">
        <w:rPr>
          <w:szCs w:val="22"/>
          <w:lang w:val="sr-Latn-ME"/>
        </w:rPr>
        <w:t>i</w:t>
      </w:r>
      <w:r w:rsidRPr="003E0A1F">
        <w:rPr>
          <w:szCs w:val="22"/>
          <w:lang w:val="sr-Latn-ME"/>
        </w:rPr>
        <w:t>ječenje se obično postiže u toku naredne 4 nedjelje.</w:t>
      </w:r>
    </w:p>
    <w:p w14:paraId="29B3FFDA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796B27F5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i/>
          <w:szCs w:val="22"/>
          <w:lang w:val="sr-Latn-ME"/>
        </w:rPr>
        <w:t>Odrasli</w:t>
      </w:r>
    </w:p>
    <w:p w14:paraId="1EE8D313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</w:p>
    <w:p w14:paraId="64F6371F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Eradikacija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Helicobacter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pylori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 xml:space="preserve"> u kombinaciji sa dva odgovarajuća antibiotika</w:t>
      </w:r>
    </w:p>
    <w:p w14:paraId="54AD9B71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Kod pacijenata sa </w:t>
      </w:r>
      <w:proofErr w:type="spellStart"/>
      <w:r w:rsidRPr="003E0A1F">
        <w:rPr>
          <w:color w:val="000000"/>
          <w:szCs w:val="22"/>
          <w:lang w:val="sr-Latn-ME"/>
        </w:rPr>
        <w:t>gastričnim</w:t>
      </w:r>
      <w:proofErr w:type="spellEnd"/>
      <w:r w:rsidRPr="003E0A1F">
        <w:rPr>
          <w:color w:val="000000"/>
          <w:szCs w:val="22"/>
          <w:lang w:val="sr-Latn-ME"/>
        </w:rPr>
        <w:t xml:space="preserve"> i </w:t>
      </w:r>
      <w:proofErr w:type="spellStart"/>
      <w:r w:rsidRPr="003E0A1F">
        <w:rPr>
          <w:color w:val="000000"/>
          <w:szCs w:val="22"/>
          <w:lang w:val="sr-Latn-ME"/>
        </w:rPr>
        <w:t>duodenalnim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ulkusom</w:t>
      </w:r>
      <w:proofErr w:type="spellEnd"/>
      <w:r w:rsidRPr="003E0A1F">
        <w:rPr>
          <w:color w:val="000000"/>
          <w:szCs w:val="22"/>
          <w:lang w:val="sr-Latn-ME"/>
        </w:rPr>
        <w:t xml:space="preserve"> sa potvrđenom infekcijom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Helicobacter</w:t>
      </w:r>
      <w:proofErr w:type="spellEnd"/>
      <w:r w:rsidRPr="003E0A1F">
        <w:rPr>
          <w:i/>
          <w:iCs/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pylori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eradikaciju</w:t>
      </w:r>
      <w:proofErr w:type="spellEnd"/>
      <w:r w:rsidRPr="003E0A1F">
        <w:rPr>
          <w:color w:val="000000"/>
          <w:szCs w:val="22"/>
          <w:lang w:val="sr-Latn-ME"/>
        </w:rPr>
        <w:t xml:space="preserve"> treba postići kombinovanom terapijom. Treba uzeti u obzir lokalni vodič (npr. nacionalne preporuke) o rezistenciji bakterija i odgovarajućoj primjeni i propisivanju antibiotika. U zavisnosti od </w:t>
      </w:r>
      <w:r w:rsidRPr="003E0A1F">
        <w:rPr>
          <w:color w:val="000000"/>
          <w:szCs w:val="22"/>
          <w:lang w:val="sr-Latn-ME"/>
        </w:rPr>
        <w:lastRenderedPageBreak/>
        <w:t xml:space="preserve">rezistencije, preporučuju se sljedeće kombinacije u cilju </w:t>
      </w:r>
      <w:proofErr w:type="spellStart"/>
      <w:r w:rsidRPr="003E0A1F">
        <w:rPr>
          <w:color w:val="000000"/>
          <w:szCs w:val="22"/>
          <w:lang w:val="sr-Latn-ME"/>
        </w:rPr>
        <w:t>eradikacije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Helicobacter</w:t>
      </w:r>
      <w:proofErr w:type="spellEnd"/>
      <w:r w:rsidRPr="003E0A1F">
        <w:rPr>
          <w:i/>
          <w:iCs/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pylori</w:t>
      </w:r>
      <w:proofErr w:type="spellEnd"/>
      <w:r w:rsidRPr="003E0A1F">
        <w:rPr>
          <w:i/>
          <w:iCs/>
          <w:color w:val="000000"/>
          <w:szCs w:val="22"/>
          <w:lang w:val="sr-Latn-ME"/>
        </w:rPr>
        <w:t>:</w:t>
      </w:r>
    </w:p>
    <w:p w14:paraId="23312F92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0FAAEA2" w14:textId="77777777" w:rsidR="0040341B" w:rsidRPr="003E0A1F" w:rsidRDefault="00B87F20" w:rsidP="00054FCE">
      <w:pPr>
        <w:widowControl w:val="0"/>
        <w:numPr>
          <w:ilvl w:val="0"/>
          <w:numId w:val="29"/>
        </w:numPr>
        <w:tabs>
          <w:tab w:val="clear" w:pos="567"/>
          <w:tab w:val="num" w:pos="212"/>
        </w:tabs>
        <w:overflowPunct w:val="0"/>
        <w:autoSpaceDE w:val="0"/>
        <w:autoSpaceDN w:val="0"/>
        <w:adjustRightInd w:val="0"/>
        <w:spacing w:line="240" w:lineRule="auto"/>
        <w:ind w:left="0" w:firstLine="4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Jedna </w:t>
      </w:r>
      <w:proofErr w:type="spellStart"/>
      <w:r w:rsidRPr="003E0A1F">
        <w:rPr>
          <w:szCs w:val="22"/>
          <w:lang w:val="sr-Latn-ME" w:eastAsia="hr-HR"/>
        </w:rPr>
        <w:t>Nolpaza</w:t>
      </w:r>
      <w:proofErr w:type="spellEnd"/>
      <w:r w:rsidRPr="003E0A1F">
        <w:rPr>
          <w:color w:val="000000"/>
          <w:szCs w:val="22"/>
          <w:lang w:val="sr-Latn-ME"/>
        </w:rPr>
        <w:t xml:space="preserve"> 40 mg </w:t>
      </w:r>
      <w:proofErr w:type="spellStart"/>
      <w:r w:rsidRPr="003E0A1F">
        <w:rPr>
          <w:color w:val="000000"/>
          <w:szCs w:val="22"/>
          <w:lang w:val="sr-Latn-ME"/>
        </w:rPr>
        <w:t>gastrorezistentna</w:t>
      </w:r>
      <w:proofErr w:type="spellEnd"/>
      <w:r w:rsidRPr="003E0A1F">
        <w:rPr>
          <w:color w:val="000000"/>
          <w:szCs w:val="22"/>
          <w:lang w:val="sr-Latn-ME"/>
        </w:rPr>
        <w:t xml:space="preserve"> tableta dva puta dnevno </w:t>
      </w:r>
    </w:p>
    <w:p w14:paraId="1C0A5857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ind w:left="4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+ 1000 mg </w:t>
      </w:r>
      <w:proofErr w:type="spellStart"/>
      <w:r w:rsidRPr="003E0A1F">
        <w:rPr>
          <w:color w:val="000000"/>
          <w:szCs w:val="22"/>
          <w:lang w:val="sr-Latn-ME"/>
        </w:rPr>
        <w:t>amoksicilina</w:t>
      </w:r>
      <w:proofErr w:type="spellEnd"/>
      <w:r w:rsidRPr="003E0A1F">
        <w:rPr>
          <w:color w:val="000000"/>
          <w:szCs w:val="22"/>
          <w:lang w:val="sr-Latn-ME"/>
        </w:rPr>
        <w:t xml:space="preserve"> dva puta dnevno </w:t>
      </w:r>
    </w:p>
    <w:p w14:paraId="53EBD320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+ 500 mg </w:t>
      </w:r>
      <w:proofErr w:type="spellStart"/>
      <w:r w:rsidRPr="003E0A1F">
        <w:rPr>
          <w:color w:val="000000"/>
          <w:szCs w:val="22"/>
          <w:lang w:val="sr-Latn-ME"/>
        </w:rPr>
        <w:t>klaritromicina</w:t>
      </w:r>
      <w:proofErr w:type="spellEnd"/>
      <w:r w:rsidRPr="003E0A1F">
        <w:rPr>
          <w:color w:val="000000"/>
          <w:szCs w:val="22"/>
          <w:lang w:val="sr-Latn-ME"/>
        </w:rPr>
        <w:t xml:space="preserve"> dva puta dnevno </w:t>
      </w:r>
    </w:p>
    <w:p w14:paraId="190F6472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</w:p>
    <w:p w14:paraId="7E8D1984" w14:textId="77777777" w:rsidR="0040341B" w:rsidRPr="003E0A1F" w:rsidRDefault="00B87F20" w:rsidP="00054FCE">
      <w:pPr>
        <w:widowControl w:val="0"/>
        <w:numPr>
          <w:ilvl w:val="0"/>
          <w:numId w:val="29"/>
        </w:numPr>
        <w:tabs>
          <w:tab w:val="clear" w:pos="567"/>
          <w:tab w:val="num" w:pos="220"/>
        </w:tabs>
        <w:overflowPunct w:val="0"/>
        <w:autoSpaceDE w:val="0"/>
        <w:autoSpaceDN w:val="0"/>
        <w:adjustRightInd w:val="0"/>
        <w:spacing w:line="240" w:lineRule="auto"/>
        <w:ind w:left="220" w:hanging="216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Jedna </w:t>
      </w:r>
      <w:proofErr w:type="spellStart"/>
      <w:r w:rsidRPr="003E0A1F">
        <w:rPr>
          <w:szCs w:val="22"/>
          <w:lang w:val="sr-Latn-ME" w:eastAsia="hr-HR"/>
        </w:rPr>
        <w:t>Nolpaza</w:t>
      </w:r>
      <w:proofErr w:type="spellEnd"/>
      <w:r w:rsidRPr="003E0A1F">
        <w:rPr>
          <w:color w:val="000000"/>
          <w:szCs w:val="22"/>
          <w:lang w:val="sr-Latn-ME"/>
        </w:rPr>
        <w:t xml:space="preserve"> 40 mg </w:t>
      </w:r>
      <w:proofErr w:type="spellStart"/>
      <w:r w:rsidRPr="003E0A1F">
        <w:rPr>
          <w:color w:val="000000"/>
          <w:szCs w:val="22"/>
          <w:lang w:val="sr-Latn-ME"/>
        </w:rPr>
        <w:t>gastrorezistentna</w:t>
      </w:r>
      <w:proofErr w:type="spellEnd"/>
      <w:r w:rsidRPr="003E0A1F">
        <w:rPr>
          <w:color w:val="000000"/>
          <w:szCs w:val="22"/>
          <w:lang w:val="sr-Latn-ME"/>
        </w:rPr>
        <w:t xml:space="preserve"> tableta dva puta dnevno </w:t>
      </w:r>
    </w:p>
    <w:p w14:paraId="0618CE53" w14:textId="77777777" w:rsidR="0040341B" w:rsidRPr="003E0A1F" w:rsidRDefault="00B87F20" w:rsidP="00054FCE">
      <w:pPr>
        <w:widowControl w:val="0"/>
        <w:numPr>
          <w:ilvl w:val="0"/>
          <w:numId w:val="30"/>
        </w:numPr>
        <w:tabs>
          <w:tab w:val="clear" w:pos="567"/>
          <w:tab w:val="num" w:pos="180"/>
        </w:tabs>
        <w:overflowPunct w:val="0"/>
        <w:autoSpaceDE w:val="0"/>
        <w:autoSpaceDN w:val="0"/>
        <w:adjustRightInd w:val="0"/>
        <w:spacing w:line="240" w:lineRule="auto"/>
        <w:ind w:left="180" w:hanging="176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400 do 500 mg </w:t>
      </w:r>
      <w:proofErr w:type="spellStart"/>
      <w:r w:rsidRPr="003E0A1F">
        <w:rPr>
          <w:color w:val="000000"/>
          <w:szCs w:val="22"/>
          <w:lang w:val="sr-Latn-ME"/>
        </w:rPr>
        <w:t>metronidazola</w:t>
      </w:r>
      <w:proofErr w:type="spellEnd"/>
      <w:r w:rsidRPr="003E0A1F">
        <w:rPr>
          <w:color w:val="000000"/>
          <w:szCs w:val="22"/>
          <w:lang w:val="sr-Latn-ME"/>
        </w:rPr>
        <w:t xml:space="preserve"> (ili 500 mg </w:t>
      </w:r>
      <w:proofErr w:type="spellStart"/>
      <w:r w:rsidRPr="003E0A1F">
        <w:rPr>
          <w:color w:val="000000"/>
          <w:szCs w:val="22"/>
          <w:lang w:val="sr-Latn-ME"/>
        </w:rPr>
        <w:t>tinidazola</w:t>
      </w:r>
      <w:proofErr w:type="spellEnd"/>
      <w:r w:rsidRPr="003E0A1F">
        <w:rPr>
          <w:color w:val="000000"/>
          <w:szCs w:val="22"/>
          <w:lang w:val="sr-Latn-ME"/>
        </w:rPr>
        <w:t xml:space="preserve">) dva puta dnevno </w:t>
      </w:r>
    </w:p>
    <w:p w14:paraId="00AFF2E4" w14:textId="77777777" w:rsidR="0040341B" w:rsidRPr="003E0A1F" w:rsidRDefault="00B87F20" w:rsidP="00054FCE">
      <w:pPr>
        <w:widowControl w:val="0"/>
        <w:numPr>
          <w:ilvl w:val="0"/>
          <w:numId w:val="30"/>
        </w:numPr>
        <w:tabs>
          <w:tab w:val="clear" w:pos="567"/>
          <w:tab w:val="num" w:pos="180"/>
        </w:tabs>
        <w:overflowPunct w:val="0"/>
        <w:autoSpaceDE w:val="0"/>
        <w:autoSpaceDN w:val="0"/>
        <w:adjustRightInd w:val="0"/>
        <w:spacing w:line="240" w:lineRule="auto"/>
        <w:ind w:left="180" w:hanging="176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250 do 500 mg </w:t>
      </w:r>
      <w:proofErr w:type="spellStart"/>
      <w:r w:rsidRPr="003E0A1F">
        <w:rPr>
          <w:color w:val="000000"/>
          <w:szCs w:val="22"/>
          <w:lang w:val="sr-Latn-ME"/>
        </w:rPr>
        <w:t>klaritromicina</w:t>
      </w:r>
      <w:proofErr w:type="spellEnd"/>
      <w:r w:rsidRPr="003E0A1F">
        <w:rPr>
          <w:color w:val="000000"/>
          <w:szCs w:val="22"/>
          <w:lang w:val="sr-Latn-ME"/>
        </w:rPr>
        <w:t xml:space="preserve"> dva puta dnevno </w:t>
      </w:r>
    </w:p>
    <w:p w14:paraId="7905B2CC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6AA92F20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c) Jedna </w:t>
      </w:r>
      <w:proofErr w:type="spellStart"/>
      <w:r w:rsidRPr="003E0A1F">
        <w:rPr>
          <w:szCs w:val="22"/>
          <w:lang w:val="sr-Latn-ME" w:eastAsia="hr-HR"/>
        </w:rPr>
        <w:t>Nolpaza</w:t>
      </w:r>
      <w:proofErr w:type="spellEnd"/>
      <w:r w:rsidRPr="003E0A1F">
        <w:rPr>
          <w:color w:val="000000"/>
          <w:szCs w:val="22"/>
          <w:lang w:val="sr-Latn-ME"/>
        </w:rPr>
        <w:t xml:space="preserve"> 40 mg </w:t>
      </w:r>
      <w:proofErr w:type="spellStart"/>
      <w:r w:rsidRPr="003E0A1F">
        <w:rPr>
          <w:color w:val="000000"/>
          <w:szCs w:val="22"/>
          <w:lang w:val="sr-Latn-ME"/>
        </w:rPr>
        <w:t>gastrorezistentna</w:t>
      </w:r>
      <w:proofErr w:type="spellEnd"/>
      <w:r w:rsidRPr="003E0A1F">
        <w:rPr>
          <w:color w:val="000000"/>
          <w:szCs w:val="22"/>
          <w:lang w:val="sr-Latn-ME"/>
        </w:rPr>
        <w:t xml:space="preserve"> tableta dva puta dnevno</w:t>
      </w:r>
    </w:p>
    <w:p w14:paraId="7781BD1B" w14:textId="77777777" w:rsidR="0040341B" w:rsidRPr="003E0A1F" w:rsidRDefault="00B87F20" w:rsidP="00054FCE">
      <w:pPr>
        <w:widowControl w:val="0"/>
        <w:numPr>
          <w:ilvl w:val="0"/>
          <w:numId w:val="31"/>
        </w:numPr>
        <w:tabs>
          <w:tab w:val="clear" w:pos="567"/>
          <w:tab w:val="num" w:pos="180"/>
        </w:tabs>
        <w:overflowPunct w:val="0"/>
        <w:autoSpaceDE w:val="0"/>
        <w:autoSpaceDN w:val="0"/>
        <w:adjustRightInd w:val="0"/>
        <w:spacing w:line="240" w:lineRule="auto"/>
        <w:ind w:left="180" w:hanging="176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1000 mg </w:t>
      </w:r>
      <w:proofErr w:type="spellStart"/>
      <w:r w:rsidRPr="003E0A1F">
        <w:rPr>
          <w:color w:val="000000"/>
          <w:szCs w:val="22"/>
          <w:lang w:val="sr-Latn-ME"/>
        </w:rPr>
        <w:t>amoksicilina</w:t>
      </w:r>
      <w:proofErr w:type="spellEnd"/>
      <w:r w:rsidRPr="003E0A1F">
        <w:rPr>
          <w:color w:val="000000"/>
          <w:szCs w:val="22"/>
          <w:lang w:val="sr-Latn-ME"/>
        </w:rPr>
        <w:t xml:space="preserve"> dva puta dnevno </w:t>
      </w:r>
    </w:p>
    <w:p w14:paraId="4740B6E2" w14:textId="77777777" w:rsidR="0040341B" w:rsidRPr="003E0A1F" w:rsidRDefault="00B87F20" w:rsidP="00054FCE">
      <w:pPr>
        <w:widowControl w:val="0"/>
        <w:numPr>
          <w:ilvl w:val="0"/>
          <w:numId w:val="31"/>
        </w:numPr>
        <w:tabs>
          <w:tab w:val="clear" w:pos="567"/>
          <w:tab w:val="num" w:pos="180"/>
        </w:tabs>
        <w:overflowPunct w:val="0"/>
        <w:autoSpaceDE w:val="0"/>
        <w:autoSpaceDN w:val="0"/>
        <w:adjustRightInd w:val="0"/>
        <w:spacing w:line="240" w:lineRule="auto"/>
        <w:ind w:left="180" w:hanging="176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400 do 500 mg </w:t>
      </w:r>
      <w:proofErr w:type="spellStart"/>
      <w:r w:rsidRPr="003E0A1F">
        <w:rPr>
          <w:color w:val="000000"/>
          <w:szCs w:val="22"/>
          <w:lang w:val="sr-Latn-ME"/>
        </w:rPr>
        <w:t>metronidazola</w:t>
      </w:r>
      <w:proofErr w:type="spellEnd"/>
      <w:r w:rsidRPr="003E0A1F">
        <w:rPr>
          <w:color w:val="000000"/>
          <w:szCs w:val="22"/>
          <w:lang w:val="sr-Latn-ME"/>
        </w:rPr>
        <w:t xml:space="preserve"> (ili 500 mg </w:t>
      </w:r>
      <w:proofErr w:type="spellStart"/>
      <w:r w:rsidRPr="003E0A1F">
        <w:rPr>
          <w:color w:val="000000"/>
          <w:szCs w:val="22"/>
          <w:lang w:val="sr-Latn-ME"/>
        </w:rPr>
        <w:t>tinidazola</w:t>
      </w:r>
      <w:proofErr w:type="spellEnd"/>
      <w:r w:rsidRPr="003E0A1F">
        <w:rPr>
          <w:color w:val="000000"/>
          <w:szCs w:val="22"/>
          <w:lang w:val="sr-Latn-ME"/>
        </w:rPr>
        <w:t xml:space="preserve">) dva puta dnevno </w:t>
      </w:r>
    </w:p>
    <w:p w14:paraId="18B4E288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6E633A7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U kombinovanoj terapiji za </w:t>
      </w:r>
      <w:proofErr w:type="spellStart"/>
      <w:r w:rsidRPr="003E0A1F">
        <w:rPr>
          <w:color w:val="000000"/>
          <w:szCs w:val="22"/>
          <w:lang w:val="sr-Latn-ME"/>
        </w:rPr>
        <w:t>eradikaciju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Helicobacter</w:t>
      </w:r>
      <w:proofErr w:type="spellEnd"/>
      <w:r w:rsidRPr="003E0A1F">
        <w:rPr>
          <w:i/>
          <w:iCs/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pylori</w:t>
      </w:r>
      <w:proofErr w:type="spellEnd"/>
      <w:r w:rsidRPr="003E0A1F">
        <w:rPr>
          <w:color w:val="000000"/>
          <w:szCs w:val="22"/>
          <w:lang w:val="sr-Latn-ME"/>
        </w:rPr>
        <w:t xml:space="preserve">, drugu tabletu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treba uzeti 1 sat prije večere. Kombinovana terapija traje generalno 7 dana i može se produžiti i narednih 7 dana, do ukupnog trajanja terapije do 2 nedjelje. Ako je, da bi se postiglo izl</w:t>
      </w:r>
      <w:r w:rsidR="003D0663" w:rsidRPr="003E0A1F">
        <w:rPr>
          <w:color w:val="000000"/>
          <w:szCs w:val="22"/>
          <w:lang w:val="sr-Latn-ME"/>
        </w:rPr>
        <w:t>i</w:t>
      </w:r>
      <w:r w:rsidRPr="003E0A1F">
        <w:rPr>
          <w:color w:val="000000"/>
          <w:szCs w:val="22"/>
          <w:lang w:val="sr-Latn-ME"/>
        </w:rPr>
        <w:t xml:space="preserve">ječenje </w:t>
      </w:r>
      <w:proofErr w:type="spellStart"/>
      <w:r w:rsidRPr="003E0A1F">
        <w:rPr>
          <w:color w:val="000000"/>
          <w:szCs w:val="22"/>
          <w:lang w:val="sr-Latn-ME"/>
        </w:rPr>
        <w:t>ulkusa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indikovana</w:t>
      </w:r>
      <w:proofErr w:type="spellEnd"/>
      <w:r w:rsidRPr="003E0A1F">
        <w:rPr>
          <w:color w:val="000000"/>
          <w:szCs w:val="22"/>
          <w:lang w:val="sr-Latn-ME"/>
        </w:rPr>
        <w:t xml:space="preserve"> dalja terapija </w:t>
      </w:r>
      <w:proofErr w:type="spellStart"/>
      <w:r w:rsidRPr="003E0A1F">
        <w:rPr>
          <w:color w:val="000000"/>
          <w:szCs w:val="22"/>
          <w:lang w:val="sr-Latn-ME"/>
        </w:rPr>
        <w:t>pantoprazolom</w:t>
      </w:r>
      <w:proofErr w:type="spellEnd"/>
      <w:r w:rsidRPr="003E0A1F">
        <w:rPr>
          <w:color w:val="000000"/>
          <w:szCs w:val="22"/>
          <w:lang w:val="sr-Latn-ME"/>
        </w:rPr>
        <w:t xml:space="preserve">, treba pratiti preporuke koje se odnose na doziranje kod </w:t>
      </w:r>
      <w:proofErr w:type="spellStart"/>
      <w:r w:rsidRPr="003E0A1F">
        <w:rPr>
          <w:color w:val="000000"/>
          <w:szCs w:val="22"/>
          <w:lang w:val="sr-Latn-ME"/>
        </w:rPr>
        <w:t>duodenalnog</w:t>
      </w:r>
      <w:proofErr w:type="spellEnd"/>
      <w:r w:rsidRPr="003E0A1F">
        <w:rPr>
          <w:color w:val="000000"/>
          <w:szCs w:val="22"/>
          <w:lang w:val="sr-Latn-ME"/>
        </w:rPr>
        <w:t xml:space="preserve"> i </w:t>
      </w:r>
      <w:proofErr w:type="spellStart"/>
      <w:r w:rsidRPr="003E0A1F">
        <w:rPr>
          <w:color w:val="000000"/>
          <w:szCs w:val="22"/>
          <w:lang w:val="sr-Latn-ME"/>
        </w:rPr>
        <w:t>gastričnog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ulkusa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6FC7F1BA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64915372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Ako kombinovana terapija ne može da se primijeni, npr. ako je pacijent negativan na prisustvo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Helicobacter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pylori</w:t>
      </w:r>
      <w:proofErr w:type="spellEnd"/>
      <w:r w:rsidRPr="003E0A1F">
        <w:rPr>
          <w:color w:val="000000"/>
          <w:szCs w:val="22"/>
          <w:lang w:val="sr-Latn-ME"/>
        </w:rPr>
        <w:t xml:space="preserve">, potrebno je pratiti sljedeće preporuke za doziranje koje se odnose na </w:t>
      </w:r>
      <w:proofErr w:type="spellStart"/>
      <w:r w:rsidRPr="003E0A1F">
        <w:rPr>
          <w:color w:val="000000"/>
          <w:szCs w:val="22"/>
          <w:lang w:val="sr-Latn-ME"/>
        </w:rPr>
        <w:t>monoterapiju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pantoprazolom</w:t>
      </w:r>
      <w:proofErr w:type="spellEnd"/>
      <w:r w:rsidRPr="003E0A1F">
        <w:rPr>
          <w:color w:val="000000"/>
          <w:szCs w:val="22"/>
          <w:lang w:val="sr-Latn-ME"/>
        </w:rPr>
        <w:t xml:space="preserve"> 40 mg:</w:t>
      </w:r>
    </w:p>
    <w:p w14:paraId="363B2564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1616332A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i/>
          <w:iCs/>
          <w:color w:val="000000"/>
          <w:szCs w:val="22"/>
          <w:u w:val="single"/>
          <w:lang w:val="sr-Latn-ME"/>
        </w:rPr>
        <w:t xml:space="preserve">Terapija 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gastričnog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ulkusa</w:t>
      </w:r>
      <w:proofErr w:type="spellEnd"/>
    </w:p>
    <w:p w14:paraId="0C81BBD5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Jedna </w:t>
      </w:r>
      <w:proofErr w:type="spellStart"/>
      <w:r w:rsidRPr="003E0A1F">
        <w:rPr>
          <w:szCs w:val="22"/>
          <w:lang w:val="sr-Latn-ME" w:eastAsia="hr-HR"/>
        </w:rPr>
        <w:t>Nolpaza</w:t>
      </w:r>
      <w:proofErr w:type="spellEnd"/>
      <w:r w:rsidRPr="003E0A1F">
        <w:rPr>
          <w:color w:val="000000"/>
          <w:szCs w:val="22"/>
          <w:lang w:val="sr-Latn-ME"/>
        </w:rPr>
        <w:t xml:space="preserve"> 40 mg </w:t>
      </w:r>
      <w:proofErr w:type="spellStart"/>
      <w:r w:rsidRPr="003E0A1F">
        <w:rPr>
          <w:color w:val="000000"/>
          <w:szCs w:val="22"/>
          <w:lang w:val="sr-Latn-ME"/>
        </w:rPr>
        <w:t>gastrorezistentna</w:t>
      </w:r>
      <w:proofErr w:type="spellEnd"/>
      <w:r w:rsidRPr="003E0A1F">
        <w:rPr>
          <w:color w:val="000000"/>
          <w:szCs w:val="22"/>
          <w:lang w:val="sr-Latn-ME"/>
        </w:rPr>
        <w:t xml:space="preserve"> tableta dnevno. U pojedinim slučajevima, doza se može udvostručiti (povećati na dvije tablete dnevno), posebno ako nije bilo odgovora na drugu terapiju. U većini slučajeva, za terapiju </w:t>
      </w:r>
      <w:proofErr w:type="spellStart"/>
      <w:r w:rsidRPr="003E0A1F">
        <w:rPr>
          <w:color w:val="000000"/>
          <w:szCs w:val="22"/>
          <w:lang w:val="sr-Latn-ME"/>
        </w:rPr>
        <w:t>gastričnog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ulkusa</w:t>
      </w:r>
      <w:proofErr w:type="spellEnd"/>
      <w:r w:rsidRPr="003E0A1F">
        <w:rPr>
          <w:color w:val="000000"/>
          <w:szCs w:val="22"/>
          <w:lang w:val="sr-Latn-ME"/>
        </w:rPr>
        <w:t xml:space="preserve"> neophodne su četiri nedjelje terapije. Ako to nije dovoljno, izl</w:t>
      </w:r>
      <w:r w:rsidR="003D0663" w:rsidRPr="003E0A1F">
        <w:rPr>
          <w:color w:val="000000"/>
          <w:szCs w:val="22"/>
          <w:lang w:val="sr-Latn-ME"/>
        </w:rPr>
        <w:t>i</w:t>
      </w:r>
      <w:r w:rsidRPr="003E0A1F">
        <w:rPr>
          <w:color w:val="000000"/>
          <w:szCs w:val="22"/>
          <w:lang w:val="sr-Latn-ME"/>
        </w:rPr>
        <w:t>ječenje će se u većini slučajeva postići u toku naredne četiri nedjelje.</w:t>
      </w:r>
    </w:p>
    <w:p w14:paraId="680F9173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84BD606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i/>
          <w:iCs/>
          <w:color w:val="000000"/>
          <w:szCs w:val="22"/>
          <w:u w:val="single"/>
          <w:lang w:val="sr-Latn-ME"/>
        </w:rPr>
        <w:t xml:space="preserve">Terapija 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duodenalnog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ulkusa</w:t>
      </w:r>
      <w:proofErr w:type="spellEnd"/>
    </w:p>
    <w:p w14:paraId="531E229C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Jedna </w:t>
      </w:r>
      <w:proofErr w:type="spellStart"/>
      <w:r w:rsidRPr="003E0A1F">
        <w:rPr>
          <w:szCs w:val="22"/>
          <w:lang w:val="sr-Latn-ME" w:eastAsia="hr-HR"/>
        </w:rPr>
        <w:t>Nolpaza</w:t>
      </w:r>
      <w:proofErr w:type="spellEnd"/>
      <w:r w:rsidRPr="003E0A1F">
        <w:rPr>
          <w:color w:val="000000"/>
          <w:szCs w:val="22"/>
          <w:lang w:val="sr-Latn-ME"/>
        </w:rPr>
        <w:t xml:space="preserve"> 40 mg </w:t>
      </w:r>
      <w:proofErr w:type="spellStart"/>
      <w:r w:rsidRPr="003E0A1F">
        <w:rPr>
          <w:color w:val="000000"/>
          <w:szCs w:val="22"/>
          <w:lang w:val="sr-Latn-ME"/>
        </w:rPr>
        <w:t>gastrorezistentna</w:t>
      </w:r>
      <w:proofErr w:type="spellEnd"/>
      <w:r w:rsidRPr="003E0A1F">
        <w:rPr>
          <w:color w:val="000000"/>
          <w:szCs w:val="22"/>
          <w:lang w:val="sr-Latn-ME"/>
        </w:rPr>
        <w:t xml:space="preserve"> tableta dnevno. U pojedinim slučajevima, doza se može udvostručiti (povećati na dvije tablete dnevno), posebno ako nije bilo odgovora na drugu terapiju. U većini slučajeva, za terapiju </w:t>
      </w:r>
      <w:proofErr w:type="spellStart"/>
      <w:r w:rsidRPr="003E0A1F">
        <w:rPr>
          <w:color w:val="000000"/>
          <w:szCs w:val="22"/>
          <w:lang w:val="sr-Latn-ME"/>
        </w:rPr>
        <w:t>duodenalnog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ulkusa</w:t>
      </w:r>
      <w:proofErr w:type="spellEnd"/>
      <w:r w:rsidRPr="003E0A1F">
        <w:rPr>
          <w:color w:val="000000"/>
          <w:szCs w:val="22"/>
          <w:lang w:val="sr-Latn-ME"/>
        </w:rPr>
        <w:t xml:space="preserve"> dovoljne su dvije nedjelje. Ako dvonedjeljna terapija nije dovoljna, izl</w:t>
      </w:r>
      <w:r w:rsidR="003D0663" w:rsidRPr="003E0A1F">
        <w:rPr>
          <w:color w:val="000000"/>
          <w:szCs w:val="22"/>
          <w:lang w:val="sr-Latn-ME"/>
        </w:rPr>
        <w:t>i</w:t>
      </w:r>
      <w:r w:rsidRPr="003E0A1F">
        <w:rPr>
          <w:color w:val="000000"/>
          <w:szCs w:val="22"/>
          <w:lang w:val="sr-Latn-ME"/>
        </w:rPr>
        <w:t>ječenje će se u većini slučajeva postići u toku naredne dvije nedjelje.</w:t>
      </w:r>
    </w:p>
    <w:p w14:paraId="46229D34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8F5A843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Zollinger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>-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Ellison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 xml:space="preserve">-ov sindrom i druga patološka stanja praćena 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hipersekrecijom</w:t>
      </w:r>
      <w:proofErr w:type="spellEnd"/>
    </w:p>
    <w:p w14:paraId="436DD1A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Za dugotrajnu terapiju </w:t>
      </w:r>
      <w:proofErr w:type="spellStart"/>
      <w:r w:rsidRPr="003E0A1F">
        <w:rPr>
          <w:i/>
          <w:color w:val="000000"/>
          <w:szCs w:val="22"/>
          <w:lang w:val="sr-Latn-ME"/>
        </w:rPr>
        <w:t>Zollinger</w:t>
      </w:r>
      <w:proofErr w:type="spellEnd"/>
      <w:r w:rsidRPr="003E0A1F">
        <w:rPr>
          <w:i/>
          <w:color w:val="000000"/>
          <w:szCs w:val="22"/>
          <w:lang w:val="sr-Latn-ME"/>
        </w:rPr>
        <w:t>-</w:t>
      </w:r>
      <w:proofErr w:type="spellStart"/>
      <w:r w:rsidRPr="003E0A1F">
        <w:rPr>
          <w:i/>
          <w:color w:val="000000"/>
          <w:szCs w:val="22"/>
          <w:lang w:val="sr-Latn-ME"/>
        </w:rPr>
        <w:t>Ellison</w:t>
      </w:r>
      <w:proofErr w:type="spellEnd"/>
      <w:r w:rsidRPr="003E0A1F">
        <w:rPr>
          <w:color w:val="000000"/>
          <w:szCs w:val="22"/>
          <w:lang w:val="sr-Latn-ME"/>
        </w:rPr>
        <w:t xml:space="preserve">-ovog sindroma i ostalih oboljenja praćenih patološkom </w:t>
      </w:r>
      <w:proofErr w:type="spellStart"/>
      <w:r w:rsidRPr="003E0A1F">
        <w:rPr>
          <w:color w:val="000000"/>
          <w:szCs w:val="22"/>
          <w:lang w:val="sr-Latn-ME"/>
        </w:rPr>
        <w:t>hipersekrecijom</w:t>
      </w:r>
      <w:proofErr w:type="spellEnd"/>
      <w:r w:rsidRPr="003E0A1F">
        <w:rPr>
          <w:color w:val="000000"/>
          <w:szCs w:val="22"/>
          <w:lang w:val="sr-Latn-ME"/>
        </w:rPr>
        <w:t xml:space="preserve"> želudačne kiseline, preporučena inicijalna doza je 80 mg dnevno (dvije tablete </w:t>
      </w:r>
      <w:proofErr w:type="spellStart"/>
      <w:r w:rsidRPr="003E0A1F">
        <w:rPr>
          <w:szCs w:val="22"/>
          <w:lang w:val="sr-Latn-ME" w:eastAsia="hr-HR"/>
        </w:rPr>
        <w:t>Nolpaza</w:t>
      </w:r>
      <w:proofErr w:type="spellEnd"/>
      <w:r w:rsidRPr="003E0A1F">
        <w:rPr>
          <w:color w:val="000000"/>
          <w:szCs w:val="22"/>
          <w:lang w:val="sr-Latn-ME"/>
        </w:rPr>
        <w:t xml:space="preserve"> 40 mg). Zatim, doza se može individualno prilagoditi, u zavisnosti od sekrecije želudačne kiseline. Kod primjene doza većih od 80 mg dnevno, dnevnu dozu treba podijeliti u dvije doze. Moguće je i privremeno povećanje doze iznad 160 mg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>, ali je ne treba primjenjivati duže nego što je potrebno da bi se postigla adekvatna kontrola sekrecije želudačne kiseline.</w:t>
      </w:r>
    </w:p>
    <w:p w14:paraId="6711D973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2CFF76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Nema ograničenja dužine trajanja terapije </w:t>
      </w:r>
      <w:proofErr w:type="spellStart"/>
      <w:r w:rsidRPr="003E0A1F">
        <w:rPr>
          <w:color w:val="000000"/>
          <w:szCs w:val="22"/>
          <w:lang w:val="sr-Latn-ME"/>
        </w:rPr>
        <w:t>Zollinger</w:t>
      </w:r>
      <w:proofErr w:type="spellEnd"/>
      <w:r w:rsidRPr="003E0A1F">
        <w:rPr>
          <w:color w:val="000000"/>
          <w:szCs w:val="22"/>
          <w:lang w:val="sr-Latn-ME"/>
        </w:rPr>
        <w:t>-</w:t>
      </w:r>
      <w:proofErr w:type="spellStart"/>
      <w:r w:rsidRPr="003E0A1F">
        <w:rPr>
          <w:color w:val="000000"/>
          <w:szCs w:val="22"/>
          <w:lang w:val="sr-Latn-ME"/>
        </w:rPr>
        <w:t>Ellison</w:t>
      </w:r>
      <w:proofErr w:type="spellEnd"/>
      <w:r w:rsidRPr="003E0A1F">
        <w:rPr>
          <w:color w:val="000000"/>
          <w:szCs w:val="22"/>
          <w:lang w:val="sr-Latn-ME"/>
        </w:rPr>
        <w:t xml:space="preserve">-ovog sindroma i ostalih oboljenja praćenih patološkom </w:t>
      </w:r>
      <w:proofErr w:type="spellStart"/>
      <w:r w:rsidRPr="003E0A1F">
        <w:rPr>
          <w:color w:val="000000"/>
          <w:szCs w:val="22"/>
          <w:lang w:val="sr-Latn-ME"/>
        </w:rPr>
        <w:t>hipersekrecijom</w:t>
      </w:r>
      <w:proofErr w:type="spellEnd"/>
      <w:r w:rsidRPr="003E0A1F">
        <w:rPr>
          <w:color w:val="000000"/>
          <w:szCs w:val="22"/>
          <w:lang w:val="sr-Latn-ME"/>
        </w:rPr>
        <w:t xml:space="preserve"> želudačne kiseline; terapiju treba primjenjivati onoliko dugo koliko to klinički pokazatelji zahtijevaju.</w:t>
      </w:r>
    </w:p>
    <w:p w14:paraId="6F540AF4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val="sr-Latn-ME"/>
        </w:rPr>
      </w:pPr>
    </w:p>
    <w:p w14:paraId="0635243C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bCs/>
          <w:i/>
          <w:szCs w:val="22"/>
          <w:u w:val="single"/>
          <w:lang w:val="sr-Latn-ME"/>
        </w:rPr>
      </w:pPr>
      <w:r w:rsidRPr="003E0A1F">
        <w:rPr>
          <w:bCs/>
          <w:i/>
          <w:szCs w:val="22"/>
          <w:u w:val="single"/>
          <w:lang w:val="sr-Latn-ME"/>
        </w:rPr>
        <w:t>Posebne populacije pacijenata</w:t>
      </w:r>
    </w:p>
    <w:p w14:paraId="3FBBD35C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bCs/>
          <w:i/>
          <w:szCs w:val="22"/>
          <w:u w:val="single"/>
          <w:lang w:val="sr-Latn-ME"/>
        </w:rPr>
      </w:pPr>
    </w:p>
    <w:p w14:paraId="23A847CA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i/>
          <w:szCs w:val="22"/>
          <w:lang w:val="sr-Latn-ME"/>
        </w:rPr>
        <w:t>Pacijenti sa oštećenjem funkcije jetre:</w:t>
      </w:r>
    </w:p>
    <w:p w14:paraId="09D6E248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Kod pacijenata sa teškim oštećenjem jetre ne smije se prekoračiti dnevna doza od 20 mg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(za ovu namjenu dostupne su tablete od 20 mg). S obzirom na to da trenutno nema dostupnih podataka o efikasnosti i bezbjednosti primjene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u kombinovanoj terapiji kod pacijenata sa umjerenom i teškom </w:t>
      </w:r>
      <w:proofErr w:type="spellStart"/>
      <w:r w:rsidRPr="003E0A1F">
        <w:rPr>
          <w:color w:val="000000"/>
          <w:szCs w:val="22"/>
          <w:lang w:val="sr-Latn-ME"/>
        </w:rPr>
        <w:t>disfunkcijom</w:t>
      </w:r>
      <w:proofErr w:type="spellEnd"/>
      <w:r w:rsidRPr="003E0A1F">
        <w:rPr>
          <w:color w:val="000000"/>
          <w:szCs w:val="22"/>
          <w:lang w:val="sr-Latn-ME"/>
        </w:rPr>
        <w:t xml:space="preserve"> jetre, ovaj lijek se ne smije primjenjivati u kombinovanoj terapiji za </w:t>
      </w:r>
      <w:proofErr w:type="spellStart"/>
      <w:r w:rsidRPr="003E0A1F">
        <w:rPr>
          <w:color w:val="000000"/>
          <w:szCs w:val="22"/>
          <w:lang w:val="sr-Latn-ME"/>
        </w:rPr>
        <w:t>eradikaciju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Helicobacter</w:t>
      </w:r>
      <w:proofErr w:type="spellEnd"/>
      <w:r w:rsidRPr="003E0A1F">
        <w:rPr>
          <w:i/>
          <w:iCs/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pylori</w:t>
      </w:r>
      <w:proofErr w:type="spellEnd"/>
      <w:r w:rsidRPr="003E0A1F">
        <w:rPr>
          <w:color w:val="000000"/>
          <w:szCs w:val="22"/>
          <w:lang w:val="sr-Latn-ME"/>
        </w:rPr>
        <w:t xml:space="preserve"> kod ovih pacijenata (vidjeti dio 4.4).</w:t>
      </w:r>
    </w:p>
    <w:p w14:paraId="13B3AC17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6EDDB037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i/>
          <w:szCs w:val="22"/>
          <w:lang w:val="sr-Latn-ME"/>
        </w:rPr>
        <w:lastRenderedPageBreak/>
        <w:t>Pacijenti sa oštećenjem funkcije bubrega:</w:t>
      </w:r>
    </w:p>
    <w:p w14:paraId="1E0D4946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Nije potrebno prilagođavanje doze kod pacijenata sa oštećenjem funkcije bubrega. S obzirom na to da trenutno nema dostupnih podataka o efikasnosti i bezbjednosti primjene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u kombinovanoj terapiji kod pacijenata sa oštećenjem funkcije bubrega, ovaj lijek se ne smije primjenjivati u kombinovanoj terapiji za </w:t>
      </w:r>
      <w:proofErr w:type="spellStart"/>
      <w:r w:rsidRPr="003E0A1F">
        <w:rPr>
          <w:color w:val="000000"/>
          <w:szCs w:val="22"/>
          <w:lang w:val="sr-Latn-ME"/>
        </w:rPr>
        <w:t>eradikaciju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Helicobacter</w:t>
      </w:r>
      <w:proofErr w:type="spellEnd"/>
      <w:r w:rsidRPr="003E0A1F">
        <w:rPr>
          <w:i/>
          <w:iCs/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pylori</w:t>
      </w:r>
      <w:proofErr w:type="spellEnd"/>
      <w:r w:rsidRPr="003E0A1F">
        <w:rPr>
          <w:i/>
          <w:iCs/>
          <w:color w:val="000000"/>
          <w:szCs w:val="22"/>
          <w:lang w:val="sr-Latn-ME"/>
        </w:rPr>
        <w:t xml:space="preserve">  </w:t>
      </w:r>
      <w:r w:rsidRPr="003E0A1F">
        <w:rPr>
          <w:color w:val="000000"/>
          <w:szCs w:val="22"/>
          <w:lang w:val="sr-Latn-ME"/>
        </w:rPr>
        <w:t>kod ovih pacijenata.</w:t>
      </w:r>
    </w:p>
    <w:p w14:paraId="7EC0B36E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1B07B39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i/>
          <w:iCs/>
          <w:color w:val="000000"/>
          <w:szCs w:val="22"/>
          <w:lang w:val="sr-Latn-ME"/>
        </w:rPr>
        <w:t>Stariji pacijenti</w:t>
      </w:r>
    </w:p>
    <w:p w14:paraId="3F729250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>Nije potrebno prilagođavanje doze kod starijih pacijenata.</w:t>
      </w:r>
    </w:p>
    <w:p w14:paraId="2963CFD2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75286D13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bCs/>
          <w:i/>
          <w:szCs w:val="22"/>
          <w:lang w:val="sr-Latn-ME"/>
        </w:rPr>
      </w:pPr>
      <w:r w:rsidRPr="003E0A1F">
        <w:rPr>
          <w:bCs/>
          <w:i/>
          <w:szCs w:val="22"/>
          <w:lang w:val="sr-Latn-ME"/>
        </w:rPr>
        <w:t>Pedijatrijska populacija</w:t>
      </w:r>
    </w:p>
    <w:p w14:paraId="2AED5E2D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szCs w:val="22"/>
          <w:lang w:val="sr-Latn-ME"/>
        </w:rPr>
        <w:t xml:space="preserve">Primjena </w:t>
      </w:r>
      <w:proofErr w:type="spellStart"/>
      <w:r w:rsidRPr="003E0A1F">
        <w:rPr>
          <w:szCs w:val="22"/>
          <w:lang w:val="sr-Latn-ME" w:eastAsia="hr-HR"/>
        </w:rPr>
        <w:t>Nolpaza</w:t>
      </w:r>
      <w:proofErr w:type="spellEnd"/>
      <w:r w:rsidRPr="003E0A1F">
        <w:rPr>
          <w:szCs w:val="22"/>
          <w:lang w:val="sr-Latn-ME" w:eastAsia="hr-HR"/>
        </w:rPr>
        <w:t xml:space="preserve"> 40 mg </w:t>
      </w:r>
      <w:proofErr w:type="spellStart"/>
      <w:r w:rsidRPr="003E0A1F">
        <w:rPr>
          <w:szCs w:val="22"/>
          <w:lang w:val="sr-Latn-ME" w:eastAsia="hr-HR"/>
        </w:rPr>
        <w:t>gastrorezistentnih</w:t>
      </w:r>
      <w:proofErr w:type="spellEnd"/>
      <w:r w:rsidRPr="003E0A1F">
        <w:rPr>
          <w:szCs w:val="22"/>
          <w:lang w:val="sr-Latn-ME" w:eastAsia="hr-HR"/>
        </w:rPr>
        <w:t xml:space="preserve"> tableta</w:t>
      </w:r>
      <w:r w:rsidRPr="003E0A1F">
        <w:rPr>
          <w:szCs w:val="22"/>
          <w:lang w:val="sr-Latn-ME"/>
        </w:rPr>
        <w:t xml:space="preserve"> se ne preporučuje kod djece mlađe od 12 godina zbog nedostatka kliničkih podataka </w:t>
      </w:r>
      <w:r w:rsidRPr="003E0A1F">
        <w:rPr>
          <w:color w:val="000000"/>
          <w:szCs w:val="22"/>
          <w:lang w:val="sr-Latn-ME"/>
        </w:rPr>
        <w:t>o bezbjednosti i efikasnosti lijeka kod ove populacije (vidjeti dio 5.2).</w:t>
      </w:r>
    </w:p>
    <w:p w14:paraId="6F42A9F4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</w:p>
    <w:p w14:paraId="6B7EEC06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szCs w:val="22"/>
          <w:u w:val="single"/>
          <w:lang w:val="sr-Latn-ME"/>
        </w:rPr>
        <w:t>Način primjene</w:t>
      </w:r>
    </w:p>
    <w:p w14:paraId="2E23DBDE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3E0A1F">
        <w:rPr>
          <w:szCs w:val="22"/>
          <w:lang w:val="sr-Latn-ME" w:eastAsia="hr-HR"/>
        </w:rPr>
        <w:t>Nolpaza</w:t>
      </w:r>
      <w:proofErr w:type="spellEnd"/>
      <w:r w:rsidRPr="003E0A1F">
        <w:rPr>
          <w:szCs w:val="22"/>
          <w:lang w:val="sr-Latn-ME" w:eastAsia="hr-HR"/>
        </w:rPr>
        <w:t xml:space="preserve"> 40 mg </w:t>
      </w:r>
      <w:proofErr w:type="spellStart"/>
      <w:r w:rsidRPr="003E0A1F">
        <w:rPr>
          <w:szCs w:val="22"/>
          <w:lang w:val="sr-Latn-ME" w:eastAsia="hr-HR"/>
        </w:rPr>
        <w:t>gastrorezistentne</w:t>
      </w:r>
      <w:proofErr w:type="spellEnd"/>
      <w:r w:rsidRPr="003E0A1F">
        <w:rPr>
          <w:szCs w:val="22"/>
          <w:lang w:val="sr-Latn-ME" w:eastAsia="hr-HR"/>
        </w:rPr>
        <w:t xml:space="preserve"> </w:t>
      </w:r>
      <w:r w:rsidRPr="003E0A1F">
        <w:rPr>
          <w:szCs w:val="22"/>
          <w:lang w:val="sr-Latn-ME"/>
        </w:rPr>
        <w:t>tablete ne treba lomiti ili žvakati i treba ih progutati cijele jedan sat prije obroka sa malo vode.</w:t>
      </w:r>
    </w:p>
    <w:p w14:paraId="30B69E34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68E00076" w14:textId="77777777" w:rsidR="0040341B" w:rsidRPr="003E0A1F" w:rsidRDefault="00B87F20" w:rsidP="00054FCE">
      <w:pPr>
        <w:widowControl w:val="0"/>
        <w:spacing w:line="240" w:lineRule="auto"/>
        <w:jc w:val="both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4.3</w:t>
      </w:r>
      <w:r w:rsidRPr="003E0A1F">
        <w:rPr>
          <w:b/>
          <w:szCs w:val="22"/>
          <w:lang w:val="sr-Latn-ME"/>
        </w:rPr>
        <w:tab/>
      </w:r>
      <w:proofErr w:type="spellStart"/>
      <w:r w:rsidRPr="003E0A1F">
        <w:rPr>
          <w:b/>
          <w:szCs w:val="22"/>
          <w:lang w:val="sr-Latn-ME"/>
        </w:rPr>
        <w:t>Kontraindikacije</w:t>
      </w:r>
      <w:proofErr w:type="spellEnd"/>
    </w:p>
    <w:p w14:paraId="747EAB52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3A7F5DA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 w:eastAsia="hr-HR"/>
        </w:rPr>
      </w:pPr>
      <w:r w:rsidRPr="003E0A1F">
        <w:rPr>
          <w:color w:val="000000"/>
          <w:szCs w:val="22"/>
          <w:lang w:val="sr-Latn-ME"/>
        </w:rPr>
        <w:t xml:space="preserve">Preosjetljivost na aktivnu supstancu, supstituisane </w:t>
      </w:r>
      <w:proofErr w:type="spellStart"/>
      <w:r w:rsidRPr="003E0A1F">
        <w:rPr>
          <w:color w:val="000000"/>
          <w:szCs w:val="22"/>
          <w:lang w:val="sr-Latn-ME"/>
        </w:rPr>
        <w:t>benzimidazole</w:t>
      </w:r>
      <w:proofErr w:type="spellEnd"/>
      <w:r w:rsidRPr="003E0A1F">
        <w:rPr>
          <w:color w:val="000000"/>
          <w:szCs w:val="22"/>
          <w:lang w:val="sr-Latn-ME"/>
        </w:rPr>
        <w:t xml:space="preserve"> ili bilo koju pomoćnu supstancu lijeka (vidjeti dio 6.1) ili date kombinacije.</w:t>
      </w:r>
    </w:p>
    <w:p w14:paraId="43399D79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145B0CD1" w14:textId="77777777" w:rsidR="0040341B" w:rsidRPr="003E0A1F" w:rsidRDefault="00B87F20" w:rsidP="00054FCE">
      <w:pPr>
        <w:widowControl w:val="0"/>
        <w:spacing w:line="240" w:lineRule="auto"/>
        <w:jc w:val="both"/>
        <w:rPr>
          <w:b/>
          <w:szCs w:val="22"/>
          <w:lang w:val="sr-Latn-ME"/>
        </w:rPr>
      </w:pPr>
      <w:r w:rsidRPr="003E0A1F">
        <w:rPr>
          <w:b/>
          <w:szCs w:val="22"/>
          <w:lang w:val="sr-Latn-ME"/>
        </w:rPr>
        <w:t>4.4</w:t>
      </w:r>
      <w:r w:rsidRPr="003E0A1F">
        <w:rPr>
          <w:b/>
          <w:szCs w:val="22"/>
          <w:lang w:val="sr-Latn-ME"/>
        </w:rPr>
        <w:tab/>
        <w:t>Posebna upozorenja i mjere opreza pri upotrebi lijeka</w:t>
      </w:r>
    </w:p>
    <w:p w14:paraId="040769F3" w14:textId="77777777" w:rsidR="0040341B" w:rsidRPr="003E0A1F" w:rsidRDefault="0040341B" w:rsidP="00054FCE">
      <w:pPr>
        <w:widowControl w:val="0"/>
        <w:spacing w:line="240" w:lineRule="auto"/>
        <w:jc w:val="both"/>
        <w:rPr>
          <w:b/>
          <w:szCs w:val="22"/>
          <w:lang w:val="sr-Latn-ME"/>
        </w:rPr>
      </w:pPr>
    </w:p>
    <w:p w14:paraId="2B782F59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i/>
          <w:iCs/>
          <w:color w:val="000000"/>
          <w:szCs w:val="22"/>
          <w:u w:val="single"/>
          <w:lang w:val="sr-Latn-ME"/>
        </w:rPr>
        <w:t>Pacijenti sa oštećenjem funkcije jetre</w:t>
      </w:r>
    </w:p>
    <w:p w14:paraId="424B51BA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Kod pacijenata sa teškim oštećenjem jetre, vrijednosti enzima jetre treba redovno pratiti tokom terapije </w:t>
      </w:r>
      <w:proofErr w:type="spellStart"/>
      <w:r w:rsidRPr="003E0A1F">
        <w:rPr>
          <w:color w:val="000000"/>
          <w:szCs w:val="22"/>
          <w:lang w:val="sr-Latn-ME"/>
        </w:rPr>
        <w:t>pantoprazolom</w:t>
      </w:r>
      <w:proofErr w:type="spellEnd"/>
      <w:r w:rsidRPr="003E0A1F">
        <w:rPr>
          <w:color w:val="000000"/>
          <w:szCs w:val="22"/>
          <w:lang w:val="sr-Latn-ME"/>
        </w:rPr>
        <w:t xml:space="preserve">, naročito tokom dugotrajne terapije. U slučaju porasta enzima jetre, treba prekinuti primjenu lijeka </w:t>
      </w:r>
      <w:proofErr w:type="spellStart"/>
      <w:r w:rsidRPr="003E0A1F">
        <w:rPr>
          <w:color w:val="000000"/>
          <w:szCs w:val="22"/>
          <w:lang w:val="sr-Latn-ME"/>
        </w:rPr>
        <w:t>Nolpaza</w:t>
      </w:r>
      <w:proofErr w:type="spellEnd"/>
      <w:r w:rsidRPr="003E0A1F">
        <w:rPr>
          <w:color w:val="000000"/>
          <w:szCs w:val="22"/>
          <w:lang w:val="sr-Latn-ME"/>
        </w:rPr>
        <w:t xml:space="preserve"> (vidjeti dio 4.2).</w:t>
      </w:r>
    </w:p>
    <w:p w14:paraId="5E8B2CDA" w14:textId="77777777" w:rsidR="0040341B" w:rsidRPr="003E0A1F" w:rsidRDefault="0040341B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1C4490B2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i/>
          <w:iCs/>
          <w:color w:val="000000"/>
          <w:szCs w:val="22"/>
          <w:u w:val="single"/>
          <w:lang w:val="sr-Latn-ME"/>
        </w:rPr>
        <w:t>Kombinovana terapija</w:t>
      </w:r>
    </w:p>
    <w:p w14:paraId="1514F517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>U slučaju kombinovane terapije, treba uzeti u obzir sažetke karakteristika lijeka svih istovremeno primijenjenih ljekova.</w:t>
      </w:r>
    </w:p>
    <w:p w14:paraId="600B4327" w14:textId="77777777" w:rsidR="0040341B" w:rsidRPr="003E0A1F" w:rsidRDefault="0040341B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2B1C1A2B" w14:textId="77777777" w:rsidR="0040341B" w:rsidRPr="003E0A1F" w:rsidRDefault="00B87F20" w:rsidP="00054FCE">
      <w:pPr>
        <w:pStyle w:val="Default"/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3E0A1F">
        <w:rPr>
          <w:i/>
          <w:sz w:val="22"/>
          <w:szCs w:val="22"/>
          <w:u w:val="single"/>
          <w:lang w:val="sr-Latn-ME"/>
        </w:rPr>
        <w:t>Gastrični</w:t>
      </w:r>
      <w:proofErr w:type="spellEnd"/>
      <w:r w:rsidRPr="003E0A1F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sz w:val="22"/>
          <w:szCs w:val="22"/>
          <w:u w:val="single"/>
          <w:lang w:val="sr-Latn-ME"/>
        </w:rPr>
        <w:t>malignitet</w:t>
      </w:r>
      <w:proofErr w:type="spellEnd"/>
      <w:r w:rsidRPr="003E0A1F">
        <w:rPr>
          <w:i/>
          <w:sz w:val="22"/>
          <w:szCs w:val="22"/>
          <w:u w:val="single"/>
          <w:lang w:val="sr-Latn-ME"/>
        </w:rPr>
        <w:t xml:space="preserve"> </w:t>
      </w:r>
    </w:p>
    <w:p w14:paraId="7024A5C8" w14:textId="77777777" w:rsidR="0040341B" w:rsidRPr="003E0A1F" w:rsidRDefault="00B87F20" w:rsidP="00054FCE">
      <w:pPr>
        <w:pStyle w:val="Default"/>
        <w:jc w:val="both"/>
        <w:rPr>
          <w:sz w:val="22"/>
          <w:szCs w:val="22"/>
          <w:lang w:val="sr-Latn-ME"/>
        </w:rPr>
      </w:pPr>
      <w:proofErr w:type="spellStart"/>
      <w:r w:rsidRPr="003E0A1F">
        <w:rPr>
          <w:sz w:val="22"/>
          <w:szCs w:val="22"/>
          <w:lang w:val="sr-Latn-ME"/>
        </w:rPr>
        <w:t>Simptomatski</w:t>
      </w:r>
      <w:proofErr w:type="spellEnd"/>
      <w:r w:rsidRPr="003E0A1F">
        <w:rPr>
          <w:sz w:val="22"/>
          <w:szCs w:val="22"/>
          <w:lang w:val="sr-Latn-ME"/>
        </w:rPr>
        <w:t xml:space="preserve"> odgovor na terapiju </w:t>
      </w:r>
      <w:proofErr w:type="spellStart"/>
      <w:r w:rsidRPr="003E0A1F">
        <w:rPr>
          <w:sz w:val="22"/>
          <w:szCs w:val="22"/>
          <w:lang w:val="sr-Latn-ME"/>
        </w:rPr>
        <w:t>pantoprazolom</w:t>
      </w:r>
      <w:proofErr w:type="spellEnd"/>
      <w:r w:rsidRPr="003E0A1F">
        <w:rPr>
          <w:sz w:val="22"/>
          <w:szCs w:val="22"/>
          <w:lang w:val="sr-Latn-ME"/>
        </w:rPr>
        <w:t xml:space="preserve"> može da maskira simptome </w:t>
      </w:r>
      <w:proofErr w:type="spellStart"/>
      <w:r w:rsidRPr="003E0A1F">
        <w:rPr>
          <w:sz w:val="22"/>
          <w:szCs w:val="22"/>
          <w:lang w:val="sr-Latn-ME"/>
        </w:rPr>
        <w:t>gastričnog</w:t>
      </w:r>
      <w:proofErr w:type="spellEnd"/>
      <w:r w:rsidRPr="003E0A1F">
        <w:rPr>
          <w:sz w:val="22"/>
          <w:szCs w:val="22"/>
          <w:lang w:val="sr-Latn-ME"/>
        </w:rPr>
        <w:t xml:space="preserve"> </w:t>
      </w:r>
      <w:proofErr w:type="spellStart"/>
      <w:r w:rsidRPr="003E0A1F">
        <w:rPr>
          <w:sz w:val="22"/>
          <w:szCs w:val="22"/>
          <w:lang w:val="sr-Latn-ME"/>
        </w:rPr>
        <w:t>maligniteta</w:t>
      </w:r>
      <w:proofErr w:type="spellEnd"/>
      <w:r w:rsidRPr="003E0A1F">
        <w:rPr>
          <w:sz w:val="22"/>
          <w:szCs w:val="22"/>
          <w:lang w:val="sr-Latn-ME"/>
        </w:rPr>
        <w:t xml:space="preserve"> i može da odloži postavljanje dijagnoze. U prisustvu bilo kojih simptoma upozorenja (npr. značajan, neželjeni gubitak tjelesne mase, ponavljano povraćanje, </w:t>
      </w:r>
      <w:proofErr w:type="spellStart"/>
      <w:r w:rsidRPr="003E0A1F">
        <w:rPr>
          <w:sz w:val="22"/>
          <w:szCs w:val="22"/>
          <w:lang w:val="sr-Latn-ME"/>
        </w:rPr>
        <w:t>disfagija</w:t>
      </w:r>
      <w:proofErr w:type="spellEnd"/>
      <w:r w:rsidRPr="003E0A1F">
        <w:rPr>
          <w:sz w:val="22"/>
          <w:szCs w:val="22"/>
          <w:lang w:val="sr-Latn-ME"/>
        </w:rPr>
        <w:t xml:space="preserve">, </w:t>
      </w:r>
      <w:proofErr w:type="spellStart"/>
      <w:r w:rsidRPr="003E0A1F">
        <w:rPr>
          <w:sz w:val="22"/>
          <w:szCs w:val="22"/>
          <w:lang w:val="sr-Latn-ME"/>
        </w:rPr>
        <w:t>hematemeza</w:t>
      </w:r>
      <w:proofErr w:type="spellEnd"/>
      <w:r w:rsidRPr="003E0A1F">
        <w:rPr>
          <w:sz w:val="22"/>
          <w:szCs w:val="22"/>
          <w:lang w:val="sr-Latn-ME"/>
        </w:rPr>
        <w:t xml:space="preserve">, anemija ili </w:t>
      </w:r>
      <w:proofErr w:type="spellStart"/>
      <w:r w:rsidRPr="003E0A1F">
        <w:rPr>
          <w:sz w:val="22"/>
          <w:szCs w:val="22"/>
          <w:lang w:val="sr-Latn-ME"/>
        </w:rPr>
        <w:t>melena</w:t>
      </w:r>
      <w:proofErr w:type="spellEnd"/>
      <w:r w:rsidRPr="003E0A1F">
        <w:rPr>
          <w:sz w:val="22"/>
          <w:szCs w:val="22"/>
          <w:lang w:val="sr-Latn-ME"/>
        </w:rPr>
        <w:t xml:space="preserve">) i u slučaju sumnje na </w:t>
      </w:r>
      <w:proofErr w:type="spellStart"/>
      <w:r w:rsidRPr="003E0A1F">
        <w:rPr>
          <w:sz w:val="22"/>
          <w:szCs w:val="22"/>
          <w:lang w:val="sr-Latn-ME"/>
        </w:rPr>
        <w:t>gastrični</w:t>
      </w:r>
      <w:proofErr w:type="spellEnd"/>
      <w:r w:rsidRPr="003E0A1F">
        <w:rPr>
          <w:sz w:val="22"/>
          <w:szCs w:val="22"/>
          <w:lang w:val="sr-Latn-ME"/>
        </w:rPr>
        <w:t xml:space="preserve"> </w:t>
      </w:r>
      <w:proofErr w:type="spellStart"/>
      <w:r w:rsidRPr="003E0A1F">
        <w:rPr>
          <w:sz w:val="22"/>
          <w:szCs w:val="22"/>
          <w:lang w:val="sr-Latn-ME"/>
        </w:rPr>
        <w:t>ulkus</w:t>
      </w:r>
      <w:proofErr w:type="spellEnd"/>
      <w:r w:rsidRPr="003E0A1F">
        <w:rPr>
          <w:sz w:val="22"/>
          <w:szCs w:val="22"/>
          <w:lang w:val="sr-Latn-ME"/>
        </w:rPr>
        <w:t xml:space="preserve"> ili njegovo prisustvo, potrebno je isključiti </w:t>
      </w:r>
      <w:proofErr w:type="spellStart"/>
      <w:r w:rsidRPr="003E0A1F">
        <w:rPr>
          <w:sz w:val="22"/>
          <w:szCs w:val="22"/>
          <w:lang w:val="sr-Latn-ME"/>
        </w:rPr>
        <w:t>malignitet</w:t>
      </w:r>
      <w:proofErr w:type="spellEnd"/>
      <w:r w:rsidRPr="003E0A1F">
        <w:rPr>
          <w:sz w:val="22"/>
          <w:szCs w:val="22"/>
          <w:lang w:val="sr-Latn-ME"/>
        </w:rPr>
        <w:t xml:space="preserve">. </w:t>
      </w:r>
    </w:p>
    <w:p w14:paraId="48F8D268" w14:textId="77777777" w:rsidR="0040341B" w:rsidRPr="003E0A1F" w:rsidRDefault="0040341B" w:rsidP="00054FC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FF0000"/>
          <w:szCs w:val="22"/>
          <w:lang w:val="sr-Latn-ME"/>
        </w:rPr>
      </w:pPr>
    </w:p>
    <w:p w14:paraId="0CACB73A" w14:textId="77777777" w:rsidR="0040341B" w:rsidRPr="003E0A1F" w:rsidRDefault="00B87F20" w:rsidP="00054FC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Ako uprkos adekvatnoj terapiji simptomi i dalje </w:t>
      </w:r>
      <w:proofErr w:type="spellStart"/>
      <w:r w:rsidRPr="003E0A1F">
        <w:rPr>
          <w:szCs w:val="22"/>
          <w:lang w:val="sr-Latn-ME"/>
        </w:rPr>
        <w:t>perzistiraju</w:t>
      </w:r>
      <w:proofErr w:type="spellEnd"/>
      <w:r w:rsidRPr="003E0A1F">
        <w:rPr>
          <w:szCs w:val="22"/>
          <w:lang w:val="sr-Latn-ME"/>
        </w:rPr>
        <w:t>, treba uzeti u obzir sprovođenje daljih ispitivanja.</w:t>
      </w:r>
    </w:p>
    <w:p w14:paraId="58FDDE92" w14:textId="77777777" w:rsidR="0040341B" w:rsidRPr="003E0A1F" w:rsidRDefault="0040341B" w:rsidP="00054FC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color w:val="FF0000"/>
          <w:szCs w:val="22"/>
          <w:lang w:val="sr-Latn-ME"/>
        </w:rPr>
      </w:pPr>
    </w:p>
    <w:p w14:paraId="1E507137" w14:textId="77777777" w:rsidR="0040341B" w:rsidRPr="003E0A1F" w:rsidRDefault="00B87F20" w:rsidP="00054FCE">
      <w:pPr>
        <w:pStyle w:val="Default"/>
        <w:jc w:val="both"/>
        <w:rPr>
          <w:i/>
          <w:sz w:val="22"/>
          <w:szCs w:val="22"/>
          <w:u w:val="single"/>
          <w:lang w:val="sr-Latn-ME"/>
        </w:rPr>
      </w:pPr>
      <w:r w:rsidRPr="003E0A1F">
        <w:rPr>
          <w:i/>
          <w:sz w:val="22"/>
          <w:szCs w:val="22"/>
          <w:u w:val="single"/>
          <w:lang w:val="sr-Latn-ME"/>
        </w:rPr>
        <w:t xml:space="preserve">Istovremena primjena sa </w:t>
      </w:r>
      <w:proofErr w:type="spellStart"/>
      <w:r w:rsidRPr="003E0A1F">
        <w:rPr>
          <w:i/>
          <w:sz w:val="22"/>
          <w:szCs w:val="22"/>
          <w:u w:val="single"/>
          <w:lang w:val="sr-Latn-ME"/>
        </w:rPr>
        <w:t>inhibitorima</w:t>
      </w:r>
      <w:proofErr w:type="spellEnd"/>
      <w:r w:rsidRPr="003E0A1F">
        <w:rPr>
          <w:i/>
          <w:sz w:val="22"/>
          <w:szCs w:val="22"/>
          <w:u w:val="single"/>
          <w:lang w:val="sr-Latn-ME"/>
        </w:rPr>
        <w:t xml:space="preserve"> HIV </w:t>
      </w:r>
      <w:proofErr w:type="spellStart"/>
      <w:r w:rsidRPr="003E0A1F">
        <w:rPr>
          <w:i/>
          <w:sz w:val="22"/>
          <w:szCs w:val="22"/>
          <w:u w:val="single"/>
          <w:lang w:val="sr-Latn-ME"/>
        </w:rPr>
        <w:t>proteaze</w:t>
      </w:r>
      <w:proofErr w:type="spellEnd"/>
      <w:r w:rsidRPr="003E0A1F">
        <w:rPr>
          <w:i/>
          <w:sz w:val="22"/>
          <w:szCs w:val="22"/>
          <w:u w:val="single"/>
          <w:lang w:val="sr-Latn-ME"/>
        </w:rPr>
        <w:t xml:space="preserve"> </w:t>
      </w:r>
    </w:p>
    <w:p w14:paraId="0F140D38" w14:textId="06036D44" w:rsidR="0040341B" w:rsidRPr="003E0A1F" w:rsidRDefault="00B87F20" w:rsidP="00054FCE">
      <w:pPr>
        <w:pStyle w:val="Default"/>
        <w:jc w:val="both"/>
        <w:rPr>
          <w:sz w:val="22"/>
          <w:szCs w:val="22"/>
          <w:lang w:val="sr-Latn-ME"/>
        </w:rPr>
      </w:pPr>
      <w:r w:rsidRPr="003E0A1F">
        <w:rPr>
          <w:sz w:val="22"/>
          <w:szCs w:val="22"/>
          <w:lang w:val="sr-Latn-ME"/>
        </w:rPr>
        <w:t xml:space="preserve">Ne preporučuje se istovremena primjena </w:t>
      </w:r>
      <w:proofErr w:type="spellStart"/>
      <w:r w:rsidRPr="003E0A1F">
        <w:rPr>
          <w:sz w:val="22"/>
          <w:szCs w:val="22"/>
          <w:lang w:val="sr-Latn-ME"/>
        </w:rPr>
        <w:t>inhibitora</w:t>
      </w:r>
      <w:proofErr w:type="spellEnd"/>
      <w:r w:rsidRPr="003E0A1F">
        <w:rPr>
          <w:sz w:val="22"/>
          <w:szCs w:val="22"/>
          <w:lang w:val="sr-Latn-ME"/>
        </w:rPr>
        <w:t xml:space="preserve"> protonske pumpe sa </w:t>
      </w:r>
      <w:proofErr w:type="spellStart"/>
      <w:r w:rsidRPr="003E0A1F">
        <w:rPr>
          <w:sz w:val="22"/>
          <w:szCs w:val="22"/>
          <w:lang w:val="sr-Latn-ME"/>
        </w:rPr>
        <w:t>inhibitorima</w:t>
      </w:r>
      <w:proofErr w:type="spellEnd"/>
      <w:r w:rsidRPr="003E0A1F">
        <w:rPr>
          <w:sz w:val="22"/>
          <w:szCs w:val="22"/>
          <w:lang w:val="sr-Latn-ME"/>
        </w:rPr>
        <w:t xml:space="preserve"> HIV </w:t>
      </w:r>
      <w:proofErr w:type="spellStart"/>
      <w:r w:rsidRPr="003E0A1F">
        <w:rPr>
          <w:sz w:val="22"/>
          <w:szCs w:val="22"/>
          <w:lang w:val="sr-Latn-ME"/>
        </w:rPr>
        <w:t>proteaze</w:t>
      </w:r>
      <w:proofErr w:type="spellEnd"/>
      <w:r w:rsidRPr="003E0A1F">
        <w:rPr>
          <w:sz w:val="22"/>
          <w:szCs w:val="22"/>
          <w:lang w:val="sr-Latn-ME"/>
        </w:rPr>
        <w:t xml:space="preserve">, čija resorpcija zavisi od </w:t>
      </w:r>
      <w:proofErr w:type="spellStart"/>
      <w:r w:rsidRPr="003E0A1F">
        <w:rPr>
          <w:sz w:val="22"/>
          <w:szCs w:val="22"/>
          <w:lang w:val="sr-Latn-ME"/>
        </w:rPr>
        <w:t>pH</w:t>
      </w:r>
      <w:proofErr w:type="spellEnd"/>
      <w:r w:rsidRPr="003E0A1F">
        <w:rPr>
          <w:sz w:val="22"/>
          <w:szCs w:val="22"/>
          <w:lang w:val="sr-Latn-ME"/>
        </w:rPr>
        <w:t xml:space="preserve"> vrijednosti u želucu, kao što je </w:t>
      </w:r>
      <w:proofErr w:type="spellStart"/>
      <w:r w:rsidRPr="003E0A1F">
        <w:rPr>
          <w:sz w:val="22"/>
          <w:szCs w:val="22"/>
          <w:lang w:val="sr-Latn-ME"/>
        </w:rPr>
        <w:t>atazanavir</w:t>
      </w:r>
      <w:proofErr w:type="spellEnd"/>
      <w:r w:rsidRPr="003E0A1F">
        <w:rPr>
          <w:sz w:val="22"/>
          <w:szCs w:val="22"/>
          <w:lang w:val="sr-Latn-ME"/>
        </w:rPr>
        <w:t xml:space="preserve">, jer može doći do značajnog smanjenja </w:t>
      </w:r>
      <w:proofErr w:type="spellStart"/>
      <w:r w:rsidRPr="003E0A1F">
        <w:rPr>
          <w:sz w:val="22"/>
          <w:szCs w:val="22"/>
          <w:lang w:val="sr-Latn-ME"/>
        </w:rPr>
        <w:t>bioraspoloživosti</w:t>
      </w:r>
      <w:proofErr w:type="spellEnd"/>
      <w:r w:rsidRPr="003E0A1F">
        <w:rPr>
          <w:sz w:val="22"/>
          <w:szCs w:val="22"/>
          <w:lang w:val="sr-Latn-ME"/>
        </w:rPr>
        <w:t xml:space="preserve"> ovih ljekova (vidjeti dio 4.5).</w:t>
      </w:r>
    </w:p>
    <w:p w14:paraId="0F4BE6B4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color w:val="000000"/>
          <w:szCs w:val="22"/>
          <w:lang w:val="sr-Latn-ME"/>
        </w:rPr>
      </w:pPr>
    </w:p>
    <w:p w14:paraId="6DDE3432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i/>
          <w:iCs/>
          <w:color w:val="000000"/>
          <w:szCs w:val="22"/>
          <w:u w:val="single"/>
          <w:lang w:val="sr-Latn-ME"/>
        </w:rPr>
        <w:t>Uticaj na resorpciju vitamina B12</w:t>
      </w:r>
    </w:p>
    <w:p w14:paraId="008553D6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Kod pacijenata sa </w:t>
      </w:r>
      <w:proofErr w:type="spellStart"/>
      <w:r w:rsidRPr="003E0A1F">
        <w:rPr>
          <w:i/>
          <w:color w:val="000000"/>
          <w:szCs w:val="22"/>
          <w:lang w:val="sr-Latn-ME"/>
        </w:rPr>
        <w:t>Zolinger</w:t>
      </w:r>
      <w:proofErr w:type="spellEnd"/>
      <w:r w:rsidRPr="003E0A1F">
        <w:rPr>
          <w:i/>
          <w:color w:val="000000"/>
          <w:szCs w:val="22"/>
          <w:lang w:val="sr-Latn-ME"/>
        </w:rPr>
        <w:t>-</w:t>
      </w:r>
      <w:proofErr w:type="spellStart"/>
      <w:r w:rsidRPr="003E0A1F">
        <w:rPr>
          <w:i/>
          <w:color w:val="000000"/>
          <w:szCs w:val="22"/>
          <w:lang w:val="sr-Latn-ME"/>
        </w:rPr>
        <w:t>Elisonov</w:t>
      </w:r>
      <w:proofErr w:type="spellEnd"/>
      <w:r w:rsidRPr="003E0A1F">
        <w:rPr>
          <w:color w:val="000000"/>
          <w:szCs w:val="22"/>
          <w:lang w:val="sr-Latn-ME"/>
        </w:rPr>
        <w:t xml:space="preserve">-im sindromom i drugim stanjima praćenim patološkom </w:t>
      </w:r>
      <w:proofErr w:type="spellStart"/>
      <w:r w:rsidRPr="003E0A1F">
        <w:rPr>
          <w:color w:val="000000"/>
          <w:szCs w:val="22"/>
          <w:lang w:val="sr-Latn-ME"/>
        </w:rPr>
        <w:t>hipersekrecijom</w:t>
      </w:r>
      <w:proofErr w:type="spellEnd"/>
      <w:r w:rsidRPr="003E0A1F">
        <w:rPr>
          <w:color w:val="000000"/>
          <w:szCs w:val="22"/>
          <w:lang w:val="sr-Latn-ME"/>
        </w:rPr>
        <w:t xml:space="preserve"> koja zahtijevaju dugotrajnu terapiju, </w:t>
      </w: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, kao i drugi </w:t>
      </w:r>
      <w:proofErr w:type="spellStart"/>
      <w:r w:rsidRPr="003E0A1F">
        <w:rPr>
          <w:color w:val="000000"/>
          <w:szCs w:val="22"/>
          <w:lang w:val="sr-Latn-ME"/>
        </w:rPr>
        <w:t>blokatori</w:t>
      </w:r>
      <w:proofErr w:type="spellEnd"/>
      <w:r w:rsidRPr="003E0A1F">
        <w:rPr>
          <w:color w:val="000000"/>
          <w:szCs w:val="22"/>
          <w:lang w:val="sr-Latn-ME"/>
        </w:rPr>
        <w:t xml:space="preserve"> stvaranja želudačne kiseline, mogu dovesti do smanjenja resorpcije vitamina B12 (</w:t>
      </w:r>
      <w:proofErr w:type="spellStart"/>
      <w:r w:rsidRPr="003E0A1F">
        <w:rPr>
          <w:color w:val="000000"/>
          <w:szCs w:val="22"/>
          <w:lang w:val="sr-Latn-ME"/>
        </w:rPr>
        <w:t>cijanokobalamina</w:t>
      </w:r>
      <w:proofErr w:type="spellEnd"/>
      <w:r w:rsidRPr="003E0A1F">
        <w:rPr>
          <w:color w:val="000000"/>
          <w:szCs w:val="22"/>
          <w:lang w:val="sr-Latn-ME"/>
        </w:rPr>
        <w:t xml:space="preserve">) kao posljedice </w:t>
      </w:r>
      <w:proofErr w:type="spellStart"/>
      <w:r w:rsidRPr="003E0A1F">
        <w:rPr>
          <w:color w:val="000000"/>
          <w:szCs w:val="22"/>
          <w:lang w:val="sr-Latn-ME"/>
        </w:rPr>
        <w:t>hipo</w:t>
      </w:r>
      <w:proofErr w:type="spellEnd"/>
      <w:r w:rsidRPr="003E0A1F">
        <w:rPr>
          <w:color w:val="000000"/>
          <w:szCs w:val="22"/>
          <w:lang w:val="sr-Latn-ME"/>
        </w:rPr>
        <w:t xml:space="preserve">-ili </w:t>
      </w:r>
      <w:proofErr w:type="spellStart"/>
      <w:r w:rsidRPr="003E0A1F">
        <w:rPr>
          <w:color w:val="000000"/>
          <w:szCs w:val="22"/>
          <w:lang w:val="sr-Latn-ME"/>
        </w:rPr>
        <w:t>ahlorhidrije</w:t>
      </w:r>
      <w:proofErr w:type="spellEnd"/>
      <w:r w:rsidRPr="003E0A1F">
        <w:rPr>
          <w:color w:val="000000"/>
          <w:szCs w:val="22"/>
          <w:lang w:val="sr-Latn-ME"/>
        </w:rPr>
        <w:t xml:space="preserve">. Ovo treba uzeti u obzir naročito tokom dugotrajne terapije kod pacijenata sa smanjenim rezervama vitamina B12 ili kod pacijenata koji imaju posebne faktore rizika za nastanak </w:t>
      </w:r>
      <w:proofErr w:type="spellStart"/>
      <w:r w:rsidRPr="003E0A1F">
        <w:rPr>
          <w:color w:val="000000"/>
          <w:szCs w:val="22"/>
          <w:lang w:val="sr-Latn-ME"/>
        </w:rPr>
        <w:t>malapsorpcije</w:t>
      </w:r>
      <w:proofErr w:type="spellEnd"/>
      <w:r w:rsidRPr="003E0A1F">
        <w:rPr>
          <w:color w:val="000000"/>
          <w:szCs w:val="22"/>
          <w:lang w:val="sr-Latn-ME"/>
        </w:rPr>
        <w:t xml:space="preserve"> vitamina B12 ili ako se pojave odgovarajući klinički simptomi.</w:t>
      </w:r>
    </w:p>
    <w:p w14:paraId="15EDDAFD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60F6CFC3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i/>
          <w:iCs/>
          <w:color w:val="000000"/>
          <w:szCs w:val="22"/>
          <w:u w:val="single"/>
          <w:lang w:val="sr-Latn-ME"/>
        </w:rPr>
        <w:t>Dugotrajna terapija</w:t>
      </w:r>
    </w:p>
    <w:p w14:paraId="778D457D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lastRenderedPageBreak/>
        <w:t>Za vrijeme dugotrajne terapije, naročito u trajanju koje prevazilazi period od 1 godine, pacijente treba držati pod stalnim nadzorom.</w:t>
      </w:r>
    </w:p>
    <w:p w14:paraId="01AFC63F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F551FD9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i/>
          <w:iCs/>
          <w:color w:val="000000"/>
          <w:szCs w:val="22"/>
          <w:u w:val="single"/>
          <w:lang w:val="sr-Latn-ME"/>
        </w:rPr>
        <w:t xml:space="preserve">Gastrointestinalne 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bakterijske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 xml:space="preserve"> infekcije</w:t>
      </w:r>
    </w:p>
    <w:p w14:paraId="0FB3B42F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, kao i svi </w:t>
      </w:r>
      <w:proofErr w:type="spellStart"/>
      <w:r w:rsidRPr="003E0A1F">
        <w:rPr>
          <w:color w:val="000000"/>
          <w:szCs w:val="22"/>
          <w:lang w:val="sr-Latn-ME"/>
        </w:rPr>
        <w:t>inhibitori</w:t>
      </w:r>
      <w:proofErr w:type="spellEnd"/>
      <w:r w:rsidRPr="003E0A1F">
        <w:rPr>
          <w:color w:val="000000"/>
          <w:szCs w:val="22"/>
          <w:lang w:val="sr-Latn-ME"/>
        </w:rPr>
        <w:t xml:space="preserve"> protonske pumpe, može dovesti do povećanja broja bakterija koje su normalno prisutne u gornjim partijama gastrointestinalnog trakta. Terapija ljekovima koji smanjuju kiselost želuca može dovesti do blagog povećanja rizika od gastrointestinalne infekcije, kao što su infekcije bakterijama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Salmonella</w:t>
      </w:r>
      <w:proofErr w:type="spellEnd"/>
      <w:r w:rsidRPr="003E0A1F">
        <w:rPr>
          <w:i/>
          <w:iCs/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Campylobacter</w:t>
      </w:r>
      <w:proofErr w:type="spellEnd"/>
      <w:r w:rsidRPr="003E0A1F">
        <w:rPr>
          <w:i/>
          <w:iCs/>
          <w:color w:val="000000"/>
          <w:szCs w:val="22"/>
          <w:lang w:val="sr-Latn-ME"/>
        </w:rPr>
        <w:t xml:space="preserve"> </w:t>
      </w:r>
      <w:r w:rsidRPr="003E0A1F">
        <w:rPr>
          <w:iCs/>
          <w:color w:val="000000"/>
          <w:szCs w:val="22"/>
          <w:lang w:val="sr-Latn-ME"/>
        </w:rPr>
        <w:t xml:space="preserve"> i </w:t>
      </w:r>
      <w:r w:rsidRPr="003E0A1F">
        <w:rPr>
          <w:i/>
          <w:iCs/>
          <w:color w:val="000000"/>
          <w:szCs w:val="22"/>
          <w:lang w:val="sr-Latn-ME"/>
        </w:rPr>
        <w:t xml:space="preserve">C. </w:t>
      </w:r>
      <w:proofErr w:type="spellStart"/>
      <w:r w:rsidRPr="003E0A1F">
        <w:rPr>
          <w:i/>
          <w:iCs/>
          <w:color w:val="000000"/>
          <w:szCs w:val="22"/>
          <w:lang w:val="sr-Latn-ME"/>
        </w:rPr>
        <w:t>difficile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7C142C36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2CF11C37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Hipomagnez</w:t>
      </w:r>
      <w:r w:rsidR="003D0663" w:rsidRPr="003E0A1F">
        <w:rPr>
          <w:i/>
          <w:iCs/>
          <w:color w:val="000000"/>
          <w:szCs w:val="22"/>
          <w:u w:val="single"/>
          <w:lang w:val="sr-Latn-ME"/>
        </w:rPr>
        <w:t>ij</w:t>
      </w:r>
      <w:r w:rsidRPr="003E0A1F">
        <w:rPr>
          <w:i/>
          <w:iCs/>
          <w:color w:val="000000"/>
          <w:szCs w:val="22"/>
          <w:u w:val="single"/>
          <w:lang w:val="sr-Latn-ME"/>
        </w:rPr>
        <w:t>emija</w:t>
      </w:r>
      <w:proofErr w:type="spellEnd"/>
    </w:p>
    <w:p w14:paraId="38D4228D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Kod pacijenata koji su liječeni </w:t>
      </w:r>
      <w:proofErr w:type="spellStart"/>
      <w:r w:rsidRPr="003E0A1F">
        <w:rPr>
          <w:color w:val="000000"/>
          <w:szCs w:val="22"/>
          <w:lang w:val="sr-Latn-ME"/>
        </w:rPr>
        <w:t>inhibitorima</w:t>
      </w:r>
      <w:proofErr w:type="spellEnd"/>
      <w:r w:rsidRPr="003E0A1F">
        <w:rPr>
          <w:color w:val="000000"/>
          <w:szCs w:val="22"/>
          <w:lang w:val="sr-Latn-ME"/>
        </w:rPr>
        <w:t xml:space="preserve"> protonske pumpe (IPP) kao što je </w:t>
      </w: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 tokom najmanje tri mjeseca, a u većini slučajeva tokom godinu dana, prijavljena je teška </w:t>
      </w:r>
      <w:proofErr w:type="spellStart"/>
      <w:r w:rsidRPr="003E0A1F">
        <w:rPr>
          <w:color w:val="000000"/>
          <w:szCs w:val="22"/>
          <w:lang w:val="sr-Latn-ME"/>
        </w:rPr>
        <w:t>hipomagnez</w:t>
      </w:r>
      <w:r w:rsidR="003D0663" w:rsidRPr="003E0A1F">
        <w:rPr>
          <w:color w:val="000000"/>
          <w:szCs w:val="22"/>
          <w:lang w:val="sr-Latn-ME"/>
        </w:rPr>
        <w:t>ij</w:t>
      </w:r>
      <w:r w:rsidRPr="003E0A1F">
        <w:rPr>
          <w:color w:val="000000"/>
          <w:szCs w:val="22"/>
          <w:lang w:val="sr-Latn-ME"/>
        </w:rPr>
        <w:t>emija</w:t>
      </w:r>
      <w:proofErr w:type="spellEnd"/>
      <w:r w:rsidRPr="003E0A1F">
        <w:rPr>
          <w:color w:val="000000"/>
          <w:szCs w:val="22"/>
          <w:lang w:val="sr-Latn-ME"/>
        </w:rPr>
        <w:t xml:space="preserve">. Mogu se javiti ozbiljne manifestacije </w:t>
      </w:r>
      <w:proofErr w:type="spellStart"/>
      <w:r w:rsidRPr="003E0A1F">
        <w:rPr>
          <w:color w:val="000000"/>
          <w:szCs w:val="22"/>
          <w:lang w:val="sr-Latn-ME"/>
        </w:rPr>
        <w:t>hipomagnez</w:t>
      </w:r>
      <w:r w:rsidR="003D0663" w:rsidRPr="003E0A1F">
        <w:rPr>
          <w:color w:val="000000"/>
          <w:szCs w:val="22"/>
          <w:lang w:val="sr-Latn-ME"/>
        </w:rPr>
        <w:t>ij</w:t>
      </w:r>
      <w:r w:rsidRPr="003E0A1F">
        <w:rPr>
          <w:color w:val="000000"/>
          <w:szCs w:val="22"/>
          <w:lang w:val="sr-Latn-ME"/>
        </w:rPr>
        <w:t>emije</w:t>
      </w:r>
      <w:proofErr w:type="spellEnd"/>
      <w:r w:rsidRPr="003E0A1F">
        <w:rPr>
          <w:color w:val="000000"/>
          <w:szCs w:val="22"/>
          <w:lang w:val="sr-Latn-ME"/>
        </w:rPr>
        <w:t xml:space="preserve">, kao što su umor, </w:t>
      </w:r>
      <w:proofErr w:type="spellStart"/>
      <w:r w:rsidRPr="003E0A1F">
        <w:rPr>
          <w:color w:val="000000"/>
          <w:szCs w:val="22"/>
          <w:lang w:val="sr-Latn-ME"/>
        </w:rPr>
        <w:t>tetanija</w:t>
      </w:r>
      <w:proofErr w:type="spellEnd"/>
      <w:r w:rsidRPr="003E0A1F">
        <w:rPr>
          <w:color w:val="000000"/>
          <w:szCs w:val="22"/>
          <w:lang w:val="sr-Latn-ME"/>
        </w:rPr>
        <w:t xml:space="preserve">, delirijum, konvulzije, vrtoglavica i </w:t>
      </w:r>
      <w:proofErr w:type="spellStart"/>
      <w:r w:rsidRPr="003E0A1F">
        <w:rPr>
          <w:color w:val="000000"/>
          <w:szCs w:val="22"/>
          <w:lang w:val="sr-Latn-ME"/>
        </w:rPr>
        <w:t>ventrikularna</w:t>
      </w:r>
      <w:proofErr w:type="spellEnd"/>
      <w:r w:rsidRPr="003E0A1F">
        <w:rPr>
          <w:color w:val="000000"/>
          <w:szCs w:val="22"/>
          <w:lang w:val="sr-Latn-ME"/>
        </w:rPr>
        <w:t xml:space="preserve"> aritmija, ali one mogu početi neprimjetno i previdjeti se. </w:t>
      </w:r>
      <w:proofErr w:type="spellStart"/>
      <w:r w:rsidRPr="003E0A1F">
        <w:rPr>
          <w:szCs w:val="22"/>
          <w:lang w:val="sr-Latn-ME"/>
        </w:rPr>
        <w:t>Hipomagnez</w:t>
      </w:r>
      <w:r w:rsidR="003D0663" w:rsidRPr="003E0A1F">
        <w:rPr>
          <w:szCs w:val="22"/>
          <w:lang w:val="sr-Latn-ME"/>
        </w:rPr>
        <w:t>ij</w:t>
      </w:r>
      <w:r w:rsidRPr="003E0A1F">
        <w:rPr>
          <w:szCs w:val="22"/>
          <w:lang w:val="sr-Latn-ME"/>
        </w:rPr>
        <w:t>emija</w:t>
      </w:r>
      <w:proofErr w:type="spellEnd"/>
      <w:r w:rsidRPr="003E0A1F">
        <w:rPr>
          <w:szCs w:val="22"/>
          <w:lang w:val="sr-Latn-ME"/>
        </w:rPr>
        <w:t xml:space="preserve"> može dovesti do </w:t>
      </w:r>
      <w:proofErr w:type="spellStart"/>
      <w:r w:rsidRPr="003E0A1F">
        <w:rPr>
          <w:szCs w:val="22"/>
          <w:lang w:val="sr-Latn-ME"/>
        </w:rPr>
        <w:t>hipokalc</w:t>
      </w:r>
      <w:r w:rsidR="003D0663" w:rsidRPr="003E0A1F">
        <w:rPr>
          <w:szCs w:val="22"/>
          <w:lang w:val="sr-Latn-ME"/>
        </w:rPr>
        <w:t>ij</w:t>
      </w:r>
      <w:r w:rsidRPr="003E0A1F">
        <w:rPr>
          <w:szCs w:val="22"/>
          <w:lang w:val="sr-Latn-ME"/>
        </w:rPr>
        <w:t>emije</w:t>
      </w:r>
      <w:proofErr w:type="spellEnd"/>
      <w:r w:rsidRPr="003E0A1F">
        <w:rPr>
          <w:szCs w:val="22"/>
          <w:lang w:val="sr-Latn-ME"/>
        </w:rPr>
        <w:t xml:space="preserve"> i/ili </w:t>
      </w:r>
      <w:proofErr w:type="spellStart"/>
      <w:r w:rsidRPr="003E0A1F">
        <w:rPr>
          <w:szCs w:val="22"/>
          <w:lang w:val="sr-Latn-ME"/>
        </w:rPr>
        <w:t>hipokalijemije</w:t>
      </w:r>
      <w:proofErr w:type="spellEnd"/>
      <w:r w:rsidRPr="003E0A1F">
        <w:rPr>
          <w:szCs w:val="22"/>
          <w:lang w:val="sr-Latn-ME"/>
        </w:rPr>
        <w:t xml:space="preserve"> (vidjeti dio 4.8). </w:t>
      </w:r>
      <w:r w:rsidRPr="003E0A1F">
        <w:rPr>
          <w:color w:val="000000"/>
          <w:szCs w:val="22"/>
          <w:lang w:val="sr-Latn-ME"/>
        </w:rPr>
        <w:t xml:space="preserve">Kod većine pacijenata, </w:t>
      </w:r>
      <w:proofErr w:type="spellStart"/>
      <w:r w:rsidRPr="003E0A1F">
        <w:rPr>
          <w:color w:val="000000"/>
          <w:szCs w:val="22"/>
          <w:lang w:val="sr-Latn-ME"/>
        </w:rPr>
        <w:t>hipomagnez</w:t>
      </w:r>
      <w:r w:rsidR="003D0663" w:rsidRPr="003E0A1F">
        <w:rPr>
          <w:color w:val="000000"/>
          <w:szCs w:val="22"/>
          <w:lang w:val="sr-Latn-ME"/>
        </w:rPr>
        <w:t>ij</w:t>
      </w:r>
      <w:r w:rsidRPr="003E0A1F">
        <w:rPr>
          <w:color w:val="000000"/>
          <w:szCs w:val="22"/>
          <w:lang w:val="sr-Latn-ME"/>
        </w:rPr>
        <w:t>emija</w:t>
      </w:r>
      <w:proofErr w:type="spellEnd"/>
      <w:r w:rsidRPr="003E0A1F">
        <w:rPr>
          <w:color w:val="000000"/>
          <w:szCs w:val="22"/>
          <w:lang w:val="sr-Latn-ME"/>
        </w:rPr>
        <w:t xml:space="preserve"> (i </w:t>
      </w:r>
      <w:proofErr w:type="spellStart"/>
      <w:r w:rsidRPr="003E0A1F">
        <w:rPr>
          <w:color w:val="000000"/>
          <w:szCs w:val="22"/>
          <w:lang w:val="sr-Latn-ME"/>
        </w:rPr>
        <w:t>hipomagnez</w:t>
      </w:r>
      <w:r w:rsidR="003D0663" w:rsidRPr="003E0A1F">
        <w:rPr>
          <w:color w:val="000000"/>
          <w:szCs w:val="22"/>
          <w:lang w:val="sr-Latn-ME"/>
        </w:rPr>
        <w:t>ij</w:t>
      </w:r>
      <w:r w:rsidRPr="003E0A1F">
        <w:rPr>
          <w:color w:val="000000"/>
          <w:szCs w:val="22"/>
          <w:lang w:val="sr-Latn-ME"/>
        </w:rPr>
        <w:t>emija</w:t>
      </w:r>
      <w:proofErr w:type="spellEnd"/>
      <w:r w:rsidRPr="003E0A1F">
        <w:rPr>
          <w:color w:val="000000"/>
          <w:szCs w:val="22"/>
          <w:lang w:val="sr-Latn-ME"/>
        </w:rPr>
        <w:t xml:space="preserve"> udružena sa </w:t>
      </w:r>
      <w:proofErr w:type="spellStart"/>
      <w:r w:rsidRPr="003E0A1F">
        <w:rPr>
          <w:color w:val="000000"/>
          <w:szCs w:val="22"/>
          <w:lang w:val="sr-Latn-ME"/>
        </w:rPr>
        <w:t>hipokalc</w:t>
      </w:r>
      <w:r w:rsidR="003D0663" w:rsidRPr="003E0A1F">
        <w:rPr>
          <w:color w:val="000000"/>
          <w:szCs w:val="22"/>
          <w:lang w:val="sr-Latn-ME"/>
        </w:rPr>
        <w:t>ij</w:t>
      </w:r>
      <w:r w:rsidRPr="003E0A1F">
        <w:rPr>
          <w:color w:val="000000"/>
          <w:szCs w:val="22"/>
          <w:lang w:val="sr-Latn-ME"/>
        </w:rPr>
        <w:t>emijom</w:t>
      </w:r>
      <w:proofErr w:type="spellEnd"/>
      <w:r w:rsidRPr="003E0A1F">
        <w:rPr>
          <w:color w:val="000000"/>
          <w:szCs w:val="22"/>
          <w:lang w:val="sr-Latn-ME"/>
        </w:rPr>
        <w:t xml:space="preserve"> i/ili </w:t>
      </w:r>
      <w:proofErr w:type="spellStart"/>
      <w:r w:rsidRPr="003E0A1F">
        <w:rPr>
          <w:color w:val="000000"/>
          <w:szCs w:val="22"/>
          <w:lang w:val="sr-Latn-ME"/>
        </w:rPr>
        <w:t>hipokalijemijom</w:t>
      </w:r>
      <w:proofErr w:type="spellEnd"/>
      <w:r w:rsidRPr="003E0A1F">
        <w:rPr>
          <w:color w:val="000000"/>
          <w:szCs w:val="22"/>
          <w:lang w:val="sr-Latn-ME"/>
        </w:rPr>
        <w:t>) se povlači nakon primjene magnezijuma i prekida terapije IPP.</w:t>
      </w:r>
    </w:p>
    <w:p w14:paraId="3D3E5A62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1C1E2F4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Kada se očekuje da će pacijenti biti na dugotrajnoj terapiji ili kada se IPP primjenjuju sa </w:t>
      </w:r>
      <w:proofErr w:type="spellStart"/>
      <w:r w:rsidRPr="003E0A1F">
        <w:rPr>
          <w:color w:val="000000"/>
          <w:szCs w:val="22"/>
          <w:lang w:val="sr-Latn-ME"/>
        </w:rPr>
        <w:t>digoksinom</w:t>
      </w:r>
      <w:proofErr w:type="spellEnd"/>
      <w:r w:rsidRPr="003E0A1F">
        <w:rPr>
          <w:color w:val="000000"/>
          <w:szCs w:val="22"/>
          <w:lang w:val="sr-Latn-ME"/>
        </w:rPr>
        <w:t xml:space="preserve"> ili drugim ljekovima koji mogu prouzrokovati </w:t>
      </w:r>
      <w:proofErr w:type="spellStart"/>
      <w:r w:rsidRPr="003E0A1F">
        <w:rPr>
          <w:color w:val="000000"/>
          <w:szCs w:val="22"/>
          <w:lang w:val="sr-Latn-ME"/>
        </w:rPr>
        <w:t>hipomagnez</w:t>
      </w:r>
      <w:r w:rsidR="003D0663" w:rsidRPr="003E0A1F">
        <w:rPr>
          <w:color w:val="000000"/>
          <w:szCs w:val="22"/>
          <w:lang w:val="sr-Latn-ME"/>
        </w:rPr>
        <w:t>ij</w:t>
      </w:r>
      <w:r w:rsidRPr="003E0A1F">
        <w:rPr>
          <w:color w:val="000000"/>
          <w:szCs w:val="22"/>
          <w:lang w:val="sr-Latn-ME"/>
        </w:rPr>
        <w:t>emiju</w:t>
      </w:r>
      <w:proofErr w:type="spellEnd"/>
      <w:r w:rsidRPr="003E0A1F">
        <w:rPr>
          <w:color w:val="000000"/>
          <w:szCs w:val="22"/>
          <w:lang w:val="sr-Latn-ME"/>
        </w:rPr>
        <w:t xml:space="preserve"> (npr. </w:t>
      </w:r>
      <w:proofErr w:type="spellStart"/>
      <w:r w:rsidRPr="003E0A1F">
        <w:rPr>
          <w:color w:val="000000"/>
          <w:szCs w:val="22"/>
          <w:lang w:val="sr-Latn-ME"/>
        </w:rPr>
        <w:t>diuretici</w:t>
      </w:r>
      <w:proofErr w:type="spellEnd"/>
      <w:r w:rsidRPr="003E0A1F">
        <w:rPr>
          <w:color w:val="000000"/>
          <w:szCs w:val="22"/>
          <w:lang w:val="sr-Latn-ME"/>
        </w:rPr>
        <w:t>), zdravstveni radnik treba da razmotri mjerenje nivoa magnezijuma prije početka terapije IPP i periodično u toku terapije.</w:t>
      </w:r>
    </w:p>
    <w:p w14:paraId="4D0984AC" w14:textId="77777777" w:rsidR="0040341B" w:rsidRPr="003E0A1F" w:rsidRDefault="0040341B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0133A350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i/>
          <w:iCs/>
          <w:color w:val="000000"/>
          <w:szCs w:val="22"/>
          <w:u w:val="single"/>
          <w:lang w:val="sr-Latn-ME"/>
        </w:rPr>
        <w:t>Frakture kostiju</w:t>
      </w:r>
    </w:p>
    <w:p w14:paraId="350CEBF6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/>
        </w:rPr>
        <w:t>Inhibitori</w:t>
      </w:r>
      <w:proofErr w:type="spellEnd"/>
      <w:r w:rsidRPr="003E0A1F">
        <w:rPr>
          <w:color w:val="000000"/>
          <w:szCs w:val="22"/>
          <w:lang w:val="sr-Latn-ME"/>
        </w:rPr>
        <w:t xml:space="preserve"> protonske pumpe (IPP), naročito ako se koriste u visokim dozama i dugoročno (više od 1 godine), mogu umjereno povećati rizik od </w:t>
      </w:r>
      <w:proofErr w:type="spellStart"/>
      <w:r w:rsidRPr="003E0A1F">
        <w:rPr>
          <w:color w:val="000000"/>
          <w:szCs w:val="22"/>
          <w:lang w:val="sr-Latn-ME"/>
        </w:rPr>
        <w:t>preloma</w:t>
      </w:r>
      <w:proofErr w:type="spellEnd"/>
      <w:r w:rsidRPr="003E0A1F">
        <w:rPr>
          <w:color w:val="000000"/>
          <w:szCs w:val="22"/>
          <w:lang w:val="sr-Latn-ME"/>
        </w:rPr>
        <w:t xml:space="preserve"> kuka, ručnog zgloba i kičme, </w:t>
      </w:r>
      <w:proofErr w:type="spellStart"/>
      <w:r w:rsidRPr="003E0A1F">
        <w:rPr>
          <w:color w:val="000000"/>
          <w:szCs w:val="22"/>
          <w:lang w:val="sr-Latn-ME"/>
        </w:rPr>
        <w:t>pretežno</w:t>
      </w:r>
      <w:proofErr w:type="spellEnd"/>
      <w:r w:rsidRPr="003E0A1F">
        <w:rPr>
          <w:color w:val="000000"/>
          <w:szCs w:val="22"/>
          <w:lang w:val="sr-Latn-ME"/>
        </w:rPr>
        <w:t xml:space="preserve"> kod starijih osoba ili u prisustvu drugih poznatih faktora rizika. Opservacione studije pokazuju da IPP mogu povećati ukupni rizik od </w:t>
      </w:r>
      <w:proofErr w:type="spellStart"/>
      <w:r w:rsidRPr="003E0A1F">
        <w:rPr>
          <w:color w:val="000000"/>
          <w:szCs w:val="22"/>
          <w:lang w:val="sr-Latn-ME"/>
        </w:rPr>
        <w:t>preloma</w:t>
      </w:r>
      <w:proofErr w:type="spellEnd"/>
      <w:r w:rsidRPr="003E0A1F">
        <w:rPr>
          <w:color w:val="000000"/>
          <w:szCs w:val="22"/>
          <w:lang w:val="sr-Latn-ME"/>
        </w:rPr>
        <w:t xml:space="preserve"> za 10-40%. Ovo povećanje može biti posljedica drugih faktora rizika. Pacijenti sa povećanim rizikom od </w:t>
      </w:r>
      <w:proofErr w:type="spellStart"/>
      <w:r w:rsidRPr="003E0A1F">
        <w:rPr>
          <w:color w:val="000000"/>
          <w:szCs w:val="22"/>
          <w:lang w:val="sr-Latn-ME"/>
        </w:rPr>
        <w:t>osteoporoze</w:t>
      </w:r>
      <w:proofErr w:type="spellEnd"/>
      <w:r w:rsidRPr="003E0A1F">
        <w:rPr>
          <w:color w:val="000000"/>
          <w:szCs w:val="22"/>
          <w:lang w:val="sr-Latn-ME"/>
        </w:rPr>
        <w:t xml:space="preserve"> treba da imaju </w:t>
      </w:r>
      <w:proofErr w:type="spellStart"/>
      <w:r w:rsidRPr="003E0A1F">
        <w:rPr>
          <w:color w:val="000000"/>
          <w:szCs w:val="22"/>
          <w:lang w:val="sr-Latn-ME"/>
        </w:rPr>
        <w:t>njegu</w:t>
      </w:r>
      <w:proofErr w:type="spellEnd"/>
      <w:r w:rsidRPr="003E0A1F">
        <w:rPr>
          <w:color w:val="000000"/>
          <w:szCs w:val="22"/>
          <w:lang w:val="sr-Latn-ME"/>
        </w:rPr>
        <w:t xml:space="preserve"> u skladu sa važećim kliničkim vodičima, kao i odgovarajući unos vitamina D i kalcijuma.</w:t>
      </w:r>
    </w:p>
    <w:p w14:paraId="4BC5032D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</w:p>
    <w:p w14:paraId="6017AD46" w14:textId="77777777" w:rsidR="0040341B" w:rsidRPr="003E0A1F" w:rsidRDefault="00B87F20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Cs/>
          <w:spacing w:val="-3"/>
          <w:szCs w:val="22"/>
          <w:lang w:val="sr-Latn-ME"/>
        </w:rPr>
      </w:pPr>
      <w:r w:rsidRPr="003E0A1F">
        <w:rPr>
          <w:i/>
          <w:spacing w:val="-3"/>
          <w:szCs w:val="22"/>
          <w:u w:val="single"/>
          <w:lang w:val="sr-Latn-ME"/>
        </w:rPr>
        <w:t xml:space="preserve">Ozbiljne kožne neželjene reakcije (engl. </w:t>
      </w:r>
      <w:proofErr w:type="spellStart"/>
      <w:r w:rsidRPr="003E0A1F">
        <w:rPr>
          <w:i/>
          <w:spacing w:val="-3"/>
          <w:szCs w:val="22"/>
          <w:u w:val="single"/>
          <w:lang w:val="sr-Latn-ME"/>
        </w:rPr>
        <w:t>severe</w:t>
      </w:r>
      <w:proofErr w:type="spellEnd"/>
      <w:r w:rsidRPr="003E0A1F">
        <w:rPr>
          <w:i/>
          <w:spacing w:val="-3"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spacing w:val="-3"/>
          <w:szCs w:val="22"/>
          <w:u w:val="single"/>
          <w:lang w:val="sr-Latn-ME"/>
        </w:rPr>
        <w:t>cutaneous</w:t>
      </w:r>
      <w:proofErr w:type="spellEnd"/>
      <w:r w:rsidRPr="003E0A1F">
        <w:rPr>
          <w:i/>
          <w:spacing w:val="-3"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spacing w:val="-3"/>
          <w:szCs w:val="22"/>
          <w:u w:val="single"/>
          <w:lang w:val="sr-Latn-ME"/>
        </w:rPr>
        <w:t>adverse</w:t>
      </w:r>
      <w:proofErr w:type="spellEnd"/>
      <w:r w:rsidRPr="003E0A1F">
        <w:rPr>
          <w:i/>
          <w:spacing w:val="-3"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spacing w:val="-3"/>
          <w:szCs w:val="22"/>
          <w:u w:val="single"/>
          <w:lang w:val="sr-Latn-ME"/>
        </w:rPr>
        <w:t>reactions</w:t>
      </w:r>
      <w:proofErr w:type="spellEnd"/>
      <w:r w:rsidRPr="003E0A1F">
        <w:rPr>
          <w:i/>
          <w:spacing w:val="-3"/>
          <w:szCs w:val="22"/>
          <w:u w:val="single"/>
          <w:lang w:val="sr-Latn-ME"/>
        </w:rPr>
        <w:t xml:space="preserve">, </w:t>
      </w:r>
      <w:proofErr w:type="spellStart"/>
      <w:r w:rsidRPr="003E0A1F">
        <w:rPr>
          <w:i/>
          <w:spacing w:val="-3"/>
          <w:szCs w:val="22"/>
          <w:u w:val="single"/>
          <w:lang w:val="sr-Latn-ME"/>
        </w:rPr>
        <w:t>SCARs</w:t>
      </w:r>
      <w:proofErr w:type="spellEnd"/>
      <w:r w:rsidRPr="003E0A1F">
        <w:rPr>
          <w:i/>
          <w:spacing w:val="-3"/>
          <w:szCs w:val="22"/>
          <w:u w:val="single"/>
          <w:lang w:val="sr-Latn-ME"/>
        </w:rPr>
        <w:t>,)</w:t>
      </w:r>
      <w:r w:rsidRPr="003E0A1F">
        <w:rPr>
          <w:i/>
          <w:spacing w:val="-3"/>
          <w:szCs w:val="22"/>
          <w:u w:val="single"/>
          <w:lang w:val="sr-Latn-ME"/>
        </w:rPr>
        <w:cr/>
      </w:r>
      <w:r w:rsidRPr="003E0A1F">
        <w:rPr>
          <w:iCs/>
          <w:spacing w:val="-3"/>
          <w:szCs w:val="22"/>
          <w:lang w:val="sr-Latn-ME"/>
        </w:rPr>
        <w:t>Prijavljene su teške kožne neželjene reakcije (</w:t>
      </w:r>
      <w:proofErr w:type="spellStart"/>
      <w:r w:rsidRPr="003E0A1F">
        <w:rPr>
          <w:iCs/>
          <w:spacing w:val="-3"/>
          <w:szCs w:val="22"/>
          <w:lang w:val="sr-Latn-ME"/>
        </w:rPr>
        <w:t>SCARs</w:t>
      </w:r>
      <w:proofErr w:type="spellEnd"/>
      <w:r w:rsidRPr="003E0A1F">
        <w:rPr>
          <w:iCs/>
          <w:spacing w:val="-3"/>
          <w:szCs w:val="22"/>
          <w:lang w:val="sr-Latn-ME"/>
        </w:rPr>
        <w:t xml:space="preserve">) nepoznate učestalosti, uključujući </w:t>
      </w:r>
      <w:proofErr w:type="spellStart"/>
      <w:r w:rsidRPr="003E0A1F">
        <w:rPr>
          <w:iCs/>
          <w:spacing w:val="-3"/>
          <w:szCs w:val="22"/>
          <w:lang w:val="sr-Latn-ME"/>
        </w:rPr>
        <w:t>multiformni</w:t>
      </w:r>
      <w:proofErr w:type="spellEnd"/>
      <w:r w:rsidRPr="003E0A1F">
        <w:rPr>
          <w:iCs/>
          <w:spacing w:val="-3"/>
          <w:szCs w:val="22"/>
          <w:lang w:val="sr-Latn-ME"/>
        </w:rPr>
        <w:t xml:space="preserve"> </w:t>
      </w:r>
      <w:proofErr w:type="spellStart"/>
      <w:r w:rsidRPr="003E0A1F">
        <w:rPr>
          <w:iCs/>
          <w:spacing w:val="-3"/>
          <w:szCs w:val="22"/>
          <w:lang w:val="sr-Latn-ME"/>
        </w:rPr>
        <w:t>eritem</w:t>
      </w:r>
      <w:proofErr w:type="spellEnd"/>
      <w:r w:rsidRPr="003E0A1F">
        <w:rPr>
          <w:iCs/>
          <w:spacing w:val="-3"/>
          <w:szCs w:val="22"/>
          <w:lang w:val="sr-Latn-ME"/>
        </w:rPr>
        <w:t xml:space="preserve">, </w:t>
      </w:r>
      <w:proofErr w:type="spellStart"/>
      <w:r w:rsidRPr="003E0A1F">
        <w:rPr>
          <w:i/>
          <w:iCs/>
          <w:spacing w:val="-3"/>
          <w:szCs w:val="22"/>
          <w:lang w:val="sr-Latn-ME"/>
        </w:rPr>
        <w:t>Stevens</w:t>
      </w:r>
      <w:proofErr w:type="spellEnd"/>
      <w:r w:rsidRPr="003E0A1F">
        <w:rPr>
          <w:i/>
          <w:iCs/>
          <w:spacing w:val="-3"/>
          <w:szCs w:val="22"/>
          <w:lang w:val="sr-Latn-ME"/>
        </w:rPr>
        <w:t>-Johnson</w:t>
      </w:r>
      <w:r w:rsidR="00322B0E" w:rsidRPr="003E0A1F">
        <w:rPr>
          <w:iCs/>
          <w:spacing w:val="-3"/>
          <w:szCs w:val="22"/>
          <w:lang w:val="sr-Latn-ME"/>
        </w:rPr>
        <w:t>-</w:t>
      </w:r>
      <w:r w:rsidRPr="003E0A1F">
        <w:rPr>
          <w:iCs/>
          <w:spacing w:val="-3"/>
          <w:szCs w:val="22"/>
          <w:lang w:val="sr-Latn-ME"/>
        </w:rPr>
        <w:t xml:space="preserve">ov sindrom (SJS), toksičnu </w:t>
      </w:r>
      <w:proofErr w:type="spellStart"/>
      <w:r w:rsidRPr="003E0A1F">
        <w:rPr>
          <w:iCs/>
          <w:spacing w:val="-3"/>
          <w:szCs w:val="22"/>
          <w:lang w:val="sr-Latn-ME"/>
        </w:rPr>
        <w:t>epidermalnu</w:t>
      </w:r>
      <w:proofErr w:type="spellEnd"/>
      <w:r w:rsidRPr="003E0A1F">
        <w:rPr>
          <w:iCs/>
          <w:spacing w:val="-3"/>
          <w:szCs w:val="22"/>
          <w:lang w:val="sr-Latn-ME"/>
        </w:rPr>
        <w:t xml:space="preserve"> </w:t>
      </w:r>
      <w:proofErr w:type="spellStart"/>
      <w:r w:rsidRPr="003E0A1F">
        <w:rPr>
          <w:iCs/>
          <w:spacing w:val="-3"/>
          <w:szCs w:val="22"/>
          <w:lang w:val="sr-Latn-ME"/>
        </w:rPr>
        <w:t>nekrolizu</w:t>
      </w:r>
      <w:proofErr w:type="spellEnd"/>
      <w:r w:rsidRPr="003E0A1F">
        <w:rPr>
          <w:iCs/>
          <w:spacing w:val="-3"/>
          <w:szCs w:val="22"/>
          <w:lang w:val="sr-Latn-ME"/>
        </w:rPr>
        <w:t xml:space="preserve"> (TEN) i reakciju na lijek praćenu </w:t>
      </w:r>
      <w:proofErr w:type="spellStart"/>
      <w:r w:rsidRPr="003E0A1F">
        <w:rPr>
          <w:iCs/>
          <w:spacing w:val="-3"/>
          <w:szCs w:val="22"/>
          <w:lang w:val="sr-Latn-ME"/>
        </w:rPr>
        <w:t>eozinofilijom</w:t>
      </w:r>
      <w:proofErr w:type="spellEnd"/>
      <w:r w:rsidRPr="003E0A1F">
        <w:rPr>
          <w:iCs/>
          <w:spacing w:val="-3"/>
          <w:szCs w:val="22"/>
          <w:lang w:val="sr-Latn-ME"/>
        </w:rPr>
        <w:t xml:space="preserve"> i sistemskim simptomima (</w:t>
      </w:r>
      <w:r w:rsidRPr="003E0A1F">
        <w:rPr>
          <w:i/>
          <w:spacing w:val="-3"/>
          <w:szCs w:val="22"/>
          <w:lang w:val="sr-Latn-ME"/>
        </w:rPr>
        <w:t xml:space="preserve">engl. drug </w:t>
      </w:r>
      <w:proofErr w:type="spellStart"/>
      <w:r w:rsidRPr="003E0A1F">
        <w:rPr>
          <w:i/>
          <w:spacing w:val="-3"/>
          <w:szCs w:val="22"/>
          <w:lang w:val="sr-Latn-ME"/>
        </w:rPr>
        <w:t>reaction</w:t>
      </w:r>
      <w:proofErr w:type="spellEnd"/>
      <w:r w:rsidRPr="003E0A1F">
        <w:rPr>
          <w:i/>
          <w:spacing w:val="-3"/>
          <w:szCs w:val="22"/>
          <w:lang w:val="sr-Latn-ME"/>
        </w:rPr>
        <w:t xml:space="preserve"> </w:t>
      </w:r>
      <w:proofErr w:type="spellStart"/>
      <w:r w:rsidRPr="003E0A1F">
        <w:rPr>
          <w:i/>
          <w:spacing w:val="-3"/>
          <w:szCs w:val="22"/>
          <w:lang w:val="sr-Latn-ME"/>
        </w:rPr>
        <w:t>with</w:t>
      </w:r>
      <w:proofErr w:type="spellEnd"/>
      <w:r w:rsidRPr="003E0A1F">
        <w:rPr>
          <w:i/>
          <w:spacing w:val="-3"/>
          <w:szCs w:val="22"/>
          <w:lang w:val="sr-Latn-ME"/>
        </w:rPr>
        <w:t xml:space="preserve"> </w:t>
      </w:r>
      <w:proofErr w:type="spellStart"/>
      <w:r w:rsidRPr="003E0A1F">
        <w:rPr>
          <w:i/>
          <w:spacing w:val="-3"/>
          <w:szCs w:val="22"/>
          <w:lang w:val="sr-Latn-ME"/>
        </w:rPr>
        <w:t>eosinophilia</w:t>
      </w:r>
      <w:proofErr w:type="spellEnd"/>
      <w:r w:rsidRPr="003E0A1F">
        <w:rPr>
          <w:i/>
          <w:spacing w:val="-3"/>
          <w:szCs w:val="22"/>
          <w:lang w:val="sr-Latn-ME"/>
        </w:rPr>
        <w:t xml:space="preserve"> </w:t>
      </w:r>
      <w:proofErr w:type="spellStart"/>
      <w:r w:rsidRPr="003E0A1F">
        <w:rPr>
          <w:i/>
          <w:spacing w:val="-3"/>
          <w:szCs w:val="22"/>
          <w:lang w:val="sr-Latn-ME"/>
        </w:rPr>
        <w:t>and</w:t>
      </w:r>
      <w:proofErr w:type="spellEnd"/>
      <w:r w:rsidRPr="003E0A1F">
        <w:rPr>
          <w:i/>
          <w:spacing w:val="-3"/>
          <w:szCs w:val="22"/>
          <w:lang w:val="sr-Latn-ME"/>
        </w:rPr>
        <w:t xml:space="preserve"> </w:t>
      </w:r>
      <w:proofErr w:type="spellStart"/>
      <w:r w:rsidRPr="003E0A1F">
        <w:rPr>
          <w:i/>
          <w:spacing w:val="-3"/>
          <w:szCs w:val="22"/>
          <w:lang w:val="sr-Latn-ME"/>
        </w:rPr>
        <w:t>systemic</w:t>
      </w:r>
      <w:proofErr w:type="spellEnd"/>
      <w:r w:rsidRPr="003E0A1F">
        <w:rPr>
          <w:i/>
          <w:spacing w:val="-3"/>
          <w:szCs w:val="22"/>
          <w:lang w:val="sr-Latn-ME"/>
        </w:rPr>
        <w:t xml:space="preserve"> </w:t>
      </w:r>
      <w:proofErr w:type="spellStart"/>
      <w:r w:rsidRPr="003E0A1F">
        <w:rPr>
          <w:i/>
          <w:spacing w:val="-3"/>
          <w:szCs w:val="22"/>
          <w:lang w:val="sr-Latn-ME"/>
        </w:rPr>
        <w:t>symptoms</w:t>
      </w:r>
      <w:proofErr w:type="spellEnd"/>
      <w:r w:rsidRPr="003E0A1F">
        <w:rPr>
          <w:iCs/>
          <w:spacing w:val="-3"/>
          <w:szCs w:val="22"/>
          <w:lang w:val="sr-Latn-ME"/>
        </w:rPr>
        <w:t xml:space="preserve">, DRESS) povezane sa liječenjem </w:t>
      </w:r>
      <w:proofErr w:type="spellStart"/>
      <w:r w:rsidRPr="003E0A1F">
        <w:rPr>
          <w:iCs/>
          <w:spacing w:val="-3"/>
          <w:szCs w:val="22"/>
          <w:lang w:val="sr-Latn-ME"/>
        </w:rPr>
        <w:t>pantoprazolom</w:t>
      </w:r>
      <w:proofErr w:type="spellEnd"/>
      <w:r w:rsidRPr="003E0A1F">
        <w:rPr>
          <w:iCs/>
          <w:spacing w:val="-3"/>
          <w:szCs w:val="22"/>
          <w:lang w:val="sr-Latn-ME"/>
        </w:rPr>
        <w:t>, a koje mogu biti opasane po život ili smrtonosne (vidjeti dio 4.8.). Pacijente je potrebno savjetovati o znakovima i simptomima ovih reakcija i pažljivo pratiti moguću pojavu istih</w:t>
      </w:r>
      <w:r w:rsidR="00322B0E" w:rsidRPr="003E0A1F">
        <w:rPr>
          <w:iCs/>
          <w:spacing w:val="-3"/>
          <w:szCs w:val="22"/>
          <w:lang w:val="sr-Latn-ME"/>
        </w:rPr>
        <w:t xml:space="preserve">. </w:t>
      </w:r>
      <w:r w:rsidRPr="003E0A1F">
        <w:rPr>
          <w:iCs/>
          <w:spacing w:val="-3"/>
          <w:szCs w:val="22"/>
          <w:lang w:val="sr-Latn-ME"/>
        </w:rPr>
        <w:t xml:space="preserve">U slučaju pojavljivanja znakova i simptoma koji upućuju na navedene reakcije, potrebno je odmah prekinuti primjenu </w:t>
      </w:r>
      <w:proofErr w:type="spellStart"/>
      <w:r w:rsidRPr="003E0A1F">
        <w:rPr>
          <w:iCs/>
          <w:spacing w:val="-3"/>
          <w:szCs w:val="22"/>
          <w:lang w:val="sr-Latn-ME"/>
        </w:rPr>
        <w:t>pantoprazola</w:t>
      </w:r>
      <w:proofErr w:type="spellEnd"/>
      <w:r w:rsidRPr="003E0A1F">
        <w:rPr>
          <w:iCs/>
          <w:spacing w:val="-3"/>
          <w:szCs w:val="22"/>
          <w:lang w:val="sr-Latn-ME"/>
        </w:rPr>
        <w:t xml:space="preserve"> i razmotriti </w:t>
      </w:r>
      <w:proofErr w:type="spellStart"/>
      <w:r w:rsidRPr="003E0A1F">
        <w:rPr>
          <w:iCs/>
          <w:spacing w:val="-3"/>
          <w:szCs w:val="22"/>
          <w:lang w:val="sr-Latn-ME"/>
        </w:rPr>
        <w:t>zamjenske</w:t>
      </w:r>
      <w:proofErr w:type="spellEnd"/>
      <w:r w:rsidRPr="003E0A1F">
        <w:rPr>
          <w:iCs/>
          <w:spacing w:val="-3"/>
          <w:szCs w:val="22"/>
          <w:lang w:val="sr-Latn-ME"/>
        </w:rPr>
        <w:t xml:space="preserve"> terapijske opcije.</w:t>
      </w:r>
    </w:p>
    <w:p w14:paraId="075F4960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i/>
          <w:color w:val="000000"/>
          <w:szCs w:val="22"/>
          <w:lang w:val="sr-Latn-ME"/>
        </w:rPr>
      </w:pPr>
    </w:p>
    <w:p w14:paraId="6D8E8D69" w14:textId="77777777" w:rsidR="0040341B" w:rsidRPr="003E0A1F" w:rsidRDefault="00B87F20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u w:val="single"/>
          <w:lang w:val="sr-Latn-ME"/>
        </w:rPr>
      </w:pPr>
      <w:proofErr w:type="spellStart"/>
      <w:r w:rsidRPr="003E0A1F">
        <w:rPr>
          <w:i/>
          <w:szCs w:val="22"/>
          <w:u w:val="single"/>
          <w:lang w:val="sr-Latn-ME"/>
        </w:rPr>
        <w:t>Subakutni</w:t>
      </w:r>
      <w:proofErr w:type="spellEnd"/>
      <w:r w:rsidRPr="003E0A1F">
        <w:rPr>
          <w:i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szCs w:val="22"/>
          <w:u w:val="single"/>
          <w:lang w:val="sr-Latn-ME"/>
        </w:rPr>
        <w:t>kutani</w:t>
      </w:r>
      <w:proofErr w:type="spellEnd"/>
      <w:r w:rsidRPr="003E0A1F">
        <w:rPr>
          <w:i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szCs w:val="22"/>
          <w:u w:val="single"/>
          <w:lang w:val="sr-Latn-ME"/>
        </w:rPr>
        <w:t>lupus</w:t>
      </w:r>
      <w:proofErr w:type="spellEnd"/>
      <w:r w:rsidRPr="003E0A1F">
        <w:rPr>
          <w:i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szCs w:val="22"/>
          <w:u w:val="single"/>
          <w:lang w:val="sr-Latn-ME"/>
        </w:rPr>
        <w:t>erythematosus</w:t>
      </w:r>
      <w:proofErr w:type="spellEnd"/>
      <w:r w:rsidRPr="003E0A1F">
        <w:rPr>
          <w:i/>
          <w:szCs w:val="22"/>
          <w:u w:val="single"/>
          <w:lang w:val="sr-Latn-ME"/>
        </w:rPr>
        <w:t xml:space="preserve"> (SCLE)</w:t>
      </w:r>
    </w:p>
    <w:p w14:paraId="10D3F56D" w14:textId="77777777" w:rsidR="0040341B" w:rsidRPr="003E0A1F" w:rsidRDefault="00B87F20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Primjena </w:t>
      </w:r>
      <w:proofErr w:type="spellStart"/>
      <w:r w:rsidRPr="003E0A1F">
        <w:rPr>
          <w:szCs w:val="22"/>
          <w:lang w:val="sr-Latn-ME"/>
        </w:rPr>
        <w:t>inhibitora</w:t>
      </w:r>
      <w:proofErr w:type="spellEnd"/>
      <w:r w:rsidRPr="003E0A1F">
        <w:rPr>
          <w:szCs w:val="22"/>
          <w:lang w:val="sr-Latn-ME"/>
        </w:rPr>
        <w:t xml:space="preserve"> protonske pumpe je povezana sa veoma rijetkim slučajevima SCLE. Ukoliko se pojave </w:t>
      </w:r>
      <w:proofErr w:type="spellStart"/>
      <w:r w:rsidRPr="003E0A1F">
        <w:rPr>
          <w:szCs w:val="22"/>
          <w:lang w:val="sr-Latn-ME"/>
        </w:rPr>
        <w:t>lezije</w:t>
      </w:r>
      <w:proofErr w:type="spellEnd"/>
      <w:r w:rsidRPr="003E0A1F">
        <w:rPr>
          <w:szCs w:val="22"/>
          <w:lang w:val="sr-Latn-ME"/>
        </w:rPr>
        <w:t xml:space="preserve">, naročito na regijama kože izloženim sunčevim zracima, i ukoliko pojavu ovih simptoma prati i </w:t>
      </w:r>
      <w:proofErr w:type="spellStart"/>
      <w:r w:rsidRPr="003E0A1F">
        <w:rPr>
          <w:szCs w:val="22"/>
          <w:lang w:val="sr-Latn-ME"/>
        </w:rPr>
        <w:t>artralgija</w:t>
      </w:r>
      <w:proofErr w:type="spellEnd"/>
      <w:r w:rsidRPr="003E0A1F">
        <w:rPr>
          <w:szCs w:val="22"/>
          <w:lang w:val="sr-Latn-ME"/>
        </w:rPr>
        <w:t xml:space="preserve">, pacijent treba odmah da potraži medicinsku pomoć, dok bi ljekar trebalo da razmotri prekid primjene lijeka </w:t>
      </w:r>
      <w:proofErr w:type="spellStart"/>
      <w:r w:rsidRPr="003E0A1F">
        <w:rPr>
          <w:szCs w:val="22"/>
          <w:lang w:val="sr-Latn-ME"/>
        </w:rPr>
        <w:t>Nolpaza</w:t>
      </w:r>
      <w:proofErr w:type="spellEnd"/>
      <w:r w:rsidRPr="003E0A1F">
        <w:rPr>
          <w:szCs w:val="22"/>
          <w:lang w:val="sr-Latn-ME"/>
        </w:rPr>
        <w:t xml:space="preserve">. SCLE nakon prethodne terapije </w:t>
      </w:r>
      <w:proofErr w:type="spellStart"/>
      <w:r w:rsidRPr="003E0A1F">
        <w:rPr>
          <w:szCs w:val="22"/>
          <w:lang w:val="sr-Latn-ME"/>
        </w:rPr>
        <w:t>inhibitorima</w:t>
      </w:r>
      <w:proofErr w:type="spellEnd"/>
      <w:r w:rsidRPr="003E0A1F">
        <w:rPr>
          <w:szCs w:val="22"/>
          <w:lang w:val="sr-Latn-ME"/>
        </w:rPr>
        <w:t xml:space="preserve"> protonske pumpe može povećati rizik od kasnijeg ispoljavanja SCLE prilikom primjene drugih </w:t>
      </w:r>
      <w:proofErr w:type="spellStart"/>
      <w:r w:rsidRPr="003E0A1F">
        <w:rPr>
          <w:szCs w:val="22"/>
          <w:lang w:val="sr-Latn-ME"/>
        </w:rPr>
        <w:t>inhibitora</w:t>
      </w:r>
      <w:proofErr w:type="spellEnd"/>
      <w:r w:rsidRPr="003E0A1F">
        <w:rPr>
          <w:szCs w:val="22"/>
          <w:lang w:val="sr-Latn-ME"/>
        </w:rPr>
        <w:t xml:space="preserve"> protonske pumpe.</w:t>
      </w:r>
    </w:p>
    <w:p w14:paraId="2E7B08E0" w14:textId="77777777" w:rsidR="0040341B" w:rsidRPr="003E0A1F" w:rsidRDefault="0040341B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</w:p>
    <w:p w14:paraId="41104EA5" w14:textId="77777777" w:rsidR="0040341B" w:rsidRPr="003E0A1F" w:rsidRDefault="00B87F20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u w:val="single"/>
          <w:lang w:val="sr-Latn-ME"/>
        </w:rPr>
      </w:pPr>
      <w:r w:rsidRPr="003E0A1F">
        <w:rPr>
          <w:i/>
          <w:szCs w:val="22"/>
          <w:u w:val="single"/>
          <w:lang w:val="sr-Latn-ME"/>
        </w:rPr>
        <w:t xml:space="preserve">Interferencija sa laboratorijskim testovima </w:t>
      </w:r>
    </w:p>
    <w:p w14:paraId="29A5DE8B" w14:textId="77777777" w:rsidR="0040341B" w:rsidRPr="003E0A1F" w:rsidRDefault="00B87F20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Povećana vrijednost </w:t>
      </w:r>
      <w:proofErr w:type="spellStart"/>
      <w:r w:rsidRPr="003E0A1F">
        <w:rPr>
          <w:szCs w:val="22"/>
          <w:lang w:val="sr-Latn-ME"/>
        </w:rPr>
        <w:t>hromogranina</w:t>
      </w:r>
      <w:proofErr w:type="spellEnd"/>
      <w:r w:rsidRPr="003E0A1F">
        <w:rPr>
          <w:szCs w:val="22"/>
          <w:lang w:val="sr-Latn-ME"/>
        </w:rPr>
        <w:t xml:space="preserve"> A (</w:t>
      </w:r>
      <w:proofErr w:type="spellStart"/>
      <w:r w:rsidRPr="003E0A1F">
        <w:rPr>
          <w:szCs w:val="22"/>
          <w:lang w:val="sr-Latn-ME"/>
        </w:rPr>
        <w:t>CgA</w:t>
      </w:r>
      <w:proofErr w:type="spellEnd"/>
      <w:r w:rsidRPr="003E0A1F">
        <w:rPr>
          <w:szCs w:val="22"/>
          <w:lang w:val="sr-Latn-ME"/>
        </w:rPr>
        <w:t xml:space="preserve">) može da utiče na ispitivanje prisustva </w:t>
      </w:r>
      <w:proofErr w:type="spellStart"/>
      <w:r w:rsidRPr="003E0A1F">
        <w:rPr>
          <w:szCs w:val="22"/>
          <w:lang w:val="sr-Latn-ME"/>
        </w:rPr>
        <w:t>neuroendokrinih</w:t>
      </w:r>
      <w:proofErr w:type="spellEnd"/>
      <w:r w:rsidRPr="003E0A1F">
        <w:rPr>
          <w:szCs w:val="22"/>
          <w:lang w:val="sr-Latn-ME"/>
        </w:rPr>
        <w:t xml:space="preserve"> tumora. Da bi se ovo izbjeglo, terapiju lijekom </w:t>
      </w:r>
      <w:proofErr w:type="spellStart"/>
      <w:r w:rsidRPr="003E0A1F">
        <w:rPr>
          <w:szCs w:val="22"/>
          <w:lang w:val="sr-Latn-ME"/>
        </w:rPr>
        <w:t>Nolpaza</w:t>
      </w:r>
      <w:proofErr w:type="spellEnd"/>
      <w:r w:rsidRPr="003E0A1F">
        <w:rPr>
          <w:szCs w:val="22"/>
          <w:lang w:val="sr-Latn-ME"/>
        </w:rPr>
        <w:t xml:space="preserve"> treba obustaviti najmanje 5 dana prije određivanja vrijednosti </w:t>
      </w:r>
      <w:proofErr w:type="spellStart"/>
      <w:r w:rsidRPr="003E0A1F">
        <w:rPr>
          <w:szCs w:val="22"/>
          <w:lang w:val="sr-Latn-ME"/>
        </w:rPr>
        <w:t>CgA</w:t>
      </w:r>
      <w:proofErr w:type="spellEnd"/>
      <w:r w:rsidRPr="003E0A1F">
        <w:rPr>
          <w:szCs w:val="22"/>
          <w:lang w:val="sr-Latn-ME"/>
        </w:rPr>
        <w:t xml:space="preserve"> (vidjeti dio 5.1). Ako se nakon početnog određivanja koncentracije </w:t>
      </w:r>
      <w:proofErr w:type="spellStart"/>
      <w:r w:rsidRPr="003E0A1F">
        <w:rPr>
          <w:szCs w:val="22"/>
          <w:lang w:val="sr-Latn-ME"/>
        </w:rPr>
        <w:t>CgA</w:t>
      </w:r>
      <w:proofErr w:type="spellEnd"/>
      <w:r w:rsidRPr="003E0A1F">
        <w:rPr>
          <w:szCs w:val="22"/>
          <w:lang w:val="sr-Latn-ME"/>
        </w:rPr>
        <w:t xml:space="preserve"> i </w:t>
      </w:r>
      <w:proofErr w:type="spellStart"/>
      <w:r w:rsidRPr="003E0A1F">
        <w:rPr>
          <w:szCs w:val="22"/>
          <w:lang w:val="sr-Latn-ME"/>
        </w:rPr>
        <w:t>gastrina</w:t>
      </w:r>
      <w:proofErr w:type="spellEnd"/>
      <w:r w:rsidRPr="003E0A1F">
        <w:rPr>
          <w:szCs w:val="22"/>
          <w:lang w:val="sr-Latn-ME"/>
        </w:rPr>
        <w:t xml:space="preserve"> ne vrate na referentne vrijednosti, potrebno je ponoviti analizu 14 dana nakon prestanka primjene </w:t>
      </w:r>
      <w:proofErr w:type="spellStart"/>
      <w:r w:rsidRPr="003E0A1F">
        <w:rPr>
          <w:szCs w:val="22"/>
          <w:lang w:val="sr-Latn-ME"/>
        </w:rPr>
        <w:t>inhibitora</w:t>
      </w:r>
      <w:proofErr w:type="spellEnd"/>
      <w:r w:rsidRPr="003E0A1F">
        <w:rPr>
          <w:szCs w:val="22"/>
          <w:lang w:val="sr-Latn-ME"/>
        </w:rPr>
        <w:t xml:space="preserve"> protonske pumpe.</w:t>
      </w:r>
    </w:p>
    <w:p w14:paraId="5B5742BA" w14:textId="77777777" w:rsidR="0040341B" w:rsidRPr="003E0A1F" w:rsidRDefault="0040341B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</w:p>
    <w:p w14:paraId="3DA7B74E" w14:textId="77777777" w:rsidR="0040341B" w:rsidRPr="003E0A1F" w:rsidRDefault="00B87F20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u w:val="single"/>
          <w:lang w:val="sr-Latn-ME"/>
        </w:rPr>
      </w:pPr>
      <w:r w:rsidRPr="003E0A1F">
        <w:rPr>
          <w:i/>
          <w:szCs w:val="22"/>
          <w:u w:val="single"/>
          <w:lang w:val="sr-Latn-ME"/>
        </w:rPr>
        <w:t>Pomoćne supstance sa potvrđenim dejstvom</w:t>
      </w:r>
    </w:p>
    <w:p w14:paraId="5C9971A1" w14:textId="77777777" w:rsidR="0040341B" w:rsidRPr="003E0A1F" w:rsidRDefault="00B87F20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i/>
          <w:szCs w:val="22"/>
          <w:lang w:val="sr-Latn-ME"/>
        </w:rPr>
        <w:t xml:space="preserve">Lijek </w:t>
      </w:r>
      <w:proofErr w:type="spellStart"/>
      <w:r w:rsidRPr="003E0A1F">
        <w:rPr>
          <w:i/>
          <w:szCs w:val="22"/>
          <w:lang w:val="sr-Latn-ME"/>
        </w:rPr>
        <w:t>Nolpaza</w:t>
      </w:r>
      <w:proofErr w:type="spellEnd"/>
      <w:r w:rsidRPr="003E0A1F">
        <w:rPr>
          <w:i/>
          <w:szCs w:val="22"/>
          <w:lang w:val="sr-Latn-ME"/>
        </w:rPr>
        <w:t xml:space="preserve"> sadrži natrijum</w:t>
      </w:r>
    </w:p>
    <w:p w14:paraId="05A90F33" w14:textId="77777777" w:rsidR="0040341B" w:rsidRPr="003E0A1F" w:rsidRDefault="00B87F20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szCs w:val="22"/>
          <w:lang w:val="sr-Latn-ME"/>
        </w:rPr>
        <w:t xml:space="preserve">Ovaj lijek sadrži manje od 1 </w:t>
      </w:r>
      <w:proofErr w:type="spellStart"/>
      <w:r w:rsidRPr="003E0A1F">
        <w:rPr>
          <w:szCs w:val="22"/>
          <w:lang w:val="sr-Latn-ME"/>
        </w:rPr>
        <w:t>mmol</w:t>
      </w:r>
      <w:proofErr w:type="spellEnd"/>
      <w:r w:rsidRPr="003E0A1F">
        <w:rPr>
          <w:szCs w:val="22"/>
          <w:lang w:val="sr-Latn-ME"/>
        </w:rPr>
        <w:t xml:space="preserve"> natrijuma (23 mg) po tableti, tj. zanemarljive količine natrijuma.</w:t>
      </w:r>
    </w:p>
    <w:p w14:paraId="41B8C59C" w14:textId="77777777" w:rsidR="0040341B" w:rsidRPr="003E0A1F" w:rsidRDefault="0040341B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</w:p>
    <w:p w14:paraId="6881C058" w14:textId="77777777" w:rsidR="0040341B" w:rsidRPr="003E0A1F" w:rsidRDefault="00B87F20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i/>
          <w:szCs w:val="22"/>
          <w:lang w:val="sr-Latn-ME"/>
        </w:rPr>
        <w:lastRenderedPageBreak/>
        <w:t xml:space="preserve">Lijek </w:t>
      </w:r>
      <w:proofErr w:type="spellStart"/>
      <w:r w:rsidRPr="003E0A1F">
        <w:rPr>
          <w:i/>
          <w:szCs w:val="22"/>
          <w:lang w:val="sr-Latn-ME"/>
        </w:rPr>
        <w:t>Nolpaza</w:t>
      </w:r>
      <w:proofErr w:type="spellEnd"/>
      <w:r w:rsidRPr="003E0A1F">
        <w:rPr>
          <w:i/>
          <w:szCs w:val="22"/>
          <w:lang w:val="sr-Latn-ME"/>
        </w:rPr>
        <w:t xml:space="preserve"> sadrži </w:t>
      </w:r>
      <w:proofErr w:type="spellStart"/>
      <w:r w:rsidRPr="003E0A1F">
        <w:rPr>
          <w:i/>
          <w:szCs w:val="22"/>
          <w:lang w:val="sr-Latn-ME"/>
        </w:rPr>
        <w:t>sorbitol</w:t>
      </w:r>
      <w:proofErr w:type="spellEnd"/>
    </w:p>
    <w:p w14:paraId="54BCE588" w14:textId="77777777" w:rsidR="0040341B" w:rsidRPr="003E0A1F" w:rsidRDefault="00B87F20" w:rsidP="00054FCE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spacing w:val="-3"/>
          <w:szCs w:val="22"/>
          <w:lang w:val="sr-Latn-ME"/>
        </w:rPr>
      </w:pPr>
      <w:r w:rsidRPr="003E0A1F">
        <w:rPr>
          <w:szCs w:val="22"/>
          <w:lang w:val="sr-Latn-ME"/>
        </w:rPr>
        <w:t xml:space="preserve">Treba uzeti u obzir aditivni efekat istovremeno primijenjenih ljekova koji sadrže </w:t>
      </w:r>
      <w:proofErr w:type="spellStart"/>
      <w:r w:rsidRPr="003E0A1F">
        <w:rPr>
          <w:szCs w:val="22"/>
          <w:lang w:val="sr-Latn-ME"/>
        </w:rPr>
        <w:t>sorbitol</w:t>
      </w:r>
      <w:proofErr w:type="spellEnd"/>
      <w:r w:rsidRPr="003E0A1F">
        <w:rPr>
          <w:szCs w:val="22"/>
          <w:lang w:val="sr-Latn-ME"/>
        </w:rPr>
        <w:t xml:space="preserve"> (ili </w:t>
      </w:r>
      <w:proofErr w:type="spellStart"/>
      <w:r w:rsidRPr="003E0A1F">
        <w:rPr>
          <w:szCs w:val="22"/>
          <w:lang w:val="sr-Latn-ME"/>
        </w:rPr>
        <w:t>fruktozu</w:t>
      </w:r>
      <w:proofErr w:type="spellEnd"/>
      <w:r w:rsidRPr="003E0A1F">
        <w:rPr>
          <w:szCs w:val="22"/>
          <w:lang w:val="sr-Latn-ME"/>
        </w:rPr>
        <w:t xml:space="preserve">) te unos </w:t>
      </w:r>
      <w:proofErr w:type="spellStart"/>
      <w:r w:rsidRPr="003E0A1F">
        <w:rPr>
          <w:szCs w:val="22"/>
          <w:lang w:val="sr-Latn-ME"/>
        </w:rPr>
        <w:t>sorbitola</w:t>
      </w:r>
      <w:proofErr w:type="spellEnd"/>
      <w:r w:rsidRPr="003E0A1F">
        <w:rPr>
          <w:szCs w:val="22"/>
          <w:lang w:val="sr-Latn-ME"/>
        </w:rPr>
        <w:t xml:space="preserve"> (ili </w:t>
      </w:r>
      <w:proofErr w:type="spellStart"/>
      <w:r w:rsidRPr="003E0A1F">
        <w:rPr>
          <w:szCs w:val="22"/>
          <w:lang w:val="sr-Latn-ME"/>
        </w:rPr>
        <w:t>fruktoze</w:t>
      </w:r>
      <w:proofErr w:type="spellEnd"/>
      <w:r w:rsidRPr="003E0A1F">
        <w:rPr>
          <w:szCs w:val="22"/>
          <w:lang w:val="sr-Latn-ME"/>
        </w:rPr>
        <w:t xml:space="preserve">) ishranom. Sadržaj </w:t>
      </w:r>
      <w:proofErr w:type="spellStart"/>
      <w:r w:rsidRPr="003E0A1F">
        <w:rPr>
          <w:szCs w:val="22"/>
          <w:lang w:val="sr-Latn-ME"/>
        </w:rPr>
        <w:t>sorbitola</w:t>
      </w:r>
      <w:proofErr w:type="spellEnd"/>
      <w:r w:rsidRPr="003E0A1F">
        <w:rPr>
          <w:szCs w:val="22"/>
          <w:lang w:val="sr-Latn-ME"/>
        </w:rPr>
        <w:t xml:space="preserve"> u ljekovima za oralnu primjenu može uticati na </w:t>
      </w:r>
      <w:proofErr w:type="spellStart"/>
      <w:r w:rsidRPr="003E0A1F">
        <w:rPr>
          <w:szCs w:val="22"/>
          <w:lang w:val="sr-Latn-ME"/>
        </w:rPr>
        <w:t>bioraspoloživost</w:t>
      </w:r>
      <w:proofErr w:type="spellEnd"/>
      <w:r w:rsidRPr="003E0A1F">
        <w:rPr>
          <w:szCs w:val="22"/>
          <w:lang w:val="sr-Latn-ME"/>
        </w:rPr>
        <w:t xml:space="preserve"> drugih istovremeno primijenjenih ljekova za oralnu primjenu. </w:t>
      </w:r>
    </w:p>
    <w:p w14:paraId="6DBE6C05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3D42DEF2" w14:textId="77777777" w:rsidR="0040341B" w:rsidRPr="003E0A1F" w:rsidRDefault="00B87F20" w:rsidP="00054FCE">
      <w:pPr>
        <w:widowControl w:val="0"/>
        <w:spacing w:line="240" w:lineRule="auto"/>
        <w:ind w:left="567" w:hanging="567"/>
        <w:jc w:val="both"/>
        <w:outlineLvl w:val="0"/>
        <w:rPr>
          <w:b/>
          <w:szCs w:val="22"/>
          <w:lang w:val="sr-Latn-ME"/>
        </w:rPr>
      </w:pPr>
      <w:r w:rsidRPr="003E0A1F">
        <w:rPr>
          <w:b/>
          <w:szCs w:val="22"/>
          <w:lang w:val="sr-Latn-ME"/>
        </w:rPr>
        <w:t>4.5</w:t>
      </w:r>
      <w:r w:rsidRPr="003E0A1F">
        <w:rPr>
          <w:b/>
          <w:szCs w:val="22"/>
          <w:lang w:val="sr-Latn-ME"/>
        </w:rPr>
        <w:tab/>
        <w:t>Interakcije sa drugim ljekovima i druge vrste interakcija</w:t>
      </w:r>
    </w:p>
    <w:p w14:paraId="496FCFBE" w14:textId="77777777" w:rsidR="0040341B" w:rsidRPr="003E0A1F" w:rsidRDefault="0040341B" w:rsidP="00054FCE">
      <w:pPr>
        <w:widowControl w:val="0"/>
        <w:spacing w:line="240" w:lineRule="auto"/>
        <w:ind w:left="567" w:hanging="567"/>
        <w:jc w:val="both"/>
        <w:outlineLvl w:val="0"/>
        <w:rPr>
          <w:szCs w:val="22"/>
          <w:lang w:val="sr-Latn-ME"/>
        </w:rPr>
      </w:pPr>
    </w:p>
    <w:p w14:paraId="61818017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i/>
          <w:szCs w:val="22"/>
          <w:u w:val="single"/>
          <w:lang w:val="sr-Latn-ME"/>
        </w:rPr>
        <w:t xml:space="preserve">Ljekovi sa </w:t>
      </w:r>
      <w:proofErr w:type="spellStart"/>
      <w:r w:rsidRPr="003E0A1F">
        <w:rPr>
          <w:i/>
          <w:szCs w:val="22"/>
          <w:u w:val="single"/>
          <w:lang w:val="sr-Latn-ME"/>
        </w:rPr>
        <w:t>pH</w:t>
      </w:r>
      <w:proofErr w:type="spellEnd"/>
      <w:r w:rsidRPr="003E0A1F">
        <w:rPr>
          <w:i/>
          <w:szCs w:val="22"/>
          <w:u w:val="single"/>
          <w:lang w:val="sr-Latn-ME"/>
        </w:rPr>
        <w:t xml:space="preserve"> zavisnom resorpcionom </w:t>
      </w:r>
      <w:proofErr w:type="spellStart"/>
      <w:r w:rsidRPr="003E0A1F">
        <w:rPr>
          <w:i/>
          <w:szCs w:val="22"/>
          <w:u w:val="single"/>
          <w:lang w:val="sr-Latn-ME"/>
        </w:rPr>
        <w:t>farmakokinetikom</w:t>
      </w:r>
      <w:proofErr w:type="spellEnd"/>
      <w:r w:rsidRPr="003E0A1F">
        <w:rPr>
          <w:szCs w:val="22"/>
          <w:lang w:val="sr-Latn-ME"/>
        </w:rPr>
        <w:t xml:space="preserve"> </w:t>
      </w:r>
      <w:r w:rsidRPr="003E0A1F">
        <w:rPr>
          <w:i/>
          <w:iCs/>
          <w:color w:val="000000"/>
          <w:szCs w:val="22"/>
          <w:u w:val="single"/>
          <w:lang w:val="sr-Latn-ME"/>
        </w:rPr>
        <w:t xml:space="preserve"> </w:t>
      </w:r>
    </w:p>
    <w:p w14:paraId="401BEAEA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color w:val="000000"/>
          <w:szCs w:val="22"/>
          <w:u w:val="single"/>
          <w:lang w:val="sr-Latn-ME"/>
        </w:rPr>
      </w:pPr>
      <w:proofErr w:type="spellStart"/>
      <w:r w:rsidRPr="003E0A1F">
        <w:rPr>
          <w:color w:val="000000"/>
          <w:szCs w:val="22"/>
          <w:lang w:val="sr-Latn-ME"/>
        </w:rPr>
        <w:t>Usljed</w:t>
      </w:r>
      <w:proofErr w:type="spellEnd"/>
      <w:r w:rsidRPr="003E0A1F">
        <w:rPr>
          <w:color w:val="000000"/>
          <w:szCs w:val="22"/>
          <w:lang w:val="sr-Latn-ME"/>
        </w:rPr>
        <w:t xml:space="preserve"> snažne i dugotrajne inhibicije sekrecije želudačne kiseline, </w:t>
      </w: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 može smanjiti resorpciju ljekova čija je </w:t>
      </w:r>
      <w:proofErr w:type="spellStart"/>
      <w:r w:rsidRPr="003E0A1F">
        <w:rPr>
          <w:color w:val="000000"/>
          <w:szCs w:val="22"/>
          <w:lang w:val="sr-Latn-ME"/>
        </w:rPr>
        <w:t>bioraspoloživost</w:t>
      </w:r>
      <w:proofErr w:type="spellEnd"/>
      <w:r w:rsidRPr="003E0A1F">
        <w:rPr>
          <w:color w:val="000000"/>
          <w:szCs w:val="22"/>
          <w:lang w:val="sr-Latn-ME"/>
        </w:rPr>
        <w:t xml:space="preserve"> zavisna od </w:t>
      </w:r>
      <w:proofErr w:type="spellStart"/>
      <w:r w:rsidRPr="003E0A1F">
        <w:rPr>
          <w:color w:val="000000"/>
          <w:szCs w:val="22"/>
          <w:lang w:val="sr-Latn-ME"/>
        </w:rPr>
        <w:t>pH</w:t>
      </w:r>
      <w:proofErr w:type="spellEnd"/>
      <w:r w:rsidRPr="003E0A1F">
        <w:rPr>
          <w:color w:val="000000"/>
          <w:szCs w:val="22"/>
          <w:lang w:val="sr-Latn-ME"/>
        </w:rPr>
        <w:t xml:space="preserve"> želudačnog sadržaja, npr. nekih </w:t>
      </w:r>
      <w:proofErr w:type="spellStart"/>
      <w:r w:rsidRPr="003E0A1F">
        <w:rPr>
          <w:color w:val="000000"/>
          <w:szCs w:val="22"/>
          <w:lang w:val="sr-Latn-ME"/>
        </w:rPr>
        <w:t>azolnih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antimikotika</w:t>
      </w:r>
      <w:proofErr w:type="spellEnd"/>
      <w:r w:rsidRPr="003E0A1F">
        <w:rPr>
          <w:color w:val="000000"/>
          <w:szCs w:val="22"/>
          <w:lang w:val="sr-Latn-ME"/>
        </w:rPr>
        <w:t xml:space="preserve">, kao što su </w:t>
      </w:r>
      <w:proofErr w:type="spellStart"/>
      <w:r w:rsidRPr="003E0A1F">
        <w:rPr>
          <w:color w:val="000000"/>
          <w:szCs w:val="22"/>
          <w:lang w:val="sr-Latn-ME"/>
        </w:rPr>
        <w:t>ketokonazol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itrakonazol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posakonazol</w:t>
      </w:r>
      <w:proofErr w:type="spellEnd"/>
      <w:r w:rsidRPr="003E0A1F">
        <w:rPr>
          <w:color w:val="000000"/>
          <w:szCs w:val="22"/>
          <w:lang w:val="sr-Latn-ME"/>
        </w:rPr>
        <w:t xml:space="preserve">, i ostalih ljekova, kao što je </w:t>
      </w:r>
      <w:proofErr w:type="spellStart"/>
      <w:r w:rsidRPr="003E0A1F">
        <w:rPr>
          <w:color w:val="000000"/>
          <w:szCs w:val="22"/>
          <w:lang w:val="sr-Latn-ME"/>
        </w:rPr>
        <w:t>erlotinib</w:t>
      </w:r>
      <w:proofErr w:type="spellEnd"/>
    </w:p>
    <w:p w14:paraId="0A0FF6D1" w14:textId="77777777" w:rsidR="0040341B" w:rsidRPr="003E0A1F" w:rsidRDefault="0040341B" w:rsidP="00054FCE">
      <w:pPr>
        <w:widowControl w:val="0"/>
        <w:spacing w:line="240" w:lineRule="auto"/>
        <w:ind w:left="567" w:hanging="567"/>
        <w:jc w:val="both"/>
        <w:outlineLvl w:val="0"/>
        <w:rPr>
          <w:szCs w:val="22"/>
          <w:lang w:val="sr-Latn-ME"/>
        </w:rPr>
      </w:pPr>
    </w:p>
    <w:p w14:paraId="217C614E" w14:textId="77777777" w:rsidR="0040341B" w:rsidRPr="003E0A1F" w:rsidRDefault="00B87F20" w:rsidP="00054FC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/>
          <w:szCs w:val="22"/>
          <w:u w:val="single"/>
          <w:lang w:val="sr-Latn-ME"/>
        </w:rPr>
      </w:pPr>
      <w:proofErr w:type="spellStart"/>
      <w:r w:rsidRPr="003E0A1F">
        <w:rPr>
          <w:i/>
          <w:szCs w:val="22"/>
          <w:u w:val="single"/>
          <w:lang w:val="sr-Latn-ME"/>
        </w:rPr>
        <w:t>Inhibitori</w:t>
      </w:r>
      <w:proofErr w:type="spellEnd"/>
      <w:r w:rsidRPr="003E0A1F">
        <w:rPr>
          <w:i/>
          <w:szCs w:val="22"/>
          <w:u w:val="single"/>
          <w:lang w:val="sr-Latn-ME"/>
        </w:rPr>
        <w:t xml:space="preserve"> HIV </w:t>
      </w:r>
      <w:proofErr w:type="spellStart"/>
      <w:r w:rsidRPr="003E0A1F">
        <w:rPr>
          <w:i/>
          <w:szCs w:val="22"/>
          <w:u w:val="single"/>
          <w:lang w:val="sr-Latn-ME"/>
        </w:rPr>
        <w:t>proteaze</w:t>
      </w:r>
      <w:proofErr w:type="spellEnd"/>
    </w:p>
    <w:p w14:paraId="3BADBBB6" w14:textId="4C8372FD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Ne preporučuje se istovremena primjena </w:t>
      </w:r>
      <w:proofErr w:type="spellStart"/>
      <w:r w:rsidRPr="003E0A1F">
        <w:rPr>
          <w:szCs w:val="22"/>
          <w:lang w:val="sr-Latn-ME"/>
        </w:rPr>
        <w:t>pantoprazola</w:t>
      </w:r>
      <w:proofErr w:type="spellEnd"/>
      <w:r w:rsidRPr="003E0A1F">
        <w:rPr>
          <w:szCs w:val="22"/>
          <w:lang w:val="sr-Latn-ME"/>
        </w:rPr>
        <w:t xml:space="preserve"> sa </w:t>
      </w:r>
      <w:proofErr w:type="spellStart"/>
      <w:r w:rsidRPr="003E0A1F">
        <w:rPr>
          <w:szCs w:val="22"/>
          <w:lang w:val="sr-Latn-ME"/>
        </w:rPr>
        <w:t>inhibitorima</w:t>
      </w:r>
      <w:proofErr w:type="spellEnd"/>
      <w:r w:rsidRPr="003E0A1F">
        <w:rPr>
          <w:szCs w:val="22"/>
          <w:lang w:val="sr-Latn-ME"/>
        </w:rPr>
        <w:t xml:space="preserve"> HIV </w:t>
      </w:r>
      <w:proofErr w:type="spellStart"/>
      <w:r w:rsidRPr="003E0A1F">
        <w:rPr>
          <w:szCs w:val="22"/>
          <w:lang w:val="sr-Latn-ME"/>
        </w:rPr>
        <w:t>proteaze</w:t>
      </w:r>
      <w:proofErr w:type="spellEnd"/>
      <w:r w:rsidRPr="003E0A1F">
        <w:rPr>
          <w:szCs w:val="22"/>
          <w:lang w:val="sr-Latn-ME"/>
        </w:rPr>
        <w:t xml:space="preserve">, čija resorpcija zavisi od </w:t>
      </w:r>
      <w:proofErr w:type="spellStart"/>
      <w:r w:rsidRPr="003E0A1F">
        <w:rPr>
          <w:szCs w:val="22"/>
          <w:lang w:val="sr-Latn-ME"/>
        </w:rPr>
        <w:t>pH</w:t>
      </w:r>
      <w:proofErr w:type="spellEnd"/>
      <w:r w:rsidRPr="003E0A1F">
        <w:rPr>
          <w:szCs w:val="22"/>
          <w:lang w:val="sr-Latn-ME"/>
        </w:rPr>
        <w:t xml:space="preserve"> vrijednosti u želucu, kao što je </w:t>
      </w:r>
      <w:proofErr w:type="spellStart"/>
      <w:r w:rsidRPr="003E0A1F">
        <w:rPr>
          <w:szCs w:val="22"/>
          <w:lang w:val="sr-Latn-ME"/>
        </w:rPr>
        <w:t>atazanavir</w:t>
      </w:r>
      <w:proofErr w:type="spellEnd"/>
      <w:r w:rsidRPr="003E0A1F">
        <w:rPr>
          <w:szCs w:val="22"/>
          <w:lang w:val="sr-Latn-ME"/>
        </w:rPr>
        <w:t xml:space="preserve">, jer može doći do značajnog smanjenja </w:t>
      </w:r>
      <w:proofErr w:type="spellStart"/>
      <w:r w:rsidRPr="003E0A1F">
        <w:rPr>
          <w:szCs w:val="22"/>
          <w:lang w:val="sr-Latn-ME"/>
        </w:rPr>
        <w:t>bioraspoloživosti</w:t>
      </w:r>
      <w:proofErr w:type="spellEnd"/>
      <w:r w:rsidRPr="003E0A1F">
        <w:rPr>
          <w:szCs w:val="22"/>
          <w:lang w:val="sr-Latn-ME"/>
        </w:rPr>
        <w:t xml:space="preserve"> ovih ljekova (vidjeti dio 4.4). Ako se procijeni da je istovremena primjena </w:t>
      </w:r>
      <w:proofErr w:type="spellStart"/>
      <w:r w:rsidRPr="003E0A1F">
        <w:rPr>
          <w:szCs w:val="22"/>
          <w:lang w:val="sr-Latn-ME"/>
        </w:rPr>
        <w:t>inhibitora</w:t>
      </w:r>
      <w:proofErr w:type="spellEnd"/>
      <w:r w:rsidRPr="003E0A1F">
        <w:rPr>
          <w:szCs w:val="22"/>
          <w:lang w:val="sr-Latn-ME"/>
        </w:rPr>
        <w:t xml:space="preserve"> protonske pumpe i </w:t>
      </w:r>
      <w:proofErr w:type="spellStart"/>
      <w:r w:rsidRPr="003E0A1F">
        <w:rPr>
          <w:szCs w:val="22"/>
          <w:lang w:val="sr-Latn-ME"/>
        </w:rPr>
        <w:t>inhibitora</w:t>
      </w:r>
      <w:proofErr w:type="spellEnd"/>
      <w:r w:rsidRPr="003E0A1F">
        <w:rPr>
          <w:szCs w:val="22"/>
          <w:lang w:val="sr-Latn-ME"/>
        </w:rPr>
        <w:t xml:space="preserve"> HIV </w:t>
      </w:r>
      <w:proofErr w:type="spellStart"/>
      <w:r w:rsidRPr="003E0A1F">
        <w:rPr>
          <w:szCs w:val="22"/>
          <w:lang w:val="sr-Latn-ME"/>
        </w:rPr>
        <w:t>proteaze</w:t>
      </w:r>
      <w:proofErr w:type="spellEnd"/>
      <w:r w:rsidRPr="003E0A1F">
        <w:rPr>
          <w:szCs w:val="22"/>
          <w:lang w:val="sr-Latn-ME"/>
        </w:rPr>
        <w:t xml:space="preserve"> neizbježna, preporučuje se pažljivo kliničko praćenje (npr. virusnog opterećenja, engl. </w:t>
      </w:r>
      <w:r w:rsidRPr="003E0A1F">
        <w:rPr>
          <w:i/>
          <w:szCs w:val="22"/>
          <w:lang w:val="sr-Latn-ME"/>
        </w:rPr>
        <w:t xml:space="preserve">virus </w:t>
      </w:r>
      <w:proofErr w:type="spellStart"/>
      <w:r w:rsidRPr="003E0A1F">
        <w:rPr>
          <w:i/>
          <w:szCs w:val="22"/>
          <w:lang w:val="sr-Latn-ME"/>
        </w:rPr>
        <w:t>load</w:t>
      </w:r>
      <w:proofErr w:type="spellEnd"/>
      <w:r w:rsidRPr="003E0A1F">
        <w:rPr>
          <w:szCs w:val="22"/>
          <w:lang w:val="sr-Latn-ME"/>
        </w:rPr>
        <w:t xml:space="preserve">). Dozu </w:t>
      </w:r>
      <w:proofErr w:type="spellStart"/>
      <w:r w:rsidRPr="003E0A1F">
        <w:rPr>
          <w:szCs w:val="22"/>
          <w:lang w:val="sr-Latn-ME"/>
        </w:rPr>
        <w:t>pantoprazola</w:t>
      </w:r>
      <w:proofErr w:type="spellEnd"/>
      <w:r w:rsidRPr="003E0A1F">
        <w:rPr>
          <w:szCs w:val="22"/>
          <w:lang w:val="sr-Latn-ME"/>
        </w:rPr>
        <w:t xml:space="preserve"> od 20 mg dnevno ne treba prekoračiti. Možda će biti potrebno prilagođavanje doze </w:t>
      </w:r>
      <w:proofErr w:type="spellStart"/>
      <w:r w:rsidRPr="003E0A1F">
        <w:rPr>
          <w:szCs w:val="22"/>
          <w:lang w:val="sr-Latn-ME"/>
        </w:rPr>
        <w:t>inhibitora</w:t>
      </w:r>
      <w:proofErr w:type="spellEnd"/>
      <w:r w:rsidRPr="003E0A1F">
        <w:rPr>
          <w:szCs w:val="22"/>
          <w:lang w:val="sr-Latn-ME"/>
        </w:rPr>
        <w:t xml:space="preserve"> HIV </w:t>
      </w:r>
      <w:proofErr w:type="spellStart"/>
      <w:r w:rsidRPr="003E0A1F">
        <w:rPr>
          <w:szCs w:val="22"/>
          <w:lang w:val="sr-Latn-ME"/>
        </w:rPr>
        <w:t>proteaze</w:t>
      </w:r>
      <w:proofErr w:type="spellEnd"/>
      <w:r w:rsidRPr="003E0A1F">
        <w:rPr>
          <w:szCs w:val="22"/>
          <w:lang w:val="sr-Latn-ME"/>
        </w:rPr>
        <w:t>.</w:t>
      </w:r>
    </w:p>
    <w:p w14:paraId="13070ECF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10CFDEF0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Kumarinski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 xml:space="preserve"> 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antikoagulansi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 xml:space="preserve"> (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fenprokumon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 xml:space="preserve"> ili </w:t>
      </w: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varfarin</w:t>
      </w:r>
      <w:proofErr w:type="spellEnd"/>
      <w:r w:rsidRPr="003E0A1F">
        <w:rPr>
          <w:i/>
          <w:iCs/>
          <w:color w:val="000000"/>
          <w:szCs w:val="22"/>
          <w:u w:val="single"/>
          <w:lang w:val="sr-Latn-ME"/>
        </w:rPr>
        <w:t>)</w:t>
      </w:r>
    </w:p>
    <w:p w14:paraId="11A85875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Iako u kliničkim </w:t>
      </w:r>
      <w:proofErr w:type="spellStart"/>
      <w:r w:rsidRPr="003E0A1F">
        <w:rPr>
          <w:color w:val="000000"/>
          <w:szCs w:val="22"/>
          <w:lang w:val="sr-Latn-ME"/>
        </w:rPr>
        <w:t>farmakokinetičkim</w:t>
      </w:r>
      <w:proofErr w:type="spellEnd"/>
      <w:r w:rsidRPr="003E0A1F">
        <w:rPr>
          <w:color w:val="000000"/>
          <w:szCs w:val="22"/>
          <w:lang w:val="sr-Latn-ME"/>
        </w:rPr>
        <w:t xml:space="preserve"> studijama nije zabilježena interakcija tokom istovremene primjene sa </w:t>
      </w:r>
      <w:proofErr w:type="spellStart"/>
      <w:r w:rsidRPr="003E0A1F">
        <w:rPr>
          <w:color w:val="000000"/>
          <w:szCs w:val="22"/>
          <w:lang w:val="sr-Latn-ME"/>
        </w:rPr>
        <w:t>fenprokumonom</w:t>
      </w:r>
      <w:proofErr w:type="spellEnd"/>
      <w:r w:rsidRPr="003E0A1F">
        <w:rPr>
          <w:color w:val="000000"/>
          <w:szCs w:val="22"/>
          <w:lang w:val="sr-Latn-ME"/>
        </w:rPr>
        <w:t xml:space="preserve"> ili </w:t>
      </w:r>
      <w:proofErr w:type="spellStart"/>
      <w:r w:rsidRPr="003E0A1F">
        <w:rPr>
          <w:color w:val="000000"/>
          <w:szCs w:val="22"/>
          <w:lang w:val="sr-Latn-ME"/>
        </w:rPr>
        <w:t>varfarinom</w:t>
      </w:r>
      <w:proofErr w:type="spellEnd"/>
      <w:r w:rsidRPr="003E0A1F">
        <w:rPr>
          <w:color w:val="000000"/>
          <w:szCs w:val="22"/>
          <w:lang w:val="sr-Latn-ME"/>
        </w:rPr>
        <w:t xml:space="preserve">, prijavljeno je nekoliko izolovanih slučajeva promjene </w:t>
      </w:r>
      <w:proofErr w:type="spellStart"/>
      <w:r w:rsidRPr="003E0A1F">
        <w:rPr>
          <w:color w:val="000000"/>
          <w:szCs w:val="22"/>
          <w:lang w:val="sr-Latn-ME"/>
        </w:rPr>
        <w:t>protrombinskog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vremena</w:t>
      </w:r>
      <w:proofErr w:type="spellEnd"/>
      <w:r w:rsidRPr="003E0A1F">
        <w:rPr>
          <w:color w:val="000000"/>
          <w:szCs w:val="22"/>
          <w:lang w:val="sr-Latn-ME"/>
        </w:rPr>
        <w:t xml:space="preserve">/INR tokom istovremene primjene u </w:t>
      </w:r>
      <w:proofErr w:type="spellStart"/>
      <w:r w:rsidRPr="003E0A1F">
        <w:rPr>
          <w:color w:val="000000"/>
          <w:szCs w:val="22"/>
          <w:lang w:val="sr-Latn-ME"/>
        </w:rPr>
        <w:t>postmarkentiškom</w:t>
      </w:r>
      <w:proofErr w:type="spellEnd"/>
      <w:r w:rsidRPr="003E0A1F">
        <w:rPr>
          <w:color w:val="000000"/>
          <w:szCs w:val="22"/>
          <w:lang w:val="sr-Latn-ME"/>
        </w:rPr>
        <w:t xml:space="preserve"> periodu. Zbog toga se kod pacijenata koji su na terapiji </w:t>
      </w:r>
      <w:proofErr w:type="spellStart"/>
      <w:r w:rsidRPr="003E0A1F">
        <w:rPr>
          <w:color w:val="000000"/>
          <w:szCs w:val="22"/>
          <w:lang w:val="sr-Latn-ME"/>
        </w:rPr>
        <w:t>kumarinskim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antikoagulansima</w:t>
      </w:r>
      <w:proofErr w:type="spellEnd"/>
      <w:r w:rsidRPr="003E0A1F">
        <w:rPr>
          <w:color w:val="000000"/>
          <w:szCs w:val="22"/>
          <w:lang w:val="sr-Latn-ME"/>
        </w:rPr>
        <w:t xml:space="preserve"> (npr. </w:t>
      </w:r>
      <w:proofErr w:type="spellStart"/>
      <w:r w:rsidRPr="003E0A1F">
        <w:rPr>
          <w:color w:val="000000"/>
          <w:szCs w:val="22"/>
          <w:lang w:val="sr-Latn-ME"/>
        </w:rPr>
        <w:t>fenprokumon</w:t>
      </w:r>
      <w:proofErr w:type="spellEnd"/>
      <w:r w:rsidRPr="003E0A1F">
        <w:rPr>
          <w:color w:val="000000"/>
          <w:szCs w:val="22"/>
          <w:lang w:val="sr-Latn-ME"/>
        </w:rPr>
        <w:t xml:space="preserve"> ili </w:t>
      </w:r>
      <w:proofErr w:type="spellStart"/>
      <w:r w:rsidRPr="003E0A1F">
        <w:rPr>
          <w:color w:val="000000"/>
          <w:szCs w:val="22"/>
          <w:lang w:val="sr-Latn-ME"/>
        </w:rPr>
        <w:t>varfarin</w:t>
      </w:r>
      <w:proofErr w:type="spellEnd"/>
      <w:r w:rsidRPr="003E0A1F">
        <w:rPr>
          <w:color w:val="000000"/>
          <w:szCs w:val="22"/>
          <w:lang w:val="sr-Latn-ME"/>
        </w:rPr>
        <w:t xml:space="preserve">), preporučuje praćenje </w:t>
      </w:r>
      <w:proofErr w:type="spellStart"/>
      <w:r w:rsidRPr="003E0A1F">
        <w:rPr>
          <w:color w:val="000000"/>
          <w:szCs w:val="22"/>
          <w:lang w:val="sr-Latn-ME"/>
        </w:rPr>
        <w:t>protrombinskog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vremena</w:t>
      </w:r>
      <w:proofErr w:type="spellEnd"/>
      <w:r w:rsidRPr="003E0A1F">
        <w:rPr>
          <w:color w:val="000000"/>
          <w:szCs w:val="22"/>
          <w:lang w:val="sr-Latn-ME"/>
        </w:rPr>
        <w:t xml:space="preserve">/INR nakon započinjanja terapije, nakon završetka terapije ili tokom neredovne upotrebe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02564DFC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3FA68FB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proofErr w:type="spellStart"/>
      <w:r w:rsidRPr="003E0A1F">
        <w:rPr>
          <w:i/>
          <w:iCs/>
          <w:color w:val="000000"/>
          <w:szCs w:val="22"/>
          <w:u w:val="single"/>
          <w:lang w:val="sr-Latn-ME"/>
        </w:rPr>
        <w:t>Metotreksat</w:t>
      </w:r>
      <w:proofErr w:type="spellEnd"/>
    </w:p>
    <w:p w14:paraId="789A3402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Istovremena primjena visokih doza </w:t>
      </w:r>
      <w:proofErr w:type="spellStart"/>
      <w:r w:rsidRPr="003E0A1F">
        <w:rPr>
          <w:color w:val="000000"/>
          <w:szCs w:val="22"/>
          <w:lang w:val="sr-Latn-ME"/>
        </w:rPr>
        <w:t>metotreksata</w:t>
      </w:r>
      <w:proofErr w:type="spellEnd"/>
      <w:r w:rsidRPr="003E0A1F">
        <w:rPr>
          <w:color w:val="000000"/>
          <w:szCs w:val="22"/>
          <w:lang w:val="sr-Latn-ME"/>
        </w:rPr>
        <w:t xml:space="preserve"> (npr. 300 mg) i IPP dovodi do povećanja nivoa </w:t>
      </w:r>
      <w:proofErr w:type="spellStart"/>
      <w:r w:rsidRPr="003E0A1F">
        <w:rPr>
          <w:color w:val="000000"/>
          <w:szCs w:val="22"/>
          <w:lang w:val="sr-Latn-ME"/>
        </w:rPr>
        <w:t>metotreksata</w:t>
      </w:r>
      <w:proofErr w:type="spellEnd"/>
      <w:r w:rsidRPr="003E0A1F">
        <w:rPr>
          <w:color w:val="000000"/>
          <w:szCs w:val="22"/>
          <w:lang w:val="sr-Latn-ME"/>
        </w:rPr>
        <w:t xml:space="preserve"> kod pojedinih pacijenata. Zbog toga je kod terapija koje zahtijevaju primjenu većih doza </w:t>
      </w:r>
      <w:proofErr w:type="spellStart"/>
      <w:r w:rsidRPr="003E0A1F">
        <w:rPr>
          <w:color w:val="000000"/>
          <w:szCs w:val="22"/>
          <w:lang w:val="sr-Latn-ME"/>
        </w:rPr>
        <w:t>metotreksata</w:t>
      </w:r>
      <w:proofErr w:type="spellEnd"/>
      <w:r w:rsidRPr="003E0A1F">
        <w:rPr>
          <w:color w:val="000000"/>
          <w:szCs w:val="22"/>
          <w:lang w:val="sr-Latn-ME"/>
        </w:rPr>
        <w:t xml:space="preserve"> (npr. kancer i psorijaza) potrebno razmotriti privremeni prekid terapije </w:t>
      </w:r>
      <w:proofErr w:type="spellStart"/>
      <w:r w:rsidRPr="003E0A1F">
        <w:rPr>
          <w:color w:val="000000"/>
          <w:szCs w:val="22"/>
          <w:lang w:val="sr-Latn-ME"/>
        </w:rPr>
        <w:t>pantoprazolom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4ECA24DD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BF5211B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i/>
          <w:iCs/>
          <w:color w:val="000000"/>
          <w:szCs w:val="22"/>
          <w:u w:val="single"/>
          <w:lang w:val="sr-Latn-ME"/>
        </w:rPr>
        <w:t>Ostale studije interakcija</w:t>
      </w:r>
    </w:p>
    <w:p w14:paraId="4603D516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 se intenzivno </w:t>
      </w:r>
      <w:proofErr w:type="spellStart"/>
      <w:r w:rsidRPr="003E0A1F">
        <w:rPr>
          <w:color w:val="000000"/>
          <w:szCs w:val="22"/>
          <w:lang w:val="sr-Latn-ME"/>
        </w:rPr>
        <w:t>metaboliše</w:t>
      </w:r>
      <w:proofErr w:type="spellEnd"/>
      <w:r w:rsidRPr="003E0A1F">
        <w:rPr>
          <w:color w:val="000000"/>
          <w:szCs w:val="22"/>
          <w:lang w:val="sr-Latn-ME"/>
        </w:rPr>
        <w:t xml:space="preserve"> u jetri putem sistema enzima </w:t>
      </w:r>
      <w:proofErr w:type="spellStart"/>
      <w:r w:rsidRPr="003E0A1F">
        <w:rPr>
          <w:color w:val="000000"/>
          <w:szCs w:val="22"/>
          <w:lang w:val="sr-Latn-ME"/>
        </w:rPr>
        <w:t>citohroma</w:t>
      </w:r>
      <w:proofErr w:type="spellEnd"/>
      <w:r w:rsidRPr="003E0A1F">
        <w:rPr>
          <w:color w:val="000000"/>
          <w:szCs w:val="22"/>
          <w:lang w:val="sr-Latn-ME"/>
        </w:rPr>
        <w:t xml:space="preserve"> P450. Glavni </w:t>
      </w:r>
      <w:proofErr w:type="spellStart"/>
      <w:r w:rsidRPr="003E0A1F">
        <w:rPr>
          <w:color w:val="000000"/>
          <w:szCs w:val="22"/>
          <w:lang w:val="sr-Latn-ME"/>
        </w:rPr>
        <w:t>metabolički</w:t>
      </w:r>
      <w:proofErr w:type="spellEnd"/>
      <w:r w:rsidRPr="003E0A1F">
        <w:rPr>
          <w:color w:val="000000"/>
          <w:szCs w:val="22"/>
          <w:lang w:val="sr-Latn-ME"/>
        </w:rPr>
        <w:t xml:space="preserve"> put je </w:t>
      </w:r>
      <w:proofErr w:type="spellStart"/>
      <w:r w:rsidRPr="003E0A1F">
        <w:rPr>
          <w:color w:val="000000"/>
          <w:szCs w:val="22"/>
          <w:lang w:val="sr-Latn-ME"/>
        </w:rPr>
        <w:t>demetilacija</w:t>
      </w:r>
      <w:proofErr w:type="spellEnd"/>
      <w:r w:rsidRPr="003E0A1F">
        <w:rPr>
          <w:color w:val="000000"/>
          <w:szCs w:val="22"/>
          <w:lang w:val="sr-Latn-ME"/>
        </w:rPr>
        <w:t xml:space="preserve"> putem CYP2C19 i ostalih </w:t>
      </w:r>
      <w:proofErr w:type="spellStart"/>
      <w:r w:rsidRPr="003E0A1F">
        <w:rPr>
          <w:color w:val="000000"/>
          <w:szCs w:val="22"/>
          <w:lang w:val="sr-Latn-ME"/>
        </w:rPr>
        <w:t>metaboličkih</w:t>
      </w:r>
      <w:proofErr w:type="spellEnd"/>
      <w:r w:rsidRPr="003E0A1F">
        <w:rPr>
          <w:color w:val="000000"/>
          <w:szCs w:val="22"/>
          <w:lang w:val="sr-Latn-ME"/>
        </w:rPr>
        <w:t xml:space="preserve"> puteva uključujući i oksidaciju putem CYP 3A4.</w:t>
      </w:r>
    </w:p>
    <w:p w14:paraId="1C128363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0D473101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Studije interakcije sa ljekovima koji se takođe </w:t>
      </w:r>
      <w:proofErr w:type="spellStart"/>
      <w:r w:rsidRPr="003E0A1F">
        <w:rPr>
          <w:color w:val="000000"/>
          <w:szCs w:val="22"/>
          <w:lang w:val="sr-Latn-ME"/>
        </w:rPr>
        <w:t>metabolišu</w:t>
      </w:r>
      <w:proofErr w:type="spellEnd"/>
      <w:r w:rsidRPr="003E0A1F">
        <w:rPr>
          <w:color w:val="000000"/>
          <w:szCs w:val="22"/>
          <w:lang w:val="sr-Latn-ME"/>
        </w:rPr>
        <w:t xml:space="preserve"> ovim putevima, kao što su </w:t>
      </w:r>
      <w:proofErr w:type="spellStart"/>
      <w:r w:rsidRPr="003E0A1F">
        <w:rPr>
          <w:color w:val="000000"/>
          <w:szCs w:val="22"/>
          <w:lang w:val="sr-Latn-ME"/>
        </w:rPr>
        <w:t>karbamazepin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diazepam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glibenklamid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nifedipin</w:t>
      </w:r>
      <w:proofErr w:type="spellEnd"/>
      <w:r w:rsidRPr="003E0A1F">
        <w:rPr>
          <w:color w:val="000000"/>
          <w:szCs w:val="22"/>
          <w:lang w:val="sr-Latn-ME"/>
        </w:rPr>
        <w:t xml:space="preserve"> i oralni </w:t>
      </w:r>
      <w:proofErr w:type="spellStart"/>
      <w:r w:rsidRPr="003E0A1F">
        <w:rPr>
          <w:color w:val="000000"/>
          <w:szCs w:val="22"/>
          <w:lang w:val="sr-Latn-ME"/>
        </w:rPr>
        <w:t>kontraceptivi</w:t>
      </w:r>
      <w:proofErr w:type="spellEnd"/>
      <w:r w:rsidRPr="003E0A1F">
        <w:rPr>
          <w:color w:val="000000"/>
          <w:szCs w:val="22"/>
          <w:lang w:val="sr-Latn-ME"/>
        </w:rPr>
        <w:t xml:space="preserve"> koji sadrže </w:t>
      </w:r>
      <w:proofErr w:type="spellStart"/>
      <w:r w:rsidRPr="003E0A1F">
        <w:rPr>
          <w:color w:val="000000"/>
          <w:szCs w:val="22"/>
          <w:lang w:val="sr-Latn-ME"/>
        </w:rPr>
        <w:t>levonorgestrel</w:t>
      </w:r>
      <w:proofErr w:type="spellEnd"/>
      <w:r w:rsidRPr="003E0A1F">
        <w:rPr>
          <w:color w:val="000000"/>
          <w:szCs w:val="22"/>
          <w:lang w:val="sr-Latn-ME"/>
        </w:rPr>
        <w:t xml:space="preserve"> i </w:t>
      </w:r>
      <w:proofErr w:type="spellStart"/>
      <w:r w:rsidRPr="003E0A1F">
        <w:rPr>
          <w:color w:val="000000"/>
          <w:szCs w:val="22"/>
          <w:lang w:val="sr-Latn-ME"/>
        </w:rPr>
        <w:t>etinil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estradiol</w:t>
      </w:r>
      <w:proofErr w:type="spellEnd"/>
      <w:r w:rsidRPr="003E0A1F">
        <w:rPr>
          <w:color w:val="000000"/>
          <w:szCs w:val="22"/>
          <w:lang w:val="sr-Latn-ME"/>
        </w:rPr>
        <w:t xml:space="preserve"> nijesu pokazale klinički značajne interakcije.</w:t>
      </w:r>
    </w:p>
    <w:p w14:paraId="7F2FA423" w14:textId="77777777" w:rsidR="0040341B" w:rsidRPr="003E0A1F" w:rsidRDefault="0040341B" w:rsidP="00054FCE">
      <w:pPr>
        <w:pStyle w:val="Default"/>
        <w:rPr>
          <w:sz w:val="22"/>
          <w:szCs w:val="22"/>
          <w:lang w:val="sr-Latn-ME"/>
        </w:rPr>
      </w:pPr>
    </w:p>
    <w:p w14:paraId="61B8DC6E" w14:textId="77777777" w:rsidR="0040341B" w:rsidRPr="003E0A1F" w:rsidRDefault="00B87F20" w:rsidP="00054FC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Ne mogu se isključiti interakcije </w:t>
      </w:r>
      <w:proofErr w:type="spellStart"/>
      <w:r w:rsidRPr="003E0A1F">
        <w:rPr>
          <w:szCs w:val="22"/>
          <w:lang w:val="sr-Latn-ME"/>
        </w:rPr>
        <w:t>pantoprazola</w:t>
      </w:r>
      <w:proofErr w:type="spellEnd"/>
      <w:r w:rsidRPr="003E0A1F">
        <w:rPr>
          <w:szCs w:val="22"/>
          <w:lang w:val="sr-Latn-ME"/>
        </w:rPr>
        <w:t xml:space="preserve"> i drugih ljekova ili jedinjenja, koji se </w:t>
      </w:r>
      <w:proofErr w:type="spellStart"/>
      <w:r w:rsidRPr="003E0A1F">
        <w:rPr>
          <w:szCs w:val="22"/>
          <w:lang w:val="sr-Latn-ME"/>
        </w:rPr>
        <w:t>metabolišu</w:t>
      </w:r>
      <w:proofErr w:type="spellEnd"/>
      <w:r w:rsidRPr="003E0A1F">
        <w:rPr>
          <w:szCs w:val="22"/>
          <w:lang w:val="sr-Latn-ME"/>
        </w:rPr>
        <w:t xml:space="preserve"> putem ovog </w:t>
      </w:r>
      <w:proofErr w:type="spellStart"/>
      <w:r w:rsidRPr="003E0A1F">
        <w:rPr>
          <w:szCs w:val="22"/>
          <w:lang w:val="sr-Latn-ME"/>
        </w:rPr>
        <w:t>enzimskog</w:t>
      </w:r>
      <w:proofErr w:type="spellEnd"/>
      <w:r w:rsidRPr="003E0A1F">
        <w:rPr>
          <w:szCs w:val="22"/>
          <w:lang w:val="sr-Latn-ME"/>
        </w:rPr>
        <w:t xml:space="preserve"> sistema. </w:t>
      </w:r>
    </w:p>
    <w:p w14:paraId="0BED62C6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2CF2EE3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Rezultati opsežnih studija interakcija pokazale su da </w:t>
      </w: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 ne utiče na metabolizam aktivnih supstanci koje se </w:t>
      </w:r>
      <w:proofErr w:type="spellStart"/>
      <w:r w:rsidRPr="003E0A1F">
        <w:rPr>
          <w:color w:val="000000"/>
          <w:szCs w:val="22"/>
          <w:lang w:val="sr-Latn-ME"/>
        </w:rPr>
        <w:t>metabolišu</w:t>
      </w:r>
      <w:proofErr w:type="spellEnd"/>
      <w:r w:rsidRPr="003E0A1F">
        <w:rPr>
          <w:color w:val="000000"/>
          <w:szCs w:val="22"/>
          <w:lang w:val="sr-Latn-ME"/>
        </w:rPr>
        <w:t xml:space="preserve"> putem CYP1A2 (kao što su kofein, teofilin), CYP2C9 (kao što su </w:t>
      </w:r>
      <w:proofErr w:type="spellStart"/>
      <w:r w:rsidRPr="003E0A1F">
        <w:rPr>
          <w:color w:val="000000"/>
          <w:szCs w:val="22"/>
          <w:lang w:val="sr-Latn-ME"/>
        </w:rPr>
        <w:t>piroksikam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diklofenak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naproksen</w:t>
      </w:r>
      <w:proofErr w:type="spellEnd"/>
      <w:r w:rsidRPr="003E0A1F">
        <w:rPr>
          <w:color w:val="000000"/>
          <w:szCs w:val="22"/>
          <w:lang w:val="sr-Latn-ME"/>
        </w:rPr>
        <w:t xml:space="preserve">), CYP2D6 (kao što je </w:t>
      </w:r>
      <w:proofErr w:type="spellStart"/>
      <w:r w:rsidRPr="003E0A1F">
        <w:rPr>
          <w:color w:val="000000"/>
          <w:szCs w:val="22"/>
          <w:lang w:val="sr-Latn-ME"/>
        </w:rPr>
        <w:t>metoprolol</w:t>
      </w:r>
      <w:proofErr w:type="spellEnd"/>
      <w:r w:rsidRPr="003E0A1F">
        <w:rPr>
          <w:color w:val="000000"/>
          <w:szCs w:val="22"/>
          <w:lang w:val="sr-Latn-ME"/>
        </w:rPr>
        <w:t xml:space="preserve">), CYP2E1 (kao što je etanol) i ne remeti resorpciju </w:t>
      </w:r>
      <w:proofErr w:type="spellStart"/>
      <w:r w:rsidRPr="003E0A1F">
        <w:rPr>
          <w:color w:val="000000"/>
          <w:szCs w:val="22"/>
          <w:lang w:val="sr-Latn-ME"/>
        </w:rPr>
        <w:t>digoksina</w:t>
      </w:r>
      <w:proofErr w:type="spellEnd"/>
      <w:r w:rsidRPr="003E0A1F">
        <w:rPr>
          <w:color w:val="000000"/>
          <w:szCs w:val="22"/>
          <w:lang w:val="sr-Latn-ME"/>
        </w:rPr>
        <w:t xml:space="preserve"> povezanu sa p-</w:t>
      </w:r>
      <w:proofErr w:type="spellStart"/>
      <w:r w:rsidRPr="003E0A1F">
        <w:rPr>
          <w:color w:val="000000"/>
          <w:szCs w:val="22"/>
          <w:lang w:val="sr-Latn-ME"/>
        </w:rPr>
        <w:t>glikoproteinom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7EAA8FB8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</w:p>
    <w:p w14:paraId="705885D2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>Nema interakcije tokom istovremene upotrebe sa antacidima.</w:t>
      </w:r>
    </w:p>
    <w:p w14:paraId="0F12AC6C" w14:textId="77777777" w:rsidR="0040341B" w:rsidRPr="003E0A1F" w:rsidRDefault="0040341B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</w:p>
    <w:p w14:paraId="5A6D6AB3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Takođe su sprovedene studije u kojima je istovremeno primjenjivan </w:t>
      </w: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 sa odgovarajućim antibioticima (</w:t>
      </w:r>
      <w:proofErr w:type="spellStart"/>
      <w:r w:rsidRPr="003E0A1F">
        <w:rPr>
          <w:color w:val="000000"/>
          <w:szCs w:val="22"/>
          <w:lang w:val="sr-Latn-ME"/>
        </w:rPr>
        <w:t>klaritromicin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metronidazol</w:t>
      </w:r>
      <w:proofErr w:type="spellEnd"/>
      <w:r w:rsidRPr="003E0A1F">
        <w:rPr>
          <w:color w:val="000000"/>
          <w:szCs w:val="22"/>
          <w:lang w:val="sr-Latn-ME"/>
        </w:rPr>
        <w:t xml:space="preserve">, </w:t>
      </w:r>
      <w:proofErr w:type="spellStart"/>
      <w:r w:rsidRPr="003E0A1F">
        <w:rPr>
          <w:color w:val="000000"/>
          <w:szCs w:val="22"/>
          <w:lang w:val="sr-Latn-ME"/>
        </w:rPr>
        <w:t>amoksicilin</w:t>
      </w:r>
      <w:proofErr w:type="spellEnd"/>
      <w:r w:rsidRPr="003E0A1F">
        <w:rPr>
          <w:color w:val="000000"/>
          <w:szCs w:val="22"/>
          <w:lang w:val="sr-Latn-ME"/>
        </w:rPr>
        <w:t>). Nijesu utvrđene klinički značajne interakcije.</w:t>
      </w:r>
    </w:p>
    <w:p w14:paraId="32A32919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86C7647" w14:textId="77777777" w:rsidR="0040341B" w:rsidRPr="003E0A1F" w:rsidRDefault="00B87F20" w:rsidP="00054FC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szCs w:val="22"/>
          <w:u w:val="single"/>
          <w:lang w:val="sr-Latn-ME"/>
        </w:rPr>
        <w:t xml:space="preserve">Ljekovi koji inhibiraju/indukuju CYP2C19: </w:t>
      </w:r>
    </w:p>
    <w:p w14:paraId="34026599" w14:textId="77777777" w:rsidR="0040341B" w:rsidRPr="003E0A1F" w:rsidRDefault="00B87F20" w:rsidP="00054FC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CYP2C19 </w:t>
      </w:r>
      <w:proofErr w:type="spellStart"/>
      <w:r w:rsidRPr="003E0A1F">
        <w:rPr>
          <w:szCs w:val="22"/>
          <w:lang w:val="sr-Latn-ME"/>
        </w:rPr>
        <w:t>inhibitori</w:t>
      </w:r>
      <w:proofErr w:type="spellEnd"/>
      <w:r w:rsidRPr="003E0A1F">
        <w:rPr>
          <w:szCs w:val="22"/>
          <w:lang w:val="sr-Latn-ME"/>
        </w:rPr>
        <w:t xml:space="preserve">, kao što je </w:t>
      </w:r>
      <w:proofErr w:type="spellStart"/>
      <w:r w:rsidRPr="003E0A1F">
        <w:rPr>
          <w:szCs w:val="22"/>
          <w:lang w:val="sr-Latn-ME"/>
        </w:rPr>
        <w:t>fluvoksamin</w:t>
      </w:r>
      <w:proofErr w:type="spellEnd"/>
      <w:r w:rsidRPr="003E0A1F">
        <w:rPr>
          <w:szCs w:val="22"/>
          <w:lang w:val="sr-Latn-ME"/>
        </w:rPr>
        <w:t xml:space="preserve">, mogu da povećaju sistemsku izloženost </w:t>
      </w:r>
      <w:proofErr w:type="spellStart"/>
      <w:r w:rsidRPr="003E0A1F">
        <w:rPr>
          <w:szCs w:val="22"/>
          <w:lang w:val="sr-Latn-ME"/>
        </w:rPr>
        <w:t>pantoprazolu</w:t>
      </w:r>
      <w:proofErr w:type="spellEnd"/>
      <w:r w:rsidRPr="003E0A1F">
        <w:rPr>
          <w:szCs w:val="22"/>
          <w:lang w:val="sr-Latn-ME"/>
        </w:rPr>
        <w:t xml:space="preserve">. </w:t>
      </w:r>
      <w:r w:rsidRPr="003E0A1F">
        <w:rPr>
          <w:szCs w:val="22"/>
          <w:lang w:val="sr-Latn-ME"/>
        </w:rPr>
        <w:lastRenderedPageBreak/>
        <w:t xml:space="preserve">Potrebno je razmotriti smanjenje doze lijeka kod pacijenata na dugotrajnoj terapiji visokim dozama </w:t>
      </w:r>
      <w:proofErr w:type="spellStart"/>
      <w:r w:rsidRPr="003E0A1F">
        <w:rPr>
          <w:szCs w:val="22"/>
          <w:lang w:val="sr-Latn-ME"/>
        </w:rPr>
        <w:t>pantoprazola</w:t>
      </w:r>
      <w:proofErr w:type="spellEnd"/>
      <w:r w:rsidRPr="003E0A1F">
        <w:rPr>
          <w:szCs w:val="22"/>
          <w:lang w:val="sr-Latn-ME"/>
        </w:rPr>
        <w:t xml:space="preserve"> ili kod pacijenata sa oštećenom funkcijom jetre.</w:t>
      </w:r>
    </w:p>
    <w:p w14:paraId="5B007652" w14:textId="77777777" w:rsidR="0040341B" w:rsidRPr="003E0A1F" w:rsidRDefault="00B87F20" w:rsidP="00054FC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 CYP2C19 i CYP3A4 induktori, kao što su </w:t>
      </w:r>
      <w:proofErr w:type="spellStart"/>
      <w:r w:rsidRPr="003E0A1F">
        <w:rPr>
          <w:szCs w:val="22"/>
          <w:lang w:val="sr-Latn-ME"/>
        </w:rPr>
        <w:t>rifampicin</w:t>
      </w:r>
      <w:proofErr w:type="spellEnd"/>
      <w:r w:rsidRPr="003E0A1F">
        <w:rPr>
          <w:szCs w:val="22"/>
          <w:lang w:val="sr-Latn-ME"/>
        </w:rPr>
        <w:t xml:space="preserve"> i kantarion (</w:t>
      </w:r>
      <w:proofErr w:type="spellStart"/>
      <w:r w:rsidRPr="003E0A1F">
        <w:rPr>
          <w:szCs w:val="22"/>
          <w:lang w:val="sr-Latn-ME"/>
        </w:rPr>
        <w:t>Hypericum</w:t>
      </w:r>
      <w:proofErr w:type="spellEnd"/>
      <w:r w:rsidRPr="003E0A1F">
        <w:rPr>
          <w:szCs w:val="22"/>
          <w:lang w:val="sr-Latn-ME"/>
        </w:rPr>
        <w:t xml:space="preserve"> </w:t>
      </w:r>
      <w:proofErr w:type="spellStart"/>
      <w:r w:rsidRPr="003E0A1F">
        <w:rPr>
          <w:szCs w:val="22"/>
          <w:lang w:val="sr-Latn-ME"/>
        </w:rPr>
        <w:t>perforatum</w:t>
      </w:r>
      <w:proofErr w:type="spellEnd"/>
      <w:r w:rsidRPr="003E0A1F">
        <w:rPr>
          <w:szCs w:val="22"/>
          <w:lang w:val="sr-Latn-ME"/>
        </w:rPr>
        <w:t xml:space="preserve">) mogu da smanje koncentraciju </w:t>
      </w:r>
      <w:proofErr w:type="spellStart"/>
      <w:r w:rsidRPr="003E0A1F">
        <w:rPr>
          <w:szCs w:val="22"/>
          <w:lang w:val="sr-Latn-ME"/>
        </w:rPr>
        <w:t>inhibitora</w:t>
      </w:r>
      <w:proofErr w:type="spellEnd"/>
      <w:r w:rsidRPr="003E0A1F">
        <w:rPr>
          <w:szCs w:val="22"/>
          <w:lang w:val="sr-Latn-ME"/>
        </w:rPr>
        <w:t xml:space="preserve"> protonske pumpe u plazmi, koji se </w:t>
      </w:r>
      <w:proofErr w:type="spellStart"/>
      <w:r w:rsidRPr="003E0A1F">
        <w:rPr>
          <w:szCs w:val="22"/>
          <w:lang w:val="sr-Latn-ME"/>
        </w:rPr>
        <w:t>metabolišu</w:t>
      </w:r>
      <w:proofErr w:type="spellEnd"/>
      <w:r w:rsidRPr="003E0A1F">
        <w:rPr>
          <w:szCs w:val="22"/>
          <w:lang w:val="sr-Latn-ME"/>
        </w:rPr>
        <w:t xml:space="preserve"> posredstvom ovih enzima.</w:t>
      </w:r>
    </w:p>
    <w:p w14:paraId="3BC81C87" w14:textId="77777777" w:rsidR="0040341B" w:rsidRPr="003E0A1F" w:rsidRDefault="0040341B" w:rsidP="00054FC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06FB40BC" w14:textId="69DF30F8" w:rsidR="0040341B" w:rsidRPr="003E0A1F" w:rsidRDefault="00B87F20" w:rsidP="00054FCE">
      <w:pPr>
        <w:widowControl w:val="0"/>
        <w:spacing w:line="240" w:lineRule="auto"/>
        <w:jc w:val="both"/>
        <w:rPr>
          <w:szCs w:val="22"/>
          <w:lang w:val="sr-Latn-ME"/>
        </w:rPr>
      </w:pPr>
      <w:r w:rsidRPr="003E0A1F">
        <w:rPr>
          <w:i/>
          <w:iCs/>
          <w:szCs w:val="22"/>
          <w:u w:val="single"/>
          <w:lang w:val="sr-Latn-ME"/>
        </w:rPr>
        <w:t>Interakcije lijeka s laboratorijskim pretragama</w:t>
      </w:r>
      <w:r w:rsidRPr="003E0A1F">
        <w:rPr>
          <w:i/>
          <w:iCs/>
          <w:szCs w:val="22"/>
          <w:u w:val="single"/>
          <w:lang w:val="sr-Latn-ME"/>
        </w:rPr>
        <w:cr/>
      </w:r>
      <w:r w:rsidRPr="003E0A1F">
        <w:rPr>
          <w:szCs w:val="22"/>
          <w:lang w:val="sr-Latn-ME"/>
        </w:rPr>
        <w:t xml:space="preserve">Kod pacijenata koji su primali </w:t>
      </w:r>
      <w:proofErr w:type="spellStart"/>
      <w:r w:rsidRPr="003E0A1F">
        <w:rPr>
          <w:szCs w:val="22"/>
          <w:lang w:val="sr-Latn-ME"/>
        </w:rPr>
        <w:t>pantoprazol</w:t>
      </w:r>
      <w:proofErr w:type="spellEnd"/>
      <w:r w:rsidRPr="003E0A1F">
        <w:rPr>
          <w:szCs w:val="22"/>
          <w:lang w:val="sr-Latn-ME"/>
        </w:rPr>
        <w:t xml:space="preserve"> prijavljeni su lažno pozitivni rezultati u nekim </w:t>
      </w:r>
      <w:proofErr w:type="spellStart"/>
      <w:r w:rsidRPr="003E0A1F">
        <w:rPr>
          <w:szCs w:val="22"/>
          <w:lang w:val="sr-Latn-ME"/>
        </w:rPr>
        <w:t>skrining</w:t>
      </w:r>
      <w:proofErr w:type="spellEnd"/>
      <w:r w:rsidRPr="003E0A1F">
        <w:rPr>
          <w:szCs w:val="22"/>
          <w:lang w:val="sr-Latn-ME"/>
        </w:rPr>
        <w:t xml:space="preserve"> pretragama urina na </w:t>
      </w:r>
      <w:proofErr w:type="spellStart"/>
      <w:r w:rsidRPr="003E0A1F">
        <w:rPr>
          <w:szCs w:val="22"/>
          <w:lang w:val="sr-Latn-ME"/>
        </w:rPr>
        <w:t>tetrahidrokanabinol</w:t>
      </w:r>
      <w:proofErr w:type="spellEnd"/>
      <w:r w:rsidRPr="003E0A1F">
        <w:rPr>
          <w:szCs w:val="22"/>
          <w:lang w:val="sr-Latn-ME"/>
        </w:rPr>
        <w:t xml:space="preserve"> (THC). Potrebno je razmotriti koriš</w:t>
      </w:r>
      <w:r w:rsidR="003D0663" w:rsidRPr="003E0A1F">
        <w:rPr>
          <w:szCs w:val="22"/>
          <w:lang w:val="sr-Latn-ME"/>
        </w:rPr>
        <w:t>ć</w:t>
      </w:r>
      <w:r w:rsidRPr="003E0A1F">
        <w:rPr>
          <w:szCs w:val="22"/>
          <w:lang w:val="sr-Latn-ME"/>
        </w:rPr>
        <w:t>enje alternativne potvrdne metode za provjeru pozitivnih rezultata.</w:t>
      </w:r>
    </w:p>
    <w:p w14:paraId="6FEF3008" w14:textId="77777777" w:rsidR="0040341B" w:rsidRPr="003E0A1F" w:rsidRDefault="0040341B" w:rsidP="00054FCE">
      <w:pPr>
        <w:widowControl w:val="0"/>
        <w:spacing w:line="240" w:lineRule="auto"/>
        <w:ind w:left="567" w:hanging="567"/>
        <w:jc w:val="both"/>
        <w:outlineLvl w:val="0"/>
        <w:rPr>
          <w:b/>
          <w:szCs w:val="22"/>
          <w:lang w:val="sr-Latn-ME"/>
        </w:rPr>
      </w:pPr>
    </w:p>
    <w:p w14:paraId="4612848A" w14:textId="77777777" w:rsidR="0040341B" w:rsidRPr="003E0A1F" w:rsidRDefault="00B87F20" w:rsidP="00054FCE">
      <w:pPr>
        <w:widowControl w:val="0"/>
        <w:spacing w:line="240" w:lineRule="auto"/>
        <w:ind w:left="567" w:hanging="567"/>
        <w:jc w:val="both"/>
        <w:outlineLvl w:val="0"/>
        <w:rPr>
          <w:b/>
          <w:bCs/>
          <w:szCs w:val="22"/>
          <w:lang w:val="sr-Latn-ME"/>
        </w:rPr>
      </w:pPr>
      <w:r w:rsidRPr="003E0A1F">
        <w:rPr>
          <w:b/>
          <w:szCs w:val="22"/>
          <w:lang w:val="sr-Latn-ME"/>
        </w:rPr>
        <w:t>4.6</w:t>
      </w:r>
      <w:r w:rsidRPr="003E0A1F">
        <w:rPr>
          <w:b/>
          <w:szCs w:val="22"/>
          <w:lang w:val="sr-Latn-ME"/>
        </w:rPr>
        <w:tab/>
      </w:r>
      <w:r w:rsidRPr="003E0A1F">
        <w:rPr>
          <w:b/>
          <w:bCs/>
          <w:szCs w:val="22"/>
          <w:lang w:val="sr-Latn-ME"/>
        </w:rPr>
        <w:t>Plodnost, trudnoća i dojenje</w:t>
      </w:r>
    </w:p>
    <w:p w14:paraId="4F736FAF" w14:textId="77777777" w:rsidR="0040341B" w:rsidRPr="003E0A1F" w:rsidRDefault="0040341B" w:rsidP="00054FCE">
      <w:pPr>
        <w:widowControl w:val="0"/>
        <w:spacing w:line="240" w:lineRule="auto"/>
        <w:ind w:left="567" w:hanging="567"/>
        <w:jc w:val="both"/>
        <w:outlineLvl w:val="0"/>
        <w:rPr>
          <w:b/>
          <w:bCs/>
          <w:szCs w:val="22"/>
          <w:lang w:val="sr-Latn-ME"/>
        </w:rPr>
      </w:pPr>
    </w:p>
    <w:p w14:paraId="1A906657" w14:textId="77777777" w:rsidR="0040341B" w:rsidRPr="003E0A1F" w:rsidRDefault="00B87F20" w:rsidP="00054FC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r-Latn-ME"/>
        </w:rPr>
      </w:pPr>
      <w:r w:rsidRPr="003E0A1F">
        <w:rPr>
          <w:iCs/>
          <w:szCs w:val="22"/>
          <w:u w:val="single"/>
          <w:lang w:val="sr-Latn-ME"/>
        </w:rPr>
        <w:t>Trudnoća</w:t>
      </w:r>
    </w:p>
    <w:p w14:paraId="30B2E24F" w14:textId="77777777" w:rsidR="0040341B" w:rsidRPr="003E0A1F" w:rsidRDefault="00B87F20" w:rsidP="00054FC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Ograničen broj podataka kod trudnica (između 300-1000 ishoda trudnoće) ukazuju da </w:t>
      </w:r>
      <w:proofErr w:type="spellStart"/>
      <w:r w:rsidRPr="003E0A1F">
        <w:rPr>
          <w:szCs w:val="22"/>
          <w:lang w:val="sr-Latn-ME"/>
        </w:rPr>
        <w:t>pantoprazol</w:t>
      </w:r>
      <w:proofErr w:type="spellEnd"/>
      <w:r w:rsidRPr="003E0A1F">
        <w:rPr>
          <w:szCs w:val="22"/>
          <w:lang w:val="sr-Latn-ME"/>
        </w:rPr>
        <w:t xml:space="preserve"> nema </w:t>
      </w:r>
      <w:proofErr w:type="spellStart"/>
      <w:r w:rsidRPr="003E0A1F">
        <w:rPr>
          <w:szCs w:val="22"/>
          <w:lang w:val="sr-Latn-ME"/>
        </w:rPr>
        <w:t>malformativnu</w:t>
      </w:r>
      <w:proofErr w:type="spellEnd"/>
      <w:r w:rsidRPr="003E0A1F">
        <w:rPr>
          <w:szCs w:val="22"/>
          <w:lang w:val="sr-Latn-ME"/>
        </w:rPr>
        <w:t xml:space="preserve"> ili </w:t>
      </w:r>
      <w:proofErr w:type="spellStart"/>
      <w:r w:rsidRPr="003E0A1F">
        <w:rPr>
          <w:szCs w:val="22"/>
          <w:lang w:val="sr-Latn-ME"/>
        </w:rPr>
        <w:t>feto</w:t>
      </w:r>
      <w:proofErr w:type="spellEnd"/>
      <w:r w:rsidRPr="003E0A1F">
        <w:rPr>
          <w:szCs w:val="22"/>
          <w:lang w:val="sr-Latn-ME"/>
        </w:rPr>
        <w:t>/</w:t>
      </w:r>
      <w:proofErr w:type="spellStart"/>
      <w:r w:rsidRPr="003E0A1F">
        <w:rPr>
          <w:szCs w:val="22"/>
          <w:lang w:val="sr-Latn-ME"/>
        </w:rPr>
        <w:t>neonatalnu</w:t>
      </w:r>
      <w:proofErr w:type="spellEnd"/>
      <w:r w:rsidRPr="003E0A1F">
        <w:rPr>
          <w:szCs w:val="22"/>
          <w:lang w:val="sr-Latn-ME"/>
        </w:rPr>
        <w:t xml:space="preserve"> toksičnost. </w:t>
      </w:r>
    </w:p>
    <w:p w14:paraId="59A0CE35" w14:textId="77777777" w:rsidR="0040341B" w:rsidRPr="003E0A1F" w:rsidRDefault="00B87F20" w:rsidP="00054FC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Ispitivanja na životinjama su pokazala reproduktivnu toksičnost (vidjeti dio 5.3). </w:t>
      </w:r>
    </w:p>
    <w:p w14:paraId="0913BB79" w14:textId="77777777" w:rsidR="0040341B" w:rsidRPr="003E0A1F" w:rsidRDefault="00B87F20" w:rsidP="00054FC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szCs w:val="22"/>
          <w:lang w:val="sr-Latn-ME"/>
        </w:rPr>
        <w:t xml:space="preserve">Kao mjera opreza, poželjno je izbjegavati primjenu lijeka </w:t>
      </w:r>
      <w:proofErr w:type="spellStart"/>
      <w:r w:rsidRPr="003E0A1F">
        <w:rPr>
          <w:szCs w:val="22"/>
          <w:lang w:val="sr-Latn-ME"/>
        </w:rPr>
        <w:t>Nolpaza</w:t>
      </w:r>
      <w:proofErr w:type="spellEnd"/>
      <w:r w:rsidRPr="003E0A1F">
        <w:rPr>
          <w:szCs w:val="22"/>
          <w:lang w:val="sr-Latn-ME"/>
        </w:rPr>
        <w:t xml:space="preserve"> tokom trudnoće.</w:t>
      </w:r>
    </w:p>
    <w:p w14:paraId="3DE65A3B" w14:textId="77777777" w:rsidR="0040341B" w:rsidRPr="003E0A1F" w:rsidRDefault="0040341B" w:rsidP="00054FC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9206871" w14:textId="77777777" w:rsidR="0040341B" w:rsidRPr="003E0A1F" w:rsidRDefault="00B87F20" w:rsidP="00054FC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r-Latn-ME"/>
        </w:rPr>
      </w:pPr>
      <w:r w:rsidRPr="003E0A1F">
        <w:rPr>
          <w:iCs/>
          <w:szCs w:val="22"/>
          <w:u w:val="single"/>
          <w:lang w:val="sr-Latn-ME"/>
        </w:rPr>
        <w:t>Dojenje</w:t>
      </w:r>
    </w:p>
    <w:p w14:paraId="7B539D2D" w14:textId="77777777" w:rsidR="0040341B" w:rsidRPr="003E0A1F" w:rsidRDefault="00B87F20" w:rsidP="00054FCE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szCs w:val="22"/>
          <w:lang w:val="sr-Latn-ME"/>
        </w:rPr>
        <w:t xml:space="preserve">Studije na životinjama pokazale su da se </w:t>
      </w:r>
      <w:proofErr w:type="spellStart"/>
      <w:r w:rsidRPr="003E0A1F">
        <w:rPr>
          <w:szCs w:val="22"/>
          <w:lang w:val="sr-Latn-ME"/>
        </w:rPr>
        <w:t>pantoprazol</w:t>
      </w:r>
      <w:proofErr w:type="spellEnd"/>
      <w:r w:rsidRPr="003E0A1F">
        <w:rPr>
          <w:szCs w:val="22"/>
          <w:lang w:val="sr-Latn-ME"/>
        </w:rPr>
        <w:t xml:space="preserve"> izlučuje putem mlijeka. Nema dovoljno podataka o izlučivanju </w:t>
      </w:r>
      <w:proofErr w:type="spellStart"/>
      <w:r w:rsidRPr="003E0A1F">
        <w:rPr>
          <w:szCs w:val="22"/>
          <w:lang w:val="sr-Latn-ME"/>
        </w:rPr>
        <w:t>pantoprazola</w:t>
      </w:r>
      <w:proofErr w:type="spellEnd"/>
      <w:r w:rsidRPr="003E0A1F">
        <w:rPr>
          <w:szCs w:val="22"/>
          <w:lang w:val="sr-Latn-ME"/>
        </w:rPr>
        <w:t xml:space="preserve"> u ljudsko mlijeko, ali postoji izvještaj i o ekskreciji u mlijeku kod žena. Rizik po novorođenče/odojče se ne može isključiti. Zbog toga odluku o prekidu dojenja ili prekidu/uzdržavanju od terapije </w:t>
      </w:r>
      <w:proofErr w:type="spellStart"/>
      <w:r w:rsidRPr="003E0A1F">
        <w:rPr>
          <w:szCs w:val="22"/>
          <w:lang w:val="sr-Latn-ME"/>
        </w:rPr>
        <w:t>pantoprazolom</w:t>
      </w:r>
      <w:proofErr w:type="spellEnd"/>
      <w:r w:rsidRPr="003E0A1F">
        <w:rPr>
          <w:szCs w:val="22"/>
          <w:lang w:val="sr-Latn-ME"/>
        </w:rPr>
        <w:t xml:space="preserve"> treba donijeti uzimajući u obzir korist dojenja za dijete i korist primjene terapije kod žene.</w:t>
      </w:r>
    </w:p>
    <w:p w14:paraId="51C1B74A" w14:textId="77777777" w:rsidR="0040341B" w:rsidRPr="003E0A1F" w:rsidRDefault="0040341B" w:rsidP="00054FC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</w:p>
    <w:p w14:paraId="0FA17A1D" w14:textId="77777777" w:rsidR="0040341B" w:rsidRPr="003E0A1F" w:rsidRDefault="00B87F20" w:rsidP="00054FC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szCs w:val="22"/>
          <w:u w:val="single"/>
          <w:lang w:val="sr-Latn-ME"/>
        </w:rPr>
        <w:t xml:space="preserve">Plodnost </w:t>
      </w:r>
    </w:p>
    <w:p w14:paraId="40D6510C" w14:textId="77777777" w:rsidR="0040341B" w:rsidRPr="003E0A1F" w:rsidRDefault="00B87F20" w:rsidP="00054FC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Ispitivanja na životinjama nisu pokazala da primjena </w:t>
      </w:r>
      <w:proofErr w:type="spellStart"/>
      <w:r w:rsidRPr="003E0A1F">
        <w:rPr>
          <w:szCs w:val="22"/>
          <w:lang w:val="sr-Latn-ME"/>
        </w:rPr>
        <w:t>pantoprazola</w:t>
      </w:r>
      <w:proofErr w:type="spellEnd"/>
      <w:r w:rsidRPr="003E0A1F">
        <w:rPr>
          <w:szCs w:val="22"/>
          <w:lang w:val="sr-Latn-ME"/>
        </w:rPr>
        <w:t xml:space="preserve"> ima uticaja na plodnost (vidjeti dio 5.3).</w:t>
      </w:r>
    </w:p>
    <w:p w14:paraId="78F02122" w14:textId="77777777" w:rsidR="0040341B" w:rsidRPr="003E0A1F" w:rsidRDefault="0040341B" w:rsidP="00054FCE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2F340525" w14:textId="77777777" w:rsidR="0040341B" w:rsidRPr="003E0A1F" w:rsidRDefault="00B87F20" w:rsidP="00054FCE">
      <w:pPr>
        <w:widowControl w:val="0"/>
        <w:spacing w:line="240" w:lineRule="auto"/>
        <w:ind w:left="567" w:hanging="567"/>
        <w:jc w:val="both"/>
        <w:outlineLvl w:val="0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4.7</w:t>
      </w:r>
      <w:r w:rsidRPr="003E0A1F">
        <w:rPr>
          <w:b/>
          <w:szCs w:val="22"/>
          <w:lang w:val="sr-Latn-ME"/>
        </w:rPr>
        <w:tab/>
      </w:r>
      <w:r w:rsidRPr="003E0A1F">
        <w:rPr>
          <w:b/>
          <w:bCs/>
          <w:szCs w:val="22"/>
          <w:lang w:val="sr-Latn-ME"/>
        </w:rPr>
        <w:t xml:space="preserve">Uticaj na sposobnost upravljanja vozilima i rukovanje mašinama </w:t>
      </w:r>
    </w:p>
    <w:p w14:paraId="79B63694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5E58B94F" w14:textId="77777777" w:rsidR="0040341B" w:rsidRPr="003E0A1F" w:rsidRDefault="00B87F20" w:rsidP="00054FC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proofErr w:type="spellStart"/>
      <w:r w:rsidRPr="003E0A1F">
        <w:rPr>
          <w:szCs w:val="22"/>
          <w:lang w:val="sr-Latn-ME"/>
        </w:rPr>
        <w:t>Pantoprazol</w:t>
      </w:r>
      <w:proofErr w:type="spellEnd"/>
      <w:r w:rsidRPr="003E0A1F">
        <w:rPr>
          <w:szCs w:val="22"/>
          <w:lang w:val="sr-Latn-ME"/>
        </w:rPr>
        <w:t xml:space="preserve"> nema ili ima zanemarljiv uticaj na sposobnost upravljanja vozilima i rukovanje mašinama. </w:t>
      </w:r>
    </w:p>
    <w:p w14:paraId="0CC9FB1F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Mogu se javiti neželjena dejstva poput vrtoglavice i poremećaja vida (vidjeti poglavlje 4.8). U slučaju pojave ovih neželjenih reakcija, pacijenti ne smiju upravljati motornim vozilom i rukovati mašinama. </w:t>
      </w:r>
    </w:p>
    <w:p w14:paraId="3BB38B8F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71FDC8BC" w14:textId="77777777" w:rsidR="0040341B" w:rsidRPr="003E0A1F" w:rsidRDefault="00B87F20" w:rsidP="00054FCE">
      <w:pPr>
        <w:widowControl w:val="0"/>
        <w:numPr>
          <w:ilvl w:val="1"/>
          <w:numId w:val="11"/>
        </w:numPr>
        <w:spacing w:line="240" w:lineRule="auto"/>
        <w:jc w:val="both"/>
        <w:outlineLvl w:val="0"/>
        <w:rPr>
          <w:b/>
          <w:szCs w:val="22"/>
          <w:lang w:val="sr-Latn-ME"/>
        </w:rPr>
      </w:pPr>
      <w:r w:rsidRPr="003E0A1F">
        <w:rPr>
          <w:b/>
          <w:szCs w:val="22"/>
          <w:lang w:val="sr-Latn-ME"/>
        </w:rPr>
        <w:t>Neželjena dejstva</w:t>
      </w:r>
    </w:p>
    <w:p w14:paraId="300AC1B2" w14:textId="77777777" w:rsidR="0040341B" w:rsidRPr="003E0A1F" w:rsidRDefault="0040341B" w:rsidP="00054FCE">
      <w:pPr>
        <w:pStyle w:val="Default"/>
        <w:widowControl w:val="0"/>
        <w:jc w:val="both"/>
        <w:rPr>
          <w:sz w:val="22"/>
          <w:szCs w:val="22"/>
          <w:lang w:val="sr-Latn-ME"/>
        </w:rPr>
      </w:pPr>
    </w:p>
    <w:p w14:paraId="27B584A2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U prosjeku se kod  5% pacijenata  može očekivati pojava neželjenih reakcija na lijek. </w:t>
      </w:r>
    </w:p>
    <w:p w14:paraId="79AE12D0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2"/>
          <w:lang w:val="sr-Latn-ME"/>
        </w:rPr>
      </w:pPr>
    </w:p>
    <w:p w14:paraId="2614BF35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Neželjena dejstva prikazana u Tabeli 1 svrstana su prema sljedećoj klasifikaciji učestalosti: veoma česta (≥1/10), česta (≥1/100; &lt;1/10), povremena (≥1/1000; &lt;1/100), rijetka (≥1/10000; &lt;1/1000), veoma rijetka (&lt;1/10000) i nepoznata (ne mogu se procijeniti na osnovu raspoloživih podataka). </w:t>
      </w:r>
    </w:p>
    <w:p w14:paraId="04F821A9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Za sva neželjena dejstva prijavljena tokom </w:t>
      </w:r>
      <w:proofErr w:type="spellStart"/>
      <w:r w:rsidRPr="003E0A1F">
        <w:rPr>
          <w:color w:val="000000"/>
          <w:szCs w:val="22"/>
          <w:lang w:val="sr-Latn-ME"/>
        </w:rPr>
        <w:t>postmarketinškog</w:t>
      </w:r>
      <w:proofErr w:type="spellEnd"/>
      <w:r w:rsidRPr="003E0A1F">
        <w:rPr>
          <w:color w:val="000000"/>
          <w:szCs w:val="22"/>
          <w:lang w:val="sr-Latn-ME"/>
        </w:rPr>
        <w:t xml:space="preserve"> iskustva nije moguće odrediti učestalost javljanja i zbog toga se nalaze u odjeljku "nepoznata" učestalost.</w:t>
      </w:r>
    </w:p>
    <w:p w14:paraId="3E2FF5DC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0F7CBDE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>U svakoj kategoriji učestalosti, redosl</w:t>
      </w:r>
      <w:r w:rsidR="003D0663" w:rsidRPr="003E0A1F">
        <w:rPr>
          <w:color w:val="000000"/>
          <w:szCs w:val="22"/>
          <w:lang w:val="sr-Latn-ME"/>
        </w:rPr>
        <w:t>i</w:t>
      </w:r>
      <w:r w:rsidRPr="003E0A1F">
        <w:rPr>
          <w:color w:val="000000"/>
          <w:szCs w:val="22"/>
          <w:lang w:val="sr-Latn-ME"/>
        </w:rPr>
        <w:t>jed neželjenih dejstava kreće se od najozbiljnijih do najblažih.</w:t>
      </w:r>
    </w:p>
    <w:p w14:paraId="4D54E069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2"/>
          <w:lang w:val="sr-Latn-ME"/>
        </w:rPr>
      </w:pPr>
    </w:p>
    <w:p w14:paraId="4C31F10A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ind w:left="20"/>
        <w:jc w:val="both"/>
        <w:rPr>
          <w:i/>
          <w:color w:val="000000"/>
          <w:szCs w:val="22"/>
          <w:lang w:val="sr-Latn-ME"/>
        </w:rPr>
      </w:pPr>
      <w:r w:rsidRPr="003E0A1F">
        <w:rPr>
          <w:b/>
          <w:i/>
          <w:color w:val="000000"/>
          <w:szCs w:val="22"/>
          <w:lang w:val="sr-Latn-ME"/>
        </w:rPr>
        <w:t xml:space="preserve">   Tabela 1.</w:t>
      </w:r>
      <w:r w:rsidRPr="003E0A1F">
        <w:rPr>
          <w:i/>
          <w:color w:val="000000"/>
          <w:szCs w:val="22"/>
          <w:lang w:val="sr-Latn-ME"/>
        </w:rPr>
        <w:t xml:space="preserve"> Neželjena dejstva </w:t>
      </w:r>
      <w:proofErr w:type="spellStart"/>
      <w:r w:rsidRPr="003E0A1F">
        <w:rPr>
          <w:i/>
          <w:color w:val="000000"/>
          <w:szCs w:val="22"/>
          <w:lang w:val="sr-Latn-ME"/>
        </w:rPr>
        <w:t>pantoprazola</w:t>
      </w:r>
      <w:proofErr w:type="spellEnd"/>
      <w:r w:rsidRPr="003E0A1F">
        <w:rPr>
          <w:i/>
          <w:color w:val="000000"/>
          <w:szCs w:val="22"/>
          <w:lang w:val="sr-Latn-ME"/>
        </w:rPr>
        <w:t xml:space="preserve"> u kliničkim ispitivanjima i </w:t>
      </w:r>
      <w:proofErr w:type="spellStart"/>
      <w:r w:rsidRPr="003E0A1F">
        <w:rPr>
          <w:i/>
          <w:color w:val="000000"/>
          <w:szCs w:val="22"/>
          <w:lang w:val="sr-Latn-ME"/>
        </w:rPr>
        <w:t>postmarketinškom</w:t>
      </w:r>
      <w:proofErr w:type="spellEnd"/>
      <w:r w:rsidRPr="003E0A1F">
        <w:rPr>
          <w:i/>
          <w:color w:val="000000"/>
          <w:szCs w:val="22"/>
          <w:lang w:val="sr-Latn-ME"/>
        </w:rPr>
        <w:t xml:space="preserve"> iskustvu</w:t>
      </w:r>
    </w:p>
    <w:p w14:paraId="32F8DEC1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  <w:lang w:val="sr-Latn-ME"/>
        </w:rPr>
      </w:pPr>
    </w:p>
    <w:tbl>
      <w:tblPr>
        <w:tblW w:w="516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799"/>
        <w:gridCol w:w="975"/>
        <w:gridCol w:w="1476"/>
        <w:gridCol w:w="1672"/>
        <w:gridCol w:w="1732"/>
        <w:gridCol w:w="1817"/>
      </w:tblGrid>
      <w:tr w:rsidR="0040341B" w:rsidRPr="003E0A1F" w14:paraId="2EB96833" w14:textId="77777777">
        <w:trPr>
          <w:trHeight w:val="469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866EF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single" w:sz="8" w:space="0" w:color="auto"/>
              <w:left w:val="nil"/>
              <w:right w:val="single" w:sz="8" w:space="0" w:color="auto"/>
              <w:tl2br w:val="single" w:sz="4" w:space="0" w:color="auto"/>
            </w:tcBorders>
            <w:vAlign w:val="bottom"/>
          </w:tcPr>
          <w:p w14:paraId="105B3C25" w14:textId="77777777" w:rsidR="0040341B" w:rsidRPr="003E0A1F" w:rsidRDefault="00B87F20" w:rsidP="00054FC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lang w:val="sr-Latn-ME"/>
              </w:rPr>
            </w:pPr>
            <w:r w:rsidRPr="003E0A1F">
              <w:rPr>
                <w:b/>
                <w:szCs w:val="22"/>
                <w:lang w:val="sr-Latn-ME"/>
              </w:rPr>
              <w:t xml:space="preserve">             Učestalost</w:t>
            </w:r>
          </w:p>
          <w:p w14:paraId="171EFF15" w14:textId="77777777" w:rsidR="0040341B" w:rsidRPr="003E0A1F" w:rsidRDefault="0040341B" w:rsidP="00054FC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u w:val="single"/>
                <w:lang w:val="sr-Latn-ME"/>
              </w:rPr>
            </w:pPr>
          </w:p>
          <w:p w14:paraId="1B2C7F7B" w14:textId="77777777" w:rsidR="0040341B" w:rsidRPr="003E0A1F" w:rsidRDefault="00B87F20" w:rsidP="00054FC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lang w:val="sr-Latn-ME"/>
              </w:rPr>
            </w:pPr>
            <w:r w:rsidRPr="003E0A1F">
              <w:rPr>
                <w:b/>
                <w:szCs w:val="22"/>
                <w:lang w:val="sr-Latn-ME"/>
              </w:rPr>
              <w:t xml:space="preserve">Klasa </w:t>
            </w:r>
          </w:p>
          <w:p w14:paraId="152343AA" w14:textId="77777777" w:rsidR="0040341B" w:rsidRPr="003E0A1F" w:rsidRDefault="00B87F20" w:rsidP="00054FC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lang w:val="sr-Latn-ME"/>
              </w:rPr>
            </w:pPr>
            <w:r w:rsidRPr="003E0A1F">
              <w:rPr>
                <w:b/>
                <w:szCs w:val="22"/>
                <w:lang w:val="sr-Latn-ME"/>
              </w:rPr>
              <w:t>organskih</w:t>
            </w:r>
          </w:p>
          <w:p w14:paraId="04E78A28" w14:textId="77777777" w:rsidR="0040341B" w:rsidRPr="003E0A1F" w:rsidRDefault="00B87F20" w:rsidP="00054FC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szCs w:val="22"/>
                <w:lang w:val="sr-Latn-ME"/>
              </w:rPr>
              <w:t xml:space="preserve"> sistema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1ABD941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center"/>
              <w:rPr>
                <w:b/>
                <w:color w:val="000000"/>
                <w:szCs w:val="22"/>
                <w:lang w:val="sr-Latn-ME"/>
              </w:rPr>
            </w:pPr>
            <w:r w:rsidRPr="003E0A1F">
              <w:rPr>
                <w:b/>
                <w:szCs w:val="22"/>
                <w:lang w:val="sr-Latn-ME"/>
              </w:rPr>
              <w:t>Česta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8BA5958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b/>
                <w:szCs w:val="22"/>
                <w:lang w:val="sr-Latn-ME"/>
              </w:rPr>
            </w:pPr>
            <w:r w:rsidRPr="003E0A1F">
              <w:rPr>
                <w:b/>
                <w:color w:val="000000"/>
                <w:szCs w:val="22"/>
                <w:lang w:val="sr-Latn-ME"/>
              </w:rPr>
              <w:t>Povremena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00270CB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b/>
                <w:szCs w:val="22"/>
                <w:lang w:val="sr-Latn-ME"/>
              </w:rPr>
            </w:pPr>
            <w:r w:rsidRPr="003E0A1F">
              <w:rPr>
                <w:b/>
                <w:color w:val="000000"/>
                <w:szCs w:val="22"/>
                <w:lang w:val="sr-Latn-ME"/>
              </w:rPr>
              <w:t>Rijetka</w:t>
            </w:r>
          </w:p>
        </w:tc>
        <w:tc>
          <w:tcPr>
            <w:tcW w:w="9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8ADDDE9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b/>
                <w:szCs w:val="22"/>
                <w:lang w:val="sr-Latn-ME"/>
              </w:rPr>
            </w:pPr>
            <w:r w:rsidRPr="003E0A1F">
              <w:rPr>
                <w:b/>
                <w:color w:val="000000"/>
                <w:szCs w:val="22"/>
                <w:lang w:val="sr-Latn-ME"/>
              </w:rPr>
              <w:t>Veoma rijetka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126F608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b/>
                <w:szCs w:val="22"/>
                <w:lang w:val="sr-Latn-ME"/>
              </w:rPr>
            </w:pPr>
            <w:r w:rsidRPr="003E0A1F">
              <w:rPr>
                <w:b/>
                <w:color w:val="000000"/>
                <w:szCs w:val="22"/>
                <w:lang w:val="sr-Latn-ME"/>
              </w:rPr>
              <w:t>Nepoznata</w:t>
            </w:r>
          </w:p>
        </w:tc>
      </w:tr>
      <w:tr w:rsidR="0040341B" w:rsidRPr="003E0A1F" w14:paraId="43C8896B" w14:textId="77777777">
        <w:trPr>
          <w:trHeight w:val="231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DF377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5F4F8F" w14:textId="77777777" w:rsidR="0040341B" w:rsidRPr="003E0A1F" w:rsidRDefault="0040341B" w:rsidP="00054FC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1A7BE27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AAB31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A5290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231FA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81E8B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713D1CDC" w14:textId="77777777">
        <w:trPr>
          <w:trHeight w:val="203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4CB3C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998DF8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Poremećaji na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8313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BB602A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915095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Agranulocitoza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CD44A3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Trombocitopenija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>,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CEF94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70F508F8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8913A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C34DD3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nivou krvi 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D69E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C256D8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E6E7D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593E96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Leukopenija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>,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C2B05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2094BDFA" w14:textId="77777777">
        <w:trPr>
          <w:trHeight w:val="262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617D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AD75C8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limfnog sistema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F8C825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708FF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50644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22E3D0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Pancitopenija</w:t>
            </w:r>
            <w:proofErr w:type="spellEnd"/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8A601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2501B928" w14:textId="77777777">
        <w:trPr>
          <w:trHeight w:val="208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48EA1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48B4F7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Imunološki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34E4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7EFF9B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4C23EB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Hipersenzitivnost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0AD60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C0797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6412BB1E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28F9F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0A48AF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poremećaji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30DC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28491F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DF8DB1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(uključujući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4B692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0F1E8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020C2DFA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A14FD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80615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4157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B58204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DAA6B9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anafilaktičke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3ACEC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1AFA9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1E39638A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4C8F5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24977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36EF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454150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B78296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reakcije i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19948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64B9D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3F5CF607" w14:textId="77777777">
        <w:trPr>
          <w:trHeight w:val="262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AC6C1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BB88B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C78D6E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DA4B5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8A25FE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anafilaktički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 xml:space="preserve"> šok)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E0811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C597C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4BABDDF6" w14:textId="77777777">
        <w:trPr>
          <w:trHeight w:val="43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57359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B0EEC0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Poremećaji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41B6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C5D497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1D73EE7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Hiperlipidemija</w:t>
            </w:r>
            <w:proofErr w:type="spellEnd"/>
          </w:p>
          <w:p w14:paraId="69950F5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i povećanje lipida</w:t>
            </w:r>
          </w:p>
          <w:p w14:paraId="167B4EE9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(</w:t>
            </w:r>
            <w:proofErr w:type="spellStart"/>
            <w:r w:rsidRPr="003E0A1F">
              <w:rPr>
                <w:color w:val="000000"/>
                <w:szCs w:val="22"/>
                <w:lang w:val="sr-Latn-ME"/>
              </w:rPr>
              <w:t>triglicerida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>,</w:t>
            </w:r>
          </w:p>
          <w:p w14:paraId="138EF83F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holesterola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>),</w:t>
            </w:r>
          </w:p>
          <w:p w14:paraId="6ED633D1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Promjene tjelesne</w:t>
            </w:r>
          </w:p>
          <w:p w14:paraId="2A8EDC34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mase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A2735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4305A4E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Hiponatrijemija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>,</w:t>
            </w:r>
          </w:p>
          <w:p w14:paraId="4E05198F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hipomagnezijemija</w:t>
            </w:r>
            <w:proofErr w:type="spellEnd"/>
          </w:p>
          <w:p w14:paraId="34B257C5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(vidjeti dio   4.4)</w:t>
            </w:r>
          </w:p>
          <w:p w14:paraId="38DDEBB8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vertAlign w:val="superscript"/>
                <w:lang w:val="sr-Latn-ME"/>
              </w:rPr>
            </w:pPr>
            <w:proofErr w:type="spellStart"/>
            <w:r w:rsidRPr="003E0A1F">
              <w:rPr>
                <w:szCs w:val="22"/>
                <w:lang w:val="sr-Latn-ME"/>
              </w:rPr>
              <w:t>Hipokalcijemija</w:t>
            </w:r>
            <w:proofErr w:type="spellEnd"/>
            <w:r w:rsidRPr="003E0A1F">
              <w:rPr>
                <w:szCs w:val="22"/>
                <w:vertAlign w:val="superscript"/>
                <w:lang w:val="sr-Latn-ME"/>
              </w:rPr>
              <w:t>(1)</w:t>
            </w:r>
          </w:p>
          <w:p w14:paraId="34A8D2C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szCs w:val="22"/>
                <w:lang w:val="sr-Latn-ME"/>
              </w:rPr>
              <w:t>Hipokalijemija</w:t>
            </w:r>
            <w:proofErr w:type="spellEnd"/>
            <w:r w:rsidRPr="003E0A1F">
              <w:rPr>
                <w:szCs w:val="22"/>
                <w:vertAlign w:val="superscript"/>
                <w:lang w:val="sr-Latn-ME"/>
              </w:rPr>
              <w:t>(1)</w:t>
            </w:r>
          </w:p>
        </w:tc>
      </w:tr>
      <w:tr w:rsidR="0040341B" w:rsidRPr="003E0A1F" w14:paraId="66CF9270" w14:textId="77777777">
        <w:trPr>
          <w:trHeight w:val="189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6EF7E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28B149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metabolizma i ishrane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5EDA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119DE2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86B6B0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F50F7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35ECC4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24B6E6B8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31B9F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B7119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9B84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F90268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82310F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4E9A3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67FED1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25AA0B0F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BDDB3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8F939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CD93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1C543D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7C9099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81C84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BEE727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4332B412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77116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E32C7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D330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40BB27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FCA630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46280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879C97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411F33BF" w14:textId="77777777">
        <w:trPr>
          <w:trHeight w:val="87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32E83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03390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5AECFF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6C8F6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C5E1A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6F3E0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AA80E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0582842C" w14:textId="77777777">
        <w:trPr>
          <w:trHeight w:val="293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10F18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0F1C17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 xml:space="preserve">Psihijatrijski poremećaji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579D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91024F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Poremećaji sna</w:t>
            </w:r>
          </w:p>
        </w:tc>
        <w:tc>
          <w:tcPr>
            <w:tcW w:w="892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B67EFB9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Depresija</w:t>
            </w:r>
          </w:p>
          <w:p w14:paraId="5D64891C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(sa svim</w:t>
            </w:r>
          </w:p>
          <w:p w14:paraId="74ECEF94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pogoršanjima)</w:t>
            </w:r>
          </w:p>
        </w:tc>
        <w:tc>
          <w:tcPr>
            <w:tcW w:w="92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0AFFCFF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Dezorijentacija</w:t>
            </w:r>
          </w:p>
          <w:p w14:paraId="3A89A2C5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(sa svim</w:t>
            </w:r>
          </w:p>
          <w:p w14:paraId="4D363B21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pogoršanjima)</w:t>
            </w:r>
          </w:p>
        </w:tc>
        <w:tc>
          <w:tcPr>
            <w:tcW w:w="91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487397B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Halucinacija</w:t>
            </w:r>
          </w:p>
          <w:p w14:paraId="42B4EB04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Konfuzija (naročito kod</w:t>
            </w:r>
          </w:p>
          <w:p w14:paraId="31A8CF4C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predisponiranih</w:t>
            </w:r>
          </w:p>
          <w:p w14:paraId="34255E18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pacijenata, kao i</w:t>
            </w:r>
          </w:p>
          <w:p w14:paraId="18977D23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pogoršanje ovih</w:t>
            </w:r>
          </w:p>
          <w:p w14:paraId="06A866F5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simptoma u slučaju postojeće bolesti)</w:t>
            </w:r>
          </w:p>
        </w:tc>
      </w:tr>
      <w:tr w:rsidR="0040341B" w:rsidRPr="003E0A1F" w14:paraId="5BBC0E7B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15442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E57B6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B8DB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D38459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2D3E21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5966E6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/>
            <w:tcBorders>
              <w:left w:val="nil"/>
              <w:right w:val="single" w:sz="8" w:space="0" w:color="auto"/>
            </w:tcBorders>
          </w:tcPr>
          <w:p w14:paraId="3715D5E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33B3637A" w14:textId="77777777">
        <w:trPr>
          <w:trHeight w:val="87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845F6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4D8AC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2A8C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2A186A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9B77C8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2F3101F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/>
            <w:tcBorders>
              <w:left w:val="nil"/>
              <w:right w:val="single" w:sz="8" w:space="0" w:color="auto"/>
            </w:tcBorders>
          </w:tcPr>
          <w:p w14:paraId="0624253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36FD6D50" w14:textId="77777777">
        <w:trPr>
          <w:trHeight w:val="87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FC0C4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6FA1C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F6DE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F46DE9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CD6849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A8D1F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/>
            <w:tcBorders>
              <w:left w:val="nil"/>
              <w:right w:val="single" w:sz="8" w:space="0" w:color="auto"/>
            </w:tcBorders>
          </w:tcPr>
          <w:p w14:paraId="738B02F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7991AE30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5756B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A6EE0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6F8F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18A9EF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E01EF4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46614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/>
            <w:tcBorders>
              <w:left w:val="nil"/>
              <w:right w:val="single" w:sz="8" w:space="0" w:color="auto"/>
            </w:tcBorders>
          </w:tcPr>
          <w:p w14:paraId="660F71E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6BC618C9" w14:textId="77777777">
        <w:trPr>
          <w:trHeight w:val="252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D470A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F1C0C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97E836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83640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A12C1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248BF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B1ABCB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314BFDEB" w14:textId="77777777">
        <w:trPr>
          <w:trHeight w:val="208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B1B73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CF0E9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Poremećaji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FFE5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67C3122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Glavobolja,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75B8A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Poremećaji čula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3A77B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0FDADC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szCs w:val="22"/>
                <w:lang w:val="sr-Latn-ME"/>
              </w:rPr>
              <w:t>Parestezija</w:t>
            </w:r>
            <w:proofErr w:type="spellEnd"/>
          </w:p>
        </w:tc>
      </w:tr>
      <w:tr w:rsidR="0040341B" w:rsidRPr="003E0A1F" w14:paraId="14CEF609" w14:textId="77777777">
        <w:trPr>
          <w:trHeight w:val="262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58EB9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533482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nervnog sistema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C12369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C5371E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Vrtoglavica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E041E7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ukusa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4D2A1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55634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79C007BD" w14:textId="77777777">
        <w:trPr>
          <w:trHeight w:val="198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C17D2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EC133F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Poremećaji na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B20F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A1B9B3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1E4269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Poremećaji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E66DD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0FC33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35ED4E4D" w14:textId="77777777">
        <w:trPr>
          <w:trHeight w:val="267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F5CEC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0B731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nivou oka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54B841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1813F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C1E25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vida/zamućen vid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15CD2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6BE99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77E88823" w14:textId="77777777">
        <w:trPr>
          <w:trHeight w:val="203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E1B0E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4C21A0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Gastrointestinalni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2C846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  <w:r w:rsidRPr="003E0A1F">
              <w:rPr>
                <w:szCs w:val="22"/>
                <w:lang w:val="sr-Latn-ME"/>
              </w:rPr>
              <w:t xml:space="preserve">Polipi </w:t>
            </w:r>
            <w:proofErr w:type="spellStart"/>
            <w:r w:rsidRPr="003E0A1F">
              <w:rPr>
                <w:szCs w:val="22"/>
                <w:lang w:val="sr-Latn-ME"/>
              </w:rPr>
              <w:t>fundusnih</w:t>
            </w:r>
            <w:proofErr w:type="spellEnd"/>
            <w:r w:rsidRPr="003E0A1F">
              <w:rPr>
                <w:szCs w:val="22"/>
                <w:lang w:val="sr-Latn-ME"/>
              </w:rPr>
              <w:t xml:space="preserve"> žlijezda (benigni)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8B9F468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Dijareja, mučnina/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E1FE7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ECF0E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E2B28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 w:eastAsia="en-IE"/>
              </w:rPr>
              <w:t>Mikroskopski kolitis</w:t>
            </w:r>
          </w:p>
        </w:tc>
      </w:tr>
      <w:tr w:rsidR="0040341B" w:rsidRPr="003E0A1F" w14:paraId="465F4443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BB9A6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1F4CA3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poremećaji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C06A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B27C47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Povraćanje,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A962A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3B3EF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EB8BC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1D123B30" w14:textId="77777777">
        <w:trPr>
          <w:trHeight w:val="23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CAA3D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D5A3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A85F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4710421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Abdominalna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B84BD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4164F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CC5CD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1CC41B93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7551D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D08D4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99CA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28BE97F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distenzija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 xml:space="preserve"> i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89686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772B4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C355E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6BC8D5B5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628BF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A0CAC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0807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29D7AAC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flatulencija,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77F4B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F427B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A3538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3524BCA8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BB754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8E9CE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7072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24AB2A5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Opstipacija, Suvoća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B43C5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7C55C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F3DAF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382BA06F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663AF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F10FF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D4DD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FA02146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usta, Abdominalni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29511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19F22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6C48A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5D764511" w14:textId="77777777">
        <w:trPr>
          <w:trHeight w:val="262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B6888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A0AAD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BC5CC8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43034C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bol i nelagodnost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E253D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B6229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59AE0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2EC47FE4" w14:textId="77777777">
        <w:trPr>
          <w:trHeight w:val="203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44873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038A30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b/>
                <w:bCs/>
                <w:color w:val="000000"/>
                <w:szCs w:val="22"/>
                <w:lang w:val="sr-Latn-ME"/>
              </w:rPr>
              <w:t>Hepatobilijarni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right w:val="single" w:sz="4" w:space="0" w:color="auto"/>
            </w:tcBorders>
          </w:tcPr>
          <w:p w14:paraId="47D94B6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762E5A79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Povećanje  enzima</w:t>
            </w:r>
          </w:p>
          <w:p w14:paraId="6B51CCA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Jetre (</w:t>
            </w:r>
            <w:proofErr w:type="spellStart"/>
            <w:r w:rsidRPr="003E0A1F">
              <w:rPr>
                <w:color w:val="000000"/>
                <w:szCs w:val="22"/>
                <w:lang w:val="sr-Latn-ME"/>
              </w:rPr>
              <w:t>transaminaza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>,</w:t>
            </w:r>
          </w:p>
          <w:p w14:paraId="3C258793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γ-GT)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CEE8F3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Povećanje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CB5DE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DD9C5C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 xml:space="preserve">Teška </w:t>
            </w:r>
            <w:proofErr w:type="spellStart"/>
            <w:r w:rsidRPr="003E0A1F">
              <w:rPr>
                <w:color w:val="000000"/>
                <w:szCs w:val="22"/>
                <w:lang w:val="sr-Latn-ME"/>
              </w:rPr>
              <w:t>hepatocelularna</w:t>
            </w:r>
            <w:proofErr w:type="spellEnd"/>
          </w:p>
        </w:tc>
      </w:tr>
      <w:tr w:rsidR="0040341B" w:rsidRPr="003E0A1F" w14:paraId="731BDFEC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6B1B1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FAB284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poremećaji</w:t>
            </w:r>
          </w:p>
        </w:tc>
        <w:tc>
          <w:tcPr>
            <w:tcW w:w="520" w:type="pct"/>
            <w:tcBorders>
              <w:left w:val="nil"/>
              <w:right w:val="single" w:sz="4" w:space="0" w:color="auto"/>
            </w:tcBorders>
          </w:tcPr>
          <w:p w14:paraId="729F738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1EF7F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B0842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bilirubina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18A3C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507817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oštećenja, žutica,</w:t>
            </w:r>
          </w:p>
        </w:tc>
      </w:tr>
      <w:tr w:rsidR="0040341B" w:rsidRPr="003E0A1F" w14:paraId="4CE70D8C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6A4B3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D40E6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left w:val="nil"/>
              <w:bottom w:val="nil"/>
              <w:right w:val="single" w:sz="4" w:space="0" w:color="auto"/>
            </w:tcBorders>
          </w:tcPr>
          <w:p w14:paraId="113AC4E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16A02F6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4659D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F0FFB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8E15C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hepatocelularna</w:t>
            </w:r>
            <w:proofErr w:type="spellEnd"/>
          </w:p>
        </w:tc>
      </w:tr>
      <w:tr w:rsidR="0040341B" w:rsidRPr="003E0A1F" w14:paraId="4B3601CC" w14:textId="77777777">
        <w:trPr>
          <w:trHeight w:val="262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FF96E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4D6DC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379D5F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12610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217D3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CDBD5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E66178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insuficijencija</w:t>
            </w:r>
            <w:proofErr w:type="spellEnd"/>
          </w:p>
        </w:tc>
      </w:tr>
      <w:tr w:rsidR="0040341B" w:rsidRPr="003E0A1F" w14:paraId="4A4E69E9" w14:textId="77777777">
        <w:trPr>
          <w:trHeight w:val="201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EFDAB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A6254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Poremećaji na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1C2D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6CC2045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Osip/</w:t>
            </w:r>
            <w:proofErr w:type="spellStart"/>
            <w:r w:rsidRPr="003E0A1F">
              <w:rPr>
                <w:color w:val="000000"/>
                <w:szCs w:val="22"/>
                <w:lang w:val="sr-Latn-ME"/>
              </w:rPr>
              <w:t>egzantem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>/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FEEE6E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Urtikarija,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0DB31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9BB3D3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i/>
                <w:iCs/>
                <w:color w:val="000000"/>
                <w:szCs w:val="22"/>
                <w:lang w:val="sr-Latn-ME"/>
              </w:rPr>
              <w:t>Stevens</w:t>
            </w:r>
            <w:proofErr w:type="spellEnd"/>
            <w:r w:rsidRPr="003E0A1F">
              <w:rPr>
                <w:i/>
                <w:iCs/>
                <w:color w:val="000000"/>
                <w:szCs w:val="22"/>
                <w:lang w:val="sr-Latn-ME"/>
              </w:rPr>
              <w:t>-Johnson-ov</w:t>
            </w:r>
          </w:p>
        </w:tc>
      </w:tr>
      <w:tr w:rsidR="0040341B" w:rsidRPr="003E0A1F" w14:paraId="1146CB48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41FBB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618C4B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nivou kože 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FEEA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983CC4B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erupcije po koži,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413F9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Angioedem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31AF1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15FAE4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 xml:space="preserve">Sindrom (TEN), </w:t>
            </w:r>
            <w:r w:rsidRPr="003E0A1F">
              <w:rPr>
                <w:szCs w:val="22"/>
                <w:lang w:val="sr-Latn-ME"/>
              </w:rPr>
              <w:t xml:space="preserve">Reakcija na lijek praćena </w:t>
            </w:r>
            <w:proofErr w:type="spellStart"/>
            <w:r w:rsidRPr="003E0A1F">
              <w:rPr>
                <w:szCs w:val="22"/>
                <w:lang w:val="sr-Latn-ME"/>
              </w:rPr>
              <w:t>eozinofilijom</w:t>
            </w:r>
            <w:proofErr w:type="spellEnd"/>
            <w:r w:rsidRPr="003E0A1F">
              <w:rPr>
                <w:szCs w:val="22"/>
                <w:lang w:val="sr-Latn-ME"/>
              </w:rPr>
              <w:t xml:space="preserve"> i sistemskim simptomima (DRESS)</w:t>
            </w:r>
            <w:r w:rsidRPr="003E0A1F">
              <w:rPr>
                <w:color w:val="000000"/>
                <w:szCs w:val="22"/>
                <w:lang w:val="sr-Latn-ME"/>
              </w:rPr>
              <w:t xml:space="preserve">, </w:t>
            </w:r>
            <w:proofErr w:type="spellStart"/>
            <w:r w:rsidRPr="003E0A1F">
              <w:rPr>
                <w:i/>
                <w:iCs/>
                <w:color w:val="000000"/>
                <w:szCs w:val="22"/>
                <w:lang w:val="sr-Latn-ME"/>
              </w:rPr>
              <w:t>Lyell</w:t>
            </w:r>
            <w:proofErr w:type="spellEnd"/>
          </w:p>
        </w:tc>
      </w:tr>
      <w:tr w:rsidR="0040341B" w:rsidRPr="003E0A1F" w14:paraId="1CBA0306" w14:textId="77777777">
        <w:trPr>
          <w:trHeight w:val="242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F1437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B578C1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potkožnog tkiva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6662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EE87D36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Pruritus</w:t>
            </w:r>
            <w:proofErr w:type="spellEnd"/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188B8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ADEE8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A53A4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i/>
                <w:iCs/>
                <w:color w:val="000000"/>
                <w:szCs w:val="22"/>
                <w:lang w:val="sr-Latn-ME"/>
              </w:rPr>
              <w:t>s</w:t>
            </w:r>
            <w:r w:rsidRPr="003E0A1F">
              <w:rPr>
                <w:color w:val="000000"/>
                <w:szCs w:val="22"/>
                <w:lang w:val="sr-Latn-ME"/>
              </w:rPr>
              <w:t xml:space="preserve">indrom, </w:t>
            </w:r>
            <w:proofErr w:type="spellStart"/>
            <w:r w:rsidRPr="003E0A1F">
              <w:rPr>
                <w:i/>
                <w:color w:val="000000"/>
                <w:szCs w:val="22"/>
                <w:lang w:val="sr-Latn-ME"/>
              </w:rPr>
              <w:t>Erythema</w:t>
            </w:r>
            <w:proofErr w:type="spellEnd"/>
          </w:p>
        </w:tc>
      </w:tr>
      <w:tr w:rsidR="0040341B" w:rsidRPr="003E0A1F" w14:paraId="2C1729F7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12C45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03ECB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C120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16C543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E761E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A39CE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C83146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i/>
                <w:color w:val="000000"/>
                <w:szCs w:val="22"/>
                <w:lang w:val="sr-Latn-ME"/>
              </w:rPr>
              <w:t>multiforme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>,</w:t>
            </w:r>
          </w:p>
        </w:tc>
      </w:tr>
      <w:tr w:rsidR="0040341B" w:rsidRPr="003E0A1F" w14:paraId="61C40474" w14:textId="77777777">
        <w:trPr>
          <w:trHeight w:val="257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B1B2E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2967B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27DA85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B09E1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AD11C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8FAEB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2EC83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Fotosenzitivnost</w:t>
            </w:r>
            <w:proofErr w:type="spellEnd"/>
            <w:r w:rsidRPr="003E0A1F">
              <w:rPr>
                <w:szCs w:val="22"/>
                <w:lang w:val="sr-Latn-ME"/>
              </w:rPr>
              <w:t xml:space="preserve"> </w:t>
            </w:r>
            <w:proofErr w:type="spellStart"/>
            <w:r w:rsidRPr="003E0A1F">
              <w:rPr>
                <w:szCs w:val="22"/>
                <w:lang w:val="sr-Latn-ME"/>
              </w:rPr>
              <w:t>subakutni</w:t>
            </w:r>
            <w:proofErr w:type="spellEnd"/>
            <w:r w:rsidRPr="003E0A1F">
              <w:rPr>
                <w:szCs w:val="22"/>
                <w:lang w:val="sr-Latn-ME"/>
              </w:rPr>
              <w:t xml:space="preserve"> kožni </w:t>
            </w:r>
            <w:proofErr w:type="spellStart"/>
            <w:r w:rsidRPr="003E0A1F">
              <w:rPr>
                <w:szCs w:val="22"/>
                <w:lang w:val="sr-Latn-ME"/>
              </w:rPr>
              <w:t>lupus</w:t>
            </w:r>
            <w:proofErr w:type="spellEnd"/>
            <w:r w:rsidRPr="003E0A1F">
              <w:rPr>
                <w:szCs w:val="22"/>
                <w:lang w:val="sr-Latn-ME"/>
              </w:rPr>
              <w:t xml:space="preserve"> </w:t>
            </w:r>
            <w:proofErr w:type="spellStart"/>
            <w:r w:rsidRPr="003E0A1F">
              <w:rPr>
                <w:szCs w:val="22"/>
                <w:lang w:val="sr-Latn-ME"/>
              </w:rPr>
              <w:t>eritematodes</w:t>
            </w:r>
            <w:proofErr w:type="spellEnd"/>
            <w:r w:rsidRPr="003E0A1F">
              <w:rPr>
                <w:szCs w:val="22"/>
                <w:lang w:val="sr-Latn-ME"/>
              </w:rPr>
              <w:t xml:space="preserve"> (vidjeti dio 4.4.) </w:t>
            </w:r>
          </w:p>
        </w:tc>
      </w:tr>
      <w:tr w:rsidR="0040341B" w:rsidRPr="003E0A1F" w14:paraId="4FFA9066" w14:textId="77777777">
        <w:trPr>
          <w:trHeight w:val="208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EBB68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C5169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Poremećaji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1046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E140524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Prelom kuka, ručnog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1628CB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Artralgija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>,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27D12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90BEF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13CF8F87" w14:textId="77777777">
        <w:trPr>
          <w:trHeight w:val="235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82794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72E1DF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mišićno-skeletnog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FFC6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B920350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zgloba ili kičme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95C104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Mijalgija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1AB60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C71DD1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3E0A1F">
              <w:rPr>
                <w:szCs w:val="22"/>
                <w:lang w:val="sr-Latn-ME"/>
              </w:rPr>
              <w:t>Spazam mišića</w:t>
            </w:r>
            <w:r w:rsidRPr="003E0A1F">
              <w:rPr>
                <w:szCs w:val="22"/>
                <w:vertAlign w:val="superscript"/>
                <w:lang w:val="sr-Latn-ME"/>
              </w:rPr>
              <w:t>(2)</w:t>
            </w:r>
          </w:p>
        </w:tc>
      </w:tr>
      <w:tr w:rsidR="0040341B" w:rsidRPr="003E0A1F" w14:paraId="6BFAB22B" w14:textId="77777777">
        <w:trPr>
          <w:trHeight w:val="246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C1F52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E69B1B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 xml:space="preserve">i vezivnog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92EA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ADFA052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(vidjeti dio 4.4)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1659F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85E2A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53C6B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16724532" w14:textId="77777777">
        <w:trPr>
          <w:trHeight w:val="256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92001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1AAF3F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 xml:space="preserve"> tkiva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9C200D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81D9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83F4A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4CCF5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BAB9B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0D013C0B" w14:textId="77777777">
        <w:trPr>
          <w:trHeight w:val="209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D541B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47EC4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 xml:space="preserve">Poremećaji na nivou bubrega i </w:t>
            </w:r>
            <w:proofErr w:type="spellStart"/>
            <w:r w:rsidRPr="003E0A1F">
              <w:rPr>
                <w:b/>
                <w:bCs/>
                <w:color w:val="000000"/>
                <w:szCs w:val="22"/>
                <w:lang w:val="sr-Latn-ME"/>
              </w:rPr>
              <w:t>urinarnog</w:t>
            </w:r>
            <w:proofErr w:type="spellEnd"/>
            <w:r w:rsidRPr="003E0A1F">
              <w:rPr>
                <w:b/>
                <w:bCs/>
                <w:color w:val="000000"/>
                <w:szCs w:val="22"/>
                <w:lang w:val="sr-Latn-ME"/>
              </w:rPr>
              <w:t xml:space="preserve"> sistema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1391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336F4A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547C5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32EEF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077ADC" w14:textId="77777777" w:rsidR="0040341B" w:rsidRPr="003E0A1F" w:rsidRDefault="00B87F20" w:rsidP="00054FCE">
            <w:pPr>
              <w:spacing w:line="240" w:lineRule="auto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Tubulointersticijalni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 xml:space="preserve"> nefritis (TIN) (koji može dovesti do </w:t>
            </w:r>
            <w:proofErr w:type="spellStart"/>
            <w:r w:rsidRPr="003E0A1F">
              <w:rPr>
                <w:color w:val="000000"/>
                <w:szCs w:val="22"/>
                <w:lang w:val="sr-Latn-ME"/>
              </w:rPr>
              <w:t>renalne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 xml:space="preserve"> </w:t>
            </w:r>
            <w:proofErr w:type="spellStart"/>
            <w:r w:rsidRPr="003E0A1F">
              <w:rPr>
                <w:color w:val="000000"/>
                <w:szCs w:val="22"/>
                <w:lang w:val="sr-Latn-ME"/>
              </w:rPr>
              <w:t>insuficijencije</w:t>
            </w:r>
            <w:proofErr w:type="spellEnd"/>
            <w:r w:rsidRPr="003E0A1F">
              <w:rPr>
                <w:color w:val="000000"/>
                <w:szCs w:val="22"/>
                <w:lang w:val="sr-Latn-ME"/>
              </w:rPr>
              <w:t>)</w:t>
            </w:r>
          </w:p>
        </w:tc>
      </w:tr>
      <w:tr w:rsidR="0040341B" w:rsidRPr="003E0A1F" w14:paraId="44FD24DA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917B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BE7C6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831F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C62D9B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47A976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3CD52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C934D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263DDF44" w14:textId="77777777">
        <w:trPr>
          <w:trHeight w:val="87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7B85A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C2417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E55384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5C1C4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B4F98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D66D7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314C0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47642D7F" w14:textId="77777777">
        <w:trPr>
          <w:trHeight w:val="209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AAF4D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7EC9D8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Poremećaji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24E1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F4AB47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FA8A5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proofErr w:type="spellStart"/>
            <w:r w:rsidRPr="003E0A1F">
              <w:rPr>
                <w:color w:val="000000"/>
                <w:szCs w:val="22"/>
                <w:lang w:val="sr-Latn-ME"/>
              </w:rPr>
              <w:t>Ginekomastija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9A9D5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92521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24F414FF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32459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A58821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reproduktivnog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429A4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A9E2F4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88813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D1432A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0A809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12891B4D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D642F1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D2FC41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sistema i na nivou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4284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B28E289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877FF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4499E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D1A3E2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0C5D9ECE" w14:textId="77777777">
        <w:trPr>
          <w:trHeight w:val="251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E918B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66D43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dojki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8E9103B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20B32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86960C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3715E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4F82E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79962494" w14:textId="77777777">
        <w:trPr>
          <w:trHeight w:val="403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A1F1D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C8B1DC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Opšti poremećaji i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C011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7A2A3B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Astenija, osjećaj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6FDE47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Porast tjelesne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AF1D1D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FCBAC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2BB94AC9" w14:textId="77777777">
        <w:trPr>
          <w:trHeight w:val="240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063C2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3D62ED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reakcije na mjestu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90CF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6443F84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slabosti, malaksalost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45A397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>temperature,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A1AA0E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059888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  <w:tr w:rsidR="0040341B" w:rsidRPr="003E0A1F" w14:paraId="4EBE1BA3" w14:textId="77777777">
        <w:trPr>
          <w:trHeight w:val="87"/>
        </w:trPr>
        <w:tc>
          <w:tcPr>
            <w:tcW w:w="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76CF65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FF4663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both"/>
              <w:rPr>
                <w:szCs w:val="22"/>
                <w:lang w:val="sr-Latn-ME"/>
              </w:rPr>
            </w:pPr>
            <w:r w:rsidRPr="003E0A1F">
              <w:rPr>
                <w:b/>
                <w:bCs/>
                <w:color w:val="000000"/>
                <w:szCs w:val="22"/>
                <w:lang w:val="sr-Latn-ME"/>
              </w:rPr>
              <w:t>primjene lijeka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23BFEA3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A46F4F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4EF71A" w14:textId="77777777" w:rsidR="0040341B" w:rsidRPr="003E0A1F" w:rsidRDefault="00B87F20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szCs w:val="22"/>
                <w:lang w:val="sr-Latn-ME"/>
              </w:rPr>
            </w:pPr>
            <w:r w:rsidRPr="003E0A1F">
              <w:rPr>
                <w:color w:val="000000"/>
                <w:szCs w:val="22"/>
                <w:lang w:val="sr-Latn-ME"/>
              </w:rPr>
              <w:t xml:space="preserve">Periferni </w:t>
            </w:r>
            <w:proofErr w:type="spellStart"/>
            <w:r w:rsidRPr="003E0A1F">
              <w:rPr>
                <w:color w:val="000000"/>
                <w:szCs w:val="22"/>
                <w:lang w:val="sr-Latn-ME"/>
              </w:rPr>
              <w:t>edemi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6A6C47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C88C60" w14:textId="77777777" w:rsidR="0040341B" w:rsidRPr="003E0A1F" w:rsidRDefault="0040341B" w:rsidP="00054FC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</w:tr>
    </w:tbl>
    <w:p w14:paraId="5198314B" w14:textId="77777777" w:rsidR="0040341B" w:rsidRPr="003E0A1F" w:rsidRDefault="00B87F20" w:rsidP="00054FCE">
      <w:pPr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vertAlign w:val="superscript"/>
          <w:lang w:val="sr-Latn-ME"/>
        </w:rPr>
        <w:t>1.</w:t>
      </w:r>
      <w:r w:rsidRPr="003E0A1F">
        <w:rPr>
          <w:szCs w:val="22"/>
          <w:lang w:val="sr-Latn-ME"/>
        </w:rPr>
        <w:t xml:space="preserve">Hipokalcijemija povezana sa </w:t>
      </w:r>
      <w:proofErr w:type="spellStart"/>
      <w:r w:rsidRPr="003E0A1F">
        <w:rPr>
          <w:szCs w:val="22"/>
          <w:lang w:val="sr-Latn-ME"/>
        </w:rPr>
        <w:t>hipomagnezijemijom</w:t>
      </w:r>
      <w:proofErr w:type="spellEnd"/>
    </w:p>
    <w:p w14:paraId="56A7E715" w14:textId="77777777" w:rsidR="0040341B" w:rsidRPr="003E0A1F" w:rsidRDefault="00B87F20" w:rsidP="00054FCE">
      <w:pPr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vertAlign w:val="superscript"/>
          <w:lang w:val="sr-Latn-ME"/>
        </w:rPr>
        <w:t>2.</w:t>
      </w:r>
      <w:r w:rsidRPr="003E0A1F">
        <w:rPr>
          <w:szCs w:val="22"/>
          <w:lang w:val="sr-Latn-ME"/>
        </w:rPr>
        <w:t xml:space="preserve">Spazam mišića kao posljedica </w:t>
      </w:r>
      <w:proofErr w:type="spellStart"/>
      <w:r w:rsidRPr="003E0A1F">
        <w:rPr>
          <w:szCs w:val="22"/>
          <w:lang w:val="sr-Latn-ME"/>
        </w:rPr>
        <w:t>elektrolitnog</w:t>
      </w:r>
      <w:proofErr w:type="spellEnd"/>
      <w:r w:rsidRPr="003E0A1F">
        <w:rPr>
          <w:szCs w:val="22"/>
          <w:lang w:val="sr-Latn-ME"/>
        </w:rPr>
        <w:t xml:space="preserve"> </w:t>
      </w:r>
      <w:proofErr w:type="spellStart"/>
      <w:r w:rsidRPr="003E0A1F">
        <w:rPr>
          <w:szCs w:val="22"/>
          <w:lang w:val="sr-Latn-ME"/>
        </w:rPr>
        <w:t>disbalansa</w:t>
      </w:r>
      <w:proofErr w:type="spellEnd"/>
    </w:p>
    <w:p w14:paraId="0258EC7F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rPr>
          <w:szCs w:val="22"/>
          <w:u w:val="single"/>
          <w:lang w:val="sr-Latn-ME"/>
        </w:rPr>
      </w:pPr>
    </w:p>
    <w:p w14:paraId="28756BC7" w14:textId="77777777" w:rsidR="0040341B" w:rsidRPr="003E0A1F" w:rsidRDefault="00B87F20" w:rsidP="00054FCE">
      <w:pPr>
        <w:spacing w:line="240" w:lineRule="auto"/>
        <w:rPr>
          <w:rFonts w:eastAsia="Calibri"/>
          <w:szCs w:val="22"/>
          <w:u w:val="single"/>
          <w:lang w:val="sr-Latn-ME"/>
        </w:rPr>
      </w:pPr>
      <w:r w:rsidRPr="003E0A1F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3BB46825" w14:textId="77777777" w:rsidR="0040341B" w:rsidRPr="003E0A1F" w:rsidRDefault="00B87F20" w:rsidP="00054FC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3E0A1F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30C1C6D" w14:textId="77777777" w:rsidR="003D0663" w:rsidRPr="003E0A1F" w:rsidRDefault="003D0663" w:rsidP="00054FC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</w:p>
    <w:p w14:paraId="52AB31ED" w14:textId="77777777" w:rsidR="0040341B" w:rsidRPr="003E0A1F" w:rsidRDefault="00B87F20" w:rsidP="00054FC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3E0A1F">
        <w:rPr>
          <w:rFonts w:eastAsia="Calibri"/>
          <w:szCs w:val="22"/>
          <w:lang w:val="sr-Latn-ME"/>
        </w:rPr>
        <w:t xml:space="preserve">Institut za ljekove i medicinska sredstva </w:t>
      </w:r>
    </w:p>
    <w:p w14:paraId="0CA73102" w14:textId="77777777" w:rsidR="0040341B" w:rsidRPr="003E0A1F" w:rsidRDefault="00B87F20" w:rsidP="00054FC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3E0A1F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3E0A1F">
        <w:rPr>
          <w:rFonts w:eastAsia="Calibri"/>
          <w:szCs w:val="22"/>
          <w:lang w:val="sr-Latn-ME"/>
        </w:rPr>
        <w:t>farmakovigilancu</w:t>
      </w:r>
      <w:proofErr w:type="spellEnd"/>
    </w:p>
    <w:p w14:paraId="050FE063" w14:textId="77777777" w:rsidR="0040341B" w:rsidRPr="003E0A1F" w:rsidRDefault="00B87F20" w:rsidP="00054FC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3E0A1F">
        <w:rPr>
          <w:rFonts w:eastAsia="Calibri"/>
          <w:szCs w:val="22"/>
          <w:lang w:val="sr-Latn-ME"/>
        </w:rPr>
        <w:t>Bulevar Ivana Crnojevića 64a, 81000 Podgorica</w:t>
      </w:r>
    </w:p>
    <w:p w14:paraId="4D1FF474" w14:textId="77777777" w:rsidR="0040341B" w:rsidRPr="003E0A1F" w:rsidRDefault="0040341B" w:rsidP="00054FCE">
      <w:pPr>
        <w:tabs>
          <w:tab w:val="clear" w:pos="567"/>
        </w:tabs>
        <w:spacing w:line="240" w:lineRule="auto"/>
        <w:rPr>
          <w:rFonts w:eastAsia="Calibri"/>
          <w:szCs w:val="22"/>
          <w:lang w:val="sr-Latn-ME"/>
        </w:rPr>
      </w:pPr>
    </w:p>
    <w:p w14:paraId="5DF1F2B6" w14:textId="77777777" w:rsidR="0040341B" w:rsidRPr="003E0A1F" w:rsidRDefault="00B87F20" w:rsidP="00054FC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3E0A1F">
        <w:rPr>
          <w:rFonts w:eastAsia="Calibri"/>
          <w:szCs w:val="22"/>
          <w:lang w:val="sr-Latn-ME"/>
        </w:rPr>
        <w:t>tel: +382 (0) 20 310 280</w:t>
      </w:r>
    </w:p>
    <w:p w14:paraId="25F91187" w14:textId="77777777" w:rsidR="0040341B" w:rsidRPr="003E0A1F" w:rsidRDefault="00B87F20" w:rsidP="00054FCE">
      <w:pPr>
        <w:tabs>
          <w:tab w:val="clear" w:pos="567"/>
          <w:tab w:val="left" w:pos="6720"/>
        </w:tabs>
        <w:spacing w:line="240" w:lineRule="auto"/>
        <w:jc w:val="both"/>
        <w:rPr>
          <w:rFonts w:eastAsia="Calibri"/>
          <w:szCs w:val="22"/>
          <w:lang w:val="sr-Latn-ME"/>
        </w:rPr>
      </w:pPr>
      <w:proofErr w:type="spellStart"/>
      <w:r w:rsidRPr="003E0A1F">
        <w:rPr>
          <w:rFonts w:eastAsia="Calibri"/>
          <w:szCs w:val="22"/>
          <w:lang w:val="sr-Latn-ME"/>
        </w:rPr>
        <w:t>fax</w:t>
      </w:r>
      <w:proofErr w:type="spellEnd"/>
      <w:r w:rsidRPr="003E0A1F">
        <w:rPr>
          <w:rFonts w:eastAsia="Calibri"/>
          <w:szCs w:val="22"/>
          <w:lang w:val="sr-Latn-ME"/>
        </w:rPr>
        <w:t>: +382 (0) 20 310 581</w:t>
      </w:r>
      <w:r w:rsidRPr="003E0A1F">
        <w:rPr>
          <w:rFonts w:eastAsia="Calibri"/>
          <w:szCs w:val="22"/>
          <w:lang w:val="sr-Latn-ME"/>
        </w:rPr>
        <w:tab/>
      </w:r>
    </w:p>
    <w:p w14:paraId="5F22209D" w14:textId="77777777" w:rsidR="0040341B" w:rsidRPr="003E0A1F" w:rsidRDefault="00FB75A4" w:rsidP="00054FC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hyperlink r:id="rId7" w:history="1">
        <w:r w:rsidR="00B87F20" w:rsidRPr="003E0A1F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3B4A0632" w14:textId="77777777" w:rsidR="0040341B" w:rsidRPr="003E0A1F" w:rsidRDefault="00FB75A4" w:rsidP="00054FCE">
      <w:pPr>
        <w:tabs>
          <w:tab w:val="clear" w:pos="567"/>
        </w:tabs>
        <w:spacing w:line="240" w:lineRule="auto"/>
        <w:jc w:val="both"/>
        <w:rPr>
          <w:rFonts w:eastAsia="Calibri"/>
          <w:color w:val="0000FF"/>
          <w:szCs w:val="22"/>
          <w:u w:val="single"/>
          <w:lang w:val="sr-Latn-ME"/>
        </w:rPr>
      </w:pPr>
      <w:hyperlink r:id="rId8" w:history="1">
        <w:r w:rsidR="00B87F20" w:rsidRPr="003E0A1F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21DC79DE" w14:textId="77777777" w:rsidR="0040341B" w:rsidRPr="003E0A1F" w:rsidRDefault="00B87F20" w:rsidP="00054FC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3E0A1F">
        <w:rPr>
          <w:rFonts w:eastAsia="Calibri"/>
          <w:szCs w:val="22"/>
          <w:lang w:val="sr-Latn-ME"/>
        </w:rPr>
        <w:t>putem IS zdravstvene zaštite</w:t>
      </w:r>
    </w:p>
    <w:p w14:paraId="223BFAFD" w14:textId="77777777" w:rsidR="0040341B" w:rsidRPr="003E0A1F" w:rsidRDefault="00B87F20" w:rsidP="00054FC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3E0A1F">
        <w:rPr>
          <w:rFonts w:eastAsia="Calibri"/>
          <w:szCs w:val="22"/>
          <w:lang w:val="sr-Latn-ME"/>
        </w:rPr>
        <w:t xml:space="preserve">QR kod za </w:t>
      </w:r>
      <w:proofErr w:type="spellStart"/>
      <w:r w:rsidRPr="003E0A1F">
        <w:rPr>
          <w:rFonts w:eastAsia="Calibri"/>
          <w:szCs w:val="22"/>
          <w:lang w:val="sr-Latn-ME"/>
        </w:rPr>
        <w:t>online</w:t>
      </w:r>
      <w:proofErr w:type="spellEnd"/>
      <w:r w:rsidRPr="003E0A1F">
        <w:rPr>
          <w:rFonts w:eastAsia="Calibri"/>
          <w:szCs w:val="22"/>
          <w:lang w:val="sr-Latn-ME"/>
        </w:rPr>
        <w:t xml:space="preserve"> prijavu sumnje na neželjeno dejstvo lijeka:</w:t>
      </w:r>
    </w:p>
    <w:p w14:paraId="72187E5E" w14:textId="77777777" w:rsidR="0040341B" w:rsidRPr="003E0A1F" w:rsidRDefault="0040341B" w:rsidP="00054FC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</w:p>
    <w:p w14:paraId="30B4E0C6" w14:textId="77777777" w:rsidR="0040341B" w:rsidRPr="003E0A1F" w:rsidRDefault="00B87F20" w:rsidP="00054FCE">
      <w:pPr>
        <w:tabs>
          <w:tab w:val="clear" w:pos="567"/>
        </w:tabs>
        <w:spacing w:line="240" w:lineRule="auto"/>
        <w:rPr>
          <w:rFonts w:eastAsia="Calibri"/>
          <w:szCs w:val="22"/>
          <w:lang w:val="sr-Latn-ME"/>
        </w:rPr>
      </w:pPr>
      <w:r w:rsidRPr="003E0A1F">
        <w:rPr>
          <w:b/>
          <w:bCs/>
          <w:szCs w:val="22"/>
          <w:lang w:val="sr-Latn-ME"/>
        </w:rPr>
        <w:drawing>
          <wp:inline distT="0" distB="0" distL="0" distR="0" wp14:anchorId="5D4E5F9C" wp14:editId="22B6D531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FD2E4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2DEA28D4" w14:textId="77777777" w:rsidR="0040341B" w:rsidRPr="003E0A1F" w:rsidRDefault="00B87F20" w:rsidP="00054FC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4.9</w:t>
      </w:r>
      <w:r w:rsidRPr="003E0A1F">
        <w:rPr>
          <w:b/>
          <w:szCs w:val="22"/>
          <w:lang w:val="sr-Latn-ME"/>
        </w:rPr>
        <w:tab/>
      </w:r>
      <w:proofErr w:type="spellStart"/>
      <w:r w:rsidRPr="003E0A1F">
        <w:rPr>
          <w:b/>
          <w:szCs w:val="22"/>
          <w:lang w:val="sr-Latn-ME"/>
        </w:rPr>
        <w:t>Predoziranje</w:t>
      </w:r>
      <w:proofErr w:type="spellEnd"/>
    </w:p>
    <w:p w14:paraId="0B2D291B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5E8EAD59" w14:textId="77777777" w:rsidR="0040341B" w:rsidRPr="003E0A1F" w:rsidRDefault="00B87F20" w:rsidP="00054FCE">
      <w:pPr>
        <w:spacing w:line="240" w:lineRule="auto"/>
        <w:rPr>
          <w:szCs w:val="22"/>
          <w:lang w:val="sr-Latn-ME"/>
        </w:rPr>
      </w:pPr>
      <w:r w:rsidRPr="003E0A1F">
        <w:rPr>
          <w:iCs/>
          <w:szCs w:val="22"/>
          <w:u w:val="single"/>
          <w:lang w:val="sr-Latn-ME"/>
        </w:rPr>
        <w:t>Simptomi</w:t>
      </w:r>
    </w:p>
    <w:p w14:paraId="229D268C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Nema poznatih simptoma </w:t>
      </w:r>
      <w:proofErr w:type="spellStart"/>
      <w:r w:rsidRPr="003E0A1F">
        <w:rPr>
          <w:color w:val="000000"/>
          <w:szCs w:val="22"/>
          <w:lang w:val="sr-Latn-ME"/>
        </w:rPr>
        <w:t>predoziranja</w:t>
      </w:r>
      <w:proofErr w:type="spellEnd"/>
      <w:r w:rsidRPr="003E0A1F">
        <w:rPr>
          <w:color w:val="000000"/>
          <w:szCs w:val="22"/>
          <w:lang w:val="sr-Latn-ME"/>
        </w:rPr>
        <w:t xml:space="preserve"> kod </w:t>
      </w:r>
      <w:proofErr w:type="spellStart"/>
      <w:r w:rsidRPr="003E0A1F">
        <w:rPr>
          <w:color w:val="000000"/>
          <w:szCs w:val="22"/>
          <w:lang w:val="sr-Latn-ME"/>
        </w:rPr>
        <w:t>ljudi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028C6191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lastRenderedPageBreak/>
        <w:t xml:space="preserve">Doze do 240 mg primijenjene </w:t>
      </w:r>
      <w:proofErr w:type="spellStart"/>
      <w:r w:rsidRPr="003E0A1F">
        <w:rPr>
          <w:color w:val="000000"/>
          <w:szCs w:val="22"/>
          <w:lang w:val="sr-Latn-ME"/>
        </w:rPr>
        <w:t>intravenskim</w:t>
      </w:r>
      <w:proofErr w:type="spellEnd"/>
      <w:r w:rsidRPr="003E0A1F">
        <w:rPr>
          <w:color w:val="000000"/>
          <w:szCs w:val="22"/>
          <w:lang w:val="sr-Latn-ME"/>
        </w:rPr>
        <w:t xml:space="preserve"> putem tokom 2 minuta imaju dobru </w:t>
      </w:r>
      <w:proofErr w:type="spellStart"/>
      <w:r w:rsidRPr="003E0A1F">
        <w:rPr>
          <w:color w:val="000000"/>
          <w:szCs w:val="22"/>
          <w:lang w:val="sr-Latn-ME"/>
        </w:rPr>
        <w:t>podnošljivost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5E8798F2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036A805C" w14:textId="77777777" w:rsidR="0040341B" w:rsidRPr="003E0A1F" w:rsidRDefault="00B87F20" w:rsidP="00054FCE">
      <w:pPr>
        <w:widowControl w:val="0"/>
        <w:spacing w:line="240" w:lineRule="auto"/>
        <w:rPr>
          <w:iCs/>
          <w:szCs w:val="22"/>
          <w:u w:val="single"/>
          <w:lang w:val="sr-Latn-ME"/>
        </w:rPr>
      </w:pPr>
      <w:r w:rsidRPr="003E0A1F">
        <w:rPr>
          <w:iCs/>
          <w:szCs w:val="22"/>
          <w:u w:val="single"/>
          <w:lang w:val="sr-Latn-ME"/>
        </w:rPr>
        <w:t>Liječenje</w:t>
      </w:r>
    </w:p>
    <w:p w14:paraId="27CAF5E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S obzirom na to da se </w:t>
      </w: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 u velikom procentu vezuje za proteine plazme, ne eliminiše se lako dijalizom. </w:t>
      </w:r>
    </w:p>
    <w:p w14:paraId="30498141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ind w:left="20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U slučaju </w:t>
      </w:r>
      <w:proofErr w:type="spellStart"/>
      <w:r w:rsidRPr="003E0A1F">
        <w:rPr>
          <w:color w:val="000000"/>
          <w:szCs w:val="22"/>
          <w:lang w:val="sr-Latn-ME"/>
        </w:rPr>
        <w:t>predoziranja</w:t>
      </w:r>
      <w:proofErr w:type="spellEnd"/>
      <w:r w:rsidRPr="003E0A1F">
        <w:rPr>
          <w:color w:val="000000"/>
          <w:szCs w:val="22"/>
          <w:lang w:val="sr-Latn-ME"/>
        </w:rPr>
        <w:t xml:space="preserve"> sa kliničkim znacima </w:t>
      </w:r>
      <w:proofErr w:type="spellStart"/>
      <w:r w:rsidRPr="003E0A1F">
        <w:rPr>
          <w:color w:val="000000"/>
          <w:szCs w:val="22"/>
          <w:lang w:val="sr-Latn-ME"/>
        </w:rPr>
        <w:t>intoksikacije</w:t>
      </w:r>
      <w:proofErr w:type="spellEnd"/>
      <w:r w:rsidRPr="003E0A1F">
        <w:rPr>
          <w:color w:val="000000"/>
          <w:szCs w:val="22"/>
          <w:lang w:val="sr-Latn-ME"/>
        </w:rPr>
        <w:t xml:space="preserve">, osim </w:t>
      </w:r>
      <w:proofErr w:type="spellStart"/>
      <w:r w:rsidRPr="003E0A1F">
        <w:rPr>
          <w:color w:val="000000"/>
          <w:szCs w:val="22"/>
          <w:lang w:val="sr-Latn-ME"/>
        </w:rPr>
        <w:t>simptomatske</w:t>
      </w:r>
      <w:proofErr w:type="spellEnd"/>
      <w:r w:rsidRPr="003E0A1F">
        <w:rPr>
          <w:color w:val="000000"/>
          <w:szCs w:val="22"/>
          <w:lang w:val="sr-Latn-ME"/>
        </w:rPr>
        <w:t xml:space="preserve"> i </w:t>
      </w:r>
      <w:proofErr w:type="spellStart"/>
      <w:r w:rsidRPr="003E0A1F">
        <w:rPr>
          <w:color w:val="000000"/>
          <w:szCs w:val="22"/>
          <w:lang w:val="sr-Latn-ME"/>
        </w:rPr>
        <w:t>suportivne</w:t>
      </w:r>
      <w:proofErr w:type="spellEnd"/>
      <w:r w:rsidRPr="003E0A1F">
        <w:rPr>
          <w:color w:val="000000"/>
          <w:szCs w:val="22"/>
          <w:lang w:val="sr-Latn-ME"/>
        </w:rPr>
        <w:t xml:space="preserve"> terapije, ne mogu se dati druge specifične preporuke kod </w:t>
      </w:r>
      <w:proofErr w:type="spellStart"/>
      <w:r w:rsidRPr="003E0A1F">
        <w:rPr>
          <w:color w:val="000000"/>
          <w:szCs w:val="22"/>
          <w:lang w:val="sr-Latn-ME"/>
        </w:rPr>
        <w:t>predoziranja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pantoprazolom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0EF073A2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3990B93C" w14:textId="77777777" w:rsidR="003D0663" w:rsidRPr="003E0A1F" w:rsidRDefault="003D0663" w:rsidP="00054FCE">
      <w:pPr>
        <w:widowControl w:val="0"/>
        <w:spacing w:line="240" w:lineRule="auto"/>
        <w:rPr>
          <w:szCs w:val="22"/>
          <w:lang w:val="sr-Latn-ME"/>
        </w:rPr>
      </w:pPr>
    </w:p>
    <w:p w14:paraId="001F1329" w14:textId="77777777" w:rsidR="0040341B" w:rsidRPr="003E0A1F" w:rsidRDefault="00B87F20" w:rsidP="00054FCE">
      <w:pPr>
        <w:widowControl w:val="0"/>
        <w:spacing w:line="240" w:lineRule="auto"/>
        <w:ind w:left="567" w:hanging="567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5.</w:t>
      </w:r>
      <w:r w:rsidRPr="003E0A1F">
        <w:rPr>
          <w:b/>
          <w:szCs w:val="22"/>
          <w:lang w:val="sr-Latn-ME"/>
        </w:rPr>
        <w:tab/>
      </w:r>
      <w:r w:rsidRPr="003E0A1F">
        <w:rPr>
          <w:b/>
          <w:bCs/>
          <w:szCs w:val="22"/>
          <w:lang w:val="sr-Latn-ME"/>
        </w:rPr>
        <w:t>FARMAKOLOŠKI PODACI</w:t>
      </w:r>
    </w:p>
    <w:p w14:paraId="432EAFA3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7114CC57" w14:textId="77777777" w:rsidR="0040341B" w:rsidRPr="003E0A1F" w:rsidRDefault="00B87F20" w:rsidP="00054FC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5.1</w:t>
      </w:r>
      <w:r w:rsidRPr="003E0A1F">
        <w:rPr>
          <w:b/>
          <w:szCs w:val="22"/>
          <w:lang w:val="sr-Latn-ME"/>
        </w:rPr>
        <w:tab/>
      </w:r>
      <w:proofErr w:type="spellStart"/>
      <w:r w:rsidRPr="003E0A1F">
        <w:rPr>
          <w:b/>
          <w:bCs/>
          <w:szCs w:val="22"/>
          <w:lang w:val="sr-Latn-ME"/>
        </w:rPr>
        <w:t>Farmakodinamski</w:t>
      </w:r>
      <w:proofErr w:type="spellEnd"/>
      <w:r w:rsidRPr="003E0A1F">
        <w:rPr>
          <w:b/>
          <w:bCs/>
          <w:szCs w:val="22"/>
          <w:lang w:val="sr-Latn-ME"/>
        </w:rPr>
        <w:t xml:space="preserve"> podaci</w:t>
      </w:r>
    </w:p>
    <w:p w14:paraId="45F022D0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28744D1F" w14:textId="77777777" w:rsidR="0040341B" w:rsidRPr="003E0A1F" w:rsidRDefault="00B87F20" w:rsidP="00054FCE">
      <w:pPr>
        <w:spacing w:line="240" w:lineRule="auto"/>
        <w:ind w:left="2268" w:hanging="2268"/>
        <w:rPr>
          <w:szCs w:val="22"/>
          <w:lang w:val="sr-Latn-ME"/>
        </w:rPr>
      </w:pPr>
      <w:proofErr w:type="spellStart"/>
      <w:r w:rsidRPr="003E0A1F">
        <w:rPr>
          <w:szCs w:val="22"/>
          <w:lang w:val="sr-Latn-ME"/>
        </w:rPr>
        <w:t>Farmakoterapijska</w:t>
      </w:r>
      <w:proofErr w:type="spellEnd"/>
      <w:r w:rsidRPr="003E0A1F">
        <w:rPr>
          <w:szCs w:val="22"/>
          <w:lang w:val="sr-Latn-ME"/>
        </w:rPr>
        <w:t xml:space="preserve">  grupa: </w:t>
      </w:r>
      <w:proofErr w:type="spellStart"/>
      <w:r w:rsidRPr="003E0A1F">
        <w:rPr>
          <w:szCs w:val="22"/>
          <w:lang w:val="sr-Latn-ME"/>
        </w:rPr>
        <w:t>inhibitori</w:t>
      </w:r>
      <w:proofErr w:type="spellEnd"/>
      <w:r w:rsidRPr="003E0A1F">
        <w:rPr>
          <w:szCs w:val="22"/>
          <w:lang w:val="sr-Latn-ME"/>
        </w:rPr>
        <w:t xml:space="preserve"> protonske pumpe</w:t>
      </w:r>
    </w:p>
    <w:p w14:paraId="10BF63A6" w14:textId="77777777" w:rsidR="0040341B" w:rsidRPr="003E0A1F" w:rsidRDefault="0040341B" w:rsidP="00054FCE">
      <w:pPr>
        <w:spacing w:line="240" w:lineRule="auto"/>
        <w:rPr>
          <w:szCs w:val="22"/>
          <w:lang w:val="sr-Latn-ME"/>
        </w:rPr>
      </w:pPr>
    </w:p>
    <w:p w14:paraId="195E926D" w14:textId="77777777" w:rsidR="0040341B" w:rsidRPr="003E0A1F" w:rsidRDefault="00B87F20" w:rsidP="00054FCE">
      <w:pPr>
        <w:spacing w:line="240" w:lineRule="auto"/>
        <w:rPr>
          <w:szCs w:val="22"/>
          <w:lang w:val="sr-Latn-ME"/>
        </w:rPr>
      </w:pPr>
      <w:r w:rsidRPr="003E0A1F">
        <w:rPr>
          <w:szCs w:val="22"/>
          <w:lang w:val="sr-Latn-ME"/>
        </w:rPr>
        <w:t>ATC kod: A02BC02</w:t>
      </w:r>
    </w:p>
    <w:p w14:paraId="5C241F23" w14:textId="77777777" w:rsidR="0040341B" w:rsidRPr="003E0A1F" w:rsidRDefault="0040341B" w:rsidP="00054FCE">
      <w:pPr>
        <w:spacing w:line="240" w:lineRule="auto"/>
        <w:rPr>
          <w:szCs w:val="22"/>
          <w:lang w:val="sr-Latn-ME"/>
        </w:rPr>
      </w:pPr>
    </w:p>
    <w:p w14:paraId="70CB5CC0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rPr>
          <w:iCs/>
          <w:color w:val="000000"/>
          <w:szCs w:val="22"/>
          <w:u w:val="single"/>
          <w:lang w:val="sr-Latn-ME"/>
        </w:rPr>
      </w:pPr>
      <w:r w:rsidRPr="003E0A1F">
        <w:rPr>
          <w:iCs/>
          <w:color w:val="000000"/>
          <w:szCs w:val="22"/>
          <w:u w:val="single"/>
          <w:lang w:val="sr-Latn-ME"/>
        </w:rPr>
        <w:t>Mehanizam djelovanja</w:t>
      </w:r>
    </w:p>
    <w:p w14:paraId="016FE3C5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 je supstituisani </w:t>
      </w:r>
      <w:proofErr w:type="spellStart"/>
      <w:r w:rsidRPr="003E0A1F">
        <w:rPr>
          <w:color w:val="000000"/>
          <w:szCs w:val="22"/>
          <w:lang w:val="sr-Latn-ME"/>
        </w:rPr>
        <w:t>benzimidazol</w:t>
      </w:r>
      <w:proofErr w:type="spellEnd"/>
      <w:r w:rsidRPr="003E0A1F">
        <w:rPr>
          <w:color w:val="000000"/>
          <w:szCs w:val="22"/>
          <w:lang w:val="sr-Latn-ME"/>
        </w:rPr>
        <w:t xml:space="preserve"> koji inhibira sekreciju hlorovodonične kiseline djelujući na protonsku pumpu u </w:t>
      </w:r>
      <w:proofErr w:type="spellStart"/>
      <w:r w:rsidRPr="003E0A1F">
        <w:rPr>
          <w:color w:val="000000"/>
          <w:szCs w:val="22"/>
          <w:lang w:val="sr-Latn-ME"/>
        </w:rPr>
        <w:t>parijetalnim</w:t>
      </w:r>
      <w:proofErr w:type="spellEnd"/>
      <w:r w:rsidRPr="003E0A1F">
        <w:rPr>
          <w:color w:val="000000"/>
          <w:szCs w:val="22"/>
          <w:lang w:val="sr-Latn-ME"/>
        </w:rPr>
        <w:t xml:space="preserve"> ćelijama želuca.</w:t>
      </w:r>
    </w:p>
    <w:p w14:paraId="3C81B85C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sr-Latn-ME"/>
        </w:rPr>
      </w:pPr>
    </w:p>
    <w:p w14:paraId="578A7950" w14:textId="22EA01ED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 se konvertuje u aktivnu formu u kiseloj sredini u </w:t>
      </w:r>
      <w:proofErr w:type="spellStart"/>
      <w:r w:rsidRPr="003E0A1F">
        <w:rPr>
          <w:color w:val="000000"/>
          <w:szCs w:val="22"/>
          <w:lang w:val="sr-Latn-ME"/>
        </w:rPr>
        <w:t>parijetalnim</w:t>
      </w:r>
      <w:proofErr w:type="spellEnd"/>
      <w:r w:rsidRPr="003E0A1F">
        <w:rPr>
          <w:color w:val="000000"/>
          <w:szCs w:val="22"/>
          <w:lang w:val="sr-Latn-ME"/>
        </w:rPr>
        <w:t xml:space="preserve"> ćelijama, gdje inhibira enzim H+, K+-</w:t>
      </w:r>
      <w:proofErr w:type="spellStart"/>
      <w:r w:rsidRPr="003E0A1F">
        <w:rPr>
          <w:color w:val="000000"/>
          <w:szCs w:val="22"/>
          <w:lang w:val="sr-Latn-ME"/>
        </w:rPr>
        <w:t>ATPazu</w:t>
      </w:r>
      <w:proofErr w:type="spellEnd"/>
      <w:r w:rsidRPr="003E0A1F">
        <w:rPr>
          <w:color w:val="000000"/>
          <w:szCs w:val="22"/>
          <w:lang w:val="sr-Latn-ME"/>
        </w:rPr>
        <w:t xml:space="preserve">, tj. finalnu fazu stvaranja hlorovodonične kiseline u želucu. Inhibicija je </w:t>
      </w:r>
      <w:proofErr w:type="spellStart"/>
      <w:r w:rsidRPr="003E0A1F">
        <w:rPr>
          <w:color w:val="000000"/>
          <w:szCs w:val="22"/>
          <w:lang w:val="sr-Latn-ME"/>
        </w:rPr>
        <w:t>dozno</w:t>
      </w:r>
      <w:proofErr w:type="spellEnd"/>
      <w:r w:rsidR="003D0663" w:rsidRPr="003E0A1F">
        <w:rPr>
          <w:color w:val="000000"/>
          <w:szCs w:val="22"/>
          <w:lang w:val="sr-Latn-ME"/>
        </w:rPr>
        <w:t>-</w:t>
      </w:r>
      <w:r w:rsidRPr="003E0A1F">
        <w:rPr>
          <w:color w:val="000000"/>
          <w:szCs w:val="22"/>
          <w:lang w:val="sr-Latn-ME"/>
        </w:rPr>
        <w:t xml:space="preserve">zavisna i djeluje i na </w:t>
      </w:r>
      <w:proofErr w:type="spellStart"/>
      <w:r w:rsidRPr="003E0A1F">
        <w:rPr>
          <w:color w:val="000000"/>
          <w:szCs w:val="22"/>
          <w:lang w:val="sr-Latn-ME"/>
        </w:rPr>
        <w:t>bazalnu</w:t>
      </w:r>
      <w:proofErr w:type="spellEnd"/>
      <w:r w:rsidRPr="003E0A1F">
        <w:rPr>
          <w:color w:val="000000"/>
          <w:szCs w:val="22"/>
          <w:lang w:val="sr-Latn-ME"/>
        </w:rPr>
        <w:t xml:space="preserve"> i na stimulisanu sekreciju kiseline. Kod većine pacijenata, gubitak simptoma se javlja nakon 2 nedjelje. Kao i kod primjene drugih </w:t>
      </w:r>
      <w:proofErr w:type="spellStart"/>
      <w:r w:rsidRPr="003E0A1F">
        <w:rPr>
          <w:color w:val="000000"/>
          <w:szCs w:val="22"/>
          <w:lang w:val="sr-Latn-ME"/>
        </w:rPr>
        <w:t>inhibitora</w:t>
      </w:r>
      <w:proofErr w:type="spellEnd"/>
      <w:r w:rsidRPr="003E0A1F">
        <w:rPr>
          <w:color w:val="000000"/>
          <w:szCs w:val="22"/>
          <w:lang w:val="sr-Latn-ME"/>
        </w:rPr>
        <w:t xml:space="preserve"> protonske pumpe i </w:t>
      </w:r>
      <w:proofErr w:type="spellStart"/>
      <w:r w:rsidRPr="003E0A1F">
        <w:rPr>
          <w:color w:val="000000"/>
          <w:szCs w:val="22"/>
          <w:lang w:val="sr-Latn-ME"/>
        </w:rPr>
        <w:t>inhibitora</w:t>
      </w:r>
      <w:proofErr w:type="spellEnd"/>
      <w:r w:rsidRPr="003E0A1F">
        <w:rPr>
          <w:color w:val="000000"/>
          <w:szCs w:val="22"/>
          <w:lang w:val="sr-Latn-ME"/>
        </w:rPr>
        <w:t xml:space="preserve"> H</w:t>
      </w:r>
      <w:r w:rsidRPr="003E0A1F">
        <w:rPr>
          <w:color w:val="000000"/>
          <w:szCs w:val="22"/>
          <w:vertAlign w:val="subscript"/>
          <w:lang w:val="sr-Latn-ME"/>
        </w:rPr>
        <w:t>2</w:t>
      </w:r>
      <w:r w:rsidRPr="003E0A1F">
        <w:rPr>
          <w:color w:val="000000"/>
          <w:szCs w:val="22"/>
          <w:lang w:val="sr-Latn-ME"/>
        </w:rPr>
        <w:t xml:space="preserve"> receptora, terapija </w:t>
      </w:r>
      <w:proofErr w:type="spellStart"/>
      <w:r w:rsidRPr="003E0A1F">
        <w:rPr>
          <w:color w:val="000000"/>
          <w:szCs w:val="22"/>
          <w:lang w:val="sr-Latn-ME"/>
        </w:rPr>
        <w:t>pantoprazolom</w:t>
      </w:r>
      <w:proofErr w:type="spellEnd"/>
      <w:r w:rsidRPr="003E0A1F">
        <w:rPr>
          <w:color w:val="000000"/>
          <w:szCs w:val="22"/>
          <w:lang w:val="sr-Latn-ME"/>
        </w:rPr>
        <w:t xml:space="preserve"> uzrokuje smanjenje kiselosti u želucu, a time povećanje </w:t>
      </w:r>
      <w:proofErr w:type="spellStart"/>
      <w:r w:rsidRPr="003E0A1F">
        <w:rPr>
          <w:color w:val="000000"/>
          <w:szCs w:val="22"/>
          <w:lang w:val="sr-Latn-ME"/>
        </w:rPr>
        <w:t>gastrina</w:t>
      </w:r>
      <w:proofErr w:type="spellEnd"/>
      <w:r w:rsidRPr="003E0A1F">
        <w:rPr>
          <w:color w:val="000000"/>
          <w:szCs w:val="22"/>
          <w:lang w:val="sr-Latn-ME"/>
        </w:rPr>
        <w:t xml:space="preserve"> proporcionalno smanjenju </w:t>
      </w:r>
      <w:proofErr w:type="spellStart"/>
      <w:r w:rsidRPr="003E0A1F">
        <w:rPr>
          <w:color w:val="000000"/>
          <w:szCs w:val="22"/>
          <w:lang w:val="sr-Latn-ME"/>
        </w:rPr>
        <w:t>aciditeta</w:t>
      </w:r>
      <w:proofErr w:type="spellEnd"/>
      <w:r w:rsidRPr="003E0A1F">
        <w:rPr>
          <w:color w:val="000000"/>
          <w:szCs w:val="22"/>
          <w:lang w:val="sr-Latn-ME"/>
        </w:rPr>
        <w:t xml:space="preserve">. Povećanje </w:t>
      </w:r>
      <w:proofErr w:type="spellStart"/>
      <w:r w:rsidRPr="003E0A1F">
        <w:rPr>
          <w:color w:val="000000"/>
          <w:szCs w:val="22"/>
          <w:lang w:val="sr-Latn-ME"/>
        </w:rPr>
        <w:t>gastrina</w:t>
      </w:r>
      <w:proofErr w:type="spellEnd"/>
      <w:r w:rsidRPr="003E0A1F">
        <w:rPr>
          <w:color w:val="000000"/>
          <w:szCs w:val="22"/>
          <w:lang w:val="sr-Latn-ME"/>
        </w:rPr>
        <w:t xml:space="preserve"> je </w:t>
      </w:r>
      <w:proofErr w:type="spellStart"/>
      <w:r w:rsidRPr="003E0A1F">
        <w:rPr>
          <w:color w:val="000000"/>
          <w:szCs w:val="22"/>
          <w:lang w:val="sr-Latn-ME"/>
        </w:rPr>
        <w:t>reverzibilno</w:t>
      </w:r>
      <w:proofErr w:type="spellEnd"/>
      <w:r w:rsidRPr="003E0A1F">
        <w:rPr>
          <w:color w:val="000000"/>
          <w:szCs w:val="22"/>
          <w:lang w:val="sr-Latn-ME"/>
        </w:rPr>
        <w:t xml:space="preserve">. S obzirom da se </w:t>
      </w: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 vezuje za enzime </w:t>
      </w:r>
      <w:proofErr w:type="spellStart"/>
      <w:r w:rsidRPr="003E0A1F">
        <w:rPr>
          <w:color w:val="000000"/>
          <w:szCs w:val="22"/>
          <w:lang w:val="sr-Latn-ME"/>
        </w:rPr>
        <w:t>distalno</w:t>
      </w:r>
      <w:proofErr w:type="spellEnd"/>
      <w:r w:rsidRPr="003E0A1F">
        <w:rPr>
          <w:color w:val="000000"/>
          <w:szCs w:val="22"/>
          <w:lang w:val="sr-Latn-ME"/>
        </w:rPr>
        <w:t xml:space="preserve"> od ćelijskih receptora, on može da inhibira sekreciju hlorovodonične kiseline nezavisno od stimulacije ostalim supstancama (</w:t>
      </w:r>
      <w:proofErr w:type="spellStart"/>
      <w:r w:rsidRPr="003E0A1F">
        <w:rPr>
          <w:color w:val="000000"/>
          <w:szCs w:val="22"/>
          <w:lang w:val="sr-Latn-ME"/>
        </w:rPr>
        <w:t>acetilholin</w:t>
      </w:r>
      <w:proofErr w:type="spellEnd"/>
      <w:r w:rsidRPr="003E0A1F">
        <w:rPr>
          <w:color w:val="000000"/>
          <w:szCs w:val="22"/>
          <w:lang w:val="sr-Latn-ME"/>
        </w:rPr>
        <w:t xml:space="preserve">, histamin, </w:t>
      </w:r>
      <w:proofErr w:type="spellStart"/>
      <w:r w:rsidRPr="003E0A1F">
        <w:rPr>
          <w:color w:val="000000"/>
          <w:szCs w:val="22"/>
          <w:lang w:val="sr-Latn-ME"/>
        </w:rPr>
        <w:t>gastrin</w:t>
      </w:r>
      <w:proofErr w:type="spellEnd"/>
      <w:r w:rsidRPr="003E0A1F">
        <w:rPr>
          <w:color w:val="000000"/>
          <w:szCs w:val="22"/>
          <w:lang w:val="sr-Latn-ME"/>
        </w:rPr>
        <w:t xml:space="preserve">). Efekat je isti bilo da se lijek primjenjuje oralnim ili </w:t>
      </w:r>
      <w:proofErr w:type="spellStart"/>
      <w:r w:rsidRPr="003E0A1F">
        <w:rPr>
          <w:color w:val="000000"/>
          <w:szCs w:val="22"/>
          <w:lang w:val="sr-Latn-ME"/>
        </w:rPr>
        <w:t>intravenskim</w:t>
      </w:r>
      <w:proofErr w:type="spellEnd"/>
      <w:r w:rsidRPr="003E0A1F">
        <w:rPr>
          <w:color w:val="000000"/>
          <w:szCs w:val="22"/>
          <w:lang w:val="sr-Latn-ME"/>
        </w:rPr>
        <w:t xml:space="preserve"> putem.</w:t>
      </w:r>
    </w:p>
    <w:p w14:paraId="765CD9D6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sr-Latn-ME"/>
        </w:rPr>
      </w:pPr>
    </w:p>
    <w:p w14:paraId="631DD689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sr-Latn-ME"/>
        </w:rPr>
      </w:pPr>
      <w:proofErr w:type="spellStart"/>
      <w:r w:rsidRPr="003E0A1F">
        <w:rPr>
          <w:color w:val="000000"/>
          <w:szCs w:val="22"/>
          <w:u w:val="single"/>
          <w:lang w:val="sr-Latn-ME"/>
        </w:rPr>
        <w:t>Farmakodinamski</w:t>
      </w:r>
      <w:proofErr w:type="spellEnd"/>
      <w:r w:rsidRPr="003E0A1F">
        <w:rPr>
          <w:color w:val="000000"/>
          <w:szCs w:val="22"/>
          <w:u w:val="single"/>
          <w:lang w:val="sr-Latn-ME"/>
        </w:rPr>
        <w:t xml:space="preserve"> efekti</w:t>
      </w:r>
    </w:p>
    <w:p w14:paraId="0ABC1FE9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Vrijednosti </w:t>
      </w:r>
      <w:proofErr w:type="spellStart"/>
      <w:r w:rsidRPr="003E0A1F">
        <w:rPr>
          <w:color w:val="000000"/>
          <w:szCs w:val="22"/>
          <w:lang w:val="sr-Latn-ME"/>
        </w:rPr>
        <w:t>gastrina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natašte</w:t>
      </w:r>
      <w:proofErr w:type="spellEnd"/>
      <w:r w:rsidRPr="003E0A1F">
        <w:rPr>
          <w:color w:val="000000"/>
          <w:szCs w:val="22"/>
          <w:lang w:val="sr-Latn-ME"/>
        </w:rPr>
        <w:t xml:space="preserve"> se povećavaju pod dejstvom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. Pri kratkotrajnoj upotrebi, u većini slučajeva vrijednosti </w:t>
      </w:r>
      <w:proofErr w:type="spellStart"/>
      <w:r w:rsidRPr="003E0A1F">
        <w:rPr>
          <w:color w:val="000000"/>
          <w:szCs w:val="22"/>
          <w:lang w:val="sr-Latn-ME"/>
        </w:rPr>
        <w:t>gastrina</w:t>
      </w:r>
      <w:proofErr w:type="spellEnd"/>
      <w:r w:rsidRPr="003E0A1F">
        <w:rPr>
          <w:color w:val="000000"/>
          <w:szCs w:val="22"/>
          <w:lang w:val="sr-Latn-ME"/>
        </w:rPr>
        <w:t xml:space="preserve"> ne prelaze gornju granicu. Tokom dugotrajne terapije, u većini slučajeva se vrijednosti </w:t>
      </w:r>
      <w:proofErr w:type="spellStart"/>
      <w:r w:rsidRPr="003E0A1F">
        <w:rPr>
          <w:color w:val="000000"/>
          <w:szCs w:val="22"/>
          <w:lang w:val="sr-Latn-ME"/>
        </w:rPr>
        <w:t>gastrina</w:t>
      </w:r>
      <w:proofErr w:type="spellEnd"/>
      <w:r w:rsidRPr="003E0A1F">
        <w:rPr>
          <w:color w:val="000000"/>
          <w:szCs w:val="22"/>
          <w:lang w:val="sr-Latn-ME"/>
        </w:rPr>
        <w:t xml:space="preserve"> udvostručuju. Međutim, izraziti porast vrijednosti se javlja samo u izolovanim slučajevima. Kao rezultat toga, u malom broju slučajeva tokom dugotrajne primjene zabilježen je blagi do umjereni porast broja specifičnih endokrinih ćelija (ECL) u želucu (jednostavna do </w:t>
      </w:r>
      <w:proofErr w:type="spellStart"/>
      <w:r w:rsidRPr="003E0A1F">
        <w:rPr>
          <w:color w:val="000000"/>
          <w:szCs w:val="22"/>
          <w:lang w:val="sr-Latn-ME"/>
        </w:rPr>
        <w:t>adenomatoidna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hiperplazija</w:t>
      </w:r>
      <w:proofErr w:type="spellEnd"/>
      <w:r w:rsidRPr="003E0A1F">
        <w:rPr>
          <w:color w:val="000000"/>
          <w:szCs w:val="22"/>
          <w:lang w:val="sr-Latn-ME"/>
        </w:rPr>
        <w:t xml:space="preserve">). Međutim, prema studijama koje su do sada sprovedene, za razliku od eksperimenata na životinjama, kod </w:t>
      </w:r>
      <w:proofErr w:type="spellStart"/>
      <w:r w:rsidRPr="003E0A1F">
        <w:rPr>
          <w:color w:val="000000"/>
          <w:szCs w:val="22"/>
          <w:lang w:val="sr-Latn-ME"/>
        </w:rPr>
        <w:t>ljudi</w:t>
      </w:r>
      <w:proofErr w:type="spellEnd"/>
      <w:r w:rsidRPr="003E0A1F">
        <w:rPr>
          <w:color w:val="000000"/>
          <w:szCs w:val="22"/>
          <w:lang w:val="sr-Latn-ME"/>
        </w:rPr>
        <w:t xml:space="preserve"> nije zabilježeno stvaranje </w:t>
      </w:r>
      <w:proofErr w:type="spellStart"/>
      <w:r w:rsidRPr="003E0A1F">
        <w:rPr>
          <w:color w:val="000000"/>
          <w:szCs w:val="22"/>
          <w:lang w:val="sr-Latn-ME"/>
        </w:rPr>
        <w:t>karcinoidnih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prekursora</w:t>
      </w:r>
      <w:proofErr w:type="spellEnd"/>
      <w:r w:rsidRPr="003E0A1F">
        <w:rPr>
          <w:color w:val="000000"/>
          <w:szCs w:val="22"/>
          <w:lang w:val="sr-Latn-ME"/>
        </w:rPr>
        <w:t xml:space="preserve"> (atipična </w:t>
      </w:r>
      <w:proofErr w:type="spellStart"/>
      <w:r w:rsidRPr="003E0A1F">
        <w:rPr>
          <w:color w:val="000000"/>
          <w:szCs w:val="22"/>
          <w:lang w:val="sr-Latn-ME"/>
        </w:rPr>
        <w:t>hiperplazija</w:t>
      </w:r>
      <w:proofErr w:type="spellEnd"/>
      <w:r w:rsidRPr="003E0A1F">
        <w:rPr>
          <w:color w:val="000000"/>
          <w:szCs w:val="22"/>
          <w:lang w:val="sr-Latn-ME"/>
        </w:rPr>
        <w:t xml:space="preserve">) ili </w:t>
      </w:r>
      <w:proofErr w:type="spellStart"/>
      <w:r w:rsidRPr="003E0A1F">
        <w:rPr>
          <w:color w:val="000000"/>
          <w:szCs w:val="22"/>
          <w:lang w:val="sr-Latn-ME"/>
        </w:rPr>
        <w:t>gastrični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karcinoidi</w:t>
      </w:r>
      <w:proofErr w:type="spellEnd"/>
      <w:r w:rsidRPr="003E0A1F">
        <w:rPr>
          <w:color w:val="000000"/>
          <w:szCs w:val="22"/>
          <w:lang w:val="sr-Latn-ME"/>
        </w:rPr>
        <w:t xml:space="preserve"> (vidjeti dio 5.3).</w:t>
      </w:r>
    </w:p>
    <w:p w14:paraId="6E20F4D3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sr-Latn-ME"/>
        </w:rPr>
      </w:pPr>
    </w:p>
    <w:p w14:paraId="015D31ED" w14:textId="77777777" w:rsidR="0040341B" w:rsidRPr="003E0A1F" w:rsidRDefault="00B87F20" w:rsidP="00054FCE">
      <w:pPr>
        <w:pStyle w:val="Default"/>
        <w:jc w:val="both"/>
        <w:rPr>
          <w:sz w:val="22"/>
          <w:szCs w:val="22"/>
          <w:lang w:val="sr-Latn-ME"/>
        </w:rPr>
      </w:pPr>
      <w:r w:rsidRPr="003E0A1F">
        <w:rPr>
          <w:sz w:val="22"/>
          <w:szCs w:val="22"/>
          <w:lang w:val="sr-Latn-ME"/>
        </w:rPr>
        <w:t xml:space="preserve">Tokom primjene </w:t>
      </w:r>
      <w:proofErr w:type="spellStart"/>
      <w:r w:rsidRPr="003E0A1F">
        <w:rPr>
          <w:sz w:val="22"/>
          <w:szCs w:val="22"/>
          <w:lang w:val="sr-Latn-ME"/>
        </w:rPr>
        <w:t>antisekretornih</w:t>
      </w:r>
      <w:proofErr w:type="spellEnd"/>
      <w:r w:rsidRPr="003E0A1F">
        <w:rPr>
          <w:sz w:val="22"/>
          <w:szCs w:val="22"/>
          <w:lang w:val="sr-Latn-ME"/>
        </w:rPr>
        <w:t xml:space="preserve"> ljekova, koncentracija </w:t>
      </w:r>
      <w:proofErr w:type="spellStart"/>
      <w:r w:rsidRPr="003E0A1F">
        <w:rPr>
          <w:sz w:val="22"/>
          <w:szCs w:val="22"/>
          <w:lang w:val="sr-Latn-ME"/>
        </w:rPr>
        <w:t>gastrina</w:t>
      </w:r>
      <w:proofErr w:type="spellEnd"/>
      <w:r w:rsidRPr="003E0A1F">
        <w:rPr>
          <w:sz w:val="22"/>
          <w:szCs w:val="22"/>
          <w:lang w:val="sr-Latn-ME"/>
        </w:rPr>
        <w:t xml:space="preserve"> u serumu se povećava kao odgovor na smanjenje sekrecije želudačne kiseline. Takođe, zbog smanjenja želudačne kiselosti dolazi do povećanja nivoa </w:t>
      </w:r>
      <w:proofErr w:type="spellStart"/>
      <w:r w:rsidRPr="003E0A1F">
        <w:rPr>
          <w:sz w:val="22"/>
          <w:szCs w:val="22"/>
          <w:lang w:val="sr-Latn-ME"/>
        </w:rPr>
        <w:t>CgA</w:t>
      </w:r>
      <w:proofErr w:type="spellEnd"/>
      <w:r w:rsidRPr="003E0A1F">
        <w:rPr>
          <w:sz w:val="22"/>
          <w:szCs w:val="22"/>
          <w:lang w:val="sr-Latn-ME"/>
        </w:rPr>
        <w:t xml:space="preserve">. Povećani nivoi </w:t>
      </w:r>
      <w:proofErr w:type="spellStart"/>
      <w:r w:rsidRPr="003E0A1F">
        <w:rPr>
          <w:sz w:val="22"/>
          <w:szCs w:val="22"/>
          <w:lang w:val="sr-Latn-ME"/>
        </w:rPr>
        <w:t>CgA</w:t>
      </w:r>
      <w:proofErr w:type="spellEnd"/>
      <w:r w:rsidRPr="003E0A1F">
        <w:rPr>
          <w:sz w:val="22"/>
          <w:szCs w:val="22"/>
          <w:lang w:val="sr-Latn-ME"/>
        </w:rPr>
        <w:t xml:space="preserve"> mogu da utiču na laboratorijska ispitivanja prisustva </w:t>
      </w:r>
      <w:proofErr w:type="spellStart"/>
      <w:r w:rsidRPr="003E0A1F">
        <w:rPr>
          <w:sz w:val="22"/>
          <w:szCs w:val="22"/>
          <w:lang w:val="sr-Latn-ME"/>
        </w:rPr>
        <w:t>neuroendokrinih</w:t>
      </w:r>
      <w:proofErr w:type="spellEnd"/>
      <w:r w:rsidRPr="003E0A1F">
        <w:rPr>
          <w:sz w:val="22"/>
          <w:szCs w:val="22"/>
          <w:lang w:val="sr-Latn-ME"/>
        </w:rPr>
        <w:t xml:space="preserve"> tumora.</w:t>
      </w:r>
    </w:p>
    <w:p w14:paraId="6F50FA88" w14:textId="77777777" w:rsidR="003D0663" w:rsidRPr="003E0A1F" w:rsidRDefault="003D0663" w:rsidP="00054FCE">
      <w:pPr>
        <w:pStyle w:val="Default"/>
        <w:jc w:val="both"/>
        <w:rPr>
          <w:sz w:val="22"/>
          <w:szCs w:val="22"/>
          <w:lang w:val="sr-Latn-ME"/>
        </w:rPr>
      </w:pPr>
    </w:p>
    <w:p w14:paraId="10A81E69" w14:textId="77777777" w:rsidR="0040341B" w:rsidRPr="003E0A1F" w:rsidRDefault="00B87F20" w:rsidP="00054FCE">
      <w:pPr>
        <w:pStyle w:val="Default"/>
        <w:jc w:val="both"/>
        <w:rPr>
          <w:sz w:val="22"/>
          <w:szCs w:val="22"/>
          <w:lang w:val="sr-Latn-ME"/>
        </w:rPr>
      </w:pPr>
      <w:r w:rsidRPr="003E0A1F">
        <w:rPr>
          <w:sz w:val="22"/>
          <w:szCs w:val="22"/>
          <w:lang w:val="sr-Latn-ME"/>
        </w:rPr>
        <w:t xml:space="preserve">Dostupni objavljeni dokazi ukazuju na to da je potrebno obustaviti primjenu </w:t>
      </w:r>
      <w:proofErr w:type="spellStart"/>
      <w:r w:rsidRPr="003E0A1F">
        <w:rPr>
          <w:sz w:val="22"/>
          <w:szCs w:val="22"/>
          <w:lang w:val="sr-Latn-ME"/>
        </w:rPr>
        <w:t>inhibitora</w:t>
      </w:r>
      <w:proofErr w:type="spellEnd"/>
      <w:r w:rsidRPr="003E0A1F">
        <w:rPr>
          <w:sz w:val="22"/>
          <w:szCs w:val="22"/>
          <w:lang w:val="sr-Latn-ME"/>
        </w:rPr>
        <w:t xml:space="preserve"> protonske pumpe između 5 dana i 2 nedjelje prije određivanja nivoa </w:t>
      </w:r>
      <w:proofErr w:type="spellStart"/>
      <w:r w:rsidRPr="003E0A1F">
        <w:rPr>
          <w:sz w:val="22"/>
          <w:szCs w:val="22"/>
          <w:lang w:val="sr-Latn-ME"/>
        </w:rPr>
        <w:t>CgA</w:t>
      </w:r>
      <w:proofErr w:type="spellEnd"/>
      <w:r w:rsidRPr="003E0A1F">
        <w:rPr>
          <w:sz w:val="22"/>
          <w:szCs w:val="22"/>
          <w:lang w:val="sr-Latn-ME"/>
        </w:rPr>
        <w:t xml:space="preserve">. Ovaj prekid omogućava da se nivo </w:t>
      </w:r>
      <w:proofErr w:type="spellStart"/>
      <w:r w:rsidRPr="003E0A1F">
        <w:rPr>
          <w:sz w:val="22"/>
          <w:szCs w:val="22"/>
          <w:lang w:val="sr-Latn-ME"/>
        </w:rPr>
        <w:t>CgA</w:t>
      </w:r>
      <w:proofErr w:type="spellEnd"/>
      <w:r w:rsidRPr="003E0A1F">
        <w:rPr>
          <w:sz w:val="22"/>
          <w:szCs w:val="22"/>
          <w:lang w:val="sr-Latn-ME"/>
        </w:rPr>
        <w:t xml:space="preserve">, koji može biti povećan </w:t>
      </w:r>
      <w:proofErr w:type="spellStart"/>
      <w:r w:rsidRPr="003E0A1F">
        <w:rPr>
          <w:sz w:val="22"/>
          <w:szCs w:val="22"/>
          <w:lang w:val="sr-Latn-ME"/>
        </w:rPr>
        <w:t>usl</w:t>
      </w:r>
      <w:r w:rsidR="003D0663" w:rsidRPr="003E0A1F">
        <w:rPr>
          <w:sz w:val="22"/>
          <w:szCs w:val="22"/>
          <w:lang w:val="sr-Latn-ME"/>
        </w:rPr>
        <w:t>j</w:t>
      </w:r>
      <w:r w:rsidRPr="003E0A1F">
        <w:rPr>
          <w:sz w:val="22"/>
          <w:szCs w:val="22"/>
          <w:lang w:val="sr-Latn-ME"/>
        </w:rPr>
        <w:t>ed</w:t>
      </w:r>
      <w:proofErr w:type="spellEnd"/>
      <w:r w:rsidRPr="003E0A1F">
        <w:rPr>
          <w:sz w:val="22"/>
          <w:szCs w:val="22"/>
          <w:lang w:val="sr-Latn-ME"/>
        </w:rPr>
        <w:t xml:space="preserve"> liječenja </w:t>
      </w:r>
      <w:proofErr w:type="spellStart"/>
      <w:r w:rsidRPr="003E0A1F">
        <w:rPr>
          <w:sz w:val="22"/>
          <w:szCs w:val="22"/>
          <w:lang w:val="sr-Latn-ME"/>
        </w:rPr>
        <w:t>inhibitorima</w:t>
      </w:r>
      <w:proofErr w:type="spellEnd"/>
      <w:r w:rsidRPr="003E0A1F">
        <w:rPr>
          <w:sz w:val="22"/>
          <w:szCs w:val="22"/>
          <w:lang w:val="sr-Latn-ME"/>
        </w:rPr>
        <w:t xml:space="preserve"> protonske pumpe, vrati u okvire referentnih vrijednosti.</w:t>
      </w:r>
    </w:p>
    <w:p w14:paraId="1CA3497C" w14:textId="77777777" w:rsidR="0040341B" w:rsidRPr="003E0A1F" w:rsidRDefault="0040341B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color w:val="000000"/>
          <w:szCs w:val="22"/>
          <w:lang w:val="sr-Latn-ME"/>
        </w:rPr>
      </w:pPr>
    </w:p>
    <w:p w14:paraId="3F46DB62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Prema rezultatima istraživanja na životinjama, kod dugotrajne primjene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u trajanju dužem od jedne godine, ne može se potpuno isključiti uticaj na endokrine parametre </w:t>
      </w:r>
      <w:proofErr w:type="spellStart"/>
      <w:r w:rsidRPr="003E0A1F">
        <w:rPr>
          <w:color w:val="000000"/>
          <w:szCs w:val="22"/>
          <w:lang w:val="sr-Latn-ME"/>
        </w:rPr>
        <w:t>tireoidne</w:t>
      </w:r>
      <w:proofErr w:type="spellEnd"/>
      <w:r w:rsidRPr="003E0A1F">
        <w:rPr>
          <w:color w:val="000000"/>
          <w:szCs w:val="22"/>
          <w:lang w:val="sr-Latn-ME"/>
        </w:rPr>
        <w:t xml:space="preserve"> žlijezde.</w:t>
      </w:r>
    </w:p>
    <w:p w14:paraId="70045EDB" w14:textId="77777777" w:rsidR="0040341B" w:rsidRPr="003E0A1F" w:rsidRDefault="0040341B" w:rsidP="00054FCE">
      <w:pPr>
        <w:spacing w:line="240" w:lineRule="auto"/>
        <w:jc w:val="both"/>
        <w:rPr>
          <w:szCs w:val="22"/>
          <w:lang w:val="sr-Latn-ME"/>
        </w:rPr>
      </w:pPr>
    </w:p>
    <w:p w14:paraId="72B7E4BA" w14:textId="77777777" w:rsidR="0040341B" w:rsidRPr="003E0A1F" w:rsidRDefault="00B87F20" w:rsidP="00054FCE">
      <w:pPr>
        <w:widowControl w:val="0"/>
        <w:spacing w:line="240" w:lineRule="auto"/>
        <w:ind w:left="567" w:hanging="567"/>
        <w:outlineLvl w:val="0"/>
        <w:rPr>
          <w:b/>
          <w:szCs w:val="22"/>
          <w:lang w:val="sr-Latn-ME"/>
        </w:rPr>
      </w:pPr>
      <w:r w:rsidRPr="003E0A1F">
        <w:rPr>
          <w:b/>
          <w:szCs w:val="22"/>
          <w:lang w:val="sr-Latn-ME"/>
        </w:rPr>
        <w:t>5.2</w:t>
      </w:r>
      <w:r w:rsidRPr="003E0A1F">
        <w:rPr>
          <w:b/>
          <w:szCs w:val="22"/>
          <w:lang w:val="sr-Latn-ME"/>
        </w:rPr>
        <w:tab/>
      </w:r>
      <w:proofErr w:type="spellStart"/>
      <w:r w:rsidRPr="003E0A1F">
        <w:rPr>
          <w:b/>
          <w:bCs/>
          <w:szCs w:val="22"/>
          <w:lang w:val="sr-Latn-ME"/>
        </w:rPr>
        <w:t>Farmakokinetički</w:t>
      </w:r>
      <w:proofErr w:type="spellEnd"/>
      <w:r w:rsidRPr="003E0A1F">
        <w:rPr>
          <w:b/>
          <w:bCs/>
          <w:szCs w:val="22"/>
          <w:lang w:val="sr-Latn-ME"/>
        </w:rPr>
        <w:t xml:space="preserve"> podaci</w:t>
      </w:r>
    </w:p>
    <w:p w14:paraId="13CEA670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79D3DBB1" w14:textId="77777777" w:rsidR="0040341B" w:rsidRPr="003E0A1F" w:rsidRDefault="00B87F20" w:rsidP="00054FCE">
      <w:pPr>
        <w:tabs>
          <w:tab w:val="num" w:pos="1296"/>
        </w:tabs>
        <w:spacing w:line="240" w:lineRule="auto"/>
        <w:ind w:left="1296" w:hanging="1296"/>
        <w:jc w:val="both"/>
        <w:outlineLvl w:val="6"/>
        <w:rPr>
          <w:bCs/>
          <w:iCs/>
          <w:szCs w:val="22"/>
          <w:u w:val="single"/>
          <w:lang w:val="sr-Latn-ME"/>
        </w:rPr>
      </w:pPr>
      <w:r w:rsidRPr="003E0A1F">
        <w:rPr>
          <w:bCs/>
          <w:iCs/>
          <w:szCs w:val="22"/>
          <w:u w:val="single"/>
          <w:lang w:val="sr-Latn-ME"/>
        </w:rPr>
        <w:t>Resorpcija</w:t>
      </w:r>
    </w:p>
    <w:p w14:paraId="4FA020AB" w14:textId="06589913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3E0A1F">
        <w:rPr>
          <w:szCs w:val="22"/>
          <w:lang w:val="sr-Latn-ME" w:eastAsia="hr-HR"/>
        </w:rPr>
        <w:lastRenderedPageBreak/>
        <w:t>Pantoprazol</w:t>
      </w:r>
      <w:proofErr w:type="spellEnd"/>
      <w:r w:rsidRPr="003E0A1F">
        <w:rPr>
          <w:szCs w:val="22"/>
          <w:lang w:val="sr-Latn-ME" w:eastAsia="hr-HR"/>
        </w:rPr>
        <w:t xml:space="preserve"> se brzo resorbuje i postiže najvišu koncentraciju u plazmi već nakon jednokratne oralne doze od 40 mg. </w:t>
      </w:r>
      <w:r w:rsidRPr="003E0A1F">
        <w:rPr>
          <w:color w:val="000000"/>
          <w:szCs w:val="22"/>
          <w:lang w:val="sr-Latn-ME"/>
        </w:rPr>
        <w:t xml:space="preserve">U prosjeku, maksimalne koncentracije u serumu od oko 2-3 </w:t>
      </w:r>
      <w:proofErr w:type="spellStart"/>
      <w:r w:rsidRPr="003E0A1F">
        <w:rPr>
          <w:color w:val="000000"/>
          <w:szCs w:val="22"/>
          <w:lang w:val="sr-Latn-ME"/>
        </w:rPr>
        <w:t>mikrograma</w:t>
      </w:r>
      <w:proofErr w:type="spellEnd"/>
      <w:r w:rsidRPr="003E0A1F">
        <w:rPr>
          <w:color w:val="000000"/>
          <w:szCs w:val="22"/>
          <w:lang w:val="sr-Latn-ME"/>
        </w:rPr>
        <w:t>/m</w:t>
      </w:r>
      <w:r w:rsidR="003D0663" w:rsidRPr="003E0A1F">
        <w:rPr>
          <w:color w:val="000000"/>
          <w:szCs w:val="22"/>
          <w:lang w:val="sr-Latn-ME"/>
        </w:rPr>
        <w:t>l</w:t>
      </w:r>
      <w:r w:rsidRPr="003E0A1F">
        <w:rPr>
          <w:color w:val="000000"/>
          <w:szCs w:val="22"/>
          <w:lang w:val="sr-Latn-ME"/>
        </w:rPr>
        <w:t xml:space="preserve"> se postižu tokom 2,5 sata nakon primjene doze i ostaju konstantne čak i nakon višestrukog doziranja.</w:t>
      </w:r>
    </w:p>
    <w:p w14:paraId="4D121444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9A04DD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/>
        </w:rPr>
        <w:t>Farmakokinetika</w:t>
      </w:r>
      <w:proofErr w:type="spellEnd"/>
      <w:r w:rsidRPr="003E0A1F">
        <w:rPr>
          <w:color w:val="000000"/>
          <w:szCs w:val="22"/>
          <w:lang w:val="sr-Latn-ME"/>
        </w:rPr>
        <w:t xml:space="preserve"> se ne mijenja nakon jednog ili višestrukog doziranja. U </w:t>
      </w:r>
      <w:proofErr w:type="spellStart"/>
      <w:r w:rsidRPr="003E0A1F">
        <w:rPr>
          <w:color w:val="000000"/>
          <w:szCs w:val="22"/>
          <w:lang w:val="sr-Latn-ME"/>
        </w:rPr>
        <w:t>doznom</w:t>
      </w:r>
      <w:proofErr w:type="spellEnd"/>
      <w:r w:rsidRPr="003E0A1F">
        <w:rPr>
          <w:color w:val="000000"/>
          <w:szCs w:val="22"/>
          <w:lang w:val="sr-Latn-ME"/>
        </w:rPr>
        <w:t xml:space="preserve"> opsegu od 10 mg do 80 mg, plazma kinetika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je linearna i nakon oralne i nakon </w:t>
      </w:r>
      <w:proofErr w:type="spellStart"/>
      <w:r w:rsidRPr="003E0A1F">
        <w:rPr>
          <w:color w:val="000000"/>
          <w:szCs w:val="22"/>
          <w:lang w:val="sr-Latn-ME"/>
        </w:rPr>
        <w:t>intravenske</w:t>
      </w:r>
      <w:proofErr w:type="spellEnd"/>
      <w:r w:rsidRPr="003E0A1F">
        <w:rPr>
          <w:color w:val="000000"/>
          <w:szCs w:val="22"/>
          <w:lang w:val="sr-Latn-ME"/>
        </w:rPr>
        <w:t xml:space="preserve"> primjene.</w:t>
      </w:r>
    </w:p>
    <w:p w14:paraId="25D81D55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Utvrđeno je da je apsolutna </w:t>
      </w:r>
      <w:proofErr w:type="spellStart"/>
      <w:r w:rsidRPr="003E0A1F">
        <w:rPr>
          <w:color w:val="000000"/>
          <w:szCs w:val="22"/>
          <w:lang w:val="sr-Latn-ME"/>
        </w:rPr>
        <w:t>bioraspoloživost</w:t>
      </w:r>
      <w:proofErr w:type="spellEnd"/>
      <w:r w:rsidRPr="003E0A1F">
        <w:rPr>
          <w:color w:val="000000"/>
          <w:szCs w:val="22"/>
          <w:lang w:val="sr-Latn-ME"/>
        </w:rPr>
        <w:t xml:space="preserve"> iz tablete oko 77%. Istovremeno uzimanje hrane nema uticaja na PIK (površina ispod krive), maksimalnu koncentraciju u serumu, pa prema tome ni na </w:t>
      </w:r>
      <w:proofErr w:type="spellStart"/>
      <w:r w:rsidRPr="003E0A1F">
        <w:rPr>
          <w:color w:val="000000"/>
          <w:szCs w:val="22"/>
          <w:lang w:val="sr-Latn-ME"/>
        </w:rPr>
        <w:t>bioraspoloživost</w:t>
      </w:r>
      <w:proofErr w:type="spellEnd"/>
      <w:r w:rsidRPr="003E0A1F">
        <w:rPr>
          <w:color w:val="000000"/>
          <w:szCs w:val="22"/>
          <w:lang w:val="sr-Latn-ME"/>
        </w:rPr>
        <w:t xml:space="preserve">. Jedino što kod istovremenog uzimanja hrane može da dođe do povećanja varijabilnosti </w:t>
      </w:r>
      <w:proofErr w:type="spellStart"/>
      <w:r w:rsidRPr="003E0A1F">
        <w:rPr>
          <w:color w:val="000000"/>
          <w:szCs w:val="22"/>
          <w:lang w:val="sr-Latn-ME"/>
        </w:rPr>
        <w:t>vremena</w:t>
      </w:r>
      <w:proofErr w:type="spellEnd"/>
      <w:r w:rsidRPr="003E0A1F">
        <w:rPr>
          <w:color w:val="000000"/>
          <w:szCs w:val="22"/>
          <w:lang w:val="sr-Latn-ME"/>
        </w:rPr>
        <w:t xml:space="preserve"> kašnjenja.</w:t>
      </w:r>
    </w:p>
    <w:p w14:paraId="6EEA1DFE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b/>
          <w:bCs/>
          <w:iCs/>
          <w:szCs w:val="22"/>
          <w:lang w:val="sr-Latn-ME"/>
        </w:rPr>
      </w:pPr>
    </w:p>
    <w:p w14:paraId="268D8A7E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bCs/>
          <w:iCs/>
          <w:szCs w:val="22"/>
          <w:u w:val="single"/>
          <w:lang w:val="sr-Latn-ME"/>
        </w:rPr>
      </w:pPr>
      <w:r w:rsidRPr="003E0A1F">
        <w:rPr>
          <w:bCs/>
          <w:iCs/>
          <w:szCs w:val="22"/>
          <w:u w:val="single"/>
          <w:lang w:val="sr-Latn-ME"/>
        </w:rPr>
        <w:t>Distribucija</w:t>
      </w:r>
    </w:p>
    <w:p w14:paraId="1F06C8EF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 w:eastAsia="hr-HR"/>
        </w:rPr>
        <w:t xml:space="preserve">Vezivanje </w:t>
      </w:r>
      <w:proofErr w:type="spellStart"/>
      <w:r w:rsidRPr="003E0A1F">
        <w:rPr>
          <w:szCs w:val="22"/>
          <w:lang w:val="sr-Latn-ME" w:eastAsia="hr-HR"/>
        </w:rPr>
        <w:t>pantoprazola</w:t>
      </w:r>
      <w:proofErr w:type="spellEnd"/>
      <w:r w:rsidRPr="003E0A1F">
        <w:rPr>
          <w:szCs w:val="22"/>
          <w:lang w:val="sr-Latn-ME" w:eastAsia="hr-HR"/>
        </w:rPr>
        <w:t xml:space="preserve"> za proteine plazme je oko 98%.</w:t>
      </w:r>
      <w:r w:rsidRPr="003E0A1F">
        <w:rPr>
          <w:color w:val="000000"/>
          <w:szCs w:val="22"/>
          <w:lang w:val="sr-Latn-ME"/>
        </w:rPr>
        <w:t>Volumen distribucije je oko 0,15 l/kg.</w:t>
      </w:r>
    </w:p>
    <w:p w14:paraId="62574566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szCs w:val="22"/>
          <w:lang w:val="sr-Latn-ME" w:eastAsia="hr-HR"/>
        </w:rPr>
      </w:pPr>
    </w:p>
    <w:p w14:paraId="490E4C52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szCs w:val="22"/>
          <w:u w:val="single"/>
          <w:lang w:val="sr-Latn-ME" w:eastAsia="hr-HR"/>
        </w:rPr>
      </w:pPr>
      <w:r w:rsidRPr="003E0A1F">
        <w:rPr>
          <w:szCs w:val="22"/>
          <w:u w:val="single"/>
          <w:lang w:val="sr-Latn-ME" w:eastAsia="hr-HR"/>
        </w:rPr>
        <w:t>Metabolizam</w:t>
      </w:r>
    </w:p>
    <w:p w14:paraId="4492BFB4" w14:textId="77777777" w:rsidR="0040341B" w:rsidRPr="003E0A1F" w:rsidRDefault="00B87F20" w:rsidP="00054FCE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 w:eastAsia="hr-HR"/>
        </w:rPr>
      </w:pPr>
      <w:r w:rsidRPr="003E0A1F">
        <w:rPr>
          <w:szCs w:val="22"/>
          <w:lang w:val="sr-Latn-ME" w:eastAsia="hr-HR"/>
        </w:rPr>
        <w:t xml:space="preserve">Lijek se skoro u potpunosti </w:t>
      </w:r>
      <w:proofErr w:type="spellStart"/>
      <w:r w:rsidRPr="003E0A1F">
        <w:rPr>
          <w:szCs w:val="22"/>
          <w:lang w:val="sr-Latn-ME" w:eastAsia="hr-HR"/>
        </w:rPr>
        <w:t>metaboliše</w:t>
      </w:r>
      <w:proofErr w:type="spellEnd"/>
      <w:r w:rsidRPr="003E0A1F">
        <w:rPr>
          <w:szCs w:val="22"/>
          <w:lang w:val="sr-Latn-ME" w:eastAsia="hr-HR"/>
        </w:rPr>
        <w:t xml:space="preserve"> u jetri. Glavni </w:t>
      </w:r>
      <w:proofErr w:type="spellStart"/>
      <w:r w:rsidRPr="003E0A1F">
        <w:rPr>
          <w:szCs w:val="22"/>
          <w:lang w:val="sr-Latn-ME" w:eastAsia="hr-HR"/>
        </w:rPr>
        <w:t>metabolički</w:t>
      </w:r>
      <w:proofErr w:type="spellEnd"/>
      <w:r w:rsidRPr="003E0A1F">
        <w:rPr>
          <w:szCs w:val="22"/>
          <w:lang w:val="sr-Latn-ME" w:eastAsia="hr-HR"/>
        </w:rPr>
        <w:t xml:space="preserve"> put je </w:t>
      </w:r>
      <w:proofErr w:type="spellStart"/>
      <w:r w:rsidRPr="003E0A1F">
        <w:rPr>
          <w:szCs w:val="22"/>
          <w:lang w:val="sr-Latn-ME" w:eastAsia="hr-HR"/>
        </w:rPr>
        <w:t>demetilacija</w:t>
      </w:r>
      <w:proofErr w:type="spellEnd"/>
      <w:r w:rsidRPr="003E0A1F">
        <w:rPr>
          <w:szCs w:val="22"/>
          <w:lang w:val="sr-Latn-ME" w:eastAsia="hr-HR"/>
        </w:rPr>
        <w:t xml:space="preserve"> putem CYP2C19 sa kasnijom </w:t>
      </w:r>
      <w:proofErr w:type="spellStart"/>
      <w:r w:rsidRPr="003E0A1F">
        <w:rPr>
          <w:szCs w:val="22"/>
          <w:lang w:val="sr-Latn-ME" w:eastAsia="hr-HR"/>
        </w:rPr>
        <w:t>sulfatnom</w:t>
      </w:r>
      <w:proofErr w:type="spellEnd"/>
      <w:r w:rsidRPr="003E0A1F">
        <w:rPr>
          <w:szCs w:val="22"/>
          <w:lang w:val="sr-Latn-ME" w:eastAsia="hr-HR"/>
        </w:rPr>
        <w:t xml:space="preserve"> konjugacijom. Drugi </w:t>
      </w:r>
      <w:proofErr w:type="spellStart"/>
      <w:r w:rsidRPr="003E0A1F">
        <w:rPr>
          <w:szCs w:val="22"/>
          <w:lang w:val="sr-Latn-ME" w:eastAsia="hr-HR"/>
        </w:rPr>
        <w:t>metabolički</w:t>
      </w:r>
      <w:proofErr w:type="spellEnd"/>
      <w:r w:rsidRPr="003E0A1F">
        <w:rPr>
          <w:szCs w:val="22"/>
          <w:lang w:val="sr-Latn-ME" w:eastAsia="hr-HR"/>
        </w:rPr>
        <w:t xml:space="preserve"> put uključuje oksidaciju putem CYP3A4.</w:t>
      </w:r>
    </w:p>
    <w:p w14:paraId="4CD13508" w14:textId="77777777" w:rsidR="0040341B" w:rsidRPr="003E0A1F" w:rsidRDefault="0040341B" w:rsidP="00054FCE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 w:eastAsia="hr-HR"/>
        </w:rPr>
      </w:pPr>
    </w:p>
    <w:p w14:paraId="10EC492E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r-Latn-ME"/>
        </w:rPr>
      </w:pPr>
      <w:r w:rsidRPr="003E0A1F">
        <w:rPr>
          <w:iCs/>
          <w:color w:val="000000"/>
          <w:szCs w:val="22"/>
          <w:u w:val="single"/>
          <w:lang w:val="sr-Latn-ME"/>
        </w:rPr>
        <w:t>Eliminacija</w:t>
      </w:r>
    </w:p>
    <w:p w14:paraId="53C011F2" w14:textId="0FF51551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Terminalno poluvrijeme eliminacije je oko 1 sat i </w:t>
      </w:r>
      <w:proofErr w:type="spellStart"/>
      <w:r w:rsidRPr="003E0A1F">
        <w:rPr>
          <w:color w:val="000000"/>
          <w:szCs w:val="22"/>
          <w:lang w:val="sr-Latn-ME"/>
        </w:rPr>
        <w:t>klirens</w:t>
      </w:r>
      <w:proofErr w:type="spellEnd"/>
      <w:r w:rsidRPr="003E0A1F">
        <w:rPr>
          <w:color w:val="000000"/>
          <w:szCs w:val="22"/>
          <w:lang w:val="sr-Latn-ME"/>
        </w:rPr>
        <w:t xml:space="preserve"> je oko 0.1 l/h/kg. Bilo je nekoliko slučajeva ispitanika sa odloženom eliminacijom. Zbog specifičnog vezivanja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za protonske pumpe </w:t>
      </w:r>
      <w:proofErr w:type="spellStart"/>
      <w:r w:rsidRPr="003E0A1F">
        <w:rPr>
          <w:color w:val="000000"/>
          <w:szCs w:val="22"/>
          <w:lang w:val="sr-Latn-ME"/>
        </w:rPr>
        <w:t>parijetalnih</w:t>
      </w:r>
      <w:proofErr w:type="spellEnd"/>
      <w:r w:rsidRPr="003E0A1F">
        <w:rPr>
          <w:color w:val="000000"/>
          <w:szCs w:val="22"/>
          <w:lang w:val="sr-Latn-ME"/>
        </w:rPr>
        <w:t xml:space="preserve"> ćelija, poluvrijeme eliminacije nije u korelaciji sa mnogo dužim </w:t>
      </w:r>
      <w:proofErr w:type="spellStart"/>
      <w:r w:rsidRPr="003E0A1F">
        <w:rPr>
          <w:color w:val="000000"/>
          <w:szCs w:val="22"/>
          <w:lang w:val="sr-Latn-ME"/>
        </w:rPr>
        <w:t>vremenom</w:t>
      </w:r>
      <w:proofErr w:type="spellEnd"/>
      <w:r w:rsidRPr="003E0A1F">
        <w:rPr>
          <w:color w:val="000000"/>
          <w:szCs w:val="22"/>
          <w:lang w:val="sr-Latn-ME"/>
        </w:rPr>
        <w:t xml:space="preserve"> aktivnosti (inhibicije sekrecije želudačne kiseline). Eliminacija putem bubrega predstavlja glavni put eliminacije (oko 80%) za </w:t>
      </w:r>
      <w:proofErr w:type="spellStart"/>
      <w:r w:rsidRPr="003E0A1F">
        <w:rPr>
          <w:color w:val="000000"/>
          <w:szCs w:val="22"/>
          <w:lang w:val="sr-Latn-ME"/>
        </w:rPr>
        <w:t>metabolite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; ostatak se eliminiše putem </w:t>
      </w:r>
      <w:proofErr w:type="spellStart"/>
      <w:r w:rsidRPr="003E0A1F">
        <w:rPr>
          <w:color w:val="000000"/>
          <w:szCs w:val="22"/>
          <w:lang w:val="sr-Latn-ME"/>
        </w:rPr>
        <w:t>fecesa</w:t>
      </w:r>
      <w:proofErr w:type="spellEnd"/>
      <w:r w:rsidRPr="003E0A1F">
        <w:rPr>
          <w:color w:val="000000"/>
          <w:szCs w:val="22"/>
          <w:lang w:val="sr-Latn-ME"/>
        </w:rPr>
        <w:t xml:space="preserve">. Glavni </w:t>
      </w:r>
      <w:proofErr w:type="spellStart"/>
      <w:r w:rsidRPr="003E0A1F">
        <w:rPr>
          <w:color w:val="000000"/>
          <w:szCs w:val="22"/>
          <w:lang w:val="sr-Latn-ME"/>
        </w:rPr>
        <w:t>metabolit</w:t>
      </w:r>
      <w:proofErr w:type="spellEnd"/>
      <w:r w:rsidRPr="003E0A1F">
        <w:rPr>
          <w:color w:val="000000"/>
          <w:szCs w:val="22"/>
          <w:lang w:val="sr-Latn-ME"/>
        </w:rPr>
        <w:t xml:space="preserve"> i u serumu i u urinu je </w:t>
      </w:r>
      <w:proofErr w:type="spellStart"/>
      <w:r w:rsidRPr="003E0A1F">
        <w:rPr>
          <w:color w:val="000000"/>
          <w:szCs w:val="22"/>
          <w:lang w:val="sr-Latn-ME"/>
        </w:rPr>
        <w:t>desmetilpantoprazol</w:t>
      </w:r>
      <w:proofErr w:type="spellEnd"/>
      <w:r w:rsidRPr="003E0A1F">
        <w:rPr>
          <w:color w:val="000000"/>
          <w:szCs w:val="22"/>
          <w:lang w:val="sr-Latn-ME"/>
        </w:rPr>
        <w:t xml:space="preserve"> koji je </w:t>
      </w:r>
      <w:proofErr w:type="spellStart"/>
      <w:r w:rsidRPr="003E0A1F">
        <w:rPr>
          <w:color w:val="000000"/>
          <w:szCs w:val="22"/>
          <w:lang w:val="sr-Latn-ME"/>
        </w:rPr>
        <w:t>konjugovan</w:t>
      </w:r>
      <w:proofErr w:type="spellEnd"/>
      <w:r w:rsidRPr="003E0A1F">
        <w:rPr>
          <w:color w:val="000000"/>
          <w:szCs w:val="22"/>
          <w:lang w:val="sr-Latn-ME"/>
        </w:rPr>
        <w:t xml:space="preserve"> sa sulfatima. Poluvrijeme eliminacije glavnog </w:t>
      </w:r>
      <w:proofErr w:type="spellStart"/>
      <w:r w:rsidRPr="003E0A1F">
        <w:rPr>
          <w:color w:val="000000"/>
          <w:szCs w:val="22"/>
          <w:lang w:val="sr-Latn-ME"/>
        </w:rPr>
        <w:t>metabolita</w:t>
      </w:r>
      <w:proofErr w:type="spellEnd"/>
      <w:r w:rsidRPr="003E0A1F">
        <w:rPr>
          <w:color w:val="000000"/>
          <w:szCs w:val="22"/>
          <w:lang w:val="sr-Latn-ME"/>
        </w:rPr>
        <w:t xml:space="preserve"> (oko 1,5 sat) nije mnogo duže nego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0A7D5F83" w14:textId="77777777" w:rsidR="0040341B" w:rsidRPr="003E0A1F" w:rsidRDefault="0040341B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06C5DBF7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bCs/>
          <w:iCs/>
          <w:szCs w:val="22"/>
          <w:u w:val="single"/>
          <w:lang w:val="sr-Latn-ME"/>
        </w:rPr>
      </w:pPr>
      <w:r w:rsidRPr="003E0A1F">
        <w:rPr>
          <w:bCs/>
          <w:iCs/>
          <w:szCs w:val="22"/>
          <w:u w:val="single"/>
          <w:lang w:val="sr-Latn-ME"/>
        </w:rPr>
        <w:t>Posebne populacije</w:t>
      </w:r>
    </w:p>
    <w:p w14:paraId="6F944F1F" w14:textId="77777777" w:rsidR="003D0663" w:rsidRPr="003E0A1F" w:rsidRDefault="003D0663" w:rsidP="00054FCE">
      <w:pPr>
        <w:autoSpaceDE w:val="0"/>
        <w:autoSpaceDN w:val="0"/>
        <w:adjustRightInd w:val="0"/>
        <w:spacing w:line="240" w:lineRule="auto"/>
        <w:jc w:val="both"/>
        <w:rPr>
          <w:bCs/>
          <w:iCs/>
          <w:szCs w:val="22"/>
          <w:u w:val="single"/>
          <w:lang w:val="sr-Latn-ME"/>
        </w:rPr>
      </w:pPr>
    </w:p>
    <w:p w14:paraId="27AC418A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bCs/>
          <w:i/>
          <w:iCs/>
          <w:szCs w:val="22"/>
          <w:u w:val="single"/>
          <w:lang w:val="sr-Latn-ME"/>
        </w:rPr>
      </w:pPr>
      <w:r w:rsidRPr="003E0A1F">
        <w:rPr>
          <w:bCs/>
          <w:i/>
          <w:iCs/>
          <w:szCs w:val="22"/>
          <w:u w:val="single"/>
          <w:lang w:val="sr-Latn-ME"/>
        </w:rPr>
        <w:t xml:space="preserve">Spori </w:t>
      </w:r>
      <w:proofErr w:type="spellStart"/>
      <w:r w:rsidRPr="003E0A1F">
        <w:rPr>
          <w:bCs/>
          <w:i/>
          <w:iCs/>
          <w:szCs w:val="22"/>
          <w:u w:val="single"/>
          <w:lang w:val="sr-Latn-ME"/>
        </w:rPr>
        <w:t>metabolizeri</w:t>
      </w:r>
      <w:proofErr w:type="spellEnd"/>
    </w:p>
    <w:p w14:paraId="3D172AA3" w14:textId="483F8CBB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Oko 3% populacije Evropljana ima smanjenu funkciju enzima CYP2C19 i oni se nazivaju spori </w:t>
      </w:r>
      <w:proofErr w:type="spellStart"/>
      <w:r w:rsidRPr="003E0A1F">
        <w:rPr>
          <w:color w:val="000000"/>
          <w:szCs w:val="22"/>
          <w:lang w:val="sr-Latn-ME"/>
        </w:rPr>
        <w:t>metabolizeri</w:t>
      </w:r>
      <w:proofErr w:type="spellEnd"/>
      <w:r w:rsidRPr="003E0A1F">
        <w:rPr>
          <w:color w:val="000000"/>
          <w:szCs w:val="22"/>
          <w:lang w:val="sr-Latn-ME"/>
        </w:rPr>
        <w:t xml:space="preserve">. Kod ovih osoba, metabolizam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je vjerovatno uglavnom </w:t>
      </w:r>
      <w:proofErr w:type="spellStart"/>
      <w:r w:rsidRPr="003E0A1F">
        <w:rPr>
          <w:color w:val="000000"/>
          <w:szCs w:val="22"/>
          <w:lang w:val="sr-Latn-ME"/>
        </w:rPr>
        <w:t>katalizovan</w:t>
      </w:r>
      <w:proofErr w:type="spellEnd"/>
      <w:r w:rsidRPr="003E0A1F">
        <w:rPr>
          <w:color w:val="000000"/>
          <w:szCs w:val="22"/>
          <w:lang w:val="sr-Latn-ME"/>
        </w:rPr>
        <w:t xml:space="preserve"> enzimom CYP3A4. Nakon primjene jedne doze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od 40 mg, PIK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bio je oko 6 puta veći kod sporih </w:t>
      </w:r>
      <w:proofErr w:type="spellStart"/>
      <w:r w:rsidRPr="003E0A1F">
        <w:rPr>
          <w:color w:val="000000"/>
          <w:szCs w:val="22"/>
          <w:lang w:val="sr-Latn-ME"/>
        </w:rPr>
        <w:t>metabolizera</w:t>
      </w:r>
      <w:proofErr w:type="spellEnd"/>
      <w:r w:rsidRPr="003E0A1F">
        <w:rPr>
          <w:color w:val="000000"/>
          <w:szCs w:val="22"/>
          <w:lang w:val="sr-Latn-ME"/>
        </w:rPr>
        <w:t xml:space="preserve"> nego kod osoba sa očuvanom funkcijom enzima CYP2C19 (ekstenzivni </w:t>
      </w:r>
      <w:proofErr w:type="spellStart"/>
      <w:r w:rsidRPr="003E0A1F">
        <w:rPr>
          <w:color w:val="000000"/>
          <w:szCs w:val="22"/>
          <w:lang w:val="sr-Latn-ME"/>
        </w:rPr>
        <w:t>metabolizeri</w:t>
      </w:r>
      <w:proofErr w:type="spellEnd"/>
      <w:r w:rsidRPr="003E0A1F">
        <w:rPr>
          <w:color w:val="000000"/>
          <w:szCs w:val="22"/>
          <w:lang w:val="sr-Latn-ME"/>
        </w:rPr>
        <w:t xml:space="preserve">). Srednja vrijednost maksimalnih koncentracija u plazmi bila je povećana za oko 60%. Ovi nalazi ne utiču na doziranje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3CCB79C5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color w:val="000000"/>
          <w:szCs w:val="22"/>
          <w:lang w:val="sr-Latn-ME"/>
        </w:rPr>
      </w:pPr>
    </w:p>
    <w:p w14:paraId="650B4A23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i/>
          <w:iCs/>
          <w:color w:val="000000"/>
          <w:szCs w:val="22"/>
          <w:lang w:val="sr-Latn-ME"/>
        </w:rPr>
        <w:t>Pacijenti sa oštećenjem funkcije bubrega</w:t>
      </w:r>
    </w:p>
    <w:p w14:paraId="7D281D2B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Ne preporučuje se smanjenje doze kada se </w:t>
      </w: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 primjenjuje kod pacijenata sa oštećenjem funkcije bubrega (uključujući i pacijente na dijalizi). Kao i kod zdravih ispitanika, poluvrijeme eliminacije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je kratko. Samo mala količina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se može </w:t>
      </w:r>
      <w:proofErr w:type="spellStart"/>
      <w:r w:rsidRPr="003E0A1F">
        <w:rPr>
          <w:color w:val="000000"/>
          <w:szCs w:val="22"/>
          <w:lang w:val="sr-Latn-ME"/>
        </w:rPr>
        <w:t>dijalizirati</w:t>
      </w:r>
      <w:proofErr w:type="spellEnd"/>
      <w:r w:rsidRPr="003E0A1F">
        <w:rPr>
          <w:color w:val="000000"/>
          <w:szCs w:val="22"/>
          <w:lang w:val="sr-Latn-ME"/>
        </w:rPr>
        <w:t xml:space="preserve">. Iako glavni </w:t>
      </w:r>
      <w:proofErr w:type="spellStart"/>
      <w:r w:rsidRPr="003E0A1F">
        <w:rPr>
          <w:color w:val="000000"/>
          <w:szCs w:val="22"/>
          <w:lang w:val="sr-Latn-ME"/>
        </w:rPr>
        <w:t>metabolit</w:t>
      </w:r>
      <w:proofErr w:type="spellEnd"/>
      <w:r w:rsidRPr="003E0A1F">
        <w:rPr>
          <w:color w:val="000000"/>
          <w:szCs w:val="22"/>
          <w:lang w:val="sr-Latn-ME"/>
        </w:rPr>
        <w:t xml:space="preserve"> ima umjereno produženo poluvrijeme eliminacije (2-3 sata), izlučivanje je i dalje brzo, tako da ne dolazi do akumulacije lijeka.</w:t>
      </w:r>
    </w:p>
    <w:p w14:paraId="06F3EF83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iCs/>
          <w:color w:val="000000"/>
          <w:szCs w:val="22"/>
          <w:u w:val="single"/>
          <w:lang w:val="sr-Latn-ME"/>
        </w:rPr>
      </w:pPr>
    </w:p>
    <w:p w14:paraId="573835DA" w14:textId="77777777" w:rsidR="0040341B" w:rsidRPr="003E0A1F" w:rsidRDefault="00B87F20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i/>
          <w:iCs/>
          <w:color w:val="000000"/>
          <w:szCs w:val="22"/>
          <w:lang w:val="sr-Latn-ME"/>
        </w:rPr>
        <w:t>Pacijenti sa oštećenjem funkcije jetre</w:t>
      </w:r>
    </w:p>
    <w:p w14:paraId="2276CE0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>Iako su kod pacijenata sa cirozom jetre (</w:t>
      </w:r>
      <w:proofErr w:type="spellStart"/>
      <w:r w:rsidRPr="003E0A1F">
        <w:rPr>
          <w:color w:val="000000"/>
          <w:szCs w:val="22"/>
          <w:lang w:val="sr-Latn-ME"/>
        </w:rPr>
        <w:t>Child</w:t>
      </w:r>
      <w:proofErr w:type="spellEnd"/>
      <w:r w:rsidRPr="003E0A1F">
        <w:rPr>
          <w:color w:val="000000"/>
          <w:szCs w:val="22"/>
          <w:lang w:val="sr-Latn-ME"/>
        </w:rPr>
        <w:t xml:space="preserve"> klasa A i B) vrijednosti </w:t>
      </w:r>
      <w:proofErr w:type="spellStart"/>
      <w:r w:rsidRPr="003E0A1F">
        <w:rPr>
          <w:color w:val="000000"/>
          <w:szCs w:val="22"/>
          <w:lang w:val="sr-Latn-ME"/>
        </w:rPr>
        <w:t>poluvremena</w:t>
      </w:r>
      <w:proofErr w:type="spellEnd"/>
      <w:r w:rsidRPr="003E0A1F">
        <w:rPr>
          <w:color w:val="000000"/>
          <w:szCs w:val="22"/>
          <w:lang w:val="sr-Latn-ME"/>
        </w:rPr>
        <w:t xml:space="preserve"> eliminacije povećane za 7-9 sati i vrijednosti PIK povećane za faktor 5-7, maksimalna plazma koncentracija se samo blago povećava za faktor 1,5 u poređenju sa zdravim ispitanicima.</w:t>
      </w:r>
    </w:p>
    <w:p w14:paraId="42CBAB1B" w14:textId="77777777" w:rsidR="0040341B" w:rsidRPr="003E0A1F" w:rsidRDefault="0040341B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sr-Latn-ME"/>
        </w:rPr>
      </w:pPr>
    </w:p>
    <w:p w14:paraId="1A6FF13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/>
        </w:rPr>
      </w:pPr>
      <w:r w:rsidRPr="003E0A1F">
        <w:rPr>
          <w:i/>
          <w:color w:val="000000"/>
          <w:szCs w:val="22"/>
          <w:lang w:val="sr-Latn-ME"/>
        </w:rPr>
        <w:t>Stariji pacijenti</w:t>
      </w:r>
    </w:p>
    <w:p w14:paraId="5386A779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Blagi porast PIK i </w:t>
      </w:r>
      <w:proofErr w:type="spellStart"/>
      <w:r w:rsidRPr="003E0A1F">
        <w:rPr>
          <w:color w:val="000000"/>
          <w:szCs w:val="22"/>
          <w:lang w:val="sr-Latn-ME"/>
        </w:rPr>
        <w:t>C</w:t>
      </w:r>
      <w:r w:rsidRPr="003E0A1F">
        <w:rPr>
          <w:color w:val="000000"/>
          <w:szCs w:val="22"/>
          <w:vertAlign w:val="subscript"/>
          <w:lang w:val="sr-Latn-ME"/>
        </w:rPr>
        <w:t>max</w:t>
      </w:r>
      <w:proofErr w:type="spellEnd"/>
      <w:r w:rsidRPr="003E0A1F">
        <w:rPr>
          <w:color w:val="000000"/>
          <w:szCs w:val="22"/>
          <w:lang w:val="sr-Latn-ME"/>
        </w:rPr>
        <w:t xml:space="preserve"> kod starijih osoba u poređenju sa mlađim ispitanicima nije klinički značajan.</w:t>
      </w:r>
    </w:p>
    <w:p w14:paraId="6FD39F87" w14:textId="77777777" w:rsidR="0040341B" w:rsidRPr="003E0A1F" w:rsidRDefault="0040341B" w:rsidP="00054FCE">
      <w:pPr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 w:eastAsia="hr-HR"/>
        </w:rPr>
      </w:pPr>
    </w:p>
    <w:p w14:paraId="249BDE54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i/>
          <w:szCs w:val="22"/>
          <w:lang w:val="sr-Latn-ME" w:eastAsia="hr-HR"/>
        </w:rPr>
      </w:pPr>
      <w:r w:rsidRPr="003E0A1F">
        <w:rPr>
          <w:i/>
          <w:szCs w:val="22"/>
          <w:lang w:val="sr-Latn-ME"/>
        </w:rPr>
        <w:t>Pedijatrijska populacija</w:t>
      </w:r>
    </w:p>
    <w:p w14:paraId="0AACFFBB" w14:textId="77777777" w:rsidR="0040341B" w:rsidRPr="003E0A1F" w:rsidRDefault="00B87F20" w:rsidP="00054FCE">
      <w:p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Poslije jednokratne oralne primjene </w:t>
      </w:r>
      <w:proofErr w:type="spellStart"/>
      <w:r w:rsidRPr="003E0A1F">
        <w:rPr>
          <w:szCs w:val="22"/>
          <w:lang w:val="sr-Latn-ME"/>
        </w:rPr>
        <w:t>pantoprazola</w:t>
      </w:r>
      <w:proofErr w:type="spellEnd"/>
      <w:r w:rsidRPr="003E0A1F">
        <w:rPr>
          <w:szCs w:val="22"/>
          <w:lang w:val="sr-Latn-ME"/>
        </w:rPr>
        <w:t xml:space="preserve"> u dozi od 20 ili 40 mg kod djece u uzrastu od 5 do 16 godina, vrijednosti PIK i </w:t>
      </w:r>
      <w:proofErr w:type="spellStart"/>
      <w:r w:rsidRPr="003E0A1F">
        <w:rPr>
          <w:szCs w:val="22"/>
          <w:lang w:val="sr-Latn-ME"/>
        </w:rPr>
        <w:t>C</w:t>
      </w:r>
      <w:r w:rsidRPr="003E0A1F">
        <w:rPr>
          <w:szCs w:val="22"/>
          <w:vertAlign w:val="subscript"/>
          <w:lang w:val="sr-Latn-ME"/>
        </w:rPr>
        <w:t>max</w:t>
      </w:r>
      <w:proofErr w:type="spellEnd"/>
      <w:r w:rsidRPr="003E0A1F">
        <w:rPr>
          <w:szCs w:val="22"/>
          <w:lang w:val="sr-Latn-ME"/>
        </w:rPr>
        <w:t xml:space="preserve"> su bile u rasponu koji odgovaraju vrijednostima kod odraslih. Poslije jednokratne </w:t>
      </w:r>
      <w:proofErr w:type="spellStart"/>
      <w:r w:rsidRPr="003E0A1F">
        <w:rPr>
          <w:szCs w:val="22"/>
          <w:lang w:val="sr-Latn-ME"/>
        </w:rPr>
        <w:t>intravenske</w:t>
      </w:r>
      <w:proofErr w:type="spellEnd"/>
      <w:r w:rsidRPr="003E0A1F">
        <w:rPr>
          <w:szCs w:val="22"/>
          <w:lang w:val="sr-Latn-ME"/>
        </w:rPr>
        <w:t xml:space="preserve"> primjene </w:t>
      </w:r>
      <w:proofErr w:type="spellStart"/>
      <w:r w:rsidRPr="003E0A1F">
        <w:rPr>
          <w:szCs w:val="22"/>
          <w:lang w:val="sr-Latn-ME"/>
        </w:rPr>
        <w:t>pantoprazola</w:t>
      </w:r>
      <w:proofErr w:type="spellEnd"/>
      <w:r w:rsidRPr="003E0A1F">
        <w:rPr>
          <w:szCs w:val="22"/>
          <w:lang w:val="sr-Latn-ME"/>
        </w:rPr>
        <w:t xml:space="preserve"> u dozi od 0,8 ili 1,6 mg/kg, kod djece u uzrastu od 2 do </w:t>
      </w:r>
      <w:r w:rsidRPr="003E0A1F">
        <w:rPr>
          <w:szCs w:val="22"/>
          <w:lang w:val="sr-Latn-ME"/>
        </w:rPr>
        <w:lastRenderedPageBreak/>
        <w:t xml:space="preserve">16 godina nije uočena značajna povezanost </w:t>
      </w:r>
      <w:proofErr w:type="spellStart"/>
      <w:r w:rsidRPr="003E0A1F">
        <w:rPr>
          <w:szCs w:val="22"/>
          <w:lang w:val="sr-Latn-ME"/>
        </w:rPr>
        <w:t>klirensa</w:t>
      </w:r>
      <w:proofErr w:type="spellEnd"/>
      <w:r w:rsidRPr="003E0A1F">
        <w:rPr>
          <w:szCs w:val="22"/>
          <w:lang w:val="sr-Latn-ME"/>
        </w:rPr>
        <w:t xml:space="preserve"> </w:t>
      </w:r>
      <w:proofErr w:type="spellStart"/>
      <w:r w:rsidRPr="003E0A1F">
        <w:rPr>
          <w:szCs w:val="22"/>
          <w:lang w:val="sr-Latn-ME"/>
        </w:rPr>
        <w:t>pantoprazola</w:t>
      </w:r>
      <w:proofErr w:type="spellEnd"/>
      <w:r w:rsidRPr="003E0A1F">
        <w:rPr>
          <w:szCs w:val="22"/>
          <w:lang w:val="sr-Latn-ME"/>
        </w:rPr>
        <w:t xml:space="preserve"> sa uzrastom ili tjelesnom težinom. Vrijednosti PIK i volumena distribucije su bili u skladu sa vrijednostima kod odraslih.</w:t>
      </w:r>
    </w:p>
    <w:p w14:paraId="29DB59CA" w14:textId="77777777" w:rsidR="0040341B" w:rsidRPr="003E0A1F" w:rsidRDefault="0040341B" w:rsidP="00054FCE">
      <w:pPr>
        <w:widowControl w:val="0"/>
        <w:spacing w:line="240" w:lineRule="auto"/>
        <w:jc w:val="both"/>
        <w:rPr>
          <w:szCs w:val="22"/>
          <w:lang w:val="sr-Latn-ME"/>
        </w:rPr>
      </w:pPr>
    </w:p>
    <w:p w14:paraId="5F105E57" w14:textId="77777777" w:rsidR="0040341B" w:rsidRPr="003E0A1F" w:rsidRDefault="00B87F20" w:rsidP="00054FCE">
      <w:pPr>
        <w:widowControl w:val="0"/>
        <w:spacing w:line="240" w:lineRule="auto"/>
        <w:ind w:left="567" w:hanging="567"/>
        <w:jc w:val="both"/>
        <w:outlineLvl w:val="0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5.3</w:t>
      </w:r>
      <w:r w:rsidRPr="003E0A1F">
        <w:rPr>
          <w:b/>
          <w:szCs w:val="22"/>
          <w:lang w:val="sr-Latn-ME"/>
        </w:rPr>
        <w:tab/>
      </w:r>
      <w:proofErr w:type="spellStart"/>
      <w:r w:rsidRPr="003E0A1F">
        <w:rPr>
          <w:b/>
          <w:bCs/>
          <w:szCs w:val="22"/>
          <w:lang w:val="sr-Latn-ME"/>
        </w:rPr>
        <w:t>Pretklinički</w:t>
      </w:r>
      <w:proofErr w:type="spellEnd"/>
      <w:r w:rsidRPr="003E0A1F">
        <w:rPr>
          <w:b/>
          <w:bCs/>
          <w:szCs w:val="22"/>
          <w:lang w:val="sr-Latn-ME"/>
        </w:rPr>
        <w:t xml:space="preserve"> podaci o bezbjednosti</w:t>
      </w:r>
    </w:p>
    <w:p w14:paraId="12002625" w14:textId="77777777" w:rsidR="0040341B" w:rsidRPr="003E0A1F" w:rsidRDefault="00B87F20" w:rsidP="00054FCE">
      <w:pPr>
        <w:widowControl w:val="0"/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 </w:t>
      </w:r>
    </w:p>
    <w:p w14:paraId="2AC41A8E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/>
        </w:rPr>
        <w:t>Pretklinički</w:t>
      </w:r>
      <w:proofErr w:type="spellEnd"/>
      <w:r w:rsidRPr="003E0A1F">
        <w:rPr>
          <w:color w:val="000000"/>
          <w:szCs w:val="22"/>
          <w:lang w:val="sr-Latn-ME"/>
        </w:rPr>
        <w:t xml:space="preserve"> podaci dobijeni na osnovu konvencionalnih farmakoloških ispitivanja bezbjednosti, toksičnosti ponavljanih doza i </w:t>
      </w:r>
      <w:proofErr w:type="spellStart"/>
      <w:r w:rsidRPr="003E0A1F">
        <w:rPr>
          <w:color w:val="000000"/>
          <w:szCs w:val="22"/>
          <w:lang w:val="sr-Latn-ME"/>
        </w:rPr>
        <w:t>genotoksičnosti</w:t>
      </w:r>
      <w:proofErr w:type="spellEnd"/>
      <w:r w:rsidRPr="003E0A1F">
        <w:rPr>
          <w:color w:val="000000"/>
          <w:szCs w:val="22"/>
          <w:lang w:val="sr-Latn-ME"/>
        </w:rPr>
        <w:t xml:space="preserve"> ne ukazuju na posebne opasnosti pri primjeni lijeka kod </w:t>
      </w:r>
      <w:proofErr w:type="spellStart"/>
      <w:r w:rsidRPr="003E0A1F">
        <w:rPr>
          <w:color w:val="000000"/>
          <w:szCs w:val="22"/>
          <w:lang w:val="sr-Latn-ME"/>
        </w:rPr>
        <w:t>ljudi</w:t>
      </w:r>
      <w:proofErr w:type="spellEnd"/>
      <w:r w:rsidRPr="003E0A1F">
        <w:rPr>
          <w:color w:val="000000"/>
          <w:szCs w:val="22"/>
          <w:lang w:val="sr-Latn-ME"/>
        </w:rPr>
        <w:t>.</w:t>
      </w:r>
    </w:p>
    <w:p w14:paraId="403B8D82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47B0787C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U dvogodišnjoj studiji </w:t>
      </w:r>
      <w:proofErr w:type="spellStart"/>
      <w:r w:rsidRPr="003E0A1F">
        <w:rPr>
          <w:color w:val="000000"/>
          <w:szCs w:val="22"/>
          <w:lang w:val="sr-Latn-ME"/>
        </w:rPr>
        <w:t>karcinogenosti</w:t>
      </w:r>
      <w:proofErr w:type="spellEnd"/>
      <w:r w:rsidRPr="003E0A1F">
        <w:rPr>
          <w:color w:val="000000"/>
          <w:szCs w:val="22"/>
          <w:lang w:val="sr-Latn-ME"/>
        </w:rPr>
        <w:t xml:space="preserve"> kod pacova, pronađena je </w:t>
      </w:r>
      <w:proofErr w:type="spellStart"/>
      <w:r w:rsidRPr="003E0A1F">
        <w:rPr>
          <w:color w:val="000000"/>
          <w:szCs w:val="22"/>
          <w:lang w:val="sr-Latn-ME"/>
        </w:rPr>
        <w:t>neuroendokrina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neoplazma</w:t>
      </w:r>
      <w:proofErr w:type="spellEnd"/>
      <w:r w:rsidRPr="003E0A1F">
        <w:rPr>
          <w:color w:val="000000"/>
          <w:szCs w:val="22"/>
          <w:lang w:val="sr-Latn-ME"/>
        </w:rPr>
        <w:t xml:space="preserve">. Pored toga, u </w:t>
      </w:r>
      <w:proofErr w:type="spellStart"/>
      <w:r w:rsidRPr="003E0A1F">
        <w:rPr>
          <w:color w:val="000000"/>
          <w:szCs w:val="22"/>
          <w:lang w:val="sr-Latn-ME"/>
        </w:rPr>
        <w:t>predželucu</w:t>
      </w:r>
      <w:proofErr w:type="spellEnd"/>
      <w:r w:rsidRPr="003E0A1F">
        <w:rPr>
          <w:color w:val="000000"/>
          <w:szCs w:val="22"/>
          <w:lang w:val="sr-Latn-ME"/>
        </w:rPr>
        <w:t xml:space="preserve"> pacova utvrđen je </w:t>
      </w:r>
      <w:proofErr w:type="spellStart"/>
      <w:r w:rsidRPr="003E0A1F">
        <w:rPr>
          <w:color w:val="000000"/>
          <w:szCs w:val="22"/>
          <w:lang w:val="sr-Latn-ME"/>
        </w:rPr>
        <w:t>skvamocelularni</w:t>
      </w:r>
      <w:proofErr w:type="spellEnd"/>
      <w:r w:rsidRPr="003E0A1F">
        <w:rPr>
          <w:color w:val="000000"/>
          <w:szCs w:val="22"/>
          <w:lang w:val="sr-Latn-ME"/>
        </w:rPr>
        <w:t xml:space="preserve"> papilom. Pažljivo je ispitan mehanizam kojim supstituisani </w:t>
      </w:r>
      <w:proofErr w:type="spellStart"/>
      <w:r w:rsidRPr="003E0A1F">
        <w:rPr>
          <w:color w:val="000000"/>
          <w:szCs w:val="22"/>
          <w:lang w:val="sr-Latn-ME"/>
        </w:rPr>
        <w:t>benzimidazoli</w:t>
      </w:r>
      <w:proofErr w:type="spellEnd"/>
      <w:r w:rsidRPr="003E0A1F">
        <w:rPr>
          <w:color w:val="000000"/>
          <w:szCs w:val="22"/>
          <w:lang w:val="sr-Latn-ME"/>
        </w:rPr>
        <w:t xml:space="preserve"> dovode do stvaranja </w:t>
      </w:r>
      <w:proofErr w:type="spellStart"/>
      <w:r w:rsidRPr="003E0A1F">
        <w:rPr>
          <w:color w:val="000000"/>
          <w:szCs w:val="22"/>
          <w:lang w:val="sr-Latn-ME"/>
        </w:rPr>
        <w:t>gastričnih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karcinoida</w:t>
      </w:r>
      <w:proofErr w:type="spellEnd"/>
      <w:r w:rsidRPr="003E0A1F">
        <w:rPr>
          <w:color w:val="000000"/>
          <w:szCs w:val="22"/>
          <w:lang w:val="sr-Latn-ME"/>
        </w:rPr>
        <w:t xml:space="preserve">, i zaključeno je da je to sekundarna reakcija na izraženi porast serumskog </w:t>
      </w:r>
      <w:proofErr w:type="spellStart"/>
      <w:r w:rsidRPr="003E0A1F">
        <w:rPr>
          <w:color w:val="000000"/>
          <w:szCs w:val="22"/>
          <w:lang w:val="sr-Latn-ME"/>
        </w:rPr>
        <w:t>gastrina</w:t>
      </w:r>
      <w:proofErr w:type="spellEnd"/>
      <w:r w:rsidRPr="003E0A1F">
        <w:rPr>
          <w:color w:val="000000"/>
          <w:szCs w:val="22"/>
          <w:lang w:val="sr-Latn-ME"/>
        </w:rPr>
        <w:t xml:space="preserve"> koji se javlja kod pacova tokom hronične terapije. U dvogodišnjoj studiji, kod pacova i ženki miševa je uočen porast broja tumora jetre, što se objašnjava visokim stepenom metabolizma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u jetri.</w:t>
      </w:r>
    </w:p>
    <w:p w14:paraId="580B1918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3CCE84B6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U grupi pacova koja je primala visoke doze (200 mg/kg) uočen je blagi porast </w:t>
      </w:r>
      <w:proofErr w:type="spellStart"/>
      <w:r w:rsidRPr="003E0A1F">
        <w:rPr>
          <w:color w:val="000000"/>
          <w:szCs w:val="22"/>
          <w:lang w:val="sr-Latn-ME"/>
        </w:rPr>
        <w:t>neoplastičnih</w:t>
      </w:r>
      <w:proofErr w:type="spellEnd"/>
      <w:r w:rsidRPr="003E0A1F">
        <w:rPr>
          <w:color w:val="000000"/>
          <w:szCs w:val="22"/>
          <w:lang w:val="sr-Latn-ME"/>
        </w:rPr>
        <w:t xml:space="preserve"> promjena </w:t>
      </w:r>
      <w:proofErr w:type="spellStart"/>
      <w:r w:rsidRPr="003E0A1F">
        <w:rPr>
          <w:color w:val="000000"/>
          <w:szCs w:val="22"/>
          <w:lang w:val="sr-Latn-ME"/>
        </w:rPr>
        <w:t>tireoidne</w:t>
      </w:r>
      <w:proofErr w:type="spellEnd"/>
      <w:r w:rsidRPr="003E0A1F">
        <w:rPr>
          <w:color w:val="000000"/>
          <w:szCs w:val="22"/>
          <w:lang w:val="sr-Latn-ME"/>
        </w:rPr>
        <w:t xml:space="preserve"> žlijezde. Pojava ovih </w:t>
      </w:r>
      <w:proofErr w:type="spellStart"/>
      <w:r w:rsidRPr="003E0A1F">
        <w:rPr>
          <w:color w:val="000000"/>
          <w:szCs w:val="22"/>
          <w:lang w:val="sr-Latn-ME"/>
        </w:rPr>
        <w:t>neoplazmi</w:t>
      </w:r>
      <w:proofErr w:type="spellEnd"/>
      <w:r w:rsidRPr="003E0A1F">
        <w:rPr>
          <w:color w:val="000000"/>
          <w:szCs w:val="22"/>
          <w:lang w:val="sr-Latn-ME"/>
        </w:rPr>
        <w:t xml:space="preserve"> udružena je sa </w:t>
      </w:r>
      <w:proofErr w:type="spellStart"/>
      <w:r w:rsidRPr="003E0A1F">
        <w:rPr>
          <w:color w:val="000000"/>
          <w:szCs w:val="22"/>
          <w:lang w:val="sr-Latn-ME"/>
        </w:rPr>
        <w:t>pantoprazol</w:t>
      </w:r>
      <w:proofErr w:type="spellEnd"/>
      <w:r w:rsidRPr="003E0A1F">
        <w:rPr>
          <w:color w:val="000000"/>
          <w:szCs w:val="22"/>
          <w:lang w:val="sr-Latn-ME"/>
        </w:rPr>
        <w:t xml:space="preserve">-indukovanim promjenama u razgradnji </w:t>
      </w:r>
      <w:proofErr w:type="spellStart"/>
      <w:r w:rsidRPr="003E0A1F">
        <w:rPr>
          <w:color w:val="000000"/>
          <w:szCs w:val="22"/>
          <w:lang w:val="sr-Latn-ME"/>
        </w:rPr>
        <w:t>tiroksina</w:t>
      </w:r>
      <w:proofErr w:type="spellEnd"/>
      <w:r w:rsidRPr="003E0A1F">
        <w:rPr>
          <w:color w:val="000000"/>
          <w:szCs w:val="22"/>
          <w:lang w:val="sr-Latn-ME"/>
        </w:rPr>
        <w:t xml:space="preserve"> u jetri pacova. S obzirom da je terapijska doza za </w:t>
      </w:r>
      <w:proofErr w:type="spellStart"/>
      <w:r w:rsidRPr="003E0A1F">
        <w:rPr>
          <w:color w:val="000000"/>
          <w:szCs w:val="22"/>
          <w:lang w:val="sr-Latn-ME"/>
        </w:rPr>
        <w:t>ljude</w:t>
      </w:r>
      <w:proofErr w:type="spellEnd"/>
      <w:r w:rsidRPr="003E0A1F">
        <w:rPr>
          <w:color w:val="000000"/>
          <w:szCs w:val="22"/>
          <w:lang w:val="sr-Latn-ME"/>
        </w:rPr>
        <w:t xml:space="preserve"> niska, ne očekuju se neželjena dejstva na </w:t>
      </w:r>
      <w:proofErr w:type="spellStart"/>
      <w:r w:rsidRPr="003E0A1F">
        <w:rPr>
          <w:color w:val="000000"/>
          <w:szCs w:val="22"/>
          <w:lang w:val="sr-Latn-ME"/>
        </w:rPr>
        <w:t>tireoidnoj</w:t>
      </w:r>
      <w:proofErr w:type="spellEnd"/>
      <w:r w:rsidRPr="003E0A1F">
        <w:rPr>
          <w:color w:val="000000"/>
          <w:szCs w:val="22"/>
          <w:lang w:val="sr-Latn-ME"/>
        </w:rPr>
        <w:t xml:space="preserve"> žlijezdi.</w:t>
      </w:r>
    </w:p>
    <w:p w14:paraId="59C60F89" w14:textId="77777777" w:rsidR="0040341B" w:rsidRPr="003E0A1F" w:rsidRDefault="0040341B" w:rsidP="00054FCE"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1E4ED74F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>U peri-</w:t>
      </w:r>
      <w:proofErr w:type="spellStart"/>
      <w:r w:rsidRPr="003E0A1F">
        <w:rPr>
          <w:color w:val="000000"/>
          <w:szCs w:val="22"/>
          <w:lang w:val="sr-Latn-ME"/>
        </w:rPr>
        <w:t>postnatalnoj</w:t>
      </w:r>
      <w:proofErr w:type="spellEnd"/>
      <w:r w:rsidRPr="003E0A1F">
        <w:rPr>
          <w:color w:val="000000"/>
          <w:szCs w:val="22"/>
          <w:lang w:val="sr-Latn-ME"/>
        </w:rPr>
        <w:t xml:space="preserve"> studiji reproduktivne toksičnosti kod pacova, koja je dizajnirana za procjenu razvoja kostiju, znakovi toksičnosti kod potomstva (smrtnost, snižena srednja vrijednost tjelesne mase, snižena srednja vrijednost rasta tjelesne mase i redukovan rast kostiju) zabilježeni su pri izloženostima (</w:t>
      </w:r>
      <w:proofErr w:type="spellStart"/>
      <w:r w:rsidRPr="003E0A1F">
        <w:rPr>
          <w:color w:val="000000"/>
          <w:szCs w:val="22"/>
          <w:lang w:val="sr-Latn-ME"/>
        </w:rPr>
        <w:t>C</w:t>
      </w:r>
      <w:r w:rsidRPr="003E0A1F">
        <w:rPr>
          <w:color w:val="000000"/>
          <w:szCs w:val="22"/>
          <w:vertAlign w:val="subscript"/>
          <w:lang w:val="sr-Latn-ME"/>
        </w:rPr>
        <w:t>max</w:t>
      </w:r>
      <w:proofErr w:type="spellEnd"/>
      <w:r w:rsidRPr="003E0A1F">
        <w:rPr>
          <w:color w:val="000000"/>
          <w:szCs w:val="22"/>
          <w:lang w:val="sr-Latn-ME"/>
        </w:rPr>
        <w:t xml:space="preserve">) približno 2x većim od kliničke izloženosti kod </w:t>
      </w:r>
      <w:proofErr w:type="spellStart"/>
      <w:r w:rsidRPr="003E0A1F">
        <w:rPr>
          <w:color w:val="000000"/>
          <w:szCs w:val="22"/>
          <w:lang w:val="sr-Latn-ME"/>
        </w:rPr>
        <w:t>ljudi</w:t>
      </w:r>
      <w:proofErr w:type="spellEnd"/>
      <w:r w:rsidRPr="003E0A1F">
        <w:rPr>
          <w:color w:val="000000"/>
          <w:szCs w:val="22"/>
          <w:lang w:val="sr-Latn-ME"/>
        </w:rPr>
        <w:t xml:space="preserve">. Do kraja faze oporavka, koštani parametri bili su slični u svim ispitivanim grupama, a tjelesna masa je pokazivala trend ka </w:t>
      </w:r>
      <w:proofErr w:type="spellStart"/>
      <w:r w:rsidRPr="003E0A1F">
        <w:rPr>
          <w:color w:val="000000"/>
          <w:szCs w:val="22"/>
          <w:lang w:val="sr-Latn-ME"/>
        </w:rPr>
        <w:t>reverzibilnosti</w:t>
      </w:r>
      <w:proofErr w:type="spellEnd"/>
      <w:r w:rsidRPr="003E0A1F">
        <w:rPr>
          <w:color w:val="000000"/>
          <w:szCs w:val="22"/>
          <w:lang w:val="sr-Latn-ME"/>
        </w:rPr>
        <w:t xml:space="preserve"> nakon perioda bez uzimanja lijeka. Povećana smrtnost zabilježena je samo kod mladunčadi pacova u razdoblju prije prestanka </w:t>
      </w:r>
      <w:proofErr w:type="spellStart"/>
      <w:r w:rsidRPr="003E0A1F">
        <w:rPr>
          <w:color w:val="000000"/>
          <w:szCs w:val="22"/>
          <w:lang w:val="sr-Latn-ME"/>
        </w:rPr>
        <w:t>sisanja</w:t>
      </w:r>
      <w:proofErr w:type="spellEnd"/>
      <w:r w:rsidRPr="003E0A1F">
        <w:rPr>
          <w:color w:val="000000"/>
          <w:szCs w:val="22"/>
          <w:lang w:val="sr-Latn-ME"/>
        </w:rPr>
        <w:t xml:space="preserve"> (do 21 dan starosti), za koji je procijenjeno da odgovara životnom razdoblju djece uzrasta do 2 godine. Značaj ovog opažanja za kliničku primjenu u trudnoći, tokom dojenja i u pedijatrijskoj populaciji nije jasan. Prethodna peri – </w:t>
      </w:r>
      <w:proofErr w:type="spellStart"/>
      <w:r w:rsidRPr="003E0A1F">
        <w:rPr>
          <w:color w:val="000000"/>
          <w:szCs w:val="22"/>
          <w:lang w:val="sr-Latn-ME"/>
        </w:rPr>
        <w:t>postnatalna</w:t>
      </w:r>
      <w:proofErr w:type="spellEnd"/>
      <w:r w:rsidRPr="003E0A1F">
        <w:rPr>
          <w:color w:val="000000"/>
          <w:szCs w:val="22"/>
          <w:lang w:val="sr-Latn-ME"/>
        </w:rPr>
        <w:t xml:space="preserve"> studija na pacovima uz blago smanjenu dozu od 3 mg/kg nije pokazala neželjene efekte u poređenju sa niskom dozom od 5 mg/kg u ovoj studiji.</w:t>
      </w:r>
    </w:p>
    <w:p w14:paraId="51A6B1B0" w14:textId="77777777" w:rsidR="0040341B" w:rsidRPr="003E0A1F" w:rsidRDefault="0040341B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/>
        </w:rPr>
      </w:pPr>
    </w:p>
    <w:p w14:paraId="02FB8B6D" w14:textId="77777777" w:rsidR="0040341B" w:rsidRPr="003E0A1F" w:rsidRDefault="00B87F20" w:rsidP="00054FC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Istraživanjima nijesu otkriveni dokazi o oštećenju fertiliteta ili </w:t>
      </w:r>
      <w:proofErr w:type="spellStart"/>
      <w:r w:rsidRPr="003E0A1F">
        <w:rPr>
          <w:color w:val="000000"/>
          <w:szCs w:val="22"/>
          <w:lang w:val="sr-Latn-ME"/>
        </w:rPr>
        <w:t>teratogenim</w:t>
      </w:r>
      <w:proofErr w:type="spellEnd"/>
      <w:r w:rsidRPr="003E0A1F">
        <w:rPr>
          <w:color w:val="000000"/>
          <w:szCs w:val="22"/>
          <w:lang w:val="sr-Latn-ME"/>
        </w:rPr>
        <w:t xml:space="preserve"> efektima.</w:t>
      </w:r>
    </w:p>
    <w:p w14:paraId="072089F3" w14:textId="77777777" w:rsidR="0040341B" w:rsidRPr="003E0A1F" w:rsidRDefault="00B87F20" w:rsidP="00054FCE">
      <w:pPr>
        <w:widowControl w:val="0"/>
        <w:spacing w:line="240" w:lineRule="auto"/>
        <w:rPr>
          <w:szCs w:val="22"/>
          <w:lang w:val="sr-Latn-ME"/>
        </w:rPr>
      </w:pPr>
      <w:r w:rsidRPr="003E0A1F">
        <w:rPr>
          <w:color w:val="000000"/>
          <w:szCs w:val="22"/>
          <w:lang w:val="sr-Latn-ME"/>
        </w:rPr>
        <w:t xml:space="preserve">Prolazak kroz placentu je istraživan kod pacova, pri čemu je utvrđen porast u </w:t>
      </w:r>
      <w:proofErr w:type="spellStart"/>
      <w:r w:rsidRPr="003E0A1F">
        <w:rPr>
          <w:color w:val="000000"/>
          <w:szCs w:val="22"/>
          <w:lang w:val="sr-Latn-ME"/>
        </w:rPr>
        <w:t>uznapredovaloj</w:t>
      </w:r>
      <w:proofErr w:type="spellEnd"/>
      <w:r w:rsidRPr="003E0A1F">
        <w:rPr>
          <w:color w:val="000000"/>
          <w:szCs w:val="22"/>
          <w:lang w:val="sr-Latn-ME"/>
        </w:rPr>
        <w:t xml:space="preserve"> </w:t>
      </w:r>
      <w:proofErr w:type="spellStart"/>
      <w:r w:rsidRPr="003E0A1F">
        <w:rPr>
          <w:color w:val="000000"/>
          <w:szCs w:val="22"/>
          <w:lang w:val="sr-Latn-ME"/>
        </w:rPr>
        <w:t>gestaciji</w:t>
      </w:r>
      <w:proofErr w:type="spellEnd"/>
      <w:r w:rsidRPr="003E0A1F">
        <w:rPr>
          <w:color w:val="000000"/>
          <w:szCs w:val="22"/>
          <w:lang w:val="sr-Latn-ME"/>
        </w:rPr>
        <w:t xml:space="preserve">. Posljedica je povećanje koncentracije </w:t>
      </w:r>
      <w:proofErr w:type="spellStart"/>
      <w:r w:rsidRPr="003E0A1F">
        <w:rPr>
          <w:color w:val="000000"/>
          <w:szCs w:val="22"/>
          <w:lang w:val="sr-Latn-ME"/>
        </w:rPr>
        <w:t>pantoprazola</w:t>
      </w:r>
      <w:proofErr w:type="spellEnd"/>
      <w:r w:rsidRPr="003E0A1F">
        <w:rPr>
          <w:color w:val="000000"/>
          <w:szCs w:val="22"/>
          <w:lang w:val="sr-Latn-ME"/>
        </w:rPr>
        <w:t xml:space="preserve"> kod fetusa neposredno prije rođenja.</w:t>
      </w:r>
    </w:p>
    <w:p w14:paraId="0658EF59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1CE2D90E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45ADAD5A" w14:textId="77777777" w:rsidR="0040341B" w:rsidRPr="003E0A1F" w:rsidRDefault="00B87F20" w:rsidP="00054FCE">
      <w:pPr>
        <w:widowControl w:val="0"/>
        <w:spacing w:line="240" w:lineRule="auto"/>
        <w:ind w:left="567" w:hanging="567"/>
        <w:rPr>
          <w:b/>
          <w:szCs w:val="22"/>
          <w:lang w:val="sr-Latn-ME"/>
        </w:rPr>
      </w:pPr>
      <w:r w:rsidRPr="003E0A1F">
        <w:rPr>
          <w:b/>
          <w:szCs w:val="22"/>
          <w:lang w:val="sr-Latn-ME"/>
        </w:rPr>
        <w:t>6.</w:t>
      </w:r>
      <w:r w:rsidRPr="003E0A1F">
        <w:rPr>
          <w:b/>
          <w:szCs w:val="22"/>
          <w:lang w:val="sr-Latn-ME"/>
        </w:rPr>
        <w:tab/>
        <w:t>FARMACEUTSKI PODACI</w:t>
      </w:r>
    </w:p>
    <w:p w14:paraId="32E042A4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60696B76" w14:textId="77777777" w:rsidR="0040341B" w:rsidRPr="003E0A1F" w:rsidRDefault="00B87F20" w:rsidP="00054FC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6.1</w:t>
      </w:r>
      <w:r w:rsidRPr="003E0A1F">
        <w:rPr>
          <w:b/>
          <w:szCs w:val="22"/>
          <w:lang w:val="sr-Latn-ME"/>
        </w:rPr>
        <w:tab/>
      </w:r>
      <w:r w:rsidRPr="003E0A1F">
        <w:rPr>
          <w:b/>
          <w:bCs/>
          <w:szCs w:val="22"/>
          <w:lang w:val="sr-Latn-ME"/>
        </w:rPr>
        <w:t>Lista pomoćnih supstanci (</w:t>
      </w:r>
      <w:proofErr w:type="spellStart"/>
      <w:r w:rsidRPr="003E0A1F">
        <w:rPr>
          <w:b/>
          <w:bCs/>
          <w:szCs w:val="22"/>
          <w:lang w:val="sr-Latn-ME"/>
        </w:rPr>
        <w:t>ekscipijenasa</w:t>
      </w:r>
      <w:proofErr w:type="spellEnd"/>
      <w:r w:rsidRPr="003E0A1F">
        <w:rPr>
          <w:b/>
          <w:bCs/>
          <w:szCs w:val="22"/>
          <w:lang w:val="sr-Latn-ME"/>
        </w:rPr>
        <w:t>)</w:t>
      </w:r>
    </w:p>
    <w:p w14:paraId="474C7E8F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5CA014FB" w14:textId="4906C6A3" w:rsidR="0040341B" w:rsidRPr="003E0A1F" w:rsidRDefault="00B87F20" w:rsidP="00054FCE">
      <w:pPr>
        <w:spacing w:line="240" w:lineRule="auto"/>
        <w:jc w:val="both"/>
        <w:rPr>
          <w:szCs w:val="22"/>
          <w:u w:val="single"/>
          <w:lang w:val="sr-Latn-ME" w:eastAsia="hr-HR"/>
        </w:rPr>
      </w:pPr>
      <w:r w:rsidRPr="003E0A1F">
        <w:rPr>
          <w:szCs w:val="22"/>
          <w:u w:val="single"/>
          <w:lang w:val="sr-Latn-ME" w:eastAsia="hr-HR"/>
        </w:rPr>
        <w:t>Jezgr</w:t>
      </w:r>
      <w:r w:rsidR="003D0663" w:rsidRPr="003E0A1F">
        <w:rPr>
          <w:szCs w:val="22"/>
          <w:u w:val="single"/>
          <w:lang w:val="sr-Latn-ME" w:eastAsia="hr-HR"/>
        </w:rPr>
        <w:t>o</w:t>
      </w:r>
      <w:r w:rsidRPr="003E0A1F">
        <w:rPr>
          <w:szCs w:val="22"/>
          <w:u w:val="single"/>
          <w:lang w:val="sr-Latn-ME" w:eastAsia="hr-HR"/>
        </w:rPr>
        <w:t xml:space="preserve"> tablete:</w:t>
      </w:r>
    </w:p>
    <w:p w14:paraId="0451C3A5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 w:eastAsia="hr-HR"/>
        </w:rPr>
        <w:t>Manitol</w:t>
      </w:r>
      <w:proofErr w:type="spellEnd"/>
      <w:r w:rsidRPr="003E0A1F">
        <w:rPr>
          <w:color w:val="000000"/>
          <w:szCs w:val="22"/>
          <w:lang w:val="sr-Latn-ME" w:eastAsia="hr-HR"/>
        </w:rPr>
        <w:t xml:space="preserve"> (E421)</w:t>
      </w:r>
    </w:p>
    <w:p w14:paraId="4FCB37FA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 w:eastAsia="hr-HR"/>
        </w:rPr>
      </w:pPr>
      <w:proofErr w:type="spellStart"/>
      <w:r w:rsidRPr="003E0A1F">
        <w:rPr>
          <w:color w:val="000000"/>
          <w:szCs w:val="22"/>
          <w:lang w:val="sr-Latn-ME" w:eastAsia="hr-HR"/>
        </w:rPr>
        <w:t>Krospovidon</w:t>
      </w:r>
      <w:proofErr w:type="spellEnd"/>
      <w:r w:rsidRPr="003E0A1F">
        <w:rPr>
          <w:color w:val="000000"/>
          <w:szCs w:val="22"/>
          <w:lang w:val="sr-Latn-ME" w:eastAsia="hr-HR"/>
        </w:rPr>
        <w:t xml:space="preserve"> (tip A)</w:t>
      </w:r>
    </w:p>
    <w:p w14:paraId="422F6403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 w:eastAsia="hr-HR"/>
        </w:rPr>
        <w:t>Krospovidon</w:t>
      </w:r>
      <w:proofErr w:type="spellEnd"/>
      <w:r w:rsidRPr="003E0A1F">
        <w:rPr>
          <w:color w:val="000000"/>
          <w:szCs w:val="22"/>
          <w:lang w:val="sr-Latn-ME" w:eastAsia="hr-HR"/>
        </w:rPr>
        <w:t xml:space="preserve"> (tip B)</w:t>
      </w:r>
    </w:p>
    <w:p w14:paraId="2F1C9A09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 w:eastAsia="hr-HR"/>
        </w:rPr>
        <w:t xml:space="preserve">Natrijum karbonat </w:t>
      </w:r>
    </w:p>
    <w:p w14:paraId="774E2807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 w:eastAsia="hr-HR"/>
        </w:rPr>
        <w:t>Sorbitol</w:t>
      </w:r>
      <w:proofErr w:type="spellEnd"/>
      <w:r w:rsidRPr="003E0A1F">
        <w:rPr>
          <w:color w:val="000000"/>
          <w:szCs w:val="22"/>
          <w:lang w:val="sr-Latn-ME" w:eastAsia="hr-HR"/>
        </w:rPr>
        <w:t xml:space="preserve"> (E420)</w:t>
      </w:r>
    </w:p>
    <w:p w14:paraId="0C628FCE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 w:eastAsia="hr-HR"/>
        </w:rPr>
      </w:pPr>
      <w:r w:rsidRPr="003E0A1F">
        <w:rPr>
          <w:color w:val="000000"/>
          <w:szCs w:val="22"/>
          <w:lang w:val="sr-Latn-ME" w:eastAsia="hr-HR"/>
        </w:rPr>
        <w:t xml:space="preserve">Kalcijum </w:t>
      </w:r>
      <w:proofErr w:type="spellStart"/>
      <w:r w:rsidRPr="003E0A1F">
        <w:rPr>
          <w:color w:val="000000"/>
          <w:szCs w:val="22"/>
          <w:lang w:val="sr-Latn-ME" w:eastAsia="hr-HR"/>
        </w:rPr>
        <w:t>stearat</w:t>
      </w:r>
      <w:proofErr w:type="spellEnd"/>
      <w:r w:rsidRPr="003E0A1F">
        <w:rPr>
          <w:color w:val="000000"/>
          <w:szCs w:val="22"/>
          <w:lang w:val="sr-Latn-ME" w:eastAsia="hr-HR"/>
        </w:rPr>
        <w:t xml:space="preserve"> (E572)</w:t>
      </w:r>
    </w:p>
    <w:p w14:paraId="3C337DAB" w14:textId="77777777" w:rsidR="0040341B" w:rsidRPr="003E0A1F" w:rsidRDefault="0040341B" w:rsidP="00054FCE">
      <w:pPr>
        <w:spacing w:line="240" w:lineRule="auto"/>
        <w:jc w:val="both"/>
        <w:rPr>
          <w:color w:val="000000"/>
          <w:szCs w:val="22"/>
          <w:lang w:val="sr-Latn-ME"/>
        </w:rPr>
      </w:pPr>
    </w:p>
    <w:p w14:paraId="1E68ECEE" w14:textId="23FF39DA" w:rsidR="0040341B" w:rsidRPr="003E0A1F" w:rsidRDefault="00B87F20" w:rsidP="00054FCE">
      <w:pPr>
        <w:spacing w:line="240" w:lineRule="auto"/>
        <w:jc w:val="both"/>
        <w:rPr>
          <w:color w:val="000000"/>
          <w:szCs w:val="22"/>
          <w:u w:val="single"/>
          <w:lang w:val="sr-Latn-ME"/>
        </w:rPr>
      </w:pPr>
      <w:r w:rsidRPr="003E0A1F">
        <w:rPr>
          <w:color w:val="000000"/>
          <w:szCs w:val="22"/>
          <w:u w:val="single"/>
          <w:lang w:val="sr-Latn-ME" w:eastAsia="hr-HR"/>
        </w:rPr>
        <w:t>Film</w:t>
      </w:r>
      <w:r w:rsidR="00050920" w:rsidRPr="003E0A1F">
        <w:rPr>
          <w:color w:val="000000"/>
          <w:szCs w:val="22"/>
          <w:u w:val="single"/>
          <w:lang w:val="sr-Latn-ME" w:eastAsia="hr-HR"/>
        </w:rPr>
        <w:t xml:space="preserve"> </w:t>
      </w:r>
      <w:r w:rsidRPr="003E0A1F">
        <w:rPr>
          <w:color w:val="000000"/>
          <w:szCs w:val="22"/>
          <w:u w:val="single"/>
          <w:lang w:val="sr-Latn-ME" w:eastAsia="hr-HR"/>
        </w:rPr>
        <w:t>omotač:</w:t>
      </w:r>
    </w:p>
    <w:p w14:paraId="3A5617D7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 w:eastAsia="hr-HR"/>
        </w:rPr>
        <w:t>Hipromeloza</w:t>
      </w:r>
      <w:proofErr w:type="spellEnd"/>
      <w:r w:rsidRPr="003E0A1F">
        <w:rPr>
          <w:color w:val="000000"/>
          <w:szCs w:val="22"/>
          <w:lang w:val="sr-Latn-ME" w:eastAsia="hr-HR"/>
        </w:rPr>
        <w:t xml:space="preserve"> (E464)</w:t>
      </w:r>
    </w:p>
    <w:p w14:paraId="13DD617C" w14:textId="706D03DE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 w:eastAsia="hr-HR"/>
        </w:rPr>
        <w:t>Povidon</w:t>
      </w:r>
      <w:proofErr w:type="spellEnd"/>
      <w:r w:rsidRPr="003E0A1F">
        <w:rPr>
          <w:color w:val="000000"/>
          <w:szCs w:val="22"/>
          <w:lang w:val="sr-Latn-ME" w:eastAsia="hr-HR"/>
        </w:rPr>
        <w:t xml:space="preserve"> K25</w:t>
      </w:r>
    </w:p>
    <w:p w14:paraId="2EF18560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 w:eastAsia="hr-HR"/>
        </w:rPr>
        <w:t>Titan dioksid (E171)</w:t>
      </w:r>
    </w:p>
    <w:p w14:paraId="0296779D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 w:eastAsia="hr-HR"/>
        </w:rPr>
        <w:t xml:space="preserve">Gvožđe </w:t>
      </w:r>
      <w:r w:rsidR="00050920" w:rsidRPr="003E0A1F">
        <w:rPr>
          <w:szCs w:val="22"/>
          <w:lang w:val="sr-Latn-ME"/>
        </w:rPr>
        <w:t xml:space="preserve">(III) </w:t>
      </w:r>
      <w:r w:rsidRPr="003E0A1F">
        <w:rPr>
          <w:color w:val="000000"/>
          <w:szCs w:val="22"/>
          <w:lang w:val="sr-Latn-ME" w:eastAsia="hr-HR"/>
        </w:rPr>
        <w:t>oksid</w:t>
      </w:r>
      <w:r w:rsidR="00050920" w:rsidRPr="003E0A1F">
        <w:rPr>
          <w:color w:val="000000"/>
          <w:szCs w:val="22"/>
          <w:lang w:val="sr-Latn-ME" w:eastAsia="hr-HR"/>
        </w:rPr>
        <w:t>,</w:t>
      </w:r>
      <w:r w:rsidRPr="003E0A1F">
        <w:rPr>
          <w:color w:val="000000"/>
          <w:szCs w:val="22"/>
          <w:lang w:val="sr-Latn-ME" w:eastAsia="hr-HR"/>
        </w:rPr>
        <w:t xml:space="preserve"> žuti (E172)</w:t>
      </w:r>
    </w:p>
    <w:p w14:paraId="61777D4D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 w:eastAsia="hr-HR"/>
        </w:rPr>
        <w:t>Propilen</w:t>
      </w:r>
      <w:proofErr w:type="spellEnd"/>
      <w:r w:rsidR="00050920" w:rsidRPr="003E0A1F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3E0A1F">
        <w:rPr>
          <w:color w:val="000000"/>
          <w:szCs w:val="22"/>
          <w:lang w:val="sr-Latn-ME" w:eastAsia="hr-HR"/>
        </w:rPr>
        <w:t>glikol</w:t>
      </w:r>
      <w:proofErr w:type="spellEnd"/>
      <w:r w:rsidRPr="003E0A1F">
        <w:rPr>
          <w:color w:val="000000"/>
          <w:szCs w:val="22"/>
          <w:lang w:val="sr-Latn-ME" w:eastAsia="hr-HR"/>
        </w:rPr>
        <w:t xml:space="preserve"> (E1520)</w:t>
      </w:r>
    </w:p>
    <w:p w14:paraId="400EE6D1" w14:textId="77777777" w:rsidR="00050920" w:rsidRPr="003E0A1F" w:rsidRDefault="00050920" w:rsidP="00050920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3E0A1F">
        <w:rPr>
          <w:szCs w:val="22"/>
          <w:lang w:val="sr-Latn-ME"/>
        </w:rPr>
        <w:t>Metakrilna</w:t>
      </w:r>
      <w:proofErr w:type="spellEnd"/>
      <w:r w:rsidRPr="003E0A1F">
        <w:rPr>
          <w:szCs w:val="22"/>
          <w:lang w:val="sr-Latn-ME"/>
        </w:rPr>
        <w:t xml:space="preserve"> kiselina – etil </w:t>
      </w:r>
      <w:proofErr w:type="spellStart"/>
      <w:r w:rsidRPr="003E0A1F">
        <w:rPr>
          <w:szCs w:val="22"/>
          <w:lang w:val="sr-Latn-ME"/>
        </w:rPr>
        <w:t>akrilat</w:t>
      </w:r>
      <w:proofErr w:type="spellEnd"/>
      <w:r w:rsidRPr="003E0A1F">
        <w:rPr>
          <w:szCs w:val="22"/>
          <w:lang w:val="sr-Latn-ME"/>
        </w:rPr>
        <w:t xml:space="preserve"> </w:t>
      </w:r>
      <w:proofErr w:type="spellStart"/>
      <w:r w:rsidRPr="003E0A1F">
        <w:rPr>
          <w:szCs w:val="22"/>
          <w:lang w:val="sr-Latn-ME"/>
        </w:rPr>
        <w:t>kopolimer</w:t>
      </w:r>
      <w:proofErr w:type="spellEnd"/>
      <w:r w:rsidRPr="003E0A1F">
        <w:rPr>
          <w:szCs w:val="22"/>
          <w:lang w:val="sr-Latn-ME"/>
        </w:rPr>
        <w:t xml:space="preserve"> (1:1) disperzija 30%</w:t>
      </w:r>
    </w:p>
    <w:p w14:paraId="6ABCEC8B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 w:eastAsia="hr-HR"/>
        </w:rPr>
        <w:t xml:space="preserve">Natrijum </w:t>
      </w:r>
      <w:proofErr w:type="spellStart"/>
      <w:r w:rsidRPr="003E0A1F">
        <w:rPr>
          <w:color w:val="000000"/>
          <w:szCs w:val="22"/>
          <w:lang w:val="sr-Latn-ME" w:eastAsia="hr-HR"/>
        </w:rPr>
        <w:t>laurilsulfat</w:t>
      </w:r>
      <w:proofErr w:type="spellEnd"/>
    </w:p>
    <w:p w14:paraId="6CCB6E74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proofErr w:type="spellStart"/>
      <w:r w:rsidRPr="003E0A1F">
        <w:rPr>
          <w:color w:val="000000"/>
          <w:szCs w:val="22"/>
          <w:lang w:val="sr-Latn-ME" w:eastAsia="hr-HR"/>
        </w:rPr>
        <w:lastRenderedPageBreak/>
        <w:t>Polisorbat</w:t>
      </w:r>
      <w:proofErr w:type="spellEnd"/>
      <w:r w:rsidRPr="003E0A1F">
        <w:rPr>
          <w:color w:val="000000"/>
          <w:szCs w:val="22"/>
          <w:lang w:val="sr-Latn-ME" w:eastAsia="hr-HR"/>
        </w:rPr>
        <w:t xml:space="preserve"> 80 (E433)</w:t>
      </w:r>
    </w:p>
    <w:p w14:paraId="53594FCD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 w:eastAsia="hr-HR"/>
        </w:rPr>
      </w:pPr>
      <w:proofErr w:type="spellStart"/>
      <w:r w:rsidRPr="003E0A1F">
        <w:rPr>
          <w:color w:val="000000"/>
          <w:szCs w:val="22"/>
          <w:lang w:val="sr-Latn-ME" w:eastAsia="hr-HR"/>
        </w:rPr>
        <w:t>Makrogol</w:t>
      </w:r>
      <w:proofErr w:type="spellEnd"/>
      <w:r w:rsidRPr="003E0A1F">
        <w:rPr>
          <w:color w:val="000000"/>
          <w:szCs w:val="22"/>
          <w:lang w:val="sr-Latn-ME" w:eastAsia="hr-HR"/>
        </w:rPr>
        <w:t xml:space="preserve"> 6000</w:t>
      </w:r>
    </w:p>
    <w:p w14:paraId="24574876" w14:textId="77777777" w:rsidR="0040341B" w:rsidRPr="003E0A1F" w:rsidRDefault="00B87F20" w:rsidP="00054FCE">
      <w:pPr>
        <w:spacing w:line="240" w:lineRule="auto"/>
        <w:jc w:val="both"/>
        <w:rPr>
          <w:color w:val="000000"/>
          <w:szCs w:val="22"/>
          <w:lang w:val="sr-Latn-ME"/>
        </w:rPr>
      </w:pPr>
      <w:r w:rsidRPr="003E0A1F">
        <w:rPr>
          <w:color w:val="000000"/>
          <w:szCs w:val="22"/>
          <w:lang w:val="sr-Latn-ME" w:eastAsia="hr-HR"/>
        </w:rPr>
        <w:t>Talk (E553b)</w:t>
      </w:r>
    </w:p>
    <w:p w14:paraId="43839A4E" w14:textId="77777777" w:rsidR="0040341B" w:rsidRPr="003E0A1F" w:rsidRDefault="0040341B" w:rsidP="00054FCE">
      <w:pPr>
        <w:widowControl w:val="0"/>
        <w:spacing w:line="240" w:lineRule="auto"/>
        <w:rPr>
          <w:szCs w:val="22"/>
          <w:highlight w:val="lightGray"/>
          <w:lang w:val="sr-Latn-ME"/>
        </w:rPr>
      </w:pPr>
    </w:p>
    <w:p w14:paraId="2AC36819" w14:textId="77777777" w:rsidR="0040341B" w:rsidRPr="003E0A1F" w:rsidRDefault="00B87F20" w:rsidP="00054FC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6.2</w:t>
      </w:r>
      <w:r w:rsidRPr="003E0A1F">
        <w:rPr>
          <w:b/>
          <w:szCs w:val="22"/>
          <w:lang w:val="sr-Latn-ME"/>
        </w:rPr>
        <w:tab/>
        <w:t>Inkompatibilnosti</w:t>
      </w:r>
    </w:p>
    <w:p w14:paraId="257D3EAE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50DA6A82" w14:textId="77777777" w:rsidR="0040341B" w:rsidRPr="003E0A1F" w:rsidRDefault="00B87F20" w:rsidP="00054FCE">
      <w:pPr>
        <w:widowControl w:val="0"/>
        <w:spacing w:line="240" w:lineRule="auto"/>
        <w:rPr>
          <w:szCs w:val="22"/>
          <w:lang w:val="sr-Latn-ME"/>
        </w:rPr>
      </w:pPr>
      <w:r w:rsidRPr="003E0A1F">
        <w:rPr>
          <w:szCs w:val="22"/>
          <w:lang w:val="sr-Latn-ME"/>
        </w:rPr>
        <w:t>Nije primjen</w:t>
      </w:r>
      <w:r w:rsidR="00050920" w:rsidRPr="003E0A1F">
        <w:rPr>
          <w:szCs w:val="22"/>
          <w:lang w:val="sr-Latn-ME"/>
        </w:rPr>
        <w:t>l</w:t>
      </w:r>
      <w:r w:rsidRPr="003E0A1F">
        <w:rPr>
          <w:szCs w:val="22"/>
          <w:lang w:val="sr-Latn-ME"/>
        </w:rPr>
        <w:t>jivo.</w:t>
      </w:r>
    </w:p>
    <w:p w14:paraId="6634DA23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14A1538C" w14:textId="77777777" w:rsidR="0040341B" w:rsidRPr="003E0A1F" w:rsidRDefault="00B87F20" w:rsidP="00054FCE">
      <w:pPr>
        <w:widowControl w:val="0"/>
        <w:numPr>
          <w:ilvl w:val="1"/>
          <w:numId w:val="32"/>
        </w:numPr>
        <w:tabs>
          <w:tab w:val="clear" w:pos="567"/>
        </w:tabs>
        <w:spacing w:line="240" w:lineRule="auto"/>
        <w:outlineLvl w:val="0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Rok upotrebe</w:t>
      </w:r>
    </w:p>
    <w:p w14:paraId="0C0EEBBE" w14:textId="77777777" w:rsidR="0040341B" w:rsidRPr="003E0A1F" w:rsidRDefault="0040341B" w:rsidP="00054FCE">
      <w:pPr>
        <w:widowControl w:val="0"/>
        <w:spacing w:line="240" w:lineRule="auto"/>
        <w:rPr>
          <w:szCs w:val="22"/>
          <w:u w:val="single"/>
          <w:lang w:val="sr-Latn-ME"/>
        </w:rPr>
      </w:pPr>
    </w:p>
    <w:p w14:paraId="33768F3F" w14:textId="77777777" w:rsidR="0040341B" w:rsidRPr="003E0A1F" w:rsidRDefault="00B87F20" w:rsidP="00054FCE">
      <w:pPr>
        <w:widowControl w:val="0"/>
        <w:spacing w:line="240" w:lineRule="auto"/>
        <w:rPr>
          <w:iCs/>
          <w:szCs w:val="22"/>
          <w:lang w:val="sr-Latn-ME"/>
        </w:rPr>
      </w:pPr>
      <w:r w:rsidRPr="003E0A1F">
        <w:rPr>
          <w:iCs/>
          <w:szCs w:val="22"/>
          <w:lang w:val="sr-Latn-ME"/>
        </w:rPr>
        <w:t>5 godina.</w:t>
      </w:r>
    </w:p>
    <w:p w14:paraId="666238B4" w14:textId="77777777" w:rsidR="0040341B" w:rsidRPr="003E0A1F" w:rsidRDefault="0040341B" w:rsidP="00054FCE">
      <w:pPr>
        <w:widowControl w:val="0"/>
        <w:spacing w:line="240" w:lineRule="auto"/>
        <w:rPr>
          <w:iCs/>
          <w:szCs w:val="22"/>
          <w:lang w:val="sr-Latn-ME"/>
        </w:rPr>
      </w:pPr>
    </w:p>
    <w:p w14:paraId="612642E8" w14:textId="77777777" w:rsidR="0040341B" w:rsidRPr="003E0A1F" w:rsidRDefault="00B87F20" w:rsidP="00054FCE">
      <w:pPr>
        <w:widowControl w:val="0"/>
        <w:spacing w:line="240" w:lineRule="auto"/>
        <w:ind w:left="567" w:hanging="567"/>
        <w:outlineLvl w:val="0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6.4</w:t>
      </w:r>
      <w:r w:rsidRPr="003E0A1F">
        <w:rPr>
          <w:b/>
          <w:szCs w:val="22"/>
          <w:lang w:val="sr-Latn-ME"/>
        </w:rPr>
        <w:tab/>
        <w:t>Posebne mjere upozorenja pri čuvanju lijeka</w:t>
      </w:r>
    </w:p>
    <w:p w14:paraId="13E19F3E" w14:textId="77777777" w:rsidR="0040341B" w:rsidRPr="003E0A1F" w:rsidRDefault="0040341B" w:rsidP="00054FCE">
      <w:pPr>
        <w:widowControl w:val="0"/>
        <w:spacing w:line="240" w:lineRule="auto"/>
        <w:outlineLvl w:val="0"/>
        <w:rPr>
          <w:szCs w:val="22"/>
          <w:lang w:val="sr-Latn-ME"/>
        </w:rPr>
      </w:pPr>
    </w:p>
    <w:p w14:paraId="05862BD5" w14:textId="182A14A3" w:rsidR="0040341B" w:rsidRPr="003E0A1F" w:rsidRDefault="00B87F20" w:rsidP="00054FCE">
      <w:pPr>
        <w:tabs>
          <w:tab w:val="left" w:pos="284"/>
        </w:tabs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>Lijek čuvat</w:t>
      </w:r>
      <w:r w:rsidR="00050920" w:rsidRPr="003E0A1F">
        <w:rPr>
          <w:szCs w:val="22"/>
          <w:lang w:val="sr-Latn-ME"/>
        </w:rPr>
        <w:t>i</w:t>
      </w:r>
      <w:r w:rsidRPr="003E0A1F">
        <w:rPr>
          <w:szCs w:val="22"/>
          <w:lang w:val="sr-Latn-ME"/>
        </w:rPr>
        <w:t xml:space="preserve"> u originalnom pakovanju </w:t>
      </w:r>
      <w:r w:rsidR="00050920" w:rsidRPr="003E0A1F">
        <w:rPr>
          <w:szCs w:val="22"/>
          <w:lang w:val="sr-Latn-ME"/>
        </w:rPr>
        <w:t xml:space="preserve">radi zaštite </w:t>
      </w:r>
      <w:r w:rsidRPr="003E0A1F">
        <w:rPr>
          <w:szCs w:val="22"/>
          <w:lang w:val="sr-Latn-ME"/>
        </w:rPr>
        <w:t>od vlage.</w:t>
      </w:r>
    </w:p>
    <w:p w14:paraId="074C2F79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10C5E510" w14:textId="77777777" w:rsidR="0040341B" w:rsidRPr="003E0A1F" w:rsidRDefault="00B87F20" w:rsidP="00054FCE">
      <w:pPr>
        <w:widowControl w:val="0"/>
        <w:spacing w:line="240" w:lineRule="auto"/>
        <w:outlineLvl w:val="0"/>
        <w:rPr>
          <w:b/>
          <w:szCs w:val="22"/>
          <w:lang w:val="sr-Latn-ME"/>
        </w:rPr>
      </w:pPr>
      <w:r w:rsidRPr="003E0A1F">
        <w:rPr>
          <w:b/>
          <w:szCs w:val="22"/>
          <w:lang w:val="sr-Latn-ME"/>
        </w:rPr>
        <w:t>6.5</w:t>
      </w:r>
      <w:r w:rsidRPr="003E0A1F">
        <w:rPr>
          <w:b/>
          <w:szCs w:val="22"/>
          <w:lang w:val="sr-Latn-ME"/>
        </w:rPr>
        <w:tab/>
        <w:t>Vrsta i sadržaj pakovanja</w:t>
      </w:r>
    </w:p>
    <w:p w14:paraId="12F161D2" w14:textId="77777777" w:rsidR="0040341B" w:rsidRPr="003E0A1F" w:rsidRDefault="0040341B" w:rsidP="00054FCE">
      <w:pPr>
        <w:spacing w:line="240" w:lineRule="auto"/>
        <w:rPr>
          <w:szCs w:val="22"/>
          <w:lang w:val="sr-Latn-ME"/>
        </w:rPr>
      </w:pPr>
    </w:p>
    <w:p w14:paraId="514261F2" w14:textId="2166654B" w:rsidR="0040341B" w:rsidRPr="003E0A1F" w:rsidRDefault="00B87F20" w:rsidP="00054FCE">
      <w:pPr>
        <w:widowControl w:val="0"/>
        <w:numPr>
          <w:ilvl w:val="12"/>
          <w:numId w:val="0"/>
        </w:numPr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Unutrašnje pakovanje </w:t>
      </w:r>
      <w:r w:rsidR="00050920" w:rsidRPr="003E0A1F">
        <w:rPr>
          <w:szCs w:val="22"/>
          <w:lang w:val="sr-Latn-ME"/>
        </w:rPr>
        <w:t xml:space="preserve">lijeka </w:t>
      </w:r>
      <w:r w:rsidRPr="003E0A1F">
        <w:rPr>
          <w:szCs w:val="22"/>
          <w:lang w:val="sr-Latn-ME"/>
        </w:rPr>
        <w:t xml:space="preserve">je </w:t>
      </w:r>
      <w:r w:rsidR="00050920" w:rsidRPr="003E0A1F">
        <w:rPr>
          <w:szCs w:val="22"/>
          <w:lang w:val="sr-Latn-ME"/>
        </w:rPr>
        <w:t xml:space="preserve">OPA/Al/PVC//Al </w:t>
      </w:r>
      <w:proofErr w:type="spellStart"/>
      <w:r w:rsidRPr="003E0A1F">
        <w:rPr>
          <w:szCs w:val="22"/>
          <w:lang w:val="sr-Latn-ME"/>
        </w:rPr>
        <w:t>blister</w:t>
      </w:r>
      <w:proofErr w:type="spellEnd"/>
      <w:r w:rsidRPr="003E0A1F">
        <w:rPr>
          <w:szCs w:val="22"/>
          <w:lang w:val="sr-Latn-ME"/>
        </w:rPr>
        <w:t xml:space="preserve"> koji sadrži 14 </w:t>
      </w:r>
      <w:proofErr w:type="spellStart"/>
      <w:r w:rsidRPr="003E0A1F">
        <w:rPr>
          <w:szCs w:val="22"/>
          <w:lang w:val="sr-Latn-ME"/>
        </w:rPr>
        <w:t>gastrorezistentnih</w:t>
      </w:r>
      <w:proofErr w:type="spellEnd"/>
      <w:r w:rsidRPr="003E0A1F">
        <w:rPr>
          <w:szCs w:val="22"/>
          <w:lang w:val="sr-Latn-ME"/>
        </w:rPr>
        <w:t xml:space="preserve"> tableta. </w:t>
      </w:r>
    </w:p>
    <w:p w14:paraId="7AB464A4" w14:textId="77777777" w:rsidR="00050920" w:rsidRPr="003E0A1F" w:rsidRDefault="00050920" w:rsidP="00054FCE">
      <w:pPr>
        <w:widowControl w:val="0"/>
        <w:numPr>
          <w:ilvl w:val="12"/>
          <w:numId w:val="0"/>
        </w:numPr>
        <w:spacing w:line="240" w:lineRule="auto"/>
        <w:jc w:val="both"/>
        <w:rPr>
          <w:szCs w:val="22"/>
          <w:lang w:val="sr-Latn-ME"/>
        </w:rPr>
      </w:pPr>
    </w:p>
    <w:p w14:paraId="7585DEB6" w14:textId="77777777" w:rsidR="0040341B" w:rsidRPr="003E0A1F" w:rsidRDefault="00B87F20" w:rsidP="00054FCE">
      <w:pPr>
        <w:widowControl w:val="0"/>
        <w:numPr>
          <w:ilvl w:val="12"/>
          <w:numId w:val="0"/>
        </w:numPr>
        <w:spacing w:line="240" w:lineRule="auto"/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Spoljašnje pakovanje </w:t>
      </w:r>
      <w:r w:rsidR="00050920" w:rsidRPr="003E0A1F">
        <w:rPr>
          <w:szCs w:val="22"/>
          <w:lang w:val="sr-Latn-ME"/>
        </w:rPr>
        <w:t xml:space="preserve">lijeka </w:t>
      </w:r>
      <w:r w:rsidRPr="003E0A1F">
        <w:rPr>
          <w:szCs w:val="22"/>
          <w:lang w:val="sr-Latn-ME"/>
        </w:rPr>
        <w:t xml:space="preserve">je </w:t>
      </w:r>
      <w:proofErr w:type="spellStart"/>
      <w:r w:rsidRPr="003E0A1F">
        <w:rPr>
          <w:szCs w:val="22"/>
          <w:lang w:val="sr-Latn-ME"/>
        </w:rPr>
        <w:t>složiva</w:t>
      </w:r>
      <w:proofErr w:type="spellEnd"/>
      <w:r w:rsidRPr="003E0A1F">
        <w:rPr>
          <w:szCs w:val="22"/>
          <w:lang w:val="sr-Latn-ME"/>
        </w:rPr>
        <w:t xml:space="preserve"> kartonska kutija u kojoj se nalaze 2 </w:t>
      </w:r>
      <w:proofErr w:type="spellStart"/>
      <w:r w:rsidRPr="003E0A1F">
        <w:rPr>
          <w:szCs w:val="22"/>
          <w:lang w:val="sr-Latn-ME"/>
        </w:rPr>
        <w:t>blistera</w:t>
      </w:r>
      <w:proofErr w:type="spellEnd"/>
      <w:r w:rsidRPr="003E0A1F">
        <w:rPr>
          <w:szCs w:val="22"/>
          <w:lang w:val="sr-Latn-ME"/>
        </w:rPr>
        <w:t xml:space="preserve"> (ukupno 28 </w:t>
      </w:r>
      <w:proofErr w:type="spellStart"/>
      <w:r w:rsidRPr="003E0A1F">
        <w:rPr>
          <w:szCs w:val="22"/>
          <w:lang w:val="sr-Latn-ME"/>
        </w:rPr>
        <w:t>gastrorezistentnih</w:t>
      </w:r>
      <w:proofErr w:type="spellEnd"/>
      <w:r w:rsidRPr="003E0A1F">
        <w:rPr>
          <w:szCs w:val="22"/>
          <w:lang w:val="sr-Latn-ME"/>
        </w:rPr>
        <w:t xml:space="preserve"> tableta) i Uputstvo za lijek.</w:t>
      </w:r>
    </w:p>
    <w:p w14:paraId="2BBDE521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2F0BE3F4" w14:textId="77777777" w:rsidR="0040341B" w:rsidRPr="003E0A1F" w:rsidRDefault="00B87F20" w:rsidP="00054FCE">
      <w:pPr>
        <w:widowControl w:val="0"/>
        <w:spacing w:line="240" w:lineRule="auto"/>
        <w:outlineLvl w:val="0"/>
        <w:rPr>
          <w:b/>
          <w:bCs/>
          <w:szCs w:val="22"/>
          <w:lang w:val="sr-Latn-ME"/>
        </w:rPr>
      </w:pPr>
      <w:r w:rsidRPr="003E0A1F">
        <w:rPr>
          <w:b/>
          <w:szCs w:val="22"/>
          <w:lang w:val="sr-Latn-ME"/>
        </w:rPr>
        <w:t>6.6</w:t>
      </w:r>
      <w:r w:rsidRPr="003E0A1F">
        <w:rPr>
          <w:b/>
          <w:szCs w:val="22"/>
          <w:lang w:val="sr-Latn-ME"/>
        </w:rPr>
        <w:tab/>
      </w:r>
      <w:r w:rsidRPr="003E0A1F">
        <w:rPr>
          <w:b/>
          <w:bCs/>
          <w:szCs w:val="22"/>
          <w:lang w:val="sr-Latn-ME"/>
        </w:rPr>
        <w:t>Posebne mjere opreza pri odlaganju materijala koji treba odbaciti nakon primjene</w:t>
      </w:r>
      <w:bookmarkStart w:id="0" w:name="OLE_LINK2"/>
    </w:p>
    <w:bookmarkEnd w:id="0"/>
    <w:p w14:paraId="7634CD9F" w14:textId="77777777" w:rsidR="0040341B" w:rsidRPr="003E0A1F" w:rsidRDefault="00B87F20" w:rsidP="00054FCE">
      <w:pPr>
        <w:widowControl w:val="0"/>
        <w:spacing w:line="240" w:lineRule="auto"/>
        <w:outlineLvl w:val="0"/>
        <w:rPr>
          <w:szCs w:val="22"/>
          <w:lang w:val="sr-Latn-ME"/>
        </w:rPr>
      </w:pPr>
      <w:r w:rsidRPr="003E0A1F">
        <w:rPr>
          <w:b/>
          <w:bCs/>
          <w:szCs w:val="22"/>
          <w:lang w:val="sr-Latn-ME"/>
        </w:rPr>
        <w:t>lijeka (i druga uputstva za rukovanje lijekom)</w:t>
      </w:r>
    </w:p>
    <w:p w14:paraId="62C13FA0" w14:textId="77777777" w:rsidR="0040341B" w:rsidRPr="003E0A1F" w:rsidRDefault="0040341B" w:rsidP="00054FCE">
      <w:pPr>
        <w:widowControl w:val="0"/>
        <w:spacing w:line="240" w:lineRule="auto"/>
        <w:rPr>
          <w:szCs w:val="22"/>
          <w:highlight w:val="yellow"/>
          <w:lang w:val="sr-Latn-ME"/>
        </w:rPr>
      </w:pPr>
    </w:p>
    <w:p w14:paraId="2AB2C880" w14:textId="77777777" w:rsidR="0040341B" w:rsidRPr="003E0A1F" w:rsidRDefault="00B87F20" w:rsidP="00054FCE">
      <w:pPr>
        <w:widowControl w:val="0"/>
        <w:spacing w:line="240" w:lineRule="auto"/>
        <w:rPr>
          <w:szCs w:val="22"/>
          <w:lang w:val="sr-Latn-ME"/>
        </w:rPr>
      </w:pPr>
      <w:proofErr w:type="spellStart"/>
      <w:r w:rsidRPr="003E0A1F">
        <w:rPr>
          <w:szCs w:val="22"/>
          <w:lang w:val="sr-Latn-ME"/>
        </w:rPr>
        <w:t>Neupotrijebljeni</w:t>
      </w:r>
      <w:proofErr w:type="spellEnd"/>
      <w:r w:rsidRPr="003E0A1F">
        <w:rPr>
          <w:szCs w:val="22"/>
          <w:lang w:val="sr-Latn-ME"/>
        </w:rPr>
        <w:t xml:space="preserve"> lijek se uništava u skladu sa važećim propisima.</w:t>
      </w:r>
    </w:p>
    <w:p w14:paraId="27C29524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6EE05A38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2FF215DF" w14:textId="77777777" w:rsidR="0040341B" w:rsidRPr="003E0A1F" w:rsidRDefault="00B87F20" w:rsidP="00054FCE">
      <w:pPr>
        <w:widowControl w:val="0"/>
        <w:spacing w:line="240" w:lineRule="auto"/>
        <w:ind w:left="567" w:hanging="567"/>
        <w:rPr>
          <w:szCs w:val="22"/>
          <w:lang w:val="sr-Latn-ME"/>
        </w:rPr>
      </w:pPr>
      <w:r w:rsidRPr="003E0A1F">
        <w:rPr>
          <w:b/>
          <w:szCs w:val="22"/>
          <w:lang w:val="sr-Latn-ME"/>
        </w:rPr>
        <w:t>7.</w:t>
      </w:r>
      <w:r w:rsidRPr="003E0A1F">
        <w:rPr>
          <w:b/>
          <w:szCs w:val="22"/>
          <w:lang w:val="sr-Latn-ME"/>
        </w:rPr>
        <w:tab/>
      </w:r>
      <w:r w:rsidRPr="003E0A1F">
        <w:rPr>
          <w:b/>
          <w:bCs/>
          <w:szCs w:val="22"/>
          <w:lang w:val="sr-Latn-ME"/>
        </w:rPr>
        <w:t>NOSILAC DOZVOLE</w:t>
      </w:r>
    </w:p>
    <w:p w14:paraId="753DEBD8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638DA385" w14:textId="7048AAEF" w:rsidR="0040341B" w:rsidRPr="003E0A1F" w:rsidRDefault="00B87F20" w:rsidP="00054FCE">
      <w:pPr>
        <w:widowControl w:val="0"/>
        <w:spacing w:line="240" w:lineRule="auto"/>
        <w:rPr>
          <w:szCs w:val="22"/>
          <w:lang w:val="sr-Latn-ME"/>
        </w:rPr>
      </w:pPr>
      <w:r w:rsidRPr="003E0A1F">
        <w:rPr>
          <w:szCs w:val="22"/>
          <w:lang w:val="sr-Latn-ME"/>
        </w:rPr>
        <w:t>D</w:t>
      </w:r>
      <w:r w:rsidR="00050920" w:rsidRPr="003E0A1F">
        <w:rPr>
          <w:szCs w:val="22"/>
          <w:lang w:val="sr-Latn-ME"/>
        </w:rPr>
        <w:t>.</w:t>
      </w:r>
      <w:r w:rsidRPr="003E0A1F">
        <w:rPr>
          <w:szCs w:val="22"/>
          <w:lang w:val="sr-Latn-ME"/>
        </w:rPr>
        <w:t>S</w:t>
      </w:r>
      <w:r w:rsidR="00050920" w:rsidRPr="003E0A1F">
        <w:rPr>
          <w:szCs w:val="22"/>
          <w:lang w:val="sr-Latn-ME"/>
        </w:rPr>
        <w:t>.</w:t>
      </w:r>
      <w:r w:rsidRPr="003E0A1F">
        <w:rPr>
          <w:szCs w:val="22"/>
          <w:lang w:val="sr-Latn-ME"/>
        </w:rPr>
        <w:t>D</w:t>
      </w:r>
      <w:r w:rsidR="00050920" w:rsidRPr="003E0A1F">
        <w:rPr>
          <w:szCs w:val="22"/>
          <w:lang w:val="sr-Latn-ME"/>
        </w:rPr>
        <w:t>.</w:t>
      </w:r>
      <w:r w:rsidRPr="003E0A1F">
        <w:rPr>
          <w:szCs w:val="22"/>
          <w:lang w:val="sr-Latn-ME"/>
        </w:rPr>
        <w:t xml:space="preserve"> „KRKA </w:t>
      </w:r>
      <w:proofErr w:type="spellStart"/>
      <w:r w:rsidRPr="003E0A1F">
        <w:rPr>
          <w:szCs w:val="22"/>
          <w:lang w:val="sr-Latn-ME"/>
        </w:rPr>
        <w:t>d.d</w:t>
      </w:r>
      <w:proofErr w:type="spellEnd"/>
      <w:r w:rsidRPr="003E0A1F">
        <w:rPr>
          <w:szCs w:val="22"/>
          <w:lang w:val="sr-Latn-ME"/>
        </w:rPr>
        <w:t xml:space="preserve">., Novo </w:t>
      </w:r>
      <w:proofErr w:type="spellStart"/>
      <w:r w:rsidRPr="003E0A1F">
        <w:rPr>
          <w:szCs w:val="22"/>
          <w:lang w:val="sr-Latn-ME"/>
        </w:rPr>
        <w:t>mesto</w:t>
      </w:r>
      <w:proofErr w:type="spellEnd"/>
      <w:r w:rsidRPr="003E0A1F">
        <w:rPr>
          <w:szCs w:val="22"/>
          <w:lang w:val="sr-Latn-ME"/>
        </w:rPr>
        <w:t xml:space="preserve">“ </w:t>
      </w:r>
      <w:r w:rsidR="00050920" w:rsidRPr="003E0A1F">
        <w:rPr>
          <w:szCs w:val="22"/>
          <w:lang w:val="sr-Latn-ME"/>
        </w:rPr>
        <w:t xml:space="preserve">Slovenija </w:t>
      </w:r>
      <w:r w:rsidRPr="003E0A1F">
        <w:rPr>
          <w:szCs w:val="22"/>
          <w:lang w:val="sr-Latn-ME"/>
        </w:rPr>
        <w:t>- predstavništvo Podgorica</w:t>
      </w:r>
      <w:r w:rsidR="00050920" w:rsidRPr="003E0A1F">
        <w:rPr>
          <w:szCs w:val="22"/>
          <w:lang w:val="sr-Latn-ME"/>
        </w:rPr>
        <w:t>,</w:t>
      </w:r>
    </w:p>
    <w:p w14:paraId="4BC70E71" w14:textId="77777777" w:rsidR="0040341B" w:rsidRPr="003E0A1F" w:rsidRDefault="00B87F20" w:rsidP="00054FCE">
      <w:pPr>
        <w:widowControl w:val="0"/>
        <w:spacing w:line="240" w:lineRule="auto"/>
        <w:rPr>
          <w:szCs w:val="22"/>
          <w:lang w:val="sr-Latn-ME"/>
        </w:rPr>
      </w:pPr>
      <w:proofErr w:type="spellStart"/>
      <w:r w:rsidRPr="003E0A1F">
        <w:rPr>
          <w:szCs w:val="22"/>
          <w:lang w:val="sr-Latn-ME"/>
        </w:rPr>
        <w:t>Svetlane</w:t>
      </w:r>
      <w:proofErr w:type="spellEnd"/>
      <w:r w:rsidRPr="003E0A1F">
        <w:rPr>
          <w:szCs w:val="22"/>
          <w:lang w:val="sr-Latn-ME"/>
        </w:rPr>
        <w:t xml:space="preserve"> Kane </w:t>
      </w:r>
      <w:proofErr w:type="spellStart"/>
      <w:r w:rsidRPr="003E0A1F">
        <w:rPr>
          <w:szCs w:val="22"/>
          <w:lang w:val="sr-Latn-ME"/>
        </w:rPr>
        <w:t>Radević</w:t>
      </w:r>
      <w:proofErr w:type="spellEnd"/>
      <w:r w:rsidRPr="003E0A1F">
        <w:rPr>
          <w:szCs w:val="22"/>
          <w:lang w:val="sr-Latn-ME"/>
        </w:rPr>
        <w:t xml:space="preserve"> br. 3, 81000 Podgorica, Crna Gora</w:t>
      </w:r>
    </w:p>
    <w:p w14:paraId="2E81D8D2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4667CCFA" w14:textId="77777777" w:rsidR="0040341B" w:rsidRPr="003E0A1F" w:rsidRDefault="0040341B" w:rsidP="00054FCE">
      <w:pPr>
        <w:widowControl w:val="0"/>
        <w:spacing w:line="240" w:lineRule="auto"/>
        <w:rPr>
          <w:szCs w:val="22"/>
          <w:lang w:val="sr-Latn-ME"/>
        </w:rPr>
      </w:pPr>
    </w:p>
    <w:p w14:paraId="172F60C0" w14:textId="77777777" w:rsidR="0040341B" w:rsidRPr="003E0A1F" w:rsidRDefault="00B87F20" w:rsidP="00054FCE">
      <w:pPr>
        <w:tabs>
          <w:tab w:val="clear" w:pos="567"/>
          <w:tab w:val="left" w:pos="540"/>
          <w:tab w:val="left" w:pos="569"/>
        </w:tabs>
        <w:spacing w:line="240" w:lineRule="auto"/>
        <w:rPr>
          <w:b/>
          <w:bCs/>
          <w:szCs w:val="22"/>
          <w:lang w:val="sr-Latn-ME"/>
        </w:rPr>
      </w:pPr>
      <w:r w:rsidRPr="003E0A1F">
        <w:rPr>
          <w:b/>
          <w:bCs/>
          <w:szCs w:val="22"/>
          <w:lang w:val="sr-Latn-ME"/>
        </w:rPr>
        <w:t xml:space="preserve">8. </w:t>
      </w:r>
      <w:r w:rsidRPr="003E0A1F">
        <w:rPr>
          <w:b/>
          <w:bCs/>
          <w:szCs w:val="22"/>
          <w:lang w:val="sr-Latn-ME"/>
        </w:rPr>
        <w:tab/>
        <w:t>BROJ DOZVOLE ZA STAVLJANJE LIJEKA U PROMET</w:t>
      </w:r>
    </w:p>
    <w:p w14:paraId="0F9F55A2" w14:textId="77777777" w:rsidR="0040341B" w:rsidRPr="003E0A1F" w:rsidRDefault="0040341B" w:rsidP="00054FCE">
      <w:pPr>
        <w:tabs>
          <w:tab w:val="clear" w:pos="567"/>
          <w:tab w:val="left" w:pos="540"/>
          <w:tab w:val="left" w:pos="569"/>
        </w:tabs>
        <w:spacing w:line="240" w:lineRule="auto"/>
        <w:rPr>
          <w:b/>
          <w:bCs/>
          <w:szCs w:val="22"/>
          <w:lang w:val="sr-Latn-ME"/>
        </w:rPr>
      </w:pPr>
    </w:p>
    <w:p w14:paraId="552EEB50" w14:textId="4659D5F9" w:rsidR="003E0A1F" w:rsidRPr="003E0A1F" w:rsidRDefault="003E0A1F" w:rsidP="003E0A1F">
      <w:pPr>
        <w:tabs>
          <w:tab w:val="left" w:pos="426"/>
        </w:tabs>
        <w:jc w:val="both"/>
        <w:rPr>
          <w:szCs w:val="22"/>
          <w:lang w:val="sr-Latn-ME"/>
        </w:rPr>
      </w:pPr>
      <w:r w:rsidRPr="003E0A1F">
        <w:rPr>
          <w:szCs w:val="22"/>
          <w:lang w:val="sr-Latn-ME"/>
        </w:rPr>
        <w:t xml:space="preserve">2030/25/2292 – 3950 </w:t>
      </w:r>
    </w:p>
    <w:p w14:paraId="45E392A9" w14:textId="77777777" w:rsidR="0040341B" w:rsidRPr="003E0A1F" w:rsidRDefault="0040341B" w:rsidP="00054FCE">
      <w:pPr>
        <w:tabs>
          <w:tab w:val="clear" w:pos="567"/>
          <w:tab w:val="left" w:pos="540"/>
          <w:tab w:val="left" w:pos="569"/>
        </w:tabs>
        <w:spacing w:line="240" w:lineRule="auto"/>
        <w:rPr>
          <w:bCs/>
          <w:szCs w:val="22"/>
          <w:lang w:val="sr-Latn-ME"/>
        </w:rPr>
      </w:pPr>
    </w:p>
    <w:p w14:paraId="746CFB35" w14:textId="77777777" w:rsidR="0040341B" w:rsidRPr="003E0A1F" w:rsidRDefault="0040341B" w:rsidP="00054FCE">
      <w:pPr>
        <w:tabs>
          <w:tab w:val="clear" w:pos="567"/>
          <w:tab w:val="left" w:pos="540"/>
          <w:tab w:val="left" w:pos="569"/>
        </w:tabs>
        <w:spacing w:line="240" w:lineRule="auto"/>
        <w:rPr>
          <w:bCs/>
          <w:szCs w:val="22"/>
          <w:lang w:val="sr-Latn-ME"/>
        </w:rPr>
      </w:pPr>
      <w:bookmarkStart w:id="1" w:name="_GoBack"/>
      <w:bookmarkEnd w:id="1"/>
    </w:p>
    <w:p w14:paraId="13EE0616" w14:textId="77777777" w:rsidR="0040341B" w:rsidRPr="003E0A1F" w:rsidRDefault="00B87F20" w:rsidP="00054FCE">
      <w:pPr>
        <w:tabs>
          <w:tab w:val="clear" w:pos="567"/>
          <w:tab w:val="left" w:pos="540"/>
          <w:tab w:val="left" w:pos="569"/>
        </w:tabs>
        <w:spacing w:line="240" w:lineRule="auto"/>
        <w:rPr>
          <w:b/>
          <w:bCs/>
          <w:szCs w:val="22"/>
          <w:lang w:val="sr-Latn-ME"/>
        </w:rPr>
      </w:pPr>
      <w:r w:rsidRPr="003E0A1F">
        <w:rPr>
          <w:b/>
          <w:bCs/>
          <w:szCs w:val="22"/>
          <w:lang w:val="sr-Latn-ME"/>
        </w:rPr>
        <w:t xml:space="preserve">9. </w:t>
      </w:r>
      <w:r w:rsidRPr="003E0A1F">
        <w:rPr>
          <w:b/>
          <w:bCs/>
          <w:szCs w:val="22"/>
          <w:lang w:val="sr-Latn-ME"/>
        </w:rPr>
        <w:tab/>
        <w:t>DATUM PRVE DOZVOLE/ OBNOVE DOZVOLE ZA STAVLJANJE LIJEKA U PROMET</w:t>
      </w:r>
    </w:p>
    <w:p w14:paraId="2D6C27C6" w14:textId="77777777" w:rsidR="0040341B" w:rsidRPr="003E0A1F" w:rsidRDefault="0040341B" w:rsidP="00054FCE">
      <w:pPr>
        <w:tabs>
          <w:tab w:val="clear" w:pos="567"/>
          <w:tab w:val="left" w:pos="540"/>
          <w:tab w:val="left" w:pos="569"/>
        </w:tabs>
        <w:spacing w:line="240" w:lineRule="auto"/>
        <w:rPr>
          <w:b/>
          <w:bCs/>
          <w:szCs w:val="22"/>
          <w:lang w:val="sr-Latn-ME"/>
        </w:rPr>
      </w:pPr>
    </w:p>
    <w:p w14:paraId="293EB019" w14:textId="77777777" w:rsidR="0040341B" w:rsidRPr="003E0A1F" w:rsidRDefault="00050920" w:rsidP="00054FCE">
      <w:pPr>
        <w:tabs>
          <w:tab w:val="left" w:pos="284"/>
        </w:tabs>
        <w:spacing w:line="240" w:lineRule="auto"/>
        <w:rPr>
          <w:bCs/>
          <w:szCs w:val="22"/>
          <w:lang w:val="sr-Latn-ME"/>
        </w:rPr>
      </w:pPr>
      <w:r w:rsidRPr="003E0A1F">
        <w:rPr>
          <w:bCs/>
          <w:szCs w:val="22"/>
          <w:lang w:val="sr-Latn-ME" w:eastAsia="sl-SI"/>
        </w:rPr>
        <w:t xml:space="preserve">Datum prve dozvole: </w:t>
      </w:r>
      <w:r w:rsidR="00B87F20" w:rsidRPr="003E0A1F">
        <w:rPr>
          <w:bCs/>
          <w:szCs w:val="22"/>
          <w:lang w:val="sr-Latn-ME"/>
        </w:rPr>
        <w:t>03.12.2015. godine</w:t>
      </w:r>
    </w:p>
    <w:p w14:paraId="3586CCFE" w14:textId="0F730345" w:rsidR="003E0A1F" w:rsidRPr="003E0A1F" w:rsidRDefault="00050920" w:rsidP="003E0A1F">
      <w:pPr>
        <w:tabs>
          <w:tab w:val="left" w:pos="426"/>
        </w:tabs>
        <w:jc w:val="both"/>
        <w:rPr>
          <w:szCs w:val="22"/>
          <w:lang w:val="sr-Latn-ME"/>
        </w:rPr>
      </w:pPr>
      <w:r w:rsidRPr="003E0A1F">
        <w:rPr>
          <w:bCs/>
          <w:szCs w:val="22"/>
          <w:lang w:val="sr-Latn-ME"/>
        </w:rPr>
        <w:t>Datum posljednje obnove dozvole:</w:t>
      </w:r>
      <w:r w:rsidR="003E0A1F" w:rsidRPr="003E0A1F">
        <w:rPr>
          <w:szCs w:val="22"/>
          <w:lang w:val="sr-Latn-ME"/>
        </w:rPr>
        <w:t xml:space="preserve"> </w:t>
      </w:r>
      <w:r w:rsidR="003E0A1F" w:rsidRPr="003E0A1F">
        <w:rPr>
          <w:szCs w:val="22"/>
          <w:lang w:val="sr-Latn-ME"/>
        </w:rPr>
        <w:t>09.06.2025. godine</w:t>
      </w:r>
    </w:p>
    <w:p w14:paraId="5C100F88" w14:textId="77777777" w:rsidR="0040341B" w:rsidRPr="003E0A1F" w:rsidRDefault="0040341B" w:rsidP="00054FCE">
      <w:pPr>
        <w:tabs>
          <w:tab w:val="clear" w:pos="567"/>
          <w:tab w:val="left" w:pos="540"/>
          <w:tab w:val="left" w:pos="569"/>
        </w:tabs>
        <w:spacing w:line="240" w:lineRule="auto"/>
        <w:rPr>
          <w:bCs/>
          <w:szCs w:val="22"/>
          <w:lang w:val="sr-Latn-ME"/>
        </w:rPr>
      </w:pPr>
    </w:p>
    <w:p w14:paraId="6F30C59F" w14:textId="77777777" w:rsidR="00050920" w:rsidRPr="003E0A1F" w:rsidRDefault="00050920" w:rsidP="00054FCE">
      <w:pPr>
        <w:tabs>
          <w:tab w:val="clear" w:pos="567"/>
          <w:tab w:val="left" w:pos="540"/>
          <w:tab w:val="left" w:pos="569"/>
        </w:tabs>
        <w:spacing w:line="240" w:lineRule="auto"/>
        <w:rPr>
          <w:bCs/>
          <w:szCs w:val="22"/>
          <w:lang w:val="sr-Latn-ME"/>
        </w:rPr>
      </w:pPr>
    </w:p>
    <w:p w14:paraId="3D1A5036" w14:textId="77777777" w:rsidR="0040341B" w:rsidRPr="003E0A1F" w:rsidRDefault="00B87F20" w:rsidP="00054FCE">
      <w:pPr>
        <w:tabs>
          <w:tab w:val="clear" w:pos="567"/>
          <w:tab w:val="left" w:pos="540"/>
          <w:tab w:val="left" w:pos="569"/>
        </w:tabs>
        <w:spacing w:line="240" w:lineRule="auto"/>
        <w:ind w:left="540" w:hanging="540"/>
        <w:rPr>
          <w:b/>
          <w:bCs/>
          <w:szCs w:val="22"/>
          <w:lang w:val="sr-Latn-ME"/>
        </w:rPr>
      </w:pPr>
      <w:r w:rsidRPr="003E0A1F">
        <w:rPr>
          <w:b/>
          <w:bCs/>
          <w:szCs w:val="22"/>
          <w:lang w:val="sr-Latn-ME"/>
        </w:rPr>
        <w:t xml:space="preserve">10. </w:t>
      </w:r>
      <w:r w:rsidRPr="003E0A1F">
        <w:rPr>
          <w:b/>
          <w:bCs/>
          <w:szCs w:val="22"/>
          <w:lang w:val="sr-Latn-ME"/>
        </w:rPr>
        <w:tab/>
        <w:t xml:space="preserve">DATUM  REVIZIJE TEKSTA </w:t>
      </w:r>
    </w:p>
    <w:p w14:paraId="3583ED60" w14:textId="77777777" w:rsidR="0040341B" w:rsidRPr="003E0A1F" w:rsidRDefault="0040341B" w:rsidP="00054FCE">
      <w:pPr>
        <w:spacing w:line="240" w:lineRule="auto"/>
        <w:rPr>
          <w:szCs w:val="22"/>
          <w:lang w:val="sr-Latn-ME"/>
        </w:rPr>
      </w:pPr>
    </w:p>
    <w:p w14:paraId="213659D6" w14:textId="3CBAF820" w:rsidR="0040341B" w:rsidRPr="003E0A1F" w:rsidRDefault="003E0A1F" w:rsidP="00054FCE">
      <w:pPr>
        <w:tabs>
          <w:tab w:val="clear" w:pos="567"/>
          <w:tab w:val="left" w:pos="540"/>
          <w:tab w:val="left" w:pos="569"/>
        </w:tabs>
        <w:spacing w:line="240" w:lineRule="auto"/>
        <w:ind w:left="540" w:hanging="540"/>
        <w:rPr>
          <w:bCs/>
          <w:szCs w:val="22"/>
          <w:lang w:val="sr-Latn-ME"/>
        </w:rPr>
      </w:pPr>
      <w:r w:rsidRPr="003E0A1F">
        <w:rPr>
          <w:bCs/>
          <w:szCs w:val="22"/>
          <w:lang w:val="sr-Latn-ME"/>
        </w:rPr>
        <w:t>Jun, 2025. godine</w:t>
      </w:r>
    </w:p>
    <w:p w14:paraId="3D21380A" w14:textId="77777777" w:rsidR="0040341B" w:rsidRPr="003E0A1F" w:rsidRDefault="0040341B" w:rsidP="00054FCE">
      <w:pPr>
        <w:spacing w:line="240" w:lineRule="auto"/>
        <w:rPr>
          <w:szCs w:val="22"/>
          <w:lang w:val="sr-Latn-ME"/>
        </w:rPr>
      </w:pPr>
    </w:p>
    <w:p w14:paraId="3E6FB48B" w14:textId="77777777" w:rsidR="0040341B" w:rsidRPr="003E0A1F" w:rsidRDefault="0040341B" w:rsidP="00054FCE">
      <w:pPr>
        <w:spacing w:line="240" w:lineRule="auto"/>
        <w:rPr>
          <w:szCs w:val="22"/>
          <w:lang w:val="sr-Latn-ME"/>
        </w:rPr>
      </w:pPr>
    </w:p>
    <w:p w14:paraId="5E6E1B53" w14:textId="77777777" w:rsidR="0040341B" w:rsidRPr="003E0A1F" w:rsidRDefault="0040341B" w:rsidP="00054FCE">
      <w:pPr>
        <w:spacing w:line="240" w:lineRule="auto"/>
        <w:rPr>
          <w:szCs w:val="22"/>
          <w:lang w:val="sr-Latn-ME"/>
        </w:rPr>
      </w:pPr>
    </w:p>
    <w:p w14:paraId="411B2F65" w14:textId="77777777" w:rsidR="0040341B" w:rsidRPr="003E0A1F" w:rsidRDefault="0040341B" w:rsidP="00054FCE">
      <w:pPr>
        <w:spacing w:line="240" w:lineRule="auto"/>
        <w:rPr>
          <w:szCs w:val="22"/>
          <w:lang w:val="sr-Latn-ME"/>
        </w:rPr>
      </w:pPr>
    </w:p>
    <w:p w14:paraId="4AF61347" w14:textId="77777777" w:rsidR="0040341B" w:rsidRPr="003E0A1F" w:rsidRDefault="0040341B" w:rsidP="00054FCE">
      <w:pPr>
        <w:spacing w:line="240" w:lineRule="auto"/>
        <w:rPr>
          <w:szCs w:val="22"/>
          <w:lang w:val="sr-Latn-ME"/>
        </w:rPr>
      </w:pPr>
    </w:p>
    <w:sectPr w:rsidR="0040341B" w:rsidRPr="003E0A1F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C86EF" w14:textId="77777777" w:rsidR="00FB75A4" w:rsidRDefault="00FB75A4">
      <w:pPr>
        <w:spacing w:line="240" w:lineRule="auto"/>
      </w:pPr>
      <w:r>
        <w:separator/>
      </w:r>
    </w:p>
  </w:endnote>
  <w:endnote w:type="continuationSeparator" w:id="0">
    <w:p w14:paraId="45D2CD34" w14:textId="77777777" w:rsidR="00FB75A4" w:rsidRDefault="00FB7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0126" w14:textId="0C223896" w:rsidR="003D0663" w:rsidRDefault="003D066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Times New Roman" w:hAnsi="Times New Roman"/>
        <w:sz w:val="22"/>
        <w:szCs w:val="22"/>
      </w:rPr>
      <w:fldChar w:fldCharType="begin"/>
    </w:r>
    <w:r>
      <w:rPr>
        <w:rStyle w:val="PageNumber"/>
        <w:rFonts w:ascii="Times New Roman" w:hAnsi="Times New Roman"/>
        <w:sz w:val="22"/>
        <w:szCs w:val="22"/>
      </w:rPr>
      <w:instrText xml:space="preserve">PAGE  </w:instrText>
    </w:r>
    <w:r>
      <w:rPr>
        <w:rStyle w:val="PageNumber"/>
        <w:rFonts w:ascii="Times New Roman" w:hAnsi="Times New Roman"/>
        <w:sz w:val="22"/>
        <w:szCs w:val="22"/>
      </w:rPr>
      <w:fldChar w:fldCharType="separate"/>
    </w:r>
    <w:r w:rsidR="003E0A1F">
      <w:rPr>
        <w:rStyle w:val="PageNumber"/>
        <w:rFonts w:ascii="Times New Roman" w:hAnsi="Times New Roman"/>
        <w:sz w:val="22"/>
        <w:szCs w:val="22"/>
      </w:rPr>
      <w:t>12</w:t>
    </w:r>
    <w:r>
      <w:rPr>
        <w:rStyle w:val="PageNumber"/>
        <w:rFonts w:ascii="Times New Roman" w:hAnsi="Times New Roman"/>
        <w:sz w:val="22"/>
        <w:szCs w:val="22"/>
      </w:rPr>
      <w:fldChar w:fldCharType="end"/>
    </w:r>
    <w:r>
      <w:rPr>
        <w:rStyle w:val="PageNumber"/>
        <w:rFonts w:ascii="Times New Roman" w:hAnsi="Times New Roman"/>
        <w:sz w:val="22"/>
        <w:szCs w:val="22"/>
      </w:rPr>
      <w:t xml:space="preserve"> / 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AF4F9" w14:textId="77777777" w:rsidR="003D0663" w:rsidRPr="003E0A1F" w:rsidRDefault="003D0663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4"/>
        <w:szCs w:val="18"/>
      </w:rPr>
    </w:pPr>
    <w:r w:rsidRPr="003E0A1F">
      <w:rPr>
        <w:rFonts w:ascii="Times New Roman" w:hAnsi="Times New Roman"/>
        <w:sz w:val="22"/>
      </w:rPr>
      <w:t>1 / 12</w:t>
    </w:r>
    <w:r w:rsidRPr="003E0A1F">
      <w:rPr>
        <w:rFonts w:ascii="Times New Roman" w:hAnsi="Times New Roman"/>
        <w:sz w:val="22"/>
      </w:rPr>
      <w:fldChar w:fldCharType="begin"/>
    </w:r>
    <w:r w:rsidRPr="003E0A1F">
      <w:rPr>
        <w:rFonts w:ascii="Times New Roman" w:hAnsi="Times New Roman"/>
        <w:sz w:val="22"/>
      </w:rPr>
      <w:instrText xml:space="preserve"> EQ </w:instrText>
    </w:r>
    <w:r w:rsidRPr="003E0A1F">
      <w:rPr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1E9AA" w14:textId="77777777" w:rsidR="00FB75A4" w:rsidRDefault="00FB75A4">
      <w:pPr>
        <w:spacing w:line="240" w:lineRule="auto"/>
      </w:pPr>
      <w:r>
        <w:separator/>
      </w:r>
    </w:p>
  </w:footnote>
  <w:footnote w:type="continuationSeparator" w:id="0">
    <w:p w14:paraId="5BCC2F7F" w14:textId="77777777" w:rsidR="00FB75A4" w:rsidRDefault="00FB75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+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00001649"/>
    <w:lvl w:ilvl="0" w:tplc="00006DF1">
      <w:start w:val="1"/>
      <w:numFmt w:val="bullet"/>
      <w:lvlText w:val="+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B3F1D"/>
    <w:multiLevelType w:val="hybridMultilevel"/>
    <w:tmpl w:val="19226B5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A78AA"/>
    <w:multiLevelType w:val="multilevel"/>
    <w:tmpl w:val="DE2E3D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365058D"/>
    <w:multiLevelType w:val="hybridMultilevel"/>
    <w:tmpl w:val="366C18A8"/>
    <w:lvl w:ilvl="0" w:tplc="C6509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21EEA"/>
    <w:multiLevelType w:val="hybridMultilevel"/>
    <w:tmpl w:val="371209B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823B55"/>
    <w:multiLevelType w:val="hybridMultilevel"/>
    <w:tmpl w:val="E21E4BC8"/>
    <w:lvl w:ilvl="0" w:tplc="B42463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4D004B2E"/>
    <w:multiLevelType w:val="hybridMultilevel"/>
    <w:tmpl w:val="0B04ED02"/>
    <w:lvl w:ilvl="0" w:tplc="618A557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8792830"/>
    <w:multiLevelType w:val="hybridMultilevel"/>
    <w:tmpl w:val="F2C2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BD63319"/>
    <w:multiLevelType w:val="hybridMultilevel"/>
    <w:tmpl w:val="19D8CA68"/>
    <w:lvl w:ilvl="0" w:tplc="C6509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058CE"/>
    <w:multiLevelType w:val="hybridMultilevel"/>
    <w:tmpl w:val="2248878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BB0FCC"/>
    <w:multiLevelType w:val="multilevel"/>
    <w:tmpl w:val="709ED9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20"/>
  </w:num>
  <w:num w:numId="7">
    <w:abstractNumId w:val="13"/>
  </w:num>
  <w:num w:numId="8">
    <w:abstractNumId w:val="16"/>
  </w:num>
  <w:num w:numId="9">
    <w:abstractNumId w:val="31"/>
  </w:num>
  <w:num w:numId="10">
    <w:abstractNumId w:val="4"/>
  </w:num>
  <w:num w:numId="11">
    <w:abstractNumId w:val="26"/>
  </w:num>
  <w:num w:numId="12">
    <w:abstractNumId w:val="15"/>
  </w:num>
  <w:num w:numId="13">
    <w:abstractNumId w:val="9"/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9"/>
  </w:num>
  <w:num w:numId="17">
    <w:abstractNumId w:val="17"/>
  </w:num>
  <w:num w:numId="18">
    <w:abstractNumId w:val="19"/>
  </w:num>
  <w:num w:numId="19">
    <w:abstractNumId w:val="32"/>
  </w:num>
  <w:num w:numId="20">
    <w:abstractNumId w:val="21"/>
  </w:num>
  <w:num w:numId="21">
    <w:abstractNumId w:val="30"/>
  </w:num>
  <w:num w:numId="22">
    <w:abstractNumId w:val="25"/>
  </w:num>
  <w:num w:numId="23">
    <w:abstractNumId w:val="12"/>
  </w:num>
  <w:num w:numId="24">
    <w:abstractNumId w:val="30"/>
  </w:num>
  <w:num w:numId="25">
    <w:abstractNumId w:val="6"/>
  </w:num>
  <w:num w:numId="26">
    <w:abstractNumId w:val="18"/>
  </w:num>
  <w:num w:numId="27">
    <w:abstractNumId w:val="7"/>
  </w:num>
  <w:num w:numId="28">
    <w:abstractNumId w:val="28"/>
  </w:num>
  <w:num w:numId="29">
    <w:abstractNumId w:val="3"/>
  </w:num>
  <w:num w:numId="30">
    <w:abstractNumId w:val="1"/>
  </w:num>
  <w:num w:numId="31">
    <w:abstractNumId w:val="2"/>
  </w:num>
  <w:num w:numId="32">
    <w:abstractNumId w:val="33"/>
  </w:num>
  <w:num w:numId="33">
    <w:abstractNumId w:val="14"/>
  </w:num>
  <w:num w:numId="34">
    <w:abstractNumId w:val="24"/>
  </w:num>
  <w:num w:numId="35">
    <w:abstractNumId w:val="27"/>
  </w:num>
  <w:num w:numId="36">
    <w:abstractNumId w:val="10"/>
  </w:num>
  <w:num w:numId="37">
    <w:abstractNumId w:val="8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40341B"/>
    <w:rsid w:val="00050920"/>
    <w:rsid w:val="00054FCE"/>
    <w:rsid w:val="0006503B"/>
    <w:rsid w:val="00162483"/>
    <w:rsid w:val="00322B0E"/>
    <w:rsid w:val="003D0663"/>
    <w:rsid w:val="003E0A1F"/>
    <w:rsid w:val="0040341B"/>
    <w:rsid w:val="004C619F"/>
    <w:rsid w:val="00B87F20"/>
    <w:rsid w:val="00F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0ACBF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link w:val="CommentText"/>
    <w:semiHidden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Pr>
      <w:rFonts w:eastAsia="Times New Roman"/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sl-SI" w:eastAsia="sl-SI"/>
    </w:r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4905</Words>
  <Characters>27961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Dedejić</dc:creator>
  <cp:lastModifiedBy>Ninoslava Lalatović</cp:lastModifiedBy>
  <cp:revision>5</cp:revision>
  <dcterms:created xsi:type="dcterms:W3CDTF">2025-06-04T10:29:00Z</dcterms:created>
  <dcterms:modified xsi:type="dcterms:W3CDTF">2025-06-09T08:26:00Z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