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EF94C" w14:textId="77777777" w:rsidR="00CE09F3" w:rsidRPr="00E36C10" w:rsidRDefault="00CE09F3" w:rsidP="0053024A">
      <w:pPr>
        <w:jc w:val="center"/>
        <w:rPr>
          <w:b/>
          <w:bCs/>
          <w:iCs/>
          <w:szCs w:val="22"/>
          <w:u w:val="single"/>
          <w:lang w:val="sr-Latn-ME"/>
        </w:rPr>
      </w:pPr>
      <w:r w:rsidRPr="00E36C10">
        <w:rPr>
          <w:b/>
          <w:bCs/>
          <w:iCs/>
          <w:szCs w:val="22"/>
          <w:u w:val="single"/>
          <w:lang w:val="sr-Latn-ME"/>
        </w:rPr>
        <w:t>SAŽETAK KARAKTERISTIKA L</w:t>
      </w:r>
      <w:r w:rsidR="002E7E8B" w:rsidRPr="00E36C10">
        <w:rPr>
          <w:b/>
          <w:bCs/>
          <w:iCs/>
          <w:szCs w:val="22"/>
          <w:u w:val="single"/>
          <w:lang w:val="sr-Latn-ME"/>
        </w:rPr>
        <w:t>IJ</w:t>
      </w:r>
      <w:r w:rsidRPr="00E36C10">
        <w:rPr>
          <w:b/>
          <w:bCs/>
          <w:iCs/>
          <w:szCs w:val="22"/>
          <w:u w:val="single"/>
          <w:lang w:val="sr-Latn-ME"/>
        </w:rPr>
        <w:t>EKA</w:t>
      </w:r>
    </w:p>
    <w:p w14:paraId="067E92AF" w14:textId="77777777" w:rsidR="00383195" w:rsidRPr="00E36C10" w:rsidRDefault="00383195" w:rsidP="0053024A">
      <w:pPr>
        <w:rPr>
          <w:szCs w:val="22"/>
          <w:lang w:val="sr-Latn-ME"/>
        </w:rPr>
      </w:pPr>
    </w:p>
    <w:p w14:paraId="40CDEE49" w14:textId="1BFDFC72" w:rsidR="00CE09F3" w:rsidRDefault="00CE09F3" w:rsidP="0053024A">
      <w:pPr>
        <w:rPr>
          <w:b/>
          <w:bCs/>
          <w:szCs w:val="22"/>
          <w:lang w:val="sr-Latn-ME"/>
        </w:rPr>
      </w:pPr>
    </w:p>
    <w:p w14:paraId="79CA533D" w14:textId="77777777" w:rsidR="0053035D" w:rsidRPr="00E36C10" w:rsidRDefault="0053035D" w:rsidP="0053024A">
      <w:pPr>
        <w:rPr>
          <w:b/>
          <w:bCs/>
          <w:szCs w:val="22"/>
          <w:lang w:val="sr-Latn-ME"/>
        </w:rPr>
      </w:pPr>
    </w:p>
    <w:p w14:paraId="373B2E87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 xml:space="preserve">1. </w:t>
      </w:r>
      <w:r w:rsidR="002E7E8B" w:rsidRPr="00E36C10">
        <w:rPr>
          <w:lang w:val="sr-Latn-ME"/>
        </w:rPr>
        <w:t>NAZIV</w:t>
      </w:r>
      <w:r w:rsidRPr="00E36C10">
        <w:rPr>
          <w:lang w:val="sr-Latn-ME"/>
        </w:rPr>
        <w:t xml:space="preserve"> L</w:t>
      </w:r>
      <w:r w:rsidR="002E7E8B" w:rsidRPr="00E36C10">
        <w:rPr>
          <w:lang w:val="sr-Latn-ME"/>
        </w:rPr>
        <w:t>IJ</w:t>
      </w:r>
      <w:r w:rsidRPr="00E36C10">
        <w:rPr>
          <w:lang w:val="sr-Latn-ME"/>
        </w:rPr>
        <w:t>EKA</w:t>
      </w:r>
    </w:p>
    <w:p w14:paraId="7474B9DF" w14:textId="77777777" w:rsidR="00CE09F3" w:rsidRPr="00E36C10" w:rsidRDefault="00CE09F3" w:rsidP="0053024A">
      <w:pPr>
        <w:rPr>
          <w:bCs/>
          <w:i/>
          <w:iCs/>
          <w:szCs w:val="22"/>
          <w:lang w:val="sr-Latn-ME"/>
        </w:rPr>
      </w:pPr>
    </w:p>
    <w:p w14:paraId="3D0B8F22" w14:textId="1989F761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Povidon jod HF, </w:t>
      </w:r>
      <w:r w:rsidR="0048567F" w:rsidRPr="008A0C99">
        <w:rPr>
          <w:szCs w:val="22"/>
          <w:lang w:val="sr-Latn-ME"/>
        </w:rPr>
        <w:t>100 mg/m</w:t>
      </w:r>
      <w:r w:rsidR="00631F84" w:rsidRPr="008A0C99">
        <w:rPr>
          <w:szCs w:val="22"/>
          <w:lang w:val="sr-Latn-ME"/>
        </w:rPr>
        <w:t>l</w:t>
      </w:r>
      <w:r w:rsidR="0048567F" w:rsidRPr="008A0C99">
        <w:rPr>
          <w:szCs w:val="22"/>
          <w:lang w:val="sr-Latn-ME"/>
        </w:rPr>
        <w:t>,</w:t>
      </w:r>
      <w:r w:rsidRPr="00E36C10">
        <w:rPr>
          <w:szCs w:val="22"/>
          <w:lang w:val="sr-Latn-ME"/>
        </w:rPr>
        <w:t xml:space="preserve"> rastvor za kožu</w:t>
      </w:r>
    </w:p>
    <w:p w14:paraId="7F7ECD36" w14:textId="77777777" w:rsidR="00CE09F3" w:rsidRPr="00E36C10" w:rsidRDefault="00CE09F3" w:rsidP="0053024A">
      <w:pPr>
        <w:rPr>
          <w:bCs/>
          <w:szCs w:val="22"/>
          <w:lang w:val="sr-Latn-ME"/>
        </w:rPr>
      </w:pPr>
    </w:p>
    <w:p w14:paraId="3E9383DB" w14:textId="152D5846" w:rsidR="00CE09F3" w:rsidRPr="00E36C10" w:rsidRDefault="00995795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INN: povidon</w:t>
      </w:r>
      <w:r w:rsidR="002039D5">
        <w:rPr>
          <w:szCs w:val="22"/>
          <w:lang w:val="sr-Latn-ME"/>
        </w:rPr>
        <w:t xml:space="preserve"> jod</w:t>
      </w:r>
    </w:p>
    <w:p w14:paraId="3C36507C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</w:p>
    <w:p w14:paraId="0ABA7C6B" w14:textId="77777777" w:rsidR="0053024A" w:rsidRPr="00E36C10" w:rsidRDefault="0053024A" w:rsidP="0053024A">
      <w:pPr>
        <w:rPr>
          <w:b/>
          <w:bCs/>
          <w:szCs w:val="22"/>
          <w:lang w:val="sr-Latn-ME"/>
        </w:rPr>
      </w:pPr>
    </w:p>
    <w:p w14:paraId="2F43C068" w14:textId="77777777" w:rsidR="00214B4C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2. KVALITATIVNI I KVANTITATIVNI SASTAV</w:t>
      </w:r>
    </w:p>
    <w:p w14:paraId="55391DB6" w14:textId="77777777" w:rsidR="0053024A" w:rsidRPr="00E36C10" w:rsidRDefault="0053024A" w:rsidP="0053024A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0B35B759" w14:textId="5B4E73FB" w:rsidR="0048567F" w:rsidRPr="00E36C10" w:rsidRDefault="00520434" w:rsidP="0053024A">
      <w:pPr>
        <w:pStyle w:val="NASLOV123"/>
        <w:spacing w:before="0" w:after="0"/>
        <w:jc w:val="both"/>
        <w:rPr>
          <w:b w:val="0"/>
          <w:bCs/>
          <w:lang w:val="sr-Latn-ME"/>
        </w:rPr>
      </w:pPr>
      <w:r w:rsidRPr="00E36C10">
        <w:rPr>
          <w:b w:val="0"/>
          <w:bCs/>
          <w:lang w:val="sr-Latn-ME"/>
        </w:rPr>
        <w:t xml:space="preserve">Jedan </w:t>
      </w:r>
      <w:r w:rsidR="00B42F96">
        <w:rPr>
          <w:b w:val="0"/>
          <w:bCs/>
          <w:lang w:val="sr-Latn-ME"/>
        </w:rPr>
        <w:t>ml</w:t>
      </w:r>
      <w:r w:rsidR="0048567F" w:rsidRPr="00E36C10">
        <w:rPr>
          <w:b w:val="0"/>
          <w:bCs/>
          <w:lang w:val="sr-Latn-ME"/>
        </w:rPr>
        <w:t xml:space="preserve"> rastvora za kožu sadrži 100 </w:t>
      </w:r>
      <w:r w:rsidR="00B42F96">
        <w:rPr>
          <w:b w:val="0"/>
          <w:bCs/>
          <w:lang w:val="sr-Latn-ME"/>
        </w:rPr>
        <w:t xml:space="preserve">mg povidon </w:t>
      </w:r>
      <w:r w:rsidR="0048567F" w:rsidRPr="00E36C10">
        <w:rPr>
          <w:b w:val="0"/>
          <w:bCs/>
          <w:lang w:val="sr-Latn-ME"/>
        </w:rPr>
        <w:t>joda (odgovara 10 mg raspoloživog joda</w:t>
      </w:r>
      <w:r w:rsidR="00E70173">
        <w:rPr>
          <w:b w:val="0"/>
          <w:bCs/>
          <w:lang w:val="sr-Latn-ME"/>
        </w:rPr>
        <w:t>, odnosno 1 %</w:t>
      </w:r>
      <w:r w:rsidR="0047786D">
        <w:rPr>
          <w:b w:val="0"/>
          <w:bCs/>
          <w:lang w:val="sr-Latn-ME"/>
        </w:rPr>
        <w:t>).</w:t>
      </w:r>
    </w:p>
    <w:p w14:paraId="26C777D9" w14:textId="77777777" w:rsidR="00214B4C" w:rsidRPr="00E36C10" w:rsidRDefault="00214B4C" w:rsidP="0053024A">
      <w:pPr>
        <w:rPr>
          <w:szCs w:val="22"/>
          <w:lang w:val="sr-Latn-ME"/>
        </w:rPr>
      </w:pPr>
    </w:p>
    <w:p w14:paraId="4D4D813E" w14:textId="77777777" w:rsidR="00CE09F3" w:rsidRPr="00E36C10" w:rsidRDefault="002E7E8B" w:rsidP="0053024A">
      <w:pPr>
        <w:rPr>
          <w:szCs w:val="22"/>
          <w:lang w:val="sr-Latn-ME" w:eastAsia="x-none"/>
        </w:rPr>
      </w:pPr>
      <w:r w:rsidRPr="00E36C10">
        <w:rPr>
          <w:szCs w:val="22"/>
          <w:lang w:val="sr-Latn-ME" w:eastAsia="x-none"/>
        </w:rPr>
        <w:t>Za spisak svih ekscipijenasa, pogledati dio 6.1.</w:t>
      </w:r>
    </w:p>
    <w:p w14:paraId="31641751" w14:textId="77777777" w:rsidR="002E7E8B" w:rsidRPr="00E36C10" w:rsidRDefault="002E7E8B" w:rsidP="0053024A">
      <w:pPr>
        <w:rPr>
          <w:szCs w:val="22"/>
          <w:lang w:val="sr-Latn-ME"/>
        </w:rPr>
      </w:pPr>
    </w:p>
    <w:p w14:paraId="67DF5890" w14:textId="77777777" w:rsidR="0053024A" w:rsidRPr="00E36C10" w:rsidRDefault="0053024A" w:rsidP="0053024A">
      <w:pPr>
        <w:rPr>
          <w:szCs w:val="22"/>
          <w:lang w:val="sr-Latn-ME"/>
        </w:rPr>
      </w:pPr>
    </w:p>
    <w:p w14:paraId="7E5579DB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3. FARMACEUTSKI OBLIK</w:t>
      </w:r>
    </w:p>
    <w:p w14:paraId="3030B5D4" w14:textId="77777777" w:rsidR="0053024A" w:rsidRPr="00E36C10" w:rsidRDefault="0053024A" w:rsidP="0053024A">
      <w:pPr>
        <w:rPr>
          <w:szCs w:val="22"/>
          <w:lang w:val="sr-Latn-ME"/>
        </w:rPr>
      </w:pPr>
    </w:p>
    <w:p w14:paraId="57BC55D0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Rastvor za kožu</w:t>
      </w:r>
      <w:r w:rsidR="00FE4155" w:rsidRPr="00E36C10">
        <w:rPr>
          <w:szCs w:val="22"/>
          <w:lang w:val="sr-Latn-ME"/>
        </w:rPr>
        <w:t>.</w:t>
      </w:r>
    </w:p>
    <w:p w14:paraId="6F34F78F" w14:textId="77777777" w:rsidR="00CE09F3" w:rsidRPr="00E36C10" w:rsidRDefault="00214B4C" w:rsidP="0053024A">
      <w:pPr>
        <w:pStyle w:val="Regular"/>
        <w:rPr>
          <w:b w:val="0"/>
          <w:sz w:val="22"/>
          <w:szCs w:val="22"/>
          <w:lang w:val="sr-Latn-ME"/>
        </w:rPr>
      </w:pPr>
      <w:r w:rsidRPr="00E36C10">
        <w:rPr>
          <w:b w:val="0"/>
          <w:sz w:val="22"/>
          <w:szCs w:val="22"/>
          <w:lang w:val="sr-Latn-ME"/>
        </w:rPr>
        <w:t>Rastvor tamnosmeđe boje, karakterističnog mirisa na jod.</w:t>
      </w:r>
    </w:p>
    <w:p w14:paraId="5E0A1179" w14:textId="77777777" w:rsidR="00CE09F3" w:rsidRPr="00E36C10" w:rsidRDefault="00CE09F3" w:rsidP="0053024A">
      <w:pPr>
        <w:rPr>
          <w:szCs w:val="22"/>
          <w:lang w:val="sr-Latn-ME"/>
        </w:rPr>
      </w:pPr>
    </w:p>
    <w:p w14:paraId="434D37C8" w14:textId="77777777" w:rsidR="0053024A" w:rsidRPr="00E36C10" w:rsidRDefault="0053024A" w:rsidP="0053024A">
      <w:pPr>
        <w:rPr>
          <w:szCs w:val="22"/>
          <w:lang w:val="sr-Latn-ME"/>
        </w:rPr>
      </w:pPr>
      <w:bookmarkStart w:id="0" w:name="_GoBack"/>
      <w:bookmarkEnd w:id="0"/>
    </w:p>
    <w:p w14:paraId="0461D1EC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4. KLINIČKI PODACI</w:t>
      </w:r>
    </w:p>
    <w:p w14:paraId="37BEEB2E" w14:textId="77777777" w:rsidR="0053024A" w:rsidRPr="00E36C10" w:rsidRDefault="0053024A" w:rsidP="0053024A">
      <w:pPr>
        <w:rPr>
          <w:b/>
          <w:bCs/>
          <w:szCs w:val="22"/>
          <w:lang w:val="sr-Latn-ME"/>
        </w:rPr>
      </w:pPr>
    </w:p>
    <w:p w14:paraId="32511024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4.1. Terapijske indikacije</w:t>
      </w:r>
    </w:p>
    <w:p w14:paraId="6AE4F30B" w14:textId="77777777" w:rsidR="001D3B4B" w:rsidRPr="00E36C10" w:rsidRDefault="001D3B4B" w:rsidP="0053024A">
      <w:pPr>
        <w:rPr>
          <w:szCs w:val="22"/>
          <w:lang w:val="sr-Latn-ME"/>
        </w:rPr>
      </w:pPr>
    </w:p>
    <w:p w14:paraId="6C4CCF26" w14:textId="4693D102" w:rsidR="00015F23" w:rsidRPr="00E36C10" w:rsidRDefault="00015F23" w:rsidP="00015F23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Lijek Povidon jod HF, rastvor za kožu, 100 mg/m</w:t>
      </w:r>
      <w:r w:rsidR="006A78C8">
        <w:rPr>
          <w:szCs w:val="22"/>
          <w:lang w:val="sr-Latn-ME"/>
        </w:rPr>
        <w:t>l</w:t>
      </w:r>
      <w:r w:rsidRPr="00E36C10">
        <w:rPr>
          <w:szCs w:val="22"/>
          <w:lang w:val="sr-Latn-ME"/>
        </w:rPr>
        <w:t xml:space="preserve"> primjenjuje se jednokratno za:</w:t>
      </w:r>
    </w:p>
    <w:p w14:paraId="59B3E335" w14:textId="77777777" w:rsidR="00015F23" w:rsidRPr="00E36C10" w:rsidRDefault="00015F23" w:rsidP="00015F2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dezinfekciju intaktne kože i sluzokože, na primjer prije hirurške intervencije, biopsije, injekcije, punkcije, uzimanja krvi i kаteterizаcije bešike.</w:t>
      </w:r>
    </w:p>
    <w:p w14:paraId="65205293" w14:textId="77777777" w:rsidR="00015F23" w:rsidRPr="00E36C10" w:rsidRDefault="00015F23" w:rsidP="0053024A">
      <w:pPr>
        <w:rPr>
          <w:szCs w:val="22"/>
          <w:lang w:val="sr-Latn-ME"/>
        </w:rPr>
      </w:pPr>
    </w:p>
    <w:p w14:paraId="240CC7F1" w14:textId="2FC60FAC" w:rsidR="007968B2" w:rsidRPr="00E36C10" w:rsidRDefault="002E7E8B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7968B2" w:rsidRPr="00E36C10">
        <w:rPr>
          <w:szCs w:val="22"/>
          <w:lang w:val="sr-Latn-ME"/>
        </w:rPr>
        <w:t xml:space="preserve">Povidon jod HF, rastvor za kožu, </w:t>
      </w:r>
      <w:r w:rsidR="00F0175D" w:rsidRPr="00E36C10">
        <w:rPr>
          <w:szCs w:val="22"/>
          <w:lang w:val="sr-Latn-ME"/>
        </w:rPr>
        <w:t>100 mg/m</w:t>
      </w:r>
      <w:r w:rsidR="00E03828">
        <w:rPr>
          <w:szCs w:val="22"/>
          <w:lang w:val="sr-Latn-ME"/>
        </w:rPr>
        <w:t>l</w:t>
      </w:r>
      <w:r w:rsidR="00F0175D" w:rsidRPr="00E36C10" w:rsidDel="00F0175D">
        <w:rPr>
          <w:szCs w:val="22"/>
          <w:lang w:val="sr-Latn-ME"/>
        </w:rPr>
        <w:t xml:space="preserve"> </w:t>
      </w:r>
      <w:r w:rsidR="007968B2" w:rsidRPr="00E36C10">
        <w:rPr>
          <w:szCs w:val="22"/>
          <w:lang w:val="sr-Latn-ME"/>
        </w:rPr>
        <w:t xml:space="preserve">indikovan je za višekratnu </w:t>
      </w:r>
      <w:r w:rsidRPr="00E36C10">
        <w:rPr>
          <w:szCs w:val="22"/>
          <w:lang w:val="sr-Latn-ME"/>
        </w:rPr>
        <w:t>primjenu</w:t>
      </w:r>
      <w:r w:rsidR="007968B2" w:rsidRPr="00E36C10">
        <w:rPr>
          <w:szCs w:val="22"/>
          <w:lang w:val="sr-Latn-ME"/>
        </w:rPr>
        <w:t xml:space="preserve"> tokom ograničenog vremenskog perioda za:</w:t>
      </w:r>
    </w:p>
    <w:p w14:paraId="195F29AB" w14:textId="77777777" w:rsidR="007968B2" w:rsidRPr="00E36C10" w:rsidRDefault="007968B2" w:rsidP="00015F2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dezinfekciju rana</w:t>
      </w:r>
      <w:r w:rsidR="00015F23" w:rsidRPr="00E36C10">
        <w:rPr>
          <w:szCs w:val="22"/>
          <w:lang w:val="sr-Latn-ME"/>
        </w:rPr>
        <w:t xml:space="preserve"> </w:t>
      </w:r>
      <w:r w:rsidR="00015F23" w:rsidRPr="00E36C10">
        <w:rPr>
          <w:rFonts w:eastAsia="TimesNewRoman"/>
          <w:szCs w:val="22"/>
          <w:lang w:val="sr-Latn-ME"/>
        </w:rPr>
        <w:t>(npr. dekubitusa ili vаrikoznih ulkusа),</w:t>
      </w:r>
      <w:r w:rsidRPr="00E36C10">
        <w:rPr>
          <w:szCs w:val="22"/>
          <w:lang w:val="sr-Latn-ME"/>
        </w:rPr>
        <w:t xml:space="preserve"> opekotina, inficiranih i superinficiranih dermatoza. </w:t>
      </w:r>
    </w:p>
    <w:p w14:paraId="72CE32AD" w14:textId="77777777" w:rsidR="00CE09F3" w:rsidRPr="00E36C10" w:rsidRDefault="00CE09F3" w:rsidP="0053024A">
      <w:pPr>
        <w:rPr>
          <w:szCs w:val="22"/>
          <w:lang w:val="sr-Latn-ME"/>
        </w:rPr>
      </w:pPr>
    </w:p>
    <w:p w14:paraId="6B7B0178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4.2. Doziranje i način prim</w:t>
      </w:r>
      <w:r w:rsidR="002E7E8B" w:rsidRPr="00E36C10">
        <w:rPr>
          <w:b/>
          <w:bCs/>
          <w:szCs w:val="22"/>
          <w:lang w:val="sr-Latn-ME"/>
        </w:rPr>
        <w:t>j</w:t>
      </w:r>
      <w:r w:rsidRPr="00E36C10">
        <w:rPr>
          <w:b/>
          <w:bCs/>
          <w:szCs w:val="22"/>
          <w:lang w:val="sr-Latn-ME"/>
        </w:rPr>
        <w:t>ene</w:t>
      </w:r>
    </w:p>
    <w:p w14:paraId="68F444B7" w14:textId="77777777" w:rsidR="00CE09F3" w:rsidRPr="00E36C10" w:rsidRDefault="00CE09F3" w:rsidP="0053024A">
      <w:pPr>
        <w:rPr>
          <w:szCs w:val="22"/>
          <w:lang w:val="sr-Latn-ME"/>
        </w:rPr>
      </w:pPr>
    </w:p>
    <w:p w14:paraId="7DFCFE83" w14:textId="77777777" w:rsidR="00214B4C" w:rsidRPr="00E36C10" w:rsidRDefault="002E7E8B" w:rsidP="0053024A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nam</w:t>
      </w:r>
      <w:r w:rsidRPr="00E36C10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enjen</w:t>
      </w:r>
      <w:r w:rsidR="00CB23D0" w:rsidRPr="00E36C10">
        <w:rPr>
          <w:szCs w:val="22"/>
          <w:lang w:val="sr-Latn-ME"/>
        </w:rPr>
        <w:t xml:space="preserve"> je</w:t>
      </w:r>
      <w:r w:rsidR="00214B4C" w:rsidRPr="00E36C10">
        <w:rPr>
          <w:szCs w:val="22"/>
          <w:lang w:val="sr-Latn-ME"/>
        </w:rPr>
        <w:t xml:space="preserve"> za lokalnu upotrebu. Koristi se nerazblažen ili razblažen.</w:t>
      </w:r>
    </w:p>
    <w:p w14:paraId="6DBCE637" w14:textId="77777777" w:rsidR="00214B4C" w:rsidRPr="00E36C10" w:rsidRDefault="00214B4C" w:rsidP="0053024A">
      <w:pPr>
        <w:tabs>
          <w:tab w:val="left" w:pos="1080"/>
        </w:tabs>
        <w:rPr>
          <w:szCs w:val="22"/>
          <w:lang w:val="sr-Latn-ME"/>
        </w:rPr>
      </w:pPr>
    </w:p>
    <w:p w14:paraId="02D8CB4A" w14:textId="6C624B76" w:rsidR="00015F23" w:rsidRPr="00E36C10" w:rsidRDefault="00015F23" w:rsidP="00015F23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Lijek Povidon jod HF, za dezinfekciju kože ili sluzokože, npr. prije hirurške intervencije, biopsije, injekcije, punkcije, uzimanja krvi i kаteterizаcije bešike, treba prim</w:t>
      </w:r>
      <w:r w:rsidR="00D411E7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eniti nerazblažen.</w:t>
      </w:r>
    </w:p>
    <w:p w14:paraId="51FB7A5F" w14:textId="77777777" w:rsidR="00015F23" w:rsidRPr="00E36C10" w:rsidRDefault="00015F23" w:rsidP="00015F23">
      <w:pPr>
        <w:tabs>
          <w:tab w:val="left" w:pos="1080"/>
        </w:tabs>
        <w:rPr>
          <w:szCs w:val="22"/>
          <w:lang w:val="sr-Latn-ME"/>
        </w:rPr>
      </w:pPr>
    </w:p>
    <w:p w14:paraId="379279F6" w14:textId="77777777" w:rsidR="00015F23" w:rsidRPr="00E36C10" w:rsidRDefault="00015F23" w:rsidP="00015F23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Za dezinfekciju kože sa slabom distribucijom lojnih žlijezda izloženost rastvoru treba da traje najmanje 1 minut, na površinama sa gustom distribucijom lojnih žl</w:t>
      </w:r>
      <w:r w:rsidR="00E36C10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ezda ova izloženost treba da iznosi najmanje 10 minuta. Kožu treba održavati vlažnom dok traje izloženost nerаzblаženom l</w:t>
      </w:r>
      <w:r w:rsidR="00E36C10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eku.</w:t>
      </w:r>
    </w:p>
    <w:p w14:paraId="095DAEFB" w14:textId="77777777" w:rsidR="00015F23" w:rsidRPr="00E36C10" w:rsidRDefault="00015F23" w:rsidP="00015F23">
      <w:pPr>
        <w:tabs>
          <w:tab w:val="left" w:pos="1080"/>
        </w:tabs>
        <w:rPr>
          <w:szCs w:val="22"/>
          <w:lang w:val="sr-Latn-ME"/>
        </w:rPr>
      </w:pPr>
    </w:p>
    <w:p w14:paraId="6A0E9A23" w14:textId="77777777" w:rsidR="00214B4C" w:rsidRPr="00E36C10" w:rsidRDefault="00214B4C" w:rsidP="00015F23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Za anti</w:t>
      </w:r>
      <w:r w:rsidR="004348AD" w:rsidRPr="00E36C10">
        <w:rPr>
          <w:szCs w:val="22"/>
          <w:lang w:val="sr-Latn-ME"/>
        </w:rPr>
        <w:t>septičn</w:t>
      </w:r>
      <w:r w:rsidRPr="00E36C10">
        <w:rPr>
          <w:szCs w:val="22"/>
          <w:lang w:val="sr-Latn-ME"/>
        </w:rPr>
        <w:t xml:space="preserve">i tretman površinskih rana </w:t>
      </w:r>
      <w:r w:rsidR="002E7E8B" w:rsidRPr="00E36C10">
        <w:rPr>
          <w:szCs w:val="22"/>
          <w:lang w:val="sr-Latn-ME"/>
        </w:rPr>
        <w:t xml:space="preserve">lijek </w:t>
      </w:r>
      <w:r w:rsidRPr="00E36C10">
        <w:rPr>
          <w:szCs w:val="22"/>
          <w:lang w:val="sr-Latn-ME"/>
        </w:rPr>
        <w:t>Povidon jod HF prim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enjuje se nerazblažen. </w:t>
      </w:r>
    </w:p>
    <w:p w14:paraId="4D3C3171" w14:textId="77777777" w:rsidR="00214B4C" w:rsidRPr="00E36C10" w:rsidRDefault="00214B4C" w:rsidP="0053024A">
      <w:pPr>
        <w:tabs>
          <w:tab w:val="left" w:pos="1080"/>
        </w:tabs>
        <w:rPr>
          <w:szCs w:val="22"/>
          <w:lang w:val="sr-Latn-ME"/>
        </w:rPr>
      </w:pPr>
    </w:p>
    <w:p w14:paraId="19419824" w14:textId="77777777" w:rsidR="00214B4C" w:rsidRPr="00E36C10" w:rsidRDefault="004348AD" w:rsidP="0053024A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Za antiseptičn</w:t>
      </w:r>
      <w:r w:rsidR="00214B4C" w:rsidRPr="00E36C10">
        <w:rPr>
          <w:szCs w:val="22"/>
          <w:lang w:val="sr-Latn-ME"/>
        </w:rPr>
        <w:t xml:space="preserve">i tretman rana od opekotina </w:t>
      </w:r>
      <w:r w:rsidR="002E7E8B"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 xml:space="preserve">Povidon jod HF </w:t>
      </w:r>
      <w:r w:rsidR="00F47908" w:rsidRPr="00E36C10">
        <w:rPr>
          <w:szCs w:val="22"/>
          <w:lang w:val="sr-Latn-ME"/>
        </w:rPr>
        <w:t xml:space="preserve">se </w:t>
      </w:r>
      <w:r w:rsidR="00214B4C" w:rsidRPr="00E36C10">
        <w:rPr>
          <w:szCs w:val="22"/>
          <w:lang w:val="sr-Latn-ME"/>
        </w:rPr>
        <w:t>obično prim</w:t>
      </w:r>
      <w:r w:rsidR="002E7E8B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 xml:space="preserve">enjuje nerazblažen. </w:t>
      </w:r>
    </w:p>
    <w:p w14:paraId="047659A0" w14:textId="77777777" w:rsidR="00214B4C" w:rsidRPr="00E36C10" w:rsidRDefault="00214B4C" w:rsidP="0053024A">
      <w:pPr>
        <w:tabs>
          <w:tab w:val="left" w:pos="1080"/>
        </w:tabs>
        <w:rPr>
          <w:szCs w:val="22"/>
          <w:lang w:val="sr-Latn-ME"/>
        </w:rPr>
      </w:pPr>
    </w:p>
    <w:p w14:paraId="4B58F99C" w14:textId="77777777" w:rsidR="00214B4C" w:rsidRPr="00E36C10" w:rsidRDefault="004348AD" w:rsidP="0053024A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Za antiseptičn</w:t>
      </w:r>
      <w:r w:rsidR="00214B4C" w:rsidRPr="00E36C10">
        <w:rPr>
          <w:szCs w:val="22"/>
          <w:lang w:val="sr-Latn-ME"/>
        </w:rPr>
        <w:t>o</w:t>
      </w:r>
      <w:r w:rsidRPr="00E36C10">
        <w:rPr>
          <w:szCs w:val="22"/>
          <w:lang w:val="sr-Latn-ME"/>
        </w:rPr>
        <w:t xml:space="preserve"> ispiranje, pranje i antiseptičn</w:t>
      </w:r>
      <w:r w:rsidR="00214B4C" w:rsidRPr="00E36C10">
        <w:rPr>
          <w:szCs w:val="22"/>
          <w:lang w:val="sr-Latn-ME"/>
        </w:rPr>
        <w:t xml:space="preserve">e kupke, </w:t>
      </w:r>
      <w:r w:rsidR="002E7E8B"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se može razblaživati. Preporučuju se sl</w:t>
      </w:r>
      <w:r w:rsidR="002E7E8B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edeća razblaženja u standardnim razm</w:t>
      </w:r>
      <w:r w:rsidR="002E7E8B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erama:</w:t>
      </w:r>
    </w:p>
    <w:p w14:paraId="2F6CAF23" w14:textId="77777777" w:rsidR="00214B4C" w:rsidRPr="00E36C10" w:rsidRDefault="00214B4C" w:rsidP="0053024A">
      <w:pPr>
        <w:numPr>
          <w:ilvl w:val="0"/>
          <w:numId w:val="5"/>
        </w:num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lastRenderedPageBreak/>
        <w:t xml:space="preserve">ispiranje u okviru </w:t>
      </w:r>
      <w:r w:rsidR="002E7E8B" w:rsidRPr="00E36C10">
        <w:rPr>
          <w:szCs w:val="22"/>
          <w:lang w:val="sr-Latn-ME"/>
        </w:rPr>
        <w:t>liječe</w:t>
      </w:r>
      <w:r w:rsidRPr="00E36C10">
        <w:rPr>
          <w:szCs w:val="22"/>
          <w:lang w:val="sr-Latn-ME"/>
        </w:rPr>
        <w:t xml:space="preserve">nja rana (npr. dekubitus, varikozni ulkusi i gangrena) </w:t>
      </w:r>
      <w:r w:rsidR="00E36C10" w:rsidRPr="00E36C10">
        <w:rPr>
          <w:szCs w:val="22"/>
          <w:lang w:val="sr-Latn-ME"/>
        </w:rPr>
        <w:t xml:space="preserve">i profilaksa perioperativnih infekcija </w:t>
      </w:r>
      <w:r w:rsidRPr="00E36C10">
        <w:rPr>
          <w:szCs w:val="22"/>
          <w:lang w:val="sr-Latn-ME"/>
        </w:rPr>
        <w:t>1:2 do 1:20</w:t>
      </w:r>
    </w:p>
    <w:p w14:paraId="7787A6E8" w14:textId="77777777" w:rsidR="00214B4C" w:rsidRPr="00E36C10" w:rsidRDefault="004348AD" w:rsidP="0053024A">
      <w:pPr>
        <w:numPr>
          <w:ilvl w:val="0"/>
          <w:numId w:val="5"/>
        </w:num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antiseptičn</w:t>
      </w:r>
      <w:r w:rsidR="00214B4C" w:rsidRPr="00E36C10">
        <w:rPr>
          <w:szCs w:val="22"/>
          <w:lang w:val="sr-Latn-ME"/>
        </w:rPr>
        <w:t>a pranja 1:2 do 1:25</w:t>
      </w:r>
    </w:p>
    <w:p w14:paraId="2A1B0047" w14:textId="77777777" w:rsidR="00214B4C" w:rsidRPr="00E36C10" w:rsidRDefault="004348AD" w:rsidP="0053024A">
      <w:pPr>
        <w:numPr>
          <w:ilvl w:val="0"/>
          <w:numId w:val="5"/>
        </w:num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antiseptičn</w:t>
      </w:r>
      <w:r w:rsidR="00214B4C" w:rsidRPr="00E36C10">
        <w:rPr>
          <w:szCs w:val="22"/>
          <w:lang w:val="sr-Latn-ME"/>
        </w:rPr>
        <w:t>a parcij</w:t>
      </w:r>
      <w:r w:rsidRPr="00E36C10">
        <w:rPr>
          <w:szCs w:val="22"/>
          <w:lang w:val="sr-Latn-ME"/>
        </w:rPr>
        <w:t>alna kupka oko 1:25, antiseptičn</w:t>
      </w:r>
      <w:r w:rsidR="00214B4C" w:rsidRPr="00E36C10">
        <w:rPr>
          <w:szCs w:val="22"/>
          <w:lang w:val="sr-Latn-ME"/>
        </w:rPr>
        <w:t>a kompletna kupka oko 1:100.</w:t>
      </w:r>
    </w:p>
    <w:p w14:paraId="68E67025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6B6918CD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Obična </w:t>
      </w:r>
      <w:r w:rsidR="00177D7C" w:rsidRPr="00E36C10">
        <w:rPr>
          <w:szCs w:val="22"/>
          <w:lang w:val="sr-Latn-ME"/>
        </w:rPr>
        <w:t xml:space="preserve">voda </w:t>
      </w:r>
      <w:r w:rsidR="000C5B36" w:rsidRPr="00E36C10">
        <w:rPr>
          <w:szCs w:val="22"/>
          <w:lang w:val="sr-Latn-ME"/>
        </w:rPr>
        <w:t>iz</w:t>
      </w:r>
      <w:r w:rsidRPr="00E36C10">
        <w:rPr>
          <w:szCs w:val="22"/>
          <w:lang w:val="sr-Latn-ME"/>
        </w:rPr>
        <w:t xml:space="preserve"> slavine je odgovarajuća za razblaživanje. </w:t>
      </w:r>
      <w:r w:rsidR="00202C74" w:rsidRPr="00E36C10">
        <w:rPr>
          <w:szCs w:val="22"/>
          <w:lang w:val="sr-Latn-ME"/>
        </w:rPr>
        <w:t>Kada su u</w:t>
      </w:r>
      <w:r w:rsidRPr="00E36C10">
        <w:rPr>
          <w:szCs w:val="22"/>
          <w:lang w:val="sr-Latn-ME"/>
        </w:rPr>
        <w:t xml:space="preserve">slovi približne izotoničnosti poželjni, mogu se koristiti fiziološki rastvor ili Ringerov rastvor. </w:t>
      </w:r>
    </w:p>
    <w:p w14:paraId="39E956C0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47B1DB57" w14:textId="77777777" w:rsidR="00721BC1" w:rsidRPr="00E36C10" w:rsidRDefault="00721BC1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Razblaženi rastvori moraju uv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ek biti sv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eže pripremljeni i moraju se odmah upotr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ebiti.</w:t>
      </w:r>
    </w:p>
    <w:p w14:paraId="0D387F69" w14:textId="77777777" w:rsidR="00721BC1" w:rsidRPr="00E36C10" w:rsidRDefault="00721BC1" w:rsidP="0053024A">
      <w:pPr>
        <w:tabs>
          <w:tab w:val="left" w:pos="709"/>
        </w:tabs>
        <w:rPr>
          <w:szCs w:val="22"/>
          <w:lang w:val="sr-Latn-ME"/>
        </w:rPr>
      </w:pPr>
    </w:p>
    <w:p w14:paraId="4B7C9AB6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Radi adekvatnog </w:t>
      </w:r>
      <w:r w:rsidR="002E7E8B" w:rsidRPr="00E36C10">
        <w:rPr>
          <w:szCs w:val="22"/>
          <w:lang w:val="sr-Latn-ME"/>
        </w:rPr>
        <w:t>liječe</w:t>
      </w:r>
      <w:r w:rsidRPr="00E36C10">
        <w:rPr>
          <w:szCs w:val="22"/>
          <w:lang w:val="sr-Latn-ME"/>
        </w:rPr>
        <w:t xml:space="preserve">nja, dovoljna količina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>Povidon jod HF se mora nan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eti tako da potpuno ovlaži</w:t>
      </w:r>
      <w:r w:rsidR="004348AD" w:rsidRPr="00E36C10">
        <w:rPr>
          <w:szCs w:val="22"/>
          <w:lang w:val="sr-Latn-ME"/>
        </w:rPr>
        <w:t xml:space="preserve"> tretirano područje. Antiseptičn</w:t>
      </w:r>
      <w:r w:rsidRPr="00E36C10">
        <w:rPr>
          <w:szCs w:val="22"/>
          <w:lang w:val="sr-Latn-ME"/>
        </w:rPr>
        <w:t>i film koji se formira sušenjem, može se lako oprati vodom.</w:t>
      </w:r>
    </w:p>
    <w:p w14:paraId="06482178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1838BAE8" w14:textId="77777777" w:rsidR="00E36C10" w:rsidRPr="00E36C10" w:rsidRDefault="00E36C10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Pri primjeni lijeka Povidon jod HF za preoperаtivnu dezinfekciju kože može doći do iritacije kože, pa treba izb</w:t>
      </w:r>
      <w:r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eći nakupljanje rastvora ispod pacijenta (kada je u ležećem položaju).</w:t>
      </w:r>
    </w:p>
    <w:p w14:paraId="5367269B" w14:textId="77777777" w:rsidR="00E36C10" w:rsidRPr="00E36C10" w:rsidRDefault="00E36C10" w:rsidP="0053024A">
      <w:pPr>
        <w:tabs>
          <w:tab w:val="left" w:pos="709"/>
        </w:tabs>
        <w:rPr>
          <w:szCs w:val="22"/>
          <w:lang w:val="sr-Latn-ME"/>
        </w:rPr>
      </w:pPr>
    </w:p>
    <w:p w14:paraId="3740D75C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Kod ponovljene prim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ene</w:t>
      </w:r>
      <w:r w:rsidR="004348AD" w:rsidRPr="00E36C10">
        <w:rPr>
          <w:szCs w:val="22"/>
          <w:lang w:val="sr-Latn-ME"/>
        </w:rPr>
        <w:t>,</w:t>
      </w:r>
      <w:r w:rsidRPr="00E36C10">
        <w:rPr>
          <w:szCs w:val="22"/>
          <w:lang w:val="sr-Latn-ME"/>
        </w:rPr>
        <w:t xml:space="preserve"> frekvenca i trajanje terapije zavise od indikacije. </w:t>
      </w:r>
      <w:r w:rsidR="002E7E8B" w:rsidRPr="00E36C10">
        <w:rPr>
          <w:szCs w:val="22"/>
          <w:lang w:val="sr-Latn-ME"/>
        </w:rPr>
        <w:t xml:space="preserve">Lijek </w:t>
      </w:r>
      <w:r w:rsidRPr="00E36C10">
        <w:rPr>
          <w:szCs w:val="22"/>
          <w:lang w:val="sr-Latn-ME"/>
        </w:rPr>
        <w:t>Povidon jod HF sv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eže pripremljen za svaku upotrebu, može se prim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enjivati nekoliko puta dnevno.</w:t>
      </w:r>
    </w:p>
    <w:p w14:paraId="4D92B019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0F7A9A75" w14:textId="77777777" w:rsidR="00214B4C" w:rsidRPr="00E36C10" w:rsidRDefault="002E7E8B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Liječe</w:t>
      </w:r>
      <w:r w:rsidR="00214B4C" w:rsidRPr="00E36C10">
        <w:rPr>
          <w:szCs w:val="22"/>
          <w:lang w:val="sr-Latn-ME"/>
        </w:rPr>
        <w:t>nje rana treba da traje dokle god postoje znaci ili rizik od infekcije. Ukoliko se infekcija ponovo javi nakon prestanka prim</w:t>
      </w:r>
      <w:r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 xml:space="preserve">ene </w:t>
      </w:r>
      <w:r w:rsidRPr="00E36C10">
        <w:rPr>
          <w:szCs w:val="22"/>
          <w:lang w:val="sr-Latn-ME"/>
        </w:rPr>
        <w:t xml:space="preserve">lijeka </w:t>
      </w:r>
      <w:r w:rsidR="00214B4C" w:rsidRPr="00E36C10">
        <w:rPr>
          <w:szCs w:val="22"/>
          <w:lang w:val="sr-Latn-ME"/>
        </w:rPr>
        <w:t xml:space="preserve">Povidon jod HF terapija se može ponovo započeti. </w:t>
      </w:r>
    </w:p>
    <w:p w14:paraId="6D843924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04911497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Tamnosmeđa prebojenost kože uzrokovana l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ekom Povidon jod HF je svojstvo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 xml:space="preserve">i ukazuje </w:t>
      </w:r>
      <w:r w:rsidR="00995795" w:rsidRPr="00E36C10">
        <w:rPr>
          <w:szCs w:val="22"/>
          <w:lang w:val="sr-Latn-ME"/>
        </w:rPr>
        <w:t>na njegovu efikasnost</w:t>
      </w:r>
      <w:r w:rsidRPr="00E36C10">
        <w:rPr>
          <w:szCs w:val="22"/>
          <w:lang w:val="sr-Latn-ME"/>
        </w:rPr>
        <w:t xml:space="preserve">. </w:t>
      </w:r>
      <w:r w:rsidR="00995795" w:rsidRPr="00E36C10">
        <w:rPr>
          <w:szCs w:val="22"/>
          <w:lang w:val="sr-Latn-ME"/>
        </w:rPr>
        <w:t xml:space="preserve">Značajno obezbojavanje ukazuje na gubitak efikasnosti </w:t>
      </w:r>
      <w:r w:rsidR="007B74EE" w:rsidRPr="00E36C10">
        <w:rPr>
          <w:szCs w:val="22"/>
          <w:lang w:val="sr-Latn-ME"/>
        </w:rPr>
        <w:t>l</w:t>
      </w:r>
      <w:r w:rsidR="002E7E8B" w:rsidRPr="00E36C10">
        <w:rPr>
          <w:szCs w:val="22"/>
          <w:lang w:val="sr-Latn-ME"/>
        </w:rPr>
        <w:t>ij</w:t>
      </w:r>
      <w:r w:rsidR="007B74EE" w:rsidRPr="00E36C10">
        <w:rPr>
          <w:szCs w:val="22"/>
          <w:lang w:val="sr-Latn-ME"/>
        </w:rPr>
        <w:t>eka</w:t>
      </w:r>
      <w:r w:rsidR="00995795" w:rsidRPr="00E36C10">
        <w:rPr>
          <w:szCs w:val="22"/>
          <w:lang w:val="sr-Latn-ME"/>
        </w:rPr>
        <w:t>.</w:t>
      </w:r>
    </w:p>
    <w:p w14:paraId="4CCF97BB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52FCC796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Prilikom nanošenja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>Povidon jod HF kao kupke itd</w:t>
      </w:r>
      <w:r w:rsidR="00721BC1" w:rsidRPr="00E36C10">
        <w:rPr>
          <w:szCs w:val="22"/>
          <w:lang w:val="sr-Latn-ME"/>
        </w:rPr>
        <w:t>,</w:t>
      </w:r>
      <w:r w:rsidRPr="00E36C10">
        <w:rPr>
          <w:szCs w:val="22"/>
          <w:lang w:val="sr-Latn-ME"/>
        </w:rPr>
        <w:t xml:space="preserve"> jod se može naći na okolnim predmetima, u vidu tamnosmeđeg taloga. Preporuč</w:t>
      </w:r>
      <w:r w:rsidR="00190156" w:rsidRPr="00E36C10">
        <w:rPr>
          <w:szCs w:val="22"/>
          <w:lang w:val="sr-Latn-ME"/>
        </w:rPr>
        <w:t>u</w:t>
      </w:r>
      <w:r w:rsidRPr="00E36C10">
        <w:rPr>
          <w:szCs w:val="22"/>
          <w:lang w:val="sr-Latn-ME"/>
        </w:rPr>
        <w:t xml:space="preserve">je se čišćenje kade odmah po završetku kupanja. </w:t>
      </w:r>
    </w:p>
    <w:p w14:paraId="4681997D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74EA1BA3" w14:textId="77777777" w:rsidR="00214B4C" w:rsidRPr="00E36C10" w:rsidRDefault="002E7E8B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se, po pravilu, može oprati sa tekstila i drugih materijala toplom vodom i sapunom. U slučaju f</w:t>
      </w:r>
      <w:r w:rsidRPr="00E36C10">
        <w:rPr>
          <w:szCs w:val="22"/>
          <w:lang w:val="sr-Latn-ME"/>
        </w:rPr>
        <w:t xml:space="preserve">leka </w:t>
      </w:r>
      <w:r w:rsidR="00214B4C" w:rsidRPr="00E36C10">
        <w:rPr>
          <w:szCs w:val="22"/>
          <w:lang w:val="sr-Latn-ME"/>
        </w:rPr>
        <w:t>koje se teško uklanjaju, mogu se koristiti amonijačni rastvor ili so natrijum-tiosul</w:t>
      </w:r>
      <w:r w:rsidR="005354CE" w:rsidRPr="00E36C10">
        <w:rPr>
          <w:szCs w:val="22"/>
          <w:lang w:val="sr-Latn-ME"/>
        </w:rPr>
        <w:t>fat</w:t>
      </w:r>
      <w:r w:rsidR="00214B4C" w:rsidRPr="00E36C10">
        <w:rPr>
          <w:szCs w:val="22"/>
          <w:lang w:val="sr-Latn-ME"/>
        </w:rPr>
        <w:t xml:space="preserve">. </w:t>
      </w:r>
    </w:p>
    <w:p w14:paraId="54332424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48FE5085" w14:textId="77777777" w:rsidR="00214B4C" w:rsidRPr="00E36C10" w:rsidRDefault="00214B4C" w:rsidP="0053024A">
      <w:pPr>
        <w:tabs>
          <w:tab w:val="left" w:pos="709"/>
        </w:tabs>
        <w:rPr>
          <w:i/>
          <w:szCs w:val="22"/>
          <w:lang w:val="sr-Latn-ME"/>
        </w:rPr>
      </w:pPr>
      <w:r w:rsidRPr="00E36C10">
        <w:rPr>
          <w:i/>
          <w:szCs w:val="22"/>
          <w:lang w:val="sr-Latn-ME"/>
        </w:rPr>
        <w:t xml:space="preserve">Novorođenčad i </w:t>
      </w:r>
      <w:r w:rsidR="002E7E8B" w:rsidRPr="00E36C10">
        <w:rPr>
          <w:i/>
          <w:szCs w:val="22"/>
          <w:lang w:val="sr-Latn-ME"/>
        </w:rPr>
        <w:t>dojenčad</w:t>
      </w:r>
    </w:p>
    <w:p w14:paraId="5F63D72E" w14:textId="77777777" w:rsidR="00214B4C" w:rsidRPr="00D55C55" w:rsidRDefault="002E7E8B" w:rsidP="0053024A">
      <w:pPr>
        <w:tabs>
          <w:tab w:val="left" w:pos="709"/>
        </w:tabs>
        <w:rPr>
          <w:szCs w:val="22"/>
          <w:lang w:val="sr-Latn-ME"/>
        </w:rPr>
      </w:pPr>
      <w:r w:rsidRPr="00D55C55">
        <w:rPr>
          <w:szCs w:val="22"/>
          <w:lang w:val="sr-Latn-ME"/>
        </w:rPr>
        <w:t xml:space="preserve">Lijek </w:t>
      </w:r>
      <w:r w:rsidR="00214B4C" w:rsidRPr="00D55C55">
        <w:rPr>
          <w:szCs w:val="22"/>
          <w:lang w:val="sr-Latn-ME"/>
        </w:rPr>
        <w:t>Povidon jod HF se može prim</w:t>
      </w:r>
      <w:r w:rsidRPr="00D55C55">
        <w:rPr>
          <w:szCs w:val="22"/>
          <w:lang w:val="sr-Latn-ME"/>
        </w:rPr>
        <w:t>ij</w:t>
      </w:r>
      <w:r w:rsidR="00214B4C" w:rsidRPr="00D55C55">
        <w:rPr>
          <w:szCs w:val="22"/>
          <w:lang w:val="sr-Latn-ME"/>
        </w:rPr>
        <w:t xml:space="preserve">eniti samo nakon pažljive dijagnoze i samo za izuzetno ograničenu upotrebu kod novorođenčadi i </w:t>
      </w:r>
      <w:r w:rsidRPr="00D55C55">
        <w:rPr>
          <w:szCs w:val="22"/>
          <w:lang w:val="sr-Latn-ME"/>
        </w:rPr>
        <w:t>dojenčadi</w:t>
      </w:r>
      <w:r w:rsidR="00214B4C" w:rsidRPr="00D55C55">
        <w:rPr>
          <w:szCs w:val="22"/>
          <w:lang w:val="sr-Latn-ME"/>
        </w:rPr>
        <w:t xml:space="preserve"> uzrasta do 6 m</w:t>
      </w:r>
      <w:r w:rsidRPr="00D55C55">
        <w:rPr>
          <w:szCs w:val="22"/>
          <w:lang w:val="sr-Latn-ME"/>
        </w:rPr>
        <w:t>j</w:t>
      </w:r>
      <w:r w:rsidR="00214B4C" w:rsidRPr="00D55C55">
        <w:rPr>
          <w:szCs w:val="22"/>
          <w:lang w:val="sr-Latn-ME"/>
        </w:rPr>
        <w:t xml:space="preserve">eseci. </w:t>
      </w:r>
    </w:p>
    <w:p w14:paraId="1442E9E3" w14:textId="77777777" w:rsidR="000B2780" w:rsidRPr="00D55C55" w:rsidRDefault="00214B4C" w:rsidP="0053024A">
      <w:pPr>
        <w:tabs>
          <w:tab w:val="left" w:pos="709"/>
        </w:tabs>
        <w:rPr>
          <w:szCs w:val="22"/>
          <w:lang w:val="sr-Latn-ME"/>
        </w:rPr>
      </w:pPr>
      <w:r w:rsidRPr="00D55C55">
        <w:rPr>
          <w:szCs w:val="22"/>
          <w:lang w:val="sr-Latn-ME"/>
        </w:rPr>
        <w:t>Potrebno je vršiti kontrolu funkcije tireoidee kod ove grupe pacijenata</w:t>
      </w:r>
      <w:r w:rsidR="000B2780" w:rsidRPr="00D55C55">
        <w:rPr>
          <w:szCs w:val="22"/>
          <w:lang w:val="sr-Latn-ME"/>
        </w:rPr>
        <w:t xml:space="preserve"> (</w:t>
      </w:r>
      <w:r w:rsidR="002E7E8B" w:rsidRPr="00D55C55">
        <w:rPr>
          <w:szCs w:val="22"/>
          <w:lang w:val="sr-Latn-ME"/>
        </w:rPr>
        <w:t>pogledati</w:t>
      </w:r>
      <w:r w:rsidR="000B2780" w:rsidRPr="00D55C55">
        <w:rPr>
          <w:szCs w:val="22"/>
          <w:lang w:val="sr-Latn-ME"/>
        </w:rPr>
        <w:t xml:space="preserve"> </w:t>
      </w:r>
      <w:r w:rsidR="002E7E8B" w:rsidRPr="00D55C55">
        <w:rPr>
          <w:szCs w:val="22"/>
          <w:lang w:val="sr-Latn-ME"/>
        </w:rPr>
        <w:t>dio</w:t>
      </w:r>
      <w:r w:rsidR="000B2780" w:rsidRPr="00D55C55">
        <w:rPr>
          <w:szCs w:val="22"/>
          <w:lang w:val="sr-Latn-ME"/>
        </w:rPr>
        <w:t xml:space="preserve"> 4.4)</w:t>
      </w:r>
      <w:r w:rsidRPr="00D55C55">
        <w:rPr>
          <w:szCs w:val="22"/>
          <w:lang w:val="sr-Latn-ME"/>
        </w:rPr>
        <w:t xml:space="preserve">. </w:t>
      </w:r>
    </w:p>
    <w:p w14:paraId="66136BB3" w14:textId="77777777" w:rsidR="00214B4C" w:rsidRPr="00E36C10" w:rsidRDefault="002E7E8B" w:rsidP="0053024A">
      <w:pPr>
        <w:tabs>
          <w:tab w:val="left" w:pos="709"/>
        </w:tabs>
        <w:rPr>
          <w:szCs w:val="22"/>
          <w:lang w:val="sr-Latn-ME"/>
        </w:rPr>
      </w:pPr>
      <w:r w:rsidRPr="00D55C55">
        <w:rPr>
          <w:szCs w:val="22"/>
          <w:lang w:val="sr-Latn-ME"/>
        </w:rPr>
        <w:t xml:space="preserve">Lijek </w:t>
      </w:r>
      <w:r w:rsidR="00214B4C" w:rsidRPr="00D55C55">
        <w:rPr>
          <w:szCs w:val="22"/>
          <w:lang w:val="sr-Latn-ME"/>
        </w:rPr>
        <w:t xml:space="preserve">Povidon jod HF se ne </w:t>
      </w:r>
      <w:r w:rsidR="00721BC1" w:rsidRPr="00D55C55">
        <w:rPr>
          <w:szCs w:val="22"/>
          <w:lang w:val="sr-Latn-ME"/>
        </w:rPr>
        <w:t>sm</w:t>
      </w:r>
      <w:r w:rsidRPr="00D55C55">
        <w:rPr>
          <w:szCs w:val="22"/>
          <w:lang w:val="sr-Latn-ME"/>
        </w:rPr>
        <w:t>ij</w:t>
      </w:r>
      <w:r w:rsidR="00721BC1" w:rsidRPr="00D55C55">
        <w:rPr>
          <w:szCs w:val="22"/>
          <w:lang w:val="sr-Latn-ME"/>
        </w:rPr>
        <w:t xml:space="preserve">e </w:t>
      </w:r>
      <w:r w:rsidR="00214B4C" w:rsidRPr="00D55C55">
        <w:rPr>
          <w:szCs w:val="22"/>
          <w:lang w:val="sr-Latn-ME"/>
        </w:rPr>
        <w:t>prim</w:t>
      </w:r>
      <w:r w:rsidRPr="00D55C55">
        <w:rPr>
          <w:szCs w:val="22"/>
          <w:lang w:val="sr-Latn-ME"/>
        </w:rPr>
        <w:t>j</w:t>
      </w:r>
      <w:r w:rsidR="00214B4C" w:rsidRPr="00D55C55">
        <w:rPr>
          <w:szCs w:val="22"/>
          <w:lang w:val="sr-Latn-ME"/>
        </w:rPr>
        <w:t>enj</w:t>
      </w:r>
      <w:r w:rsidR="00721BC1" w:rsidRPr="00D55C55">
        <w:rPr>
          <w:szCs w:val="22"/>
          <w:lang w:val="sr-Latn-ME"/>
        </w:rPr>
        <w:t>ivati</w:t>
      </w:r>
      <w:r w:rsidR="00214B4C" w:rsidRPr="00D55C55">
        <w:rPr>
          <w:szCs w:val="22"/>
          <w:lang w:val="sr-Latn-ME"/>
        </w:rPr>
        <w:t xml:space="preserve"> kod novorođenčadi sa malom t</w:t>
      </w:r>
      <w:r w:rsidRPr="00D55C55">
        <w:rPr>
          <w:szCs w:val="22"/>
          <w:lang w:val="sr-Latn-ME"/>
        </w:rPr>
        <w:t>j</w:t>
      </w:r>
      <w:r w:rsidR="00214B4C" w:rsidRPr="00D55C55">
        <w:rPr>
          <w:szCs w:val="22"/>
          <w:lang w:val="sr-Latn-ME"/>
        </w:rPr>
        <w:t>elesnom masom na rođenju (ispod 1500 g).</w:t>
      </w:r>
    </w:p>
    <w:p w14:paraId="1217A1C0" w14:textId="77777777" w:rsidR="00214B4C" w:rsidRPr="00E36C10" w:rsidRDefault="00214B4C" w:rsidP="0053024A">
      <w:pPr>
        <w:tabs>
          <w:tab w:val="left" w:pos="709"/>
        </w:tabs>
        <w:rPr>
          <w:szCs w:val="22"/>
          <w:lang w:val="sr-Latn-ME"/>
        </w:rPr>
      </w:pPr>
    </w:p>
    <w:p w14:paraId="2FA4EF8F" w14:textId="77777777" w:rsidR="00214B4C" w:rsidRPr="00E36C10" w:rsidRDefault="00214B4C" w:rsidP="0053024A">
      <w:pPr>
        <w:tabs>
          <w:tab w:val="left" w:pos="709"/>
        </w:tabs>
        <w:rPr>
          <w:i/>
          <w:szCs w:val="22"/>
          <w:lang w:val="sr-Latn-ME"/>
        </w:rPr>
      </w:pPr>
      <w:r w:rsidRPr="00E36C10">
        <w:rPr>
          <w:i/>
          <w:szCs w:val="22"/>
          <w:lang w:val="sr-Latn-ME"/>
        </w:rPr>
        <w:t>Starij</w:t>
      </w:r>
      <w:r w:rsidR="000B2780" w:rsidRPr="00E36C10">
        <w:rPr>
          <w:i/>
          <w:szCs w:val="22"/>
          <w:lang w:val="sr-Latn-ME"/>
        </w:rPr>
        <w:t>i pacijenti</w:t>
      </w:r>
    </w:p>
    <w:p w14:paraId="65870C40" w14:textId="11F5D4E6" w:rsidR="00214B4C" w:rsidRPr="00E36C10" w:rsidRDefault="002E7E8B" w:rsidP="0053024A">
      <w:pPr>
        <w:tabs>
          <w:tab w:val="left" w:pos="709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se može prim</w:t>
      </w:r>
      <w:r w:rsidR="00D411E7">
        <w:rPr>
          <w:szCs w:val="22"/>
          <w:lang w:val="sr-Latn-ME"/>
        </w:rPr>
        <w:t>i</w:t>
      </w:r>
      <w:r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eniti samo nakon pažljive dijagnoze kod starijih pacijenata koji su predisponirani za nastanak hipertireoidizma, tj. sa autonomnim adenomima i/ili funkcionalnom autonomijom štitaste žl</w:t>
      </w:r>
      <w:r w:rsidRPr="00E36C10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ezde.</w:t>
      </w:r>
    </w:p>
    <w:p w14:paraId="08EDE226" w14:textId="77777777" w:rsidR="007968B2" w:rsidRPr="00E36C10" w:rsidRDefault="007968B2" w:rsidP="0053024A">
      <w:pPr>
        <w:tabs>
          <w:tab w:val="left" w:pos="709"/>
        </w:tabs>
        <w:rPr>
          <w:szCs w:val="22"/>
          <w:lang w:val="sr-Latn-ME"/>
        </w:rPr>
      </w:pPr>
    </w:p>
    <w:p w14:paraId="290978B0" w14:textId="77777777" w:rsidR="007968B2" w:rsidRPr="00E36C10" w:rsidRDefault="007968B2" w:rsidP="0053024A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E36C10">
        <w:rPr>
          <w:rFonts w:eastAsia="TimesNewRoman,Italic"/>
          <w:i/>
          <w:iCs/>
          <w:szCs w:val="22"/>
          <w:lang w:val="sr-Latn-ME"/>
        </w:rPr>
        <w:t>Oštećenje funkcije bubrega</w:t>
      </w:r>
    </w:p>
    <w:p w14:paraId="6B67CA35" w14:textId="77777777" w:rsidR="007968B2" w:rsidRPr="00E36C10" w:rsidRDefault="007968B2" w:rsidP="0053024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36C10">
        <w:rPr>
          <w:rFonts w:eastAsia="TimesNewRoman"/>
          <w:szCs w:val="22"/>
          <w:lang w:val="sr-Latn-ME"/>
        </w:rPr>
        <w:t>Zbog rizika od metaboličke acidoze i dodatnog oštećenja bubrega, ne preporučuje se prim</w:t>
      </w:r>
      <w:r w:rsidR="002E7E8B" w:rsidRPr="00E36C10">
        <w:rPr>
          <w:rFonts w:eastAsia="TimesNewRoman"/>
          <w:szCs w:val="22"/>
          <w:lang w:val="sr-Latn-ME"/>
        </w:rPr>
        <w:t>j</w:t>
      </w:r>
      <w:r w:rsidRPr="00E36C10">
        <w:rPr>
          <w:rFonts w:eastAsia="TimesNewRoman"/>
          <w:szCs w:val="22"/>
          <w:lang w:val="sr-Latn-ME"/>
        </w:rPr>
        <w:t xml:space="preserve">ena </w:t>
      </w:r>
      <w:r w:rsidR="002E7E8B" w:rsidRPr="00E36C10">
        <w:rPr>
          <w:rFonts w:eastAsia="TimesNewRoman"/>
          <w:szCs w:val="22"/>
          <w:lang w:val="sr-Latn-ME"/>
        </w:rPr>
        <w:t xml:space="preserve">lijeka </w:t>
      </w:r>
      <w:r w:rsidRPr="00E36C10">
        <w:rPr>
          <w:rFonts w:eastAsia="TimesNewRoman"/>
          <w:szCs w:val="22"/>
          <w:lang w:val="sr-Latn-ME"/>
        </w:rPr>
        <w:t>kod pacijenata sa oštećenjem funkcije bubrega.</w:t>
      </w:r>
    </w:p>
    <w:p w14:paraId="07C53E08" w14:textId="77777777" w:rsidR="007968B2" w:rsidRPr="00E36C10" w:rsidRDefault="007968B2" w:rsidP="0053024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4E9663D" w14:textId="77777777" w:rsidR="007968B2" w:rsidRPr="00E36C10" w:rsidRDefault="007968B2" w:rsidP="0053024A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E36C10">
        <w:rPr>
          <w:rFonts w:eastAsia="TimesNewRoman,Italic"/>
          <w:i/>
          <w:iCs/>
          <w:szCs w:val="22"/>
          <w:lang w:val="sr-Latn-ME"/>
        </w:rPr>
        <w:t>Oštećenje funkcije jetre</w:t>
      </w:r>
    </w:p>
    <w:p w14:paraId="790407E0" w14:textId="77777777" w:rsidR="007968B2" w:rsidRPr="00E36C10" w:rsidRDefault="007968B2" w:rsidP="0053024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36C10">
        <w:rPr>
          <w:rFonts w:eastAsia="TimesNewRoman"/>
          <w:szCs w:val="22"/>
          <w:lang w:val="sr-Latn-ME"/>
        </w:rPr>
        <w:t>Nema sprovedenih studija kod pacijenata sa oštećenjem funkcije jetre, te se ne preporučuje prim</w:t>
      </w:r>
      <w:r w:rsidR="002E7E8B" w:rsidRPr="00E36C10">
        <w:rPr>
          <w:rFonts w:eastAsia="TimesNewRoman"/>
          <w:szCs w:val="22"/>
          <w:lang w:val="sr-Latn-ME"/>
        </w:rPr>
        <w:t>j</w:t>
      </w:r>
      <w:r w:rsidRPr="00E36C10">
        <w:rPr>
          <w:rFonts w:eastAsia="TimesNewRoman"/>
          <w:szCs w:val="22"/>
          <w:lang w:val="sr-Latn-ME"/>
        </w:rPr>
        <w:t xml:space="preserve">ena </w:t>
      </w:r>
      <w:r w:rsidR="002E7E8B" w:rsidRPr="00E36C10">
        <w:rPr>
          <w:rFonts w:eastAsia="TimesNewRoman"/>
          <w:szCs w:val="22"/>
          <w:lang w:val="sr-Latn-ME"/>
        </w:rPr>
        <w:t xml:space="preserve">lijeka </w:t>
      </w:r>
      <w:r w:rsidRPr="00E36C10">
        <w:rPr>
          <w:rFonts w:eastAsia="TimesNewRoman"/>
          <w:szCs w:val="22"/>
          <w:lang w:val="sr-Latn-ME"/>
        </w:rPr>
        <w:t>u ovoj populaciji.</w:t>
      </w:r>
    </w:p>
    <w:p w14:paraId="2AAF14C9" w14:textId="77777777" w:rsidR="00361B0A" w:rsidRPr="00E36C10" w:rsidRDefault="00361B0A" w:rsidP="0053024A">
      <w:pPr>
        <w:rPr>
          <w:b/>
          <w:bCs/>
          <w:szCs w:val="22"/>
          <w:lang w:val="sr-Latn-ME"/>
        </w:rPr>
      </w:pPr>
    </w:p>
    <w:p w14:paraId="19BD38F7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4.3. Kontraindikacije</w:t>
      </w:r>
    </w:p>
    <w:p w14:paraId="0B3F1C52" w14:textId="77777777" w:rsidR="00214B4C" w:rsidRPr="00E36C10" w:rsidRDefault="00214B4C" w:rsidP="0053024A">
      <w:pPr>
        <w:rPr>
          <w:b/>
          <w:bCs/>
          <w:szCs w:val="22"/>
          <w:lang w:val="sr-Latn-ME"/>
        </w:rPr>
      </w:pPr>
    </w:p>
    <w:p w14:paraId="0F2E3F4C" w14:textId="278A6760" w:rsidR="00CE09F3" w:rsidRPr="00E36C10" w:rsidRDefault="002E7E8B" w:rsidP="0053024A">
      <w:pPr>
        <w:rPr>
          <w:bCs/>
          <w:szCs w:val="22"/>
          <w:lang w:val="sr-Latn-ME"/>
        </w:rPr>
      </w:pPr>
      <w:r w:rsidRPr="00E36C10">
        <w:rPr>
          <w:szCs w:val="22"/>
          <w:lang w:val="sr-Latn-ME"/>
        </w:rPr>
        <w:lastRenderedPageBreak/>
        <w:t xml:space="preserve">Lijek </w:t>
      </w:r>
      <w:r w:rsidR="00214B4C" w:rsidRPr="00E36C10">
        <w:rPr>
          <w:szCs w:val="22"/>
          <w:lang w:val="sr-Latn-ME"/>
        </w:rPr>
        <w:t xml:space="preserve">Povidon jod HF, rastvor za kožu, </w:t>
      </w:r>
      <w:r w:rsidR="00A36843" w:rsidRPr="00E36C10">
        <w:rPr>
          <w:szCs w:val="22"/>
          <w:lang w:val="sr-Latn-ME"/>
        </w:rPr>
        <w:t>10</w:t>
      </w:r>
      <w:r w:rsidR="00FE7861" w:rsidRPr="00E36C10">
        <w:rPr>
          <w:szCs w:val="22"/>
          <w:lang w:val="sr-Latn-ME"/>
        </w:rPr>
        <w:t>0 mg/m</w:t>
      </w:r>
      <w:r w:rsidR="00D55C55">
        <w:rPr>
          <w:szCs w:val="22"/>
          <w:lang w:val="sr-Latn-ME"/>
        </w:rPr>
        <w:t>l</w:t>
      </w:r>
      <w:r w:rsidR="00214B4C" w:rsidRPr="00E36C10">
        <w:rPr>
          <w:b/>
          <w:szCs w:val="22"/>
          <w:lang w:val="sr-Latn-ME"/>
        </w:rPr>
        <w:t xml:space="preserve"> </w:t>
      </w:r>
      <w:r w:rsidR="00214B4C" w:rsidRPr="00E36C10">
        <w:rPr>
          <w:szCs w:val="22"/>
          <w:lang w:val="sr-Latn-ME"/>
        </w:rPr>
        <w:t>se ne sm</w:t>
      </w:r>
      <w:r w:rsidRPr="00E36C10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 koristiti:</w:t>
      </w:r>
    </w:p>
    <w:p w14:paraId="7C3F015A" w14:textId="77777777" w:rsidR="00214B4C" w:rsidRPr="00E36C10" w:rsidRDefault="00214B4C" w:rsidP="0053024A">
      <w:pPr>
        <w:pStyle w:val="Regular"/>
        <w:numPr>
          <w:ilvl w:val="0"/>
          <w:numId w:val="6"/>
        </w:numPr>
        <w:ind w:left="709" w:hanging="425"/>
        <w:rPr>
          <w:b w:val="0"/>
          <w:sz w:val="22"/>
          <w:szCs w:val="22"/>
          <w:lang w:val="sr-Latn-ME"/>
        </w:rPr>
      </w:pPr>
      <w:r w:rsidRPr="00E36C10">
        <w:rPr>
          <w:b w:val="0"/>
          <w:sz w:val="22"/>
          <w:szCs w:val="22"/>
          <w:lang w:val="sr-Latn-ME"/>
        </w:rPr>
        <w:t>kod poznate preos</w:t>
      </w:r>
      <w:r w:rsidR="002E7E8B" w:rsidRPr="00E36C10">
        <w:rPr>
          <w:b w:val="0"/>
          <w:sz w:val="22"/>
          <w:szCs w:val="22"/>
          <w:lang w:val="sr-Latn-ME"/>
        </w:rPr>
        <w:t>j</w:t>
      </w:r>
      <w:r w:rsidRPr="00E36C10">
        <w:rPr>
          <w:b w:val="0"/>
          <w:sz w:val="22"/>
          <w:szCs w:val="22"/>
          <w:lang w:val="sr-Latn-ME"/>
        </w:rPr>
        <w:t>etljivost</w:t>
      </w:r>
      <w:r w:rsidR="002D71D4" w:rsidRPr="00E36C10">
        <w:rPr>
          <w:b w:val="0"/>
          <w:sz w:val="22"/>
          <w:szCs w:val="22"/>
          <w:lang w:val="sr-Latn-ME"/>
        </w:rPr>
        <w:t>i</w:t>
      </w:r>
      <w:r w:rsidRPr="00E36C10">
        <w:rPr>
          <w:b w:val="0"/>
          <w:sz w:val="22"/>
          <w:szCs w:val="22"/>
          <w:lang w:val="sr-Latn-ME"/>
        </w:rPr>
        <w:t xml:space="preserve"> na </w:t>
      </w:r>
      <w:r w:rsidR="00163AC4" w:rsidRPr="00E36C10">
        <w:rPr>
          <w:b w:val="0"/>
          <w:sz w:val="22"/>
          <w:szCs w:val="22"/>
          <w:lang w:val="sr-Latn-ME"/>
        </w:rPr>
        <w:t>aktivnu</w:t>
      </w:r>
      <w:r w:rsidR="00163AC4" w:rsidRPr="00E36C10" w:rsidDel="00163AC4">
        <w:rPr>
          <w:sz w:val="22"/>
          <w:szCs w:val="22"/>
          <w:lang w:val="sr-Latn-ME"/>
        </w:rPr>
        <w:t xml:space="preserve"> </w:t>
      </w:r>
      <w:r w:rsidR="00163AC4" w:rsidRPr="00E36C10">
        <w:rPr>
          <w:b w:val="0"/>
          <w:sz w:val="22"/>
          <w:szCs w:val="22"/>
          <w:lang w:val="sr-Latn-ME"/>
        </w:rPr>
        <w:t>supstancu</w:t>
      </w:r>
      <w:r w:rsidRPr="00E36C10">
        <w:rPr>
          <w:b w:val="0"/>
          <w:sz w:val="22"/>
          <w:szCs w:val="22"/>
          <w:lang w:val="sr-Latn-ME"/>
        </w:rPr>
        <w:t xml:space="preserve"> ili na bilo koju od pomoćnih supstanci navedenih u </w:t>
      </w:r>
      <w:r w:rsidR="002E7E8B" w:rsidRPr="00E36C10">
        <w:rPr>
          <w:b w:val="0"/>
          <w:sz w:val="22"/>
          <w:szCs w:val="22"/>
          <w:lang w:val="sr-Latn-ME"/>
        </w:rPr>
        <w:t>dijelu</w:t>
      </w:r>
      <w:r w:rsidRPr="00E36C10">
        <w:rPr>
          <w:b w:val="0"/>
          <w:sz w:val="22"/>
          <w:szCs w:val="22"/>
          <w:lang w:val="sr-Latn-ME"/>
        </w:rPr>
        <w:t xml:space="preserve"> 6.1,</w:t>
      </w:r>
    </w:p>
    <w:p w14:paraId="1823C31F" w14:textId="77777777" w:rsidR="00214B4C" w:rsidRPr="00E36C10" w:rsidRDefault="00214B4C" w:rsidP="0053024A">
      <w:pPr>
        <w:pStyle w:val="Regular"/>
        <w:numPr>
          <w:ilvl w:val="0"/>
          <w:numId w:val="6"/>
        </w:numPr>
        <w:ind w:left="709" w:hanging="425"/>
        <w:rPr>
          <w:b w:val="0"/>
          <w:sz w:val="22"/>
          <w:szCs w:val="22"/>
          <w:lang w:val="sr-Latn-ME"/>
        </w:rPr>
      </w:pPr>
      <w:r w:rsidRPr="00E36C10">
        <w:rPr>
          <w:b w:val="0"/>
          <w:sz w:val="22"/>
          <w:szCs w:val="22"/>
          <w:lang w:val="sr-Latn-ME"/>
        </w:rPr>
        <w:t>kod hipertireoidizma ili kod drugih potvrđenih oboljenja tireoidne žl</w:t>
      </w:r>
      <w:r w:rsidR="002E7E8B" w:rsidRPr="00E36C10">
        <w:rPr>
          <w:b w:val="0"/>
          <w:sz w:val="22"/>
          <w:szCs w:val="22"/>
          <w:lang w:val="sr-Latn-ME"/>
        </w:rPr>
        <w:t>ij</w:t>
      </w:r>
      <w:r w:rsidRPr="00E36C10">
        <w:rPr>
          <w:b w:val="0"/>
          <w:sz w:val="22"/>
          <w:szCs w:val="22"/>
          <w:lang w:val="sr-Latn-ME"/>
        </w:rPr>
        <w:t>ezde,</w:t>
      </w:r>
    </w:p>
    <w:p w14:paraId="2F01459E" w14:textId="77777777" w:rsidR="001D3B4B" w:rsidRPr="00E36C10" w:rsidRDefault="001D3B4B" w:rsidP="0053024A">
      <w:pPr>
        <w:pStyle w:val="Regular"/>
        <w:numPr>
          <w:ilvl w:val="0"/>
          <w:numId w:val="6"/>
        </w:numPr>
        <w:ind w:left="709" w:hanging="425"/>
        <w:rPr>
          <w:b w:val="0"/>
          <w:sz w:val="22"/>
          <w:szCs w:val="22"/>
          <w:lang w:val="sr-Latn-ME"/>
        </w:rPr>
      </w:pPr>
      <w:r w:rsidRPr="00E36C10">
        <w:rPr>
          <w:b w:val="0"/>
          <w:sz w:val="22"/>
          <w:szCs w:val="22"/>
          <w:lang w:val="sr-Latn-ME"/>
        </w:rPr>
        <w:t xml:space="preserve">kod dermatitis herpetiformis – </w:t>
      </w:r>
      <w:r w:rsidRPr="00E36C10">
        <w:rPr>
          <w:b w:val="0"/>
          <w:i/>
          <w:iCs/>
          <w:sz w:val="22"/>
          <w:szCs w:val="22"/>
          <w:lang w:val="sr-Latn-ME"/>
        </w:rPr>
        <w:t>Duhring</w:t>
      </w:r>
      <w:r w:rsidR="0001795B" w:rsidRPr="00E36C10">
        <w:rPr>
          <w:b w:val="0"/>
          <w:sz w:val="22"/>
          <w:szCs w:val="22"/>
          <w:lang w:val="sr-Latn-ME"/>
        </w:rPr>
        <w:t>-ova bolest</w:t>
      </w:r>
      <w:r w:rsidRPr="00E36C10">
        <w:rPr>
          <w:b w:val="0"/>
          <w:sz w:val="22"/>
          <w:szCs w:val="22"/>
          <w:lang w:val="sr-Latn-ME"/>
        </w:rPr>
        <w:t>,</w:t>
      </w:r>
    </w:p>
    <w:p w14:paraId="5ED89191" w14:textId="77777777" w:rsidR="00214B4C" w:rsidRPr="00E36C10" w:rsidRDefault="00214B4C" w:rsidP="0053024A">
      <w:pPr>
        <w:pStyle w:val="Regular"/>
        <w:numPr>
          <w:ilvl w:val="0"/>
          <w:numId w:val="6"/>
        </w:numPr>
        <w:ind w:left="709" w:hanging="425"/>
        <w:rPr>
          <w:b w:val="0"/>
          <w:sz w:val="22"/>
          <w:szCs w:val="22"/>
          <w:lang w:val="sr-Latn-ME"/>
        </w:rPr>
      </w:pPr>
      <w:r w:rsidRPr="00E36C10">
        <w:rPr>
          <w:b w:val="0"/>
          <w:sz w:val="22"/>
          <w:szCs w:val="22"/>
          <w:lang w:val="sr-Latn-ME"/>
        </w:rPr>
        <w:t>pr</w:t>
      </w:r>
      <w:r w:rsidR="002E7E8B" w:rsidRPr="00E36C10">
        <w:rPr>
          <w:b w:val="0"/>
          <w:sz w:val="22"/>
          <w:szCs w:val="22"/>
          <w:lang w:val="sr-Latn-ME"/>
        </w:rPr>
        <w:t>ij</w:t>
      </w:r>
      <w:r w:rsidRPr="00E36C10">
        <w:rPr>
          <w:b w:val="0"/>
          <w:sz w:val="22"/>
          <w:szCs w:val="22"/>
          <w:lang w:val="sr-Latn-ME"/>
        </w:rPr>
        <w:t>e i nakon prim</w:t>
      </w:r>
      <w:r w:rsidR="002E7E8B" w:rsidRPr="00E36C10">
        <w:rPr>
          <w:b w:val="0"/>
          <w:sz w:val="22"/>
          <w:szCs w:val="22"/>
          <w:lang w:val="sr-Latn-ME"/>
        </w:rPr>
        <w:t>j</w:t>
      </w:r>
      <w:r w:rsidRPr="00E36C10">
        <w:rPr>
          <w:b w:val="0"/>
          <w:sz w:val="22"/>
          <w:szCs w:val="22"/>
          <w:lang w:val="sr-Latn-ME"/>
        </w:rPr>
        <w:t>ene radioaktivnog joda (sve do završetka t</w:t>
      </w:r>
      <w:r w:rsidR="00501D21" w:rsidRPr="00E36C10">
        <w:rPr>
          <w:b w:val="0"/>
          <w:sz w:val="22"/>
          <w:szCs w:val="22"/>
          <w:lang w:val="sr-Latn-ME"/>
        </w:rPr>
        <w:t>erapije</w:t>
      </w:r>
      <w:r w:rsidRPr="00E36C10">
        <w:rPr>
          <w:b w:val="0"/>
          <w:sz w:val="22"/>
          <w:szCs w:val="22"/>
          <w:lang w:val="sr-Latn-ME"/>
        </w:rPr>
        <w:t>),</w:t>
      </w:r>
    </w:p>
    <w:p w14:paraId="35555958" w14:textId="1D051997" w:rsidR="00163AC4" w:rsidRPr="00D55C55" w:rsidRDefault="00163AC4" w:rsidP="0053024A">
      <w:pPr>
        <w:pStyle w:val="Regular"/>
        <w:numPr>
          <w:ilvl w:val="0"/>
          <w:numId w:val="6"/>
        </w:numPr>
        <w:ind w:left="709" w:hanging="425"/>
        <w:rPr>
          <w:b w:val="0"/>
          <w:sz w:val="22"/>
          <w:szCs w:val="22"/>
          <w:lang w:val="sr-Latn-ME"/>
        </w:rPr>
      </w:pPr>
      <w:r w:rsidRPr="00D55C55">
        <w:rPr>
          <w:b w:val="0"/>
          <w:sz w:val="22"/>
          <w:szCs w:val="22"/>
          <w:lang w:val="sr-Latn-ME"/>
        </w:rPr>
        <w:t>kod novorođenčadi sa malom t</w:t>
      </w:r>
      <w:r w:rsidR="002E7E8B" w:rsidRPr="00D55C55">
        <w:rPr>
          <w:b w:val="0"/>
          <w:sz w:val="22"/>
          <w:szCs w:val="22"/>
          <w:lang w:val="sr-Latn-ME"/>
        </w:rPr>
        <w:t>j</w:t>
      </w:r>
      <w:r w:rsidRPr="00D55C55">
        <w:rPr>
          <w:b w:val="0"/>
          <w:sz w:val="22"/>
          <w:szCs w:val="22"/>
          <w:lang w:val="sr-Latn-ME"/>
        </w:rPr>
        <w:t>elesnom masom (ispod 1500 g).</w:t>
      </w:r>
    </w:p>
    <w:p w14:paraId="67B378FD" w14:textId="5BFE3565" w:rsidR="001407AA" w:rsidRPr="0098753B" w:rsidRDefault="001407AA" w:rsidP="0053024A">
      <w:pPr>
        <w:pStyle w:val="Regular"/>
        <w:numPr>
          <w:ilvl w:val="0"/>
          <w:numId w:val="6"/>
        </w:numPr>
        <w:ind w:left="709" w:hanging="425"/>
        <w:rPr>
          <w:b w:val="0"/>
          <w:sz w:val="22"/>
          <w:szCs w:val="22"/>
          <w:lang w:val="sr-Latn-ME"/>
        </w:rPr>
      </w:pPr>
      <w:r>
        <w:rPr>
          <w:b w:val="0"/>
          <w:sz w:val="22"/>
          <w:szCs w:val="22"/>
          <w:lang w:val="sr-Latn-ME"/>
        </w:rPr>
        <w:t xml:space="preserve">sa proizvodima koji sadrže živu, zbog stvaranja supstance koja može oštetiti kožu. </w:t>
      </w:r>
    </w:p>
    <w:p w14:paraId="26514D80" w14:textId="77777777" w:rsidR="00CE09F3" w:rsidRPr="00E36C10" w:rsidRDefault="00CE09F3" w:rsidP="0053024A">
      <w:pPr>
        <w:rPr>
          <w:szCs w:val="22"/>
          <w:lang w:val="sr-Latn-ME"/>
        </w:rPr>
      </w:pPr>
    </w:p>
    <w:p w14:paraId="1816FAC0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4.4. Posebna upozorenja i m</w:t>
      </w:r>
      <w:r w:rsidR="002E7E8B" w:rsidRPr="00E36C10">
        <w:rPr>
          <w:b/>
          <w:bCs/>
          <w:szCs w:val="22"/>
          <w:lang w:val="sr-Latn-ME"/>
        </w:rPr>
        <w:t>j</w:t>
      </w:r>
      <w:r w:rsidRPr="00E36C10">
        <w:rPr>
          <w:b/>
          <w:bCs/>
          <w:szCs w:val="22"/>
          <w:lang w:val="sr-Latn-ME"/>
        </w:rPr>
        <w:t>ere opreza pri upotrebi l</w:t>
      </w:r>
      <w:r w:rsidR="002E7E8B" w:rsidRPr="00E36C10">
        <w:rPr>
          <w:b/>
          <w:bCs/>
          <w:szCs w:val="22"/>
          <w:lang w:val="sr-Latn-ME"/>
        </w:rPr>
        <w:t>ij</w:t>
      </w:r>
      <w:r w:rsidRPr="00E36C10">
        <w:rPr>
          <w:b/>
          <w:bCs/>
          <w:szCs w:val="22"/>
          <w:lang w:val="sr-Latn-ME"/>
        </w:rPr>
        <w:t>eka</w:t>
      </w:r>
    </w:p>
    <w:p w14:paraId="449E43A8" w14:textId="77777777" w:rsidR="00CE09F3" w:rsidRPr="00E36C10" w:rsidRDefault="00CE09F3" w:rsidP="0053024A">
      <w:pPr>
        <w:rPr>
          <w:szCs w:val="22"/>
          <w:lang w:val="sr-Latn-ME"/>
        </w:rPr>
      </w:pPr>
    </w:p>
    <w:p w14:paraId="06966ECF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Redovnu ili produženu </w:t>
      </w:r>
      <w:r w:rsidR="002E7E8B" w:rsidRPr="00E36C10">
        <w:rPr>
          <w:szCs w:val="22"/>
          <w:lang w:val="sr-Latn-ME"/>
        </w:rPr>
        <w:t>primjenu</w:t>
      </w:r>
      <w:r w:rsidRPr="00E36C10">
        <w:rPr>
          <w:szCs w:val="22"/>
          <w:lang w:val="sr-Latn-ME"/>
        </w:rPr>
        <w:t xml:space="preserve">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>Povidon jod HF</w:t>
      </w:r>
      <w:r w:rsidR="00F0175D" w:rsidRPr="00E36C10" w:rsidDel="00F0175D">
        <w:rPr>
          <w:szCs w:val="22"/>
          <w:lang w:val="sr-Latn-ME"/>
        </w:rPr>
        <w:t xml:space="preserve"> </w:t>
      </w:r>
      <w:r w:rsidRPr="00E36C10">
        <w:rPr>
          <w:szCs w:val="22"/>
          <w:lang w:val="sr-Latn-ME"/>
        </w:rPr>
        <w:t>treba izb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egavati kod pacijenata sa oboljenjima tireoidne žl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ezde</w:t>
      </w:r>
      <w:r w:rsidR="00A06F4C" w:rsidRPr="00E36C10">
        <w:rPr>
          <w:szCs w:val="22"/>
          <w:lang w:val="sr-Latn-ME"/>
        </w:rPr>
        <w:t>,</w:t>
      </w:r>
      <w:r w:rsidRPr="00E36C10">
        <w:rPr>
          <w:szCs w:val="22"/>
          <w:lang w:val="sr-Latn-ME"/>
        </w:rPr>
        <w:t xml:space="preserve"> kod pacijenata koji su na terapiji litijumom</w:t>
      </w:r>
      <w:r w:rsidR="00FE7861" w:rsidRPr="00E36C10">
        <w:rPr>
          <w:szCs w:val="22"/>
          <w:lang w:val="sr-Latn-ME"/>
        </w:rPr>
        <w:t>,</w:t>
      </w:r>
      <w:r w:rsidR="00A06F4C" w:rsidRPr="00E36C10">
        <w:rPr>
          <w:szCs w:val="22"/>
          <w:lang w:val="sr-Latn-ME"/>
        </w:rPr>
        <w:t xml:space="preserve"> kao i kod pacijenata sa bubrežnom insuficijencijom.</w:t>
      </w:r>
    </w:p>
    <w:p w14:paraId="5425A874" w14:textId="77777777" w:rsidR="00214B4C" w:rsidRPr="00E36C10" w:rsidRDefault="00214B4C" w:rsidP="0053024A">
      <w:pPr>
        <w:rPr>
          <w:szCs w:val="22"/>
          <w:lang w:val="sr-Latn-ME"/>
        </w:rPr>
      </w:pPr>
    </w:p>
    <w:p w14:paraId="43BC5F41" w14:textId="13D52D98" w:rsidR="00214B4C" w:rsidRPr="00E36C10" w:rsidRDefault="002E7E8B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treba prim</w:t>
      </w:r>
      <w:r w:rsidR="00D411E7">
        <w:rPr>
          <w:szCs w:val="22"/>
          <w:lang w:val="sr-Latn-ME"/>
        </w:rPr>
        <w:t>i</w:t>
      </w:r>
      <w:r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eniti samo posl</w:t>
      </w:r>
      <w:r w:rsidR="00D411E7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 xml:space="preserve">e pažljivog razmatranja: </w:t>
      </w:r>
    </w:p>
    <w:p w14:paraId="2C9F16C8" w14:textId="77777777" w:rsidR="00214B4C" w:rsidRPr="00E36C10" w:rsidRDefault="00214B4C" w:rsidP="0053024A">
      <w:pPr>
        <w:numPr>
          <w:ilvl w:val="0"/>
          <w:numId w:val="4"/>
        </w:numPr>
        <w:ind w:left="284" w:hanging="284"/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tokom dužeg perioda (više od 5 dana) i na većim površinama (npr. preko </w:t>
      </w:r>
      <w:r w:rsidR="00A36843" w:rsidRPr="00E36C10">
        <w:rPr>
          <w:szCs w:val="22"/>
          <w:lang w:val="sr-Latn-ME"/>
        </w:rPr>
        <w:t>10%</w:t>
      </w:r>
      <w:r w:rsidRPr="00E36C10">
        <w:rPr>
          <w:szCs w:val="22"/>
          <w:lang w:val="sr-Latn-ME"/>
        </w:rPr>
        <w:t xml:space="preserve"> t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elesne površine):</w:t>
      </w:r>
    </w:p>
    <w:p w14:paraId="6E39CC26" w14:textId="77777777" w:rsidR="00214B4C" w:rsidRPr="00E36C10" w:rsidRDefault="00214B4C" w:rsidP="0053024A">
      <w:pPr>
        <w:numPr>
          <w:ilvl w:val="0"/>
          <w:numId w:val="8"/>
        </w:num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kod pacijenata sa multinodularnom gušavošću, </w:t>
      </w:r>
    </w:p>
    <w:p w14:paraId="3A59B14F" w14:textId="447511AE" w:rsidR="00214B4C" w:rsidRPr="00E36C10" w:rsidRDefault="00214B4C" w:rsidP="0053024A">
      <w:pPr>
        <w:numPr>
          <w:ilvl w:val="0"/>
          <w:numId w:val="8"/>
        </w:numPr>
        <w:rPr>
          <w:szCs w:val="22"/>
          <w:lang w:val="sr-Latn-ME"/>
        </w:rPr>
      </w:pPr>
      <w:r w:rsidRPr="00E36C10">
        <w:rPr>
          <w:szCs w:val="22"/>
          <w:lang w:val="sr-Latn-ME"/>
        </w:rPr>
        <w:t>posl</w:t>
      </w:r>
      <w:r w:rsidR="00D411E7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 </w:t>
      </w:r>
      <w:r w:rsidR="002E7E8B" w:rsidRPr="00E36C10">
        <w:rPr>
          <w:szCs w:val="22"/>
          <w:lang w:val="sr-Latn-ME"/>
        </w:rPr>
        <w:t>liječe</w:t>
      </w:r>
      <w:r w:rsidRPr="00E36C10">
        <w:rPr>
          <w:szCs w:val="22"/>
          <w:lang w:val="sr-Latn-ME"/>
        </w:rPr>
        <w:t>nja oboljenja tireoidne žl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ezde,</w:t>
      </w:r>
    </w:p>
    <w:p w14:paraId="1DF405EF" w14:textId="77777777" w:rsidR="00214B4C" w:rsidRPr="00E36C10" w:rsidRDefault="00214B4C" w:rsidP="0053024A">
      <w:pPr>
        <w:numPr>
          <w:ilvl w:val="0"/>
          <w:numId w:val="8"/>
        </w:numPr>
        <w:rPr>
          <w:szCs w:val="22"/>
          <w:lang w:val="sr-Latn-ME"/>
        </w:rPr>
      </w:pPr>
      <w:r w:rsidRPr="00E36C10">
        <w:rPr>
          <w:szCs w:val="22"/>
          <w:lang w:val="sr-Latn-ME"/>
        </w:rPr>
        <w:t>kod pacijenata koji imaju predispoziciju za razvoj hipertireoidizma, odnosno sa autonomnim adenomima i/ili funkcionalnom autonomijom (posebno kod starijih pacijenata)</w:t>
      </w:r>
      <w:r w:rsidR="00B02284" w:rsidRPr="00E36C10">
        <w:rPr>
          <w:szCs w:val="22"/>
          <w:lang w:val="sr-Latn-ME"/>
        </w:rPr>
        <w:t xml:space="preserve">, </w:t>
      </w:r>
      <w:r w:rsidRPr="00E36C10">
        <w:rPr>
          <w:szCs w:val="22"/>
          <w:lang w:val="sr-Latn-ME"/>
        </w:rPr>
        <w:t>pošto se ne može</w:t>
      </w:r>
      <w:r w:rsidR="00B02284" w:rsidRPr="00E36C10">
        <w:rPr>
          <w:szCs w:val="22"/>
          <w:lang w:val="sr-Latn-ME"/>
        </w:rPr>
        <w:t xml:space="preserve"> </w:t>
      </w:r>
      <w:r w:rsidRPr="00E36C10">
        <w:rPr>
          <w:szCs w:val="22"/>
          <w:lang w:val="sr-Latn-ME"/>
        </w:rPr>
        <w:t xml:space="preserve">potpuno isključiti pojava jodom izazvanog hipertireoidizma. U takvim situacijama, </w:t>
      </w:r>
      <w:r w:rsidR="002E7E8B" w:rsidRPr="00E36C10">
        <w:rPr>
          <w:szCs w:val="22"/>
          <w:lang w:val="sr-Latn-ME"/>
        </w:rPr>
        <w:t>ljekar</w:t>
      </w:r>
      <w:r w:rsidRPr="00E36C10">
        <w:rPr>
          <w:szCs w:val="22"/>
          <w:lang w:val="sr-Latn-ME"/>
        </w:rPr>
        <w:t xml:space="preserve"> treba, tokom 3 m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eseca nakon prekida prim</w:t>
      </w:r>
      <w:r w:rsidR="002E7E8B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ene terapije, pažljivo da prati stanje pacijenta na pojavu ranih simptoma mogućeg hipertireoidizma i</w:t>
      </w:r>
      <w:r w:rsidR="00FE7861" w:rsidRPr="00E36C10">
        <w:rPr>
          <w:szCs w:val="22"/>
          <w:lang w:val="sr-Latn-ME"/>
        </w:rPr>
        <w:t>,</w:t>
      </w:r>
      <w:r w:rsidRPr="00E36C10">
        <w:rPr>
          <w:szCs w:val="22"/>
          <w:lang w:val="sr-Latn-ME"/>
        </w:rPr>
        <w:t xml:space="preserve"> kada je to neophodno</w:t>
      </w:r>
      <w:r w:rsidR="00FE7861" w:rsidRPr="00E36C10">
        <w:rPr>
          <w:szCs w:val="22"/>
          <w:lang w:val="sr-Latn-ME"/>
        </w:rPr>
        <w:t>,</w:t>
      </w:r>
      <w:r w:rsidRPr="00E36C10">
        <w:rPr>
          <w:szCs w:val="22"/>
          <w:lang w:val="sr-Latn-ME"/>
        </w:rPr>
        <w:t xml:space="preserve"> da kontroliše funkciju tireoidne žl</w:t>
      </w:r>
      <w:r w:rsidR="002E7E8B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ezde;</w:t>
      </w:r>
    </w:p>
    <w:p w14:paraId="35945A52" w14:textId="68968D0B" w:rsidR="00214B4C" w:rsidRPr="0098753B" w:rsidRDefault="00214B4C" w:rsidP="0053024A">
      <w:pPr>
        <w:numPr>
          <w:ilvl w:val="0"/>
          <w:numId w:val="4"/>
        </w:numPr>
        <w:ind w:left="284" w:hanging="284"/>
        <w:rPr>
          <w:szCs w:val="22"/>
          <w:lang w:val="sr-Latn-ME"/>
        </w:rPr>
      </w:pPr>
      <w:r w:rsidRPr="0098753B">
        <w:rPr>
          <w:szCs w:val="22"/>
          <w:lang w:val="sr-Latn-ME"/>
        </w:rPr>
        <w:t>u krajnje ograničenoj m</w:t>
      </w:r>
      <w:r w:rsidR="002E7E8B" w:rsidRPr="0098753B">
        <w:rPr>
          <w:szCs w:val="22"/>
          <w:lang w:val="sr-Latn-ME"/>
        </w:rPr>
        <w:t>j</w:t>
      </w:r>
      <w:r w:rsidRPr="0098753B">
        <w:rPr>
          <w:szCs w:val="22"/>
          <w:lang w:val="sr-Latn-ME"/>
        </w:rPr>
        <w:t xml:space="preserve">eri kod novorođenčadi i </w:t>
      </w:r>
      <w:r w:rsidR="006E4A6E" w:rsidRPr="0098753B">
        <w:rPr>
          <w:szCs w:val="22"/>
          <w:lang w:val="sr-Latn-ME"/>
        </w:rPr>
        <w:t>dojenčadi</w:t>
      </w:r>
      <w:r w:rsidRPr="0098753B">
        <w:rPr>
          <w:szCs w:val="22"/>
          <w:lang w:val="sr-Latn-ME"/>
        </w:rPr>
        <w:t xml:space="preserve"> starosti do 6 m</w:t>
      </w:r>
      <w:r w:rsidR="002E7E8B" w:rsidRPr="0098753B">
        <w:rPr>
          <w:szCs w:val="22"/>
          <w:lang w:val="sr-Latn-ME"/>
        </w:rPr>
        <w:t>j</w:t>
      </w:r>
      <w:r w:rsidRPr="0098753B">
        <w:rPr>
          <w:szCs w:val="22"/>
          <w:lang w:val="sr-Latn-ME"/>
        </w:rPr>
        <w:t xml:space="preserve">eseci, pošto se ne može u potpunosti isključiti rizik za pojavu hipotireoidizma. Po </w:t>
      </w:r>
      <w:r w:rsidR="002E7E8B" w:rsidRPr="0098753B">
        <w:rPr>
          <w:szCs w:val="22"/>
          <w:lang w:val="sr-Latn-ME"/>
        </w:rPr>
        <w:t xml:space="preserve">primjeni lijeka </w:t>
      </w:r>
      <w:r w:rsidRPr="0098753B">
        <w:rPr>
          <w:szCs w:val="22"/>
          <w:lang w:val="sr-Latn-ME"/>
        </w:rPr>
        <w:t>Povidon jod HF treba prov</w:t>
      </w:r>
      <w:r w:rsidR="006E4A6E" w:rsidRPr="0098753B">
        <w:rPr>
          <w:szCs w:val="22"/>
          <w:lang w:val="sr-Latn-ME"/>
        </w:rPr>
        <w:t>j</w:t>
      </w:r>
      <w:r w:rsidRPr="0098753B">
        <w:rPr>
          <w:szCs w:val="22"/>
          <w:lang w:val="sr-Latn-ME"/>
        </w:rPr>
        <w:t>eriti funkciju tireoidne žl</w:t>
      </w:r>
      <w:r w:rsidR="006E4A6E" w:rsidRPr="0098753B">
        <w:rPr>
          <w:szCs w:val="22"/>
          <w:lang w:val="sr-Latn-ME"/>
        </w:rPr>
        <w:t>ij</w:t>
      </w:r>
      <w:r w:rsidRPr="0098753B">
        <w:rPr>
          <w:szCs w:val="22"/>
          <w:lang w:val="sr-Latn-ME"/>
        </w:rPr>
        <w:t xml:space="preserve">ezde. U slučaju hipotireoidizma, odmah se mora sprovesti </w:t>
      </w:r>
      <w:r w:rsidR="002E7E8B" w:rsidRPr="0098753B">
        <w:rPr>
          <w:szCs w:val="22"/>
          <w:lang w:val="sr-Latn-ME"/>
        </w:rPr>
        <w:t>liječe</w:t>
      </w:r>
      <w:r w:rsidRPr="0098753B">
        <w:rPr>
          <w:szCs w:val="22"/>
          <w:lang w:val="sr-Latn-ME"/>
        </w:rPr>
        <w:t>nje tireoidnim hormonima</w:t>
      </w:r>
      <w:r w:rsidR="00C528EF" w:rsidRPr="0098753B">
        <w:rPr>
          <w:szCs w:val="22"/>
          <w:lang w:val="sr-Latn-ME"/>
        </w:rPr>
        <w:t xml:space="preserve"> </w:t>
      </w:r>
      <w:r w:rsidRPr="0098753B">
        <w:rPr>
          <w:szCs w:val="22"/>
          <w:lang w:val="sr-Latn-ME"/>
        </w:rPr>
        <w:t>sve dok se funkcija tireoidne žl</w:t>
      </w:r>
      <w:r w:rsidR="006E4A6E" w:rsidRPr="0098753B">
        <w:rPr>
          <w:szCs w:val="22"/>
          <w:lang w:val="sr-Latn-ME"/>
        </w:rPr>
        <w:t>ij</w:t>
      </w:r>
      <w:r w:rsidRPr="0098753B">
        <w:rPr>
          <w:szCs w:val="22"/>
          <w:lang w:val="sr-Latn-ME"/>
        </w:rPr>
        <w:t xml:space="preserve">ezde ne normalizuje. Strogo voditi računa da </w:t>
      </w:r>
      <w:r w:rsidR="006E4A6E" w:rsidRPr="0098753B">
        <w:rPr>
          <w:szCs w:val="22"/>
          <w:lang w:val="sr-Latn-ME"/>
        </w:rPr>
        <w:t>dojenče</w:t>
      </w:r>
      <w:r w:rsidRPr="0098753B">
        <w:rPr>
          <w:szCs w:val="22"/>
          <w:lang w:val="sr-Latn-ME"/>
        </w:rPr>
        <w:t xml:space="preserve"> slučajno ne unese rastvor oralnim putem.</w:t>
      </w:r>
    </w:p>
    <w:p w14:paraId="1759D3FC" w14:textId="77777777" w:rsidR="00CE09F3" w:rsidRPr="00E36C10" w:rsidRDefault="00CE09F3" w:rsidP="0053024A">
      <w:pPr>
        <w:ind w:left="284"/>
        <w:rPr>
          <w:szCs w:val="22"/>
          <w:lang w:val="sr-Latn-ME"/>
        </w:rPr>
      </w:pPr>
    </w:p>
    <w:p w14:paraId="6C261601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 xml:space="preserve">4.5. Interakcije sa drugim </w:t>
      </w:r>
      <w:r w:rsidR="002E7E8B" w:rsidRPr="00E36C10">
        <w:rPr>
          <w:b/>
          <w:bCs/>
          <w:szCs w:val="22"/>
          <w:lang w:val="sr-Latn-ME"/>
        </w:rPr>
        <w:t>ljekov</w:t>
      </w:r>
      <w:r w:rsidRPr="00E36C10">
        <w:rPr>
          <w:b/>
          <w:bCs/>
          <w:szCs w:val="22"/>
          <w:lang w:val="sr-Latn-ME"/>
        </w:rPr>
        <w:t>ima i druge vrste interakcija</w:t>
      </w:r>
    </w:p>
    <w:p w14:paraId="0C270BB1" w14:textId="77777777" w:rsidR="00214B4C" w:rsidRPr="00E36C10" w:rsidRDefault="00214B4C" w:rsidP="0053024A">
      <w:pPr>
        <w:rPr>
          <w:b/>
          <w:bCs/>
          <w:szCs w:val="22"/>
          <w:lang w:val="sr-Latn-ME"/>
        </w:rPr>
      </w:pPr>
    </w:p>
    <w:p w14:paraId="50F84B5C" w14:textId="78528FF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Za očekivati je da povidon-jod reaguje sa proteinima i različitim materijama organskog por</w:t>
      </w:r>
      <w:r w:rsidR="000827A4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ekla, kao što su npr. komponente krvi i gnoja. Ova interakcija može da umanji efikasnost ovog </w:t>
      </w:r>
      <w:r w:rsidR="00ED06A6" w:rsidRPr="00E36C10">
        <w:rPr>
          <w:szCs w:val="22"/>
          <w:lang w:val="sr-Latn-ME"/>
        </w:rPr>
        <w:t>l</w:t>
      </w:r>
      <w:r w:rsidR="006E4A6E" w:rsidRPr="00E36C10">
        <w:rPr>
          <w:szCs w:val="22"/>
          <w:lang w:val="sr-Latn-ME"/>
        </w:rPr>
        <w:t>ij</w:t>
      </w:r>
      <w:r w:rsidR="00ED06A6" w:rsidRPr="00E36C10">
        <w:rPr>
          <w:szCs w:val="22"/>
          <w:lang w:val="sr-Latn-ME"/>
        </w:rPr>
        <w:t>eka</w:t>
      </w:r>
      <w:r w:rsidRPr="00E36C10">
        <w:rPr>
          <w:szCs w:val="22"/>
          <w:lang w:val="sr-Latn-ME"/>
        </w:rPr>
        <w:t>.</w:t>
      </w:r>
    </w:p>
    <w:p w14:paraId="606FDBE4" w14:textId="77777777" w:rsidR="00214B4C" w:rsidRPr="00E36C10" w:rsidRDefault="00214B4C" w:rsidP="0053024A">
      <w:pPr>
        <w:rPr>
          <w:szCs w:val="22"/>
          <w:lang w:val="sr-Latn-ME"/>
        </w:rPr>
      </w:pPr>
    </w:p>
    <w:p w14:paraId="3E53A101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Kao rezultat oksidacije, istovremena prim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ena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 xml:space="preserve">Povidon jod HF i enzimskih </w:t>
      </w:r>
      <w:r w:rsidR="002E7E8B" w:rsidRPr="00E36C10">
        <w:rPr>
          <w:szCs w:val="22"/>
          <w:lang w:val="sr-Latn-ME"/>
        </w:rPr>
        <w:t>ljekov</w:t>
      </w:r>
      <w:r w:rsidR="00ED06A6" w:rsidRPr="00E36C10">
        <w:rPr>
          <w:szCs w:val="22"/>
          <w:lang w:val="sr-Latn-ME"/>
        </w:rPr>
        <w:t xml:space="preserve">a </w:t>
      </w:r>
      <w:r w:rsidRPr="00E36C10">
        <w:rPr>
          <w:szCs w:val="22"/>
          <w:lang w:val="sr-Latn-ME"/>
        </w:rPr>
        <w:t xml:space="preserve">za tretman rana, dovodi do slabljenja dejstva </w:t>
      </w:r>
      <w:r w:rsidR="00995795" w:rsidRPr="00E36C10">
        <w:rPr>
          <w:szCs w:val="22"/>
          <w:lang w:val="sr-Latn-ME"/>
        </w:rPr>
        <w:t>enzimskih komponenti oba l</w:t>
      </w:r>
      <w:r w:rsidR="006E4A6E" w:rsidRPr="00E36C10">
        <w:rPr>
          <w:szCs w:val="22"/>
          <w:lang w:val="sr-Latn-ME"/>
        </w:rPr>
        <w:t>ij</w:t>
      </w:r>
      <w:r w:rsidR="00995795" w:rsidRPr="00E36C10">
        <w:rPr>
          <w:szCs w:val="22"/>
          <w:lang w:val="sr-Latn-ME"/>
        </w:rPr>
        <w:t>eka.</w:t>
      </w:r>
      <w:r w:rsidRPr="00E36C10">
        <w:rPr>
          <w:szCs w:val="22"/>
          <w:lang w:val="sr-Latn-ME"/>
        </w:rPr>
        <w:t xml:space="preserve"> Do ovoga dolazi i kod istovremene prim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ene sa vodonik</w:t>
      </w:r>
      <w:r w:rsidR="00085DA1" w:rsidRPr="00E36C10">
        <w:rPr>
          <w:szCs w:val="22"/>
          <w:lang w:val="sr-Latn-ME"/>
        </w:rPr>
        <w:t>-</w:t>
      </w:r>
      <w:r w:rsidRPr="00E36C10">
        <w:rPr>
          <w:szCs w:val="22"/>
          <w:lang w:val="sr-Latn-ME"/>
        </w:rPr>
        <w:t>peroksidom i taurolidinom, kao i sa dezinficijensima koji sadrže srebro (zbog stvaranja srebro-jodida).</w:t>
      </w:r>
    </w:p>
    <w:p w14:paraId="295481C6" w14:textId="77777777" w:rsidR="00214B4C" w:rsidRPr="00E36C10" w:rsidRDefault="00214B4C" w:rsidP="0053024A">
      <w:pPr>
        <w:rPr>
          <w:szCs w:val="22"/>
          <w:lang w:val="sr-Latn-ME"/>
        </w:rPr>
      </w:pPr>
    </w:p>
    <w:p w14:paraId="2A035DAD" w14:textId="395C74E3" w:rsidR="00214B4C" w:rsidRPr="00E36C10" w:rsidRDefault="002E7E8B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se ne sm</w:t>
      </w:r>
      <w:r w:rsidR="006E4A6E" w:rsidRPr="00E36C10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 prim</w:t>
      </w:r>
      <w:r w:rsidR="00D411E7">
        <w:rPr>
          <w:szCs w:val="22"/>
          <w:lang w:val="sr-Latn-ME"/>
        </w:rPr>
        <w:t>i</w:t>
      </w:r>
      <w:r w:rsidR="006E4A6E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eniti istovremeno ili neposredno posl</w:t>
      </w:r>
      <w:r w:rsidR="00D411E7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 prim</w:t>
      </w:r>
      <w:r w:rsidR="006E4A6E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ene dezinficijenasa koji sadrže živu, jer može doći do pojave hemijskih opekotina usl</w:t>
      </w:r>
      <w:r w:rsidR="006E4A6E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ed stvaranja jodida žive.</w:t>
      </w:r>
    </w:p>
    <w:p w14:paraId="5E2D7A08" w14:textId="77777777" w:rsidR="00214B4C" w:rsidRPr="00E36C10" w:rsidRDefault="00214B4C" w:rsidP="0053024A">
      <w:pPr>
        <w:rPr>
          <w:szCs w:val="22"/>
          <w:lang w:val="sr-Latn-ME"/>
        </w:rPr>
      </w:pPr>
    </w:p>
    <w:p w14:paraId="11AF69FD" w14:textId="47681AD8" w:rsidR="00214B4C" w:rsidRPr="00E36C10" w:rsidRDefault="002E7E8B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Lijek </w:t>
      </w:r>
      <w:r w:rsidR="00214B4C" w:rsidRPr="00E36C10">
        <w:rPr>
          <w:szCs w:val="22"/>
          <w:lang w:val="sr-Latn-ME"/>
        </w:rPr>
        <w:t>Povidon jod HF se ne sm</w:t>
      </w:r>
      <w:r w:rsidR="006E4A6E" w:rsidRPr="00E36C10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 koristiti istovremeno sa ili neposredno posl</w:t>
      </w:r>
      <w:r w:rsidR="00D411E7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 prim</w:t>
      </w:r>
      <w:r w:rsidR="006E4A6E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ene antiseptika na bazi oktenidina, na iste ili okolne d</w:t>
      </w:r>
      <w:r w:rsidR="006E4A6E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 xml:space="preserve">elove kože, jer se na njima može javiti tamna prebojenost. </w:t>
      </w:r>
    </w:p>
    <w:p w14:paraId="1181C3AA" w14:textId="77777777" w:rsidR="00214B4C" w:rsidRPr="00E36C10" w:rsidRDefault="00214B4C" w:rsidP="0053024A">
      <w:pPr>
        <w:rPr>
          <w:szCs w:val="22"/>
          <w:lang w:val="sr-Latn-ME"/>
        </w:rPr>
      </w:pPr>
    </w:p>
    <w:p w14:paraId="3A3BFF70" w14:textId="77777777" w:rsidR="00CE09F3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Kod pacijenata koji u isto vr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eme primaju terapiju litijumom treba izb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egavati redovnu </w:t>
      </w:r>
      <w:r w:rsidR="002E7E8B" w:rsidRPr="00E36C10">
        <w:rPr>
          <w:szCs w:val="22"/>
          <w:lang w:val="sr-Latn-ME"/>
        </w:rPr>
        <w:t>primjenu</w:t>
      </w:r>
      <w:r w:rsidRPr="00E36C10">
        <w:rPr>
          <w:szCs w:val="22"/>
          <w:lang w:val="sr-Latn-ME"/>
        </w:rPr>
        <w:t xml:space="preserve">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 xml:space="preserve">Povidon jod HF posebno u slučaju nanošenja ovog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 xml:space="preserve">na velikim površinama, </w:t>
      </w:r>
      <w:r w:rsidR="00C528EF" w:rsidRPr="00E36C10">
        <w:rPr>
          <w:szCs w:val="22"/>
          <w:lang w:val="sr-Latn-ME"/>
        </w:rPr>
        <w:t>jer</w:t>
      </w:r>
      <w:r w:rsidRPr="00E36C10">
        <w:rPr>
          <w:szCs w:val="22"/>
          <w:lang w:val="sr-Latn-ME"/>
        </w:rPr>
        <w:t xml:space="preserve"> može doći do resorpcije većih količina joda. U izuzetnim slučajevima, to može da dovede do prolazne pojave hipotireoidizma. U takvoj, posebnoj situaciji, može doći i do sinergističkog efekta, pošto litijum takođe može da izazove pojavu hipotireoidizma.</w:t>
      </w:r>
    </w:p>
    <w:p w14:paraId="2AC34BBF" w14:textId="77777777" w:rsidR="00833A3F" w:rsidRPr="00E36C10" w:rsidRDefault="00833A3F" w:rsidP="0053024A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213DB2FC" w14:textId="77777777" w:rsidR="00085DA1" w:rsidRPr="00E36C10" w:rsidRDefault="004C79EA" w:rsidP="0053024A">
      <w:pPr>
        <w:tabs>
          <w:tab w:val="clear" w:pos="284"/>
        </w:tabs>
        <w:rPr>
          <w:b/>
          <w:i/>
          <w:szCs w:val="22"/>
          <w:lang w:val="sr-Latn-ME"/>
        </w:rPr>
      </w:pPr>
      <w:r w:rsidRPr="00E36C10">
        <w:rPr>
          <w:b/>
          <w:i/>
          <w:szCs w:val="22"/>
          <w:lang w:val="sr-Latn-ME"/>
        </w:rPr>
        <w:lastRenderedPageBreak/>
        <w:t>Uticaj na dijagnostičke testove</w:t>
      </w:r>
    </w:p>
    <w:p w14:paraId="570823CB" w14:textId="77777777" w:rsidR="004C79EA" w:rsidRPr="00E36C10" w:rsidRDefault="004C79EA" w:rsidP="0053024A">
      <w:pPr>
        <w:tabs>
          <w:tab w:val="clear" w:pos="284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Usl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ed oksidativnog dejstva povidon-joda, kada se kod pacijenata prim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enjuje </w:t>
      </w:r>
      <w:r w:rsidR="002E7E8B" w:rsidRPr="00E36C10">
        <w:rPr>
          <w:szCs w:val="22"/>
          <w:lang w:val="sr-Latn-ME"/>
        </w:rPr>
        <w:t xml:space="preserve">lijek </w:t>
      </w:r>
      <w:r w:rsidRPr="00E36C10">
        <w:rPr>
          <w:szCs w:val="22"/>
          <w:lang w:val="sr-Latn-ME"/>
        </w:rPr>
        <w:t>Povidon jod HF može doći do lažno pozitivnih rezultata različitih dijagnostičkih testova (između ostalih, test sa toluidinom i gvajak smolom za određivanje hemoglobina ili glukoze u fecesu ili urinu).</w:t>
      </w:r>
    </w:p>
    <w:p w14:paraId="6E521010" w14:textId="77777777" w:rsidR="004C79EA" w:rsidRPr="00E36C10" w:rsidRDefault="004C79EA" w:rsidP="0053024A">
      <w:pPr>
        <w:tabs>
          <w:tab w:val="clear" w:pos="284"/>
        </w:tabs>
        <w:rPr>
          <w:szCs w:val="22"/>
          <w:lang w:val="sr-Latn-ME"/>
        </w:rPr>
      </w:pPr>
    </w:p>
    <w:p w14:paraId="5D3F368A" w14:textId="77777777" w:rsidR="004C79EA" w:rsidRPr="00E36C10" w:rsidRDefault="004C79EA" w:rsidP="0053024A">
      <w:pPr>
        <w:tabs>
          <w:tab w:val="clear" w:pos="284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Tokom prim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ene povidon-joda, može doći do smanjenja preuzimanja joda od strane tireoidne žl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ezde, što može da izazove smetnje pri scintigrafiji tireoidne žl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ezde, u određivanju joda vezanog za proteine (PBI) i u dijagnostičkim procedurama sa radioaktivnim jodom, kao i da onemogući planiranu terapiju radioaktivnim jodom. Po prestanku terapije povidon-jodom, neophodno je sačekati najmanje 1-2 ned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elje pr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 naredne scintigrafije tireoidne žl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ezde. </w:t>
      </w:r>
    </w:p>
    <w:p w14:paraId="5D1C285E" w14:textId="77777777" w:rsidR="00214B4C" w:rsidRPr="00E36C10" w:rsidRDefault="00214B4C" w:rsidP="0053024A">
      <w:pPr>
        <w:rPr>
          <w:szCs w:val="22"/>
          <w:lang w:val="sr-Latn-ME"/>
        </w:rPr>
      </w:pPr>
    </w:p>
    <w:p w14:paraId="1C458EFE" w14:textId="77777777" w:rsidR="00CE09F3" w:rsidRDefault="00CE09F3" w:rsidP="0053024A">
      <w:pPr>
        <w:rPr>
          <w:b/>
          <w:bCs/>
          <w:color w:val="000000"/>
          <w:szCs w:val="22"/>
          <w:lang w:val="sr-Latn-ME"/>
        </w:rPr>
      </w:pPr>
      <w:r>
        <w:rPr>
          <w:b/>
          <w:bCs/>
          <w:color w:val="000000"/>
          <w:szCs w:val="22"/>
          <w:lang w:val="sr-Latn-ME"/>
        </w:rPr>
        <w:t>4.6. Plodnost, trudnoća i dojenje</w:t>
      </w:r>
    </w:p>
    <w:p w14:paraId="338B6EE1" w14:textId="77777777" w:rsidR="00214B4C" w:rsidRPr="00E36C10" w:rsidRDefault="00214B4C" w:rsidP="0053024A">
      <w:pPr>
        <w:rPr>
          <w:b/>
          <w:bCs/>
          <w:szCs w:val="22"/>
          <w:lang w:val="sr-Latn-ME"/>
        </w:rPr>
      </w:pPr>
    </w:p>
    <w:p w14:paraId="072987F5" w14:textId="77777777" w:rsidR="00F67673" w:rsidRPr="00E36C10" w:rsidRDefault="00177D7C" w:rsidP="0053024A">
      <w:pPr>
        <w:rPr>
          <w:i/>
          <w:szCs w:val="22"/>
          <w:lang w:val="sr-Latn-ME"/>
        </w:rPr>
      </w:pPr>
      <w:r w:rsidRPr="00E36C10">
        <w:rPr>
          <w:i/>
          <w:szCs w:val="22"/>
          <w:lang w:val="sr-Latn-ME"/>
        </w:rPr>
        <w:t>Plodnost</w:t>
      </w:r>
    </w:p>
    <w:p w14:paraId="5F5169CA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Nema podataka o reproduktivnoj toksičnosti (</w:t>
      </w:r>
      <w:r w:rsidR="002E7E8B" w:rsidRPr="00E36C10">
        <w:rPr>
          <w:szCs w:val="22"/>
          <w:lang w:val="sr-Latn-ME"/>
        </w:rPr>
        <w:t>bezbjed</w:t>
      </w:r>
      <w:r w:rsidRPr="00E36C10">
        <w:rPr>
          <w:szCs w:val="22"/>
          <w:lang w:val="sr-Latn-ME"/>
        </w:rPr>
        <w:t xml:space="preserve">nosti). </w:t>
      </w:r>
    </w:p>
    <w:p w14:paraId="51545588" w14:textId="77777777" w:rsidR="00214B4C" w:rsidRPr="00E36C10" w:rsidRDefault="00214B4C" w:rsidP="0053024A">
      <w:pPr>
        <w:rPr>
          <w:szCs w:val="22"/>
          <w:lang w:val="sr-Latn-ME"/>
        </w:rPr>
      </w:pPr>
    </w:p>
    <w:p w14:paraId="2B621282" w14:textId="77777777" w:rsidR="00214B4C" w:rsidRPr="00E36C10" w:rsidRDefault="00214B4C" w:rsidP="0053024A">
      <w:pPr>
        <w:rPr>
          <w:i/>
          <w:szCs w:val="22"/>
          <w:lang w:val="sr-Latn-ME"/>
        </w:rPr>
      </w:pPr>
      <w:r w:rsidRPr="00E36C10">
        <w:rPr>
          <w:i/>
          <w:szCs w:val="22"/>
          <w:lang w:val="sr-Latn-ME"/>
        </w:rPr>
        <w:t>Trudnoća i dojenje</w:t>
      </w:r>
    </w:p>
    <w:p w14:paraId="6C6CBF5E" w14:textId="7B822F45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Tokom trudnoće i perioda dojenja,</w:t>
      </w:r>
      <w:r w:rsidR="003407B6" w:rsidRPr="00E36C10">
        <w:rPr>
          <w:szCs w:val="22"/>
          <w:lang w:val="sr-Latn-ME"/>
        </w:rPr>
        <w:t xml:space="preserve"> </w:t>
      </w:r>
      <w:r w:rsidR="002E7E8B" w:rsidRPr="00E36C10">
        <w:rPr>
          <w:szCs w:val="22"/>
          <w:lang w:val="sr-Latn-ME"/>
        </w:rPr>
        <w:t xml:space="preserve">lijek </w:t>
      </w:r>
      <w:r w:rsidRPr="00E36C10">
        <w:rPr>
          <w:szCs w:val="22"/>
          <w:lang w:val="sr-Latn-ME"/>
        </w:rPr>
        <w:t xml:space="preserve">Povidon jod HF kao i svi </w:t>
      </w:r>
      <w:r w:rsidR="002E7E8B" w:rsidRPr="00E36C10">
        <w:rPr>
          <w:szCs w:val="22"/>
          <w:lang w:val="sr-Latn-ME"/>
        </w:rPr>
        <w:t>ljekov</w:t>
      </w:r>
      <w:r w:rsidR="00ED06A6" w:rsidRPr="00E36C10">
        <w:rPr>
          <w:szCs w:val="22"/>
          <w:lang w:val="sr-Latn-ME"/>
        </w:rPr>
        <w:t xml:space="preserve">i </w:t>
      </w:r>
      <w:r w:rsidRPr="00E36C10">
        <w:rPr>
          <w:szCs w:val="22"/>
          <w:lang w:val="sr-Latn-ME"/>
        </w:rPr>
        <w:t>koji sadrže jod, se prim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enjuje isključivo posl</w:t>
      </w:r>
      <w:r w:rsidR="007759F9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 vrlo pažljive proc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ene odnosa koristi za majku i rizika za d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ete, i to u vrlo ograničenim količinama. Posl</w:t>
      </w:r>
      <w:r w:rsidR="007759F9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 nanošenja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>Povidon jod HF mora se kontrolisati funkcija tireoidne žl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ezde kod d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eteta. Ako se razvije hipotireoidizam, odmah se mora uvesti terapija tireoidnim hormon</w:t>
      </w:r>
      <w:r w:rsidR="004C79EA" w:rsidRPr="00E36C10">
        <w:rPr>
          <w:szCs w:val="22"/>
          <w:lang w:val="sr-Latn-ME"/>
        </w:rPr>
        <w:t>ima, sve dok se tireoidna funkci</w:t>
      </w:r>
      <w:r w:rsidRPr="00E36C10">
        <w:rPr>
          <w:szCs w:val="22"/>
          <w:lang w:val="sr-Latn-ME"/>
        </w:rPr>
        <w:t>ja ne normalizuje (</w:t>
      </w:r>
      <w:r w:rsidR="006E4A6E" w:rsidRPr="00E36C10">
        <w:rPr>
          <w:szCs w:val="22"/>
          <w:lang w:val="sr-Latn-ME"/>
        </w:rPr>
        <w:t>pogledati</w:t>
      </w:r>
      <w:r w:rsidRPr="00E36C10">
        <w:rPr>
          <w:szCs w:val="22"/>
          <w:lang w:val="sr-Latn-ME"/>
        </w:rPr>
        <w:t xml:space="preserve"> </w:t>
      </w:r>
      <w:r w:rsidR="002E7E8B" w:rsidRPr="00E36C10">
        <w:rPr>
          <w:szCs w:val="22"/>
          <w:lang w:val="sr-Latn-ME"/>
        </w:rPr>
        <w:t>dio</w:t>
      </w:r>
      <w:r w:rsidRPr="00E36C10">
        <w:rPr>
          <w:szCs w:val="22"/>
          <w:lang w:val="sr-Latn-ME"/>
        </w:rPr>
        <w:t xml:space="preserve"> 4.3).</w:t>
      </w:r>
    </w:p>
    <w:p w14:paraId="22F6778E" w14:textId="77777777" w:rsidR="00214B4C" w:rsidRPr="00E36C10" w:rsidRDefault="00214B4C" w:rsidP="0053024A">
      <w:pPr>
        <w:rPr>
          <w:szCs w:val="22"/>
          <w:lang w:val="sr-Latn-ME"/>
        </w:rPr>
      </w:pPr>
    </w:p>
    <w:p w14:paraId="6455468B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Mora se izb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eći slučajni oralni unos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>Povidon jod HF od strane odojčeta putem kontakta sa površinom majčine kože na koju je nan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et ovaj </w:t>
      </w:r>
      <w:r w:rsidR="002E7E8B" w:rsidRPr="00E36C10">
        <w:rPr>
          <w:szCs w:val="22"/>
          <w:lang w:val="sr-Latn-ME"/>
        </w:rPr>
        <w:t xml:space="preserve">lijek </w:t>
      </w:r>
      <w:r w:rsidRPr="00E36C10">
        <w:rPr>
          <w:szCs w:val="22"/>
          <w:lang w:val="sr-Latn-ME"/>
        </w:rPr>
        <w:t>(</w:t>
      </w:r>
      <w:r w:rsidR="006E4A6E" w:rsidRPr="00E36C10">
        <w:rPr>
          <w:szCs w:val="22"/>
          <w:lang w:val="sr-Latn-ME"/>
        </w:rPr>
        <w:t>pogledati</w:t>
      </w:r>
      <w:r w:rsidRPr="00E36C10">
        <w:rPr>
          <w:szCs w:val="22"/>
          <w:lang w:val="sr-Latn-ME"/>
        </w:rPr>
        <w:t xml:space="preserve"> </w:t>
      </w:r>
      <w:r w:rsidR="002E7E8B" w:rsidRPr="00E36C10">
        <w:rPr>
          <w:szCs w:val="22"/>
          <w:lang w:val="sr-Latn-ME"/>
        </w:rPr>
        <w:t>dio</w:t>
      </w:r>
      <w:r w:rsidRPr="00E36C10">
        <w:rPr>
          <w:szCs w:val="22"/>
          <w:lang w:val="sr-Latn-ME"/>
        </w:rPr>
        <w:t xml:space="preserve"> 4.3</w:t>
      </w:r>
      <w:r w:rsidRPr="00E36C10">
        <w:rPr>
          <w:iCs/>
          <w:szCs w:val="22"/>
          <w:lang w:val="sr-Latn-ME"/>
        </w:rPr>
        <w:t>)</w:t>
      </w:r>
      <w:r w:rsidRPr="00E36C10">
        <w:rPr>
          <w:i/>
          <w:szCs w:val="22"/>
          <w:lang w:val="sr-Latn-ME"/>
        </w:rPr>
        <w:t>.</w:t>
      </w:r>
      <w:r w:rsidRPr="00E36C10">
        <w:rPr>
          <w:szCs w:val="22"/>
          <w:lang w:val="sr-Latn-ME"/>
        </w:rPr>
        <w:t xml:space="preserve"> </w:t>
      </w:r>
    </w:p>
    <w:p w14:paraId="36803909" w14:textId="77777777" w:rsidR="00214B4C" w:rsidRPr="00E36C10" w:rsidRDefault="00214B4C" w:rsidP="0053024A">
      <w:pPr>
        <w:rPr>
          <w:szCs w:val="22"/>
          <w:lang w:val="sr-Latn-ME"/>
        </w:rPr>
      </w:pPr>
    </w:p>
    <w:p w14:paraId="7018CF61" w14:textId="2B24960D" w:rsidR="00CE09F3" w:rsidRPr="00E36C10" w:rsidRDefault="00214B4C" w:rsidP="0053024A">
      <w:pPr>
        <w:rPr>
          <w:bCs/>
          <w:szCs w:val="22"/>
          <w:lang w:val="sr-Latn-ME"/>
        </w:rPr>
      </w:pPr>
      <w:r w:rsidRPr="00E36C10">
        <w:rPr>
          <w:szCs w:val="22"/>
          <w:lang w:val="sr-Latn-ME"/>
        </w:rPr>
        <w:t>Ukoliko se, zbog prirode i veličine površine na kojoj se prim</w:t>
      </w:r>
      <w:r w:rsidR="006E4A6E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enjuje </w:t>
      </w:r>
      <w:r w:rsidR="002E7E8B" w:rsidRPr="00E36C10">
        <w:rPr>
          <w:szCs w:val="22"/>
          <w:lang w:val="sr-Latn-ME"/>
        </w:rPr>
        <w:t xml:space="preserve">lijek </w:t>
      </w:r>
      <w:r w:rsidRPr="00E36C10">
        <w:rPr>
          <w:szCs w:val="22"/>
          <w:lang w:val="sr-Latn-ME"/>
        </w:rPr>
        <w:t>Povidon jod HF, očekuje da će doći do značajne resorpcije joda, mora se voditi računa da zbog toga može da dođe i do porasta koncentracije joda u majčinom ml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eku (</w:t>
      </w:r>
      <w:r w:rsidR="006E4A6E" w:rsidRPr="00E36C10">
        <w:rPr>
          <w:szCs w:val="22"/>
          <w:lang w:val="sr-Latn-ME"/>
        </w:rPr>
        <w:t>pogledati</w:t>
      </w:r>
      <w:r w:rsidRPr="00E36C10">
        <w:rPr>
          <w:szCs w:val="22"/>
          <w:lang w:val="sr-Latn-ME"/>
        </w:rPr>
        <w:t xml:space="preserve"> </w:t>
      </w:r>
      <w:r w:rsidR="007759F9">
        <w:rPr>
          <w:szCs w:val="22"/>
          <w:lang w:val="sr-Latn-ME"/>
        </w:rPr>
        <w:t>d</w:t>
      </w:r>
      <w:r w:rsidR="006E4A6E" w:rsidRPr="00E36C10">
        <w:rPr>
          <w:szCs w:val="22"/>
          <w:lang w:val="sr-Latn-ME"/>
        </w:rPr>
        <w:t>jelove</w:t>
      </w:r>
      <w:r w:rsidRPr="00E36C10">
        <w:rPr>
          <w:szCs w:val="22"/>
          <w:lang w:val="sr-Latn-ME"/>
        </w:rPr>
        <w:t xml:space="preserve"> 5.2 i 5.3). </w:t>
      </w:r>
    </w:p>
    <w:p w14:paraId="02D8B686" w14:textId="77777777" w:rsidR="00CE09F3" w:rsidRPr="00E36C10" w:rsidRDefault="00CE09F3" w:rsidP="0053024A">
      <w:pPr>
        <w:rPr>
          <w:szCs w:val="22"/>
          <w:lang w:val="sr-Latn-ME"/>
        </w:rPr>
      </w:pPr>
    </w:p>
    <w:p w14:paraId="4EDEF6F0" w14:textId="77777777" w:rsidR="00CE09F3" w:rsidRPr="00E36C10" w:rsidRDefault="00CE09F3" w:rsidP="0053024A">
      <w:pPr>
        <w:rPr>
          <w:b/>
          <w:bCs/>
          <w:spacing w:val="-8"/>
          <w:szCs w:val="22"/>
          <w:lang w:val="sr-Latn-ME"/>
        </w:rPr>
      </w:pPr>
      <w:r w:rsidRPr="00E36C10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6E4A6E" w:rsidRPr="00E36C10">
        <w:rPr>
          <w:b/>
          <w:bCs/>
          <w:spacing w:val="-8"/>
          <w:szCs w:val="22"/>
          <w:lang w:val="sr-Latn-ME"/>
        </w:rPr>
        <w:t>e</w:t>
      </w:r>
      <w:r w:rsidRPr="00E36C10">
        <w:rPr>
          <w:b/>
          <w:bCs/>
          <w:spacing w:val="-8"/>
          <w:szCs w:val="22"/>
          <w:lang w:val="sr-Latn-ME"/>
        </w:rPr>
        <w:t xml:space="preserve"> mašinama</w:t>
      </w:r>
    </w:p>
    <w:p w14:paraId="5AB4413C" w14:textId="77777777" w:rsidR="00CE09F3" w:rsidRPr="00E36C10" w:rsidRDefault="00CE09F3" w:rsidP="0053024A">
      <w:pPr>
        <w:rPr>
          <w:szCs w:val="22"/>
          <w:lang w:val="sr-Latn-ME"/>
        </w:rPr>
      </w:pPr>
    </w:p>
    <w:p w14:paraId="503788CA" w14:textId="77777777" w:rsidR="00214B4C" w:rsidRPr="00E36C10" w:rsidRDefault="00214B4C" w:rsidP="0053024A">
      <w:pPr>
        <w:rPr>
          <w:i/>
          <w:szCs w:val="22"/>
          <w:lang w:val="sr-Latn-ME"/>
        </w:rPr>
      </w:pPr>
      <w:r w:rsidRPr="00E36C10">
        <w:rPr>
          <w:szCs w:val="22"/>
          <w:lang w:val="sr-Latn-ME"/>
        </w:rPr>
        <w:t xml:space="preserve">Rastvor za kožu koji sadrži povidon-jod, nema uticaja na sposobnost upravljanja vozilima i </w:t>
      </w:r>
      <w:r w:rsidR="004C79EA" w:rsidRPr="00E36C10">
        <w:rPr>
          <w:szCs w:val="22"/>
          <w:lang w:val="sr-Latn-ME"/>
        </w:rPr>
        <w:t>rukovanja</w:t>
      </w:r>
      <w:r w:rsidRPr="00E36C10">
        <w:rPr>
          <w:szCs w:val="22"/>
          <w:lang w:val="sr-Latn-ME"/>
        </w:rPr>
        <w:t xml:space="preserve"> mašinama.</w:t>
      </w:r>
    </w:p>
    <w:p w14:paraId="7D87A018" w14:textId="77777777" w:rsidR="00CE09F3" w:rsidRPr="00E36C10" w:rsidRDefault="00CE09F3" w:rsidP="0053024A">
      <w:pPr>
        <w:rPr>
          <w:szCs w:val="22"/>
          <w:lang w:val="sr-Latn-ME"/>
        </w:rPr>
      </w:pPr>
    </w:p>
    <w:p w14:paraId="5715BC71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4.8. Neželjena dejstva</w:t>
      </w:r>
    </w:p>
    <w:p w14:paraId="77EB217A" w14:textId="77777777" w:rsidR="00CE09F3" w:rsidRPr="00E36C10" w:rsidRDefault="00CE09F3" w:rsidP="0053024A">
      <w:pPr>
        <w:rPr>
          <w:noProof/>
          <w:szCs w:val="22"/>
          <w:u w:val="single"/>
          <w:lang w:val="sr-Latn-ME"/>
        </w:rPr>
      </w:pPr>
    </w:p>
    <w:p w14:paraId="12702AC7" w14:textId="77777777" w:rsidR="00214B4C" w:rsidRPr="00E36C10" w:rsidRDefault="00214B4C" w:rsidP="0053024A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Učestalosti javljanja neželjenih dejstava su navedene na </w:t>
      </w:r>
      <w:r w:rsidR="002E7E8B" w:rsidRPr="00E36C10">
        <w:rPr>
          <w:szCs w:val="22"/>
          <w:lang w:val="sr-Latn-ME"/>
        </w:rPr>
        <w:t>sljedeć</w:t>
      </w:r>
      <w:r w:rsidRPr="00E36C10">
        <w:rPr>
          <w:szCs w:val="22"/>
          <w:lang w:val="sr-Latn-ME"/>
        </w:rPr>
        <w:t>i način: veoma često (≥1/10), često (≥1/100 do &lt;1/10), povremeno (≥1/1000 do &lt;1/100), r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etko (≥1/10000 do &lt;1/1000), veoma r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etko (&lt;1/10000), nepoznate učestalosti (ne može se proc</w:t>
      </w:r>
      <w:r w:rsidR="006E4A6E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eniti na osnovu dostupnih podataka).</w:t>
      </w:r>
    </w:p>
    <w:p w14:paraId="7425C5AB" w14:textId="77777777" w:rsidR="00CE09F3" w:rsidRPr="00E36C10" w:rsidRDefault="00CE09F3" w:rsidP="0053024A">
      <w:pPr>
        <w:rPr>
          <w:noProof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5"/>
        <w:gridCol w:w="748"/>
        <w:gridCol w:w="649"/>
        <w:gridCol w:w="1081"/>
        <w:gridCol w:w="2053"/>
        <w:gridCol w:w="1663"/>
        <w:gridCol w:w="1368"/>
      </w:tblGrid>
      <w:tr w:rsidR="006E4A6E" w:rsidRPr="00E36C10" w14:paraId="4379D467" w14:textId="77777777" w:rsidTr="006E4A6E">
        <w:trPr>
          <w:trHeight w:val="20"/>
        </w:trPr>
        <w:tc>
          <w:tcPr>
            <w:tcW w:w="894" w:type="pct"/>
            <w:vAlign w:val="center"/>
          </w:tcPr>
          <w:p w14:paraId="681D25D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MedDRA klasifikacija</w:t>
            </w:r>
          </w:p>
          <w:p w14:paraId="414242C3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sistema organa</w:t>
            </w:r>
          </w:p>
        </w:tc>
        <w:tc>
          <w:tcPr>
            <w:tcW w:w="384" w:type="pct"/>
            <w:vAlign w:val="center"/>
          </w:tcPr>
          <w:p w14:paraId="26080483" w14:textId="77777777" w:rsidR="004C6D54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Veoma često</w:t>
            </w:r>
          </w:p>
        </w:tc>
        <w:tc>
          <w:tcPr>
            <w:tcW w:w="357" w:type="pct"/>
            <w:vAlign w:val="center"/>
          </w:tcPr>
          <w:p w14:paraId="1CA1EEFB" w14:textId="77777777" w:rsidR="004C6D54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Često</w:t>
            </w:r>
          </w:p>
        </w:tc>
        <w:tc>
          <w:tcPr>
            <w:tcW w:w="588" w:type="pct"/>
            <w:vAlign w:val="center"/>
          </w:tcPr>
          <w:p w14:paraId="0B59E16A" w14:textId="77777777" w:rsidR="004C6D54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Povremeno</w:t>
            </w:r>
          </w:p>
        </w:tc>
        <w:tc>
          <w:tcPr>
            <w:tcW w:w="1124" w:type="pct"/>
            <w:vAlign w:val="center"/>
          </w:tcPr>
          <w:p w14:paraId="122944E6" w14:textId="77777777" w:rsidR="004C6D54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R</w:t>
            </w:r>
            <w:r w:rsidR="006E4A6E" w:rsidRPr="00E36C10">
              <w:rPr>
                <w:sz w:val="20"/>
                <w:szCs w:val="20"/>
                <w:lang w:val="sr-Latn-ME"/>
              </w:rPr>
              <w:t>ij</w:t>
            </w:r>
            <w:r w:rsidRPr="00E36C10">
              <w:rPr>
                <w:sz w:val="20"/>
                <w:szCs w:val="20"/>
                <w:lang w:val="sr-Latn-ME"/>
              </w:rPr>
              <w:t>etko</w:t>
            </w:r>
          </w:p>
        </w:tc>
        <w:tc>
          <w:tcPr>
            <w:tcW w:w="908" w:type="pct"/>
            <w:vAlign w:val="center"/>
          </w:tcPr>
          <w:p w14:paraId="5444F788" w14:textId="77777777" w:rsidR="004C6D54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Veoma r</w:t>
            </w:r>
            <w:r w:rsidR="006E4A6E" w:rsidRPr="00E36C10">
              <w:rPr>
                <w:sz w:val="20"/>
                <w:szCs w:val="20"/>
                <w:lang w:val="sr-Latn-ME"/>
              </w:rPr>
              <w:t>ij</w:t>
            </w:r>
            <w:r w:rsidRPr="00E36C10">
              <w:rPr>
                <w:sz w:val="20"/>
                <w:szCs w:val="20"/>
                <w:lang w:val="sr-Latn-ME"/>
              </w:rPr>
              <w:t>etko</w:t>
            </w:r>
          </w:p>
        </w:tc>
        <w:tc>
          <w:tcPr>
            <w:tcW w:w="744" w:type="pct"/>
            <w:vAlign w:val="center"/>
          </w:tcPr>
          <w:p w14:paraId="74D8FD49" w14:textId="77777777" w:rsidR="004C6D54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Nepoznate učestalosti</w:t>
            </w:r>
          </w:p>
        </w:tc>
      </w:tr>
      <w:tr w:rsidR="006E4A6E" w:rsidRPr="00E36C10" w14:paraId="5EA0C641" w14:textId="77777777" w:rsidTr="006E4A6E">
        <w:trPr>
          <w:trHeight w:val="20"/>
        </w:trPr>
        <w:tc>
          <w:tcPr>
            <w:tcW w:w="894" w:type="pct"/>
          </w:tcPr>
          <w:p w14:paraId="33D64910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Poremećaji imunskog sistema</w:t>
            </w:r>
          </w:p>
        </w:tc>
        <w:tc>
          <w:tcPr>
            <w:tcW w:w="384" w:type="pct"/>
          </w:tcPr>
          <w:p w14:paraId="3EBDB5E4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357" w:type="pct"/>
          </w:tcPr>
          <w:p w14:paraId="0EF7C5D2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588" w:type="pct"/>
          </w:tcPr>
          <w:p w14:paraId="526CC289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1124" w:type="pct"/>
          </w:tcPr>
          <w:p w14:paraId="316FD2E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Hipersenzitivnost</w:t>
            </w:r>
          </w:p>
          <w:p w14:paraId="29FB5059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(reakcije preos</w:t>
            </w:r>
            <w:r w:rsidR="006E4A6E" w:rsidRPr="00E36C10">
              <w:rPr>
                <w:sz w:val="20"/>
                <w:szCs w:val="20"/>
                <w:lang w:val="sr-Latn-ME"/>
              </w:rPr>
              <w:t>j</w:t>
            </w:r>
            <w:r w:rsidRPr="00E36C10">
              <w:rPr>
                <w:sz w:val="20"/>
                <w:szCs w:val="20"/>
                <w:lang w:val="sr-Latn-ME"/>
              </w:rPr>
              <w:t>etljivosti na koži)</w:t>
            </w:r>
          </w:p>
        </w:tc>
        <w:tc>
          <w:tcPr>
            <w:tcW w:w="908" w:type="pct"/>
          </w:tcPr>
          <w:p w14:paraId="29462B0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Anafilaktičke reakcije</w:t>
            </w:r>
          </w:p>
        </w:tc>
        <w:tc>
          <w:tcPr>
            <w:tcW w:w="744" w:type="pct"/>
          </w:tcPr>
          <w:p w14:paraId="03EE0E21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</w:tr>
      <w:tr w:rsidR="006E4A6E" w:rsidRPr="00E36C10" w14:paraId="0E17B329" w14:textId="77777777" w:rsidTr="006E4A6E">
        <w:trPr>
          <w:trHeight w:val="20"/>
        </w:trPr>
        <w:tc>
          <w:tcPr>
            <w:tcW w:w="894" w:type="pct"/>
          </w:tcPr>
          <w:p w14:paraId="58E28347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Poremećaji</w:t>
            </w:r>
          </w:p>
          <w:p w14:paraId="04D32891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metabolizma i</w:t>
            </w:r>
          </w:p>
          <w:p w14:paraId="33C7FA20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ishrane</w:t>
            </w:r>
          </w:p>
        </w:tc>
        <w:tc>
          <w:tcPr>
            <w:tcW w:w="384" w:type="pct"/>
          </w:tcPr>
          <w:p w14:paraId="19D360FD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357" w:type="pct"/>
          </w:tcPr>
          <w:p w14:paraId="5D3C88B3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588" w:type="pct"/>
          </w:tcPr>
          <w:p w14:paraId="76551D1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1124" w:type="pct"/>
          </w:tcPr>
          <w:p w14:paraId="3A4A8C18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908" w:type="pct"/>
          </w:tcPr>
          <w:p w14:paraId="58ED5526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Hipertireoidizam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1</w:t>
            </w:r>
          </w:p>
        </w:tc>
        <w:tc>
          <w:tcPr>
            <w:tcW w:w="744" w:type="pct"/>
          </w:tcPr>
          <w:p w14:paraId="23E88A3E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Metabolička</w:t>
            </w:r>
          </w:p>
          <w:p w14:paraId="2B0C3488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acidoza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2</w:t>
            </w:r>
          </w:p>
          <w:p w14:paraId="0E480E3D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 xml:space="preserve">Poremećaj </w:t>
            </w:r>
          </w:p>
          <w:p w14:paraId="7D5702EA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elektrolita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2</w:t>
            </w:r>
          </w:p>
        </w:tc>
      </w:tr>
      <w:tr w:rsidR="006E4A6E" w:rsidRPr="00E36C10" w14:paraId="28003D62" w14:textId="77777777" w:rsidTr="006E4A6E">
        <w:trPr>
          <w:trHeight w:val="20"/>
        </w:trPr>
        <w:tc>
          <w:tcPr>
            <w:tcW w:w="894" w:type="pct"/>
          </w:tcPr>
          <w:p w14:paraId="3E40F1F4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Poremećaji kože i potkožnog tkiva</w:t>
            </w:r>
          </w:p>
        </w:tc>
        <w:tc>
          <w:tcPr>
            <w:tcW w:w="384" w:type="pct"/>
          </w:tcPr>
          <w:p w14:paraId="5C8EF11C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357" w:type="pct"/>
          </w:tcPr>
          <w:p w14:paraId="72C4A658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588" w:type="pct"/>
          </w:tcPr>
          <w:p w14:paraId="7D2E82BD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1124" w:type="pct"/>
          </w:tcPr>
          <w:p w14:paraId="7C5A87C4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Kod bolesti p</w:t>
            </w:r>
            <w:r w:rsidR="008B611C" w:rsidRPr="00E36C10">
              <w:rPr>
                <w:sz w:val="20"/>
                <w:szCs w:val="20"/>
                <w:lang w:val="sr-Latn-ME"/>
              </w:rPr>
              <w:t>e</w:t>
            </w:r>
            <w:r w:rsidRPr="00E36C10">
              <w:rPr>
                <w:sz w:val="20"/>
                <w:szCs w:val="20"/>
                <w:lang w:val="sr-Latn-ME"/>
              </w:rPr>
              <w:t>rifernih arterija crvenilo kože stopala dok su u spuštenom položaju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3</w:t>
            </w:r>
            <w:r w:rsidRPr="00E36C10">
              <w:rPr>
                <w:sz w:val="20"/>
                <w:szCs w:val="20"/>
                <w:lang w:val="sr-Latn-ME"/>
              </w:rPr>
              <w:t>,</w:t>
            </w:r>
          </w:p>
          <w:p w14:paraId="381754D4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lastRenderedPageBreak/>
              <w:t>Iritacija kože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3</w:t>
            </w:r>
          </w:p>
          <w:p w14:paraId="721E0EC5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Pruritus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3</w:t>
            </w:r>
          </w:p>
          <w:p w14:paraId="06299FE5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Vezikule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908" w:type="pct"/>
          </w:tcPr>
          <w:p w14:paraId="05E7BF47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744" w:type="pct"/>
          </w:tcPr>
          <w:p w14:paraId="26A1CB48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</w:tr>
      <w:tr w:rsidR="006E4A6E" w:rsidRPr="00E36C10" w14:paraId="19675164" w14:textId="77777777" w:rsidTr="006E4A6E">
        <w:trPr>
          <w:trHeight w:val="20"/>
        </w:trPr>
        <w:tc>
          <w:tcPr>
            <w:tcW w:w="894" w:type="pct"/>
          </w:tcPr>
          <w:p w14:paraId="2C3FA33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Poremećaji</w:t>
            </w:r>
          </w:p>
          <w:p w14:paraId="2065E4FA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bubrega i</w:t>
            </w:r>
          </w:p>
          <w:p w14:paraId="000E1CCC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urinarnog</w:t>
            </w:r>
          </w:p>
          <w:p w14:paraId="387366A5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sistema</w:t>
            </w:r>
          </w:p>
        </w:tc>
        <w:tc>
          <w:tcPr>
            <w:tcW w:w="384" w:type="pct"/>
          </w:tcPr>
          <w:p w14:paraId="3E35AC0C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357" w:type="pct"/>
          </w:tcPr>
          <w:p w14:paraId="2C162340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588" w:type="pct"/>
          </w:tcPr>
          <w:p w14:paraId="68530E63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1124" w:type="pct"/>
          </w:tcPr>
          <w:p w14:paraId="555BD863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908" w:type="pct"/>
          </w:tcPr>
          <w:p w14:paraId="3F89216F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744" w:type="pct"/>
          </w:tcPr>
          <w:p w14:paraId="0AD48681" w14:textId="77777777" w:rsidR="00214B4C" w:rsidRPr="00E36C10" w:rsidRDefault="004C79EA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B</w:t>
            </w:r>
            <w:r w:rsidR="00214B4C" w:rsidRPr="00E36C10">
              <w:rPr>
                <w:sz w:val="20"/>
                <w:szCs w:val="20"/>
                <w:lang w:val="sr-Latn-ME"/>
              </w:rPr>
              <w:t xml:space="preserve">ubrežna </w:t>
            </w:r>
          </w:p>
          <w:p w14:paraId="1638BAEA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insuficijencija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4</w:t>
            </w:r>
          </w:p>
        </w:tc>
      </w:tr>
      <w:tr w:rsidR="006E4A6E" w:rsidRPr="00E36C10" w14:paraId="1ADEDEF9" w14:textId="77777777" w:rsidTr="006E4A6E">
        <w:trPr>
          <w:trHeight w:val="20"/>
        </w:trPr>
        <w:tc>
          <w:tcPr>
            <w:tcW w:w="894" w:type="pct"/>
          </w:tcPr>
          <w:p w14:paraId="2BAA2D84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Ispitivanja</w:t>
            </w:r>
          </w:p>
        </w:tc>
        <w:tc>
          <w:tcPr>
            <w:tcW w:w="384" w:type="pct"/>
          </w:tcPr>
          <w:p w14:paraId="3AA0DFA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357" w:type="pct"/>
          </w:tcPr>
          <w:p w14:paraId="48B17E3C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588" w:type="pct"/>
          </w:tcPr>
          <w:p w14:paraId="5C4498D7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1124" w:type="pct"/>
          </w:tcPr>
          <w:p w14:paraId="4EA8502A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908" w:type="pct"/>
          </w:tcPr>
          <w:p w14:paraId="2A182FDB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</w:p>
        </w:tc>
        <w:tc>
          <w:tcPr>
            <w:tcW w:w="744" w:type="pct"/>
          </w:tcPr>
          <w:p w14:paraId="7CF09ACE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Poremećaj</w:t>
            </w:r>
          </w:p>
          <w:p w14:paraId="356FBE28" w14:textId="77777777" w:rsidR="00214B4C" w:rsidRPr="00E36C10" w:rsidRDefault="00214B4C" w:rsidP="0053024A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 w:val="20"/>
                <w:szCs w:val="20"/>
                <w:vertAlign w:val="superscript"/>
                <w:lang w:val="sr-Latn-ME"/>
              </w:rPr>
            </w:pPr>
            <w:r w:rsidRPr="00E36C10">
              <w:rPr>
                <w:sz w:val="20"/>
                <w:szCs w:val="20"/>
                <w:lang w:val="sr-Latn-ME"/>
              </w:rPr>
              <w:t>osmolarnosti seruma</w:t>
            </w:r>
            <w:r w:rsidRPr="00E36C10">
              <w:rPr>
                <w:sz w:val="20"/>
                <w:szCs w:val="20"/>
                <w:vertAlign w:val="superscript"/>
                <w:lang w:val="sr-Latn-ME"/>
              </w:rPr>
              <w:t>2</w:t>
            </w:r>
          </w:p>
        </w:tc>
      </w:tr>
    </w:tbl>
    <w:p w14:paraId="731CB325" w14:textId="77777777" w:rsidR="00214B4C" w:rsidRPr="00E36C10" w:rsidRDefault="00214B4C" w:rsidP="0053024A">
      <w:pPr>
        <w:tabs>
          <w:tab w:val="left" w:pos="-720"/>
          <w:tab w:val="left" w:pos="0"/>
          <w:tab w:val="num" w:pos="1170"/>
        </w:tabs>
        <w:suppressAutoHyphens/>
        <w:rPr>
          <w:sz w:val="20"/>
          <w:szCs w:val="20"/>
          <w:lang w:val="sr-Latn-ME"/>
        </w:rPr>
      </w:pPr>
      <w:r w:rsidRPr="00E36C10">
        <w:rPr>
          <w:sz w:val="20"/>
          <w:szCs w:val="20"/>
          <w:vertAlign w:val="superscript"/>
          <w:lang w:val="sr-Latn-ME"/>
        </w:rPr>
        <w:t xml:space="preserve">1 </w:t>
      </w:r>
      <w:r w:rsidRPr="00E36C10">
        <w:rPr>
          <w:sz w:val="20"/>
          <w:szCs w:val="20"/>
          <w:lang w:val="sr-Latn-ME"/>
        </w:rPr>
        <w:t>Dugotrajna prim</w:t>
      </w:r>
      <w:r w:rsidR="006E4A6E" w:rsidRPr="00E36C10">
        <w:rPr>
          <w:sz w:val="20"/>
          <w:szCs w:val="20"/>
          <w:lang w:val="sr-Latn-ME"/>
        </w:rPr>
        <w:t>j</w:t>
      </w:r>
      <w:r w:rsidRPr="00E36C10">
        <w:rPr>
          <w:sz w:val="20"/>
          <w:szCs w:val="20"/>
          <w:lang w:val="sr-Latn-ME"/>
        </w:rPr>
        <w:t>ena povidon-jod rastvora za kožu, na većim površinama kože, na ranama ili opekotinama, može da dovede do značajne resorpcije joda. Veoma r</w:t>
      </w:r>
      <w:r w:rsidR="006E4A6E" w:rsidRPr="00E36C10">
        <w:rPr>
          <w:sz w:val="20"/>
          <w:szCs w:val="20"/>
          <w:lang w:val="sr-Latn-ME"/>
        </w:rPr>
        <w:t>ij</w:t>
      </w:r>
      <w:r w:rsidRPr="00E36C10">
        <w:rPr>
          <w:sz w:val="20"/>
          <w:szCs w:val="20"/>
          <w:lang w:val="sr-Latn-ME"/>
        </w:rPr>
        <w:t xml:space="preserve">etko, kod predisponiranih pacijenata, može da se razvije hipertireoidizam izazvan jodom. </w:t>
      </w:r>
    </w:p>
    <w:p w14:paraId="2F119797" w14:textId="2D57CDE1" w:rsidR="00214B4C" w:rsidRPr="00E36C10" w:rsidRDefault="00214B4C" w:rsidP="0053024A">
      <w:pPr>
        <w:tabs>
          <w:tab w:val="left" w:pos="-720"/>
          <w:tab w:val="left" w:pos="0"/>
          <w:tab w:val="num" w:pos="1170"/>
        </w:tabs>
        <w:suppressAutoHyphens/>
        <w:rPr>
          <w:sz w:val="20"/>
          <w:szCs w:val="20"/>
          <w:lang w:val="sr-Latn-ME"/>
        </w:rPr>
      </w:pPr>
      <w:r w:rsidRPr="00E36C10">
        <w:rPr>
          <w:sz w:val="20"/>
          <w:szCs w:val="20"/>
          <w:vertAlign w:val="superscript"/>
          <w:lang w:val="sr-Latn-ME"/>
        </w:rPr>
        <w:t>2</w:t>
      </w:r>
      <w:r w:rsidRPr="00E36C10">
        <w:rPr>
          <w:sz w:val="20"/>
          <w:szCs w:val="20"/>
          <w:lang w:val="sr-Latn-ME"/>
        </w:rPr>
        <w:t xml:space="preserve"> Posl</w:t>
      </w:r>
      <w:r w:rsidR="00D05B2C">
        <w:rPr>
          <w:sz w:val="20"/>
          <w:szCs w:val="20"/>
          <w:lang w:val="sr-Latn-ME"/>
        </w:rPr>
        <w:t>ij</w:t>
      </w:r>
      <w:r w:rsidRPr="00E36C10">
        <w:rPr>
          <w:sz w:val="20"/>
          <w:szCs w:val="20"/>
          <w:lang w:val="sr-Latn-ME"/>
        </w:rPr>
        <w:t xml:space="preserve">e resorpcije većih količina povidon-joda (npr. tokom </w:t>
      </w:r>
      <w:r w:rsidR="002E7E8B" w:rsidRPr="00E36C10">
        <w:rPr>
          <w:sz w:val="20"/>
          <w:szCs w:val="20"/>
          <w:lang w:val="sr-Latn-ME"/>
        </w:rPr>
        <w:t>liječe</w:t>
      </w:r>
      <w:r w:rsidRPr="00E36C10">
        <w:rPr>
          <w:sz w:val="20"/>
          <w:szCs w:val="20"/>
          <w:lang w:val="sr-Latn-ME"/>
        </w:rPr>
        <w:t>nja opekotina) opisana su neželjena dejstva nepoznate učestalosti javljanja u vidu (dodatnih) poremećaja elektrolita i osmolarnosti seruma, kao i teške metaboličke acidoze.</w:t>
      </w:r>
    </w:p>
    <w:p w14:paraId="50F14D27" w14:textId="7784ABBB" w:rsidR="00214B4C" w:rsidRPr="00E36C10" w:rsidRDefault="00214B4C" w:rsidP="0053024A">
      <w:pPr>
        <w:tabs>
          <w:tab w:val="left" w:pos="-720"/>
          <w:tab w:val="left" w:pos="0"/>
          <w:tab w:val="num" w:pos="1170"/>
        </w:tabs>
        <w:suppressAutoHyphens/>
        <w:rPr>
          <w:sz w:val="20"/>
          <w:szCs w:val="20"/>
          <w:lang w:val="sr-Latn-ME"/>
        </w:rPr>
      </w:pPr>
      <w:r w:rsidRPr="00E36C10">
        <w:rPr>
          <w:sz w:val="20"/>
          <w:szCs w:val="20"/>
          <w:vertAlign w:val="superscript"/>
          <w:lang w:val="sr-Latn-ME"/>
        </w:rPr>
        <w:t xml:space="preserve">3 </w:t>
      </w:r>
      <w:r w:rsidRPr="00E36C10">
        <w:rPr>
          <w:sz w:val="20"/>
          <w:szCs w:val="20"/>
          <w:lang w:val="sr-Latn-ME"/>
        </w:rPr>
        <w:t>Neželjene reakcije na koži i potkožnim tkivima b</w:t>
      </w:r>
      <w:r w:rsidR="006E4A6E" w:rsidRPr="00E36C10">
        <w:rPr>
          <w:sz w:val="20"/>
          <w:szCs w:val="20"/>
          <w:lang w:val="sr-Latn-ME"/>
        </w:rPr>
        <w:t>i</w:t>
      </w:r>
      <w:r w:rsidRPr="00E36C10">
        <w:rPr>
          <w:sz w:val="20"/>
          <w:szCs w:val="20"/>
          <w:lang w:val="sr-Latn-ME"/>
        </w:rPr>
        <w:t>l</w:t>
      </w:r>
      <w:r w:rsidR="006E4A6E" w:rsidRPr="00E36C10">
        <w:rPr>
          <w:sz w:val="20"/>
          <w:szCs w:val="20"/>
          <w:lang w:val="sr-Latn-ME"/>
        </w:rPr>
        <w:t>j</w:t>
      </w:r>
      <w:r w:rsidRPr="00E36C10">
        <w:rPr>
          <w:sz w:val="20"/>
          <w:szCs w:val="20"/>
          <w:lang w:val="sr-Latn-ME"/>
        </w:rPr>
        <w:t>eže se r</w:t>
      </w:r>
      <w:r w:rsidR="006E4A6E" w:rsidRPr="00E36C10">
        <w:rPr>
          <w:sz w:val="20"/>
          <w:szCs w:val="20"/>
          <w:lang w:val="sr-Latn-ME"/>
        </w:rPr>
        <w:t>ij</w:t>
      </w:r>
      <w:r w:rsidRPr="00E36C10">
        <w:rPr>
          <w:sz w:val="20"/>
          <w:szCs w:val="20"/>
          <w:lang w:val="sr-Latn-ME"/>
        </w:rPr>
        <w:t>etko, i to kao zaka</w:t>
      </w:r>
      <w:r w:rsidR="00D05B2C">
        <w:rPr>
          <w:sz w:val="20"/>
          <w:szCs w:val="20"/>
          <w:lang w:val="sr-Latn-ME"/>
        </w:rPr>
        <w:t>šnj</w:t>
      </w:r>
      <w:r w:rsidRPr="00E36C10">
        <w:rPr>
          <w:sz w:val="20"/>
          <w:szCs w:val="20"/>
          <w:lang w:val="sr-Latn-ME"/>
        </w:rPr>
        <w:t>ele kontaktne alergijske reakcije koje se mogu ispoljiti u vidu pruritusa, rubora, vezikula. Prijavljene su iritacije na koži posl</w:t>
      </w:r>
      <w:r w:rsidR="00D05B2C">
        <w:rPr>
          <w:sz w:val="20"/>
          <w:szCs w:val="20"/>
          <w:lang w:val="sr-Latn-ME"/>
        </w:rPr>
        <w:t>ij</w:t>
      </w:r>
      <w:r w:rsidRPr="00E36C10">
        <w:rPr>
          <w:sz w:val="20"/>
          <w:szCs w:val="20"/>
          <w:lang w:val="sr-Latn-ME"/>
        </w:rPr>
        <w:t xml:space="preserve">e preoperativne dezinfekcije. </w:t>
      </w:r>
    </w:p>
    <w:p w14:paraId="5429AE14" w14:textId="6E606038" w:rsidR="00214B4C" w:rsidRPr="00E36C10" w:rsidRDefault="00214B4C" w:rsidP="0053024A">
      <w:pPr>
        <w:tabs>
          <w:tab w:val="left" w:pos="-720"/>
          <w:tab w:val="left" w:pos="0"/>
          <w:tab w:val="num" w:pos="1170"/>
        </w:tabs>
        <w:suppressAutoHyphens/>
        <w:rPr>
          <w:sz w:val="20"/>
          <w:szCs w:val="20"/>
          <w:lang w:val="sr-Latn-ME"/>
        </w:rPr>
      </w:pPr>
      <w:r w:rsidRPr="00E36C10">
        <w:rPr>
          <w:sz w:val="20"/>
          <w:szCs w:val="20"/>
          <w:vertAlign w:val="superscript"/>
          <w:lang w:val="sr-Latn-ME"/>
        </w:rPr>
        <w:t xml:space="preserve">4 </w:t>
      </w:r>
      <w:r w:rsidRPr="00E36C10">
        <w:rPr>
          <w:sz w:val="20"/>
          <w:szCs w:val="20"/>
          <w:lang w:val="sr-Latn-ME"/>
        </w:rPr>
        <w:t>Posl</w:t>
      </w:r>
      <w:r w:rsidR="00D05B2C">
        <w:rPr>
          <w:sz w:val="20"/>
          <w:szCs w:val="20"/>
          <w:lang w:val="sr-Latn-ME"/>
        </w:rPr>
        <w:t>ij</w:t>
      </w:r>
      <w:r w:rsidRPr="00E36C10">
        <w:rPr>
          <w:sz w:val="20"/>
          <w:szCs w:val="20"/>
          <w:lang w:val="sr-Latn-ME"/>
        </w:rPr>
        <w:t xml:space="preserve">e resorpcije većih količina povidon-joda (npr. tokom </w:t>
      </w:r>
      <w:r w:rsidR="002E7E8B" w:rsidRPr="00E36C10">
        <w:rPr>
          <w:sz w:val="20"/>
          <w:szCs w:val="20"/>
          <w:lang w:val="sr-Latn-ME"/>
        </w:rPr>
        <w:t>liječe</w:t>
      </w:r>
      <w:r w:rsidRPr="00E36C10">
        <w:rPr>
          <w:sz w:val="20"/>
          <w:szCs w:val="20"/>
          <w:lang w:val="sr-Latn-ME"/>
        </w:rPr>
        <w:t>nja opekotina) opisana je bubrežna insuficijencija kao neželjeno dejstvo nepoznate učestalosti javljanja.</w:t>
      </w:r>
    </w:p>
    <w:p w14:paraId="5E081818" w14:textId="77777777" w:rsidR="00CE09F3" w:rsidRPr="00E36C10" w:rsidRDefault="00CE09F3" w:rsidP="0053024A">
      <w:pPr>
        <w:rPr>
          <w:noProof/>
          <w:szCs w:val="22"/>
          <w:u w:val="single"/>
          <w:lang w:val="sr-Latn-ME"/>
        </w:rPr>
      </w:pPr>
    </w:p>
    <w:p w14:paraId="779140F5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u w:val="single"/>
          <w:lang w:val="sr-Latn-ME"/>
        </w:rPr>
      </w:pPr>
      <w:r w:rsidRPr="00E36C10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1A75FAF5" w14:textId="77777777" w:rsidR="00B70923" w:rsidRDefault="00B70923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B293789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AE8486C" w14:textId="77777777" w:rsidR="00FD1201" w:rsidRDefault="00FD1201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74454E4" w14:textId="53A4F8C4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 xml:space="preserve">Institut za ljekove i medicinska sredstva </w:t>
      </w:r>
    </w:p>
    <w:p w14:paraId="53798BAA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Odjeljenje za farmakovigilancu</w:t>
      </w:r>
    </w:p>
    <w:p w14:paraId="78EFD49E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Bulevar Ivana Crnojevića 64a, 81000 Podgorica</w:t>
      </w:r>
    </w:p>
    <w:p w14:paraId="23BCA5C4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7300721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tel: +382 (0) 20 310 280</w:t>
      </w:r>
    </w:p>
    <w:p w14:paraId="288E35EF" w14:textId="77777777" w:rsidR="00733B15" w:rsidRPr="00E36C10" w:rsidRDefault="00733B15" w:rsidP="00733B15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fax: +382 (0) 20 310 581</w:t>
      </w:r>
      <w:r w:rsidRPr="00E36C10">
        <w:rPr>
          <w:rFonts w:eastAsia="Calibri"/>
          <w:szCs w:val="22"/>
          <w:lang w:val="sr-Latn-ME"/>
        </w:rPr>
        <w:tab/>
      </w:r>
    </w:p>
    <w:p w14:paraId="72B7ED75" w14:textId="77777777" w:rsidR="00733B15" w:rsidRPr="00E36C10" w:rsidRDefault="00184798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733B15" w:rsidRPr="00E36C10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151DA754" w14:textId="77777777" w:rsidR="00733B15" w:rsidRPr="00E36C10" w:rsidRDefault="00184798" w:rsidP="00733B15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733B15" w:rsidRPr="00E36C10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2DA904E1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putem IS zdravstvene zaštite</w:t>
      </w:r>
    </w:p>
    <w:p w14:paraId="482CEA87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QR kod za online prijavu sumnje na neželjeno dejstvo lijeka:</w:t>
      </w:r>
    </w:p>
    <w:p w14:paraId="7E2E1F1F" w14:textId="77777777" w:rsidR="00733B15" w:rsidRPr="00E36C10" w:rsidRDefault="00733B15" w:rsidP="00733B1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A6CDF8C" w14:textId="77777777" w:rsidR="00733B15" w:rsidRPr="00E36C10" w:rsidRDefault="00184798" w:rsidP="00733B15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hyperlink r:id="rId13" w:history="1">
        <w:r w:rsidR="00631F84">
          <w:rPr>
            <w:szCs w:val="22"/>
            <w:lang w:val="sr-Latn-ME"/>
          </w:rPr>
          <w:pict w14:anchorId="02F4C3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5" type="#_x0000_t75" href="https://vigiflow-eforms.who-umc.org/me/meadr" style="width:77.25pt;height:76.5pt;visibility:visible" o:button="t">
              <v:fill o:detectmouseclick="t"/>
              <v:imagedata r:id="rId14" o:title="" croptop="6394f" cropbottom="6805f" cropleft="6631f" cropright="6094f"/>
            </v:shape>
          </w:pict>
        </w:r>
      </w:hyperlink>
    </w:p>
    <w:p w14:paraId="4DC8DE4B" w14:textId="77777777" w:rsidR="00361B0A" w:rsidRPr="00E36C10" w:rsidRDefault="00361B0A" w:rsidP="0053024A">
      <w:pPr>
        <w:rPr>
          <w:szCs w:val="22"/>
          <w:lang w:val="sr-Latn-ME"/>
        </w:rPr>
      </w:pPr>
    </w:p>
    <w:p w14:paraId="2E04B452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4.9. Predoziranje</w:t>
      </w:r>
    </w:p>
    <w:p w14:paraId="058675CD" w14:textId="77777777" w:rsidR="00CE09F3" w:rsidRPr="00E36C10" w:rsidRDefault="00CE09F3" w:rsidP="0053024A">
      <w:pPr>
        <w:rPr>
          <w:szCs w:val="22"/>
          <w:lang w:val="sr-Latn-ME"/>
        </w:rPr>
      </w:pPr>
    </w:p>
    <w:p w14:paraId="1261DBF1" w14:textId="77777777" w:rsidR="00214B4C" w:rsidRPr="00E36C10" w:rsidRDefault="00214B4C" w:rsidP="0053024A">
      <w:pPr>
        <w:rPr>
          <w:b/>
          <w:szCs w:val="22"/>
          <w:lang w:val="sr-Latn-ME"/>
        </w:rPr>
      </w:pPr>
      <w:r w:rsidRPr="00E36C10">
        <w:rPr>
          <w:b/>
          <w:szCs w:val="22"/>
          <w:lang w:val="sr-Latn-ME"/>
        </w:rPr>
        <w:t>a)</w:t>
      </w:r>
      <w:r w:rsidRPr="00E36C10">
        <w:rPr>
          <w:szCs w:val="22"/>
          <w:lang w:val="sr-Latn-ME"/>
        </w:rPr>
        <w:t xml:space="preserve"> </w:t>
      </w:r>
      <w:r w:rsidRPr="00E36C10">
        <w:rPr>
          <w:b/>
          <w:szCs w:val="22"/>
          <w:lang w:val="sr-Latn-ME"/>
        </w:rPr>
        <w:t>Simptomi intoksikacije</w:t>
      </w:r>
    </w:p>
    <w:p w14:paraId="4F3F754E" w14:textId="67AC4F59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Po slučajnom oralnom unosu velike količine povidon-joda, simptomi akutnog trovanja jodom mogu se ispoljiti u vidu abdominalnog bola i grčeva, </w:t>
      </w:r>
      <w:r w:rsidR="00733B15" w:rsidRPr="00E36C10">
        <w:rPr>
          <w:szCs w:val="22"/>
          <w:lang w:val="sr-Latn-ME"/>
        </w:rPr>
        <w:t>mučnine</w:t>
      </w:r>
      <w:r w:rsidRPr="00E36C10">
        <w:rPr>
          <w:szCs w:val="22"/>
          <w:lang w:val="sr-Latn-ME"/>
        </w:rPr>
        <w:t>, povraćanja, dijareje, dehidracije, pada krvnog pritiska (koji perzistira), tendencije ka kolapsu, epiglotitisa, hemoragijske dijateze (sluzokože i bubrezi), cijanoze, oštećenja bubrega (akutna tubularna nekroza do anurij</w:t>
      </w:r>
      <w:r w:rsidR="004C79EA" w:rsidRPr="00E36C10">
        <w:rPr>
          <w:szCs w:val="22"/>
          <w:lang w:val="sr-Latn-ME"/>
        </w:rPr>
        <w:t>e – posl</w:t>
      </w:r>
      <w:r w:rsidR="00D05B2C">
        <w:rPr>
          <w:szCs w:val="22"/>
          <w:lang w:val="sr-Latn-ME"/>
        </w:rPr>
        <w:t>ij</w:t>
      </w:r>
      <w:r w:rsidR="004C79EA" w:rsidRPr="00E36C10">
        <w:rPr>
          <w:szCs w:val="22"/>
          <w:lang w:val="sr-Latn-ME"/>
        </w:rPr>
        <w:t>e 1-3 dana), parestezije</w:t>
      </w:r>
      <w:r w:rsidRPr="00E36C10">
        <w:rPr>
          <w:szCs w:val="22"/>
          <w:lang w:val="sr-Latn-ME"/>
        </w:rPr>
        <w:t>, groznice i plućnog edema.</w:t>
      </w:r>
      <w:r w:rsidR="00E36C10">
        <w:rPr>
          <w:szCs w:val="22"/>
          <w:lang w:val="sr-Latn-ME"/>
        </w:rPr>
        <w:t xml:space="preserve"> </w:t>
      </w:r>
      <w:r w:rsidRPr="00E36C10">
        <w:rPr>
          <w:szCs w:val="22"/>
          <w:lang w:val="sr-Latn-ME"/>
        </w:rPr>
        <w:t>Posl</w:t>
      </w:r>
      <w:r w:rsidR="00D05B2C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 xml:space="preserve">e dugotrajnog unosa većih količina joda, mogu se javiti hipertireoidizam, tahikardija, nemir, </w:t>
      </w:r>
      <w:r w:rsidR="008B611C" w:rsidRPr="00E36C10">
        <w:rPr>
          <w:szCs w:val="22"/>
          <w:lang w:val="sr-Latn-ME"/>
        </w:rPr>
        <w:t xml:space="preserve">tremor </w:t>
      </w:r>
      <w:r w:rsidRPr="00E36C10">
        <w:rPr>
          <w:szCs w:val="22"/>
          <w:lang w:val="sr-Latn-ME"/>
        </w:rPr>
        <w:t>i glavobolja.</w:t>
      </w:r>
    </w:p>
    <w:p w14:paraId="5084197C" w14:textId="77777777" w:rsidR="00214B4C" w:rsidRPr="00E36C10" w:rsidRDefault="00214B4C" w:rsidP="0053024A">
      <w:pPr>
        <w:rPr>
          <w:szCs w:val="22"/>
          <w:lang w:val="sr-Latn-ME"/>
        </w:rPr>
      </w:pPr>
    </w:p>
    <w:p w14:paraId="76D29651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lastRenderedPageBreak/>
        <w:t>U literaturi su opisani simptomi trovanja po unosu više od 10 g povidon-joda.</w:t>
      </w:r>
    </w:p>
    <w:p w14:paraId="07DD8D54" w14:textId="77777777" w:rsidR="00214B4C" w:rsidRPr="00E36C10" w:rsidRDefault="00214B4C" w:rsidP="0053024A">
      <w:pPr>
        <w:rPr>
          <w:szCs w:val="22"/>
          <w:lang w:val="sr-Latn-ME"/>
        </w:rPr>
      </w:pPr>
    </w:p>
    <w:p w14:paraId="59837235" w14:textId="77777777" w:rsidR="00214B4C" w:rsidRPr="00E36C10" w:rsidRDefault="00214B4C" w:rsidP="0053024A">
      <w:pPr>
        <w:rPr>
          <w:b/>
          <w:szCs w:val="22"/>
          <w:lang w:val="sr-Latn-ME"/>
        </w:rPr>
      </w:pPr>
      <w:r w:rsidRPr="00E36C10">
        <w:rPr>
          <w:b/>
          <w:szCs w:val="22"/>
          <w:lang w:val="sr-Latn-ME"/>
        </w:rPr>
        <w:t>b) Terapijske m</w:t>
      </w:r>
      <w:r w:rsidR="00733B15" w:rsidRPr="00E36C10">
        <w:rPr>
          <w:b/>
          <w:szCs w:val="22"/>
          <w:lang w:val="sr-Latn-ME"/>
        </w:rPr>
        <w:t>j</w:t>
      </w:r>
      <w:r w:rsidRPr="00E36C10">
        <w:rPr>
          <w:b/>
          <w:szCs w:val="22"/>
          <w:lang w:val="sr-Latn-ME"/>
        </w:rPr>
        <w:t xml:space="preserve">ere u </w:t>
      </w:r>
      <w:r w:rsidR="002E7E8B" w:rsidRPr="00E36C10">
        <w:rPr>
          <w:b/>
          <w:szCs w:val="22"/>
          <w:lang w:val="sr-Latn-ME"/>
        </w:rPr>
        <w:t>liječe</w:t>
      </w:r>
      <w:r w:rsidRPr="00E36C10">
        <w:rPr>
          <w:b/>
          <w:szCs w:val="22"/>
          <w:lang w:val="sr-Latn-ME"/>
        </w:rPr>
        <w:t>nju intoksikacije</w:t>
      </w:r>
    </w:p>
    <w:p w14:paraId="22C138EB" w14:textId="7F6CF3CB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Hitno uzimanje hrane koja sadrži skrob i proteine, npr. kukuruzno brašno dodato u ml</w:t>
      </w:r>
      <w:r w:rsidR="00733B15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eko ili vodu uz m</w:t>
      </w:r>
      <w:r w:rsidR="00733B15" w:rsidRPr="00E36C10">
        <w:rPr>
          <w:szCs w:val="22"/>
          <w:lang w:val="sr-Latn-ME"/>
        </w:rPr>
        <w:t>ij</w:t>
      </w:r>
      <w:r w:rsidRPr="00E36C10">
        <w:rPr>
          <w:szCs w:val="22"/>
          <w:lang w:val="sr-Latn-ME"/>
        </w:rPr>
        <w:t>ešanje ili gastrična lavaža 5% rastvorom natrijum</w:t>
      </w:r>
      <w:r w:rsidR="008B611C" w:rsidRPr="00E36C10">
        <w:rPr>
          <w:szCs w:val="22"/>
          <w:lang w:val="sr-Latn-ME"/>
        </w:rPr>
        <w:t>-</w:t>
      </w:r>
      <w:r w:rsidR="00631F84" w:rsidRPr="00E36C10">
        <w:rPr>
          <w:szCs w:val="22"/>
          <w:lang w:val="sr-Latn-ME"/>
        </w:rPr>
        <w:t>ti sulfata</w:t>
      </w:r>
      <w:r w:rsidRPr="00E36C10">
        <w:rPr>
          <w:szCs w:val="22"/>
          <w:lang w:val="sr-Latn-ME"/>
        </w:rPr>
        <w:t xml:space="preserve"> ili suspenzija skroba.</w:t>
      </w:r>
    </w:p>
    <w:p w14:paraId="69B144CB" w14:textId="77777777" w:rsidR="00214B4C" w:rsidRPr="00E36C10" w:rsidRDefault="00214B4C" w:rsidP="0053024A">
      <w:pPr>
        <w:rPr>
          <w:szCs w:val="22"/>
          <w:lang w:val="sr-Latn-ME"/>
        </w:rPr>
      </w:pPr>
    </w:p>
    <w:p w14:paraId="50A90D24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Kada već dođe do resorpcije, toksična koncentracija joda u serumu može se ef</w:t>
      </w:r>
      <w:r w:rsidR="00FC43B0" w:rsidRPr="00E36C10">
        <w:rPr>
          <w:szCs w:val="22"/>
          <w:lang w:val="sr-Latn-ME"/>
        </w:rPr>
        <w:t>ektivno</w:t>
      </w:r>
      <w:r w:rsidRPr="00E36C10">
        <w:rPr>
          <w:szCs w:val="22"/>
          <w:lang w:val="sr-Latn-ME"/>
        </w:rPr>
        <w:t xml:space="preserve"> sniziti peritonealnom dijalizom ili hemodijal</w:t>
      </w:r>
      <w:r w:rsidR="008B611C" w:rsidRPr="00E36C10">
        <w:rPr>
          <w:szCs w:val="22"/>
          <w:lang w:val="sr-Latn-ME"/>
        </w:rPr>
        <w:t>i</w:t>
      </w:r>
      <w:r w:rsidRPr="00E36C10">
        <w:rPr>
          <w:szCs w:val="22"/>
          <w:lang w:val="sr-Latn-ME"/>
        </w:rPr>
        <w:t>zom.</w:t>
      </w:r>
    </w:p>
    <w:p w14:paraId="0069FF6A" w14:textId="77777777" w:rsidR="00214B4C" w:rsidRPr="00E36C10" w:rsidRDefault="00214B4C" w:rsidP="0053024A">
      <w:pPr>
        <w:rPr>
          <w:szCs w:val="22"/>
          <w:lang w:val="sr-Latn-ME"/>
        </w:rPr>
      </w:pPr>
    </w:p>
    <w:p w14:paraId="7D78371B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Tireoidna funkcija se mora pažljivo pratiti kako bi se isključilo ili utvrdilo eventua</w:t>
      </w:r>
      <w:r w:rsidR="00A40711" w:rsidRPr="00E36C10">
        <w:rPr>
          <w:szCs w:val="22"/>
          <w:lang w:val="sr-Latn-ME"/>
        </w:rPr>
        <w:t>l</w:t>
      </w:r>
      <w:r w:rsidRPr="00E36C10">
        <w:rPr>
          <w:szCs w:val="22"/>
          <w:lang w:val="sr-Latn-ME"/>
        </w:rPr>
        <w:t>no postojanje hipertireoidizma izazvanog jodom, tokom njegovog ranog stadijuma.</w:t>
      </w:r>
    </w:p>
    <w:p w14:paraId="07E71075" w14:textId="77777777" w:rsidR="00214B4C" w:rsidRPr="00E36C10" w:rsidRDefault="00214B4C" w:rsidP="0053024A">
      <w:pPr>
        <w:rPr>
          <w:szCs w:val="22"/>
          <w:lang w:val="sr-Latn-ME"/>
        </w:rPr>
      </w:pPr>
    </w:p>
    <w:p w14:paraId="466F0DED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Dalja terapija je usm</w:t>
      </w:r>
      <w:r w:rsidR="00733B15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erena, po potrebi, na </w:t>
      </w:r>
      <w:r w:rsidR="002E7E8B" w:rsidRPr="00E36C10">
        <w:rPr>
          <w:szCs w:val="22"/>
          <w:lang w:val="sr-Latn-ME"/>
        </w:rPr>
        <w:t>liječe</w:t>
      </w:r>
      <w:r w:rsidRPr="00E36C10">
        <w:rPr>
          <w:szCs w:val="22"/>
          <w:lang w:val="sr-Latn-ME"/>
        </w:rPr>
        <w:t>nje drugih mogućih simptoma, kao što su npr. metabolička acidoza i disfunkcija</w:t>
      </w:r>
      <w:r w:rsidR="00A06F4C" w:rsidRPr="00E36C10">
        <w:rPr>
          <w:szCs w:val="22"/>
          <w:lang w:val="sr-Latn-ME"/>
        </w:rPr>
        <w:t xml:space="preserve"> bubrega</w:t>
      </w:r>
      <w:r w:rsidRPr="00E36C10">
        <w:rPr>
          <w:szCs w:val="22"/>
          <w:lang w:val="sr-Latn-ME"/>
        </w:rPr>
        <w:t xml:space="preserve">. </w:t>
      </w:r>
    </w:p>
    <w:p w14:paraId="2D762A7F" w14:textId="77777777" w:rsidR="00214B4C" w:rsidRPr="00E36C10" w:rsidRDefault="00214B4C" w:rsidP="0053024A">
      <w:pPr>
        <w:rPr>
          <w:szCs w:val="22"/>
          <w:lang w:val="sr-Latn-ME"/>
        </w:rPr>
      </w:pPr>
    </w:p>
    <w:p w14:paraId="2949051B" w14:textId="77777777" w:rsidR="00214B4C" w:rsidRPr="00E36C10" w:rsidRDefault="00214B4C" w:rsidP="0053024A">
      <w:pPr>
        <w:rPr>
          <w:b/>
          <w:szCs w:val="22"/>
          <w:lang w:val="sr-Latn-ME"/>
        </w:rPr>
      </w:pPr>
      <w:r w:rsidRPr="00E36C10">
        <w:rPr>
          <w:b/>
          <w:szCs w:val="22"/>
          <w:lang w:val="sr-Latn-ME"/>
        </w:rPr>
        <w:t xml:space="preserve">c) </w:t>
      </w:r>
      <w:r w:rsidR="002E7E8B" w:rsidRPr="00E36C10">
        <w:rPr>
          <w:b/>
          <w:szCs w:val="22"/>
          <w:lang w:val="sr-Latn-ME"/>
        </w:rPr>
        <w:t>Liječe</w:t>
      </w:r>
      <w:r w:rsidRPr="00E36C10">
        <w:rPr>
          <w:b/>
          <w:szCs w:val="22"/>
          <w:lang w:val="sr-Latn-ME"/>
        </w:rPr>
        <w:t>nje hipertireoidizma izazvanog jodom</w:t>
      </w:r>
    </w:p>
    <w:p w14:paraId="7155B4C6" w14:textId="1CF8304C" w:rsidR="00214B4C" w:rsidRPr="00E36C10" w:rsidRDefault="002E7E8B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Liječe</w:t>
      </w:r>
      <w:r w:rsidR="00214B4C" w:rsidRPr="00E36C10">
        <w:rPr>
          <w:szCs w:val="22"/>
          <w:lang w:val="sr-Latn-ME"/>
        </w:rPr>
        <w:t xml:space="preserve">nje hipertireoidizma izazvanog jodom (moguće neželjeno dejstvo kod predisponiranih pacijenata, </w:t>
      </w:r>
      <w:r w:rsidR="00733B15" w:rsidRPr="00E36C10">
        <w:rPr>
          <w:szCs w:val="22"/>
          <w:lang w:val="sr-Latn-ME"/>
        </w:rPr>
        <w:t>pogledati</w:t>
      </w:r>
      <w:r w:rsidR="00214B4C" w:rsidRPr="00E36C10">
        <w:rPr>
          <w:szCs w:val="22"/>
          <w:lang w:val="sr-Latn-ME"/>
        </w:rPr>
        <w:t xml:space="preserve"> </w:t>
      </w:r>
      <w:r w:rsidRPr="00E36C10">
        <w:rPr>
          <w:szCs w:val="22"/>
          <w:lang w:val="sr-Latn-ME"/>
        </w:rPr>
        <w:t>dio</w:t>
      </w:r>
      <w:r w:rsidR="00214B4C" w:rsidRPr="00E36C10">
        <w:rPr>
          <w:szCs w:val="22"/>
          <w:lang w:val="sr-Latn-ME"/>
        </w:rPr>
        <w:t xml:space="preserve"> 4.3) sprovodi se prema kliničkim indikacijama. Blage forme nekada ne zaht</w:t>
      </w:r>
      <w:r w:rsidR="00733B15" w:rsidRPr="00E36C10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 xml:space="preserve">evaju </w:t>
      </w:r>
      <w:r w:rsidRPr="00E36C10">
        <w:rPr>
          <w:szCs w:val="22"/>
          <w:lang w:val="sr-Latn-ME"/>
        </w:rPr>
        <w:t>liječe</w:t>
      </w:r>
      <w:r w:rsidR="00214B4C" w:rsidRPr="00E36C10">
        <w:rPr>
          <w:szCs w:val="22"/>
          <w:lang w:val="sr-Latn-ME"/>
        </w:rPr>
        <w:t>nje, ali je kod izraženijih formi nekada potrebna antitireoidna terapija (koja, međutim, počinje da d</w:t>
      </w:r>
      <w:r w:rsidR="00733B15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eluje tek posl</w:t>
      </w:r>
      <w:r w:rsidR="00D05B2C">
        <w:rPr>
          <w:szCs w:val="22"/>
          <w:lang w:val="sr-Latn-ME"/>
        </w:rPr>
        <w:t>ij</w:t>
      </w:r>
      <w:r w:rsidR="00214B4C" w:rsidRPr="00E36C10">
        <w:rPr>
          <w:szCs w:val="22"/>
          <w:lang w:val="sr-Latn-ME"/>
        </w:rPr>
        <w:t>e izv</w:t>
      </w:r>
      <w:r w:rsidR="00DC30A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 xml:space="preserve">esnog vremenskog intervala). U najtežim slučajevima (tireotoksična kriza) nekada je potrebna intenzivna terapija, plazmafereza ili tireoidektomija. </w:t>
      </w:r>
    </w:p>
    <w:p w14:paraId="0004F337" w14:textId="77777777" w:rsidR="00CE09F3" w:rsidRPr="00E36C10" w:rsidRDefault="00CE09F3" w:rsidP="0053024A">
      <w:pPr>
        <w:rPr>
          <w:szCs w:val="22"/>
          <w:lang w:val="sr-Latn-ME"/>
        </w:rPr>
      </w:pPr>
    </w:p>
    <w:p w14:paraId="58F32C04" w14:textId="77777777" w:rsidR="0053024A" w:rsidRPr="00E36C10" w:rsidRDefault="0053024A" w:rsidP="0053024A">
      <w:pPr>
        <w:rPr>
          <w:szCs w:val="22"/>
          <w:lang w:val="sr-Latn-ME"/>
        </w:rPr>
      </w:pPr>
    </w:p>
    <w:p w14:paraId="03EC87A6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5. FARMAKOLOŠKI PODACI</w:t>
      </w:r>
    </w:p>
    <w:p w14:paraId="241CA5C0" w14:textId="77777777" w:rsidR="0053024A" w:rsidRPr="00E36C10" w:rsidRDefault="0053024A" w:rsidP="0053024A">
      <w:pPr>
        <w:rPr>
          <w:b/>
          <w:bCs/>
          <w:szCs w:val="22"/>
          <w:lang w:val="sr-Latn-ME"/>
        </w:rPr>
      </w:pPr>
    </w:p>
    <w:p w14:paraId="7A0F844C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5.1. Farmakodinamski podaci</w:t>
      </w:r>
    </w:p>
    <w:p w14:paraId="405357BD" w14:textId="77777777" w:rsidR="00214B4C" w:rsidRPr="00E36C10" w:rsidRDefault="00214B4C" w:rsidP="0053024A">
      <w:pPr>
        <w:rPr>
          <w:b/>
          <w:bCs/>
          <w:szCs w:val="22"/>
          <w:lang w:val="sr-Latn-ME"/>
        </w:rPr>
      </w:pPr>
    </w:p>
    <w:p w14:paraId="5859B883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Farmakoterapijska grupa:</w:t>
      </w:r>
      <w:r w:rsidR="00214B4C" w:rsidRPr="00E36C10">
        <w:rPr>
          <w:b/>
          <w:bCs/>
          <w:szCs w:val="22"/>
          <w:lang w:val="sr-Latn-ME"/>
        </w:rPr>
        <w:t xml:space="preserve"> </w:t>
      </w:r>
      <w:r w:rsidR="00354E58" w:rsidRPr="00E36C10">
        <w:rPr>
          <w:szCs w:val="22"/>
          <w:lang w:val="sr-Latn-ME"/>
        </w:rPr>
        <w:t>A</w:t>
      </w:r>
      <w:r w:rsidR="00214B4C" w:rsidRPr="00E36C10">
        <w:rPr>
          <w:szCs w:val="22"/>
          <w:lang w:val="sr-Latn-ME"/>
        </w:rPr>
        <w:t>ntisepti</w:t>
      </w:r>
      <w:r w:rsidR="00354E58" w:rsidRPr="00E36C10">
        <w:rPr>
          <w:szCs w:val="22"/>
          <w:lang w:val="sr-Latn-ME"/>
        </w:rPr>
        <w:t>ci</w:t>
      </w:r>
      <w:r w:rsidR="00214B4C" w:rsidRPr="00E36C10">
        <w:rPr>
          <w:szCs w:val="22"/>
          <w:lang w:val="sr-Latn-ME"/>
        </w:rPr>
        <w:t xml:space="preserve"> i dezinficijens</w:t>
      </w:r>
      <w:r w:rsidR="00354E58" w:rsidRPr="00E36C10">
        <w:rPr>
          <w:szCs w:val="22"/>
          <w:lang w:val="sr-Latn-ME"/>
        </w:rPr>
        <w:t>i</w:t>
      </w:r>
      <w:r w:rsidR="00086CEA" w:rsidRPr="00E36C10">
        <w:rPr>
          <w:szCs w:val="22"/>
          <w:lang w:val="sr-Latn-ME"/>
        </w:rPr>
        <w:t>; proizvodi sa jodom</w:t>
      </w:r>
    </w:p>
    <w:p w14:paraId="0508650A" w14:textId="77777777" w:rsidR="00CE09F3" w:rsidRPr="00E36C10" w:rsidRDefault="00CE09F3" w:rsidP="0053024A">
      <w:pPr>
        <w:rPr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 xml:space="preserve">ATC </w:t>
      </w:r>
      <w:r w:rsidR="00733B15" w:rsidRPr="00E36C10">
        <w:rPr>
          <w:b/>
          <w:bCs/>
          <w:szCs w:val="22"/>
          <w:lang w:val="sr-Latn-ME"/>
        </w:rPr>
        <w:t>kod</w:t>
      </w:r>
      <w:r w:rsidRPr="00E36C10">
        <w:rPr>
          <w:b/>
          <w:bCs/>
          <w:szCs w:val="22"/>
          <w:lang w:val="sr-Latn-ME"/>
        </w:rPr>
        <w:t>:</w:t>
      </w:r>
      <w:r w:rsidR="00214B4C" w:rsidRPr="00E36C10">
        <w:rPr>
          <w:b/>
          <w:bCs/>
          <w:szCs w:val="22"/>
          <w:lang w:val="sr-Latn-ME"/>
        </w:rPr>
        <w:t xml:space="preserve"> </w:t>
      </w:r>
      <w:r w:rsidR="00214B4C" w:rsidRPr="00E36C10">
        <w:rPr>
          <w:szCs w:val="22"/>
          <w:lang w:val="sr-Latn-ME"/>
        </w:rPr>
        <w:t>D08AG02</w:t>
      </w:r>
    </w:p>
    <w:p w14:paraId="2E18F63E" w14:textId="77777777" w:rsidR="00214B4C" w:rsidRPr="00E36C10" w:rsidRDefault="00214B4C" w:rsidP="0053024A">
      <w:pPr>
        <w:rPr>
          <w:szCs w:val="22"/>
          <w:lang w:val="sr-Latn-ME"/>
        </w:rPr>
      </w:pPr>
    </w:p>
    <w:p w14:paraId="0EAB788D" w14:textId="72F46C44" w:rsidR="00214B4C" w:rsidRPr="00E36C10" w:rsidRDefault="00214B4C" w:rsidP="0053024A">
      <w:pPr>
        <w:rPr>
          <w:color w:val="000000"/>
          <w:szCs w:val="22"/>
          <w:lang w:val="sr-Latn-ME"/>
        </w:rPr>
      </w:pPr>
      <w:r w:rsidRPr="00E36C10">
        <w:rPr>
          <w:color w:val="000000"/>
          <w:szCs w:val="22"/>
          <w:lang w:val="sr-Latn-ME"/>
        </w:rPr>
        <w:t>Povidon-jod kom</w:t>
      </w:r>
      <w:r w:rsidR="008B75EE" w:rsidRPr="00E36C10">
        <w:rPr>
          <w:color w:val="000000"/>
          <w:szCs w:val="22"/>
          <w:lang w:val="sr-Latn-ME"/>
        </w:rPr>
        <w:t>p</w:t>
      </w:r>
      <w:r w:rsidRPr="00E36C10">
        <w:rPr>
          <w:color w:val="000000"/>
          <w:szCs w:val="22"/>
          <w:lang w:val="sr-Latn-ME"/>
        </w:rPr>
        <w:t>leks je aktivan pri pH vr</w:t>
      </w:r>
      <w:r w:rsidR="00733B15" w:rsidRPr="00E36C10">
        <w:rPr>
          <w:color w:val="000000"/>
          <w:szCs w:val="22"/>
          <w:lang w:val="sr-Latn-ME"/>
        </w:rPr>
        <w:t>ij</w:t>
      </w:r>
      <w:r w:rsidRPr="00E36C10">
        <w:rPr>
          <w:color w:val="000000"/>
          <w:szCs w:val="22"/>
          <w:lang w:val="sr-Latn-ME"/>
        </w:rPr>
        <w:t xml:space="preserve">ednostima između 2 i 7. Mikrobiocidni efekat se zasniva na frakciji slobodnog joda koji nije vezan u komplekse, a </w:t>
      </w:r>
      <w:r w:rsidR="000B2780" w:rsidRPr="00E36C10">
        <w:rPr>
          <w:color w:val="000000"/>
          <w:szCs w:val="22"/>
          <w:lang w:val="sr-Latn-ME"/>
        </w:rPr>
        <w:t>koji se</w:t>
      </w:r>
      <w:r w:rsidRPr="00E36C10">
        <w:rPr>
          <w:color w:val="000000"/>
          <w:szCs w:val="22"/>
          <w:lang w:val="sr-Latn-ME"/>
        </w:rPr>
        <w:t xml:space="preserve"> u mastima </w:t>
      </w:r>
      <w:r w:rsidR="000B2780" w:rsidRPr="00E36C10">
        <w:rPr>
          <w:color w:val="000000"/>
          <w:szCs w:val="22"/>
          <w:lang w:val="sr-Latn-ME"/>
        </w:rPr>
        <w:t xml:space="preserve">i rastvorima koji sadrže vodu oslobađa iz povidon-jod kompleksa, </w:t>
      </w:r>
      <w:r w:rsidRPr="00E36C10">
        <w:rPr>
          <w:color w:val="000000"/>
          <w:szCs w:val="22"/>
          <w:lang w:val="sr-Latn-ME"/>
        </w:rPr>
        <w:t>što je definisano ravnotežno</w:t>
      </w:r>
      <w:r w:rsidR="000B2780" w:rsidRPr="00E36C10">
        <w:rPr>
          <w:color w:val="000000"/>
          <w:szCs w:val="22"/>
          <w:lang w:val="sr-Latn-ME"/>
        </w:rPr>
        <w:t>m</w:t>
      </w:r>
      <w:r w:rsidRPr="00E36C10">
        <w:rPr>
          <w:color w:val="000000"/>
          <w:szCs w:val="22"/>
          <w:lang w:val="sr-Latn-ME"/>
        </w:rPr>
        <w:t xml:space="preserve"> reakcij</w:t>
      </w:r>
      <w:r w:rsidR="000B2780" w:rsidRPr="00E36C10">
        <w:rPr>
          <w:color w:val="000000"/>
          <w:szCs w:val="22"/>
          <w:lang w:val="sr-Latn-ME"/>
        </w:rPr>
        <w:t>om</w:t>
      </w:r>
      <w:r w:rsidRPr="00E36C10">
        <w:rPr>
          <w:color w:val="000000"/>
          <w:szCs w:val="22"/>
          <w:lang w:val="sr-Latn-ME"/>
        </w:rPr>
        <w:t>. Povidon-jod kompleks, prema tome, u izv</w:t>
      </w:r>
      <w:r w:rsidR="00D27670">
        <w:rPr>
          <w:color w:val="000000"/>
          <w:szCs w:val="22"/>
          <w:lang w:val="sr-Latn-ME"/>
        </w:rPr>
        <w:t>j</w:t>
      </w:r>
      <w:r w:rsidRPr="00E36C10">
        <w:rPr>
          <w:color w:val="000000"/>
          <w:szCs w:val="22"/>
          <w:lang w:val="sr-Latn-ME"/>
        </w:rPr>
        <w:t>esnoj m</w:t>
      </w:r>
      <w:r w:rsidR="00733B15" w:rsidRPr="00E36C10">
        <w:rPr>
          <w:color w:val="000000"/>
          <w:szCs w:val="22"/>
          <w:lang w:val="sr-Latn-ME"/>
        </w:rPr>
        <w:t>j</w:t>
      </w:r>
      <w:r w:rsidRPr="00E36C10">
        <w:rPr>
          <w:color w:val="000000"/>
          <w:szCs w:val="22"/>
          <w:lang w:val="sr-Latn-ME"/>
        </w:rPr>
        <w:t xml:space="preserve">eri, </w:t>
      </w:r>
      <w:r w:rsidR="001C262F" w:rsidRPr="00E36C10">
        <w:rPr>
          <w:color w:val="000000"/>
          <w:szCs w:val="22"/>
          <w:lang w:val="sr-Latn-ME"/>
        </w:rPr>
        <w:t xml:space="preserve">predstavlja </w:t>
      </w:r>
      <w:r w:rsidRPr="00E36C10">
        <w:rPr>
          <w:color w:val="000000"/>
          <w:szCs w:val="22"/>
          <w:lang w:val="sr-Latn-ME"/>
        </w:rPr>
        <w:t xml:space="preserve">depo joda </w:t>
      </w:r>
      <w:r w:rsidR="001C262F" w:rsidRPr="00E36C10">
        <w:rPr>
          <w:color w:val="000000"/>
          <w:szCs w:val="22"/>
          <w:lang w:val="sr-Latn-ME"/>
        </w:rPr>
        <w:t>iz koga se</w:t>
      </w:r>
      <w:r w:rsidRPr="00E36C10">
        <w:rPr>
          <w:color w:val="000000"/>
          <w:szCs w:val="22"/>
          <w:lang w:val="sr-Latn-ME"/>
        </w:rPr>
        <w:t xml:space="preserve"> produžen</w:t>
      </w:r>
      <w:r w:rsidR="001C262F" w:rsidRPr="00E36C10">
        <w:rPr>
          <w:color w:val="000000"/>
          <w:szCs w:val="22"/>
          <w:lang w:val="sr-Latn-ME"/>
        </w:rPr>
        <w:t>o</w:t>
      </w:r>
      <w:r w:rsidRPr="00E36C10">
        <w:rPr>
          <w:color w:val="000000"/>
          <w:szCs w:val="22"/>
          <w:lang w:val="sr-Latn-ME"/>
        </w:rPr>
        <w:t xml:space="preserve"> oslobađa elementarn</w:t>
      </w:r>
      <w:r w:rsidR="001C262F" w:rsidRPr="00E36C10">
        <w:rPr>
          <w:color w:val="000000"/>
          <w:szCs w:val="22"/>
          <w:lang w:val="sr-Latn-ME"/>
        </w:rPr>
        <w:t>i</w:t>
      </w:r>
      <w:r w:rsidRPr="00E36C10">
        <w:rPr>
          <w:color w:val="000000"/>
          <w:szCs w:val="22"/>
          <w:lang w:val="sr-Latn-ME"/>
        </w:rPr>
        <w:t xml:space="preserve"> jod, što obezb</w:t>
      </w:r>
      <w:r w:rsidR="00733B15" w:rsidRPr="00E36C10">
        <w:rPr>
          <w:color w:val="000000"/>
          <w:szCs w:val="22"/>
          <w:lang w:val="sr-Latn-ME"/>
        </w:rPr>
        <w:t>j</w:t>
      </w:r>
      <w:r w:rsidRPr="00E36C10">
        <w:rPr>
          <w:color w:val="000000"/>
          <w:szCs w:val="22"/>
          <w:lang w:val="sr-Latn-ME"/>
        </w:rPr>
        <w:t xml:space="preserve">eđuje stalnu koncentraciju efikasnog slobodnog joda. </w:t>
      </w:r>
    </w:p>
    <w:p w14:paraId="633C6C66" w14:textId="77777777" w:rsidR="00214B4C" w:rsidRPr="00E36C10" w:rsidRDefault="00214B4C" w:rsidP="0053024A">
      <w:pPr>
        <w:rPr>
          <w:color w:val="000000"/>
          <w:szCs w:val="22"/>
          <w:lang w:val="sr-Latn-ME"/>
        </w:rPr>
      </w:pPr>
      <w:r w:rsidRPr="00E36C10">
        <w:rPr>
          <w:color w:val="000000"/>
          <w:szCs w:val="22"/>
          <w:lang w:val="sr-Latn-ME"/>
        </w:rPr>
        <w:t xml:space="preserve">Zbog vezivanja </w:t>
      </w:r>
      <w:r w:rsidR="001C262F" w:rsidRPr="00E36C10">
        <w:rPr>
          <w:color w:val="000000"/>
          <w:szCs w:val="22"/>
          <w:lang w:val="sr-Latn-ME"/>
        </w:rPr>
        <w:t xml:space="preserve">u kompleks sa </w:t>
      </w:r>
      <w:r w:rsidRPr="00E36C10">
        <w:rPr>
          <w:color w:val="000000"/>
          <w:szCs w:val="22"/>
          <w:lang w:val="sr-Latn-ME"/>
        </w:rPr>
        <w:t>povidon</w:t>
      </w:r>
      <w:r w:rsidR="001C262F" w:rsidRPr="00E36C10">
        <w:rPr>
          <w:color w:val="000000"/>
          <w:szCs w:val="22"/>
          <w:lang w:val="sr-Latn-ME"/>
        </w:rPr>
        <w:t>om</w:t>
      </w:r>
      <w:r w:rsidRPr="00E36C10">
        <w:rPr>
          <w:color w:val="000000"/>
          <w:szCs w:val="22"/>
          <w:lang w:val="sr-Latn-ME"/>
        </w:rPr>
        <w:t xml:space="preserve">, sposobnost joda da pri lokalnoj </w:t>
      </w:r>
      <w:r w:rsidR="002E7E8B" w:rsidRPr="00E36C10">
        <w:rPr>
          <w:color w:val="000000"/>
          <w:szCs w:val="22"/>
          <w:lang w:val="sr-Latn-ME"/>
        </w:rPr>
        <w:t xml:space="preserve">primjeni </w:t>
      </w:r>
      <w:r w:rsidRPr="00E36C10">
        <w:rPr>
          <w:color w:val="000000"/>
          <w:szCs w:val="22"/>
          <w:lang w:val="sr-Latn-ME"/>
        </w:rPr>
        <w:t xml:space="preserve">izazove iritaciju smanjena je u poređenju sa alkoholnim rastvorima joda. </w:t>
      </w:r>
    </w:p>
    <w:p w14:paraId="20176138" w14:textId="2944C15D" w:rsidR="00214B4C" w:rsidRPr="00E36C10" w:rsidRDefault="00214B4C" w:rsidP="0053024A">
      <w:pPr>
        <w:rPr>
          <w:color w:val="000000"/>
          <w:szCs w:val="22"/>
          <w:lang w:val="sr-Latn-ME"/>
        </w:rPr>
      </w:pPr>
      <w:r w:rsidRPr="00E36C10">
        <w:rPr>
          <w:color w:val="000000"/>
          <w:szCs w:val="22"/>
          <w:lang w:val="sr-Latn-ME"/>
        </w:rPr>
        <w:t>Slobodan jod reaguje kao jako oksida</w:t>
      </w:r>
      <w:r w:rsidR="00814D76" w:rsidRPr="00E36C10">
        <w:rPr>
          <w:color w:val="000000"/>
          <w:szCs w:val="22"/>
          <w:lang w:val="sr-Latn-ME"/>
        </w:rPr>
        <w:t>ciono</w:t>
      </w:r>
      <w:r w:rsidRPr="00E36C10">
        <w:rPr>
          <w:color w:val="000000"/>
          <w:szCs w:val="22"/>
          <w:lang w:val="sr-Latn-ME"/>
        </w:rPr>
        <w:t xml:space="preserve"> sredstvo, prvenstveno na molekularnom nivou sa nezasićenim masnim kiselinama, kao i sa </w:t>
      </w:r>
      <w:r w:rsidR="00C274AD" w:rsidRPr="00E36C10">
        <w:rPr>
          <w:color w:val="000000"/>
          <w:szCs w:val="22"/>
          <w:lang w:val="sr-Latn-ME"/>
        </w:rPr>
        <w:t>-</w:t>
      </w:r>
      <w:r w:rsidRPr="00E36C10">
        <w:rPr>
          <w:color w:val="000000"/>
          <w:szCs w:val="22"/>
          <w:lang w:val="sr-Latn-ME"/>
        </w:rPr>
        <w:t xml:space="preserve">SH ili </w:t>
      </w:r>
      <w:r w:rsidR="00C274AD" w:rsidRPr="00E36C10">
        <w:rPr>
          <w:color w:val="000000"/>
          <w:szCs w:val="22"/>
          <w:lang w:val="sr-Latn-ME"/>
        </w:rPr>
        <w:t>-</w:t>
      </w:r>
      <w:r w:rsidRPr="00E36C10">
        <w:rPr>
          <w:color w:val="000000"/>
          <w:szCs w:val="22"/>
          <w:lang w:val="sr-Latn-ME"/>
        </w:rPr>
        <w:t xml:space="preserve">OH grupama </w:t>
      </w:r>
      <w:r w:rsidR="008B75EE" w:rsidRPr="00E36C10">
        <w:rPr>
          <w:color w:val="000000"/>
          <w:szCs w:val="22"/>
          <w:lang w:val="sr-Latn-ME"/>
        </w:rPr>
        <w:t>(koje se lako oksidišu) amino</w:t>
      </w:r>
      <w:r w:rsidRPr="00E36C10">
        <w:rPr>
          <w:color w:val="000000"/>
          <w:szCs w:val="22"/>
          <w:lang w:val="sr-Latn-ME"/>
        </w:rPr>
        <w:t>kiselina u enzimima i gradivnim materijama mikroorganizama. Ovaj nespecifični način d</w:t>
      </w:r>
      <w:r w:rsidR="00733B15" w:rsidRPr="00E36C10">
        <w:rPr>
          <w:color w:val="000000"/>
          <w:szCs w:val="22"/>
          <w:lang w:val="sr-Latn-ME"/>
        </w:rPr>
        <w:t>j</w:t>
      </w:r>
      <w:r w:rsidRPr="00E36C10">
        <w:rPr>
          <w:color w:val="000000"/>
          <w:szCs w:val="22"/>
          <w:lang w:val="sr-Latn-ME"/>
        </w:rPr>
        <w:t>elovanja objašnjava sveobuhvatnu efikasnost povidon</w:t>
      </w:r>
      <w:r w:rsidR="000C324A" w:rsidRPr="00E36C10">
        <w:rPr>
          <w:color w:val="000000"/>
          <w:szCs w:val="22"/>
          <w:lang w:val="sr-Latn-ME"/>
        </w:rPr>
        <w:t>-</w:t>
      </w:r>
      <w:r w:rsidRPr="00E36C10">
        <w:rPr>
          <w:color w:val="000000"/>
          <w:szCs w:val="22"/>
          <w:lang w:val="sr-Latn-ME"/>
        </w:rPr>
        <w:t xml:space="preserve">joda protiv širokog spektra patogenih mikroorganizama kod ljudi, npr. Gram-pozitivnih i Gram-negativnih bakterija, mikobakterija, gljivica (naročito </w:t>
      </w:r>
      <w:r w:rsidRPr="00E36C10">
        <w:rPr>
          <w:i/>
          <w:color w:val="000000"/>
          <w:szCs w:val="22"/>
          <w:lang w:val="sr-Latn-ME"/>
        </w:rPr>
        <w:t>Candid</w:t>
      </w:r>
      <w:r w:rsidR="00814D76" w:rsidRPr="00E36C10">
        <w:rPr>
          <w:i/>
          <w:color w:val="000000"/>
          <w:szCs w:val="22"/>
          <w:lang w:val="sr-Latn-ME"/>
        </w:rPr>
        <w:t>a</w:t>
      </w:r>
      <w:r w:rsidRPr="00E36C10">
        <w:rPr>
          <w:color w:val="000000"/>
          <w:szCs w:val="22"/>
          <w:lang w:val="sr-Latn-ME"/>
        </w:rPr>
        <w:t>), brojnih virusa i nekih protozoa. Bakterijske spore i nekoliko vrsta virusa se većinom inaktivišu samo posl</w:t>
      </w:r>
      <w:r w:rsidR="00D27670">
        <w:rPr>
          <w:color w:val="000000"/>
          <w:szCs w:val="22"/>
          <w:lang w:val="sr-Latn-ME"/>
        </w:rPr>
        <w:t>ij</w:t>
      </w:r>
      <w:r w:rsidRPr="00E36C10">
        <w:rPr>
          <w:color w:val="000000"/>
          <w:szCs w:val="22"/>
          <w:lang w:val="sr-Latn-ME"/>
        </w:rPr>
        <w:t>e dužeg izlaganja i to u dovoljnoj m</w:t>
      </w:r>
      <w:r w:rsidR="00733B15" w:rsidRPr="00E36C10">
        <w:rPr>
          <w:color w:val="000000"/>
          <w:szCs w:val="22"/>
          <w:lang w:val="sr-Latn-ME"/>
        </w:rPr>
        <w:t>j</w:t>
      </w:r>
      <w:r w:rsidRPr="00E36C10">
        <w:rPr>
          <w:color w:val="000000"/>
          <w:szCs w:val="22"/>
          <w:lang w:val="sr-Latn-ME"/>
        </w:rPr>
        <w:t>eri.</w:t>
      </w:r>
    </w:p>
    <w:p w14:paraId="3BF964DB" w14:textId="77777777" w:rsidR="009F4C02" w:rsidRPr="00E36C10" w:rsidRDefault="009F4C02" w:rsidP="0053024A">
      <w:pPr>
        <w:rPr>
          <w:color w:val="000000"/>
          <w:szCs w:val="22"/>
          <w:lang w:val="sr-Latn-ME"/>
        </w:rPr>
      </w:pPr>
    </w:p>
    <w:p w14:paraId="699EF248" w14:textId="77777777" w:rsidR="00CE09F3" w:rsidRPr="00E36C10" w:rsidRDefault="00214B4C" w:rsidP="0053024A">
      <w:pPr>
        <w:rPr>
          <w:color w:val="000000"/>
          <w:szCs w:val="22"/>
          <w:lang w:val="sr-Latn-ME"/>
        </w:rPr>
      </w:pPr>
      <w:r w:rsidRPr="00E36C10">
        <w:rPr>
          <w:color w:val="000000"/>
          <w:szCs w:val="22"/>
          <w:lang w:val="sr-Latn-ME"/>
        </w:rPr>
        <w:t>Kod dugotrajne prim</w:t>
      </w:r>
      <w:r w:rsidR="00733B15" w:rsidRPr="00E36C10">
        <w:rPr>
          <w:color w:val="000000"/>
          <w:szCs w:val="22"/>
          <w:lang w:val="sr-Latn-ME"/>
        </w:rPr>
        <w:t>j</w:t>
      </w:r>
      <w:r w:rsidRPr="00E36C10">
        <w:rPr>
          <w:color w:val="000000"/>
          <w:szCs w:val="22"/>
          <w:lang w:val="sr-Latn-ME"/>
        </w:rPr>
        <w:t>ene ne očekuju se specifični primarni oblici rezistencije na povidon-jod, kao ni razvoj</w:t>
      </w:r>
      <w:r w:rsidR="001C262F" w:rsidRPr="00E36C10">
        <w:rPr>
          <w:color w:val="000000"/>
          <w:szCs w:val="22"/>
          <w:lang w:val="sr-Latn-ME"/>
        </w:rPr>
        <w:t xml:space="preserve"> </w:t>
      </w:r>
      <w:r w:rsidR="00814D76" w:rsidRPr="00E36C10">
        <w:rPr>
          <w:color w:val="000000"/>
          <w:szCs w:val="22"/>
          <w:lang w:val="sr-Latn-ME"/>
        </w:rPr>
        <w:t xml:space="preserve">sekundarnih </w:t>
      </w:r>
      <w:r w:rsidRPr="00E36C10">
        <w:rPr>
          <w:color w:val="000000"/>
          <w:szCs w:val="22"/>
          <w:lang w:val="sr-Latn-ME"/>
        </w:rPr>
        <w:t>oblika rezistencije.</w:t>
      </w:r>
    </w:p>
    <w:p w14:paraId="11C1B45D" w14:textId="77777777" w:rsidR="00D814C2" w:rsidRPr="00E36C10" w:rsidRDefault="00D814C2" w:rsidP="0053024A">
      <w:pPr>
        <w:rPr>
          <w:b/>
          <w:bCs/>
          <w:szCs w:val="22"/>
          <w:lang w:val="sr-Latn-ME"/>
        </w:rPr>
      </w:pPr>
    </w:p>
    <w:p w14:paraId="4F30FF18" w14:textId="77777777" w:rsidR="00D814C2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5.2. Farmakokinetički podaci</w:t>
      </w:r>
    </w:p>
    <w:p w14:paraId="25B7151C" w14:textId="77777777" w:rsidR="00D814C2" w:rsidRPr="00E36C10" w:rsidRDefault="00D814C2" w:rsidP="0053024A">
      <w:pPr>
        <w:rPr>
          <w:b/>
          <w:bCs/>
          <w:szCs w:val="22"/>
          <w:lang w:val="sr-Latn-ME"/>
        </w:rPr>
      </w:pPr>
    </w:p>
    <w:p w14:paraId="12390EA9" w14:textId="77777777" w:rsidR="00AE7985" w:rsidRDefault="00214B4C" w:rsidP="0053024A">
      <w:pPr>
        <w:rPr>
          <w:iCs/>
          <w:szCs w:val="22"/>
          <w:lang w:val="sr-Latn-ME"/>
        </w:rPr>
      </w:pPr>
      <w:r w:rsidRPr="00E36C10">
        <w:rPr>
          <w:iCs/>
          <w:szCs w:val="22"/>
          <w:lang w:val="sr-Latn-ME"/>
        </w:rPr>
        <w:t>Posl</w:t>
      </w:r>
      <w:r w:rsidR="00D27670">
        <w:rPr>
          <w:iCs/>
          <w:szCs w:val="22"/>
          <w:lang w:val="sr-Latn-ME"/>
        </w:rPr>
        <w:t>ij</w:t>
      </w:r>
      <w:r w:rsidRPr="00E36C10">
        <w:rPr>
          <w:iCs/>
          <w:szCs w:val="22"/>
          <w:lang w:val="sr-Latn-ME"/>
        </w:rPr>
        <w:t xml:space="preserve">e nanošenja povidon-joda mora se imati u vidu mogućnost njegove resorpcije, što zavisi od prirode i trajanja </w:t>
      </w:r>
      <w:r w:rsidR="002E7E8B" w:rsidRPr="00E36C10">
        <w:rPr>
          <w:iCs/>
          <w:szCs w:val="22"/>
          <w:lang w:val="sr-Latn-ME"/>
        </w:rPr>
        <w:t>liječe</w:t>
      </w:r>
      <w:r w:rsidRPr="00E36C10">
        <w:rPr>
          <w:iCs/>
          <w:szCs w:val="22"/>
          <w:lang w:val="sr-Latn-ME"/>
        </w:rPr>
        <w:t>nja, kao i od prim</w:t>
      </w:r>
      <w:r w:rsidR="00D27670">
        <w:rPr>
          <w:iCs/>
          <w:szCs w:val="22"/>
          <w:lang w:val="sr-Latn-ME"/>
        </w:rPr>
        <w:t>i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 xml:space="preserve">enjene količine. Po nanošenju na intaktnu kožu, samo se vrlo mala količina joda resorbuje. </w:t>
      </w:r>
    </w:p>
    <w:p w14:paraId="7BB1A165" w14:textId="6C3040F6" w:rsidR="00214B4C" w:rsidRPr="00E36C10" w:rsidRDefault="00214B4C" w:rsidP="0053024A">
      <w:pPr>
        <w:rPr>
          <w:iCs/>
          <w:szCs w:val="22"/>
          <w:lang w:val="sr-Latn-ME"/>
        </w:rPr>
      </w:pPr>
      <w:r w:rsidRPr="00E36C10">
        <w:rPr>
          <w:iCs/>
          <w:szCs w:val="22"/>
          <w:lang w:val="sr-Latn-ME"/>
        </w:rPr>
        <w:t>Do značajne resorpcije joda može da dođe posl</w:t>
      </w:r>
      <w:r w:rsidR="00D27670">
        <w:rPr>
          <w:iCs/>
          <w:szCs w:val="22"/>
          <w:lang w:val="sr-Latn-ME"/>
        </w:rPr>
        <w:t>ij</w:t>
      </w:r>
      <w:r w:rsidRPr="00E36C10">
        <w:rPr>
          <w:iCs/>
          <w:szCs w:val="22"/>
          <w:lang w:val="sr-Latn-ME"/>
        </w:rPr>
        <w:t>e dugotrajne prim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 xml:space="preserve">ene </w:t>
      </w:r>
      <w:r w:rsidR="002E7E8B" w:rsidRPr="00E36C10">
        <w:rPr>
          <w:iCs/>
          <w:szCs w:val="22"/>
          <w:lang w:val="sr-Latn-ME"/>
        </w:rPr>
        <w:t>ljekov</w:t>
      </w:r>
      <w:r w:rsidR="00ED06A6" w:rsidRPr="00E36C10">
        <w:rPr>
          <w:iCs/>
          <w:szCs w:val="22"/>
          <w:lang w:val="sr-Latn-ME"/>
        </w:rPr>
        <w:t xml:space="preserve">a </w:t>
      </w:r>
      <w:r w:rsidRPr="00E36C10">
        <w:rPr>
          <w:iCs/>
          <w:szCs w:val="22"/>
          <w:lang w:val="sr-Latn-ME"/>
        </w:rPr>
        <w:t xml:space="preserve">koji sadrže povidon-jod na sluzokožama, velikim površinama kože, velikim površinama zahvaćenim ranama ili </w:t>
      </w:r>
      <w:r w:rsidRPr="00E36C10">
        <w:rPr>
          <w:iCs/>
          <w:szCs w:val="22"/>
          <w:lang w:val="sr-Latn-ME"/>
        </w:rPr>
        <w:lastRenderedPageBreak/>
        <w:t>opekotinama</w:t>
      </w:r>
      <w:r w:rsidR="001C262F" w:rsidRPr="00E36C10">
        <w:rPr>
          <w:iCs/>
          <w:szCs w:val="22"/>
          <w:lang w:val="sr-Latn-ME"/>
        </w:rPr>
        <w:t>, a naročito posl</w:t>
      </w:r>
      <w:r w:rsidR="00D27670">
        <w:rPr>
          <w:iCs/>
          <w:szCs w:val="22"/>
          <w:lang w:val="sr-Latn-ME"/>
        </w:rPr>
        <w:t>ij</w:t>
      </w:r>
      <w:r w:rsidR="001C262F" w:rsidRPr="00E36C10">
        <w:rPr>
          <w:iCs/>
          <w:szCs w:val="22"/>
          <w:lang w:val="sr-Latn-ME"/>
        </w:rPr>
        <w:t>e ispiranja t</w:t>
      </w:r>
      <w:r w:rsidR="00733B15" w:rsidRPr="00E36C10">
        <w:rPr>
          <w:iCs/>
          <w:szCs w:val="22"/>
          <w:lang w:val="sr-Latn-ME"/>
        </w:rPr>
        <w:t>j</w:t>
      </w:r>
      <w:r w:rsidR="001C262F" w:rsidRPr="00E36C10">
        <w:rPr>
          <w:iCs/>
          <w:szCs w:val="22"/>
          <w:lang w:val="sr-Latn-ME"/>
        </w:rPr>
        <w:t>elesnih šupljina.</w:t>
      </w:r>
      <w:r w:rsidRPr="00E36C10">
        <w:rPr>
          <w:iCs/>
          <w:szCs w:val="22"/>
          <w:lang w:val="sr-Latn-ME"/>
        </w:rPr>
        <w:t xml:space="preserve"> </w:t>
      </w:r>
      <w:r w:rsidR="00086CEA" w:rsidRPr="00E36C10">
        <w:rPr>
          <w:iCs/>
          <w:szCs w:val="22"/>
          <w:lang w:val="sr-Latn-ME"/>
        </w:rPr>
        <w:t xml:space="preserve">Povećana </w:t>
      </w:r>
      <w:r w:rsidRPr="00E36C10">
        <w:rPr>
          <w:iCs/>
          <w:szCs w:val="22"/>
          <w:lang w:val="sr-Latn-ME"/>
        </w:rPr>
        <w:t>koncentracija joda u krvi, nastala kao posl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>edica toga, uglavnom je prolazna. Kod osoba sa zdravom tireoidnom žl</w:t>
      </w:r>
      <w:r w:rsidR="00733B15" w:rsidRPr="00E36C10">
        <w:rPr>
          <w:iCs/>
          <w:szCs w:val="22"/>
          <w:lang w:val="sr-Latn-ME"/>
        </w:rPr>
        <w:t>ij</w:t>
      </w:r>
      <w:r w:rsidRPr="00E36C10">
        <w:rPr>
          <w:iCs/>
          <w:szCs w:val="22"/>
          <w:lang w:val="sr-Latn-ME"/>
        </w:rPr>
        <w:t>ezdom, povećana koncentracija joda u krvi ne dovodi do klinički značajnih prom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 xml:space="preserve">ena u nivoima tireoidnih hormona. Ako je metabolizam joda normalan, dolazi do pojačanog izlučivanja joda putem bubrega. </w:t>
      </w:r>
    </w:p>
    <w:p w14:paraId="688991CE" w14:textId="77777777" w:rsidR="009F4C02" w:rsidRPr="00E36C10" w:rsidRDefault="009F4C02" w:rsidP="0053024A">
      <w:pPr>
        <w:rPr>
          <w:iCs/>
          <w:szCs w:val="22"/>
          <w:lang w:val="sr-Latn-ME"/>
        </w:rPr>
      </w:pPr>
    </w:p>
    <w:p w14:paraId="00AB7E41" w14:textId="095CBA4D" w:rsidR="00214B4C" w:rsidRPr="00E36C10" w:rsidRDefault="00214B4C" w:rsidP="0053024A">
      <w:pPr>
        <w:rPr>
          <w:iCs/>
          <w:szCs w:val="22"/>
          <w:lang w:val="sr-Latn-ME"/>
        </w:rPr>
      </w:pPr>
      <w:r w:rsidRPr="00E36C10">
        <w:rPr>
          <w:iCs/>
          <w:szCs w:val="22"/>
          <w:lang w:val="sr-Latn-ME"/>
        </w:rPr>
        <w:t>Resorpcija povidona i</w:t>
      </w:r>
      <w:r w:rsidR="009F4C02" w:rsidRPr="00E36C10">
        <w:rPr>
          <w:iCs/>
          <w:szCs w:val="22"/>
          <w:lang w:val="sr-Latn-ME"/>
        </w:rPr>
        <w:t>,</w:t>
      </w:r>
      <w:r w:rsidRPr="00E36C10">
        <w:rPr>
          <w:iCs/>
          <w:szCs w:val="22"/>
          <w:lang w:val="sr-Latn-ME"/>
        </w:rPr>
        <w:t xml:space="preserve"> u većoj m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>eri</w:t>
      </w:r>
      <w:r w:rsidR="009F4C02" w:rsidRPr="00E36C10">
        <w:rPr>
          <w:iCs/>
          <w:szCs w:val="22"/>
          <w:lang w:val="sr-Latn-ME"/>
        </w:rPr>
        <w:t>,</w:t>
      </w:r>
      <w:r w:rsidRPr="00E36C10">
        <w:rPr>
          <w:iCs/>
          <w:szCs w:val="22"/>
          <w:lang w:val="sr-Latn-ME"/>
        </w:rPr>
        <w:t xml:space="preserve"> eliminacija</w:t>
      </w:r>
      <w:r w:rsidR="00ED06A6" w:rsidRPr="00E36C10">
        <w:rPr>
          <w:iCs/>
          <w:szCs w:val="22"/>
          <w:lang w:val="sr-Latn-ME"/>
        </w:rPr>
        <w:t xml:space="preserve"> putem</w:t>
      </w:r>
      <w:r w:rsidRPr="00E36C10">
        <w:rPr>
          <w:iCs/>
          <w:szCs w:val="22"/>
          <w:lang w:val="sr-Latn-ME"/>
        </w:rPr>
        <w:t xml:space="preserve"> </w:t>
      </w:r>
      <w:r w:rsidR="00ED06A6" w:rsidRPr="00E36C10">
        <w:rPr>
          <w:iCs/>
          <w:szCs w:val="22"/>
          <w:lang w:val="sr-Latn-ME"/>
        </w:rPr>
        <w:t>bubrega</w:t>
      </w:r>
      <w:r w:rsidRPr="00E36C10">
        <w:rPr>
          <w:iCs/>
          <w:szCs w:val="22"/>
          <w:lang w:val="sr-Latn-ME"/>
        </w:rPr>
        <w:t>, zavise od pros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>ečne mol</w:t>
      </w:r>
      <w:r w:rsidR="00D814C2" w:rsidRPr="00E36C10">
        <w:rPr>
          <w:iCs/>
          <w:szCs w:val="22"/>
          <w:lang w:val="sr-Latn-ME"/>
        </w:rPr>
        <w:t xml:space="preserve">ekulske </w:t>
      </w:r>
      <w:r w:rsidR="001911D6" w:rsidRPr="00E36C10">
        <w:rPr>
          <w:iCs/>
          <w:szCs w:val="22"/>
          <w:lang w:val="sr-Latn-ME"/>
        </w:rPr>
        <w:t xml:space="preserve">mase </w:t>
      </w:r>
      <w:r w:rsidR="00D814C2" w:rsidRPr="00E36C10">
        <w:rPr>
          <w:iCs/>
          <w:szCs w:val="22"/>
          <w:lang w:val="sr-Latn-ME"/>
        </w:rPr>
        <w:t>sm</w:t>
      </w:r>
      <w:r w:rsidR="00733B15" w:rsidRPr="00E36C10">
        <w:rPr>
          <w:iCs/>
          <w:szCs w:val="22"/>
          <w:lang w:val="sr-Latn-ME"/>
        </w:rPr>
        <w:t>j</w:t>
      </w:r>
      <w:r w:rsidR="00D814C2" w:rsidRPr="00E36C10">
        <w:rPr>
          <w:iCs/>
          <w:szCs w:val="22"/>
          <w:lang w:val="sr-Latn-ME"/>
        </w:rPr>
        <w:t>eše. Pri moleku</w:t>
      </w:r>
      <w:r w:rsidRPr="00E36C10">
        <w:rPr>
          <w:iCs/>
          <w:szCs w:val="22"/>
          <w:lang w:val="sr-Latn-ME"/>
        </w:rPr>
        <w:t xml:space="preserve">lskim </w:t>
      </w:r>
      <w:r w:rsidR="001911D6" w:rsidRPr="00E36C10">
        <w:rPr>
          <w:iCs/>
          <w:szCs w:val="22"/>
          <w:lang w:val="sr-Latn-ME"/>
        </w:rPr>
        <w:t xml:space="preserve">masama </w:t>
      </w:r>
      <w:r w:rsidRPr="00E36C10">
        <w:rPr>
          <w:iCs/>
          <w:szCs w:val="22"/>
          <w:lang w:val="sr-Latn-ME"/>
        </w:rPr>
        <w:t xml:space="preserve">preko 35000 do 50000, za očekivati je da će doći do </w:t>
      </w:r>
      <w:r w:rsidR="00B971C8" w:rsidRPr="00E36C10">
        <w:rPr>
          <w:iCs/>
          <w:szCs w:val="22"/>
          <w:lang w:val="sr-Latn-ME"/>
        </w:rPr>
        <w:t>retencije</w:t>
      </w:r>
      <w:r w:rsidRPr="00E36C10">
        <w:rPr>
          <w:iCs/>
          <w:szCs w:val="22"/>
          <w:lang w:val="sr-Latn-ME"/>
        </w:rPr>
        <w:t xml:space="preserve"> unutar retikulohist</w:t>
      </w:r>
      <w:r w:rsidR="00251D1B" w:rsidRPr="00E36C10">
        <w:rPr>
          <w:iCs/>
          <w:szCs w:val="22"/>
          <w:lang w:val="sr-Latn-ME"/>
        </w:rPr>
        <w:t>i</w:t>
      </w:r>
      <w:r w:rsidRPr="00E36C10">
        <w:rPr>
          <w:iCs/>
          <w:szCs w:val="22"/>
          <w:lang w:val="sr-Latn-ME"/>
        </w:rPr>
        <w:t xml:space="preserve">ocitnog sistema. Po lokalnoj </w:t>
      </w:r>
      <w:r w:rsidR="002E7E8B" w:rsidRPr="00E36C10">
        <w:rPr>
          <w:iCs/>
          <w:szCs w:val="22"/>
          <w:lang w:val="sr-Latn-ME"/>
        </w:rPr>
        <w:t xml:space="preserve">primjeni </w:t>
      </w:r>
      <w:r w:rsidRPr="00E36C10">
        <w:rPr>
          <w:iCs/>
          <w:szCs w:val="22"/>
          <w:lang w:val="sr-Latn-ME"/>
        </w:rPr>
        <w:t>povidon-joda, ne dolazi do akumulacije povidona u organizmu i drugih prom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>ena koje se nekada viđaju posl</w:t>
      </w:r>
      <w:r w:rsidR="00D27670">
        <w:rPr>
          <w:iCs/>
          <w:szCs w:val="22"/>
          <w:lang w:val="sr-Latn-ME"/>
        </w:rPr>
        <w:t>ij</w:t>
      </w:r>
      <w:r w:rsidRPr="00E36C10">
        <w:rPr>
          <w:iCs/>
          <w:szCs w:val="22"/>
          <w:lang w:val="sr-Latn-ME"/>
        </w:rPr>
        <w:t>e intravenske ili su</w:t>
      </w:r>
      <w:r w:rsidR="00D71232" w:rsidRPr="00E36C10">
        <w:rPr>
          <w:iCs/>
          <w:szCs w:val="22"/>
          <w:lang w:val="sr-Latn-ME"/>
        </w:rPr>
        <w:t>p</w:t>
      </w:r>
      <w:r w:rsidRPr="00E36C10">
        <w:rPr>
          <w:iCs/>
          <w:szCs w:val="22"/>
          <w:lang w:val="sr-Latn-ME"/>
        </w:rPr>
        <w:t>kutane prim</w:t>
      </w:r>
      <w:r w:rsidR="00733B15" w:rsidRPr="00E36C10">
        <w:rPr>
          <w:iCs/>
          <w:szCs w:val="22"/>
          <w:lang w:val="sr-Latn-ME"/>
        </w:rPr>
        <w:t>j</w:t>
      </w:r>
      <w:r w:rsidRPr="00E36C10">
        <w:rPr>
          <w:iCs/>
          <w:szCs w:val="22"/>
          <w:lang w:val="sr-Latn-ME"/>
        </w:rPr>
        <w:t xml:space="preserve">ene </w:t>
      </w:r>
      <w:r w:rsidR="002E7E8B" w:rsidRPr="00E36C10">
        <w:rPr>
          <w:iCs/>
          <w:szCs w:val="22"/>
          <w:lang w:val="sr-Latn-ME"/>
        </w:rPr>
        <w:t>ljekov</w:t>
      </w:r>
      <w:r w:rsidRPr="00E36C10">
        <w:rPr>
          <w:iCs/>
          <w:szCs w:val="22"/>
          <w:lang w:val="sr-Latn-ME"/>
        </w:rPr>
        <w:t>a koji sadrže povidon</w:t>
      </w:r>
      <w:r w:rsidR="001911D6" w:rsidRPr="00E36C10">
        <w:rPr>
          <w:iCs/>
          <w:szCs w:val="22"/>
          <w:lang w:val="sr-Latn-ME"/>
        </w:rPr>
        <w:t>-</w:t>
      </w:r>
      <w:r w:rsidRPr="00E36C10">
        <w:rPr>
          <w:iCs/>
          <w:szCs w:val="22"/>
          <w:lang w:val="sr-Latn-ME"/>
        </w:rPr>
        <w:t>jod.</w:t>
      </w:r>
    </w:p>
    <w:p w14:paraId="4E17451A" w14:textId="77777777" w:rsidR="00214B4C" w:rsidRPr="00E36C10" w:rsidRDefault="00214B4C" w:rsidP="0053024A">
      <w:pPr>
        <w:rPr>
          <w:iCs/>
          <w:szCs w:val="22"/>
          <w:lang w:val="sr-Latn-ME"/>
        </w:rPr>
      </w:pPr>
    </w:p>
    <w:p w14:paraId="6DC2C6D8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 xml:space="preserve">5.3. Pretklinički podaci o </w:t>
      </w:r>
      <w:r w:rsidR="002E7E8B" w:rsidRPr="00E36C10">
        <w:rPr>
          <w:b/>
          <w:bCs/>
          <w:szCs w:val="22"/>
          <w:lang w:val="sr-Latn-ME"/>
        </w:rPr>
        <w:t>bezbjed</w:t>
      </w:r>
      <w:r w:rsidRPr="00E36C10">
        <w:rPr>
          <w:b/>
          <w:bCs/>
          <w:szCs w:val="22"/>
          <w:lang w:val="sr-Latn-ME"/>
        </w:rPr>
        <w:t xml:space="preserve">nosti </w:t>
      </w:r>
    </w:p>
    <w:p w14:paraId="64532DF3" w14:textId="77777777" w:rsidR="00CE09F3" w:rsidRPr="00E36C10" w:rsidRDefault="00CE09F3" w:rsidP="0053024A">
      <w:pPr>
        <w:rPr>
          <w:szCs w:val="22"/>
          <w:lang w:val="sr-Latn-ME"/>
        </w:rPr>
      </w:pPr>
    </w:p>
    <w:p w14:paraId="6616A941" w14:textId="77777777" w:rsidR="00214B4C" w:rsidRPr="00E36C10" w:rsidRDefault="00214B4C" w:rsidP="0053024A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Pretkliničk</w:t>
      </w:r>
      <w:r w:rsidR="00B971C8" w:rsidRPr="00E36C10">
        <w:rPr>
          <w:szCs w:val="22"/>
          <w:lang w:val="sr-Latn-ME"/>
        </w:rPr>
        <w:t>i</w:t>
      </w:r>
      <w:r w:rsidRPr="00E36C10">
        <w:rPr>
          <w:szCs w:val="22"/>
          <w:lang w:val="sr-Latn-ME"/>
        </w:rPr>
        <w:t xml:space="preserve"> </w:t>
      </w:r>
      <w:r w:rsidR="00B971C8" w:rsidRPr="00E36C10">
        <w:rPr>
          <w:szCs w:val="22"/>
          <w:lang w:val="sr-Latn-ME"/>
        </w:rPr>
        <w:t xml:space="preserve">podaci dobijeni na osnovu </w:t>
      </w:r>
      <w:r w:rsidRPr="00E36C10">
        <w:rPr>
          <w:szCs w:val="22"/>
          <w:lang w:val="sr-Latn-ME"/>
        </w:rPr>
        <w:t>konvencionalni</w:t>
      </w:r>
      <w:r w:rsidR="00B971C8" w:rsidRPr="00E36C10">
        <w:rPr>
          <w:szCs w:val="22"/>
          <w:lang w:val="sr-Latn-ME"/>
        </w:rPr>
        <w:t>h</w:t>
      </w:r>
      <w:r w:rsidRPr="00E36C10">
        <w:rPr>
          <w:szCs w:val="22"/>
          <w:lang w:val="sr-Latn-ME"/>
        </w:rPr>
        <w:t xml:space="preserve"> studija akutne</w:t>
      </w:r>
      <w:r w:rsidR="00B971C8" w:rsidRPr="00E36C10">
        <w:rPr>
          <w:szCs w:val="22"/>
          <w:lang w:val="sr-Latn-ME"/>
        </w:rPr>
        <w:t xml:space="preserve"> toksičnosti</w:t>
      </w:r>
      <w:r w:rsidRPr="00E36C10">
        <w:rPr>
          <w:szCs w:val="22"/>
          <w:lang w:val="sr-Latn-ME"/>
        </w:rPr>
        <w:t>, hronične toksičnosti</w:t>
      </w:r>
      <w:r w:rsidR="000371A8" w:rsidRPr="00E36C10">
        <w:rPr>
          <w:szCs w:val="22"/>
          <w:lang w:val="sr-Latn-ME"/>
        </w:rPr>
        <w:t xml:space="preserve"> </w:t>
      </w:r>
      <w:r w:rsidR="00B971C8" w:rsidRPr="00E36C10">
        <w:rPr>
          <w:szCs w:val="22"/>
          <w:lang w:val="sr-Latn-ME"/>
        </w:rPr>
        <w:t>i</w:t>
      </w:r>
      <w:r w:rsidRPr="00E36C10">
        <w:rPr>
          <w:szCs w:val="22"/>
          <w:lang w:val="sr-Latn-ME"/>
        </w:rPr>
        <w:t xml:space="preserve"> mutagenosti, </w:t>
      </w:r>
      <w:r w:rsidR="00B971C8" w:rsidRPr="00E36C10">
        <w:rPr>
          <w:szCs w:val="22"/>
          <w:lang w:val="sr-Latn-ME"/>
        </w:rPr>
        <w:t xml:space="preserve">ne ukazuju na posebne rizike pri </w:t>
      </w:r>
      <w:r w:rsidR="002E7E8B" w:rsidRPr="00E36C10">
        <w:rPr>
          <w:szCs w:val="22"/>
          <w:lang w:val="sr-Latn-ME"/>
        </w:rPr>
        <w:t xml:space="preserve">primjeni lijeka </w:t>
      </w:r>
      <w:r w:rsidR="00B971C8" w:rsidRPr="00E36C10">
        <w:rPr>
          <w:szCs w:val="22"/>
          <w:lang w:val="sr-Latn-ME"/>
        </w:rPr>
        <w:t>kod ljudi. Dugoročne studije karcinogenosti sa povidon-jodom nisu dostupne.</w:t>
      </w:r>
    </w:p>
    <w:p w14:paraId="0E68049F" w14:textId="77777777" w:rsidR="009F4C02" w:rsidRPr="00E36C10" w:rsidRDefault="009F4C02" w:rsidP="0053024A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78611B7" w14:textId="1EBBBBBD" w:rsidR="00214B4C" w:rsidRPr="00E36C10" w:rsidRDefault="00214B4C" w:rsidP="0053024A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Zbog </w:t>
      </w:r>
      <w:r w:rsidR="00B971C8" w:rsidRPr="00E36C10">
        <w:rPr>
          <w:szCs w:val="22"/>
          <w:lang w:val="sr-Latn-ME"/>
        </w:rPr>
        <w:t>sposobnosti</w:t>
      </w:r>
      <w:r w:rsidRPr="00E36C10">
        <w:rPr>
          <w:szCs w:val="22"/>
          <w:lang w:val="sr-Latn-ME"/>
        </w:rPr>
        <w:t xml:space="preserve"> joda da pro</w:t>
      </w:r>
      <w:r w:rsidR="000371A8" w:rsidRPr="00E36C10">
        <w:rPr>
          <w:szCs w:val="22"/>
          <w:lang w:val="sr-Latn-ME"/>
        </w:rPr>
        <w:t>đe</w:t>
      </w:r>
      <w:r w:rsidRPr="00E36C10">
        <w:rPr>
          <w:szCs w:val="22"/>
          <w:lang w:val="sr-Latn-ME"/>
        </w:rPr>
        <w:t xml:space="preserve"> placentalnu barijeru i os</w:t>
      </w:r>
      <w:r w:rsidR="00733B15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etljivosti </w:t>
      </w:r>
      <w:r w:rsidR="00ED06A6" w:rsidRPr="00E36C10">
        <w:rPr>
          <w:szCs w:val="22"/>
          <w:lang w:val="sr-Latn-ME"/>
        </w:rPr>
        <w:t xml:space="preserve">ploda </w:t>
      </w:r>
      <w:r w:rsidRPr="00E36C10">
        <w:rPr>
          <w:szCs w:val="22"/>
          <w:lang w:val="sr-Latn-ME"/>
        </w:rPr>
        <w:t>na farmakološke doze joda, mora se izb</w:t>
      </w:r>
      <w:r w:rsidR="00733B15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eći potencijalna resorpcija velike količine joda tokom trudnoće. U poređenju sa serumom, jod se </w:t>
      </w:r>
      <w:r w:rsidR="00B971C8" w:rsidRPr="00E36C10">
        <w:rPr>
          <w:szCs w:val="22"/>
          <w:lang w:val="sr-Latn-ME"/>
        </w:rPr>
        <w:t>kumuluje</w:t>
      </w:r>
      <w:r w:rsidR="00D814C2" w:rsidRPr="00E36C10">
        <w:rPr>
          <w:szCs w:val="22"/>
          <w:lang w:val="sr-Latn-ME"/>
        </w:rPr>
        <w:t xml:space="preserve"> u većoj m</w:t>
      </w:r>
      <w:r w:rsidR="00733B15" w:rsidRPr="00E36C10">
        <w:rPr>
          <w:szCs w:val="22"/>
          <w:lang w:val="sr-Latn-ME"/>
        </w:rPr>
        <w:t>j</w:t>
      </w:r>
      <w:r w:rsidR="00D814C2" w:rsidRPr="00E36C10">
        <w:rPr>
          <w:szCs w:val="22"/>
          <w:lang w:val="sr-Latn-ME"/>
        </w:rPr>
        <w:t>eri u majčinom ml</w:t>
      </w:r>
      <w:r w:rsidR="00733B15" w:rsidRPr="00E36C10">
        <w:rPr>
          <w:szCs w:val="22"/>
          <w:lang w:val="sr-Latn-ME"/>
        </w:rPr>
        <w:t>ij</w:t>
      </w:r>
      <w:r w:rsidR="00D814C2" w:rsidRPr="00E36C10">
        <w:rPr>
          <w:szCs w:val="22"/>
          <w:lang w:val="sr-Latn-ME"/>
        </w:rPr>
        <w:t>eku</w:t>
      </w:r>
      <w:r w:rsidRPr="00E36C10">
        <w:rPr>
          <w:szCs w:val="22"/>
          <w:lang w:val="sr-Latn-ME"/>
        </w:rPr>
        <w:t>, tako da</w:t>
      </w:r>
      <w:r w:rsidR="00B971C8" w:rsidRPr="00E36C10">
        <w:rPr>
          <w:szCs w:val="22"/>
          <w:lang w:val="sr-Latn-ME"/>
        </w:rPr>
        <w:t xml:space="preserve"> se</w:t>
      </w:r>
      <w:r w:rsidRPr="00E36C10">
        <w:rPr>
          <w:szCs w:val="22"/>
          <w:lang w:val="sr-Latn-ME"/>
        </w:rPr>
        <w:t xml:space="preserve"> povidon-jod </w:t>
      </w:r>
      <w:r w:rsidR="00B971C8" w:rsidRPr="00E36C10">
        <w:rPr>
          <w:szCs w:val="22"/>
          <w:lang w:val="sr-Latn-ME"/>
        </w:rPr>
        <w:t>sm</w:t>
      </w:r>
      <w:r w:rsidR="00733B15" w:rsidRPr="00E36C10">
        <w:rPr>
          <w:szCs w:val="22"/>
          <w:lang w:val="sr-Latn-ME"/>
        </w:rPr>
        <w:t>ij</w:t>
      </w:r>
      <w:r w:rsidR="00B971C8" w:rsidRPr="00E36C10">
        <w:rPr>
          <w:szCs w:val="22"/>
          <w:lang w:val="sr-Latn-ME"/>
        </w:rPr>
        <w:t>e</w:t>
      </w:r>
      <w:r w:rsidRPr="00E36C10">
        <w:rPr>
          <w:szCs w:val="22"/>
          <w:lang w:val="sr-Latn-ME"/>
        </w:rPr>
        <w:t xml:space="preserve"> prim</w:t>
      </w:r>
      <w:r w:rsidR="00733B15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>enji</w:t>
      </w:r>
      <w:r w:rsidR="00D814C2" w:rsidRPr="00E36C10">
        <w:rPr>
          <w:szCs w:val="22"/>
          <w:lang w:val="sr-Latn-ME"/>
        </w:rPr>
        <w:t xml:space="preserve">vati tokom </w:t>
      </w:r>
      <w:r w:rsidR="00B971C8" w:rsidRPr="00E36C10">
        <w:rPr>
          <w:szCs w:val="22"/>
          <w:lang w:val="sr-Latn-ME"/>
        </w:rPr>
        <w:t xml:space="preserve">perioda </w:t>
      </w:r>
      <w:r w:rsidR="00086CEA" w:rsidRPr="00E36C10">
        <w:rPr>
          <w:szCs w:val="22"/>
          <w:lang w:val="sr-Latn-ME"/>
        </w:rPr>
        <w:t xml:space="preserve">dojenja </w:t>
      </w:r>
      <w:r w:rsidR="00D814C2" w:rsidRPr="00E36C10">
        <w:rPr>
          <w:szCs w:val="22"/>
          <w:lang w:val="sr-Latn-ME"/>
        </w:rPr>
        <w:t>samo posl</w:t>
      </w:r>
      <w:r w:rsidR="00D27670">
        <w:rPr>
          <w:szCs w:val="22"/>
          <w:lang w:val="sr-Latn-ME"/>
        </w:rPr>
        <w:t>ij</w:t>
      </w:r>
      <w:r w:rsidR="00D814C2" w:rsidRPr="00E36C10">
        <w:rPr>
          <w:szCs w:val="22"/>
          <w:lang w:val="sr-Latn-ME"/>
        </w:rPr>
        <w:t>e p</w:t>
      </w:r>
      <w:r w:rsidRPr="00E36C10">
        <w:rPr>
          <w:szCs w:val="22"/>
          <w:lang w:val="sr-Latn-ME"/>
        </w:rPr>
        <w:t>ažljive proc</w:t>
      </w:r>
      <w:r w:rsidR="00733B15" w:rsidRPr="00E36C10">
        <w:rPr>
          <w:szCs w:val="22"/>
          <w:lang w:val="sr-Latn-ME"/>
        </w:rPr>
        <w:t>j</w:t>
      </w:r>
      <w:r w:rsidRPr="00E36C10">
        <w:rPr>
          <w:szCs w:val="22"/>
          <w:lang w:val="sr-Latn-ME"/>
        </w:rPr>
        <w:t xml:space="preserve">ene odnosa koristi </w:t>
      </w:r>
      <w:r w:rsidR="00B971C8" w:rsidRPr="00E36C10">
        <w:rPr>
          <w:szCs w:val="22"/>
          <w:lang w:val="sr-Latn-ME"/>
        </w:rPr>
        <w:t>i rizika</w:t>
      </w:r>
      <w:r w:rsidRPr="00E36C10">
        <w:rPr>
          <w:szCs w:val="22"/>
          <w:lang w:val="sr-Latn-ME"/>
        </w:rPr>
        <w:t xml:space="preserve">. </w:t>
      </w:r>
    </w:p>
    <w:p w14:paraId="7D627E08" w14:textId="77777777" w:rsidR="00CE09F3" w:rsidRPr="00E36C10" w:rsidRDefault="00CE09F3" w:rsidP="0053024A">
      <w:pPr>
        <w:rPr>
          <w:szCs w:val="22"/>
          <w:lang w:val="sr-Latn-ME"/>
        </w:rPr>
      </w:pPr>
    </w:p>
    <w:p w14:paraId="4689EFF8" w14:textId="77777777" w:rsidR="0053024A" w:rsidRPr="00E36C10" w:rsidRDefault="0053024A" w:rsidP="0053024A">
      <w:pPr>
        <w:rPr>
          <w:szCs w:val="22"/>
          <w:lang w:val="sr-Latn-ME"/>
        </w:rPr>
      </w:pPr>
    </w:p>
    <w:p w14:paraId="34C7C8B3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6. FARMACEUTSKI PODACI</w:t>
      </w:r>
    </w:p>
    <w:p w14:paraId="6F6B3911" w14:textId="77777777" w:rsidR="0053024A" w:rsidRPr="00E36C10" w:rsidRDefault="0053024A" w:rsidP="0053024A">
      <w:pPr>
        <w:rPr>
          <w:b/>
          <w:bCs/>
          <w:szCs w:val="22"/>
          <w:lang w:val="sr-Latn-ME"/>
        </w:rPr>
      </w:pPr>
    </w:p>
    <w:p w14:paraId="7F792A4C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 xml:space="preserve">6.1. Lista pomoćnih </w:t>
      </w:r>
      <w:r w:rsidR="00733B15" w:rsidRPr="00E36C10">
        <w:rPr>
          <w:b/>
          <w:bCs/>
          <w:szCs w:val="22"/>
          <w:lang w:val="sr-Latn-ME"/>
        </w:rPr>
        <w:t>supstanci (ekscipijenasa)</w:t>
      </w:r>
    </w:p>
    <w:p w14:paraId="66589FD1" w14:textId="77777777" w:rsidR="00214B4C" w:rsidRPr="00E36C10" w:rsidRDefault="00214B4C" w:rsidP="0053024A">
      <w:pPr>
        <w:rPr>
          <w:i/>
          <w:szCs w:val="22"/>
          <w:lang w:val="sr-Latn-ME"/>
        </w:rPr>
      </w:pPr>
    </w:p>
    <w:p w14:paraId="70F7F8A7" w14:textId="77777777" w:rsidR="00214B4C" w:rsidRPr="00E36C10" w:rsidRDefault="00214B4C" w:rsidP="0053024A">
      <w:pPr>
        <w:pStyle w:val="regular0"/>
        <w:rPr>
          <w:bCs w:val="0"/>
          <w:sz w:val="22"/>
          <w:szCs w:val="22"/>
          <w:u w:val="none"/>
          <w:lang w:val="sr-Latn-ME"/>
        </w:rPr>
      </w:pPr>
      <w:r w:rsidRPr="00E36C10">
        <w:rPr>
          <w:bCs w:val="0"/>
          <w:i/>
          <w:snapToGrid/>
          <w:sz w:val="22"/>
          <w:szCs w:val="22"/>
          <w:u w:val="none"/>
          <w:lang w:val="sr-Latn-ME"/>
        </w:rPr>
        <w:t xml:space="preserve">- </w:t>
      </w:r>
      <w:r w:rsidRPr="00E36C10">
        <w:rPr>
          <w:bCs w:val="0"/>
          <w:sz w:val="22"/>
          <w:szCs w:val="22"/>
          <w:u w:val="none"/>
          <w:lang w:val="sr-Latn-ME"/>
        </w:rPr>
        <w:t xml:space="preserve">glicerol; </w:t>
      </w:r>
    </w:p>
    <w:p w14:paraId="740B15CD" w14:textId="77777777" w:rsidR="00214B4C" w:rsidRPr="00E36C10" w:rsidRDefault="00214B4C" w:rsidP="0053024A">
      <w:pPr>
        <w:pStyle w:val="regular0"/>
        <w:rPr>
          <w:bCs w:val="0"/>
          <w:sz w:val="22"/>
          <w:szCs w:val="22"/>
          <w:u w:val="none"/>
          <w:lang w:val="sr-Latn-ME"/>
        </w:rPr>
      </w:pPr>
      <w:r w:rsidRPr="00E36C10">
        <w:rPr>
          <w:bCs w:val="0"/>
          <w:sz w:val="22"/>
          <w:szCs w:val="22"/>
          <w:u w:val="none"/>
          <w:lang w:val="sr-Latn-ME"/>
        </w:rPr>
        <w:t xml:space="preserve">- nonoksinol 9, </w:t>
      </w:r>
    </w:p>
    <w:p w14:paraId="6850527B" w14:textId="6BC45ADE" w:rsidR="00214B4C" w:rsidRPr="00E36C10" w:rsidRDefault="00214B4C" w:rsidP="0053024A">
      <w:pPr>
        <w:pStyle w:val="regular0"/>
        <w:rPr>
          <w:bCs w:val="0"/>
          <w:sz w:val="22"/>
          <w:szCs w:val="22"/>
          <w:u w:val="none"/>
          <w:lang w:val="sr-Latn-ME"/>
        </w:rPr>
      </w:pPr>
      <w:r w:rsidRPr="008A0C99">
        <w:rPr>
          <w:bCs w:val="0"/>
          <w:sz w:val="22"/>
          <w:szCs w:val="22"/>
          <w:u w:val="none"/>
          <w:lang w:val="sr-Latn-ME"/>
        </w:rPr>
        <w:t xml:space="preserve">- </w:t>
      </w:r>
      <w:r w:rsidR="00A04B52" w:rsidRPr="008A0C99">
        <w:rPr>
          <w:bCs w:val="0"/>
          <w:sz w:val="22"/>
          <w:szCs w:val="22"/>
          <w:u w:val="none"/>
          <w:lang w:val="sr-Latn-ME"/>
        </w:rPr>
        <w:t>di</w:t>
      </w:r>
      <w:r w:rsidRPr="008A0C99">
        <w:rPr>
          <w:bCs w:val="0"/>
          <w:sz w:val="22"/>
          <w:szCs w:val="22"/>
          <w:u w:val="none"/>
          <w:lang w:val="sr-Latn-ME"/>
        </w:rPr>
        <w:t>natrijum</w:t>
      </w:r>
      <w:r w:rsidR="00CE2564" w:rsidRPr="008A0C99">
        <w:rPr>
          <w:bCs w:val="0"/>
          <w:sz w:val="22"/>
          <w:szCs w:val="22"/>
          <w:u w:val="none"/>
          <w:lang w:val="sr-Latn-ME"/>
        </w:rPr>
        <w:t xml:space="preserve"> </w:t>
      </w:r>
      <w:r w:rsidRPr="008A0C99">
        <w:rPr>
          <w:bCs w:val="0"/>
          <w:sz w:val="22"/>
          <w:szCs w:val="22"/>
          <w:u w:val="none"/>
          <w:lang w:val="sr-Latn-ME"/>
        </w:rPr>
        <w:t>fosfat, dodekahidrat;</w:t>
      </w:r>
    </w:p>
    <w:p w14:paraId="6C792002" w14:textId="77777777" w:rsidR="00214B4C" w:rsidRPr="00E36C10" w:rsidRDefault="00214B4C" w:rsidP="0053024A">
      <w:pPr>
        <w:pStyle w:val="regular0"/>
        <w:rPr>
          <w:bCs w:val="0"/>
          <w:sz w:val="22"/>
          <w:szCs w:val="22"/>
          <w:u w:val="none"/>
          <w:lang w:val="sr-Latn-ME"/>
        </w:rPr>
      </w:pPr>
      <w:r w:rsidRPr="00E36C10">
        <w:rPr>
          <w:bCs w:val="0"/>
          <w:sz w:val="22"/>
          <w:szCs w:val="22"/>
          <w:u w:val="none"/>
          <w:lang w:val="sr-Latn-ME"/>
        </w:rPr>
        <w:t>- limunska kiselina, monohidrat;</w:t>
      </w:r>
    </w:p>
    <w:p w14:paraId="7DCDD912" w14:textId="0F2D5B2E" w:rsidR="00214B4C" w:rsidRPr="00E36C10" w:rsidRDefault="00214B4C" w:rsidP="0053024A">
      <w:pPr>
        <w:pStyle w:val="regular0"/>
        <w:rPr>
          <w:bCs w:val="0"/>
          <w:sz w:val="22"/>
          <w:szCs w:val="22"/>
          <w:u w:val="none"/>
          <w:lang w:val="sr-Latn-ME"/>
        </w:rPr>
      </w:pPr>
      <w:r w:rsidRPr="00E36C10">
        <w:rPr>
          <w:bCs w:val="0"/>
          <w:sz w:val="22"/>
          <w:szCs w:val="22"/>
          <w:u w:val="none"/>
          <w:lang w:val="sr-Latn-ME"/>
        </w:rPr>
        <w:t>- natrijum</w:t>
      </w:r>
      <w:r w:rsidR="00B42F96">
        <w:rPr>
          <w:color w:val="000000"/>
          <w:sz w:val="22"/>
          <w:szCs w:val="22"/>
          <w:u w:val="none"/>
          <w:lang w:val="sr-Latn-ME"/>
        </w:rPr>
        <w:t xml:space="preserve"> </w:t>
      </w:r>
      <w:r w:rsidRPr="00E36C10">
        <w:rPr>
          <w:bCs w:val="0"/>
          <w:sz w:val="22"/>
          <w:szCs w:val="22"/>
          <w:u w:val="none"/>
          <w:lang w:val="sr-Latn-ME"/>
        </w:rPr>
        <w:t>hidroksid 45%</w:t>
      </w:r>
      <w:r w:rsidR="00D8241E" w:rsidRPr="00E36C10">
        <w:rPr>
          <w:bCs w:val="0"/>
          <w:sz w:val="22"/>
          <w:szCs w:val="22"/>
          <w:u w:val="none"/>
          <w:lang w:val="sr-Latn-ME"/>
        </w:rPr>
        <w:t xml:space="preserve"> (za podešavanje pH vr</w:t>
      </w:r>
      <w:r w:rsidR="00733B15" w:rsidRPr="00E36C10">
        <w:rPr>
          <w:bCs w:val="0"/>
          <w:sz w:val="22"/>
          <w:szCs w:val="22"/>
          <w:u w:val="none"/>
          <w:lang w:val="sr-Latn-ME"/>
        </w:rPr>
        <w:t>ij</w:t>
      </w:r>
      <w:r w:rsidR="00D8241E" w:rsidRPr="00E36C10">
        <w:rPr>
          <w:bCs w:val="0"/>
          <w:sz w:val="22"/>
          <w:szCs w:val="22"/>
          <w:u w:val="none"/>
          <w:lang w:val="sr-Latn-ME"/>
        </w:rPr>
        <w:t>ednosti rastvora)</w:t>
      </w:r>
      <w:r w:rsidRPr="00E36C10">
        <w:rPr>
          <w:bCs w:val="0"/>
          <w:sz w:val="22"/>
          <w:szCs w:val="22"/>
          <w:u w:val="none"/>
          <w:lang w:val="sr-Latn-ME"/>
        </w:rPr>
        <w:t xml:space="preserve">; </w:t>
      </w:r>
    </w:p>
    <w:p w14:paraId="5D0D7A8D" w14:textId="77777777" w:rsidR="00214B4C" w:rsidRPr="00E36C10" w:rsidRDefault="00214B4C" w:rsidP="0053024A">
      <w:pPr>
        <w:pStyle w:val="regular0"/>
        <w:rPr>
          <w:bCs w:val="0"/>
          <w:sz w:val="22"/>
          <w:szCs w:val="22"/>
          <w:u w:val="none"/>
          <w:lang w:val="sr-Latn-ME"/>
        </w:rPr>
      </w:pPr>
      <w:r w:rsidRPr="00E36C10">
        <w:rPr>
          <w:bCs w:val="0"/>
          <w:sz w:val="22"/>
          <w:szCs w:val="22"/>
          <w:u w:val="none"/>
          <w:lang w:val="sr-Latn-ME"/>
        </w:rPr>
        <w:t>- voda, prečišćena.</w:t>
      </w:r>
    </w:p>
    <w:p w14:paraId="69236C88" w14:textId="77777777" w:rsidR="00CE09F3" w:rsidRPr="00E36C10" w:rsidRDefault="00CE09F3" w:rsidP="0053024A">
      <w:pPr>
        <w:rPr>
          <w:szCs w:val="22"/>
          <w:lang w:val="sr-Latn-ME"/>
        </w:rPr>
      </w:pPr>
    </w:p>
    <w:p w14:paraId="0F077A2C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6.2. Inkompatibilnost</w:t>
      </w:r>
      <w:r w:rsidR="00733B15" w:rsidRPr="00E36C10">
        <w:rPr>
          <w:b/>
          <w:bCs/>
          <w:szCs w:val="22"/>
          <w:lang w:val="sr-Latn-ME"/>
        </w:rPr>
        <w:t>i</w:t>
      </w:r>
    </w:p>
    <w:p w14:paraId="2CE69884" w14:textId="77777777" w:rsidR="00CE09F3" w:rsidRPr="00E36C10" w:rsidRDefault="00CE09F3" w:rsidP="0053024A">
      <w:pPr>
        <w:rPr>
          <w:szCs w:val="22"/>
          <w:lang w:val="sr-Latn-ME"/>
        </w:rPr>
      </w:pPr>
    </w:p>
    <w:p w14:paraId="7F2121F7" w14:textId="77777777" w:rsidR="00B42F96" w:rsidRPr="00201BA3" w:rsidRDefault="00B42F96" w:rsidP="00B42F96">
      <w:pPr>
        <w:rPr>
          <w:color w:val="000000"/>
          <w:szCs w:val="22"/>
          <w:lang w:val="sr-Latn-ME"/>
        </w:rPr>
      </w:pPr>
      <w:r>
        <w:rPr>
          <w:color w:val="000000"/>
          <w:szCs w:val="22"/>
          <w:lang w:val="sr-Latn-ME"/>
        </w:rPr>
        <w:t>Povidon jod HF</w:t>
      </w:r>
      <w:r w:rsidRPr="00201BA3">
        <w:rPr>
          <w:color w:val="000000"/>
          <w:szCs w:val="22"/>
          <w:lang w:val="sr-Latn-ME"/>
        </w:rPr>
        <w:t xml:space="preserve"> rastvor za kožu se ne smije primjenjivati zajedno sa preparatima koji sadrže hloreheksidin, hidrogen peroksid, taurolidin, sulfadiazin srebro, alkalije i živu jer može doći do djelimične inaktivacije.</w:t>
      </w:r>
    </w:p>
    <w:p w14:paraId="3408FFBD" w14:textId="77777777" w:rsidR="00214B4C" w:rsidRPr="00E36C10" w:rsidRDefault="00214B4C" w:rsidP="0053024A">
      <w:pPr>
        <w:rPr>
          <w:szCs w:val="22"/>
          <w:lang w:val="sr-Latn-ME"/>
        </w:rPr>
      </w:pPr>
    </w:p>
    <w:p w14:paraId="5847D185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6.3. Rok upotrebe</w:t>
      </w:r>
    </w:p>
    <w:p w14:paraId="563DCFAE" w14:textId="77777777" w:rsidR="00CE09F3" w:rsidRPr="00E36C10" w:rsidRDefault="00CE09F3" w:rsidP="0053024A">
      <w:pPr>
        <w:rPr>
          <w:szCs w:val="22"/>
          <w:lang w:val="sr-Latn-ME"/>
        </w:rPr>
      </w:pPr>
    </w:p>
    <w:p w14:paraId="1C55236D" w14:textId="77777777" w:rsidR="0057260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3 godine.</w:t>
      </w:r>
    </w:p>
    <w:p w14:paraId="093CBE94" w14:textId="77777777" w:rsidR="00214B4C" w:rsidRPr="00E36C10" w:rsidRDefault="0057260C" w:rsidP="0053024A">
      <w:pPr>
        <w:rPr>
          <w:szCs w:val="22"/>
          <w:lang w:val="sr-Latn-ME"/>
        </w:rPr>
      </w:pPr>
      <w:r w:rsidRPr="008A0C99">
        <w:rPr>
          <w:szCs w:val="22"/>
          <w:lang w:val="sr-Latn-ME"/>
        </w:rPr>
        <w:t>Nakon prvog otvaranja, proizvod je stabilan 12 m</w:t>
      </w:r>
      <w:r w:rsidR="00733B15" w:rsidRPr="008A0C99">
        <w:rPr>
          <w:szCs w:val="22"/>
          <w:lang w:val="sr-Latn-ME"/>
        </w:rPr>
        <w:t>j</w:t>
      </w:r>
      <w:r w:rsidRPr="008A0C99">
        <w:rPr>
          <w:szCs w:val="22"/>
          <w:lang w:val="sr-Latn-ME"/>
        </w:rPr>
        <w:t>eseci.</w:t>
      </w:r>
      <w:r w:rsidR="00214B4C" w:rsidRPr="00E36C10">
        <w:rPr>
          <w:szCs w:val="22"/>
          <w:lang w:val="sr-Latn-ME"/>
        </w:rPr>
        <w:t xml:space="preserve"> </w:t>
      </w:r>
    </w:p>
    <w:p w14:paraId="7A67ED28" w14:textId="77777777" w:rsidR="00CE09F3" w:rsidRPr="00E36C10" w:rsidRDefault="00CE09F3" w:rsidP="0053024A">
      <w:pPr>
        <w:rPr>
          <w:szCs w:val="22"/>
          <w:lang w:val="sr-Latn-ME"/>
        </w:rPr>
      </w:pPr>
    </w:p>
    <w:p w14:paraId="00021CFC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>6.4. Posebne m</w:t>
      </w:r>
      <w:r w:rsidR="00733B15" w:rsidRPr="00E36C10">
        <w:rPr>
          <w:b/>
          <w:bCs/>
          <w:szCs w:val="22"/>
          <w:lang w:val="sr-Latn-ME"/>
        </w:rPr>
        <w:t>j</w:t>
      </w:r>
      <w:r w:rsidRPr="00E36C10">
        <w:rPr>
          <w:b/>
          <w:bCs/>
          <w:szCs w:val="22"/>
          <w:lang w:val="sr-Latn-ME"/>
        </w:rPr>
        <w:t>ere opreza pri čuvanju</w:t>
      </w:r>
      <w:r w:rsidR="00733B15" w:rsidRPr="00E36C10">
        <w:rPr>
          <w:b/>
          <w:bCs/>
          <w:szCs w:val="22"/>
          <w:lang w:val="sr-Latn-ME"/>
        </w:rPr>
        <w:t xml:space="preserve"> lijeka</w:t>
      </w:r>
    </w:p>
    <w:p w14:paraId="6C1E8FFD" w14:textId="77777777" w:rsidR="00CE09F3" w:rsidRPr="00E36C10" w:rsidRDefault="00CE09F3" w:rsidP="0053024A">
      <w:pPr>
        <w:rPr>
          <w:szCs w:val="22"/>
          <w:lang w:val="sr-Latn-ME"/>
        </w:rPr>
      </w:pPr>
    </w:p>
    <w:p w14:paraId="6B86CFB3" w14:textId="4655C9AB" w:rsidR="00642F8B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Čuvati na temperaturi do 25°C</w:t>
      </w:r>
      <w:r w:rsidR="00642F8B" w:rsidRPr="00E36C10">
        <w:rPr>
          <w:szCs w:val="22"/>
          <w:lang w:val="sr-Latn-ME"/>
        </w:rPr>
        <w:t>.</w:t>
      </w:r>
      <w:r w:rsidRPr="00E36C10">
        <w:rPr>
          <w:szCs w:val="22"/>
          <w:lang w:val="sr-Latn-ME"/>
        </w:rPr>
        <w:t xml:space="preserve"> </w:t>
      </w:r>
    </w:p>
    <w:p w14:paraId="2DDAF84B" w14:textId="77777777" w:rsidR="00214B4C" w:rsidRPr="00E36C10" w:rsidRDefault="00642F8B" w:rsidP="0053024A">
      <w:pPr>
        <w:rPr>
          <w:szCs w:val="22"/>
          <w:lang w:val="sr-Latn-ME"/>
        </w:rPr>
      </w:pPr>
      <w:r w:rsidRPr="00E36C10">
        <w:rPr>
          <w:lang w:val="sr-Latn-ME"/>
        </w:rPr>
        <w:t>Čuvati u originalnom pakovanju</w:t>
      </w:r>
      <w:r w:rsidRPr="00E36C10">
        <w:rPr>
          <w:szCs w:val="22"/>
          <w:lang w:val="sr-Latn-ME"/>
        </w:rPr>
        <w:t xml:space="preserve"> </w:t>
      </w:r>
      <w:r w:rsidR="002B5231" w:rsidRPr="00E36C10">
        <w:rPr>
          <w:szCs w:val="22"/>
          <w:lang w:val="sr-Latn-ME"/>
        </w:rPr>
        <w:t xml:space="preserve">radi zaštite </w:t>
      </w:r>
      <w:r w:rsidR="00214B4C" w:rsidRPr="00E36C10">
        <w:rPr>
          <w:szCs w:val="22"/>
          <w:lang w:val="sr-Latn-ME"/>
        </w:rPr>
        <w:t>od sv</w:t>
      </w:r>
      <w:r w:rsidR="00733B15" w:rsidRPr="00E36C10">
        <w:rPr>
          <w:szCs w:val="22"/>
          <w:lang w:val="sr-Latn-ME"/>
        </w:rPr>
        <w:t>j</w:t>
      </w:r>
      <w:r w:rsidR="00214B4C" w:rsidRPr="00E36C10">
        <w:rPr>
          <w:szCs w:val="22"/>
          <w:lang w:val="sr-Latn-ME"/>
        </w:rPr>
        <w:t>etlosti.</w:t>
      </w:r>
    </w:p>
    <w:p w14:paraId="44742F3C" w14:textId="77777777" w:rsidR="00CE09F3" w:rsidRPr="00E36C10" w:rsidRDefault="00CE09F3" w:rsidP="0053024A">
      <w:pPr>
        <w:rPr>
          <w:szCs w:val="22"/>
          <w:lang w:val="sr-Latn-ME"/>
        </w:rPr>
      </w:pPr>
    </w:p>
    <w:p w14:paraId="3844F068" w14:textId="77777777" w:rsidR="00CE09F3" w:rsidRPr="00E36C10" w:rsidRDefault="0022223A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t xml:space="preserve">6.5. </w:t>
      </w:r>
      <w:r w:rsidR="00733B15" w:rsidRPr="00E36C10">
        <w:rPr>
          <w:b/>
          <w:bCs/>
          <w:szCs w:val="22"/>
          <w:lang w:val="sr-Latn-ME"/>
        </w:rPr>
        <w:t>Vrsta</w:t>
      </w:r>
      <w:r w:rsidR="00CE09F3" w:rsidRPr="00E36C10">
        <w:rPr>
          <w:b/>
          <w:bCs/>
          <w:szCs w:val="22"/>
          <w:lang w:val="sr-Latn-ME"/>
        </w:rPr>
        <w:t xml:space="preserve"> i sadržaj pakovanja</w:t>
      </w:r>
      <w:r w:rsidR="00F42610" w:rsidRPr="00E36C10">
        <w:rPr>
          <w:b/>
          <w:bCs/>
          <w:szCs w:val="22"/>
          <w:lang w:val="sr-Latn-ME"/>
        </w:rPr>
        <w:t xml:space="preserve"> </w:t>
      </w:r>
    </w:p>
    <w:p w14:paraId="47C796EE" w14:textId="77777777" w:rsidR="00214B4C" w:rsidRPr="00E36C10" w:rsidRDefault="00214B4C" w:rsidP="0053024A">
      <w:pPr>
        <w:rPr>
          <w:i/>
          <w:szCs w:val="22"/>
          <w:lang w:val="sr-Latn-ME"/>
        </w:rPr>
      </w:pPr>
    </w:p>
    <w:p w14:paraId="4EF5F76F" w14:textId="77777777" w:rsidR="00E36C10" w:rsidRPr="00E36C10" w:rsidRDefault="00E36C10" w:rsidP="00E36C10">
      <w:pPr>
        <w:pStyle w:val="Regular"/>
        <w:rPr>
          <w:b w:val="0"/>
          <w:sz w:val="22"/>
          <w:szCs w:val="22"/>
          <w:lang w:val="sr-Latn-ME"/>
        </w:rPr>
      </w:pPr>
      <w:r w:rsidRPr="00E36C10">
        <w:rPr>
          <w:b w:val="0"/>
          <w:sz w:val="22"/>
          <w:szCs w:val="22"/>
          <w:lang w:val="sr-Latn-ME"/>
        </w:rPr>
        <w:t>Boca od polietilena visoke gustine (HDPE) sa zatvaračem sa navojem od polipropilena (PP) u kojoj se</w:t>
      </w:r>
    </w:p>
    <w:p w14:paraId="37403A30" w14:textId="31AB2E84" w:rsidR="00A161E9" w:rsidRPr="00E36C10" w:rsidRDefault="00E36C10" w:rsidP="008A0C99">
      <w:pPr>
        <w:pStyle w:val="Regular"/>
      </w:pPr>
      <w:r w:rsidRPr="00E36C10">
        <w:rPr>
          <w:b w:val="0"/>
          <w:sz w:val="22"/>
          <w:szCs w:val="22"/>
          <w:lang w:val="sr-Latn-ME"/>
        </w:rPr>
        <w:t>nalazi 500 m</w:t>
      </w:r>
      <w:r w:rsidR="00624F63">
        <w:rPr>
          <w:b w:val="0"/>
          <w:sz w:val="22"/>
          <w:szCs w:val="22"/>
          <w:lang w:val="sr-Latn-ME"/>
        </w:rPr>
        <w:t>l</w:t>
      </w:r>
      <w:r w:rsidRPr="00E36C10">
        <w:rPr>
          <w:b w:val="0"/>
          <w:sz w:val="22"/>
          <w:szCs w:val="22"/>
          <w:lang w:val="sr-Latn-ME"/>
        </w:rPr>
        <w:t xml:space="preserve"> rastvora za kožu. Unutrašnje pakovanje je ujedno i spoljašnje pakovanje l</w:t>
      </w:r>
      <w:r>
        <w:rPr>
          <w:b w:val="0"/>
          <w:sz w:val="22"/>
          <w:szCs w:val="22"/>
          <w:lang w:val="sr-Latn-ME"/>
        </w:rPr>
        <w:t>ij</w:t>
      </w:r>
      <w:r w:rsidRPr="00E36C10">
        <w:rPr>
          <w:b w:val="0"/>
          <w:sz w:val="22"/>
          <w:szCs w:val="22"/>
          <w:lang w:val="sr-Latn-ME"/>
        </w:rPr>
        <w:t>eka. Na bocu je zakačena plastična kesica sa Uputstvom za l</w:t>
      </w:r>
      <w:r>
        <w:rPr>
          <w:b w:val="0"/>
          <w:sz w:val="22"/>
          <w:szCs w:val="22"/>
          <w:lang w:val="sr-Latn-ME"/>
        </w:rPr>
        <w:t>ij</w:t>
      </w:r>
      <w:r w:rsidRPr="00E36C10">
        <w:rPr>
          <w:b w:val="0"/>
          <w:sz w:val="22"/>
          <w:szCs w:val="22"/>
          <w:lang w:val="sr-Latn-ME"/>
        </w:rPr>
        <w:t>ek</w:t>
      </w:r>
      <w:r w:rsidR="00247D44" w:rsidRPr="00E36C10">
        <w:rPr>
          <w:b w:val="0"/>
          <w:sz w:val="22"/>
          <w:szCs w:val="22"/>
          <w:lang w:val="sr-Latn-ME"/>
        </w:rPr>
        <w:t>.</w:t>
      </w:r>
    </w:p>
    <w:p w14:paraId="360501B4" w14:textId="77777777" w:rsidR="00CE09F3" w:rsidRPr="00E36C10" w:rsidRDefault="00CE09F3" w:rsidP="0053024A">
      <w:pPr>
        <w:rPr>
          <w:b/>
          <w:bCs/>
          <w:szCs w:val="22"/>
          <w:lang w:val="sr-Latn-ME"/>
        </w:rPr>
      </w:pPr>
      <w:r w:rsidRPr="00E36C10">
        <w:rPr>
          <w:b/>
          <w:bCs/>
          <w:szCs w:val="22"/>
          <w:lang w:val="sr-Latn-ME"/>
        </w:rPr>
        <w:lastRenderedPageBreak/>
        <w:t>6.6. Posebne m</w:t>
      </w:r>
      <w:r w:rsidR="00733B15" w:rsidRPr="00E36C10">
        <w:rPr>
          <w:b/>
          <w:bCs/>
          <w:szCs w:val="22"/>
          <w:lang w:val="sr-Latn-ME"/>
        </w:rPr>
        <w:t>j</w:t>
      </w:r>
      <w:r w:rsidRPr="00E36C10">
        <w:rPr>
          <w:b/>
          <w:bCs/>
          <w:szCs w:val="22"/>
          <w:lang w:val="sr-Latn-ME"/>
        </w:rPr>
        <w:t>ere opreza pri odlaganju materijala koji treba odbaciti nakon prim</w:t>
      </w:r>
      <w:r w:rsidR="00733B15" w:rsidRPr="00E36C10">
        <w:rPr>
          <w:b/>
          <w:bCs/>
          <w:szCs w:val="22"/>
          <w:lang w:val="sr-Latn-ME"/>
        </w:rPr>
        <w:t>j</w:t>
      </w:r>
      <w:r w:rsidRPr="00E36C10">
        <w:rPr>
          <w:b/>
          <w:bCs/>
          <w:szCs w:val="22"/>
          <w:lang w:val="sr-Latn-ME"/>
        </w:rPr>
        <w:t xml:space="preserve">ene </w:t>
      </w:r>
      <w:r w:rsidR="002E7E8B" w:rsidRPr="00E36C10">
        <w:rPr>
          <w:b/>
          <w:bCs/>
          <w:szCs w:val="22"/>
          <w:lang w:val="sr-Latn-ME"/>
        </w:rPr>
        <w:t xml:space="preserve">lijeka </w:t>
      </w:r>
      <w:r w:rsidRPr="00E36C10">
        <w:rPr>
          <w:b/>
          <w:bCs/>
          <w:szCs w:val="22"/>
          <w:lang w:val="sr-Latn-ME"/>
        </w:rPr>
        <w:t>(i druga uputstva za rukovanje l</w:t>
      </w:r>
      <w:r w:rsidR="00733B15" w:rsidRPr="00E36C10">
        <w:rPr>
          <w:b/>
          <w:bCs/>
          <w:szCs w:val="22"/>
          <w:lang w:val="sr-Latn-ME"/>
        </w:rPr>
        <w:t>ij</w:t>
      </w:r>
      <w:r w:rsidRPr="00E36C10">
        <w:rPr>
          <w:b/>
          <w:bCs/>
          <w:szCs w:val="22"/>
          <w:lang w:val="sr-Latn-ME"/>
        </w:rPr>
        <w:t>ekom)</w:t>
      </w:r>
    </w:p>
    <w:p w14:paraId="791F2E0E" w14:textId="77777777" w:rsidR="00214B4C" w:rsidRPr="00E36C10" w:rsidRDefault="00214B4C" w:rsidP="0053024A">
      <w:pPr>
        <w:rPr>
          <w:b/>
          <w:bCs/>
          <w:szCs w:val="22"/>
          <w:lang w:val="sr-Latn-ME"/>
        </w:rPr>
      </w:pPr>
    </w:p>
    <w:p w14:paraId="3C36BCDB" w14:textId="77777777" w:rsidR="00214B4C" w:rsidRPr="00E36C10" w:rsidRDefault="00214B4C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 xml:space="preserve">Svu neiskorišćenu količinu </w:t>
      </w:r>
      <w:r w:rsidR="002E7E8B" w:rsidRPr="00E36C10">
        <w:rPr>
          <w:szCs w:val="22"/>
          <w:lang w:val="sr-Latn-ME"/>
        </w:rPr>
        <w:t xml:space="preserve">lijeka </w:t>
      </w:r>
      <w:r w:rsidRPr="00E36C10">
        <w:rPr>
          <w:szCs w:val="22"/>
          <w:lang w:val="sr-Latn-ME"/>
        </w:rPr>
        <w:t>ili otpadnog materijala nakon njegove upotrebe treba ukloniti u skladu sa važećim propisima.</w:t>
      </w:r>
    </w:p>
    <w:p w14:paraId="1AF7FB72" w14:textId="77777777" w:rsidR="00CE09F3" w:rsidRPr="00E36C10" w:rsidRDefault="00CE09F3" w:rsidP="0053024A">
      <w:pPr>
        <w:rPr>
          <w:szCs w:val="22"/>
          <w:lang w:val="sr-Latn-ME"/>
        </w:rPr>
      </w:pPr>
    </w:p>
    <w:p w14:paraId="36760EBE" w14:textId="77777777" w:rsidR="0053024A" w:rsidRPr="00E36C10" w:rsidRDefault="0053024A" w:rsidP="0053024A">
      <w:pPr>
        <w:rPr>
          <w:szCs w:val="22"/>
          <w:lang w:val="sr-Latn-ME"/>
        </w:rPr>
      </w:pPr>
    </w:p>
    <w:p w14:paraId="6A20700E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 xml:space="preserve">7. NOSILAC DOZVOLE </w:t>
      </w:r>
    </w:p>
    <w:p w14:paraId="7977AB8A" w14:textId="77777777" w:rsidR="0053024A" w:rsidRPr="00E36C10" w:rsidRDefault="0053024A" w:rsidP="0053024A">
      <w:pPr>
        <w:tabs>
          <w:tab w:val="left" w:pos="1080"/>
        </w:tabs>
        <w:rPr>
          <w:szCs w:val="22"/>
          <w:lang w:val="sr-Latn-ME"/>
        </w:rPr>
      </w:pPr>
    </w:p>
    <w:p w14:paraId="7EFCC0E5" w14:textId="77777777" w:rsidR="00733B15" w:rsidRPr="00E36C10" w:rsidRDefault="00733B15" w:rsidP="0053024A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Hemofarm</w:t>
      </w:r>
      <w:r w:rsidR="00214B4C" w:rsidRPr="00E36C10">
        <w:rPr>
          <w:szCs w:val="22"/>
          <w:lang w:val="sr-Latn-ME"/>
        </w:rPr>
        <w:t xml:space="preserve"> AD V</w:t>
      </w:r>
      <w:r w:rsidRPr="00E36C10">
        <w:rPr>
          <w:szCs w:val="22"/>
          <w:lang w:val="sr-Latn-ME"/>
        </w:rPr>
        <w:t>ršac PJ Podgorica</w:t>
      </w:r>
    </w:p>
    <w:p w14:paraId="41810375" w14:textId="77777777" w:rsidR="00CE09F3" w:rsidRPr="00E36C10" w:rsidRDefault="00733B15" w:rsidP="0053024A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8 marta 55A, Podgorica, Crna Gora</w:t>
      </w:r>
    </w:p>
    <w:p w14:paraId="0D6E797F" w14:textId="77777777" w:rsidR="00733B15" w:rsidRPr="00E36C10" w:rsidRDefault="00733B15" w:rsidP="0053024A">
      <w:pPr>
        <w:rPr>
          <w:szCs w:val="22"/>
          <w:lang w:val="sr-Latn-ME"/>
        </w:rPr>
      </w:pPr>
    </w:p>
    <w:p w14:paraId="6237B661" w14:textId="77777777" w:rsidR="0053024A" w:rsidRPr="00E36C10" w:rsidRDefault="0053024A" w:rsidP="0053024A">
      <w:pPr>
        <w:rPr>
          <w:szCs w:val="22"/>
          <w:lang w:val="sr-Latn-ME"/>
        </w:rPr>
      </w:pPr>
    </w:p>
    <w:p w14:paraId="0E5C9EC1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 xml:space="preserve">8. </w:t>
      </w:r>
      <w:r w:rsidR="00214B4C" w:rsidRPr="00E36C10">
        <w:rPr>
          <w:lang w:val="sr-Latn-ME"/>
        </w:rPr>
        <w:t>BROJ DOZVOL</w:t>
      </w:r>
      <w:r w:rsidR="00733B15" w:rsidRPr="00E36C10">
        <w:rPr>
          <w:lang w:val="sr-Latn-ME"/>
        </w:rPr>
        <w:t>E</w:t>
      </w:r>
      <w:r w:rsidRPr="00E36C10">
        <w:rPr>
          <w:lang w:val="sr-Latn-ME"/>
        </w:rPr>
        <w:t xml:space="preserve"> ZA STAVLJANJE </w:t>
      </w:r>
      <w:r w:rsidR="002E7E8B" w:rsidRPr="00E36C10">
        <w:rPr>
          <w:lang w:val="sr-Latn-ME"/>
        </w:rPr>
        <w:t xml:space="preserve">LIJEKA </w:t>
      </w:r>
      <w:r w:rsidRPr="00E36C10">
        <w:rPr>
          <w:lang w:val="sr-Latn-ME"/>
        </w:rPr>
        <w:t>U PROMET</w:t>
      </w:r>
    </w:p>
    <w:p w14:paraId="1242FABA" w14:textId="77777777" w:rsidR="0053024A" w:rsidRPr="00E36C10" w:rsidRDefault="0053024A" w:rsidP="0053024A">
      <w:pPr>
        <w:pStyle w:val="Regular"/>
        <w:rPr>
          <w:b w:val="0"/>
          <w:sz w:val="22"/>
          <w:szCs w:val="22"/>
          <w:lang w:val="sr-Latn-ME"/>
        </w:rPr>
      </w:pPr>
    </w:p>
    <w:p w14:paraId="2E997648" w14:textId="77777777" w:rsidR="00214B4C" w:rsidRPr="00E36C10" w:rsidRDefault="00733B15" w:rsidP="0053024A">
      <w:pPr>
        <w:autoSpaceDE w:val="0"/>
        <w:autoSpaceDN w:val="0"/>
        <w:adjustRightInd w:val="0"/>
        <w:rPr>
          <w:szCs w:val="22"/>
          <w:lang w:val="sr-Latn-ME" w:eastAsia="x-none"/>
        </w:rPr>
      </w:pPr>
      <w:r w:rsidRPr="00E36C10">
        <w:rPr>
          <w:szCs w:val="22"/>
          <w:lang w:val="sr-Latn-ME" w:eastAsia="x-none"/>
        </w:rPr>
        <w:t>2030/14/115 – 1289</w:t>
      </w:r>
    </w:p>
    <w:p w14:paraId="505B7149" w14:textId="77777777" w:rsidR="00733B15" w:rsidRPr="00E36C10" w:rsidRDefault="00733B15" w:rsidP="0053024A">
      <w:pPr>
        <w:autoSpaceDE w:val="0"/>
        <w:autoSpaceDN w:val="0"/>
        <w:adjustRightInd w:val="0"/>
        <w:rPr>
          <w:szCs w:val="22"/>
          <w:lang w:val="sr-Latn-ME"/>
        </w:rPr>
      </w:pPr>
    </w:p>
    <w:p w14:paraId="5F15E226" w14:textId="77777777" w:rsidR="0053024A" w:rsidRPr="00E36C10" w:rsidRDefault="0053024A" w:rsidP="0053024A">
      <w:pPr>
        <w:autoSpaceDE w:val="0"/>
        <w:autoSpaceDN w:val="0"/>
        <w:adjustRightInd w:val="0"/>
        <w:rPr>
          <w:szCs w:val="22"/>
          <w:lang w:val="sr-Latn-ME"/>
        </w:rPr>
      </w:pPr>
    </w:p>
    <w:p w14:paraId="6591A378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9. DATUM PRVE DOZVOLE</w:t>
      </w:r>
      <w:r w:rsidR="00733B15" w:rsidRPr="00E36C10">
        <w:rPr>
          <w:lang w:val="sr-Latn-ME"/>
        </w:rPr>
        <w:t>/</w:t>
      </w:r>
      <w:r w:rsidRPr="00E36C10">
        <w:rPr>
          <w:lang w:val="sr-Latn-ME"/>
        </w:rPr>
        <w:t xml:space="preserve">OBNOVE DOZVOLE ZA STAVLJANJE </w:t>
      </w:r>
      <w:r w:rsidR="002E7E8B" w:rsidRPr="00E36C10">
        <w:rPr>
          <w:lang w:val="sr-Latn-ME"/>
        </w:rPr>
        <w:t xml:space="preserve">LIJEKA </w:t>
      </w:r>
      <w:r w:rsidRPr="00E36C10">
        <w:rPr>
          <w:lang w:val="sr-Latn-ME"/>
        </w:rPr>
        <w:t>U PROMET</w:t>
      </w:r>
    </w:p>
    <w:p w14:paraId="1F39205E" w14:textId="77777777" w:rsidR="0053024A" w:rsidRPr="00E36C10" w:rsidRDefault="0053024A" w:rsidP="0053024A">
      <w:pPr>
        <w:autoSpaceDE w:val="0"/>
        <w:autoSpaceDN w:val="0"/>
        <w:adjustRightInd w:val="0"/>
        <w:rPr>
          <w:szCs w:val="22"/>
          <w:lang w:val="sr-Latn-ME"/>
        </w:rPr>
      </w:pPr>
    </w:p>
    <w:p w14:paraId="6D9B6D98" w14:textId="77777777" w:rsidR="0005798D" w:rsidRPr="00E36C10" w:rsidRDefault="0005798D" w:rsidP="0053024A">
      <w:pPr>
        <w:autoSpaceDE w:val="0"/>
        <w:autoSpaceDN w:val="0"/>
        <w:adjustRightInd w:val="0"/>
        <w:rPr>
          <w:szCs w:val="22"/>
          <w:lang w:val="sr-Latn-ME"/>
        </w:rPr>
      </w:pPr>
      <w:r w:rsidRPr="00E36C10">
        <w:rPr>
          <w:szCs w:val="22"/>
          <w:lang w:val="sr-Latn-ME"/>
        </w:rPr>
        <w:t>Datum prve dozvole:</w:t>
      </w:r>
      <w:r w:rsidR="00444F01" w:rsidRPr="00E36C10">
        <w:rPr>
          <w:szCs w:val="22"/>
          <w:lang w:val="sr-Latn-ME"/>
        </w:rPr>
        <w:t xml:space="preserve"> 14.02.2014. godine</w:t>
      </w:r>
    </w:p>
    <w:p w14:paraId="64C987C7" w14:textId="77777777" w:rsidR="00C31452" w:rsidRPr="00E36C10" w:rsidRDefault="00C31452" w:rsidP="0053024A">
      <w:pPr>
        <w:autoSpaceDE w:val="0"/>
        <w:autoSpaceDN w:val="0"/>
        <w:adjustRightInd w:val="0"/>
        <w:rPr>
          <w:szCs w:val="22"/>
          <w:lang w:val="sr-Latn-ME"/>
        </w:rPr>
      </w:pPr>
    </w:p>
    <w:p w14:paraId="226AC66B" w14:textId="77777777" w:rsidR="0053024A" w:rsidRPr="00E36C10" w:rsidRDefault="0053024A" w:rsidP="0053024A">
      <w:pPr>
        <w:autoSpaceDE w:val="0"/>
        <w:autoSpaceDN w:val="0"/>
        <w:adjustRightInd w:val="0"/>
        <w:rPr>
          <w:szCs w:val="22"/>
          <w:lang w:val="sr-Latn-ME"/>
        </w:rPr>
      </w:pPr>
    </w:p>
    <w:p w14:paraId="754ACAA3" w14:textId="77777777" w:rsidR="00CE09F3" w:rsidRPr="00E36C10" w:rsidRDefault="00CE09F3" w:rsidP="0053024A">
      <w:pPr>
        <w:pStyle w:val="NASLOV123"/>
        <w:spacing w:before="0" w:after="0"/>
        <w:jc w:val="both"/>
        <w:rPr>
          <w:lang w:val="sr-Latn-ME"/>
        </w:rPr>
      </w:pPr>
      <w:r w:rsidRPr="00E36C10">
        <w:rPr>
          <w:lang w:val="sr-Latn-ME"/>
        </w:rPr>
        <w:t>10. DATUM REVIZIJE TEKSTA</w:t>
      </w:r>
    </w:p>
    <w:p w14:paraId="514CD244" w14:textId="77777777" w:rsidR="0053024A" w:rsidRPr="00631F84" w:rsidRDefault="0053024A" w:rsidP="0053024A">
      <w:pPr>
        <w:rPr>
          <w:bCs/>
          <w:szCs w:val="22"/>
          <w:lang w:val="sr-Latn-ME"/>
        </w:rPr>
      </w:pPr>
    </w:p>
    <w:p w14:paraId="1690FE9B" w14:textId="135602AA" w:rsidR="004D230F" w:rsidRPr="00631F84" w:rsidRDefault="00631F84" w:rsidP="0053024A">
      <w:pPr>
        <w:pStyle w:val="NASLOV123"/>
        <w:spacing w:before="0" w:after="0"/>
        <w:jc w:val="both"/>
        <w:rPr>
          <w:b w:val="0"/>
          <w:lang w:val="sr-Latn-ME"/>
        </w:rPr>
      </w:pPr>
      <w:r w:rsidRPr="00631F84">
        <w:rPr>
          <w:b w:val="0"/>
          <w:lang w:val="sr-Latn-ME"/>
        </w:rPr>
        <w:t>Jun, 2025. godine</w:t>
      </w:r>
    </w:p>
    <w:p w14:paraId="53843249" w14:textId="77777777" w:rsidR="00923865" w:rsidRPr="00E36C10" w:rsidRDefault="00923865" w:rsidP="0053024A">
      <w:pPr>
        <w:rPr>
          <w:bCs/>
          <w:szCs w:val="22"/>
          <w:lang w:val="sr-Latn-ME"/>
        </w:rPr>
      </w:pPr>
    </w:p>
    <w:sectPr w:rsidR="00923865" w:rsidRPr="00E36C10" w:rsidSect="007A3F29">
      <w:footerReference w:type="even" r:id="rId15"/>
      <w:footerReference w:type="default" r:id="rId16"/>
      <w:pgSz w:w="11907" w:h="16840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97FF4" w14:textId="77777777" w:rsidR="00184798" w:rsidRDefault="00184798">
      <w:r>
        <w:separator/>
      </w:r>
    </w:p>
  </w:endnote>
  <w:endnote w:type="continuationSeparator" w:id="0">
    <w:p w14:paraId="54D7FACB" w14:textId="77777777" w:rsidR="00184798" w:rsidRDefault="0018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FC4F" w14:textId="77777777" w:rsidR="00C65706" w:rsidRDefault="00177D7C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7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E67">
      <w:rPr>
        <w:rStyle w:val="PageNumber"/>
        <w:noProof/>
      </w:rPr>
      <w:t>8</w:t>
    </w:r>
    <w:r>
      <w:rPr>
        <w:rStyle w:val="PageNumber"/>
      </w:rPr>
      <w:fldChar w:fldCharType="end"/>
    </w:r>
  </w:p>
  <w:p w14:paraId="79595F4D" w14:textId="77777777" w:rsidR="00C65706" w:rsidRDefault="00C657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C470" w14:textId="732FAA7D" w:rsidR="00C65706" w:rsidRPr="002E7E8B" w:rsidRDefault="00177D7C" w:rsidP="0053024A">
    <w:pPr>
      <w:pStyle w:val="Footer"/>
      <w:tabs>
        <w:tab w:val="left" w:pos="5448"/>
      </w:tabs>
      <w:jc w:val="center"/>
      <w:rPr>
        <w:sz w:val="28"/>
        <w:szCs w:val="32"/>
      </w:rPr>
    </w:pPr>
    <w:r w:rsidRPr="002E7E8B">
      <w:rPr>
        <w:szCs w:val="22"/>
      </w:rPr>
      <w:fldChar w:fldCharType="begin"/>
    </w:r>
    <w:r w:rsidR="00C65706" w:rsidRPr="002E7E8B">
      <w:rPr>
        <w:szCs w:val="22"/>
      </w:rPr>
      <w:instrText xml:space="preserve"> PAGE </w:instrText>
    </w:r>
    <w:r w:rsidRPr="002E7E8B">
      <w:rPr>
        <w:szCs w:val="22"/>
      </w:rPr>
      <w:fldChar w:fldCharType="separate"/>
    </w:r>
    <w:r w:rsidR="008A0C99">
      <w:rPr>
        <w:noProof/>
        <w:szCs w:val="22"/>
      </w:rPr>
      <w:t>8</w:t>
    </w:r>
    <w:r w:rsidRPr="002E7E8B">
      <w:rPr>
        <w:szCs w:val="22"/>
      </w:rPr>
      <w:fldChar w:fldCharType="end"/>
    </w:r>
    <w:r w:rsidR="00C65706" w:rsidRPr="002E7E8B">
      <w:rPr>
        <w:szCs w:val="22"/>
      </w:rPr>
      <w:t xml:space="preserve"> </w:t>
    </w:r>
    <w:r w:rsidR="002E7E8B" w:rsidRPr="002E7E8B">
      <w:rPr>
        <w:szCs w:val="22"/>
      </w:rPr>
      <w:t>/</w:t>
    </w:r>
    <w:r w:rsidR="00C65706" w:rsidRPr="002E7E8B">
      <w:rPr>
        <w:szCs w:val="22"/>
      </w:rPr>
      <w:t xml:space="preserve"> </w:t>
    </w:r>
    <w:r w:rsidRPr="002E7E8B">
      <w:rPr>
        <w:szCs w:val="22"/>
      </w:rPr>
      <w:fldChar w:fldCharType="begin"/>
    </w:r>
    <w:r w:rsidR="00C65706" w:rsidRPr="002E7E8B">
      <w:rPr>
        <w:szCs w:val="22"/>
      </w:rPr>
      <w:instrText xml:space="preserve"> NUMPAGES  </w:instrText>
    </w:r>
    <w:r w:rsidRPr="002E7E8B">
      <w:rPr>
        <w:szCs w:val="22"/>
      </w:rPr>
      <w:fldChar w:fldCharType="separate"/>
    </w:r>
    <w:r w:rsidR="008A0C99">
      <w:rPr>
        <w:noProof/>
        <w:szCs w:val="22"/>
      </w:rPr>
      <w:t>8</w:t>
    </w:r>
    <w:r w:rsidRPr="002E7E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46A0A" w14:textId="77777777" w:rsidR="00184798" w:rsidRDefault="00184798">
      <w:r>
        <w:separator/>
      </w:r>
    </w:p>
  </w:footnote>
  <w:footnote w:type="continuationSeparator" w:id="0">
    <w:p w14:paraId="54265F57" w14:textId="77777777" w:rsidR="00184798" w:rsidRDefault="0018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DF92D84"/>
    <w:multiLevelType w:val="hybridMultilevel"/>
    <w:tmpl w:val="A222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32200C4"/>
    <w:multiLevelType w:val="hybridMultilevel"/>
    <w:tmpl w:val="3F9C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242B"/>
    <w:multiLevelType w:val="hybridMultilevel"/>
    <w:tmpl w:val="272E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305C3"/>
    <w:multiLevelType w:val="hybridMultilevel"/>
    <w:tmpl w:val="7B08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3814"/>
    <w:multiLevelType w:val="hybridMultilevel"/>
    <w:tmpl w:val="FC526D16"/>
    <w:lvl w:ilvl="0" w:tplc="177EB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E5FC3"/>
    <w:multiLevelType w:val="hybridMultilevel"/>
    <w:tmpl w:val="1CD8D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CF817EF"/>
    <w:multiLevelType w:val="hybridMultilevel"/>
    <w:tmpl w:val="B07645C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6DA"/>
    <w:rsid w:val="0000045A"/>
    <w:rsid w:val="000047B7"/>
    <w:rsid w:val="00015F23"/>
    <w:rsid w:val="00017801"/>
    <w:rsid w:val="0001795B"/>
    <w:rsid w:val="00036FFE"/>
    <w:rsid w:val="000371A8"/>
    <w:rsid w:val="0004184D"/>
    <w:rsid w:val="0005798D"/>
    <w:rsid w:val="00064273"/>
    <w:rsid w:val="000648FF"/>
    <w:rsid w:val="000659C7"/>
    <w:rsid w:val="000827A4"/>
    <w:rsid w:val="00083BE0"/>
    <w:rsid w:val="00085DA1"/>
    <w:rsid w:val="00086CEA"/>
    <w:rsid w:val="0009335C"/>
    <w:rsid w:val="00095FB6"/>
    <w:rsid w:val="0009758B"/>
    <w:rsid w:val="000A0F4A"/>
    <w:rsid w:val="000B2780"/>
    <w:rsid w:val="000C324A"/>
    <w:rsid w:val="000C5B36"/>
    <w:rsid w:val="000D5631"/>
    <w:rsid w:val="000E75C0"/>
    <w:rsid w:val="000F2AB6"/>
    <w:rsid w:val="000F73CB"/>
    <w:rsid w:val="00103CD3"/>
    <w:rsid w:val="00105C66"/>
    <w:rsid w:val="00106505"/>
    <w:rsid w:val="00125F11"/>
    <w:rsid w:val="001407AA"/>
    <w:rsid w:val="00141639"/>
    <w:rsid w:val="0014180A"/>
    <w:rsid w:val="00153C51"/>
    <w:rsid w:val="00163AC4"/>
    <w:rsid w:val="00173D18"/>
    <w:rsid w:val="00175772"/>
    <w:rsid w:val="00175A7E"/>
    <w:rsid w:val="00177D7C"/>
    <w:rsid w:val="00180EFE"/>
    <w:rsid w:val="00184798"/>
    <w:rsid w:val="0018601D"/>
    <w:rsid w:val="00190156"/>
    <w:rsid w:val="001911D6"/>
    <w:rsid w:val="001919D7"/>
    <w:rsid w:val="001974D2"/>
    <w:rsid w:val="001B4076"/>
    <w:rsid w:val="001B706A"/>
    <w:rsid w:val="001C262F"/>
    <w:rsid w:val="001D10C9"/>
    <w:rsid w:val="001D3B4B"/>
    <w:rsid w:val="001E0A07"/>
    <w:rsid w:val="001E580E"/>
    <w:rsid w:val="001E6145"/>
    <w:rsid w:val="001E6972"/>
    <w:rsid w:val="001F2D4E"/>
    <w:rsid w:val="001F39B6"/>
    <w:rsid w:val="00200181"/>
    <w:rsid w:val="00202C74"/>
    <w:rsid w:val="002039D5"/>
    <w:rsid w:val="00214B4C"/>
    <w:rsid w:val="0022218E"/>
    <w:rsid w:val="0022223A"/>
    <w:rsid w:val="0022683E"/>
    <w:rsid w:val="0024132F"/>
    <w:rsid w:val="00242DCD"/>
    <w:rsid w:val="00247C5C"/>
    <w:rsid w:val="00247D44"/>
    <w:rsid w:val="00251D1B"/>
    <w:rsid w:val="00273BE0"/>
    <w:rsid w:val="00276CF5"/>
    <w:rsid w:val="002A5206"/>
    <w:rsid w:val="002B5231"/>
    <w:rsid w:val="002B6F6A"/>
    <w:rsid w:val="002C0FBF"/>
    <w:rsid w:val="002C37AA"/>
    <w:rsid w:val="002D46F6"/>
    <w:rsid w:val="002D6B1B"/>
    <w:rsid w:val="002D71D4"/>
    <w:rsid w:val="002E7E8B"/>
    <w:rsid w:val="002F5E2F"/>
    <w:rsid w:val="00316675"/>
    <w:rsid w:val="00316B35"/>
    <w:rsid w:val="00316FC0"/>
    <w:rsid w:val="003407B6"/>
    <w:rsid w:val="003452C0"/>
    <w:rsid w:val="003510E4"/>
    <w:rsid w:val="00354E58"/>
    <w:rsid w:val="00361B0A"/>
    <w:rsid w:val="003814E3"/>
    <w:rsid w:val="00383195"/>
    <w:rsid w:val="00385564"/>
    <w:rsid w:val="00391725"/>
    <w:rsid w:val="003A2DF8"/>
    <w:rsid w:val="003A7436"/>
    <w:rsid w:val="003B17CA"/>
    <w:rsid w:val="003B2082"/>
    <w:rsid w:val="003C18A4"/>
    <w:rsid w:val="003E3EC7"/>
    <w:rsid w:val="003E68B1"/>
    <w:rsid w:val="003F52F0"/>
    <w:rsid w:val="003F6185"/>
    <w:rsid w:val="004123CD"/>
    <w:rsid w:val="00415499"/>
    <w:rsid w:val="004234ED"/>
    <w:rsid w:val="0042375C"/>
    <w:rsid w:val="00427D41"/>
    <w:rsid w:val="0043342A"/>
    <w:rsid w:val="004348AD"/>
    <w:rsid w:val="00444F01"/>
    <w:rsid w:val="0044606E"/>
    <w:rsid w:val="0046209F"/>
    <w:rsid w:val="0046253B"/>
    <w:rsid w:val="00462C33"/>
    <w:rsid w:val="0047786D"/>
    <w:rsid w:val="0048567F"/>
    <w:rsid w:val="00492248"/>
    <w:rsid w:val="004951FF"/>
    <w:rsid w:val="00497648"/>
    <w:rsid w:val="004B212D"/>
    <w:rsid w:val="004B5A11"/>
    <w:rsid w:val="004B7A50"/>
    <w:rsid w:val="004C6D54"/>
    <w:rsid w:val="004C79EA"/>
    <w:rsid w:val="004D230F"/>
    <w:rsid w:val="004F3380"/>
    <w:rsid w:val="00501D21"/>
    <w:rsid w:val="00503974"/>
    <w:rsid w:val="00520434"/>
    <w:rsid w:val="0052230B"/>
    <w:rsid w:val="00525A8A"/>
    <w:rsid w:val="005276F0"/>
    <w:rsid w:val="0053024A"/>
    <w:rsid w:val="0053035D"/>
    <w:rsid w:val="00530909"/>
    <w:rsid w:val="00534279"/>
    <w:rsid w:val="005354CE"/>
    <w:rsid w:val="005555AB"/>
    <w:rsid w:val="0055583E"/>
    <w:rsid w:val="0055680E"/>
    <w:rsid w:val="00560634"/>
    <w:rsid w:val="00563FA2"/>
    <w:rsid w:val="005700AE"/>
    <w:rsid w:val="0057260C"/>
    <w:rsid w:val="005B3388"/>
    <w:rsid w:val="005C3F73"/>
    <w:rsid w:val="005C7891"/>
    <w:rsid w:val="00603302"/>
    <w:rsid w:val="00604E4F"/>
    <w:rsid w:val="006054EE"/>
    <w:rsid w:val="006118B6"/>
    <w:rsid w:val="00624F63"/>
    <w:rsid w:val="006256EA"/>
    <w:rsid w:val="006270C0"/>
    <w:rsid w:val="00630195"/>
    <w:rsid w:val="00631F84"/>
    <w:rsid w:val="00632C52"/>
    <w:rsid w:val="00642F8B"/>
    <w:rsid w:val="00645439"/>
    <w:rsid w:val="006559AF"/>
    <w:rsid w:val="00660ED5"/>
    <w:rsid w:val="00687AA9"/>
    <w:rsid w:val="00693874"/>
    <w:rsid w:val="00693F46"/>
    <w:rsid w:val="006A0D49"/>
    <w:rsid w:val="006A78C8"/>
    <w:rsid w:val="006C66D5"/>
    <w:rsid w:val="006E0BB5"/>
    <w:rsid w:val="006E4A6E"/>
    <w:rsid w:val="006F0E37"/>
    <w:rsid w:val="006F158F"/>
    <w:rsid w:val="00721BC1"/>
    <w:rsid w:val="0072778A"/>
    <w:rsid w:val="00733B15"/>
    <w:rsid w:val="00740799"/>
    <w:rsid w:val="00764648"/>
    <w:rsid w:val="007672F3"/>
    <w:rsid w:val="00767CE0"/>
    <w:rsid w:val="007759F9"/>
    <w:rsid w:val="007968B2"/>
    <w:rsid w:val="007A3F29"/>
    <w:rsid w:val="007A619B"/>
    <w:rsid w:val="007B16C4"/>
    <w:rsid w:val="007B2DED"/>
    <w:rsid w:val="007B317F"/>
    <w:rsid w:val="007B74EE"/>
    <w:rsid w:val="007C2D7E"/>
    <w:rsid w:val="007C560D"/>
    <w:rsid w:val="007D17FD"/>
    <w:rsid w:val="007D48C5"/>
    <w:rsid w:val="007E06F0"/>
    <w:rsid w:val="007E5F16"/>
    <w:rsid w:val="007F4AEF"/>
    <w:rsid w:val="00802DFC"/>
    <w:rsid w:val="00810310"/>
    <w:rsid w:val="00814781"/>
    <w:rsid w:val="00814D76"/>
    <w:rsid w:val="00832C8D"/>
    <w:rsid w:val="00833A3F"/>
    <w:rsid w:val="00834DBB"/>
    <w:rsid w:val="0083746C"/>
    <w:rsid w:val="0083791C"/>
    <w:rsid w:val="00842A35"/>
    <w:rsid w:val="00842FFB"/>
    <w:rsid w:val="0086351A"/>
    <w:rsid w:val="0087090B"/>
    <w:rsid w:val="00874B61"/>
    <w:rsid w:val="008832B9"/>
    <w:rsid w:val="00894679"/>
    <w:rsid w:val="008A0C99"/>
    <w:rsid w:val="008A4803"/>
    <w:rsid w:val="008A48B7"/>
    <w:rsid w:val="008B3EB5"/>
    <w:rsid w:val="008B415C"/>
    <w:rsid w:val="008B611C"/>
    <w:rsid w:val="008B75EE"/>
    <w:rsid w:val="008C5809"/>
    <w:rsid w:val="008D78C9"/>
    <w:rsid w:val="008E0FC9"/>
    <w:rsid w:val="008E1465"/>
    <w:rsid w:val="008E7CAB"/>
    <w:rsid w:val="008E7F89"/>
    <w:rsid w:val="009038B7"/>
    <w:rsid w:val="00913684"/>
    <w:rsid w:val="00923865"/>
    <w:rsid w:val="0093016E"/>
    <w:rsid w:val="00932946"/>
    <w:rsid w:val="00934B4D"/>
    <w:rsid w:val="009434A9"/>
    <w:rsid w:val="009434FC"/>
    <w:rsid w:val="00955C75"/>
    <w:rsid w:val="00966BDD"/>
    <w:rsid w:val="00966D79"/>
    <w:rsid w:val="009677DF"/>
    <w:rsid w:val="00977DD3"/>
    <w:rsid w:val="00985B3C"/>
    <w:rsid w:val="0098753B"/>
    <w:rsid w:val="00993B43"/>
    <w:rsid w:val="009946F8"/>
    <w:rsid w:val="00995477"/>
    <w:rsid w:val="00995795"/>
    <w:rsid w:val="00996E6B"/>
    <w:rsid w:val="009A1D64"/>
    <w:rsid w:val="009B1292"/>
    <w:rsid w:val="009B2430"/>
    <w:rsid w:val="009B2668"/>
    <w:rsid w:val="009B338B"/>
    <w:rsid w:val="009B58AD"/>
    <w:rsid w:val="009B7935"/>
    <w:rsid w:val="009C19FB"/>
    <w:rsid w:val="009C7BA2"/>
    <w:rsid w:val="009D1161"/>
    <w:rsid w:val="009D667B"/>
    <w:rsid w:val="009D72B0"/>
    <w:rsid w:val="009F3E0D"/>
    <w:rsid w:val="009F4449"/>
    <w:rsid w:val="009F4C02"/>
    <w:rsid w:val="00A0117D"/>
    <w:rsid w:val="00A02252"/>
    <w:rsid w:val="00A04B52"/>
    <w:rsid w:val="00A06F4C"/>
    <w:rsid w:val="00A127F1"/>
    <w:rsid w:val="00A14943"/>
    <w:rsid w:val="00A161E9"/>
    <w:rsid w:val="00A2018F"/>
    <w:rsid w:val="00A27130"/>
    <w:rsid w:val="00A31D83"/>
    <w:rsid w:val="00A36843"/>
    <w:rsid w:val="00A40711"/>
    <w:rsid w:val="00A6620B"/>
    <w:rsid w:val="00A7147C"/>
    <w:rsid w:val="00A757C4"/>
    <w:rsid w:val="00A7660B"/>
    <w:rsid w:val="00A86897"/>
    <w:rsid w:val="00A95733"/>
    <w:rsid w:val="00AB5465"/>
    <w:rsid w:val="00AC032E"/>
    <w:rsid w:val="00AD7BC1"/>
    <w:rsid w:val="00AE7985"/>
    <w:rsid w:val="00B02284"/>
    <w:rsid w:val="00B26FAC"/>
    <w:rsid w:val="00B31AA2"/>
    <w:rsid w:val="00B40AE2"/>
    <w:rsid w:val="00B41B17"/>
    <w:rsid w:val="00B42F96"/>
    <w:rsid w:val="00B44BEE"/>
    <w:rsid w:val="00B70923"/>
    <w:rsid w:val="00B74C0B"/>
    <w:rsid w:val="00B8400D"/>
    <w:rsid w:val="00B85369"/>
    <w:rsid w:val="00B93A37"/>
    <w:rsid w:val="00B971C8"/>
    <w:rsid w:val="00BA1819"/>
    <w:rsid w:val="00BA5A22"/>
    <w:rsid w:val="00BB55E5"/>
    <w:rsid w:val="00BD725A"/>
    <w:rsid w:val="00BF3750"/>
    <w:rsid w:val="00C06244"/>
    <w:rsid w:val="00C274AD"/>
    <w:rsid w:val="00C31452"/>
    <w:rsid w:val="00C342AE"/>
    <w:rsid w:val="00C528EF"/>
    <w:rsid w:val="00C536C2"/>
    <w:rsid w:val="00C55F47"/>
    <w:rsid w:val="00C56E2E"/>
    <w:rsid w:val="00C64A31"/>
    <w:rsid w:val="00C65706"/>
    <w:rsid w:val="00C82E8B"/>
    <w:rsid w:val="00CA479E"/>
    <w:rsid w:val="00CB1527"/>
    <w:rsid w:val="00CB23D0"/>
    <w:rsid w:val="00CC4C88"/>
    <w:rsid w:val="00CD0B1F"/>
    <w:rsid w:val="00CD3F96"/>
    <w:rsid w:val="00CE09F3"/>
    <w:rsid w:val="00CE2564"/>
    <w:rsid w:val="00CE5E46"/>
    <w:rsid w:val="00CE76DA"/>
    <w:rsid w:val="00CF2480"/>
    <w:rsid w:val="00D00259"/>
    <w:rsid w:val="00D05B2C"/>
    <w:rsid w:val="00D11E94"/>
    <w:rsid w:val="00D16491"/>
    <w:rsid w:val="00D26A30"/>
    <w:rsid w:val="00D27670"/>
    <w:rsid w:val="00D30389"/>
    <w:rsid w:val="00D321C4"/>
    <w:rsid w:val="00D337F6"/>
    <w:rsid w:val="00D411E7"/>
    <w:rsid w:val="00D52CDB"/>
    <w:rsid w:val="00D55C55"/>
    <w:rsid w:val="00D56D9F"/>
    <w:rsid w:val="00D61710"/>
    <w:rsid w:val="00D6611E"/>
    <w:rsid w:val="00D71232"/>
    <w:rsid w:val="00D71926"/>
    <w:rsid w:val="00D76C02"/>
    <w:rsid w:val="00D814C2"/>
    <w:rsid w:val="00D8241E"/>
    <w:rsid w:val="00D85F37"/>
    <w:rsid w:val="00D96D51"/>
    <w:rsid w:val="00D971F9"/>
    <w:rsid w:val="00DA1F1C"/>
    <w:rsid w:val="00DA60F9"/>
    <w:rsid w:val="00DB4534"/>
    <w:rsid w:val="00DB6CB9"/>
    <w:rsid w:val="00DC30A0"/>
    <w:rsid w:val="00DC59FA"/>
    <w:rsid w:val="00DD2A82"/>
    <w:rsid w:val="00DE6E67"/>
    <w:rsid w:val="00DF234E"/>
    <w:rsid w:val="00DF46E4"/>
    <w:rsid w:val="00E03828"/>
    <w:rsid w:val="00E04856"/>
    <w:rsid w:val="00E24E4A"/>
    <w:rsid w:val="00E36C10"/>
    <w:rsid w:val="00E50CD3"/>
    <w:rsid w:val="00E56089"/>
    <w:rsid w:val="00E70173"/>
    <w:rsid w:val="00E87BE1"/>
    <w:rsid w:val="00E9382A"/>
    <w:rsid w:val="00EA020F"/>
    <w:rsid w:val="00EA1F85"/>
    <w:rsid w:val="00ED06A6"/>
    <w:rsid w:val="00ED4585"/>
    <w:rsid w:val="00ED735F"/>
    <w:rsid w:val="00EE080F"/>
    <w:rsid w:val="00EE573A"/>
    <w:rsid w:val="00EF6793"/>
    <w:rsid w:val="00F0175D"/>
    <w:rsid w:val="00F1463E"/>
    <w:rsid w:val="00F245A9"/>
    <w:rsid w:val="00F42610"/>
    <w:rsid w:val="00F47908"/>
    <w:rsid w:val="00F550BA"/>
    <w:rsid w:val="00F5775F"/>
    <w:rsid w:val="00F607F0"/>
    <w:rsid w:val="00F63F24"/>
    <w:rsid w:val="00F66502"/>
    <w:rsid w:val="00F67673"/>
    <w:rsid w:val="00FA5D3B"/>
    <w:rsid w:val="00FB1FBC"/>
    <w:rsid w:val="00FC37EC"/>
    <w:rsid w:val="00FC43B0"/>
    <w:rsid w:val="00FD1201"/>
    <w:rsid w:val="00FE4155"/>
    <w:rsid w:val="00FE7861"/>
    <w:rsid w:val="00FE791C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BC3DE"/>
  <w15:chartTrackingRefBased/>
  <w15:docId w15:val="{7C2E4BA5-D198-46C1-84FD-A9C190C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link w:val="Header"/>
    <w:rsid w:val="00214B4C"/>
    <w:rPr>
      <w:sz w:val="22"/>
      <w:szCs w:val="24"/>
    </w:rPr>
  </w:style>
  <w:style w:type="paragraph" w:customStyle="1" w:styleId="Regular">
    <w:name w:val="Regular"/>
    <w:basedOn w:val="Normal"/>
    <w:link w:val="RegularChar"/>
    <w:rsid w:val="00214B4C"/>
    <w:pPr>
      <w:tabs>
        <w:tab w:val="clear" w:pos="284"/>
      </w:tabs>
    </w:pPr>
    <w:rPr>
      <w:b/>
      <w:sz w:val="24"/>
      <w:lang w:val="sr-Latn-CS" w:eastAsia="x-none"/>
    </w:rPr>
  </w:style>
  <w:style w:type="character" w:customStyle="1" w:styleId="RegularChar">
    <w:name w:val="Regular Char"/>
    <w:link w:val="Regular"/>
    <w:rsid w:val="00214B4C"/>
    <w:rPr>
      <w:b/>
      <w:sz w:val="24"/>
      <w:szCs w:val="24"/>
      <w:lang w:val="sr-Latn-CS"/>
    </w:rPr>
  </w:style>
  <w:style w:type="paragraph" w:customStyle="1" w:styleId="regular0">
    <w:name w:val="regular"/>
    <w:basedOn w:val="Normal"/>
    <w:link w:val="regularChar0"/>
    <w:rsid w:val="00214B4C"/>
    <w:pPr>
      <w:widowControl w:val="0"/>
      <w:tabs>
        <w:tab w:val="clear" w:pos="284"/>
      </w:tabs>
    </w:pPr>
    <w:rPr>
      <w:bCs/>
      <w:snapToGrid w:val="0"/>
      <w:sz w:val="24"/>
      <w:u w:val="single"/>
      <w:lang w:val="x-none" w:eastAsia="x-none"/>
    </w:rPr>
  </w:style>
  <w:style w:type="character" w:customStyle="1" w:styleId="regularChar0">
    <w:name w:val="regular Char"/>
    <w:link w:val="regular0"/>
    <w:rsid w:val="00214B4C"/>
    <w:rPr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C79EA"/>
    <w:pPr>
      <w:ind w:left="720"/>
      <w:contextualSpacing/>
    </w:pPr>
  </w:style>
  <w:style w:type="character" w:customStyle="1" w:styleId="st">
    <w:name w:val="st"/>
    <w:basedOn w:val="DefaultParagraphFont"/>
    <w:rsid w:val="00DA1F1C"/>
  </w:style>
  <w:style w:type="character" w:styleId="Emphasis">
    <w:name w:val="Emphasis"/>
    <w:uiPriority w:val="20"/>
    <w:qFormat/>
    <w:rsid w:val="00DA1F1C"/>
    <w:rPr>
      <w:i/>
      <w:iCs/>
    </w:rPr>
  </w:style>
  <w:style w:type="character" w:styleId="Hyperlink">
    <w:name w:val="Hyperlink"/>
    <w:rsid w:val="0053024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302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024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54547B2BFA04A9F3AF25C06E030FE" ma:contentTypeVersion="11" ma:contentTypeDescription="Create a new document." ma:contentTypeScope="" ma:versionID="403c5acde41a3f42b3ab2a16315ec6db">
  <xsd:schema xmlns:xsd="http://www.w3.org/2001/XMLSchema" xmlns:xs="http://www.w3.org/2001/XMLSchema" xmlns:p="http://schemas.microsoft.com/office/2006/metadata/properties" xmlns:ns2="14f42362-0da7-463a-9532-195c9db2168e" xmlns:ns3="21f902b5-4108-4240-8aa7-05bee4e09846" targetNamespace="http://schemas.microsoft.com/office/2006/metadata/properties" ma:root="true" ma:fieldsID="813bab2f26133eeabcbfdb1a276e5dd8" ns2:_="" ns3:_="">
    <xsd:import namespace="14f42362-0da7-463a-9532-195c9db2168e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362-0da7-463a-9532-195c9db2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42362-0da7-463a-9532-195c9db2168e">
      <Terms xmlns="http://schemas.microsoft.com/office/infopath/2007/PartnerControls"/>
    </lcf76f155ced4ddcb4097134ff3c332f>
    <TaxCatchAll xmlns="21f902b5-4108-4240-8aa7-05bee4e09846"/>
  </documentManagement>
</p:properties>
</file>

<file path=customXml/itemProps1.xml><?xml version="1.0" encoding="utf-8"?>
<ds:datastoreItem xmlns:ds="http://schemas.openxmlformats.org/officeDocument/2006/customXml" ds:itemID="{23AB8409-EB5A-44E4-BA59-BDE0C0B66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22D1B-2670-45BF-B7C0-E6B7609884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7D9D83-F8F2-40F9-957B-965762D1F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42362-0da7-463a-9532-195c9db2168e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27634-8268-4DB4-9C9B-D74E629C5AA9}">
  <ds:schemaRefs>
    <ds:schemaRef ds:uri="http://schemas.microsoft.com/office/2006/metadata/properties"/>
    <ds:schemaRef ds:uri="http://schemas.microsoft.com/office/infopath/2007/PartnerControls"/>
    <ds:schemaRef ds:uri="14f42362-0da7-463a-9532-195c9db2168e"/>
    <ds:schemaRef ds:uri="21f902b5-4108-4240-8aa7-05bee4e09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19646</CharactersWithSpaces>
  <SharedDoc>false</SharedDoc>
  <HLinks>
    <vt:vector size="24" baseType="variant">
      <vt:variant>
        <vt:i4>196695</vt:i4>
      </vt:variant>
      <vt:variant>
        <vt:i4>6</vt:i4>
      </vt:variant>
      <vt:variant>
        <vt:i4>0</vt:i4>
      </vt:variant>
      <vt:variant>
        <vt:i4>5</vt:i4>
      </vt:variant>
      <vt:variant>
        <vt:lpwstr>https://vigiflow-eforms.who-umc.org/me/meadr</vt:lpwstr>
      </vt:variant>
      <vt:variant>
        <vt:lpwstr/>
      </vt:variant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mailto:nezeljenadejstva@cinmed.me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http://www.cinmed.me/</vt:lpwstr>
      </vt:variant>
      <vt:variant>
        <vt:lpwstr/>
      </vt:variant>
      <vt:variant>
        <vt:i4>196695</vt:i4>
      </vt:variant>
      <vt:variant>
        <vt:i4>37694</vt:i4>
      </vt:variant>
      <vt:variant>
        <vt:i4>1025</vt:i4>
      </vt:variant>
      <vt:variant>
        <vt:i4>4</vt:i4>
      </vt:variant>
      <vt:variant>
        <vt:lpwstr>https://vigiflow-eforms.who-umc.org/me/meadr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Berina Ljuca</cp:lastModifiedBy>
  <cp:revision>20</cp:revision>
  <cp:lastPrinted>2022-09-02T13:13:00Z</cp:lastPrinted>
  <dcterms:created xsi:type="dcterms:W3CDTF">2025-02-18T11:39:00Z</dcterms:created>
  <dcterms:modified xsi:type="dcterms:W3CDTF">2025-06-10T08:14:00Z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isplay_urn:schemas-microsoft-com:office:office#Editor">
    <vt:lpwstr>Sasa Mitic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Sasa Mitic</vt:lpwstr>
  </property>
</Properties>
</file>