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73346" w14:textId="1E70ADAB" w:rsidR="002510A5" w:rsidRPr="002B09C8" w:rsidRDefault="002510A5" w:rsidP="00C74431">
      <w:pPr>
        <w:widowControl w:val="0"/>
        <w:jc w:val="center"/>
        <w:rPr>
          <w:b/>
          <w:bCs/>
          <w:iCs/>
          <w:sz w:val="22"/>
          <w:szCs w:val="22"/>
          <w:u w:val="single"/>
          <w:lang w:val="sr-Latn-ME"/>
        </w:rPr>
      </w:pPr>
      <w:r w:rsidRPr="002B09C8">
        <w:rPr>
          <w:b/>
          <w:bCs/>
          <w:iCs/>
          <w:sz w:val="22"/>
          <w:szCs w:val="22"/>
          <w:u w:val="single"/>
          <w:lang w:val="sr-Latn-ME"/>
        </w:rPr>
        <w:t>SAŽETAK KARAKTERISTIKA LIJEKA</w:t>
      </w:r>
    </w:p>
    <w:p w14:paraId="639531AD" w14:textId="77777777" w:rsidR="000610DB" w:rsidRPr="002B09C8" w:rsidRDefault="000610DB" w:rsidP="00C74431">
      <w:pPr>
        <w:widowControl w:val="0"/>
        <w:jc w:val="center"/>
        <w:rPr>
          <w:b/>
          <w:bCs/>
          <w:iCs/>
          <w:sz w:val="22"/>
          <w:szCs w:val="22"/>
          <w:u w:val="single"/>
          <w:lang w:val="sr-Latn-ME"/>
        </w:rPr>
      </w:pPr>
    </w:p>
    <w:p w14:paraId="6006E904" w14:textId="77777777" w:rsidR="000610DB" w:rsidRPr="002B09C8" w:rsidRDefault="000610DB" w:rsidP="00C74431">
      <w:pPr>
        <w:widowControl w:val="0"/>
        <w:jc w:val="center"/>
        <w:rPr>
          <w:b/>
          <w:bCs/>
          <w:iCs/>
          <w:sz w:val="22"/>
          <w:szCs w:val="22"/>
          <w:u w:val="single"/>
          <w:lang w:val="sr-Latn-ME"/>
        </w:rPr>
      </w:pPr>
    </w:p>
    <w:p w14:paraId="233AFF43" w14:textId="6F223482" w:rsidR="00411B4B" w:rsidRPr="002B09C8" w:rsidRDefault="00411B4B" w:rsidP="00C74431">
      <w:pPr>
        <w:widowControl w:val="0"/>
        <w:tabs>
          <w:tab w:val="left" w:pos="540"/>
          <w:tab w:val="left" w:pos="569"/>
        </w:tabs>
        <w:jc w:val="both"/>
        <w:rPr>
          <w:b/>
          <w:bCs/>
          <w:sz w:val="22"/>
          <w:szCs w:val="22"/>
          <w:lang w:val="sr-Latn-ME"/>
        </w:rPr>
      </w:pPr>
      <w:r w:rsidRPr="002B09C8">
        <w:rPr>
          <w:b/>
          <w:bCs/>
          <w:sz w:val="22"/>
          <w:szCs w:val="22"/>
          <w:lang w:val="sr-Latn-ME"/>
        </w:rPr>
        <w:t>1.</w:t>
      </w:r>
      <w:r w:rsidR="00F5167F" w:rsidRPr="002B09C8">
        <w:rPr>
          <w:b/>
          <w:bCs/>
          <w:sz w:val="22"/>
          <w:szCs w:val="22"/>
          <w:lang w:val="sr-Latn-ME"/>
        </w:rPr>
        <w:tab/>
      </w:r>
      <w:r w:rsidR="002846DB" w:rsidRPr="002B09C8">
        <w:rPr>
          <w:b/>
          <w:bCs/>
          <w:sz w:val="22"/>
          <w:szCs w:val="22"/>
          <w:lang w:val="sr-Latn-ME"/>
        </w:rPr>
        <w:t xml:space="preserve">NAZIV </w:t>
      </w:r>
      <w:r w:rsidRPr="002B09C8">
        <w:rPr>
          <w:b/>
          <w:bCs/>
          <w:sz w:val="22"/>
          <w:szCs w:val="22"/>
          <w:lang w:val="sr-Latn-ME"/>
        </w:rPr>
        <w:t>LIJEKA</w:t>
      </w:r>
    </w:p>
    <w:p w14:paraId="295F70ED" w14:textId="77777777" w:rsidR="00EC2532" w:rsidRPr="002B09C8" w:rsidRDefault="00EC2532" w:rsidP="00C74431">
      <w:pPr>
        <w:widowControl w:val="0"/>
        <w:jc w:val="both"/>
        <w:rPr>
          <w:sz w:val="22"/>
          <w:szCs w:val="22"/>
          <w:lang w:val="sr-Latn-ME"/>
        </w:rPr>
      </w:pPr>
    </w:p>
    <w:p w14:paraId="4D7C07CB" w14:textId="4745BD46" w:rsidR="00FB74D3" w:rsidRPr="002B09C8" w:rsidRDefault="00696628" w:rsidP="00C74431">
      <w:pPr>
        <w:widowControl w:val="0"/>
        <w:jc w:val="both"/>
        <w:rPr>
          <w:sz w:val="22"/>
          <w:szCs w:val="22"/>
          <w:lang w:val="sr-Latn-ME"/>
        </w:rPr>
      </w:pPr>
      <w:proofErr w:type="spellStart"/>
      <w:r w:rsidRPr="002B09C8">
        <w:rPr>
          <w:sz w:val="22"/>
          <w:szCs w:val="22"/>
          <w:lang w:val="sr-Latn-ME"/>
        </w:rPr>
        <w:t>Tysabri</w:t>
      </w:r>
      <w:proofErr w:type="spellEnd"/>
      <w:r w:rsidR="00C74431" w:rsidRPr="002B09C8">
        <w:rPr>
          <w:sz w:val="22"/>
          <w:szCs w:val="22"/>
          <w:lang w:val="sr-Latn-ME"/>
        </w:rPr>
        <w:t>,</w:t>
      </w:r>
      <w:r w:rsidR="00FB74D3" w:rsidRPr="002B09C8">
        <w:rPr>
          <w:sz w:val="22"/>
          <w:szCs w:val="22"/>
          <w:lang w:val="sr-Latn-ME"/>
        </w:rPr>
        <w:t xml:space="preserve"> 300 mg/15 ml</w:t>
      </w:r>
      <w:r w:rsidR="00C8402F" w:rsidRPr="002B09C8">
        <w:rPr>
          <w:sz w:val="22"/>
          <w:szCs w:val="22"/>
          <w:lang w:val="sr-Latn-ME"/>
        </w:rPr>
        <w:t>,</w:t>
      </w:r>
      <w:r w:rsidR="00FB74D3" w:rsidRPr="002B09C8">
        <w:rPr>
          <w:sz w:val="22"/>
          <w:szCs w:val="22"/>
          <w:lang w:val="sr-Latn-ME"/>
        </w:rPr>
        <w:t xml:space="preserve"> koncentrat za rastvor za infuziju</w:t>
      </w:r>
    </w:p>
    <w:p w14:paraId="2A43CC77" w14:textId="77777777" w:rsidR="000D425A" w:rsidRPr="002B09C8" w:rsidRDefault="000D425A" w:rsidP="00C74431">
      <w:pPr>
        <w:widowControl w:val="0"/>
        <w:jc w:val="both"/>
        <w:rPr>
          <w:bCs/>
          <w:sz w:val="22"/>
          <w:szCs w:val="22"/>
          <w:lang w:val="sr-Latn-ME"/>
        </w:rPr>
      </w:pPr>
    </w:p>
    <w:p w14:paraId="0607C348" w14:textId="77777777" w:rsidR="006D20A5" w:rsidRPr="002B09C8" w:rsidRDefault="006D20A5" w:rsidP="00C74431">
      <w:pPr>
        <w:widowControl w:val="0"/>
        <w:jc w:val="both"/>
        <w:rPr>
          <w:sz w:val="22"/>
          <w:szCs w:val="22"/>
          <w:lang w:val="sr-Latn-ME"/>
        </w:rPr>
      </w:pPr>
      <w:r w:rsidRPr="002B09C8">
        <w:rPr>
          <w:sz w:val="22"/>
          <w:szCs w:val="22"/>
          <w:lang w:val="sr-Latn-ME"/>
        </w:rPr>
        <w:t>INN:</w:t>
      </w:r>
      <w:r w:rsidR="00FB74D3" w:rsidRPr="002B09C8">
        <w:rPr>
          <w:sz w:val="22"/>
          <w:szCs w:val="22"/>
          <w:lang w:val="sr-Latn-ME"/>
        </w:rPr>
        <w:t xml:space="preserve"> </w:t>
      </w:r>
      <w:proofErr w:type="spellStart"/>
      <w:r w:rsidR="00FB74D3" w:rsidRPr="002B09C8">
        <w:rPr>
          <w:sz w:val="22"/>
          <w:szCs w:val="22"/>
          <w:lang w:val="sr-Latn-ME"/>
        </w:rPr>
        <w:t>natalizumab</w:t>
      </w:r>
      <w:proofErr w:type="spellEnd"/>
    </w:p>
    <w:p w14:paraId="72DB50A8" w14:textId="77777777" w:rsidR="006D20A5" w:rsidRPr="002B09C8" w:rsidRDefault="006D20A5" w:rsidP="00C74431">
      <w:pPr>
        <w:widowControl w:val="0"/>
        <w:jc w:val="both"/>
        <w:rPr>
          <w:bCs/>
          <w:sz w:val="22"/>
          <w:szCs w:val="22"/>
          <w:lang w:val="sr-Latn-ME"/>
        </w:rPr>
      </w:pPr>
    </w:p>
    <w:p w14:paraId="62B24360" w14:textId="77777777" w:rsidR="00530BD7" w:rsidRPr="002B09C8" w:rsidRDefault="00530BD7" w:rsidP="00C74431">
      <w:pPr>
        <w:widowControl w:val="0"/>
        <w:jc w:val="both"/>
        <w:rPr>
          <w:bCs/>
          <w:sz w:val="22"/>
          <w:szCs w:val="22"/>
          <w:lang w:val="sr-Latn-ME"/>
        </w:rPr>
      </w:pPr>
    </w:p>
    <w:p w14:paraId="6BCFADF0" w14:textId="77777777" w:rsidR="00411B4B" w:rsidRPr="002B09C8" w:rsidRDefault="00411B4B" w:rsidP="00C74431">
      <w:pPr>
        <w:widowControl w:val="0"/>
        <w:tabs>
          <w:tab w:val="left" w:pos="540"/>
          <w:tab w:val="left" w:pos="569"/>
        </w:tabs>
        <w:jc w:val="both"/>
        <w:rPr>
          <w:b/>
          <w:bCs/>
          <w:sz w:val="22"/>
          <w:szCs w:val="22"/>
          <w:lang w:val="sr-Latn-ME"/>
        </w:rPr>
      </w:pPr>
      <w:r w:rsidRPr="002B09C8">
        <w:rPr>
          <w:b/>
          <w:bCs/>
          <w:sz w:val="22"/>
          <w:szCs w:val="22"/>
          <w:lang w:val="sr-Latn-ME"/>
        </w:rPr>
        <w:t xml:space="preserve">2. </w:t>
      </w:r>
      <w:r w:rsidR="00F5167F" w:rsidRPr="002B09C8">
        <w:rPr>
          <w:b/>
          <w:bCs/>
          <w:sz w:val="22"/>
          <w:szCs w:val="22"/>
          <w:lang w:val="sr-Latn-ME"/>
        </w:rPr>
        <w:tab/>
      </w:r>
      <w:r w:rsidRPr="002B09C8">
        <w:rPr>
          <w:b/>
          <w:bCs/>
          <w:sz w:val="22"/>
          <w:szCs w:val="22"/>
          <w:lang w:val="sr-Latn-ME"/>
        </w:rPr>
        <w:t>KVALITATIVNI I KVANTITATIVNI SASTAV</w:t>
      </w:r>
    </w:p>
    <w:p w14:paraId="1950B7E4" w14:textId="77777777" w:rsidR="005A0B2E" w:rsidRPr="002B09C8" w:rsidRDefault="005A0B2E" w:rsidP="00C74431">
      <w:pPr>
        <w:widowControl w:val="0"/>
        <w:jc w:val="both"/>
        <w:rPr>
          <w:sz w:val="22"/>
          <w:szCs w:val="22"/>
          <w:lang w:val="sr-Latn-ME"/>
        </w:rPr>
      </w:pPr>
    </w:p>
    <w:p w14:paraId="48AB684A" w14:textId="5D4C2FE7" w:rsidR="00FB74D3" w:rsidRPr="002B09C8" w:rsidRDefault="00A5491D" w:rsidP="00C74431">
      <w:pPr>
        <w:widowControl w:val="0"/>
        <w:jc w:val="both"/>
        <w:rPr>
          <w:sz w:val="22"/>
          <w:szCs w:val="22"/>
          <w:lang w:val="sr-Latn-ME"/>
        </w:rPr>
      </w:pPr>
      <w:r w:rsidRPr="002B09C8">
        <w:rPr>
          <w:sz w:val="22"/>
          <w:szCs w:val="22"/>
          <w:lang w:val="sr-Latn-ME"/>
        </w:rPr>
        <w:t xml:space="preserve">Jedna bočica od 15 ml koncentrata za rastvor za infuziju sadrži 300 mg </w:t>
      </w:r>
      <w:proofErr w:type="spellStart"/>
      <w:r w:rsidRPr="002B09C8">
        <w:rPr>
          <w:sz w:val="22"/>
          <w:szCs w:val="22"/>
          <w:lang w:val="sr-Latn-ME"/>
        </w:rPr>
        <w:t>natalizumaba</w:t>
      </w:r>
      <w:proofErr w:type="spellEnd"/>
      <w:r w:rsidRPr="002B09C8">
        <w:rPr>
          <w:sz w:val="22"/>
          <w:szCs w:val="22"/>
          <w:lang w:val="sr-Latn-ME"/>
        </w:rPr>
        <w:t xml:space="preserve"> (20 mg/ml)</w:t>
      </w:r>
      <w:r w:rsidR="00FB74D3" w:rsidRPr="002B09C8">
        <w:rPr>
          <w:sz w:val="22"/>
          <w:szCs w:val="22"/>
          <w:lang w:val="sr-Latn-ME"/>
        </w:rPr>
        <w:t>.</w:t>
      </w:r>
    </w:p>
    <w:p w14:paraId="72CCBD24" w14:textId="77777777" w:rsidR="00FB74D3" w:rsidRPr="002B09C8" w:rsidRDefault="00FB74D3" w:rsidP="00C74431">
      <w:pPr>
        <w:widowControl w:val="0"/>
        <w:jc w:val="both"/>
        <w:rPr>
          <w:sz w:val="22"/>
          <w:szCs w:val="22"/>
          <w:lang w:val="sr-Latn-ME"/>
        </w:rPr>
      </w:pPr>
    </w:p>
    <w:p w14:paraId="3380FB40" w14:textId="37FCCA71" w:rsidR="00FB74D3" w:rsidRPr="002B09C8" w:rsidRDefault="00FB74D3" w:rsidP="00C74431">
      <w:pPr>
        <w:widowControl w:val="0"/>
        <w:jc w:val="both"/>
        <w:rPr>
          <w:sz w:val="22"/>
          <w:szCs w:val="22"/>
          <w:lang w:val="sr-Latn-ME"/>
        </w:rPr>
      </w:pPr>
      <w:r w:rsidRPr="002B09C8">
        <w:rPr>
          <w:sz w:val="22"/>
          <w:szCs w:val="22"/>
          <w:lang w:val="sr-Latn-ME"/>
        </w:rPr>
        <w:t>Nakon razblaživanja (vidjeti dio 6.6)</w:t>
      </w:r>
      <w:r w:rsidR="00C74431" w:rsidRPr="002B09C8">
        <w:rPr>
          <w:sz w:val="22"/>
          <w:szCs w:val="22"/>
          <w:lang w:val="sr-Latn-ME"/>
        </w:rPr>
        <w:t>,</w:t>
      </w:r>
      <w:r w:rsidRPr="002B09C8">
        <w:rPr>
          <w:sz w:val="22"/>
          <w:szCs w:val="22"/>
          <w:lang w:val="sr-Latn-ME"/>
        </w:rPr>
        <w:t xml:space="preserve"> rastvor za infuziju sadrži približno 2,6 mg</w:t>
      </w:r>
      <w:r w:rsidR="00C8402F" w:rsidRPr="002B09C8">
        <w:rPr>
          <w:sz w:val="22"/>
          <w:szCs w:val="22"/>
          <w:lang w:val="sr-Latn-ME"/>
        </w:rPr>
        <w:t>/</w:t>
      </w:r>
      <w:r w:rsidRPr="002B09C8">
        <w:rPr>
          <w:sz w:val="22"/>
          <w:szCs w:val="22"/>
          <w:lang w:val="sr-Latn-ME"/>
        </w:rPr>
        <w:t xml:space="preserve">ml </w:t>
      </w:r>
      <w:proofErr w:type="spellStart"/>
      <w:r w:rsidRPr="002B09C8">
        <w:rPr>
          <w:sz w:val="22"/>
          <w:szCs w:val="22"/>
          <w:lang w:val="sr-Latn-ME"/>
        </w:rPr>
        <w:t>natalizumaba</w:t>
      </w:r>
      <w:proofErr w:type="spellEnd"/>
      <w:r w:rsidRPr="002B09C8">
        <w:rPr>
          <w:sz w:val="22"/>
          <w:szCs w:val="22"/>
          <w:lang w:val="sr-Latn-ME"/>
        </w:rPr>
        <w:t>.</w:t>
      </w:r>
    </w:p>
    <w:p w14:paraId="763392C0" w14:textId="77777777" w:rsidR="00FB74D3" w:rsidRPr="002B09C8" w:rsidRDefault="00FB74D3" w:rsidP="00C74431">
      <w:pPr>
        <w:widowControl w:val="0"/>
        <w:jc w:val="both"/>
        <w:rPr>
          <w:sz w:val="22"/>
          <w:szCs w:val="22"/>
          <w:lang w:val="sr-Latn-ME"/>
        </w:rPr>
      </w:pPr>
    </w:p>
    <w:p w14:paraId="3391BB0C" w14:textId="77777777" w:rsidR="00FB74D3" w:rsidRPr="002B09C8" w:rsidRDefault="00FB74D3" w:rsidP="00C74431">
      <w:pPr>
        <w:widowControl w:val="0"/>
        <w:jc w:val="both"/>
        <w:rPr>
          <w:sz w:val="22"/>
          <w:szCs w:val="22"/>
          <w:lang w:val="sr-Latn-ME"/>
        </w:rPr>
      </w:pPr>
      <w:proofErr w:type="spellStart"/>
      <w:r w:rsidRPr="002B09C8">
        <w:rPr>
          <w:sz w:val="22"/>
          <w:szCs w:val="22"/>
          <w:lang w:val="sr-Latn-ME"/>
        </w:rPr>
        <w:t>Natalizumab</w:t>
      </w:r>
      <w:proofErr w:type="spellEnd"/>
      <w:r w:rsidRPr="002B09C8">
        <w:rPr>
          <w:sz w:val="22"/>
          <w:szCs w:val="22"/>
          <w:lang w:val="sr-Latn-ME"/>
        </w:rPr>
        <w:t xml:space="preserve"> je </w:t>
      </w:r>
      <w:proofErr w:type="spellStart"/>
      <w:r w:rsidRPr="002B09C8">
        <w:rPr>
          <w:sz w:val="22"/>
          <w:szCs w:val="22"/>
          <w:lang w:val="sr-Latn-ME"/>
        </w:rPr>
        <w:t>rekombinantno</w:t>
      </w:r>
      <w:proofErr w:type="spellEnd"/>
      <w:r w:rsidRPr="002B09C8">
        <w:rPr>
          <w:sz w:val="22"/>
          <w:szCs w:val="22"/>
          <w:lang w:val="sr-Latn-ME"/>
        </w:rPr>
        <w:t xml:space="preserve"> humanizovano anti-α4-integrin antitijelo proizvedeno u mišjim ćelijskim linijama tehnologijom </w:t>
      </w:r>
      <w:proofErr w:type="spellStart"/>
      <w:r w:rsidRPr="002B09C8">
        <w:rPr>
          <w:sz w:val="22"/>
          <w:szCs w:val="22"/>
          <w:lang w:val="sr-Latn-ME"/>
        </w:rPr>
        <w:t>rekombinantne</w:t>
      </w:r>
      <w:proofErr w:type="spellEnd"/>
      <w:r w:rsidRPr="002B09C8">
        <w:rPr>
          <w:sz w:val="22"/>
          <w:szCs w:val="22"/>
          <w:lang w:val="sr-Latn-ME"/>
        </w:rPr>
        <w:t xml:space="preserve"> DNK.</w:t>
      </w:r>
    </w:p>
    <w:p w14:paraId="78C19964" w14:textId="77777777" w:rsidR="00FB74D3" w:rsidRPr="002B09C8" w:rsidRDefault="00FB74D3" w:rsidP="00C74431">
      <w:pPr>
        <w:widowControl w:val="0"/>
        <w:jc w:val="both"/>
        <w:rPr>
          <w:sz w:val="22"/>
          <w:szCs w:val="22"/>
          <w:lang w:val="sr-Latn-ME"/>
        </w:rPr>
      </w:pPr>
    </w:p>
    <w:p w14:paraId="36268FF5" w14:textId="1ADA8084" w:rsidR="00FB74D3" w:rsidRPr="002B09C8" w:rsidRDefault="00FB74D3" w:rsidP="00C74431">
      <w:pPr>
        <w:widowControl w:val="0"/>
        <w:jc w:val="both"/>
        <w:rPr>
          <w:sz w:val="22"/>
          <w:szCs w:val="22"/>
          <w:u w:val="single"/>
          <w:lang w:val="sr-Latn-ME"/>
        </w:rPr>
      </w:pPr>
      <w:r w:rsidRPr="002B09C8">
        <w:rPr>
          <w:sz w:val="22"/>
          <w:szCs w:val="22"/>
          <w:u w:val="single"/>
          <w:lang w:val="sr-Latn-ME"/>
        </w:rPr>
        <w:t>Pomoćna supstanca s</w:t>
      </w:r>
      <w:r w:rsidR="00C74431" w:rsidRPr="002B09C8">
        <w:rPr>
          <w:sz w:val="22"/>
          <w:szCs w:val="22"/>
          <w:u w:val="single"/>
          <w:lang w:val="sr-Latn-ME"/>
        </w:rPr>
        <w:t>a</w:t>
      </w:r>
      <w:r w:rsidRPr="002B09C8">
        <w:rPr>
          <w:sz w:val="22"/>
          <w:szCs w:val="22"/>
          <w:u w:val="single"/>
          <w:lang w:val="sr-Latn-ME"/>
        </w:rPr>
        <w:t xml:space="preserve"> </w:t>
      </w:r>
      <w:r w:rsidR="00C74431" w:rsidRPr="002B09C8">
        <w:rPr>
          <w:sz w:val="22"/>
          <w:szCs w:val="22"/>
          <w:u w:val="single"/>
          <w:lang w:val="sr-Latn-ME"/>
        </w:rPr>
        <w:t xml:space="preserve">potvrđenim </w:t>
      </w:r>
      <w:r w:rsidR="00C8402F" w:rsidRPr="002B09C8">
        <w:rPr>
          <w:sz w:val="22"/>
          <w:szCs w:val="22"/>
          <w:u w:val="single"/>
          <w:lang w:val="sr-Latn-ME"/>
        </w:rPr>
        <w:t>dejstvom</w:t>
      </w:r>
      <w:r w:rsidRPr="002B09C8">
        <w:rPr>
          <w:sz w:val="22"/>
          <w:szCs w:val="22"/>
          <w:u w:val="single"/>
          <w:lang w:val="sr-Latn-ME"/>
        </w:rPr>
        <w:t xml:space="preserve"> </w:t>
      </w:r>
    </w:p>
    <w:p w14:paraId="044548B2" w14:textId="45FAF061" w:rsidR="00FB74D3" w:rsidRPr="002B09C8" w:rsidRDefault="00C74431" w:rsidP="00C74431">
      <w:pPr>
        <w:widowControl w:val="0"/>
        <w:jc w:val="both"/>
        <w:rPr>
          <w:sz w:val="22"/>
          <w:szCs w:val="22"/>
          <w:lang w:val="sr-Latn-ME"/>
        </w:rPr>
      </w:pPr>
      <w:r w:rsidRPr="002B09C8">
        <w:rPr>
          <w:sz w:val="22"/>
          <w:szCs w:val="22"/>
          <w:lang w:val="sr-Latn-ME"/>
        </w:rPr>
        <w:t>Jedna bočica</w:t>
      </w:r>
      <w:r w:rsidR="00696628" w:rsidRPr="002B09C8">
        <w:rPr>
          <w:sz w:val="22"/>
          <w:szCs w:val="22"/>
          <w:lang w:val="sr-Latn-ME"/>
        </w:rPr>
        <w:t xml:space="preserve"> </w:t>
      </w:r>
      <w:r w:rsidR="00FB74D3" w:rsidRPr="002B09C8">
        <w:rPr>
          <w:sz w:val="22"/>
          <w:szCs w:val="22"/>
          <w:lang w:val="sr-Latn-ME"/>
        </w:rPr>
        <w:t xml:space="preserve">sadrži 2,3 </w:t>
      </w:r>
      <w:proofErr w:type="spellStart"/>
      <w:r w:rsidR="00FB74D3" w:rsidRPr="002B09C8">
        <w:rPr>
          <w:sz w:val="22"/>
          <w:szCs w:val="22"/>
          <w:lang w:val="sr-Latn-ME"/>
        </w:rPr>
        <w:t>mmol</w:t>
      </w:r>
      <w:proofErr w:type="spellEnd"/>
      <w:r w:rsidR="00FB74D3" w:rsidRPr="002B09C8">
        <w:rPr>
          <w:sz w:val="22"/>
          <w:szCs w:val="22"/>
          <w:lang w:val="sr-Latn-ME"/>
        </w:rPr>
        <w:t xml:space="preserve"> (ili 52 mg) natrijuma </w:t>
      </w:r>
      <w:r w:rsidR="00395633" w:rsidRPr="002B09C8">
        <w:rPr>
          <w:sz w:val="22"/>
          <w:szCs w:val="22"/>
          <w:lang w:val="sr-Latn-ME"/>
        </w:rPr>
        <w:t>(vid</w:t>
      </w:r>
      <w:r w:rsidR="00294F59" w:rsidRPr="002B09C8">
        <w:rPr>
          <w:sz w:val="22"/>
          <w:szCs w:val="22"/>
          <w:lang w:val="sr-Latn-ME"/>
        </w:rPr>
        <w:t>j</w:t>
      </w:r>
      <w:r w:rsidR="00395633" w:rsidRPr="002B09C8">
        <w:rPr>
          <w:sz w:val="22"/>
          <w:szCs w:val="22"/>
          <w:lang w:val="sr-Latn-ME"/>
        </w:rPr>
        <w:t>eti dio 4.4. za dodatne informacije)</w:t>
      </w:r>
      <w:r w:rsidR="00FB74D3" w:rsidRPr="002B09C8">
        <w:rPr>
          <w:sz w:val="22"/>
          <w:szCs w:val="22"/>
          <w:lang w:val="sr-Latn-ME"/>
        </w:rPr>
        <w:t>.</w:t>
      </w:r>
    </w:p>
    <w:p w14:paraId="710292C7" w14:textId="77777777" w:rsidR="00FB74D3" w:rsidRPr="002B09C8" w:rsidRDefault="00FB74D3" w:rsidP="00C74431">
      <w:pPr>
        <w:widowControl w:val="0"/>
        <w:jc w:val="both"/>
        <w:rPr>
          <w:sz w:val="22"/>
          <w:szCs w:val="22"/>
          <w:lang w:val="sr-Latn-ME"/>
        </w:rPr>
      </w:pPr>
    </w:p>
    <w:p w14:paraId="0AC5D7E3" w14:textId="77777777" w:rsidR="0003793F" w:rsidRPr="002B09C8" w:rsidRDefault="0003793F" w:rsidP="00C74431">
      <w:pPr>
        <w:widowControl w:val="0"/>
        <w:jc w:val="both"/>
        <w:rPr>
          <w:sz w:val="22"/>
          <w:szCs w:val="22"/>
          <w:lang w:val="sr-Latn-ME"/>
        </w:rPr>
      </w:pPr>
      <w:r w:rsidRPr="002B09C8">
        <w:rPr>
          <w:sz w:val="22"/>
          <w:szCs w:val="22"/>
          <w:lang w:val="sr-Latn-ME"/>
        </w:rPr>
        <w:t xml:space="preserve">Za spisak svih </w:t>
      </w:r>
      <w:proofErr w:type="spellStart"/>
      <w:r w:rsidRPr="002B09C8">
        <w:rPr>
          <w:sz w:val="22"/>
          <w:szCs w:val="22"/>
          <w:lang w:val="sr-Latn-ME"/>
        </w:rPr>
        <w:t>ekscipijenasa</w:t>
      </w:r>
      <w:proofErr w:type="spellEnd"/>
      <w:r w:rsidRPr="002B09C8">
        <w:rPr>
          <w:sz w:val="22"/>
          <w:szCs w:val="22"/>
          <w:lang w:val="sr-Latn-ME"/>
        </w:rPr>
        <w:t>, pogledati dio 6.1.</w:t>
      </w:r>
    </w:p>
    <w:p w14:paraId="62F7CFCB" w14:textId="77777777" w:rsidR="0003793F" w:rsidRPr="002B09C8" w:rsidRDefault="0003793F" w:rsidP="00C74431">
      <w:pPr>
        <w:widowControl w:val="0"/>
        <w:jc w:val="both"/>
        <w:rPr>
          <w:sz w:val="22"/>
          <w:szCs w:val="22"/>
          <w:lang w:val="sr-Latn-ME"/>
        </w:rPr>
      </w:pPr>
    </w:p>
    <w:p w14:paraId="57EB7EA7" w14:textId="77777777" w:rsidR="00C37FD7" w:rsidRPr="002B09C8" w:rsidRDefault="00C37FD7" w:rsidP="00C74431">
      <w:pPr>
        <w:widowControl w:val="0"/>
        <w:jc w:val="both"/>
        <w:rPr>
          <w:sz w:val="22"/>
          <w:szCs w:val="22"/>
          <w:lang w:val="sr-Latn-ME"/>
        </w:rPr>
      </w:pPr>
    </w:p>
    <w:p w14:paraId="0066B9B1" w14:textId="77777777" w:rsidR="00411B4B" w:rsidRPr="002B09C8" w:rsidRDefault="00411B4B" w:rsidP="00C74431">
      <w:pPr>
        <w:widowControl w:val="0"/>
        <w:tabs>
          <w:tab w:val="left" w:pos="540"/>
          <w:tab w:val="left" w:pos="569"/>
        </w:tabs>
        <w:jc w:val="both"/>
        <w:rPr>
          <w:b/>
          <w:bCs/>
          <w:sz w:val="22"/>
          <w:szCs w:val="22"/>
          <w:lang w:val="sr-Latn-ME"/>
        </w:rPr>
      </w:pPr>
      <w:r w:rsidRPr="002B09C8">
        <w:rPr>
          <w:b/>
          <w:bCs/>
          <w:sz w:val="22"/>
          <w:szCs w:val="22"/>
          <w:lang w:val="sr-Latn-ME"/>
        </w:rPr>
        <w:t xml:space="preserve">3. </w:t>
      </w:r>
      <w:r w:rsidR="00F5167F" w:rsidRPr="002B09C8">
        <w:rPr>
          <w:b/>
          <w:bCs/>
          <w:sz w:val="22"/>
          <w:szCs w:val="22"/>
          <w:lang w:val="sr-Latn-ME"/>
        </w:rPr>
        <w:tab/>
      </w:r>
      <w:r w:rsidRPr="002B09C8">
        <w:rPr>
          <w:b/>
          <w:bCs/>
          <w:sz w:val="22"/>
          <w:szCs w:val="22"/>
          <w:lang w:val="sr-Latn-ME"/>
        </w:rPr>
        <w:t>FARMACEUTSKI OBLIK</w:t>
      </w:r>
      <w:r w:rsidR="009F2D23" w:rsidRPr="002B09C8">
        <w:rPr>
          <w:b/>
          <w:bCs/>
          <w:sz w:val="22"/>
          <w:szCs w:val="22"/>
          <w:lang w:val="sr-Latn-ME"/>
        </w:rPr>
        <w:t xml:space="preserve"> </w:t>
      </w:r>
    </w:p>
    <w:p w14:paraId="7FEE79CA" w14:textId="77777777" w:rsidR="00411B4B" w:rsidRPr="002B09C8" w:rsidRDefault="00411B4B" w:rsidP="00C74431">
      <w:pPr>
        <w:widowControl w:val="0"/>
        <w:jc w:val="both"/>
        <w:rPr>
          <w:bCs/>
          <w:sz w:val="22"/>
          <w:szCs w:val="22"/>
          <w:lang w:val="sr-Latn-ME"/>
        </w:rPr>
      </w:pPr>
    </w:p>
    <w:p w14:paraId="7AC326F4" w14:textId="77777777" w:rsidR="00FB74D3" w:rsidRPr="002B09C8" w:rsidRDefault="00FB74D3" w:rsidP="00C74431">
      <w:pPr>
        <w:widowControl w:val="0"/>
        <w:jc w:val="both"/>
        <w:rPr>
          <w:sz w:val="22"/>
          <w:szCs w:val="22"/>
          <w:lang w:val="sr-Latn-ME"/>
        </w:rPr>
      </w:pPr>
      <w:r w:rsidRPr="002B09C8">
        <w:rPr>
          <w:sz w:val="22"/>
          <w:szCs w:val="22"/>
          <w:lang w:val="sr-Latn-ME"/>
        </w:rPr>
        <w:t>Koncentrat za rastvor za infuziju.</w:t>
      </w:r>
    </w:p>
    <w:p w14:paraId="2BBA4E83" w14:textId="77777777" w:rsidR="00FB74D3" w:rsidRPr="002B09C8" w:rsidRDefault="00FB74D3" w:rsidP="00C74431">
      <w:pPr>
        <w:widowControl w:val="0"/>
        <w:jc w:val="both"/>
        <w:rPr>
          <w:sz w:val="22"/>
          <w:szCs w:val="22"/>
          <w:lang w:val="sr-Latn-ME"/>
        </w:rPr>
      </w:pPr>
    </w:p>
    <w:p w14:paraId="2562B269" w14:textId="12E3BE74" w:rsidR="00FB74D3" w:rsidRPr="002B09C8" w:rsidRDefault="00FB74D3" w:rsidP="00C74431">
      <w:pPr>
        <w:widowControl w:val="0"/>
        <w:jc w:val="both"/>
        <w:rPr>
          <w:sz w:val="22"/>
          <w:szCs w:val="22"/>
          <w:lang w:val="sr-Latn-ME"/>
        </w:rPr>
      </w:pPr>
      <w:r w:rsidRPr="002B09C8">
        <w:rPr>
          <w:sz w:val="22"/>
          <w:szCs w:val="22"/>
          <w:lang w:val="sr-Latn-ME"/>
        </w:rPr>
        <w:t xml:space="preserve">Bezbojan, bistar do blago </w:t>
      </w:r>
      <w:proofErr w:type="spellStart"/>
      <w:r w:rsidRPr="002B09C8">
        <w:rPr>
          <w:sz w:val="22"/>
          <w:szCs w:val="22"/>
          <w:lang w:val="sr-Latn-ME"/>
        </w:rPr>
        <w:t>opalescentan</w:t>
      </w:r>
      <w:proofErr w:type="spellEnd"/>
      <w:r w:rsidRPr="002B09C8">
        <w:rPr>
          <w:sz w:val="22"/>
          <w:szCs w:val="22"/>
          <w:lang w:val="sr-Latn-ME"/>
        </w:rPr>
        <w:t xml:space="preserve"> rastvor</w:t>
      </w:r>
      <w:r w:rsidR="009A3116" w:rsidRPr="002B09C8">
        <w:rPr>
          <w:sz w:val="22"/>
          <w:szCs w:val="22"/>
          <w:lang w:val="sr-Latn-ME"/>
        </w:rPr>
        <w:t>, bez vidljivih čestica</w:t>
      </w:r>
      <w:r w:rsidRPr="002B09C8">
        <w:rPr>
          <w:sz w:val="22"/>
          <w:szCs w:val="22"/>
          <w:lang w:val="sr-Latn-ME"/>
        </w:rPr>
        <w:t>.</w:t>
      </w:r>
    </w:p>
    <w:p w14:paraId="5663302C" w14:textId="5C3F1C64" w:rsidR="00EC2532" w:rsidRPr="002B09C8" w:rsidRDefault="00EC2532" w:rsidP="00C74431">
      <w:pPr>
        <w:widowControl w:val="0"/>
        <w:jc w:val="both"/>
        <w:rPr>
          <w:bCs/>
          <w:sz w:val="22"/>
          <w:szCs w:val="22"/>
          <w:lang w:val="sr-Latn-ME"/>
        </w:rPr>
      </w:pPr>
    </w:p>
    <w:p w14:paraId="7C30FCEB" w14:textId="77777777" w:rsidR="00C8402F" w:rsidRPr="002B09C8" w:rsidRDefault="00C8402F" w:rsidP="00C74431">
      <w:pPr>
        <w:widowControl w:val="0"/>
        <w:jc w:val="both"/>
        <w:rPr>
          <w:bCs/>
          <w:sz w:val="22"/>
          <w:szCs w:val="22"/>
          <w:lang w:val="sr-Latn-ME"/>
        </w:rPr>
      </w:pPr>
    </w:p>
    <w:p w14:paraId="363BF382" w14:textId="77777777" w:rsidR="00411B4B" w:rsidRPr="002B09C8" w:rsidRDefault="00411B4B" w:rsidP="00C74431">
      <w:pPr>
        <w:widowControl w:val="0"/>
        <w:tabs>
          <w:tab w:val="left" w:pos="540"/>
          <w:tab w:val="left" w:pos="569"/>
        </w:tabs>
        <w:jc w:val="both"/>
        <w:rPr>
          <w:b/>
          <w:bCs/>
          <w:sz w:val="22"/>
          <w:szCs w:val="22"/>
          <w:lang w:val="sr-Latn-ME"/>
        </w:rPr>
      </w:pPr>
      <w:r w:rsidRPr="002B09C8">
        <w:rPr>
          <w:b/>
          <w:bCs/>
          <w:sz w:val="22"/>
          <w:szCs w:val="22"/>
          <w:lang w:val="sr-Latn-ME"/>
        </w:rPr>
        <w:t xml:space="preserve">4. </w:t>
      </w:r>
      <w:r w:rsidR="00480FB1" w:rsidRPr="002B09C8">
        <w:rPr>
          <w:b/>
          <w:bCs/>
          <w:sz w:val="22"/>
          <w:szCs w:val="22"/>
          <w:lang w:val="sr-Latn-ME"/>
        </w:rPr>
        <w:tab/>
      </w:r>
      <w:r w:rsidRPr="002B09C8">
        <w:rPr>
          <w:b/>
          <w:bCs/>
          <w:sz w:val="22"/>
          <w:szCs w:val="22"/>
          <w:lang w:val="sr-Latn-ME"/>
        </w:rPr>
        <w:t>KLINIČKI PODACI</w:t>
      </w:r>
    </w:p>
    <w:p w14:paraId="34F98ECE" w14:textId="77777777" w:rsidR="00CD6F02" w:rsidRPr="002B09C8" w:rsidRDefault="00CD6F02" w:rsidP="00C74431">
      <w:pPr>
        <w:widowControl w:val="0"/>
        <w:tabs>
          <w:tab w:val="left" w:pos="540"/>
          <w:tab w:val="left" w:pos="569"/>
        </w:tabs>
        <w:jc w:val="both"/>
        <w:rPr>
          <w:bCs/>
          <w:sz w:val="22"/>
          <w:szCs w:val="22"/>
          <w:lang w:val="sr-Latn-ME"/>
        </w:rPr>
      </w:pPr>
    </w:p>
    <w:p w14:paraId="64E840BD" w14:textId="03408687" w:rsidR="00411B4B" w:rsidRPr="002B09C8" w:rsidRDefault="00411B4B" w:rsidP="00C74431">
      <w:pPr>
        <w:widowControl w:val="0"/>
        <w:tabs>
          <w:tab w:val="left" w:pos="540"/>
          <w:tab w:val="left" w:pos="569"/>
        </w:tabs>
        <w:jc w:val="both"/>
        <w:rPr>
          <w:b/>
          <w:bCs/>
          <w:sz w:val="22"/>
          <w:szCs w:val="22"/>
          <w:lang w:val="sr-Latn-ME"/>
        </w:rPr>
      </w:pPr>
      <w:r w:rsidRPr="002B09C8">
        <w:rPr>
          <w:b/>
          <w:bCs/>
          <w:sz w:val="22"/>
          <w:szCs w:val="22"/>
          <w:lang w:val="sr-Latn-ME"/>
        </w:rPr>
        <w:t xml:space="preserve">4.1. </w:t>
      </w:r>
      <w:r w:rsidR="00480FB1" w:rsidRPr="002B09C8">
        <w:rPr>
          <w:b/>
          <w:bCs/>
          <w:sz w:val="22"/>
          <w:szCs w:val="22"/>
          <w:lang w:val="sr-Latn-ME"/>
        </w:rPr>
        <w:tab/>
      </w:r>
      <w:r w:rsidRPr="002B09C8">
        <w:rPr>
          <w:b/>
          <w:bCs/>
          <w:sz w:val="22"/>
          <w:szCs w:val="22"/>
          <w:lang w:val="sr-Latn-ME"/>
        </w:rPr>
        <w:t>Terapijske indikacije</w:t>
      </w:r>
    </w:p>
    <w:p w14:paraId="5D7597DF" w14:textId="77777777" w:rsidR="00C8402F" w:rsidRPr="002B09C8" w:rsidRDefault="00C8402F" w:rsidP="00C74431">
      <w:pPr>
        <w:widowControl w:val="0"/>
        <w:tabs>
          <w:tab w:val="left" w:pos="540"/>
          <w:tab w:val="left" w:pos="569"/>
        </w:tabs>
        <w:jc w:val="both"/>
        <w:rPr>
          <w:b/>
          <w:bCs/>
          <w:sz w:val="22"/>
          <w:szCs w:val="22"/>
          <w:lang w:val="sr-Latn-ME"/>
        </w:rPr>
      </w:pPr>
    </w:p>
    <w:p w14:paraId="3D086C93" w14:textId="5B3B8BA6" w:rsidR="00FB74D3" w:rsidRPr="002B09C8" w:rsidRDefault="00FB74D3" w:rsidP="00C74431">
      <w:pPr>
        <w:widowControl w:val="0"/>
        <w:jc w:val="both"/>
        <w:rPr>
          <w:sz w:val="22"/>
          <w:szCs w:val="22"/>
          <w:lang w:val="sr-Latn-ME"/>
        </w:rPr>
      </w:pPr>
      <w:r w:rsidRPr="002B09C8">
        <w:rPr>
          <w:sz w:val="22"/>
          <w:szCs w:val="22"/>
          <w:lang w:val="sr-Latn-ME"/>
        </w:rPr>
        <w:t xml:space="preserve">Lijek </w:t>
      </w:r>
      <w:proofErr w:type="spellStart"/>
      <w:r w:rsidR="00696628" w:rsidRPr="002B09C8">
        <w:rPr>
          <w:sz w:val="22"/>
          <w:szCs w:val="22"/>
          <w:lang w:val="sr-Latn-ME"/>
        </w:rPr>
        <w:t>Tysabri</w:t>
      </w:r>
      <w:proofErr w:type="spellEnd"/>
      <w:r w:rsidR="00696628" w:rsidRPr="002B09C8">
        <w:rPr>
          <w:sz w:val="22"/>
          <w:szCs w:val="22"/>
          <w:lang w:val="sr-Latn-ME"/>
        </w:rPr>
        <w:t xml:space="preserve"> </w:t>
      </w:r>
      <w:r w:rsidRPr="002B09C8">
        <w:rPr>
          <w:sz w:val="22"/>
          <w:szCs w:val="22"/>
          <w:lang w:val="sr-Latn-ME"/>
        </w:rPr>
        <w:t xml:space="preserve">je </w:t>
      </w:r>
      <w:proofErr w:type="spellStart"/>
      <w:r w:rsidRPr="002B09C8">
        <w:rPr>
          <w:sz w:val="22"/>
          <w:szCs w:val="22"/>
          <w:lang w:val="sr-Latn-ME"/>
        </w:rPr>
        <w:t>indikovan</w:t>
      </w:r>
      <w:proofErr w:type="spellEnd"/>
      <w:r w:rsidRPr="002B09C8">
        <w:rPr>
          <w:sz w:val="22"/>
          <w:szCs w:val="22"/>
          <w:lang w:val="sr-Latn-ME"/>
        </w:rPr>
        <w:t xml:space="preserve"> kao </w:t>
      </w:r>
      <w:proofErr w:type="spellStart"/>
      <w:r w:rsidRPr="002B09C8">
        <w:rPr>
          <w:sz w:val="22"/>
          <w:szCs w:val="22"/>
          <w:lang w:val="sr-Latn-ME"/>
        </w:rPr>
        <w:t>monoterapija</w:t>
      </w:r>
      <w:proofErr w:type="spellEnd"/>
      <w:r w:rsidRPr="002B09C8">
        <w:rPr>
          <w:sz w:val="22"/>
          <w:szCs w:val="22"/>
          <w:lang w:val="sr-Latn-ME"/>
        </w:rPr>
        <w:t xml:space="preserve"> za visoko aktivnu </w:t>
      </w:r>
      <w:proofErr w:type="spellStart"/>
      <w:r w:rsidRPr="002B09C8">
        <w:rPr>
          <w:sz w:val="22"/>
          <w:szCs w:val="22"/>
          <w:lang w:val="sr-Latn-ME"/>
        </w:rPr>
        <w:t>relapsno-remitentnu</w:t>
      </w:r>
      <w:proofErr w:type="spellEnd"/>
      <w:r w:rsidRPr="002B09C8">
        <w:rPr>
          <w:sz w:val="22"/>
          <w:szCs w:val="22"/>
          <w:lang w:val="sr-Latn-ME"/>
        </w:rPr>
        <w:t xml:space="preserve"> multiplu sklerozu</w:t>
      </w:r>
      <w:r w:rsidR="00696628" w:rsidRPr="002B09C8">
        <w:rPr>
          <w:sz w:val="22"/>
          <w:szCs w:val="22"/>
          <w:lang w:val="sr-Latn-ME"/>
        </w:rPr>
        <w:t xml:space="preserve"> (RRMS)</w:t>
      </w:r>
      <w:r w:rsidRPr="002B09C8">
        <w:rPr>
          <w:sz w:val="22"/>
          <w:szCs w:val="22"/>
          <w:lang w:val="sr-Latn-ME"/>
        </w:rPr>
        <w:t xml:space="preserve"> kod sljedećih grupa odraslih pacijenata:</w:t>
      </w:r>
    </w:p>
    <w:p w14:paraId="073A1C0C" w14:textId="77777777" w:rsidR="00FB74D3" w:rsidRPr="002B09C8" w:rsidRDefault="00FB74D3" w:rsidP="00C74431">
      <w:pPr>
        <w:widowControl w:val="0"/>
        <w:jc w:val="both"/>
        <w:rPr>
          <w:sz w:val="22"/>
          <w:szCs w:val="22"/>
          <w:lang w:val="sr-Latn-ME"/>
        </w:rPr>
      </w:pPr>
    </w:p>
    <w:p w14:paraId="5B52A743" w14:textId="77777777" w:rsidR="00FB74D3" w:rsidRPr="002B09C8" w:rsidRDefault="00FB74D3" w:rsidP="00C74431">
      <w:pPr>
        <w:widowControl w:val="0"/>
        <w:numPr>
          <w:ilvl w:val="0"/>
          <w:numId w:val="13"/>
        </w:numPr>
        <w:jc w:val="both"/>
        <w:rPr>
          <w:snapToGrid w:val="0"/>
          <w:sz w:val="22"/>
          <w:szCs w:val="22"/>
          <w:lang w:val="sr-Latn-ME" w:eastAsia="hr-HR"/>
        </w:rPr>
      </w:pPr>
      <w:r w:rsidRPr="002B09C8">
        <w:rPr>
          <w:sz w:val="22"/>
          <w:szCs w:val="22"/>
          <w:lang w:val="sr-Latn-ME"/>
        </w:rPr>
        <w:t xml:space="preserve">Pacijenti sa visoko aktivnom bolešću uprkos potpunom i odgovarajućem ciklusu liječenja </w:t>
      </w:r>
      <w:r w:rsidRPr="002B09C8">
        <w:rPr>
          <w:snapToGrid w:val="0"/>
          <w:sz w:val="22"/>
          <w:szCs w:val="22"/>
          <w:lang w:val="sr-Latn-ME" w:eastAsia="hr-HR"/>
        </w:rPr>
        <w:t xml:space="preserve">barem jednom terapijom koja mijenja tok bolesti (engl. </w:t>
      </w:r>
      <w:proofErr w:type="spellStart"/>
      <w:r w:rsidRPr="002B09C8">
        <w:rPr>
          <w:i/>
          <w:snapToGrid w:val="0"/>
          <w:sz w:val="22"/>
          <w:szCs w:val="22"/>
          <w:lang w:val="sr-Latn-ME" w:eastAsia="hr-HR"/>
        </w:rPr>
        <w:t>disease</w:t>
      </w:r>
      <w:proofErr w:type="spellEnd"/>
      <w:r w:rsidRPr="002B09C8">
        <w:rPr>
          <w:i/>
          <w:snapToGrid w:val="0"/>
          <w:sz w:val="22"/>
          <w:szCs w:val="22"/>
          <w:lang w:val="sr-Latn-ME" w:eastAsia="hr-HR"/>
        </w:rPr>
        <w:t xml:space="preserve"> </w:t>
      </w:r>
      <w:proofErr w:type="spellStart"/>
      <w:r w:rsidRPr="002B09C8">
        <w:rPr>
          <w:i/>
          <w:snapToGrid w:val="0"/>
          <w:sz w:val="22"/>
          <w:szCs w:val="22"/>
          <w:lang w:val="sr-Latn-ME" w:eastAsia="hr-HR"/>
        </w:rPr>
        <w:t>modifying</w:t>
      </w:r>
      <w:proofErr w:type="spellEnd"/>
      <w:r w:rsidRPr="002B09C8">
        <w:rPr>
          <w:i/>
          <w:snapToGrid w:val="0"/>
          <w:sz w:val="22"/>
          <w:szCs w:val="22"/>
          <w:lang w:val="sr-Latn-ME" w:eastAsia="hr-HR"/>
        </w:rPr>
        <w:t xml:space="preserve"> </w:t>
      </w:r>
      <w:proofErr w:type="spellStart"/>
      <w:r w:rsidRPr="002B09C8">
        <w:rPr>
          <w:i/>
          <w:snapToGrid w:val="0"/>
          <w:sz w:val="22"/>
          <w:szCs w:val="22"/>
          <w:lang w:val="sr-Latn-ME" w:eastAsia="hr-HR"/>
        </w:rPr>
        <w:t>therapy</w:t>
      </w:r>
      <w:proofErr w:type="spellEnd"/>
      <w:r w:rsidRPr="002B09C8">
        <w:rPr>
          <w:snapToGrid w:val="0"/>
          <w:sz w:val="22"/>
          <w:szCs w:val="22"/>
          <w:lang w:val="sr-Latn-ME" w:eastAsia="hr-HR"/>
        </w:rPr>
        <w:t>, DMT) (iznimke i podatke o razdobljima ispiranja lijeka iz organizma vidjeti u djelovima 4.4 i 5.1).</w:t>
      </w:r>
    </w:p>
    <w:p w14:paraId="0CE7AA4E" w14:textId="77777777" w:rsidR="00FB74D3" w:rsidRPr="002B09C8" w:rsidRDefault="00FB74D3" w:rsidP="00C74431">
      <w:pPr>
        <w:widowControl w:val="0"/>
        <w:ind w:left="720"/>
        <w:jc w:val="both"/>
        <w:rPr>
          <w:sz w:val="22"/>
          <w:szCs w:val="22"/>
          <w:lang w:val="sr-Latn-ME"/>
        </w:rPr>
      </w:pPr>
    </w:p>
    <w:p w14:paraId="2E7D3A91" w14:textId="77777777" w:rsidR="00FB74D3" w:rsidRPr="002B09C8" w:rsidRDefault="00FB74D3" w:rsidP="00C74431">
      <w:pPr>
        <w:widowControl w:val="0"/>
        <w:ind w:left="567"/>
        <w:jc w:val="both"/>
        <w:rPr>
          <w:sz w:val="22"/>
          <w:szCs w:val="22"/>
          <w:lang w:val="sr-Latn-ME"/>
        </w:rPr>
      </w:pPr>
      <w:r w:rsidRPr="002B09C8">
        <w:rPr>
          <w:sz w:val="22"/>
          <w:szCs w:val="22"/>
          <w:lang w:val="sr-Latn-ME"/>
        </w:rPr>
        <w:t>ili</w:t>
      </w:r>
    </w:p>
    <w:p w14:paraId="153CAA6A" w14:textId="77777777" w:rsidR="00FB74D3" w:rsidRPr="002B09C8" w:rsidRDefault="00FB74D3" w:rsidP="00C74431">
      <w:pPr>
        <w:widowControl w:val="0"/>
        <w:ind w:left="720"/>
        <w:jc w:val="both"/>
        <w:rPr>
          <w:sz w:val="22"/>
          <w:szCs w:val="22"/>
          <w:lang w:val="sr-Latn-ME"/>
        </w:rPr>
      </w:pPr>
    </w:p>
    <w:p w14:paraId="536260E6" w14:textId="166939BF" w:rsidR="00FB74D3" w:rsidRPr="002B09C8" w:rsidRDefault="00FB74D3" w:rsidP="00C74431">
      <w:pPr>
        <w:widowControl w:val="0"/>
        <w:numPr>
          <w:ilvl w:val="0"/>
          <w:numId w:val="12"/>
        </w:numPr>
        <w:ind w:left="567" w:hanging="567"/>
        <w:jc w:val="both"/>
        <w:rPr>
          <w:sz w:val="22"/>
          <w:szCs w:val="22"/>
          <w:lang w:val="sr-Latn-ME"/>
        </w:rPr>
      </w:pPr>
      <w:r w:rsidRPr="002B09C8">
        <w:rPr>
          <w:sz w:val="22"/>
          <w:szCs w:val="22"/>
          <w:lang w:val="sr-Latn-ME"/>
        </w:rPr>
        <w:t xml:space="preserve">Pacijenti sa teškom </w:t>
      </w:r>
      <w:proofErr w:type="spellStart"/>
      <w:r w:rsidRPr="002B09C8">
        <w:rPr>
          <w:sz w:val="22"/>
          <w:szCs w:val="22"/>
          <w:lang w:val="sr-Latn-ME"/>
        </w:rPr>
        <w:t>brzonapredujućom</w:t>
      </w:r>
      <w:proofErr w:type="spellEnd"/>
      <w:r w:rsidRPr="002B09C8">
        <w:rPr>
          <w:sz w:val="22"/>
          <w:szCs w:val="22"/>
          <w:lang w:val="sr-Latn-ME"/>
        </w:rPr>
        <w:t xml:space="preserve"> </w:t>
      </w:r>
      <w:r w:rsidR="00696628" w:rsidRPr="002B09C8">
        <w:rPr>
          <w:sz w:val="22"/>
          <w:szCs w:val="22"/>
          <w:lang w:val="sr-Latn-ME"/>
        </w:rPr>
        <w:t>RRMS</w:t>
      </w:r>
      <w:r w:rsidRPr="002B09C8">
        <w:rPr>
          <w:sz w:val="22"/>
          <w:szCs w:val="22"/>
          <w:lang w:val="sr-Latn-ME"/>
        </w:rPr>
        <w:t xml:space="preserve"> definisanom sa 2 ili više </w:t>
      </w:r>
      <w:proofErr w:type="spellStart"/>
      <w:r w:rsidRPr="002B09C8">
        <w:rPr>
          <w:sz w:val="22"/>
          <w:szCs w:val="22"/>
          <w:lang w:val="sr-Latn-ME"/>
        </w:rPr>
        <w:t>onesposobljavajućih</w:t>
      </w:r>
      <w:proofErr w:type="spellEnd"/>
      <w:r w:rsidRPr="002B09C8">
        <w:rPr>
          <w:sz w:val="22"/>
          <w:szCs w:val="22"/>
          <w:lang w:val="sr-Latn-ME"/>
        </w:rPr>
        <w:t xml:space="preserve"> </w:t>
      </w:r>
      <w:proofErr w:type="spellStart"/>
      <w:r w:rsidRPr="002B09C8">
        <w:rPr>
          <w:sz w:val="22"/>
          <w:szCs w:val="22"/>
          <w:lang w:val="sr-Latn-ME"/>
        </w:rPr>
        <w:t>relapsa</w:t>
      </w:r>
      <w:proofErr w:type="spellEnd"/>
      <w:r w:rsidRPr="002B09C8">
        <w:rPr>
          <w:sz w:val="22"/>
          <w:szCs w:val="22"/>
          <w:lang w:val="sr-Latn-ME"/>
        </w:rPr>
        <w:t xml:space="preserve"> u jednoj godini i sa 1 ili više </w:t>
      </w:r>
      <w:proofErr w:type="spellStart"/>
      <w:r w:rsidRPr="002B09C8">
        <w:rPr>
          <w:sz w:val="22"/>
          <w:szCs w:val="22"/>
          <w:lang w:val="sr-Latn-ME"/>
        </w:rPr>
        <w:t>lezija</w:t>
      </w:r>
      <w:proofErr w:type="spellEnd"/>
      <w:r w:rsidRPr="002B09C8">
        <w:rPr>
          <w:sz w:val="22"/>
          <w:szCs w:val="22"/>
          <w:lang w:val="sr-Latn-ME"/>
        </w:rPr>
        <w:t xml:space="preserve"> utvrđenih gadolinijumom na </w:t>
      </w:r>
      <w:r w:rsidR="00696628" w:rsidRPr="002B09C8">
        <w:rPr>
          <w:sz w:val="22"/>
          <w:szCs w:val="22"/>
          <w:lang w:val="sr-Latn-ME"/>
        </w:rPr>
        <w:t>magnetnoj rezonanci (</w:t>
      </w:r>
      <w:r w:rsidRPr="002B09C8">
        <w:rPr>
          <w:sz w:val="22"/>
          <w:szCs w:val="22"/>
          <w:lang w:val="sr-Latn-ME"/>
        </w:rPr>
        <w:t>MR</w:t>
      </w:r>
      <w:r w:rsidR="00696628" w:rsidRPr="002B09C8">
        <w:rPr>
          <w:sz w:val="22"/>
          <w:szCs w:val="22"/>
          <w:lang w:val="sr-Latn-ME"/>
        </w:rPr>
        <w:t>)</w:t>
      </w:r>
      <w:r w:rsidRPr="002B09C8">
        <w:rPr>
          <w:sz w:val="22"/>
          <w:szCs w:val="22"/>
          <w:lang w:val="sr-Latn-ME"/>
        </w:rPr>
        <w:t xml:space="preserve"> mozga ili sa značajnim povećanjem opterećenja T2 </w:t>
      </w:r>
      <w:proofErr w:type="spellStart"/>
      <w:r w:rsidRPr="002B09C8">
        <w:rPr>
          <w:sz w:val="22"/>
          <w:szCs w:val="22"/>
          <w:lang w:val="sr-Latn-ME"/>
        </w:rPr>
        <w:t>lezijama</w:t>
      </w:r>
      <w:proofErr w:type="spellEnd"/>
      <w:r w:rsidRPr="002B09C8">
        <w:rPr>
          <w:sz w:val="22"/>
          <w:szCs w:val="22"/>
          <w:lang w:val="sr-Latn-ME"/>
        </w:rPr>
        <w:t xml:space="preserve"> u odnosu na prethodnu magnetnu rezonancu.</w:t>
      </w:r>
    </w:p>
    <w:p w14:paraId="002C40D5" w14:textId="3D981CAC" w:rsidR="00C8402F" w:rsidRPr="002B09C8" w:rsidRDefault="00C8402F" w:rsidP="00C74431">
      <w:pPr>
        <w:widowControl w:val="0"/>
        <w:rPr>
          <w:bCs/>
          <w:sz w:val="22"/>
          <w:szCs w:val="22"/>
          <w:lang w:val="sr-Latn-ME"/>
        </w:rPr>
      </w:pPr>
    </w:p>
    <w:p w14:paraId="3CBFE6B9" w14:textId="77777777" w:rsidR="00FB74D3" w:rsidRPr="002B09C8" w:rsidRDefault="00FB74D3" w:rsidP="00C74431">
      <w:pPr>
        <w:widowControl w:val="0"/>
        <w:tabs>
          <w:tab w:val="left" w:pos="540"/>
          <w:tab w:val="left" w:pos="569"/>
        </w:tabs>
        <w:jc w:val="both"/>
        <w:rPr>
          <w:b/>
          <w:bCs/>
          <w:sz w:val="22"/>
          <w:szCs w:val="22"/>
          <w:lang w:val="sr-Latn-ME"/>
        </w:rPr>
      </w:pPr>
      <w:r w:rsidRPr="002B09C8">
        <w:rPr>
          <w:b/>
          <w:bCs/>
          <w:sz w:val="22"/>
          <w:szCs w:val="22"/>
          <w:lang w:val="sr-Latn-ME"/>
        </w:rPr>
        <w:t xml:space="preserve">4.2. </w:t>
      </w:r>
      <w:r w:rsidRPr="002B09C8">
        <w:rPr>
          <w:b/>
          <w:bCs/>
          <w:sz w:val="22"/>
          <w:szCs w:val="22"/>
          <w:lang w:val="sr-Latn-ME"/>
        </w:rPr>
        <w:tab/>
        <w:t>Doziranje i način primjene</w:t>
      </w:r>
    </w:p>
    <w:p w14:paraId="29031BA8" w14:textId="77777777" w:rsidR="00FB74D3" w:rsidRPr="002B09C8" w:rsidRDefault="00FB74D3" w:rsidP="00C74431">
      <w:pPr>
        <w:widowControl w:val="0"/>
        <w:jc w:val="both"/>
        <w:rPr>
          <w:sz w:val="22"/>
          <w:szCs w:val="22"/>
          <w:lang w:val="sr-Latn-ME"/>
        </w:rPr>
      </w:pPr>
    </w:p>
    <w:p w14:paraId="7748B2BA" w14:textId="5DD91114" w:rsidR="00FB74D3" w:rsidRPr="002B09C8" w:rsidRDefault="00FB74D3" w:rsidP="00C74431">
      <w:pPr>
        <w:widowControl w:val="0"/>
        <w:jc w:val="both"/>
        <w:rPr>
          <w:sz w:val="22"/>
          <w:szCs w:val="22"/>
          <w:lang w:val="sr-Latn-ME"/>
        </w:rPr>
      </w:pPr>
      <w:r w:rsidRPr="002B09C8">
        <w:rPr>
          <w:sz w:val="22"/>
          <w:szCs w:val="22"/>
          <w:lang w:val="sr-Latn-ME"/>
        </w:rPr>
        <w:t>Terapiju treba da započne i neprestano prati ljekar specijalista sa iskustvom u dijagnozi i liječenju neuroloških stanja, u centrima gdje postoji stalan pristup uređaju za snimanje magnetnom rezonancom (MR).</w:t>
      </w:r>
    </w:p>
    <w:p w14:paraId="3AFD7A57" w14:textId="77777777" w:rsidR="00FB74D3" w:rsidRPr="002B09C8" w:rsidRDefault="00FB74D3" w:rsidP="00C74431">
      <w:pPr>
        <w:widowControl w:val="0"/>
        <w:jc w:val="both"/>
        <w:rPr>
          <w:sz w:val="22"/>
          <w:szCs w:val="22"/>
          <w:lang w:val="sr-Latn-ME"/>
        </w:rPr>
      </w:pPr>
    </w:p>
    <w:p w14:paraId="294B1D52" w14:textId="266093DC" w:rsidR="00FB74D3" w:rsidRPr="002B09C8" w:rsidRDefault="00FB74D3" w:rsidP="00C74431">
      <w:pPr>
        <w:widowControl w:val="0"/>
        <w:jc w:val="both"/>
        <w:rPr>
          <w:sz w:val="22"/>
          <w:szCs w:val="22"/>
          <w:lang w:val="sr-Latn-ME"/>
        </w:rPr>
      </w:pPr>
      <w:r w:rsidRPr="002B09C8">
        <w:rPr>
          <w:sz w:val="22"/>
          <w:szCs w:val="22"/>
          <w:lang w:val="sr-Latn-ME"/>
        </w:rPr>
        <w:t xml:space="preserve">Pacijentima liječenim </w:t>
      </w:r>
      <w:r w:rsidR="00696628" w:rsidRPr="002B09C8">
        <w:rPr>
          <w:sz w:val="22"/>
          <w:szCs w:val="22"/>
          <w:lang w:val="sr-Latn-ME"/>
        </w:rPr>
        <w:t xml:space="preserve">ovim </w:t>
      </w:r>
      <w:r w:rsidRPr="002B09C8">
        <w:rPr>
          <w:sz w:val="22"/>
          <w:szCs w:val="22"/>
          <w:lang w:val="sr-Latn-ME"/>
        </w:rPr>
        <w:t xml:space="preserve">lijekom mora se dati Kartica sa upozorenjem za pacijenta i moraju biti </w:t>
      </w:r>
      <w:r w:rsidRPr="002B09C8">
        <w:rPr>
          <w:sz w:val="22"/>
          <w:szCs w:val="22"/>
          <w:lang w:val="sr-Latn-ME"/>
        </w:rPr>
        <w:lastRenderedPageBreak/>
        <w:t xml:space="preserve">informisani o rizicima kod primjene lijeka (vidjeti takođe Uputstvo za pacijenta). Nakon 2 godine liječenja pacijente treba ponovo informisati o rizicima primjene lijeka, posebno o povećanom riziku od progresivne </w:t>
      </w:r>
      <w:proofErr w:type="spellStart"/>
      <w:r w:rsidRPr="002B09C8">
        <w:rPr>
          <w:sz w:val="22"/>
          <w:szCs w:val="22"/>
          <w:lang w:val="sr-Latn-ME"/>
        </w:rPr>
        <w:t>multifokalne</w:t>
      </w:r>
      <w:proofErr w:type="spellEnd"/>
      <w:r w:rsidRPr="002B09C8">
        <w:rPr>
          <w:sz w:val="22"/>
          <w:szCs w:val="22"/>
          <w:lang w:val="sr-Latn-ME"/>
        </w:rPr>
        <w:t xml:space="preserve"> </w:t>
      </w:r>
      <w:proofErr w:type="spellStart"/>
      <w:r w:rsidRPr="002B09C8">
        <w:rPr>
          <w:sz w:val="22"/>
          <w:szCs w:val="22"/>
          <w:lang w:val="sr-Latn-ME"/>
        </w:rPr>
        <w:t>leukoencefalopatije</w:t>
      </w:r>
      <w:proofErr w:type="spellEnd"/>
      <w:r w:rsidRPr="002B09C8">
        <w:rPr>
          <w:sz w:val="22"/>
          <w:szCs w:val="22"/>
          <w:lang w:val="sr-Latn-ME"/>
        </w:rPr>
        <w:t xml:space="preserve"> (PML), pa je neophodno da budu informisani zajedno sa svojim starateljima o ranim znakovima i simptomima PML-a.</w:t>
      </w:r>
    </w:p>
    <w:p w14:paraId="41B091BB" w14:textId="77777777" w:rsidR="00FB74D3" w:rsidRPr="002B09C8" w:rsidRDefault="00FB74D3" w:rsidP="00C74431">
      <w:pPr>
        <w:widowControl w:val="0"/>
        <w:jc w:val="both"/>
        <w:rPr>
          <w:sz w:val="22"/>
          <w:szCs w:val="22"/>
          <w:lang w:val="sr-Latn-ME"/>
        </w:rPr>
      </w:pPr>
    </w:p>
    <w:p w14:paraId="2DD37C97" w14:textId="77777777" w:rsidR="00FB74D3" w:rsidRPr="002B09C8" w:rsidRDefault="00FB74D3" w:rsidP="00C74431">
      <w:pPr>
        <w:widowControl w:val="0"/>
        <w:jc w:val="both"/>
        <w:rPr>
          <w:sz w:val="22"/>
          <w:szCs w:val="22"/>
          <w:lang w:val="sr-Latn-ME"/>
        </w:rPr>
      </w:pPr>
      <w:r w:rsidRPr="002B09C8">
        <w:rPr>
          <w:sz w:val="22"/>
          <w:szCs w:val="22"/>
          <w:lang w:val="sr-Latn-ME"/>
        </w:rPr>
        <w:t>Sredstva za liječenje reakcija preosjetljivosti i pristup MR treba da budu dostupni.</w:t>
      </w:r>
    </w:p>
    <w:p w14:paraId="255F758A" w14:textId="77777777" w:rsidR="00FB74D3" w:rsidRPr="002B09C8" w:rsidRDefault="00FB74D3" w:rsidP="00C74431">
      <w:pPr>
        <w:widowControl w:val="0"/>
        <w:jc w:val="both"/>
        <w:rPr>
          <w:sz w:val="22"/>
          <w:szCs w:val="22"/>
          <w:lang w:val="sr-Latn-ME"/>
        </w:rPr>
      </w:pPr>
    </w:p>
    <w:p w14:paraId="5A2CE9F3" w14:textId="5F66AE18" w:rsidR="00FB74D3" w:rsidRPr="002B09C8" w:rsidRDefault="00FB74D3" w:rsidP="00C74431">
      <w:pPr>
        <w:widowControl w:val="0"/>
        <w:jc w:val="both"/>
        <w:rPr>
          <w:sz w:val="22"/>
          <w:szCs w:val="22"/>
          <w:lang w:val="sr-Latn-ME"/>
        </w:rPr>
      </w:pPr>
      <w:r w:rsidRPr="002B09C8">
        <w:rPr>
          <w:sz w:val="22"/>
          <w:szCs w:val="22"/>
          <w:lang w:val="sr-Latn-ME"/>
        </w:rPr>
        <w:t xml:space="preserve">Neki pacijenti su možda bili izloženi </w:t>
      </w:r>
      <w:proofErr w:type="spellStart"/>
      <w:r w:rsidRPr="002B09C8">
        <w:rPr>
          <w:sz w:val="22"/>
          <w:szCs w:val="22"/>
          <w:lang w:val="sr-Latn-ME"/>
        </w:rPr>
        <w:t>imunosupresivnim</w:t>
      </w:r>
      <w:proofErr w:type="spellEnd"/>
      <w:r w:rsidRPr="002B09C8">
        <w:rPr>
          <w:sz w:val="22"/>
          <w:szCs w:val="22"/>
          <w:lang w:val="sr-Latn-ME"/>
        </w:rPr>
        <w:t xml:space="preserve"> ljekovima (npr. </w:t>
      </w:r>
      <w:proofErr w:type="spellStart"/>
      <w:r w:rsidRPr="002B09C8">
        <w:rPr>
          <w:sz w:val="22"/>
          <w:szCs w:val="22"/>
          <w:lang w:val="sr-Latn-ME"/>
        </w:rPr>
        <w:t>mitoksantronu</w:t>
      </w:r>
      <w:proofErr w:type="spellEnd"/>
      <w:r w:rsidRPr="002B09C8">
        <w:rPr>
          <w:sz w:val="22"/>
          <w:szCs w:val="22"/>
          <w:lang w:val="sr-Latn-ME"/>
        </w:rPr>
        <w:t xml:space="preserve">, </w:t>
      </w:r>
      <w:proofErr w:type="spellStart"/>
      <w:r w:rsidRPr="002B09C8">
        <w:rPr>
          <w:sz w:val="22"/>
          <w:szCs w:val="22"/>
          <w:lang w:val="sr-Latn-ME"/>
        </w:rPr>
        <w:t>ciklofosfamidu</w:t>
      </w:r>
      <w:proofErr w:type="spellEnd"/>
      <w:r w:rsidRPr="002B09C8">
        <w:rPr>
          <w:sz w:val="22"/>
          <w:szCs w:val="22"/>
          <w:lang w:val="sr-Latn-ME"/>
        </w:rPr>
        <w:t xml:space="preserve">, </w:t>
      </w:r>
      <w:proofErr w:type="spellStart"/>
      <w:r w:rsidRPr="002B09C8">
        <w:rPr>
          <w:sz w:val="22"/>
          <w:szCs w:val="22"/>
          <w:lang w:val="sr-Latn-ME"/>
        </w:rPr>
        <w:t>azatioprinu</w:t>
      </w:r>
      <w:proofErr w:type="spellEnd"/>
      <w:r w:rsidRPr="002B09C8">
        <w:rPr>
          <w:sz w:val="22"/>
          <w:szCs w:val="22"/>
          <w:lang w:val="sr-Latn-ME"/>
        </w:rPr>
        <w:t xml:space="preserve">). Ovi ljekovi mogu da izazovu produženu </w:t>
      </w:r>
      <w:proofErr w:type="spellStart"/>
      <w:r w:rsidRPr="002B09C8">
        <w:rPr>
          <w:sz w:val="22"/>
          <w:szCs w:val="22"/>
          <w:lang w:val="sr-Latn-ME"/>
        </w:rPr>
        <w:t>imunosupresiju</w:t>
      </w:r>
      <w:proofErr w:type="spellEnd"/>
      <w:r w:rsidRPr="002B09C8">
        <w:rPr>
          <w:sz w:val="22"/>
          <w:szCs w:val="22"/>
          <w:lang w:val="sr-Latn-ME"/>
        </w:rPr>
        <w:t xml:space="preserve">, čak i nakon prestanka davanja lijeka. Zato ljekar mora da potvrdi da ti pacijenti nijesu </w:t>
      </w:r>
      <w:proofErr w:type="spellStart"/>
      <w:r w:rsidRPr="002B09C8">
        <w:rPr>
          <w:sz w:val="22"/>
          <w:szCs w:val="22"/>
          <w:lang w:val="sr-Latn-ME"/>
        </w:rPr>
        <w:t>imunokompromitovani</w:t>
      </w:r>
      <w:proofErr w:type="spellEnd"/>
      <w:r w:rsidRPr="002B09C8">
        <w:rPr>
          <w:sz w:val="22"/>
          <w:szCs w:val="22"/>
          <w:lang w:val="sr-Latn-ME"/>
        </w:rPr>
        <w:t xml:space="preserve"> prije početka liječenja (vidjeti dio 4.4).</w:t>
      </w:r>
    </w:p>
    <w:p w14:paraId="0817FFAC" w14:textId="77777777" w:rsidR="00FB74D3" w:rsidRPr="002B09C8" w:rsidRDefault="00FB74D3" w:rsidP="00C74431">
      <w:pPr>
        <w:widowControl w:val="0"/>
        <w:jc w:val="both"/>
        <w:rPr>
          <w:sz w:val="22"/>
          <w:szCs w:val="22"/>
          <w:lang w:val="sr-Latn-ME"/>
        </w:rPr>
      </w:pPr>
    </w:p>
    <w:p w14:paraId="1BB82EA5" w14:textId="77777777" w:rsidR="00FB74D3" w:rsidRPr="002B09C8" w:rsidRDefault="00FB74D3" w:rsidP="00C74431">
      <w:pPr>
        <w:widowControl w:val="0"/>
        <w:tabs>
          <w:tab w:val="left" w:pos="6521"/>
        </w:tabs>
        <w:jc w:val="both"/>
        <w:rPr>
          <w:sz w:val="22"/>
          <w:szCs w:val="22"/>
          <w:u w:val="single"/>
          <w:lang w:val="sr-Latn-ME"/>
        </w:rPr>
      </w:pPr>
      <w:r w:rsidRPr="002B09C8">
        <w:rPr>
          <w:sz w:val="22"/>
          <w:szCs w:val="22"/>
          <w:u w:val="single"/>
          <w:lang w:val="sr-Latn-ME"/>
        </w:rPr>
        <w:t>Doziranje</w:t>
      </w:r>
    </w:p>
    <w:p w14:paraId="03E23C86" w14:textId="77777777" w:rsidR="00FB74D3" w:rsidRPr="002B09C8" w:rsidRDefault="00FB74D3" w:rsidP="00C74431">
      <w:pPr>
        <w:widowControl w:val="0"/>
        <w:tabs>
          <w:tab w:val="left" w:pos="6521"/>
        </w:tabs>
        <w:jc w:val="both"/>
        <w:rPr>
          <w:sz w:val="22"/>
          <w:szCs w:val="22"/>
          <w:u w:val="single"/>
          <w:lang w:val="sr-Latn-ME"/>
        </w:rPr>
      </w:pPr>
    </w:p>
    <w:p w14:paraId="19388639" w14:textId="0131AFD4" w:rsidR="00FB74D3" w:rsidRPr="002B09C8" w:rsidRDefault="00FB74D3" w:rsidP="00C74431">
      <w:pPr>
        <w:widowControl w:val="0"/>
        <w:tabs>
          <w:tab w:val="left" w:pos="6521"/>
        </w:tabs>
        <w:jc w:val="both"/>
        <w:rPr>
          <w:sz w:val="22"/>
          <w:szCs w:val="22"/>
          <w:lang w:val="sr-Latn-ME"/>
        </w:rPr>
      </w:pPr>
      <w:r w:rsidRPr="002B09C8">
        <w:rPr>
          <w:sz w:val="22"/>
          <w:szCs w:val="22"/>
          <w:lang w:val="sr-Latn-ME"/>
        </w:rPr>
        <w:t xml:space="preserve">Lijek </w:t>
      </w:r>
      <w:proofErr w:type="spellStart"/>
      <w:r w:rsidR="00680BF9" w:rsidRPr="002B09C8">
        <w:rPr>
          <w:sz w:val="22"/>
          <w:szCs w:val="22"/>
          <w:lang w:val="sr-Latn-ME"/>
        </w:rPr>
        <w:t>Tysabri</w:t>
      </w:r>
      <w:proofErr w:type="spellEnd"/>
      <w:r w:rsidR="00680BF9" w:rsidRPr="002B09C8">
        <w:rPr>
          <w:sz w:val="22"/>
          <w:szCs w:val="22"/>
          <w:lang w:val="sr-Latn-ME"/>
        </w:rPr>
        <w:t xml:space="preserve"> </w:t>
      </w:r>
      <w:r w:rsidRPr="002B09C8">
        <w:rPr>
          <w:sz w:val="22"/>
          <w:szCs w:val="22"/>
          <w:lang w:val="sr-Latn-ME"/>
        </w:rPr>
        <w:t xml:space="preserve">300 mg se primjenjuje putem </w:t>
      </w:r>
      <w:proofErr w:type="spellStart"/>
      <w:r w:rsidRPr="002B09C8">
        <w:rPr>
          <w:sz w:val="22"/>
          <w:szCs w:val="22"/>
          <w:lang w:val="sr-Latn-ME"/>
        </w:rPr>
        <w:t>intravenske</w:t>
      </w:r>
      <w:proofErr w:type="spellEnd"/>
      <w:r w:rsidRPr="002B09C8">
        <w:rPr>
          <w:sz w:val="22"/>
          <w:szCs w:val="22"/>
          <w:lang w:val="sr-Latn-ME"/>
        </w:rPr>
        <w:t xml:space="preserve"> infuzije jednom svake 4 sedmice.</w:t>
      </w:r>
    </w:p>
    <w:p w14:paraId="2881EC42" w14:textId="77777777" w:rsidR="00FB74D3" w:rsidRPr="002B09C8" w:rsidRDefault="00FB74D3" w:rsidP="00C74431">
      <w:pPr>
        <w:widowControl w:val="0"/>
        <w:tabs>
          <w:tab w:val="left" w:pos="6521"/>
        </w:tabs>
        <w:jc w:val="both"/>
        <w:rPr>
          <w:sz w:val="22"/>
          <w:szCs w:val="22"/>
          <w:lang w:val="sr-Latn-ME"/>
        </w:rPr>
      </w:pPr>
    </w:p>
    <w:p w14:paraId="1B51789F" w14:textId="77777777" w:rsidR="00FB74D3" w:rsidRPr="002B09C8" w:rsidRDefault="00FB74D3" w:rsidP="00C74431">
      <w:pPr>
        <w:widowControl w:val="0"/>
        <w:jc w:val="both"/>
        <w:rPr>
          <w:sz w:val="22"/>
          <w:szCs w:val="22"/>
          <w:lang w:val="sr-Latn-ME"/>
        </w:rPr>
      </w:pPr>
      <w:r w:rsidRPr="002B09C8">
        <w:rPr>
          <w:sz w:val="22"/>
          <w:szCs w:val="22"/>
          <w:lang w:val="sr-Latn-ME"/>
        </w:rPr>
        <w:t>Nastavak terapije se mora pažljivo ponovo razmotriti kod pacijenata kod kojih nema vidljive koristi od primjene terapije nakon 6 mjeseci.</w:t>
      </w:r>
    </w:p>
    <w:p w14:paraId="1F8D1AAB" w14:textId="77777777" w:rsidR="00FB74D3" w:rsidRPr="002B09C8" w:rsidRDefault="00FB74D3" w:rsidP="00C74431">
      <w:pPr>
        <w:widowControl w:val="0"/>
        <w:jc w:val="both"/>
        <w:rPr>
          <w:sz w:val="22"/>
          <w:szCs w:val="22"/>
          <w:lang w:val="sr-Latn-ME"/>
        </w:rPr>
      </w:pPr>
    </w:p>
    <w:p w14:paraId="0344E0BA" w14:textId="0BD6F0A0" w:rsidR="00FB74D3" w:rsidRPr="002B09C8" w:rsidRDefault="00FB74D3" w:rsidP="00C74431">
      <w:pPr>
        <w:widowControl w:val="0"/>
        <w:jc w:val="both"/>
        <w:rPr>
          <w:sz w:val="22"/>
          <w:szCs w:val="22"/>
          <w:lang w:val="sr-Latn-ME"/>
        </w:rPr>
      </w:pPr>
      <w:r w:rsidRPr="002B09C8">
        <w:rPr>
          <w:sz w:val="22"/>
          <w:szCs w:val="22"/>
          <w:lang w:val="sr-Latn-ME"/>
        </w:rPr>
        <w:t xml:space="preserve">Podaci o bezbjednosti i efikasnosti </w:t>
      </w:r>
      <w:proofErr w:type="spellStart"/>
      <w:r w:rsidRPr="002B09C8">
        <w:rPr>
          <w:sz w:val="22"/>
          <w:szCs w:val="22"/>
          <w:lang w:val="sr-Latn-ME"/>
        </w:rPr>
        <w:t>natalizumaba</w:t>
      </w:r>
      <w:proofErr w:type="spellEnd"/>
      <w:r w:rsidRPr="002B09C8">
        <w:rPr>
          <w:sz w:val="22"/>
          <w:szCs w:val="22"/>
          <w:lang w:val="sr-Latn-ME"/>
        </w:rPr>
        <w:t xml:space="preserve"> dobijeni su iz dvogodišnjih kon</w:t>
      </w:r>
      <w:r w:rsidR="009A3116" w:rsidRPr="002B09C8">
        <w:rPr>
          <w:sz w:val="22"/>
          <w:szCs w:val="22"/>
          <w:lang w:val="sr-Latn-ME"/>
        </w:rPr>
        <w:t>t</w:t>
      </w:r>
      <w:r w:rsidRPr="002B09C8">
        <w:rPr>
          <w:sz w:val="22"/>
          <w:szCs w:val="22"/>
          <w:lang w:val="sr-Latn-ME"/>
        </w:rPr>
        <w:t xml:space="preserve">rolisanih dvostruko slijepih ispitivanja. Nakon 2 godine nastavak terapije treba razmotriti tek nakon ponovne procjene moguće koristi i rizika. Pacijente treba ponovo informisati o rizičnim faktorima za PML, kao što su trajanje liječenja, upotreba </w:t>
      </w:r>
      <w:proofErr w:type="spellStart"/>
      <w:r w:rsidRPr="002B09C8">
        <w:rPr>
          <w:sz w:val="22"/>
          <w:szCs w:val="22"/>
          <w:lang w:val="sr-Latn-ME"/>
        </w:rPr>
        <w:t>imunosupresiva</w:t>
      </w:r>
      <w:proofErr w:type="spellEnd"/>
      <w:r w:rsidRPr="002B09C8">
        <w:rPr>
          <w:sz w:val="22"/>
          <w:szCs w:val="22"/>
          <w:lang w:val="sr-Latn-ME"/>
        </w:rPr>
        <w:t xml:space="preserve"> prije primjene </w:t>
      </w:r>
      <w:r w:rsidR="00680BF9" w:rsidRPr="002B09C8">
        <w:rPr>
          <w:sz w:val="22"/>
          <w:szCs w:val="22"/>
          <w:lang w:val="sr-Latn-ME"/>
        </w:rPr>
        <w:t xml:space="preserve">ovog </w:t>
      </w:r>
      <w:r w:rsidRPr="002B09C8">
        <w:rPr>
          <w:sz w:val="22"/>
          <w:szCs w:val="22"/>
          <w:lang w:val="sr-Latn-ME"/>
        </w:rPr>
        <w:t>lijeka i prisustvo anti-JCV antitijela (vidjeti dio 4.4).</w:t>
      </w:r>
    </w:p>
    <w:p w14:paraId="046DE171" w14:textId="77777777" w:rsidR="00FB74D3" w:rsidRPr="002B09C8" w:rsidRDefault="00FB74D3" w:rsidP="00C74431">
      <w:pPr>
        <w:widowControl w:val="0"/>
        <w:jc w:val="both"/>
        <w:rPr>
          <w:sz w:val="22"/>
          <w:szCs w:val="22"/>
          <w:lang w:val="sr-Latn-ME"/>
        </w:rPr>
      </w:pPr>
    </w:p>
    <w:p w14:paraId="066E636E" w14:textId="77777777" w:rsidR="00FB74D3" w:rsidRPr="002B09C8" w:rsidRDefault="00FB74D3" w:rsidP="00C74431">
      <w:pPr>
        <w:widowControl w:val="0"/>
        <w:tabs>
          <w:tab w:val="left" w:pos="6521"/>
        </w:tabs>
        <w:jc w:val="both"/>
        <w:rPr>
          <w:i/>
          <w:sz w:val="22"/>
          <w:szCs w:val="22"/>
          <w:lang w:val="sr-Latn-ME"/>
        </w:rPr>
      </w:pPr>
      <w:r w:rsidRPr="002B09C8">
        <w:rPr>
          <w:i/>
          <w:sz w:val="22"/>
          <w:szCs w:val="22"/>
          <w:lang w:val="sr-Latn-ME"/>
        </w:rPr>
        <w:t>Ponovljena primjena</w:t>
      </w:r>
    </w:p>
    <w:p w14:paraId="53E91FFC" w14:textId="77777777" w:rsidR="00FB74D3" w:rsidRPr="002B09C8" w:rsidRDefault="00FB74D3" w:rsidP="00C74431">
      <w:pPr>
        <w:widowControl w:val="0"/>
        <w:tabs>
          <w:tab w:val="left" w:pos="6521"/>
        </w:tabs>
        <w:jc w:val="both"/>
        <w:rPr>
          <w:sz w:val="22"/>
          <w:szCs w:val="22"/>
          <w:lang w:val="sr-Latn-ME"/>
        </w:rPr>
      </w:pPr>
    </w:p>
    <w:p w14:paraId="317CD780" w14:textId="77777777" w:rsidR="00FB74D3" w:rsidRPr="002B09C8" w:rsidRDefault="00FB74D3" w:rsidP="00C74431">
      <w:pPr>
        <w:widowControl w:val="0"/>
        <w:tabs>
          <w:tab w:val="left" w:pos="6521"/>
        </w:tabs>
        <w:jc w:val="both"/>
        <w:rPr>
          <w:sz w:val="22"/>
          <w:szCs w:val="22"/>
          <w:lang w:val="sr-Latn-ME"/>
        </w:rPr>
      </w:pPr>
      <w:r w:rsidRPr="002B09C8">
        <w:rPr>
          <w:sz w:val="22"/>
          <w:szCs w:val="22"/>
          <w:lang w:val="sr-Latn-ME"/>
        </w:rPr>
        <w:t>Efikasnost ponovljene primjene lijeka nije bila utvrđena, za bezbjednost vidjeti dio 4.4.</w:t>
      </w:r>
    </w:p>
    <w:p w14:paraId="1D640AFD" w14:textId="77777777" w:rsidR="00FB74D3" w:rsidRPr="002B09C8" w:rsidRDefault="00FB74D3" w:rsidP="00C74431">
      <w:pPr>
        <w:widowControl w:val="0"/>
        <w:tabs>
          <w:tab w:val="left" w:pos="6521"/>
        </w:tabs>
        <w:jc w:val="both"/>
        <w:rPr>
          <w:sz w:val="22"/>
          <w:szCs w:val="22"/>
          <w:lang w:val="sr-Latn-ME"/>
        </w:rPr>
      </w:pPr>
    </w:p>
    <w:p w14:paraId="22065C4F" w14:textId="60889FA8" w:rsidR="00FB74D3" w:rsidRPr="002B09C8" w:rsidRDefault="00FB74D3" w:rsidP="00C74431">
      <w:pPr>
        <w:widowControl w:val="0"/>
        <w:tabs>
          <w:tab w:val="left" w:pos="6521"/>
        </w:tabs>
        <w:jc w:val="both"/>
        <w:rPr>
          <w:sz w:val="22"/>
          <w:szCs w:val="22"/>
          <w:u w:val="single"/>
          <w:lang w:val="sr-Latn-ME"/>
        </w:rPr>
      </w:pPr>
      <w:r w:rsidRPr="002B09C8">
        <w:rPr>
          <w:sz w:val="22"/>
          <w:szCs w:val="22"/>
          <w:u w:val="single"/>
          <w:lang w:val="sr-Latn-ME"/>
        </w:rPr>
        <w:t>Posebne populacije</w:t>
      </w:r>
      <w:r w:rsidR="00680BF9" w:rsidRPr="002B09C8">
        <w:rPr>
          <w:sz w:val="22"/>
          <w:szCs w:val="22"/>
          <w:u w:val="single"/>
          <w:lang w:val="sr-Latn-ME"/>
        </w:rPr>
        <w:t xml:space="preserve"> pacijenata</w:t>
      </w:r>
    </w:p>
    <w:p w14:paraId="691018B7" w14:textId="77777777" w:rsidR="00FB74D3" w:rsidRPr="002B09C8" w:rsidRDefault="00FB74D3" w:rsidP="00C74431">
      <w:pPr>
        <w:widowControl w:val="0"/>
        <w:tabs>
          <w:tab w:val="left" w:pos="6521"/>
        </w:tabs>
        <w:jc w:val="both"/>
        <w:rPr>
          <w:i/>
          <w:sz w:val="22"/>
          <w:szCs w:val="22"/>
          <w:lang w:val="sr-Latn-ME"/>
        </w:rPr>
      </w:pPr>
    </w:p>
    <w:p w14:paraId="29911267" w14:textId="77777777" w:rsidR="00FB74D3" w:rsidRPr="002B09C8" w:rsidRDefault="00FB74D3" w:rsidP="00C74431">
      <w:pPr>
        <w:widowControl w:val="0"/>
        <w:tabs>
          <w:tab w:val="left" w:pos="6521"/>
        </w:tabs>
        <w:jc w:val="both"/>
        <w:rPr>
          <w:i/>
          <w:sz w:val="22"/>
          <w:szCs w:val="22"/>
          <w:lang w:val="sr-Latn-ME"/>
        </w:rPr>
      </w:pPr>
      <w:r w:rsidRPr="002B09C8">
        <w:rPr>
          <w:i/>
          <w:sz w:val="22"/>
          <w:szCs w:val="22"/>
          <w:lang w:val="sr-Latn-ME"/>
        </w:rPr>
        <w:t>Starije osobe</w:t>
      </w:r>
    </w:p>
    <w:p w14:paraId="3D7BBECD" w14:textId="77777777" w:rsidR="00FB74D3" w:rsidRPr="002B09C8" w:rsidRDefault="00FB74D3" w:rsidP="00C74431">
      <w:pPr>
        <w:widowControl w:val="0"/>
        <w:tabs>
          <w:tab w:val="left" w:pos="6521"/>
        </w:tabs>
        <w:jc w:val="both"/>
        <w:rPr>
          <w:sz w:val="22"/>
          <w:szCs w:val="22"/>
          <w:u w:val="single"/>
          <w:lang w:val="sr-Latn-ME"/>
        </w:rPr>
      </w:pPr>
    </w:p>
    <w:p w14:paraId="4F539FF4" w14:textId="099CAD87" w:rsidR="00FB74D3" w:rsidRPr="002B09C8" w:rsidRDefault="00680BF9" w:rsidP="00C74431">
      <w:pPr>
        <w:widowControl w:val="0"/>
        <w:tabs>
          <w:tab w:val="left" w:pos="6521"/>
        </w:tabs>
        <w:jc w:val="both"/>
        <w:rPr>
          <w:sz w:val="22"/>
          <w:szCs w:val="22"/>
          <w:lang w:val="sr-Latn-ME"/>
        </w:rPr>
      </w:pPr>
      <w:r w:rsidRPr="002B09C8">
        <w:rPr>
          <w:sz w:val="22"/>
          <w:szCs w:val="22"/>
          <w:lang w:val="sr-Latn-ME"/>
        </w:rPr>
        <w:t>Ovaj l</w:t>
      </w:r>
      <w:r w:rsidR="00FB74D3" w:rsidRPr="002B09C8">
        <w:rPr>
          <w:sz w:val="22"/>
          <w:szCs w:val="22"/>
          <w:lang w:val="sr-Latn-ME"/>
        </w:rPr>
        <w:t>ijek nije preporučljiv za upotrebu kod pacijenata starijih od 65 godina zbog nedostatka podataka za ovu populacije.</w:t>
      </w:r>
    </w:p>
    <w:p w14:paraId="562C398B" w14:textId="77777777" w:rsidR="00FB74D3" w:rsidRPr="002B09C8" w:rsidRDefault="00FB74D3" w:rsidP="00C74431">
      <w:pPr>
        <w:widowControl w:val="0"/>
        <w:tabs>
          <w:tab w:val="left" w:pos="6521"/>
        </w:tabs>
        <w:jc w:val="both"/>
        <w:rPr>
          <w:sz w:val="22"/>
          <w:szCs w:val="22"/>
          <w:lang w:val="sr-Latn-ME"/>
        </w:rPr>
      </w:pPr>
    </w:p>
    <w:p w14:paraId="79A86488" w14:textId="77777777" w:rsidR="00FB74D3" w:rsidRPr="002B09C8" w:rsidRDefault="00FB74D3" w:rsidP="00C74431">
      <w:pPr>
        <w:widowControl w:val="0"/>
        <w:tabs>
          <w:tab w:val="left" w:pos="6521"/>
        </w:tabs>
        <w:jc w:val="both"/>
        <w:rPr>
          <w:i/>
          <w:sz w:val="22"/>
          <w:szCs w:val="22"/>
          <w:lang w:val="sr-Latn-ME"/>
        </w:rPr>
      </w:pPr>
      <w:r w:rsidRPr="002B09C8">
        <w:rPr>
          <w:i/>
          <w:sz w:val="22"/>
          <w:szCs w:val="22"/>
          <w:lang w:val="sr-Latn-ME"/>
        </w:rPr>
        <w:t>Oštećenje funkcije bubrega i jetre</w:t>
      </w:r>
    </w:p>
    <w:p w14:paraId="4C25A9D8" w14:textId="77777777" w:rsidR="00FB74D3" w:rsidRPr="002B09C8" w:rsidRDefault="00FB74D3" w:rsidP="00C74431">
      <w:pPr>
        <w:widowControl w:val="0"/>
        <w:tabs>
          <w:tab w:val="left" w:pos="6521"/>
        </w:tabs>
        <w:jc w:val="both"/>
        <w:rPr>
          <w:sz w:val="22"/>
          <w:szCs w:val="22"/>
          <w:lang w:val="sr-Latn-ME"/>
        </w:rPr>
      </w:pPr>
    </w:p>
    <w:p w14:paraId="5BF1A7CC" w14:textId="77777777" w:rsidR="00FB74D3" w:rsidRPr="002B09C8" w:rsidRDefault="00FB74D3" w:rsidP="00C74431">
      <w:pPr>
        <w:widowControl w:val="0"/>
        <w:tabs>
          <w:tab w:val="left" w:pos="6521"/>
        </w:tabs>
        <w:jc w:val="both"/>
        <w:rPr>
          <w:sz w:val="22"/>
          <w:szCs w:val="22"/>
          <w:lang w:val="sr-Latn-ME"/>
        </w:rPr>
      </w:pPr>
      <w:r w:rsidRPr="002B09C8">
        <w:rPr>
          <w:sz w:val="22"/>
          <w:szCs w:val="22"/>
          <w:lang w:val="sr-Latn-ME"/>
        </w:rPr>
        <w:t>Nijesu sprovedena ispitivanja koja bi ispital</w:t>
      </w:r>
      <w:r w:rsidRPr="002B09C8">
        <w:rPr>
          <w:strike/>
          <w:sz w:val="22"/>
          <w:szCs w:val="22"/>
          <w:lang w:val="sr-Latn-ME"/>
        </w:rPr>
        <w:t>a</w:t>
      </w:r>
      <w:r w:rsidRPr="002B09C8">
        <w:rPr>
          <w:sz w:val="22"/>
          <w:szCs w:val="22"/>
          <w:lang w:val="sr-Latn-ME"/>
        </w:rPr>
        <w:t xml:space="preserve"> efekte oštećenja funkcije bubrega ili jetre.</w:t>
      </w:r>
    </w:p>
    <w:p w14:paraId="60BF1F44" w14:textId="77777777" w:rsidR="00FB74D3" w:rsidRPr="002B09C8" w:rsidRDefault="00FB74D3" w:rsidP="00C74431">
      <w:pPr>
        <w:widowControl w:val="0"/>
        <w:tabs>
          <w:tab w:val="left" w:pos="6521"/>
        </w:tabs>
        <w:jc w:val="both"/>
        <w:rPr>
          <w:sz w:val="22"/>
          <w:szCs w:val="22"/>
          <w:lang w:val="sr-Latn-ME"/>
        </w:rPr>
      </w:pPr>
    </w:p>
    <w:p w14:paraId="1F1F4B99" w14:textId="451E4FC1" w:rsidR="00FB74D3" w:rsidRPr="002B09C8" w:rsidRDefault="00FB74D3" w:rsidP="00C74431">
      <w:pPr>
        <w:widowControl w:val="0"/>
        <w:tabs>
          <w:tab w:val="left" w:pos="6521"/>
        </w:tabs>
        <w:jc w:val="both"/>
        <w:rPr>
          <w:sz w:val="22"/>
          <w:szCs w:val="22"/>
          <w:lang w:val="sr-Latn-ME"/>
        </w:rPr>
      </w:pPr>
      <w:r w:rsidRPr="002B09C8">
        <w:rPr>
          <w:sz w:val="22"/>
          <w:szCs w:val="22"/>
          <w:lang w:val="sr-Latn-ME"/>
        </w:rPr>
        <w:t>Na osnovu mehaniz</w:t>
      </w:r>
      <w:r w:rsidR="000610DB" w:rsidRPr="002B09C8">
        <w:rPr>
          <w:sz w:val="22"/>
          <w:szCs w:val="22"/>
          <w:lang w:val="sr-Latn-ME"/>
        </w:rPr>
        <w:t>ma</w:t>
      </w:r>
      <w:r w:rsidRPr="002B09C8">
        <w:rPr>
          <w:sz w:val="22"/>
          <w:szCs w:val="22"/>
          <w:lang w:val="sr-Latn-ME"/>
        </w:rPr>
        <w:t xml:space="preserve"> eliminacije i rezultata iz </w:t>
      </w:r>
      <w:proofErr w:type="spellStart"/>
      <w:r w:rsidRPr="002B09C8">
        <w:rPr>
          <w:sz w:val="22"/>
          <w:szCs w:val="22"/>
          <w:lang w:val="sr-Latn-ME"/>
        </w:rPr>
        <w:t>populacijske</w:t>
      </w:r>
      <w:proofErr w:type="spellEnd"/>
      <w:r w:rsidRPr="002B09C8">
        <w:rPr>
          <w:sz w:val="22"/>
          <w:szCs w:val="22"/>
          <w:lang w:val="sr-Latn-ME"/>
        </w:rPr>
        <w:t xml:space="preserve"> </w:t>
      </w:r>
      <w:proofErr w:type="spellStart"/>
      <w:r w:rsidRPr="002B09C8">
        <w:rPr>
          <w:sz w:val="22"/>
          <w:szCs w:val="22"/>
          <w:lang w:val="sr-Latn-ME"/>
        </w:rPr>
        <w:t>farmakokinetike</w:t>
      </w:r>
      <w:proofErr w:type="spellEnd"/>
      <w:r w:rsidRPr="002B09C8">
        <w:rPr>
          <w:sz w:val="22"/>
          <w:szCs w:val="22"/>
          <w:lang w:val="sr-Latn-ME"/>
        </w:rPr>
        <w:t>, može se zaključiti da prilagođavanje doze nije neophodno kod pacijenata sa oštećenjem funkcije bubrega ili jetre.</w:t>
      </w:r>
    </w:p>
    <w:p w14:paraId="0EA3E289" w14:textId="77777777" w:rsidR="00FB74D3" w:rsidRPr="002B09C8" w:rsidRDefault="00FB74D3" w:rsidP="00C74431">
      <w:pPr>
        <w:widowControl w:val="0"/>
        <w:tabs>
          <w:tab w:val="left" w:pos="6521"/>
        </w:tabs>
        <w:jc w:val="both"/>
        <w:rPr>
          <w:sz w:val="22"/>
          <w:szCs w:val="22"/>
          <w:lang w:val="sr-Latn-ME"/>
        </w:rPr>
      </w:pPr>
    </w:p>
    <w:p w14:paraId="40364CDB" w14:textId="77777777" w:rsidR="00FB74D3" w:rsidRPr="002B09C8" w:rsidRDefault="00FB74D3" w:rsidP="00C74431">
      <w:pPr>
        <w:widowControl w:val="0"/>
        <w:tabs>
          <w:tab w:val="left" w:pos="6521"/>
        </w:tabs>
        <w:jc w:val="both"/>
        <w:rPr>
          <w:i/>
          <w:sz w:val="22"/>
          <w:szCs w:val="22"/>
          <w:lang w:val="sr-Latn-ME"/>
        </w:rPr>
      </w:pPr>
      <w:r w:rsidRPr="002B09C8">
        <w:rPr>
          <w:i/>
          <w:sz w:val="22"/>
          <w:szCs w:val="22"/>
          <w:lang w:val="sr-Latn-ME"/>
        </w:rPr>
        <w:t>Pedijatrijska populacija</w:t>
      </w:r>
    </w:p>
    <w:p w14:paraId="7E2F320A" w14:textId="77777777" w:rsidR="00FB74D3" w:rsidRPr="002B09C8" w:rsidRDefault="00FB74D3" w:rsidP="00C74431">
      <w:pPr>
        <w:widowControl w:val="0"/>
        <w:tabs>
          <w:tab w:val="left" w:pos="6521"/>
        </w:tabs>
        <w:jc w:val="both"/>
        <w:rPr>
          <w:sz w:val="22"/>
          <w:szCs w:val="22"/>
          <w:u w:val="single"/>
          <w:lang w:val="sr-Latn-ME"/>
        </w:rPr>
      </w:pPr>
    </w:p>
    <w:p w14:paraId="739FAA95" w14:textId="2724A897" w:rsidR="00FB74D3" w:rsidRPr="002B09C8" w:rsidRDefault="00FB74D3" w:rsidP="00C74431">
      <w:pPr>
        <w:widowControl w:val="0"/>
        <w:tabs>
          <w:tab w:val="left" w:pos="6521"/>
        </w:tabs>
        <w:jc w:val="both"/>
        <w:rPr>
          <w:sz w:val="22"/>
          <w:szCs w:val="22"/>
          <w:lang w:val="sr-Latn-ME"/>
        </w:rPr>
      </w:pPr>
      <w:r w:rsidRPr="002B09C8">
        <w:rPr>
          <w:sz w:val="22"/>
          <w:szCs w:val="22"/>
          <w:lang w:val="sr-Latn-ME"/>
        </w:rPr>
        <w:t xml:space="preserve">Sigurnost i djelotvornost </w:t>
      </w:r>
      <w:r w:rsidR="00680BF9" w:rsidRPr="002B09C8">
        <w:rPr>
          <w:sz w:val="22"/>
          <w:szCs w:val="22"/>
          <w:lang w:val="sr-Latn-ME"/>
        </w:rPr>
        <w:t xml:space="preserve">ovog </w:t>
      </w:r>
      <w:r w:rsidRPr="002B09C8">
        <w:rPr>
          <w:sz w:val="22"/>
          <w:szCs w:val="22"/>
          <w:lang w:val="sr-Latn-ME"/>
        </w:rPr>
        <w:t>lijeka kod djece i adolescenata u dobi do 18 godina nijesu ustanovljene. Trenutno dostupni podaci opisani su u djelovima 4.8 i 5.1.</w:t>
      </w:r>
    </w:p>
    <w:p w14:paraId="4F600732" w14:textId="77777777" w:rsidR="00FB74D3" w:rsidRPr="002B09C8" w:rsidRDefault="00FB74D3" w:rsidP="00C74431">
      <w:pPr>
        <w:widowControl w:val="0"/>
        <w:tabs>
          <w:tab w:val="left" w:pos="6521"/>
        </w:tabs>
        <w:jc w:val="both"/>
        <w:rPr>
          <w:sz w:val="22"/>
          <w:szCs w:val="22"/>
          <w:u w:val="single"/>
          <w:lang w:val="sr-Latn-ME"/>
        </w:rPr>
      </w:pPr>
    </w:p>
    <w:p w14:paraId="3200E6C0" w14:textId="77777777" w:rsidR="00FB74D3" w:rsidRPr="002B09C8" w:rsidRDefault="00FB74D3" w:rsidP="00C74431">
      <w:pPr>
        <w:widowControl w:val="0"/>
        <w:tabs>
          <w:tab w:val="left" w:pos="6521"/>
        </w:tabs>
        <w:jc w:val="both"/>
        <w:rPr>
          <w:sz w:val="22"/>
          <w:szCs w:val="22"/>
          <w:u w:val="single"/>
          <w:lang w:val="sr-Latn-ME"/>
        </w:rPr>
      </w:pPr>
      <w:r w:rsidRPr="002B09C8">
        <w:rPr>
          <w:sz w:val="22"/>
          <w:szCs w:val="22"/>
          <w:u w:val="single"/>
          <w:lang w:val="sr-Latn-ME"/>
        </w:rPr>
        <w:t>Način primjene</w:t>
      </w:r>
    </w:p>
    <w:p w14:paraId="67A12891" w14:textId="77777777" w:rsidR="00FB74D3" w:rsidRPr="002B09C8" w:rsidRDefault="00FB74D3" w:rsidP="00C74431">
      <w:pPr>
        <w:widowControl w:val="0"/>
        <w:tabs>
          <w:tab w:val="left" w:pos="6521"/>
        </w:tabs>
        <w:jc w:val="both"/>
        <w:rPr>
          <w:sz w:val="22"/>
          <w:szCs w:val="22"/>
          <w:u w:val="single"/>
          <w:lang w:val="sr-Latn-ME"/>
        </w:rPr>
      </w:pPr>
    </w:p>
    <w:p w14:paraId="2C9E3432" w14:textId="7F867D6E" w:rsidR="00FB74D3" w:rsidRPr="002B09C8" w:rsidRDefault="00680BF9" w:rsidP="00C74431">
      <w:pPr>
        <w:widowControl w:val="0"/>
        <w:tabs>
          <w:tab w:val="left" w:pos="6521"/>
        </w:tabs>
        <w:jc w:val="both"/>
        <w:rPr>
          <w:sz w:val="22"/>
          <w:szCs w:val="22"/>
          <w:lang w:val="sr-Latn-ME"/>
        </w:rPr>
      </w:pPr>
      <w:r w:rsidRPr="002B09C8">
        <w:rPr>
          <w:sz w:val="22"/>
          <w:szCs w:val="22"/>
          <w:lang w:val="sr-Latn-ME"/>
        </w:rPr>
        <w:t>Ovaj l</w:t>
      </w:r>
      <w:r w:rsidR="00FB74D3" w:rsidRPr="002B09C8">
        <w:rPr>
          <w:sz w:val="22"/>
          <w:szCs w:val="22"/>
          <w:lang w:val="sr-Latn-ME"/>
        </w:rPr>
        <w:t xml:space="preserve">ijek je namijenjen za </w:t>
      </w:r>
      <w:proofErr w:type="spellStart"/>
      <w:r w:rsidR="00FB74D3" w:rsidRPr="002B09C8">
        <w:rPr>
          <w:sz w:val="22"/>
          <w:szCs w:val="22"/>
          <w:lang w:val="sr-Latn-ME"/>
        </w:rPr>
        <w:t>intravensku</w:t>
      </w:r>
      <w:proofErr w:type="spellEnd"/>
      <w:r w:rsidR="00FB74D3" w:rsidRPr="002B09C8">
        <w:rPr>
          <w:sz w:val="22"/>
          <w:szCs w:val="22"/>
          <w:lang w:val="sr-Latn-ME"/>
        </w:rPr>
        <w:t xml:space="preserve"> primjenu.</w:t>
      </w:r>
    </w:p>
    <w:p w14:paraId="4C451CC2" w14:textId="77777777" w:rsidR="00FB74D3" w:rsidRPr="002B09C8" w:rsidRDefault="00FB74D3" w:rsidP="00C74431">
      <w:pPr>
        <w:widowControl w:val="0"/>
        <w:tabs>
          <w:tab w:val="left" w:pos="6521"/>
        </w:tabs>
        <w:jc w:val="both"/>
        <w:rPr>
          <w:sz w:val="22"/>
          <w:szCs w:val="22"/>
          <w:lang w:val="sr-Latn-ME"/>
        </w:rPr>
      </w:pPr>
    </w:p>
    <w:p w14:paraId="126D19F8" w14:textId="77777777" w:rsidR="00FB74D3" w:rsidRPr="002B09C8" w:rsidRDefault="00FB74D3" w:rsidP="00C74431">
      <w:pPr>
        <w:widowControl w:val="0"/>
        <w:tabs>
          <w:tab w:val="left" w:pos="6521"/>
        </w:tabs>
        <w:jc w:val="both"/>
        <w:rPr>
          <w:sz w:val="22"/>
          <w:szCs w:val="22"/>
          <w:lang w:val="sr-Latn-ME"/>
        </w:rPr>
      </w:pPr>
      <w:r w:rsidRPr="002B09C8">
        <w:rPr>
          <w:sz w:val="22"/>
          <w:szCs w:val="22"/>
          <w:lang w:val="sr-Latn-ME"/>
        </w:rPr>
        <w:t>Za uputstva o razblaživanju lijeka prije primjene vidjeti dio 6.6.</w:t>
      </w:r>
    </w:p>
    <w:p w14:paraId="7E89EA40" w14:textId="77777777" w:rsidR="00FB74D3" w:rsidRPr="002B09C8" w:rsidRDefault="00FB74D3" w:rsidP="00C74431">
      <w:pPr>
        <w:widowControl w:val="0"/>
        <w:tabs>
          <w:tab w:val="left" w:pos="6521"/>
        </w:tabs>
        <w:jc w:val="both"/>
        <w:rPr>
          <w:sz w:val="22"/>
          <w:szCs w:val="22"/>
          <w:lang w:val="sr-Latn-ME"/>
        </w:rPr>
      </w:pPr>
    </w:p>
    <w:p w14:paraId="0BEC8B12" w14:textId="77777777" w:rsidR="00FB74D3" w:rsidRPr="002B09C8" w:rsidRDefault="00FB74D3" w:rsidP="00C74431">
      <w:pPr>
        <w:widowControl w:val="0"/>
        <w:jc w:val="both"/>
        <w:rPr>
          <w:sz w:val="22"/>
          <w:szCs w:val="22"/>
          <w:lang w:val="sr-Latn-ME"/>
        </w:rPr>
      </w:pPr>
      <w:r w:rsidRPr="002B09C8">
        <w:rPr>
          <w:sz w:val="22"/>
          <w:szCs w:val="22"/>
          <w:lang w:val="sr-Latn-ME"/>
        </w:rPr>
        <w:t>Nakon razblaživanja (vidjeti dio 6.6), infuziju treba primijeniti u trajanju od približno 1 sata, a pacijente treba pratiti tokom infuzije i 1 sat nakon završetka infuzije zbog znakova i simptoma reakcija preosjetljivosti.</w:t>
      </w:r>
    </w:p>
    <w:p w14:paraId="16A456AB" w14:textId="77777777" w:rsidR="00455256" w:rsidRPr="002B09C8" w:rsidRDefault="00455256" w:rsidP="00C74431">
      <w:pPr>
        <w:widowControl w:val="0"/>
        <w:jc w:val="both"/>
        <w:rPr>
          <w:sz w:val="22"/>
          <w:szCs w:val="22"/>
          <w:lang w:val="sr-Latn-ME"/>
        </w:rPr>
      </w:pPr>
    </w:p>
    <w:p w14:paraId="6C98EA39" w14:textId="2D3C170A" w:rsidR="00455256" w:rsidRPr="002B09C8" w:rsidRDefault="00455256" w:rsidP="00C74431">
      <w:pPr>
        <w:widowControl w:val="0"/>
        <w:jc w:val="both"/>
        <w:rPr>
          <w:sz w:val="22"/>
          <w:szCs w:val="22"/>
          <w:lang w:val="sr-Latn-ME"/>
        </w:rPr>
      </w:pPr>
      <w:r w:rsidRPr="002B09C8">
        <w:rPr>
          <w:sz w:val="22"/>
          <w:szCs w:val="22"/>
          <w:lang w:val="sr-Latn-ME"/>
        </w:rPr>
        <w:t xml:space="preserve">Nakon prvih 12 </w:t>
      </w:r>
      <w:proofErr w:type="spellStart"/>
      <w:r w:rsidRPr="002B09C8">
        <w:rPr>
          <w:sz w:val="22"/>
          <w:szCs w:val="22"/>
          <w:lang w:val="sr-Latn-ME"/>
        </w:rPr>
        <w:t>intravenskih</w:t>
      </w:r>
      <w:proofErr w:type="spellEnd"/>
      <w:r w:rsidRPr="002B09C8">
        <w:rPr>
          <w:sz w:val="22"/>
          <w:szCs w:val="22"/>
          <w:lang w:val="sr-Latn-ME"/>
        </w:rPr>
        <w:t xml:space="preserve"> doza l</w:t>
      </w:r>
      <w:r w:rsidR="00294F59" w:rsidRPr="002B09C8">
        <w:rPr>
          <w:sz w:val="22"/>
          <w:szCs w:val="22"/>
          <w:lang w:val="sr-Latn-ME"/>
        </w:rPr>
        <w:t>ij</w:t>
      </w:r>
      <w:r w:rsidRPr="002B09C8">
        <w:rPr>
          <w:sz w:val="22"/>
          <w:szCs w:val="22"/>
          <w:lang w:val="sr-Latn-ME"/>
        </w:rPr>
        <w:t xml:space="preserve">eka </w:t>
      </w:r>
      <w:proofErr w:type="spellStart"/>
      <w:r w:rsidRPr="002B09C8">
        <w:rPr>
          <w:sz w:val="22"/>
          <w:szCs w:val="22"/>
          <w:lang w:val="sr-Latn-ME"/>
        </w:rPr>
        <w:t>Tysabri</w:t>
      </w:r>
      <w:proofErr w:type="spellEnd"/>
      <w:r w:rsidRPr="002B09C8">
        <w:rPr>
          <w:sz w:val="22"/>
          <w:szCs w:val="22"/>
          <w:lang w:val="sr-Latn-ME"/>
        </w:rPr>
        <w:t>, pacijente i dalje treba posmatrati tokom davanja infuzije. Ukoliko pacijenti ne dožive reakciju na infuziju, vr</w:t>
      </w:r>
      <w:r w:rsidR="00294F59" w:rsidRPr="002B09C8">
        <w:rPr>
          <w:sz w:val="22"/>
          <w:szCs w:val="22"/>
          <w:lang w:val="sr-Latn-ME"/>
        </w:rPr>
        <w:t>ij</w:t>
      </w:r>
      <w:r w:rsidRPr="002B09C8">
        <w:rPr>
          <w:sz w:val="22"/>
          <w:szCs w:val="22"/>
          <w:lang w:val="sr-Latn-ME"/>
        </w:rPr>
        <w:t>eme posmatranja nakon prim</w:t>
      </w:r>
      <w:r w:rsidR="00294F59" w:rsidRPr="002B09C8">
        <w:rPr>
          <w:sz w:val="22"/>
          <w:szCs w:val="22"/>
          <w:lang w:val="sr-Latn-ME"/>
        </w:rPr>
        <w:t>ij</w:t>
      </w:r>
      <w:r w:rsidRPr="002B09C8">
        <w:rPr>
          <w:sz w:val="22"/>
          <w:szCs w:val="22"/>
          <w:lang w:val="sr-Latn-ME"/>
        </w:rPr>
        <w:t>enjene doze se može smanjiti ili ukinuti u skladu sa kliničkom proc</w:t>
      </w:r>
      <w:r w:rsidR="00294F59" w:rsidRPr="002B09C8">
        <w:rPr>
          <w:sz w:val="22"/>
          <w:szCs w:val="22"/>
          <w:lang w:val="sr-Latn-ME"/>
        </w:rPr>
        <w:t>j</w:t>
      </w:r>
      <w:r w:rsidRPr="002B09C8">
        <w:rPr>
          <w:sz w:val="22"/>
          <w:szCs w:val="22"/>
          <w:lang w:val="sr-Latn-ME"/>
        </w:rPr>
        <w:t xml:space="preserve">enom.  </w:t>
      </w:r>
    </w:p>
    <w:p w14:paraId="415E9082" w14:textId="77777777" w:rsidR="00455256" w:rsidRPr="002B09C8" w:rsidRDefault="00455256" w:rsidP="00C74431">
      <w:pPr>
        <w:widowControl w:val="0"/>
        <w:jc w:val="both"/>
        <w:rPr>
          <w:sz w:val="22"/>
          <w:szCs w:val="22"/>
          <w:lang w:val="sr-Latn-ME"/>
        </w:rPr>
      </w:pPr>
    </w:p>
    <w:p w14:paraId="6F938D79" w14:textId="40D58710" w:rsidR="00455256" w:rsidRPr="002B09C8" w:rsidRDefault="00455256" w:rsidP="00C74431">
      <w:pPr>
        <w:widowControl w:val="0"/>
        <w:jc w:val="both"/>
        <w:rPr>
          <w:sz w:val="22"/>
          <w:szCs w:val="22"/>
          <w:lang w:val="sr-Latn-ME"/>
        </w:rPr>
      </w:pPr>
      <w:r w:rsidRPr="002B09C8">
        <w:rPr>
          <w:sz w:val="22"/>
          <w:szCs w:val="22"/>
          <w:lang w:val="sr-Latn-ME"/>
        </w:rPr>
        <w:t xml:space="preserve">Pacijente koji ponovo počinju terapiju </w:t>
      </w:r>
      <w:proofErr w:type="spellStart"/>
      <w:r w:rsidRPr="002B09C8">
        <w:rPr>
          <w:sz w:val="22"/>
          <w:szCs w:val="22"/>
          <w:lang w:val="sr-Latn-ME"/>
        </w:rPr>
        <w:t>natalizumabom</w:t>
      </w:r>
      <w:proofErr w:type="spellEnd"/>
      <w:r w:rsidRPr="002B09C8">
        <w:rPr>
          <w:sz w:val="22"/>
          <w:szCs w:val="22"/>
          <w:lang w:val="sr-Latn-ME"/>
        </w:rPr>
        <w:t xml:space="preserve"> nakon pauze od 6 m</w:t>
      </w:r>
      <w:r w:rsidR="009A3116" w:rsidRPr="002B09C8">
        <w:rPr>
          <w:sz w:val="22"/>
          <w:szCs w:val="22"/>
          <w:lang w:val="sr-Latn-ME"/>
        </w:rPr>
        <w:t>j</w:t>
      </w:r>
      <w:r w:rsidRPr="002B09C8">
        <w:rPr>
          <w:sz w:val="22"/>
          <w:szCs w:val="22"/>
          <w:lang w:val="sr-Latn-ME"/>
        </w:rPr>
        <w:t xml:space="preserve">eseci ili više, treba posmatrati tokom davanja infuzije i 1 sat nakon završenog davanja infuzije na znake i simptome reakcija </w:t>
      </w:r>
      <w:proofErr w:type="spellStart"/>
      <w:r w:rsidRPr="002B09C8">
        <w:rPr>
          <w:sz w:val="22"/>
          <w:szCs w:val="22"/>
          <w:lang w:val="sr-Latn-ME"/>
        </w:rPr>
        <w:t>hipersenzitivnosti</w:t>
      </w:r>
      <w:proofErr w:type="spellEnd"/>
      <w:r w:rsidRPr="002B09C8">
        <w:rPr>
          <w:sz w:val="22"/>
          <w:szCs w:val="22"/>
          <w:lang w:val="sr-Latn-ME"/>
        </w:rPr>
        <w:t xml:space="preserve">, tokom prvih 12 </w:t>
      </w:r>
      <w:proofErr w:type="spellStart"/>
      <w:r w:rsidRPr="002B09C8">
        <w:rPr>
          <w:sz w:val="22"/>
          <w:szCs w:val="22"/>
          <w:lang w:val="sr-Latn-ME"/>
        </w:rPr>
        <w:t>intravenskih</w:t>
      </w:r>
      <w:proofErr w:type="spellEnd"/>
      <w:r w:rsidRPr="002B09C8">
        <w:rPr>
          <w:sz w:val="22"/>
          <w:szCs w:val="22"/>
          <w:lang w:val="sr-Latn-ME"/>
        </w:rPr>
        <w:t xml:space="preserve"> infuzija nakon ponovnog započinjanja terapije.</w:t>
      </w:r>
    </w:p>
    <w:p w14:paraId="0C9FE1B9" w14:textId="77777777" w:rsidR="00FB74D3" w:rsidRPr="002B09C8" w:rsidRDefault="00FB74D3" w:rsidP="00C74431">
      <w:pPr>
        <w:widowControl w:val="0"/>
        <w:jc w:val="both"/>
        <w:rPr>
          <w:sz w:val="22"/>
          <w:szCs w:val="22"/>
          <w:lang w:val="sr-Latn-ME"/>
        </w:rPr>
      </w:pPr>
    </w:p>
    <w:p w14:paraId="6CA321D0" w14:textId="46E4A223" w:rsidR="00452E9D" w:rsidRPr="002B09C8" w:rsidRDefault="00FB74D3" w:rsidP="00C74431">
      <w:pPr>
        <w:widowControl w:val="0"/>
        <w:jc w:val="both"/>
        <w:rPr>
          <w:sz w:val="22"/>
          <w:szCs w:val="22"/>
          <w:lang w:val="sr-Latn-ME"/>
        </w:rPr>
      </w:pPr>
      <w:r w:rsidRPr="002B09C8">
        <w:rPr>
          <w:sz w:val="22"/>
          <w:szCs w:val="22"/>
          <w:lang w:val="sr-Latn-ME"/>
        </w:rPr>
        <w:t xml:space="preserve">Lijek </w:t>
      </w:r>
      <w:proofErr w:type="spellStart"/>
      <w:r w:rsidR="00680BF9" w:rsidRPr="002B09C8">
        <w:rPr>
          <w:sz w:val="22"/>
          <w:szCs w:val="22"/>
          <w:lang w:val="sr-Latn-ME"/>
        </w:rPr>
        <w:t>Tysabri</w:t>
      </w:r>
      <w:proofErr w:type="spellEnd"/>
      <w:r w:rsidR="00680BF9" w:rsidRPr="002B09C8">
        <w:rPr>
          <w:sz w:val="22"/>
          <w:szCs w:val="22"/>
          <w:lang w:val="sr-Latn-ME"/>
        </w:rPr>
        <w:t xml:space="preserve"> 300mg/15 m</w:t>
      </w:r>
      <w:r w:rsidR="009A3116" w:rsidRPr="002B09C8">
        <w:rPr>
          <w:sz w:val="22"/>
          <w:szCs w:val="22"/>
          <w:lang w:val="sr-Latn-ME"/>
        </w:rPr>
        <w:t>l</w:t>
      </w:r>
      <w:r w:rsidR="00680BF9" w:rsidRPr="002B09C8">
        <w:rPr>
          <w:sz w:val="22"/>
          <w:szCs w:val="22"/>
          <w:lang w:val="sr-Latn-ME"/>
        </w:rPr>
        <w:t xml:space="preserve"> koncentrat za rastvor za infuziju </w:t>
      </w:r>
      <w:r w:rsidRPr="002B09C8">
        <w:rPr>
          <w:sz w:val="22"/>
          <w:szCs w:val="22"/>
          <w:lang w:val="sr-Latn-ME"/>
        </w:rPr>
        <w:t xml:space="preserve">ne smije biti primijenjen kao </w:t>
      </w:r>
      <w:proofErr w:type="spellStart"/>
      <w:r w:rsidRPr="002B09C8">
        <w:rPr>
          <w:sz w:val="22"/>
          <w:szCs w:val="22"/>
          <w:lang w:val="sr-Latn-ME"/>
        </w:rPr>
        <w:t>bolus</w:t>
      </w:r>
      <w:proofErr w:type="spellEnd"/>
      <w:r w:rsidRPr="002B09C8">
        <w:rPr>
          <w:sz w:val="22"/>
          <w:szCs w:val="22"/>
          <w:lang w:val="sr-Latn-ME"/>
        </w:rPr>
        <w:t xml:space="preserve"> injekcija.</w:t>
      </w:r>
    </w:p>
    <w:p w14:paraId="49551DD3" w14:textId="77777777" w:rsidR="00452E9D" w:rsidRPr="002B09C8" w:rsidRDefault="00452E9D" w:rsidP="00C74431">
      <w:pPr>
        <w:widowControl w:val="0"/>
        <w:tabs>
          <w:tab w:val="left" w:pos="540"/>
          <w:tab w:val="left" w:pos="569"/>
        </w:tabs>
        <w:jc w:val="both"/>
        <w:rPr>
          <w:bCs/>
          <w:sz w:val="22"/>
          <w:szCs w:val="22"/>
          <w:lang w:val="sr-Latn-ME"/>
        </w:rPr>
      </w:pPr>
    </w:p>
    <w:p w14:paraId="61660BD4" w14:textId="77777777" w:rsidR="00411B4B" w:rsidRPr="002B09C8" w:rsidRDefault="00411B4B" w:rsidP="00C74431">
      <w:pPr>
        <w:widowControl w:val="0"/>
        <w:tabs>
          <w:tab w:val="left" w:pos="540"/>
          <w:tab w:val="left" w:pos="569"/>
        </w:tabs>
        <w:jc w:val="both"/>
        <w:rPr>
          <w:b/>
          <w:bCs/>
          <w:sz w:val="22"/>
          <w:szCs w:val="22"/>
          <w:lang w:val="sr-Latn-ME"/>
        </w:rPr>
      </w:pPr>
      <w:r w:rsidRPr="002B09C8">
        <w:rPr>
          <w:b/>
          <w:bCs/>
          <w:sz w:val="22"/>
          <w:szCs w:val="22"/>
          <w:lang w:val="sr-Latn-ME"/>
        </w:rPr>
        <w:t xml:space="preserve">4.3. </w:t>
      </w:r>
      <w:r w:rsidR="00480FB1" w:rsidRPr="002B09C8">
        <w:rPr>
          <w:b/>
          <w:bCs/>
          <w:sz w:val="22"/>
          <w:szCs w:val="22"/>
          <w:lang w:val="sr-Latn-ME"/>
        </w:rPr>
        <w:tab/>
      </w:r>
      <w:proofErr w:type="spellStart"/>
      <w:r w:rsidRPr="002B09C8">
        <w:rPr>
          <w:b/>
          <w:bCs/>
          <w:sz w:val="22"/>
          <w:szCs w:val="22"/>
          <w:lang w:val="sr-Latn-ME"/>
        </w:rPr>
        <w:t>Kontraindikacije</w:t>
      </w:r>
      <w:proofErr w:type="spellEnd"/>
    </w:p>
    <w:p w14:paraId="22E0BE9A" w14:textId="77777777" w:rsidR="00FB74D3" w:rsidRPr="002B09C8" w:rsidRDefault="00FB74D3" w:rsidP="00C74431">
      <w:pPr>
        <w:widowControl w:val="0"/>
        <w:tabs>
          <w:tab w:val="left" w:pos="540"/>
          <w:tab w:val="left" w:pos="569"/>
        </w:tabs>
        <w:jc w:val="both"/>
        <w:rPr>
          <w:b/>
          <w:bCs/>
          <w:sz w:val="22"/>
          <w:szCs w:val="22"/>
          <w:lang w:val="sr-Latn-ME"/>
        </w:rPr>
      </w:pPr>
    </w:p>
    <w:p w14:paraId="22FCD3B8" w14:textId="01BC3D53" w:rsidR="00FB74D3" w:rsidRPr="002B09C8" w:rsidRDefault="00FB74D3" w:rsidP="00C74431">
      <w:pPr>
        <w:widowControl w:val="0"/>
        <w:jc w:val="both"/>
        <w:rPr>
          <w:sz w:val="22"/>
          <w:szCs w:val="22"/>
          <w:lang w:val="sr-Latn-ME"/>
        </w:rPr>
      </w:pPr>
      <w:r w:rsidRPr="002B09C8">
        <w:rPr>
          <w:sz w:val="22"/>
          <w:szCs w:val="22"/>
          <w:lang w:val="sr-Latn-ME"/>
        </w:rPr>
        <w:t xml:space="preserve">Preosjetljivost na </w:t>
      </w:r>
      <w:r w:rsidR="00680BF9" w:rsidRPr="002B09C8">
        <w:rPr>
          <w:sz w:val="22"/>
          <w:szCs w:val="22"/>
          <w:lang w:val="sr-Latn-ME"/>
        </w:rPr>
        <w:t xml:space="preserve">aktivnu supstancu </w:t>
      </w:r>
      <w:r w:rsidRPr="002B09C8">
        <w:rPr>
          <w:sz w:val="22"/>
          <w:szCs w:val="22"/>
          <w:lang w:val="sr-Latn-ME"/>
        </w:rPr>
        <w:t>ili na bilo koji drugi sastojak lijeka navedenih u dijelu 6.1.</w:t>
      </w:r>
    </w:p>
    <w:p w14:paraId="5852EF0B" w14:textId="77777777" w:rsidR="00FB74D3" w:rsidRPr="002B09C8" w:rsidRDefault="00FB74D3" w:rsidP="00C74431">
      <w:pPr>
        <w:widowControl w:val="0"/>
        <w:jc w:val="both"/>
        <w:rPr>
          <w:sz w:val="22"/>
          <w:szCs w:val="22"/>
          <w:lang w:val="sr-Latn-ME"/>
        </w:rPr>
      </w:pPr>
    </w:p>
    <w:p w14:paraId="00A9517E" w14:textId="77777777" w:rsidR="00FB74D3" w:rsidRPr="002B09C8" w:rsidRDefault="00FB74D3" w:rsidP="00C74431">
      <w:pPr>
        <w:widowControl w:val="0"/>
        <w:jc w:val="both"/>
        <w:rPr>
          <w:sz w:val="22"/>
          <w:szCs w:val="22"/>
          <w:lang w:val="sr-Latn-ME"/>
        </w:rPr>
      </w:pPr>
      <w:r w:rsidRPr="002B09C8">
        <w:rPr>
          <w:sz w:val="22"/>
          <w:szCs w:val="22"/>
          <w:lang w:val="sr-Latn-ME"/>
        </w:rPr>
        <w:t xml:space="preserve">Progresivna </w:t>
      </w:r>
      <w:proofErr w:type="spellStart"/>
      <w:r w:rsidRPr="002B09C8">
        <w:rPr>
          <w:sz w:val="22"/>
          <w:szCs w:val="22"/>
          <w:lang w:val="sr-Latn-ME"/>
        </w:rPr>
        <w:t>multifokalna</w:t>
      </w:r>
      <w:proofErr w:type="spellEnd"/>
      <w:r w:rsidRPr="002B09C8">
        <w:rPr>
          <w:sz w:val="22"/>
          <w:szCs w:val="22"/>
          <w:lang w:val="sr-Latn-ME"/>
        </w:rPr>
        <w:t xml:space="preserve"> </w:t>
      </w:r>
      <w:proofErr w:type="spellStart"/>
      <w:r w:rsidRPr="002B09C8">
        <w:rPr>
          <w:sz w:val="22"/>
          <w:szCs w:val="22"/>
          <w:lang w:val="sr-Latn-ME"/>
        </w:rPr>
        <w:t>leukoencefalopatija</w:t>
      </w:r>
      <w:proofErr w:type="spellEnd"/>
      <w:r w:rsidRPr="002B09C8">
        <w:rPr>
          <w:sz w:val="22"/>
          <w:szCs w:val="22"/>
          <w:lang w:val="sr-Latn-ME"/>
        </w:rPr>
        <w:t xml:space="preserve"> (PML).</w:t>
      </w:r>
    </w:p>
    <w:p w14:paraId="7AA7EFBD" w14:textId="77777777" w:rsidR="00FB74D3" w:rsidRPr="002B09C8" w:rsidRDefault="00FB74D3" w:rsidP="00C74431">
      <w:pPr>
        <w:widowControl w:val="0"/>
        <w:jc w:val="both"/>
        <w:rPr>
          <w:sz w:val="22"/>
          <w:szCs w:val="22"/>
          <w:lang w:val="sr-Latn-ME"/>
        </w:rPr>
      </w:pPr>
    </w:p>
    <w:p w14:paraId="17A522DF" w14:textId="77777777" w:rsidR="00FB74D3" w:rsidRPr="002B09C8" w:rsidRDefault="00FB74D3" w:rsidP="00C74431">
      <w:pPr>
        <w:widowControl w:val="0"/>
        <w:jc w:val="both"/>
        <w:rPr>
          <w:sz w:val="22"/>
          <w:szCs w:val="22"/>
          <w:lang w:val="sr-Latn-ME"/>
        </w:rPr>
      </w:pPr>
      <w:r w:rsidRPr="002B09C8">
        <w:rPr>
          <w:sz w:val="22"/>
          <w:szCs w:val="22"/>
          <w:lang w:val="sr-Latn-ME"/>
        </w:rPr>
        <w:t xml:space="preserve">Pacijenti sa povećanim rizikom od oportunističkih infekcija, uključujući </w:t>
      </w:r>
      <w:proofErr w:type="spellStart"/>
      <w:r w:rsidRPr="002B09C8">
        <w:rPr>
          <w:sz w:val="22"/>
          <w:szCs w:val="22"/>
          <w:lang w:val="sr-Latn-ME"/>
        </w:rPr>
        <w:t>imunokompromitovane</w:t>
      </w:r>
      <w:proofErr w:type="spellEnd"/>
      <w:r w:rsidRPr="002B09C8">
        <w:rPr>
          <w:sz w:val="22"/>
          <w:szCs w:val="22"/>
          <w:lang w:val="sr-Latn-ME"/>
        </w:rPr>
        <w:t xml:space="preserve"> pacijente (uključujući one koji trenutno primaju </w:t>
      </w:r>
      <w:proofErr w:type="spellStart"/>
      <w:r w:rsidRPr="002B09C8">
        <w:rPr>
          <w:sz w:val="22"/>
          <w:szCs w:val="22"/>
          <w:lang w:val="sr-Latn-ME"/>
        </w:rPr>
        <w:t>imunosupresivne</w:t>
      </w:r>
      <w:proofErr w:type="spellEnd"/>
      <w:r w:rsidRPr="002B09C8">
        <w:rPr>
          <w:sz w:val="22"/>
          <w:szCs w:val="22"/>
          <w:lang w:val="sr-Latn-ME"/>
        </w:rPr>
        <w:t xml:space="preserve"> terapije ili one </w:t>
      </w:r>
      <w:proofErr w:type="spellStart"/>
      <w:r w:rsidRPr="002B09C8">
        <w:rPr>
          <w:sz w:val="22"/>
          <w:szCs w:val="22"/>
          <w:lang w:val="sr-Latn-ME"/>
        </w:rPr>
        <w:t>imunokompromitovane</w:t>
      </w:r>
      <w:proofErr w:type="spellEnd"/>
      <w:r w:rsidRPr="002B09C8">
        <w:rPr>
          <w:sz w:val="22"/>
          <w:szCs w:val="22"/>
          <w:lang w:val="sr-Latn-ME"/>
        </w:rPr>
        <w:t xml:space="preserve"> prethodnim terapijama, vidjeti djelove 4.4 i 4.8).</w:t>
      </w:r>
    </w:p>
    <w:p w14:paraId="353771BF" w14:textId="77777777" w:rsidR="00FB74D3" w:rsidRPr="002B09C8" w:rsidRDefault="00FB74D3" w:rsidP="00C74431">
      <w:pPr>
        <w:widowControl w:val="0"/>
        <w:jc w:val="both"/>
        <w:rPr>
          <w:sz w:val="22"/>
          <w:szCs w:val="22"/>
          <w:lang w:val="sr-Latn-ME"/>
        </w:rPr>
      </w:pPr>
    </w:p>
    <w:p w14:paraId="2B1370B9" w14:textId="77777777" w:rsidR="00FB74D3" w:rsidRPr="002B09C8" w:rsidRDefault="00FB74D3" w:rsidP="00C74431">
      <w:pPr>
        <w:widowControl w:val="0"/>
        <w:jc w:val="both"/>
        <w:rPr>
          <w:snapToGrid w:val="0"/>
          <w:sz w:val="22"/>
          <w:szCs w:val="22"/>
          <w:lang w:val="sr-Latn-ME" w:eastAsia="hr-HR"/>
        </w:rPr>
      </w:pPr>
      <w:r w:rsidRPr="002B09C8">
        <w:rPr>
          <w:sz w:val="22"/>
          <w:szCs w:val="22"/>
          <w:lang w:val="sr-Latn-ME"/>
        </w:rPr>
        <w:t xml:space="preserve">Kombinacija sa </w:t>
      </w:r>
      <w:r w:rsidRPr="002B09C8">
        <w:rPr>
          <w:snapToGrid w:val="0"/>
          <w:sz w:val="22"/>
          <w:szCs w:val="22"/>
          <w:lang w:val="sr-Latn-ME" w:eastAsia="hr-HR"/>
        </w:rPr>
        <w:t>drugim terapijama koje mijenjaju tok bolesti.</w:t>
      </w:r>
    </w:p>
    <w:p w14:paraId="23D835DC" w14:textId="77777777" w:rsidR="00FB74D3" w:rsidRPr="002B09C8" w:rsidRDefault="00FB74D3" w:rsidP="00C74431">
      <w:pPr>
        <w:widowControl w:val="0"/>
        <w:jc w:val="both"/>
        <w:rPr>
          <w:sz w:val="22"/>
          <w:szCs w:val="22"/>
          <w:lang w:val="sr-Latn-ME"/>
        </w:rPr>
      </w:pPr>
    </w:p>
    <w:p w14:paraId="38970BCB" w14:textId="5F254614" w:rsidR="00FB74D3" w:rsidRPr="002B09C8" w:rsidRDefault="00FB74D3" w:rsidP="00C74431">
      <w:pPr>
        <w:widowControl w:val="0"/>
        <w:tabs>
          <w:tab w:val="left" w:pos="540"/>
          <w:tab w:val="left" w:pos="569"/>
        </w:tabs>
        <w:jc w:val="both"/>
        <w:rPr>
          <w:b/>
          <w:bCs/>
          <w:sz w:val="22"/>
          <w:szCs w:val="22"/>
          <w:lang w:val="sr-Latn-ME"/>
        </w:rPr>
      </w:pPr>
      <w:r w:rsidRPr="002B09C8">
        <w:rPr>
          <w:sz w:val="22"/>
          <w:szCs w:val="22"/>
          <w:lang w:val="sr-Latn-ME"/>
        </w:rPr>
        <w:t>Poznat</w:t>
      </w:r>
      <w:r w:rsidR="00680BF9" w:rsidRPr="002B09C8">
        <w:rPr>
          <w:sz w:val="22"/>
          <w:szCs w:val="22"/>
          <w:lang w:val="sr-Latn-ME"/>
        </w:rPr>
        <w:t>i</w:t>
      </w:r>
      <w:r w:rsidRPr="002B09C8">
        <w:rPr>
          <w:sz w:val="22"/>
          <w:szCs w:val="22"/>
          <w:lang w:val="sr-Latn-ME"/>
        </w:rPr>
        <w:t xml:space="preserve"> aktivn</w:t>
      </w:r>
      <w:r w:rsidR="00680BF9" w:rsidRPr="002B09C8">
        <w:rPr>
          <w:sz w:val="22"/>
          <w:szCs w:val="22"/>
          <w:lang w:val="sr-Latn-ME"/>
        </w:rPr>
        <w:t>i</w:t>
      </w:r>
      <w:r w:rsidRPr="002B09C8">
        <w:rPr>
          <w:sz w:val="22"/>
          <w:szCs w:val="22"/>
          <w:lang w:val="sr-Latn-ME"/>
        </w:rPr>
        <w:t xml:space="preserve"> </w:t>
      </w:r>
      <w:r w:rsidR="00680BF9" w:rsidRPr="002B09C8">
        <w:rPr>
          <w:sz w:val="22"/>
          <w:szCs w:val="22"/>
          <w:lang w:val="sr-Latn-ME"/>
        </w:rPr>
        <w:t>maligni tumori</w:t>
      </w:r>
      <w:r w:rsidRPr="002B09C8">
        <w:rPr>
          <w:sz w:val="22"/>
          <w:szCs w:val="22"/>
          <w:lang w:val="sr-Latn-ME"/>
        </w:rPr>
        <w:t xml:space="preserve">, osim kod pacijenata sa </w:t>
      </w:r>
      <w:proofErr w:type="spellStart"/>
      <w:r w:rsidRPr="002B09C8">
        <w:rPr>
          <w:sz w:val="22"/>
          <w:szCs w:val="22"/>
          <w:lang w:val="sr-Latn-ME"/>
        </w:rPr>
        <w:t>karcinomom</w:t>
      </w:r>
      <w:proofErr w:type="spellEnd"/>
      <w:r w:rsidRPr="002B09C8">
        <w:rPr>
          <w:sz w:val="22"/>
          <w:szCs w:val="22"/>
          <w:lang w:val="sr-Latn-ME"/>
        </w:rPr>
        <w:t xml:space="preserve"> </w:t>
      </w:r>
      <w:proofErr w:type="spellStart"/>
      <w:r w:rsidRPr="002B09C8">
        <w:rPr>
          <w:sz w:val="22"/>
          <w:szCs w:val="22"/>
          <w:lang w:val="sr-Latn-ME"/>
        </w:rPr>
        <w:t>bazalnih</w:t>
      </w:r>
      <w:proofErr w:type="spellEnd"/>
      <w:r w:rsidRPr="002B09C8">
        <w:rPr>
          <w:sz w:val="22"/>
          <w:szCs w:val="22"/>
          <w:lang w:val="sr-Latn-ME"/>
        </w:rPr>
        <w:t xml:space="preserve"> ćelija kože.</w:t>
      </w:r>
    </w:p>
    <w:p w14:paraId="15AC408B" w14:textId="77777777" w:rsidR="0072020E" w:rsidRPr="002B09C8" w:rsidRDefault="0072020E" w:rsidP="00C74431">
      <w:pPr>
        <w:widowControl w:val="0"/>
        <w:tabs>
          <w:tab w:val="left" w:pos="540"/>
          <w:tab w:val="left" w:pos="569"/>
        </w:tabs>
        <w:jc w:val="both"/>
        <w:rPr>
          <w:bCs/>
          <w:sz w:val="22"/>
          <w:szCs w:val="22"/>
          <w:lang w:val="sr-Latn-ME"/>
        </w:rPr>
      </w:pPr>
    </w:p>
    <w:p w14:paraId="0C34C727" w14:textId="77777777" w:rsidR="00411B4B" w:rsidRPr="002B09C8" w:rsidRDefault="00411B4B" w:rsidP="00C74431">
      <w:pPr>
        <w:widowControl w:val="0"/>
        <w:tabs>
          <w:tab w:val="left" w:pos="540"/>
          <w:tab w:val="left" w:pos="569"/>
        </w:tabs>
        <w:jc w:val="both"/>
        <w:rPr>
          <w:b/>
          <w:bCs/>
          <w:sz w:val="22"/>
          <w:szCs w:val="22"/>
          <w:lang w:val="sr-Latn-ME"/>
        </w:rPr>
      </w:pPr>
      <w:r w:rsidRPr="002B09C8">
        <w:rPr>
          <w:b/>
          <w:bCs/>
          <w:sz w:val="22"/>
          <w:szCs w:val="22"/>
          <w:lang w:val="sr-Latn-ME"/>
        </w:rPr>
        <w:t xml:space="preserve">4.4. </w:t>
      </w:r>
      <w:r w:rsidR="00480FB1" w:rsidRPr="002B09C8">
        <w:rPr>
          <w:b/>
          <w:bCs/>
          <w:sz w:val="22"/>
          <w:szCs w:val="22"/>
          <w:lang w:val="sr-Latn-ME"/>
        </w:rPr>
        <w:tab/>
      </w:r>
      <w:r w:rsidRPr="002B09C8">
        <w:rPr>
          <w:b/>
          <w:bCs/>
          <w:sz w:val="22"/>
          <w:szCs w:val="22"/>
          <w:lang w:val="sr-Latn-ME"/>
        </w:rPr>
        <w:t>Posebna upozorenja i mjere opreza pri upotrebi lijeka</w:t>
      </w:r>
    </w:p>
    <w:p w14:paraId="5FC8CE8D" w14:textId="77777777" w:rsidR="0072020E" w:rsidRPr="002B09C8" w:rsidRDefault="0072020E" w:rsidP="00C74431">
      <w:pPr>
        <w:widowControl w:val="0"/>
        <w:tabs>
          <w:tab w:val="left" w:pos="540"/>
          <w:tab w:val="left" w:pos="569"/>
        </w:tabs>
        <w:jc w:val="both"/>
        <w:rPr>
          <w:bCs/>
          <w:sz w:val="22"/>
          <w:szCs w:val="22"/>
          <w:lang w:val="sr-Latn-ME"/>
        </w:rPr>
      </w:pPr>
    </w:p>
    <w:p w14:paraId="35A8D795" w14:textId="31D87B46" w:rsidR="00FB74D3" w:rsidRPr="002B09C8" w:rsidRDefault="00FB74D3" w:rsidP="00C74431">
      <w:pPr>
        <w:widowControl w:val="0"/>
        <w:tabs>
          <w:tab w:val="left" w:pos="540"/>
          <w:tab w:val="left" w:pos="569"/>
        </w:tabs>
        <w:jc w:val="both"/>
        <w:rPr>
          <w:bCs/>
          <w:sz w:val="22"/>
          <w:szCs w:val="22"/>
          <w:u w:val="single"/>
          <w:lang w:val="sr-Latn-ME"/>
        </w:rPr>
      </w:pPr>
      <w:proofErr w:type="spellStart"/>
      <w:r w:rsidRPr="002B09C8">
        <w:rPr>
          <w:bCs/>
          <w:sz w:val="22"/>
          <w:szCs w:val="22"/>
          <w:u w:val="single"/>
          <w:lang w:val="sr-Latn-ME"/>
        </w:rPr>
        <w:t>Sl</w:t>
      </w:r>
      <w:r w:rsidR="009A3116" w:rsidRPr="002B09C8">
        <w:rPr>
          <w:bCs/>
          <w:sz w:val="22"/>
          <w:szCs w:val="22"/>
          <w:u w:val="single"/>
          <w:lang w:val="sr-Latn-ME"/>
        </w:rPr>
        <w:t>j</w:t>
      </w:r>
      <w:r w:rsidRPr="002B09C8">
        <w:rPr>
          <w:bCs/>
          <w:sz w:val="22"/>
          <w:szCs w:val="22"/>
          <w:u w:val="single"/>
          <w:lang w:val="sr-Latn-ME"/>
        </w:rPr>
        <w:t>edljivost</w:t>
      </w:r>
      <w:proofErr w:type="spellEnd"/>
    </w:p>
    <w:p w14:paraId="2963393C" w14:textId="77777777" w:rsidR="00FB74D3" w:rsidRPr="002B09C8" w:rsidRDefault="00FB74D3" w:rsidP="00C74431">
      <w:pPr>
        <w:widowControl w:val="0"/>
        <w:tabs>
          <w:tab w:val="left" w:pos="540"/>
          <w:tab w:val="left" w:pos="569"/>
        </w:tabs>
        <w:jc w:val="both"/>
        <w:rPr>
          <w:bCs/>
          <w:sz w:val="22"/>
          <w:szCs w:val="22"/>
          <w:lang w:val="sr-Latn-ME"/>
        </w:rPr>
      </w:pPr>
    </w:p>
    <w:p w14:paraId="5E977EEC" w14:textId="094F87CB" w:rsidR="00FB74D3" w:rsidRPr="002B09C8" w:rsidRDefault="00FB74D3" w:rsidP="00C74431">
      <w:pPr>
        <w:widowControl w:val="0"/>
        <w:tabs>
          <w:tab w:val="left" w:pos="540"/>
          <w:tab w:val="left" w:pos="569"/>
        </w:tabs>
        <w:jc w:val="both"/>
        <w:rPr>
          <w:bCs/>
          <w:sz w:val="22"/>
          <w:szCs w:val="22"/>
          <w:lang w:val="sr-Latn-ME"/>
        </w:rPr>
      </w:pPr>
      <w:r w:rsidRPr="002B09C8">
        <w:rPr>
          <w:bCs/>
          <w:sz w:val="22"/>
          <w:szCs w:val="22"/>
          <w:lang w:val="sr-Latn-ME"/>
        </w:rPr>
        <w:t xml:space="preserve">Kako bi se poboljšala </w:t>
      </w:r>
      <w:proofErr w:type="spellStart"/>
      <w:r w:rsidRPr="002B09C8">
        <w:rPr>
          <w:bCs/>
          <w:sz w:val="22"/>
          <w:szCs w:val="22"/>
          <w:lang w:val="sr-Latn-ME"/>
        </w:rPr>
        <w:t>sl</w:t>
      </w:r>
      <w:r w:rsidR="009A3116" w:rsidRPr="002B09C8">
        <w:rPr>
          <w:bCs/>
          <w:sz w:val="22"/>
          <w:szCs w:val="22"/>
          <w:lang w:val="sr-Latn-ME"/>
        </w:rPr>
        <w:t>j</w:t>
      </w:r>
      <w:r w:rsidRPr="002B09C8">
        <w:rPr>
          <w:bCs/>
          <w:sz w:val="22"/>
          <w:szCs w:val="22"/>
          <w:lang w:val="sr-Latn-ME"/>
        </w:rPr>
        <w:t>edljivost</w:t>
      </w:r>
      <w:proofErr w:type="spellEnd"/>
      <w:r w:rsidRPr="002B09C8">
        <w:rPr>
          <w:bCs/>
          <w:sz w:val="22"/>
          <w:szCs w:val="22"/>
          <w:lang w:val="sr-Latn-ME"/>
        </w:rPr>
        <w:t xml:space="preserve"> bioloških ljekova, naziv i broj serije primijenjenog lijeka potrebno je jasno evidentirati.</w:t>
      </w:r>
    </w:p>
    <w:p w14:paraId="74ED128D" w14:textId="77777777" w:rsidR="00FB74D3" w:rsidRPr="002B09C8" w:rsidRDefault="00FB74D3" w:rsidP="00C74431">
      <w:pPr>
        <w:widowControl w:val="0"/>
        <w:jc w:val="both"/>
        <w:rPr>
          <w:sz w:val="22"/>
          <w:szCs w:val="22"/>
          <w:u w:val="single"/>
          <w:lang w:val="sr-Latn-ME"/>
        </w:rPr>
      </w:pPr>
    </w:p>
    <w:p w14:paraId="45ED9DDD"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 xml:space="preserve">Progresivna </w:t>
      </w:r>
      <w:proofErr w:type="spellStart"/>
      <w:r w:rsidRPr="002B09C8">
        <w:rPr>
          <w:sz w:val="22"/>
          <w:szCs w:val="22"/>
          <w:u w:val="single"/>
          <w:lang w:val="sr-Latn-ME"/>
        </w:rPr>
        <w:t>multifokalna</w:t>
      </w:r>
      <w:proofErr w:type="spellEnd"/>
      <w:r w:rsidRPr="002B09C8">
        <w:rPr>
          <w:sz w:val="22"/>
          <w:szCs w:val="22"/>
          <w:u w:val="single"/>
          <w:lang w:val="sr-Latn-ME"/>
        </w:rPr>
        <w:t xml:space="preserve"> </w:t>
      </w:r>
      <w:proofErr w:type="spellStart"/>
      <w:r w:rsidRPr="002B09C8">
        <w:rPr>
          <w:sz w:val="22"/>
          <w:szCs w:val="22"/>
          <w:u w:val="single"/>
          <w:lang w:val="sr-Latn-ME"/>
        </w:rPr>
        <w:t>leukoencefalopatija</w:t>
      </w:r>
      <w:proofErr w:type="spellEnd"/>
      <w:r w:rsidRPr="002B09C8">
        <w:rPr>
          <w:sz w:val="22"/>
          <w:szCs w:val="22"/>
          <w:u w:val="single"/>
          <w:lang w:val="sr-Latn-ME"/>
        </w:rPr>
        <w:t xml:space="preserve"> (PML) </w:t>
      </w:r>
    </w:p>
    <w:p w14:paraId="47CDFDD4" w14:textId="77777777" w:rsidR="00FB74D3" w:rsidRPr="002B09C8" w:rsidRDefault="00FB74D3" w:rsidP="00C74431">
      <w:pPr>
        <w:widowControl w:val="0"/>
        <w:jc w:val="both"/>
        <w:rPr>
          <w:sz w:val="22"/>
          <w:szCs w:val="22"/>
          <w:u w:val="single"/>
          <w:lang w:val="sr-Latn-ME"/>
        </w:rPr>
      </w:pPr>
    </w:p>
    <w:p w14:paraId="448F7FFD" w14:textId="047236E8" w:rsidR="00FB74D3" w:rsidRPr="002B09C8" w:rsidRDefault="00FB74D3" w:rsidP="00C74431">
      <w:pPr>
        <w:widowControl w:val="0"/>
        <w:jc w:val="both"/>
        <w:rPr>
          <w:sz w:val="22"/>
          <w:szCs w:val="22"/>
          <w:lang w:val="sr-Latn-ME"/>
        </w:rPr>
      </w:pPr>
      <w:r w:rsidRPr="002B09C8">
        <w:rPr>
          <w:sz w:val="22"/>
          <w:szCs w:val="22"/>
          <w:lang w:val="sr-Latn-ME"/>
        </w:rPr>
        <w:t xml:space="preserve">Upotreba </w:t>
      </w:r>
      <w:r w:rsidR="00005943" w:rsidRPr="002B09C8">
        <w:rPr>
          <w:sz w:val="22"/>
          <w:szCs w:val="22"/>
          <w:lang w:val="sr-Latn-ME"/>
        </w:rPr>
        <w:t xml:space="preserve">ovog </w:t>
      </w:r>
      <w:r w:rsidRPr="002B09C8">
        <w:rPr>
          <w:sz w:val="22"/>
          <w:szCs w:val="22"/>
          <w:lang w:val="sr-Latn-ME"/>
        </w:rPr>
        <w:t xml:space="preserve">lijeka bila je povezana sa povećanim rizikom od PML-a, oportunističke infekcije uzrokovane JC virusom, koja može biti smrtonosna ili dovesti do teške </w:t>
      </w:r>
      <w:proofErr w:type="spellStart"/>
      <w:r w:rsidRPr="002B09C8">
        <w:rPr>
          <w:sz w:val="22"/>
          <w:szCs w:val="22"/>
          <w:lang w:val="sr-Latn-ME"/>
        </w:rPr>
        <w:t>onesposobljenosti</w:t>
      </w:r>
      <w:proofErr w:type="spellEnd"/>
      <w:r w:rsidRPr="002B09C8">
        <w:rPr>
          <w:sz w:val="22"/>
          <w:szCs w:val="22"/>
          <w:lang w:val="sr-Latn-ME"/>
        </w:rPr>
        <w:t xml:space="preserve">. Zbog ovog povećanog rizika od razvoja PML-a, koristi i rizici liječenja trebaju biti pojedinačno ponovo razmotreni od strane ljekara specijaliste i pacijenta; pacijenti se moraju pratiti u redovnim intervalima tokom liječenja i treba ih poučiti zajedno s njihovim negovateljima o ranim znacima i simptomima PML-a. JC virus takođe prouzrokuje </w:t>
      </w:r>
      <w:proofErr w:type="spellStart"/>
      <w:r w:rsidRPr="002B09C8">
        <w:rPr>
          <w:sz w:val="22"/>
          <w:szCs w:val="22"/>
          <w:lang w:val="sr-Latn-ME"/>
        </w:rPr>
        <w:t>neuronopatiju</w:t>
      </w:r>
      <w:proofErr w:type="spellEnd"/>
      <w:r w:rsidRPr="002B09C8">
        <w:rPr>
          <w:sz w:val="22"/>
          <w:szCs w:val="22"/>
          <w:lang w:val="sr-Latn-ME"/>
        </w:rPr>
        <w:t xml:space="preserve"> </w:t>
      </w:r>
      <w:proofErr w:type="spellStart"/>
      <w:r w:rsidRPr="002B09C8">
        <w:rPr>
          <w:sz w:val="22"/>
          <w:szCs w:val="22"/>
          <w:lang w:val="sr-Latn-ME"/>
        </w:rPr>
        <w:t>granularnih</w:t>
      </w:r>
      <w:proofErr w:type="spellEnd"/>
      <w:r w:rsidRPr="002B09C8">
        <w:rPr>
          <w:sz w:val="22"/>
          <w:szCs w:val="22"/>
          <w:lang w:val="sr-Latn-ME"/>
        </w:rPr>
        <w:t xml:space="preserve"> ćelija uzrokovanu JC virusom (engl. </w:t>
      </w:r>
      <w:r w:rsidRPr="002B09C8">
        <w:rPr>
          <w:i/>
          <w:sz w:val="22"/>
          <w:szCs w:val="22"/>
          <w:lang w:val="sr-Latn-ME"/>
        </w:rPr>
        <w:t xml:space="preserve">JCV granule </w:t>
      </w:r>
      <w:proofErr w:type="spellStart"/>
      <w:r w:rsidRPr="002B09C8">
        <w:rPr>
          <w:i/>
          <w:sz w:val="22"/>
          <w:szCs w:val="22"/>
          <w:lang w:val="sr-Latn-ME"/>
        </w:rPr>
        <w:t>cell</w:t>
      </w:r>
      <w:proofErr w:type="spellEnd"/>
      <w:r w:rsidRPr="002B09C8">
        <w:rPr>
          <w:i/>
          <w:sz w:val="22"/>
          <w:szCs w:val="22"/>
          <w:lang w:val="sr-Latn-ME"/>
        </w:rPr>
        <w:t xml:space="preserve"> </w:t>
      </w:r>
      <w:proofErr w:type="spellStart"/>
      <w:r w:rsidRPr="002B09C8">
        <w:rPr>
          <w:i/>
          <w:sz w:val="22"/>
          <w:szCs w:val="22"/>
          <w:lang w:val="sr-Latn-ME"/>
        </w:rPr>
        <w:t>neuronopathy</w:t>
      </w:r>
      <w:proofErr w:type="spellEnd"/>
      <w:r w:rsidR="00005943" w:rsidRPr="002B09C8">
        <w:rPr>
          <w:iCs/>
          <w:sz w:val="22"/>
          <w:szCs w:val="22"/>
          <w:lang w:val="sr-Latn-ME"/>
        </w:rPr>
        <w:t>, JCV GCN</w:t>
      </w:r>
      <w:r w:rsidRPr="002B09C8">
        <w:rPr>
          <w:sz w:val="22"/>
          <w:szCs w:val="22"/>
          <w:lang w:val="sr-Latn-ME"/>
        </w:rPr>
        <w:t>) koja je prijavljena kod pacijenata liječenih</w:t>
      </w:r>
      <w:r w:rsidR="00005943" w:rsidRPr="002B09C8">
        <w:rPr>
          <w:sz w:val="22"/>
          <w:szCs w:val="22"/>
          <w:lang w:val="sr-Latn-ME"/>
        </w:rPr>
        <w:t xml:space="preserve"> ovim</w:t>
      </w:r>
      <w:r w:rsidRPr="002B09C8">
        <w:rPr>
          <w:sz w:val="22"/>
          <w:szCs w:val="22"/>
          <w:lang w:val="sr-Latn-ME"/>
        </w:rPr>
        <w:t xml:space="preserve"> lijekom. Simptomi </w:t>
      </w:r>
      <w:proofErr w:type="spellStart"/>
      <w:r w:rsidRPr="002B09C8">
        <w:rPr>
          <w:sz w:val="22"/>
          <w:szCs w:val="22"/>
          <w:lang w:val="sr-Latn-ME"/>
        </w:rPr>
        <w:t>neuronopatije</w:t>
      </w:r>
      <w:proofErr w:type="spellEnd"/>
      <w:r w:rsidRPr="002B09C8">
        <w:rPr>
          <w:sz w:val="22"/>
          <w:szCs w:val="22"/>
          <w:lang w:val="sr-Latn-ME"/>
        </w:rPr>
        <w:t xml:space="preserve"> </w:t>
      </w:r>
      <w:proofErr w:type="spellStart"/>
      <w:r w:rsidRPr="002B09C8">
        <w:rPr>
          <w:sz w:val="22"/>
          <w:szCs w:val="22"/>
          <w:lang w:val="sr-Latn-ME"/>
        </w:rPr>
        <w:t>granularnih</w:t>
      </w:r>
      <w:proofErr w:type="spellEnd"/>
      <w:r w:rsidRPr="002B09C8">
        <w:rPr>
          <w:sz w:val="22"/>
          <w:szCs w:val="22"/>
          <w:lang w:val="sr-Latn-ME"/>
        </w:rPr>
        <w:t xml:space="preserve"> ćelija uzrokovane JC virusom su slični simptomima PML-a (tj. </w:t>
      </w:r>
      <w:proofErr w:type="spellStart"/>
      <w:r w:rsidRPr="002B09C8">
        <w:rPr>
          <w:sz w:val="22"/>
          <w:szCs w:val="22"/>
          <w:lang w:val="sr-Latn-ME"/>
        </w:rPr>
        <w:t>cerebelarnom</w:t>
      </w:r>
      <w:proofErr w:type="spellEnd"/>
      <w:r w:rsidRPr="002B09C8">
        <w:rPr>
          <w:sz w:val="22"/>
          <w:szCs w:val="22"/>
          <w:lang w:val="sr-Latn-ME"/>
        </w:rPr>
        <w:t xml:space="preserve"> sindromu). </w:t>
      </w:r>
    </w:p>
    <w:p w14:paraId="502DDBCF" w14:textId="77777777" w:rsidR="00FB74D3" w:rsidRPr="002B09C8" w:rsidRDefault="00FB74D3" w:rsidP="00C74431">
      <w:pPr>
        <w:widowControl w:val="0"/>
        <w:jc w:val="both"/>
        <w:rPr>
          <w:sz w:val="22"/>
          <w:szCs w:val="22"/>
          <w:lang w:val="sr-Latn-ME"/>
        </w:rPr>
      </w:pPr>
    </w:p>
    <w:p w14:paraId="0A56784F" w14:textId="77777777" w:rsidR="00FB74D3" w:rsidRPr="002B09C8" w:rsidRDefault="00FB74D3" w:rsidP="00C74431">
      <w:pPr>
        <w:widowControl w:val="0"/>
        <w:jc w:val="both"/>
        <w:rPr>
          <w:sz w:val="22"/>
          <w:szCs w:val="22"/>
          <w:lang w:val="sr-Latn-ME"/>
        </w:rPr>
      </w:pPr>
      <w:r w:rsidRPr="002B09C8">
        <w:rPr>
          <w:sz w:val="22"/>
          <w:szCs w:val="22"/>
          <w:lang w:val="sr-Latn-ME"/>
        </w:rPr>
        <w:t>Sljedeći rizični faktori su povezani s povećanim rizikom od PML-a.</w:t>
      </w:r>
    </w:p>
    <w:p w14:paraId="32521597" w14:textId="77777777" w:rsidR="00FB74D3" w:rsidRPr="002B09C8" w:rsidRDefault="00FB74D3" w:rsidP="00C74431">
      <w:pPr>
        <w:widowControl w:val="0"/>
        <w:ind w:left="720"/>
        <w:jc w:val="both"/>
        <w:rPr>
          <w:sz w:val="22"/>
          <w:szCs w:val="22"/>
          <w:lang w:val="sr-Latn-ME"/>
        </w:rPr>
      </w:pPr>
    </w:p>
    <w:p w14:paraId="1212FFC0" w14:textId="77777777" w:rsidR="00FB74D3" w:rsidRPr="002B09C8" w:rsidRDefault="00FB74D3" w:rsidP="00C74431">
      <w:pPr>
        <w:widowControl w:val="0"/>
        <w:numPr>
          <w:ilvl w:val="0"/>
          <w:numId w:val="14"/>
        </w:numPr>
        <w:jc w:val="both"/>
        <w:rPr>
          <w:sz w:val="22"/>
          <w:szCs w:val="22"/>
          <w:lang w:val="sr-Latn-ME"/>
        </w:rPr>
      </w:pPr>
      <w:r w:rsidRPr="002B09C8">
        <w:rPr>
          <w:sz w:val="22"/>
          <w:szCs w:val="22"/>
          <w:lang w:val="sr-Latn-ME"/>
        </w:rPr>
        <w:t>Prisustvo anti-JCV antitijela.</w:t>
      </w:r>
    </w:p>
    <w:p w14:paraId="7DEA1D92" w14:textId="77777777" w:rsidR="00FB74D3" w:rsidRPr="002B09C8" w:rsidRDefault="00FB74D3" w:rsidP="00C74431">
      <w:pPr>
        <w:widowControl w:val="0"/>
        <w:jc w:val="both"/>
        <w:rPr>
          <w:sz w:val="22"/>
          <w:szCs w:val="22"/>
          <w:lang w:val="sr-Latn-ME"/>
        </w:rPr>
      </w:pPr>
    </w:p>
    <w:p w14:paraId="197D6C6B" w14:textId="2CB102CD" w:rsidR="00FB74D3" w:rsidRPr="002B09C8" w:rsidRDefault="00FB74D3" w:rsidP="00C74431">
      <w:pPr>
        <w:widowControl w:val="0"/>
        <w:numPr>
          <w:ilvl w:val="0"/>
          <w:numId w:val="14"/>
        </w:numPr>
        <w:jc w:val="both"/>
        <w:rPr>
          <w:sz w:val="22"/>
          <w:szCs w:val="22"/>
          <w:lang w:val="sr-Latn-ME"/>
        </w:rPr>
      </w:pPr>
      <w:r w:rsidRPr="002B09C8">
        <w:rPr>
          <w:sz w:val="22"/>
          <w:szCs w:val="22"/>
          <w:lang w:val="sr-Latn-ME"/>
        </w:rPr>
        <w:t>Trajanje liječenja, posebno duže od 2 godine. Nakon 2 godine sve pacijente treba ponovo informisati o riziku od PML-a kod primjene</w:t>
      </w:r>
      <w:r w:rsidR="00005943" w:rsidRPr="002B09C8">
        <w:rPr>
          <w:sz w:val="22"/>
          <w:szCs w:val="22"/>
          <w:lang w:val="sr-Latn-ME"/>
        </w:rPr>
        <w:t xml:space="preserve"> ovog</w:t>
      </w:r>
      <w:r w:rsidRPr="002B09C8">
        <w:rPr>
          <w:sz w:val="22"/>
          <w:szCs w:val="22"/>
          <w:lang w:val="sr-Latn-ME"/>
        </w:rPr>
        <w:t xml:space="preserve"> lijeka.</w:t>
      </w:r>
    </w:p>
    <w:p w14:paraId="7BB4FA71" w14:textId="77777777" w:rsidR="00FB74D3" w:rsidRPr="002B09C8" w:rsidRDefault="00FB74D3" w:rsidP="00C74431">
      <w:pPr>
        <w:widowControl w:val="0"/>
        <w:jc w:val="both"/>
        <w:rPr>
          <w:sz w:val="22"/>
          <w:szCs w:val="22"/>
          <w:lang w:val="sr-Latn-ME"/>
        </w:rPr>
      </w:pPr>
    </w:p>
    <w:p w14:paraId="68F8BC61" w14:textId="1DC545DF" w:rsidR="00FB74D3" w:rsidRPr="002B09C8" w:rsidRDefault="00FB74D3" w:rsidP="00C74431">
      <w:pPr>
        <w:widowControl w:val="0"/>
        <w:numPr>
          <w:ilvl w:val="0"/>
          <w:numId w:val="14"/>
        </w:numPr>
        <w:jc w:val="both"/>
        <w:rPr>
          <w:sz w:val="22"/>
          <w:szCs w:val="22"/>
          <w:lang w:val="sr-Latn-ME"/>
        </w:rPr>
      </w:pPr>
      <w:r w:rsidRPr="002B09C8">
        <w:rPr>
          <w:sz w:val="22"/>
          <w:szCs w:val="22"/>
          <w:lang w:val="sr-Latn-ME"/>
        </w:rPr>
        <w:t xml:space="preserve">Upotreba </w:t>
      </w:r>
      <w:proofErr w:type="spellStart"/>
      <w:r w:rsidRPr="002B09C8">
        <w:rPr>
          <w:sz w:val="22"/>
          <w:szCs w:val="22"/>
          <w:lang w:val="sr-Latn-ME"/>
        </w:rPr>
        <w:t>imunosupresiva</w:t>
      </w:r>
      <w:proofErr w:type="spellEnd"/>
      <w:r w:rsidRPr="002B09C8">
        <w:rPr>
          <w:sz w:val="22"/>
          <w:szCs w:val="22"/>
          <w:lang w:val="sr-Latn-ME"/>
        </w:rPr>
        <w:t xml:space="preserve"> prije primjene </w:t>
      </w:r>
      <w:r w:rsidR="00005943" w:rsidRPr="002B09C8">
        <w:rPr>
          <w:sz w:val="22"/>
          <w:szCs w:val="22"/>
          <w:lang w:val="sr-Latn-ME"/>
        </w:rPr>
        <w:t xml:space="preserve">ovog </w:t>
      </w:r>
      <w:r w:rsidRPr="002B09C8">
        <w:rPr>
          <w:sz w:val="22"/>
          <w:szCs w:val="22"/>
          <w:lang w:val="sr-Latn-ME"/>
        </w:rPr>
        <w:t>lijeka.</w:t>
      </w:r>
    </w:p>
    <w:p w14:paraId="295FD4D8" w14:textId="77777777" w:rsidR="00FB74D3" w:rsidRPr="002B09C8" w:rsidRDefault="00FB74D3" w:rsidP="00C74431">
      <w:pPr>
        <w:widowControl w:val="0"/>
        <w:jc w:val="both"/>
        <w:rPr>
          <w:sz w:val="22"/>
          <w:szCs w:val="22"/>
          <w:lang w:val="sr-Latn-ME"/>
        </w:rPr>
      </w:pPr>
    </w:p>
    <w:p w14:paraId="5C7522C1" w14:textId="341635DB" w:rsidR="00FB74D3" w:rsidRPr="002B09C8" w:rsidRDefault="00FB74D3" w:rsidP="00C74431">
      <w:pPr>
        <w:widowControl w:val="0"/>
        <w:jc w:val="both"/>
        <w:rPr>
          <w:sz w:val="22"/>
          <w:szCs w:val="22"/>
          <w:lang w:val="sr-Latn-ME"/>
        </w:rPr>
      </w:pPr>
      <w:r w:rsidRPr="002B09C8">
        <w:rPr>
          <w:sz w:val="22"/>
          <w:szCs w:val="22"/>
          <w:lang w:val="sr-Latn-ME"/>
        </w:rPr>
        <w:t xml:space="preserve">Pacijenti koji su pozitivni na anti-JCV antitijela imaju povećan rizik od razvoja PML-a u poređenju s pacijentima koji su negativni na anti-JCV antitijela. Pacijenti koji imaju sva tri rizična faktora za PML (tj. pozitivni su na anti-JCV antitijela </w:t>
      </w:r>
      <w:r w:rsidRPr="002B09C8">
        <w:rPr>
          <w:b/>
          <w:sz w:val="22"/>
          <w:szCs w:val="22"/>
          <w:lang w:val="sr-Latn-ME"/>
        </w:rPr>
        <w:t>i</w:t>
      </w:r>
      <w:r w:rsidRPr="002B09C8">
        <w:rPr>
          <w:sz w:val="22"/>
          <w:szCs w:val="22"/>
          <w:lang w:val="sr-Latn-ME"/>
        </w:rPr>
        <w:t xml:space="preserve"> primali su duže od 2 godine terapiju</w:t>
      </w:r>
      <w:r w:rsidR="00005943" w:rsidRPr="002B09C8">
        <w:rPr>
          <w:sz w:val="22"/>
          <w:szCs w:val="22"/>
          <w:lang w:val="sr-Latn-ME"/>
        </w:rPr>
        <w:t xml:space="preserve"> ovim</w:t>
      </w:r>
      <w:r w:rsidRPr="002B09C8">
        <w:rPr>
          <w:sz w:val="22"/>
          <w:szCs w:val="22"/>
          <w:lang w:val="sr-Latn-ME"/>
        </w:rPr>
        <w:t xml:space="preserve"> lijekom, </w:t>
      </w:r>
      <w:r w:rsidRPr="002B09C8">
        <w:rPr>
          <w:b/>
          <w:sz w:val="22"/>
          <w:szCs w:val="22"/>
          <w:lang w:val="sr-Latn-ME"/>
        </w:rPr>
        <w:t>i</w:t>
      </w:r>
      <w:r w:rsidRPr="002B09C8">
        <w:rPr>
          <w:sz w:val="22"/>
          <w:szCs w:val="22"/>
          <w:lang w:val="sr-Latn-ME"/>
        </w:rPr>
        <w:t xml:space="preserve"> prethodno </w:t>
      </w:r>
      <w:r w:rsidRPr="002B09C8">
        <w:rPr>
          <w:sz w:val="22"/>
          <w:szCs w:val="22"/>
          <w:lang w:val="sr-Latn-ME"/>
        </w:rPr>
        <w:lastRenderedPageBreak/>
        <w:t xml:space="preserve">su primali terapiju </w:t>
      </w:r>
      <w:proofErr w:type="spellStart"/>
      <w:r w:rsidRPr="002B09C8">
        <w:rPr>
          <w:sz w:val="22"/>
          <w:szCs w:val="22"/>
          <w:lang w:val="sr-Latn-ME"/>
        </w:rPr>
        <w:t>imunosupresivima</w:t>
      </w:r>
      <w:proofErr w:type="spellEnd"/>
      <w:r w:rsidRPr="002B09C8">
        <w:rPr>
          <w:sz w:val="22"/>
          <w:szCs w:val="22"/>
          <w:lang w:val="sr-Latn-ME"/>
        </w:rPr>
        <w:t>) imaju znatno veći rizik od PML-a.</w:t>
      </w:r>
      <w:r w:rsidRPr="002B09C8" w:rsidDel="00D80EA5">
        <w:rPr>
          <w:sz w:val="22"/>
          <w:szCs w:val="22"/>
          <w:lang w:val="sr-Latn-ME"/>
        </w:rPr>
        <w:t xml:space="preserve"> </w:t>
      </w:r>
    </w:p>
    <w:p w14:paraId="14C34079" w14:textId="77777777" w:rsidR="00FB74D3" w:rsidRPr="002B09C8" w:rsidRDefault="00FB74D3" w:rsidP="00C74431">
      <w:pPr>
        <w:widowControl w:val="0"/>
        <w:tabs>
          <w:tab w:val="left" w:pos="567"/>
        </w:tabs>
        <w:jc w:val="both"/>
        <w:rPr>
          <w:snapToGrid w:val="0"/>
          <w:sz w:val="22"/>
          <w:szCs w:val="22"/>
          <w:lang w:val="sr-Latn-ME" w:eastAsia="hr-HR"/>
        </w:rPr>
      </w:pPr>
    </w:p>
    <w:p w14:paraId="218D2D30" w14:textId="0835B8AD" w:rsidR="00FB74D3" w:rsidRPr="002B09C8" w:rsidRDefault="00FB74D3" w:rsidP="00C74431">
      <w:pPr>
        <w:widowControl w:val="0"/>
        <w:tabs>
          <w:tab w:val="left" w:pos="567"/>
        </w:tabs>
        <w:jc w:val="both"/>
        <w:rPr>
          <w:snapToGrid w:val="0"/>
          <w:sz w:val="22"/>
          <w:szCs w:val="22"/>
          <w:lang w:val="sr-Latn-ME" w:eastAsia="hr-HR"/>
        </w:rPr>
      </w:pPr>
      <w:r w:rsidRPr="002B09C8">
        <w:rPr>
          <w:snapToGrid w:val="0"/>
          <w:sz w:val="22"/>
          <w:szCs w:val="22"/>
          <w:lang w:val="sr-Latn-ME" w:eastAsia="hr-HR"/>
        </w:rPr>
        <w:t xml:space="preserve">Kod pacijenata liječenih </w:t>
      </w:r>
      <w:proofErr w:type="spellStart"/>
      <w:r w:rsidR="00005943" w:rsidRPr="002B09C8">
        <w:rPr>
          <w:snapToGrid w:val="0"/>
          <w:sz w:val="22"/>
          <w:szCs w:val="22"/>
          <w:lang w:val="sr-Latn-ME" w:eastAsia="hr-HR"/>
        </w:rPr>
        <w:t>natalizumabom</w:t>
      </w:r>
      <w:proofErr w:type="spellEnd"/>
      <w:r w:rsidRPr="002B09C8">
        <w:rPr>
          <w:snapToGrid w:val="0"/>
          <w:sz w:val="22"/>
          <w:szCs w:val="22"/>
          <w:lang w:val="sr-Latn-ME" w:eastAsia="hr-HR"/>
        </w:rPr>
        <w:t xml:space="preserve"> koji su pozitivni na anti-JCV antitijela i koji nijesu prethodno uzimali </w:t>
      </w:r>
      <w:proofErr w:type="spellStart"/>
      <w:r w:rsidRPr="002B09C8">
        <w:rPr>
          <w:snapToGrid w:val="0"/>
          <w:sz w:val="22"/>
          <w:szCs w:val="22"/>
          <w:lang w:val="sr-Latn-ME" w:eastAsia="hr-HR"/>
        </w:rPr>
        <w:t>imunosupresive</w:t>
      </w:r>
      <w:proofErr w:type="spellEnd"/>
      <w:r w:rsidRPr="002B09C8">
        <w:rPr>
          <w:snapToGrid w:val="0"/>
          <w:sz w:val="22"/>
          <w:szCs w:val="22"/>
          <w:lang w:val="sr-Latn-ME" w:eastAsia="hr-HR"/>
        </w:rPr>
        <w:t>, nivo odgovora (indeks) anti-JCV antitijela je povezan s nivoom</w:t>
      </w:r>
      <w:r w:rsidR="008821A4" w:rsidRPr="002B09C8">
        <w:rPr>
          <w:snapToGrid w:val="0"/>
          <w:sz w:val="22"/>
          <w:szCs w:val="22"/>
          <w:lang w:val="sr-Latn-ME" w:eastAsia="hr-HR"/>
        </w:rPr>
        <w:t xml:space="preserve"> </w:t>
      </w:r>
      <w:r w:rsidRPr="002B09C8">
        <w:rPr>
          <w:snapToGrid w:val="0"/>
          <w:sz w:val="22"/>
          <w:szCs w:val="22"/>
          <w:lang w:val="sr-Latn-ME" w:eastAsia="hr-HR"/>
        </w:rPr>
        <w:t>rizika od PML-a.</w:t>
      </w:r>
    </w:p>
    <w:p w14:paraId="400B4C00" w14:textId="77777777" w:rsidR="00FB74D3" w:rsidRPr="002B09C8" w:rsidRDefault="00FB74D3" w:rsidP="00C74431">
      <w:pPr>
        <w:widowControl w:val="0"/>
        <w:jc w:val="both"/>
        <w:rPr>
          <w:sz w:val="22"/>
          <w:szCs w:val="22"/>
          <w:lang w:val="sr-Latn-ME"/>
        </w:rPr>
      </w:pPr>
    </w:p>
    <w:p w14:paraId="0C6F735F" w14:textId="645D712B" w:rsidR="00FB74D3" w:rsidRPr="002B09C8" w:rsidRDefault="00FB74D3" w:rsidP="00C74431">
      <w:pPr>
        <w:widowControl w:val="0"/>
        <w:jc w:val="both"/>
        <w:rPr>
          <w:sz w:val="22"/>
          <w:szCs w:val="22"/>
          <w:lang w:val="sr-Latn-ME"/>
        </w:rPr>
      </w:pPr>
      <w:r w:rsidRPr="002B09C8">
        <w:rPr>
          <w:sz w:val="22"/>
          <w:szCs w:val="22"/>
          <w:lang w:val="sr-Latn-ME"/>
        </w:rPr>
        <w:t xml:space="preserve">Kod pacijenata koji su pozitivni na anti-JCV antitijela, produženi interval doziranja (engl. </w:t>
      </w:r>
      <w:proofErr w:type="spellStart"/>
      <w:r w:rsidRPr="002B09C8">
        <w:rPr>
          <w:i/>
          <w:sz w:val="22"/>
          <w:szCs w:val="22"/>
          <w:lang w:val="sr-Latn-ME"/>
        </w:rPr>
        <w:t>Extended</w:t>
      </w:r>
      <w:proofErr w:type="spellEnd"/>
      <w:r w:rsidRPr="002B09C8">
        <w:rPr>
          <w:i/>
          <w:sz w:val="22"/>
          <w:szCs w:val="22"/>
          <w:lang w:val="sr-Latn-ME"/>
        </w:rPr>
        <w:t xml:space="preserve"> Interval </w:t>
      </w:r>
      <w:proofErr w:type="spellStart"/>
      <w:r w:rsidRPr="002B09C8">
        <w:rPr>
          <w:i/>
          <w:sz w:val="22"/>
          <w:szCs w:val="22"/>
          <w:lang w:val="sr-Latn-ME"/>
        </w:rPr>
        <w:t>Dosing</w:t>
      </w:r>
      <w:proofErr w:type="spellEnd"/>
      <w:r w:rsidR="00095C38" w:rsidRPr="002B09C8">
        <w:rPr>
          <w:iCs/>
          <w:sz w:val="22"/>
          <w:szCs w:val="22"/>
          <w:lang w:val="sr-Latn-ME"/>
        </w:rPr>
        <w:t>, EID</w:t>
      </w:r>
      <w:r w:rsidRPr="002B09C8">
        <w:rPr>
          <w:sz w:val="22"/>
          <w:szCs w:val="22"/>
          <w:lang w:val="sr-Latn-ME"/>
        </w:rPr>
        <w:t xml:space="preserve">) lijeka </w:t>
      </w:r>
      <w:proofErr w:type="spellStart"/>
      <w:r w:rsidRPr="002B09C8">
        <w:rPr>
          <w:sz w:val="22"/>
          <w:szCs w:val="22"/>
          <w:lang w:val="sr-Latn-ME"/>
        </w:rPr>
        <w:t>Tysabri</w:t>
      </w:r>
      <w:proofErr w:type="spellEnd"/>
      <w:r w:rsidRPr="002B09C8">
        <w:rPr>
          <w:sz w:val="22"/>
          <w:szCs w:val="22"/>
          <w:lang w:val="sr-Latn-ME"/>
        </w:rPr>
        <w:t xml:space="preserve"> (uz prosječni interval doziranja od oko 6 ned</w:t>
      </w:r>
      <w:r w:rsidR="009A3116" w:rsidRPr="002B09C8">
        <w:rPr>
          <w:sz w:val="22"/>
          <w:szCs w:val="22"/>
          <w:lang w:val="sr-Latn-ME"/>
        </w:rPr>
        <w:t>j</w:t>
      </w:r>
      <w:r w:rsidRPr="002B09C8">
        <w:rPr>
          <w:sz w:val="22"/>
          <w:szCs w:val="22"/>
          <w:lang w:val="sr-Latn-ME"/>
        </w:rPr>
        <w:t>elja) sugeriše da je povezan sa nižim rizikom od PML-a u poređenju sa odobrenim doziranjem. Ako se primjenjuje produženi interval doziranja, potreban je oprez jer efikasnost produženog intervala doziranja nije utvrđena, pa povezani odnos koristi i rizika trenutno nije poznat (vidjeti dio 5.1</w:t>
      </w:r>
      <w:r w:rsidR="00541AD7" w:rsidRPr="002B09C8">
        <w:rPr>
          <w:sz w:val="22"/>
          <w:szCs w:val="22"/>
          <w:lang w:val="sr-Latn-ME"/>
        </w:rPr>
        <w:t xml:space="preserve">, </w:t>
      </w:r>
      <w:proofErr w:type="spellStart"/>
      <w:r w:rsidR="00541AD7" w:rsidRPr="002B09C8">
        <w:rPr>
          <w:i/>
          <w:iCs/>
          <w:sz w:val="22"/>
          <w:szCs w:val="22"/>
          <w:lang w:val="sr-Latn-ME"/>
        </w:rPr>
        <w:t>Intravenska</w:t>
      </w:r>
      <w:proofErr w:type="spellEnd"/>
      <w:r w:rsidR="00541AD7" w:rsidRPr="002B09C8">
        <w:rPr>
          <w:i/>
          <w:iCs/>
          <w:sz w:val="22"/>
          <w:szCs w:val="22"/>
          <w:lang w:val="sr-Latn-ME"/>
        </w:rPr>
        <w:t xml:space="preserve"> administracija svakih 6 ned</w:t>
      </w:r>
      <w:r w:rsidR="009A3116" w:rsidRPr="002B09C8">
        <w:rPr>
          <w:i/>
          <w:iCs/>
          <w:sz w:val="22"/>
          <w:szCs w:val="22"/>
          <w:lang w:val="sr-Latn-ME"/>
        </w:rPr>
        <w:t>j</w:t>
      </w:r>
      <w:r w:rsidR="00541AD7" w:rsidRPr="002B09C8">
        <w:rPr>
          <w:i/>
          <w:iCs/>
          <w:sz w:val="22"/>
          <w:szCs w:val="22"/>
          <w:lang w:val="sr-Latn-ME"/>
        </w:rPr>
        <w:t>elja</w:t>
      </w:r>
      <w:r w:rsidRPr="002B09C8">
        <w:rPr>
          <w:sz w:val="22"/>
          <w:szCs w:val="22"/>
          <w:lang w:val="sr-Latn-ME"/>
        </w:rPr>
        <w:t>). Dodatne informacije potražite u Informacijama za ljekare i Smjernicama za liječenje.</w:t>
      </w:r>
    </w:p>
    <w:p w14:paraId="2AA9AF0C" w14:textId="77777777" w:rsidR="00FB74D3" w:rsidRPr="002B09C8" w:rsidRDefault="00FB74D3" w:rsidP="00C74431">
      <w:pPr>
        <w:widowControl w:val="0"/>
        <w:jc w:val="both"/>
        <w:rPr>
          <w:sz w:val="22"/>
          <w:szCs w:val="22"/>
          <w:lang w:val="sr-Latn-ME"/>
        </w:rPr>
      </w:pPr>
    </w:p>
    <w:p w14:paraId="4AAD274A" w14:textId="48137247" w:rsidR="00FB74D3" w:rsidRPr="002B09C8" w:rsidRDefault="00FB74D3" w:rsidP="00C74431">
      <w:pPr>
        <w:widowControl w:val="0"/>
        <w:jc w:val="both"/>
        <w:rPr>
          <w:sz w:val="22"/>
          <w:szCs w:val="22"/>
          <w:lang w:val="sr-Latn-ME"/>
        </w:rPr>
      </w:pPr>
      <w:r w:rsidRPr="002B09C8">
        <w:rPr>
          <w:sz w:val="22"/>
          <w:szCs w:val="22"/>
          <w:lang w:val="sr-Latn-ME"/>
        </w:rPr>
        <w:t xml:space="preserve">Kod pacijenata za koje se smatra, da su pod visokim rizikom, liječenje </w:t>
      </w:r>
      <w:r w:rsidR="00005943" w:rsidRPr="002B09C8">
        <w:rPr>
          <w:sz w:val="22"/>
          <w:szCs w:val="22"/>
          <w:lang w:val="sr-Latn-ME"/>
        </w:rPr>
        <w:t xml:space="preserve">ovim </w:t>
      </w:r>
      <w:r w:rsidRPr="002B09C8">
        <w:rPr>
          <w:sz w:val="22"/>
          <w:szCs w:val="22"/>
          <w:lang w:val="sr-Latn-ME"/>
        </w:rPr>
        <w:t xml:space="preserve">lijekom treba nastaviti samo ako su koristi veće od rizika. Za </w:t>
      </w:r>
      <w:proofErr w:type="spellStart"/>
      <w:r w:rsidRPr="002B09C8">
        <w:rPr>
          <w:sz w:val="22"/>
          <w:szCs w:val="22"/>
          <w:lang w:val="sr-Latn-ME"/>
        </w:rPr>
        <w:t>kvantifikaciju</w:t>
      </w:r>
      <w:proofErr w:type="spellEnd"/>
      <w:r w:rsidRPr="002B09C8">
        <w:rPr>
          <w:sz w:val="22"/>
          <w:szCs w:val="22"/>
          <w:lang w:val="sr-Latn-ME"/>
        </w:rPr>
        <w:t xml:space="preserve"> rizika od PML-a kod različitih podgrupa pacijenata, molimo pogledajte Informacije za ljekare i Smjernice za liječenje.</w:t>
      </w:r>
    </w:p>
    <w:p w14:paraId="6FC92A1B" w14:textId="77777777" w:rsidR="00FB74D3" w:rsidRPr="002B09C8" w:rsidRDefault="00FB74D3" w:rsidP="00C74431">
      <w:pPr>
        <w:widowControl w:val="0"/>
        <w:jc w:val="both"/>
        <w:rPr>
          <w:sz w:val="22"/>
          <w:szCs w:val="22"/>
          <w:lang w:val="sr-Latn-ME"/>
        </w:rPr>
      </w:pPr>
    </w:p>
    <w:p w14:paraId="1361410D"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Testiranje na anti-JCV antitijela</w:t>
      </w:r>
    </w:p>
    <w:p w14:paraId="1509514A" w14:textId="77777777" w:rsidR="00FB74D3" w:rsidRPr="002B09C8" w:rsidRDefault="00FB74D3" w:rsidP="00C74431">
      <w:pPr>
        <w:widowControl w:val="0"/>
        <w:jc w:val="both"/>
        <w:rPr>
          <w:sz w:val="22"/>
          <w:szCs w:val="22"/>
          <w:lang w:val="sr-Latn-ME"/>
        </w:rPr>
      </w:pPr>
    </w:p>
    <w:p w14:paraId="218034E3" w14:textId="3AC639B6" w:rsidR="00FB74D3" w:rsidRPr="002B09C8" w:rsidRDefault="00FB74D3" w:rsidP="00C74431">
      <w:pPr>
        <w:widowControl w:val="0"/>
        <w:jc w:val="both"/>
        <w:rPr>
          <w:sz w:val="22"/>
          <w:szCs w:val="22"/>
          <w:lang w:val="sr-Latn-ME"/>
        </w:rPr>
      </w:pPr>
      <w:r w:rsidRPr="002B09C8">
        <w:rPr>
          <w:sz w:val="22"/>
          <w:szCs w:val="22"/>
          <w:lang w:val="sr-Latn-ME"/>
        </w:rPr>
        <w:t>Testiranje na anti-JCV antitijela daje pomoćne informacije za procjenu rizika liječenja</w:t>
      </w:r>
      <w:r w:rsidR="00095C38" w:rsidRPr="002B09C8">
        <w:rPr>
          <w:sz w:val="22"/>
          <w:szCs w:val="22"/>
          <w:lang w:val="sr-Latn-ME"/>
        </w:rPr>
        <w:t xml:space="preserve"> ovim</w:t>
      </w:r>
      <w:r w:rsidRPr="002B09C8">
        <w:rPr>
          <w:sz w:val="22"/>
          <w:szCs w:val="22"/>
          <w:lang w:val="sr-Latn-ME"/>
        </w:rPr>
        <w:t xml:space="preserve"> lijekom. Testiranje na anti-JCV antitijela u serumu preporučuje se prije uvođenja terapije ili kod pacijenata koji primaju </w:t>
      </w:r>
      <w:r w:rsidR="00095C38" w:rsidRPr="002B09C8">
        <w:rPr>
          <w:sz w:val="22"/>
          <w:szCs w:val="22"/>
          <w:lang w:val="sr-Latn-ME"/>
        </w:rPr>
        <w:t>l</w:t>
      </w:r>
      <w:r w:rsidR="00294F59" w:rsidRPr="002B09C8">
        <w:rPr>
          <w:sz w:val="22"/>
          <w:szCs w:val="22"/>
          <w:lang w:val="sr-Latn-ME"/>
        </w:rPr>
        <w:t>ij</w:t>
      </w:r>
      <w:r w:rsidR="00095C38" w:rsidRPr="002B09C8">
        <w:rPr>
          <w:sz w:val="22"/>
          <w:szCs w:val="22"/>
          <w:lang w:val="sr-Latn-ME"/>
        </w:rPr>
        <w:t>ek i čiji je status antitijela nepoznat</w:t>
      </w:r>
      <w:r w:rsidRPr="002B09C8">
        <w:rPr>
          <w:sz w:val="22"/>
          <w:szCs w:val="22"/>
          <w:lang w:val="sr-Latn-ME"/>
        </w:rPr>
        <w:t xml:space="preserve">. Kod pacijenata negativnih na anti-JCV antitijela još uvijek može postojati rizik za nastanak PML-a zbog razloga kao što su nova JCV infekcija, promjenjivi status antitijela ili lažno negativni rezultat testa. Ponovno testiranje pacijenata negativnih na anti-JCV antitijela preporučuje se svakih 6 mjeseci. Kod pacijenata s niskim indeksom koji u anamnezi nemaju prethodno liječenje </w:t>
      </w:r>
      <w:proofErr w:type="spellStart"/>
      <w:r w:rsidRPr="002B09C8">
        <w:rPr>
          <w:sz w:val="22"/>
          <w:szCs w:val="22"/>
          <w:lang w:val="sr-Latn-ME"/>
        </w:rPr>
        <w:t>imu</w:t>
      </w:r>
      <w:r w:rsidR="009A3116" w:rsidRPr="002B09C8">
        <w:rPr>
          <w:sz w:val="22"/>
          <w:szCs w:val="22"/>
          <w:lang w:val="sr-Latn-ME"/>
        </w:rPr>
        <w:t>n</w:t>
      </w:r>
      <w:r w:rsidRPr="002B09C8">
        <w:rPr>
          <w:sz w:val="22"/>
          <w:szCs w:val="22"/>
          <w:lang w:val="sr-Latn-ME"/>
        </w:rPr>
        <w:t>osupresivima</w:t>
      </w:r>
      <w:proofErr w:type="spellEnd"/>
      <w:r w:rsidRPr="002B09C8">
        <w:rPr>
          <w:sz w:val="22"/>
          <w:szCs w:val="22"/>
          <w:lang w:val="sr-Latn-ME"/>
        </w:rPr>
        <w:t>, preporučuje se testiranje jednom na svakih 6 mjeseci kad dostignu 2 godine liječenja.</w:t>
      </w:r>
    </w:p>
    <w:p w14:paraId="4E79BA5C" w14:textId="77777777" w:rsidR="00FB74D3" w:rsidRPr="002B09C8" w:rsidRDefault="00FB74D3" w:rsidP="00C74431">
      <w:pPr>
        <w:widowControl w:val="0"/>
        <w:jc w:val="both"/>
        <w:rPr>
          <w:sz w:val="22"/>
          <w:szCs w:val="22"/>
          <w:lang w:val="sr-Latn-ME"/>
        </w:rPr>
      </w:pPr>
    </w:p>
    <w:p w14:paraId="2EEF49B8" w14:textId="12C02AF7" w:rsidR="00FB74D3" w:rsidRPr="002B09C8" w:rsidRDefault="00FB74D3" w:rsidP="00C74431">
      <w:pPr>
        <w:widowControl w:val="0"/>
        <w:jc w:val="both"/>
        <w:rPr>
          <w:sz w:val="22"/>
          <w:szCs w:val="22"/>
          <w:lang w:val="sr-Latn-ME"/>
        </w:rPr>
      </w:pPr>
      <w:r w:rsidRPr="002B09C8">
        <w:rPr>
          <w:sz w:val="22"/>
          <w:szCs w:val="22"/>
          <w:lang w:val="sr-Latn-ME"/>
        </w:rPr>
        <w:t xml:space="preserve">Test na anti-JCV antitijela (ELISA) ne bi trebalo koristiti za postavljanje dijagnoze PML-a. Primjena </w:t>
      </w:r>
      <w:proofErr w:type="spellStart"/>
      <w:r w:rsidRPr="002B09C8">
        <w:rPr>
          <w:sz w:val="22"/>
          <w:szCs w:val="22"/>
          <w:lang w:val="sr-Latn-ME"/>
        </w:rPr>
        <w:t>plazmafereze</w:t>
      </w:r>
      <w:proofErr w:type="spellEnd"/>
      <w:r w:rsidRPr="002B09C8">
        <w:rPr>
          <w:sz w:val="22"/>
          <w:szCs w:val="22"/>
          <w:lang w:val="sr-Latn-ME"/>
        </w:rPr>
        <w:t xml:space="preserve"> / izmjene plazme (PLEX) ili </w:t>
      </w:r>
      <w:proofErr w:type="spellStart"/>
      <w:r w:rsidRPr="002B09C8">
        <w:rPr>
          <w:sz w:val="22"/>
          <w:szCs w:val="22"/>
          <w:lang w:val="sr-Latn-ME"/>
        </w:rPr>
        <w:t>intravenskog</w:t>
      </w:r>
      <w:proofErr w:type="spellEnd"/>
      <w:r w:rsidRPr="002B09C8">
        <w:rPr>
          <w:sz w:val="22"/>
          <w:szCs w:val="22"/>
          <w:lang w:val="sr-Latn-ME"/>
        </w:rPr>
        <w:t xml:space="preserve"> </w:t>
      </w:r>
      <w:proofErr w:type="spellStart"/>
      <w:r w:rsidRPr="002B09C8">
        <w:rPr>
          <w:sz w:val="22"/>
          <w:szCs w:val="22"/>
          <w:lang w:val="sr-Latn-ME"/>
        </w:rPr>
        <w:t>imunoglobulina</w:t>
      </w:r>
      <w:proofErr w:type="spellEnd"/>
      <w:r w:rsidRPr="002B09C8">
        <w:rPr>
          <w:sz w:val="22"/>
          <w:szCs w:val="22"/>
          <w:lang w:val="sr-Latn-ME"/>
        </w:rPr>
        <w:t xml:space="preserve"> (</w:t>
      </w:r>
      <w:proofErr w:type="spellStart"/>
      <w:r w:rsidRPr="002B09C8">
        <w:rPr>
          <w:sz w:val="22"/>
          <w:szCs w:val="22"/>
          <w:lang w:val="sr-Latn-ME"/>
        </w:rPr>
        <w:t>i.v</w:t>
      </w:r>
      <w:proofErr w:type="spellEnd"/>
      <w:r w:rsidRPr="002B09C8">
        <w:rPr>
          <w:sz w:val="22"/>
          <w:szCs w:val="22"/>
          <w:lang w:val="sr-Latn-ME"/>
        </w:rPr>
        <w:t>.</w:t>
      </w:r>
      <w:r w:rsidR="008821A4" w:rsidRPr="002B09C8">
        <w:rPr>
          <w:sz w:val="22"/>
          <w:szCs w:val="22"/>
          <w:lang w:val="sr-Latn-ME"/>
        </w:rPr>
        <w:t xml:space="preserve"> </w:t>
      </w:r>
      <w:proofErr w:type="spellStart"/>
      <w:r w:rsidRPr="002B09C8">
        <w:rPr>
          <w:sz w:val="22"/>
          <w:szCs w:val="22"/>
          <w:lang w:val="sr-Latn-ME"/>
        </w:rPr>
        <w:t>Ig</w:t>
      </w:r>
      <w:proofErr w:type="spellEnd"/>
      <w:r w:rsidRPr="002B09C8">
        <w:rPr>
          <w:sz w:val="22"/>
          <w:szCs w:val="22"/>
          <w:lang w:val="sr-Latn-ME"/>
        </w:rPr>
        <w:t xml:space="preserve">) može uticati na valjano tumačenje testiranja anti-JCV antitijela u serumu. Pacijent se ne smije testirati na anti-JCV antitijela unutar dvije sedmice od sprovođenja </w:t>
      </w:r>
      <w:proofErr w:type="spellStart"/>
      <w:r w:rsidRPr="002B09C8">
        <w:rPr>
          <w:sz w:val="22"/>
          <w:szCs w:val="22"/>
          <w:lang w:val="sr-Latn-ME"/>
        </w:rPr>
        <w:t>plazmafereze</w:t>
      </w:r>
      <w:proofErr w:type="spellEnd"/>
      <w:r w:rsidRPr="002B09C8">
        <w:rPr>
          <w:sz w:val="22"/>
          <w:szCs w:val="22"/>
          <w:lang w:val="sr-Latn-ME"/>
        </w:rPr>
        <w:t xml:space="preserve"> zbog uklanjanja antitijela iz seruma ili unutar 6 mjeseci od primjene </w:t>
      </w:r>
      <w:proofErr w:type="spellStart"/>
      <w:r w:rsidRPr="002B09C8">
        <w:rPr>
          <w:sz w:val="22"/>
          <w:szCs w:val="22"/>
          <w:lang w:val="sr-Latn-ME"/>
        </w:rPr>
        <w:t>i.v</w:t>
      </w:r>
      <w:proofErr w:type="spellEnd"/>
      <w:r w:rsidRPr="002B09C8">
        <w:rPr>
          <w:sz w:val="22"/>
          <w:szCs w:val="22"/>
          <w:lang w:val="sr-Latn-ME"/>
        </w:rPr>
        <w:t>.</w:t>
      </w:r>
      <w:r w:rsidR="008821A4" w:rsidRPr="002B09C8">
        <w:rPr>
          <w:sz w:val="22"/>
          <w:szCs w:val="22"/>
          <w:lang w:val="sr-Latn-ME"/>
        </w:rPr>
        <w:t xml:space="preserve"> </w:t>
      </w:r>
      <w:proofErr w:type="spellStart"/>
      <w:r w:rsidRPr="002B09C8">
        <w:rPr>
          <w:sz w:val="22"/>
          <w:szCs w:val="22"/>
          <w:lang w:val="sr-Latn-ME"/>
        </w:rPr>
        <w:t>Ig</w:t>
      </w:r>
      <w:proofErr w:type="spellEnd"/>
      <w:r w:rsidRPr="002B09C8">
        <w:rPr>
          <w:sz w:val="22"/>
          <w:szCs w:val="22"/>
          <w:lang w:val="sr-Latn-ME"/>
        </w:rPr>
        <w:t xml:space="preserve"> (tj. 6 mjeseci = 5 x </w:t>
      </w:r>
      <w:proofErr w:type="spellStart"/>
      <w:r w:rsidRPr="002B09C8">
        <w:rPr>
          <w:sz w:val="22"/>
          <w:szCs w:val="22"/>
          <w:lang w:val="sr-Latn-ME"/>
        </w:rPr>
        <w:t>poluvijek</w:t>
      </w:r>
      <w:proofErr w:type="spellEnd"/>
      <w:r w:rsidRPr="002B09C8">
        <w:rPr>
          <w:sz w:val="22"/>
          <w:szCs w:val="22"/>
          <w:lang w:val="sr-Latn-ME"/>
        </w:rPr>
        <w:t xml:space="preserve"> </w:t>
      </w:r>
      <w:proofErr w:type="spellStart"/>
      <w:r w:rsidRPr="002B09C8">
        <w:rPr>
          <w:sz w:val="22"/>
          <w:szCs w:val="22"/>
          <w:lang w:val="sr-Latn-ME"/>
        </w:rPr>
        <w:t>imunoglobulina</w:t>
      </w:r>
      <w:proofErr w:type="spellEnd"/>
      <w:r w:rsidRPr="002B09C8">
        <w:rPr>
          <w:sz w:val="22"/>
          <w:szCs w:val="22"/>
          <w:lang w:val="sr-Latn-ME"/>
        </w:rPr>
        <w:t>).</w:t>
      </w:r>
    </w:p>
    <w:p w14:paraId="2CEBD9B5" w14:textId="77777777" w:rsidR="00FB74D3" w:rsidRPr="002B09C8" w:rsidRDefault="00FB74D3" w:rsidP="00C74431">
      <w:pPr>
        <w:widowControl w:val="0"/>
        <w:jc w:val="both"/>
        <w:rPr>
          <w:sz w:val="22"/>
          <w:szCs w:val="22"/>
          <w:lang w:val="sr-Latn-ME"/>
        </w:rPr>
      </w:pPr>
      <w:r w:rsidRPr="002B09C8">
        <w:rPr>
          <w:sz w:val="22"/>
          <w:szCs w:val="22"/>
          <w:lang w:val="sr-Latn-ME"/>
        </w:rPr>
        <w:t>Za dodatne informacije o testiranju anti-JCV antitijela vidjeti Informacije za ljekare i Smjernice za liječenje.</w:t>
      </w:r>
    </w:p>
    <w:p w14:paraId="6F0BC1A1" w14:textId="77777777" w:rsidR="00FB74D3" w:rsidRPr="002B09C8" w:rsidRDefault="00FB74D3" w:rsidP="00C74431">
      <w:pPr>
        <w:widowControl w:val="0"/>
        <w:jc w:val="both"/>
        <w:rPr>
          <w:sz w:val="22"/>
          <w:szCs w:val="22"/>
          <w:lang w:val="sr-Latn-ME"/>
        </w:rPr>
      </w:pPr>
    </w:p>
    <w:p w14:paraId="31102544"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MRI snimanje za PML</w:t>
      </w:r>
    </w:p>
    <w:p w14:paraId="53726B35" w14:textId="77777777" w:rsidR="00FB74D3" w:rsidRPr="002B09C8" w:rsidRDefault="00FB74D3" w:rsidP="00C74431">
      <w:pPr>
        <w:widowControl w:val="0"/>
        <w:jc w:val="both"/>
        <w:rPr>
          <w:sz w:val="22"/>
          <w:szCs w:val="22"/>
          <w:lang w:val="sr-Latn-ME"/>
        </w:rPr>
      </w:pPr>
    </w:p>
    <w:p w14:paraId="6787B15C" w14:textId="246326AC" w:rsidR="00FB74D3" w:rsidRPr="002B09C8" w:rsidRDefault="00FB74D3" w:rsidP="00C74431">
      <w:pPr>
        <w:widowControl w:val="0"/>
        <w:jc w:val="both"/>
        <w:rPr>
          <w:sz w:val="22"/>
          <w:szCs w:val="22"/>
          <w:lang w:val="sr-Latn-ME"/>
        </w:rPr>
      </w:pPr>
      <w:r w:rsidRPr="002B09C8">
        <w:rPr>
          <w:sz w:val="22"/>
          <w:szCs w:val="22"/>
          <w:lang w:val="sr-Latn-ME"/>
        </w:rPr>
        <w:t>Prije početka liječenja</w:t>
      </w:r>
      <w:r w:rsidR="00131618" w:rsidRPr="002B09C8">
        <w:rPr>
          <w:sz w:val="22"/>
          <w:szCs w:val="22"/>
          <w:lang w:val="sr-Latn-ME"/>
        </w:rPr>
        <w:t xml:space="preserve"> ovim</w:t>
      </w:r>
      <w:r w:rsidRPr="002B09C8">
        <w:rPr>
          <w:sz w:val="22"/>
          <w:szCs w:val="22"/>
          <w:lang w:val="sr-Latn-ME"/>
        </w:rPr>
        <w:t xml:space="preserve"> lijekom, novi (obično ne stariji od 3 mjeseca) MRI treba da bude dostupan kao referentni nalaz i treba ga ponavljati na godišnjem nivou. Treba uzeti u obzir češća MRI snimanja (na primjer svakih 3 do 6 mjeseci) uz skraćeni protokol kod pacijenata s visokim rizikom od PML-a. To uključuje</w:t>
      </w:r>
    </w:p>
    <w:p w14:paraId="5BABFFD8" w14:textId="77777777" w:rsidR="00FB74D3" w:rsidRPr="002B09C8" w:rsidRDefault="00FB74D3" w:rsidP="00C74431">
      <w:pPr>
        <w:widowControl w:val="0"/>
        <w:jc w:val="both"/>
        <w:rPr>
          <w:b/>
          <w:sz w:val="22"/>
          <w:szCs w:val="22"/>
          <w:lang w:val="sr-Latn-ME"/>
        </w:rPr>
      </w:pPr>
    </w:p>
    <w:p w14:paraId="7082F11C" w14:textId="0ACF54C7" w:rsidR="00FB74D3" w:rsidRPr="002B09C8" w:rsidRDefault="00FB74D3" w:rsidP="00C74431">
      <w:pPr>
        <w:widowControl w:val="0"/>
        <w:numPr>
          <w:ilvl w:val="0"/>
          <w:numId w:val="15"/>
        </w:numPr>
        <w:tabs>
          <w:tab w:val="left" w:pos="567"/>
        </w:tabs>
        <w:ind w:left="567" w:hanging="567"/>
        <w:jc w:val="both"/>
        <w:rPr>
          <w:sz w:val="22"/>
          <w:szCs w:val="22"/>
          <w:lang w:val="sr-Latn-ME"/>
        </w:rPr>
      </w:pPr>
      <w:r w:rsidRPr="002B09C8">
        <w:rPr>
          <w:sz w:val="22"/>
          <w:szCs w:val="22"/>
          <w:lang w:val="sr-Latn-ME"/>
        </w:rPr>
        <w:t xml:space="preserve">Pacijente koji imaju sva tri rizična faktora za PML (tj. pozitivni su na anti-JCV antitijela </w:t>
      </w:r>
      <w:r w:rsidRPr="002B09C8">
        <w:rPr>
          <w:b/>
          <w:sz w:val="22"/>
          <w:szCs w:val="22"/>
          <w:lang w:val="sr-Latn-ME"/>
        </w:rPr>
        <w:t>i</w:t>
      </w:r>
      <w:r w:rsidRPr="002B09C8">
        <w:rPr>
          <w:sz w:val="22"/>
          <w:szCs w:val="22"/>
          <w:lang w:val="sr-Latn-ME"/>
        </w:rPr>
        <w:t xml:space="preserve"> primali su terapiju</w:t>
      </w:r>
      <w:r w:rsidR="00131618" w:rsidRPr="002B09C8">
        <w:rPr>
          <w:sz w:val="22"/>
          <w:szCs w:val="22"/>
          <w:lang w:val="sr-Latn-ME"/>
        </w:rPr>
        <w:t xml:space="preserve"> ovim</w:t>
      </w:r>
      <w:r w:rsidRPr="002B09C8">
        <w:rPr>
          <w:sz w:val="22"/>
          <w:szCs w:val="22"/>
          <w:lang w:val="sr-Latn-ME"/>
        </w:rPr>
        <w:t xml:space="preserve"> lijekom duže od 2 godine, </w:t>
      </w:r>
      <w:r w:rsidRPr="002B09C8">
        <w:rPr>
          <w:b/>
          <w:sz w:val="22"/>
          <w:szCs w:val="22"/>
          <w:lang w:val="sr-Latn-ME"/>
        </w:rPr>
        <w:t>i</w:t>
      </w:r>
      <w:r w:rsidRPr="002B09C8">
        <w:rPr>
          <w:sz w:val="22"/>
          <w:szCs w:val="22"/>
          <w:lang w:val="sr-Latn-ME"/>
        </w:rPr>
        <w:t xml:space="preserve"> prethodno su primali </w:t>
      </w:r>
      <w:proofErr w:type="spellStart"/>
      <w:r w:rsidRPr="002B09C8">
        <w:rPr>
          <w:sz w:val="22"/>
          <w:szCs w:val="22"/>
          <w:lang w:val="sr-Latn-ME"/>
        </w:rPr>
        <w:t>imunosupresivnu</w:t>
      </w:r>
      <w:proofErr w:type="spellEnd"/>
      <w:r w:rsidRPr="002B09C8">
        <w:rPr>
          <w:sz w:val="22"/>
          <w:szCs w:val="22"/>
          <w:lang w:val="sr-Latn-ME"/>
        </w:rPr>
        <w:t xml:space="preserve"> terapiju),</w:t>
      </w:r>
    </w:p>
    <w:p w14:paraId="6A68B1BC" w14:textId="77777777" w:rsidR="00FB74D3" w:rsidRPr="002B09C8" w:rsidRDefault="00FB74D3" w:rsidP="00C74431">
      <w:pPr>
        <w:widowControl w:val="0"/>
        <w:jc w:val="both"/>
        <w:rPr>
          <w:sz w:val="22"/>
          <w:szCs w:val="22"/>
          <w:lang w:val="sr-Latn-ME"/>
        </w:rPr>
      </w:pPr>
    </w:p>
    <w:p w14:paraId="4D776F29" w14:textId="77777777" w:rsidR="00FB74D3" w:rsidRPr="002B09C8" w:rsidRDefault="00FB74D3" w:rsidP="00C74431">
      <w:pPr>
        <w:widowControl w:val="0"/>
        <w:jc w:val="both"/>
        <w:rPr>
          <w:sz w:val="22"/>
          <w:szCs w:val="22"/>
          <w:lang w:val="sr-Latn-ME"/>
        </w:rPr>
      </w:pPr>
      <w:r w:rsidRPr="002B09C8">
        <w:rPr>
          <w:sz w:val="22"/>
          <w:szCs w:val="22"/>
          <w:lang w:val="sr-Latn-ME"/>
        </w:rPr>
        <w:t>ili</w:t>
      </w:r>
    </w:p>
    <w:p w14:paraId="79F04704" w14:textId="77777777" w:rsidR="00FB74D3" w:rsidRPr="002B09C8" w:rsidRDefault="00FB74D3" w:rsidP="00C74431">
      <w:pPr>
        <w:widowControl w:val="0"/>
        <w:jc w:val="both"/>
        <w:rPr>
          <w:sz w:val="22"/>
          <w:szCs w:val="22"/>
          <w:lang w:val="sr-Latn-ME"/>
        </w:rPr>
      </w:pPr>
    </w:p>
    <w:p w14:paraId="11E15D77" w14:textId="4EF403EC" w:rsidR="00FB74D3" w:rsidRPr="002B09C8" w:rsidRDefault="00FB74D3" w:rsidP="00C74431">
      <w:pPr>
        <w:widowControl w:val="0"/>
        <w:numPr>
          <w:ilvl w:val="0"/>
          <w:numId w:val="15"/>
        </w:numPr>
        <w:tabs>
          <w:tab w:val="left" w:pos="567"/>
        </w:tabs>
        <w:ind w:left="567" w:hanging="567"/>
        <w:jc w:val="both"/>
        <w:rPr>
          <w:sz w:val="22"/>
          <w:szCs w:val="22"/>
          <w:lang w:val="sr-Latn-ME"/>
        </w:rPr>
      </w:pPr>
      <w:r w:rsidRPr="002B09C8">
        <w:rPr>
          <w:sz w:val="22"/>
          <w:szCs w:val="22"/>
          <w:lang w:val="sr-Latn-ME"/>
        </w:rPr>
        <w:t>Pacijente s visokim indeksom anti-JCV antitijela koji su primali terapiju</w:t>
      </w:r>
      <w:r w:rsidR="00131618" w:rsidRPr="002B09C8">
        <w:rPr>
          <w:sz w:val="22"/>
          <w:szCs w:val="22"/>
          <w:lang w:val="sr-Latn-ME"/>
        </w:rPr>
        <w:t xml:space="preserve"> ovim</w:t>
      </w:r>
      <w:r w:rsidRPr="002B09C8">
        <w:rPr>
          <w:sz w:val="22"/>
          <w:szCs w:val="22"/>
          <w:lang w:val="sr-Latn-ME"/>
        </w:rPr>
        <w:t xml:space="preserve"> lijekom duže od 2 godine i bez prethodne </w:t>
      </w:r>
      <w:proofErr w:type="spellStart"/>
      <w:r w:rsidRPr="002B09C8">
        <w:rPr>
          <w:sz w:val="22"/>
          <w:szCs w:val="22"/>
          <w:lang w:val="sr-Latn-ME"/>
        </w:rPr>
        <w:t>imunosupresivne</w:t>
      </w:r>
      <w:proofErr w:type="spellEnd"/>
      <w:r w:rsidRPr="002B09C8">
        <w:rPr>
          <w:sz w:val="22"/>
          <w:szCs w:val="22"/>
          <w:lang w:val="sr-Latn-ME"/>
        </w:rPr>
        <w:t xml:space="preserve"> terapije u anamnezi.</w:t>
      </w:r>
    </w:p>
    <w:p w14:paraId="0DCB5F32" w14:textId="77777777" w:rsidR="00FB74D3" w:rsidRPr="002B09C8" w:rsidRDefault="00FB74D3" w:rsidP="00C74431">
      <w:pPr>
        <w:widowControl w:val="0"/>
        <w:jc w:val="both"/>
        <w:rPr>
          <w:color w:val="00B050"/>
          <w:sz w:val="22"/>
          <w:szCs w:val="22"/>
          <w:lang w:val="sr-Latn-ME"/>
        </w:rPr>
      </w:pPr>
    </w:p>
    <w:p w14:paraId="4E0FC726" w14:textId="45204D53" w:rsidR="00FB74D3" w:rsidRPr="002B09C8" w:rsidRDefault="00FB74D3" w:rsidP="00C74431">
      <w:pPr>
        <w:widowControl w:val="0"/>
        <w:jc w:val="both"/>
        <w:rPr>
          <w:sz w:val="22"/>
          <w:szCs w:val="22"/>
          <w:lang w:val="sr-Latn-ME"/>
        </w:rPr>
      </w:pPr>
      <w:r w:rsidRPr="002B09C8">
        <w:rPr>
          <w:sz w:val="22"/>
          <w:szCs w:val="22"/>
          <w:lang w:val="sr-Latn-ME"/>
        </w:rPr>
        <w:t>Trenutni dokazi upućuju na to da je rizik od PML-a nizak ako je indeks jednak ili manji od 0,9 i znatno se povećava iznad 1,5 za pacijente koji su bili na liječenju</w:t>
      </w:r>
      <w:r w:rsidR="00131618" w:rsidRPr="002B09C8">
        <w:rPr>
          <w:sz w:val="22"/>
          <w:szCs w:val="22"/>
          <w:lang w:val="sr-Latn-ME"/>
        </w:rPr>
        <w:t xml:space="preserve"> ovim</w:t>
      </w:r>
      <w:r w:rsidRPr="002B09C8">
        <w:rPr>
          <w:sz w:val="22"/>
          <w:szCs w:val="22"/>
          <w:lang w:val="sr-Latn-ME"/>
        </w:rPr>
        <w:t xml:space="preserve"> lijekom</w:t>
      </w:r>
      <w:r w:rsidR="008821A4" w:rsidRPr="002B09C8">
        <w:rPr>
          <w:sz w:val="22"/>
          <w:szCs w:val="22"/>
          <w:lang w:val="sr-Latn-ME"/>
        </w:rPr>
        <w:t xml:space="preserve"> </w:t>
      </w:r>
      <w:r w:rsidRPr="002B09C8">
        <w:rPr>
          <w:sz w:val="22"/>
          <w:szCs w:val="22"/>
          <w:lang w:val="sr-Latn-ME"/>
        </w:rPr>
        <w:t>duže od 2 godine (za dodatne informacije vid</w:t>
      </w:r>
      <w:r w:rsidR="009A3116" w:rsidRPr="002B09C8">
        <w:rPr>
          <w:sz w:val="22"/>
          <w:szCs w:val="22"/>
          <w:lang w:val="sr-Latn-ME"/>
        </w:rPr>
        <w:t>j</w:t>
      </w:r>
      <w:r w:rsidRPr="002B09C8">
        <w:rPr>
          <w:sz w:val="22"/>
          <w:szCs w:val="22"/>
          <w:lang w:val="sr-Latn-ME"/>
        </w:rPr>
        <w:t>eti Informacije za ljekare i Smjernice za liječenje).</w:t>
      </w:r>
    </w:p>
    <w:p w14:paraId="4E57C94E" w14:textId="77777777" w:rsidR="00FB74D3" w:rsidRPr="002B09C8" w:rsidRDefault="00FB74D3" w:rsidP="00C74431">
      <w:pPr>
        <w:widowControl w:val="0"/>
        <w:jc w:val="both"/>
        <w:rPr>
          <w:sz w:val="22"/>
          <w:szCs w:val="22"/>
          <w:lang w:val="sr-Latn-ME"/>
        </w:rPr>
      </w:pPr>
    </w:p>
    <w:p w14:paraId="18D2A0A3" w14:textId="72C4596C" w:rsidR="00FB74D3" w:rsidRPr="002B09C8" w:rsidRDefault="00FB74D3" w:rsidP="00C74431">
      <w:pPr>
        <w:widowControl w:val="0"/>
        <w:jc w:val="both"/>
        <w:rPr>
          <w:sz w:val="22"/>
          <w:szCs w:val="22"/>
          <w:lang w:val="sr-Latn-ME"/>
        </w:rPr>
      </w:pPr>
      <w:r w:rsidRPr="002B09C8">
        <w:rPr>
          <w:sz w:val="22"/>
          <w:szCs w:val="22"/>
          <w:lang w:val="sr-Latn-ME"/>
        </w:rPr>
        <w:t xml:space="preserve">Nijesu sprovedena ispitivanja kako bi se procijenile efikasnost i bezbjednost </w:t>
      </w:r>
      <w:proofErr w:type="spellStart"/>
      <w:r w:rsidR="00131618" w:rsidRPr="002B09C8">
        <w:rPr>
          <w:sz w:val="22"/>
          <w:szCs w:val="22"/>
          <w:lang w:val="sr-Latn-ME"/>
        </w:rPr>
        <w:t>natalizumaba</w:t>
      </w:r>
      <w:proofErr w:type="spellEnd"/>
      <w:r w:rsidRPr="002B09C8">
        <w:rPr>
          <w:sz w:val="22"/>
          <w:szCs w:val="22"/>
          <w:lang w:val="sr-Latn-ME"/>
        </w:rPr>
        <w:t xml:space="preserve"> kada pacijenti </w:t>
      </w:r>
      <w:r w:rsidRPr="002B09C8">
        <w:rPr>
          <w:sz w:val="22"/>
          <w:szCs w:val="22"/>
          <w:lang w:val="sr-Latn-ME"/>
        </w:rPr>
        <w:lastRenderedPageBreak/>
        <w:t xml:space="preserve">prelaze s terapija koje mijenjaju tok bolesti (DMT) i imaju </w:t>
      </w:r>
      <w:proofErr w:type="spellStart"/>
      <w:r w:rsidRPr="002B09C8">
        <w:rPr>
          <w:sz w:val="22"/>
          <w:szCs w:val="22"/>
          <w:lang w:val="sr-Latn-ME"/>
        </w:rPr>
        <w:t>imunosupresivni</w:t>
      </w:r>
      <w:proofErr w:type="spellEnd"/>
      <w:r w:rsidRPr="002B09C8">
        <w:rPr>
          <w:sz w:val="22"/>
          <w:szCs w:val="22"/>
          <w:lang w:val="sr-Latn-ME"/>
        </w:rPr>
        <w:t xml:space="preserve"> efekat. Nije poznato postoji li kod pacijenata koji prelaze s tih terapija na</w:t>
      </w:r>
      <w:r w:rsidR="00131618" w:rsidRPr="002B09C8">
        <w:rPr>
          <w:sz w:val="22"/>
          <w:szCs w:val="22"/>
          <w:lang w:val="sr-Latn-ME"/>
        </w:rPr>
        <w:t xml:space="preserve"> ovaj</w:t>
      </w:r>
      <w:r w:rsidRPr="002B09C8">
        <w:rPr>
          <w:sz w:val="22"/>
          <w:szCs w:val="22"/>
          <w:lang w:val="sr-Latn-ME"/>
        </w:rPr>
        <w:t xml:space="preserve"> lijek povećan rizik od PML-a, stoga te pacijente treba češće nadzirati (tj. slično kao i kod pacijenata koji</w:t>
      </w:r>
      <w:r w:rsidR="00131618" w:rsidRPr="002B09C8">
        <w:rPr>
          <w:sz w:val="22"/>
          <w:szCs w:val="22"/>
          <w:lang w:val="sr-Latn-ME"/>
        </w:rPr>
        <w:t xml:space="preserve"> prelaze</w:t>
      </w:r>
      <w:r w:rsidRPr="002B09C8">
        <w:rPr>
          <w:sz w:val="22"/>
          <w:szCs w:val="22"/>
          <w:lang w:val="sr-Latn-ME"/>
        </w:rPr>
        <w:t xml:space="preserve"> na </w:t>
      </w:r>
      <w:proofErr w:type="spellStart"/>
      <w:r w:rsidR="00131618" w:rsidRPr="002B09C8">
        <w:rPr>
          <w:sz w:val="22"/>
          <w:szCs w:val="22"/>
          <w:lang w:val="sr-Latn-ME"/>
        </w:rPr>
        <w:t>natalizumab</w:t>
      </w:r>
      <w:proofErr w:type="spellEnd"/>
      <w:r w:rsidRPr="002B09C8">
        <w:rPr>
          <w:sz w:val="22"/>
          <w:szCs w:val="22"/>
          <w:lang w:val="sr-Latn-ME"/>
        </w:rPr>
        <w:t xml:space="preserve"> s </w:t>
      </w:r>
      <w:proofErr w:type="spellStart"/>
      <w:r w:rsidRPr="002B09C8">
        <w:rPr>
          <w:sz w:val="22"/>
          <w:szCs w:val="22"/>
          <w:lang w:val="sr-Latn-ME"/>
        </w:rPr>
        <w:t>imunosupresivnih</w:t>
      </w:r>
      <w:proofErr w:type="spellEnd"/>
      <w:r w:rsidRPr="002B09C8">
        <w:rPr>
          <w:sz w:val="22"/>
          <w:szCs w:val="22"/>
          <w:lang w:val="sr-Latn-ME"/>
        </w:rPr>
        <w:t xml:space="preserve"> ljekova). </w:t>
      </w:r>
    </w:p>
    <w:p w14:paraId="636944E2" w14:textId="77777777" w:rsidR="00FB74D3" w:rsidRPr="002B09C8" w:rsidRDefault="00FB74D3" w:rsidP="00C74431">
      <w:pPr>
        <w:widowControl w:val="0"/>
        <w:jc w:val="both"/>
        <w:rPr>
          <w:sz w:val="22"/>
          <w:szCs w:val="22"/>
          <w:lang w:val="sr-Latn-ME"/>
        </w:rPr>
      </w:pPr>
    </w:p>
    <w:p w14:paraId="588490BB" w14:textId="4C2CFDF1" w:rsidR="00FB74D3" w:rsidRPr="002B09C8" w:rsidRDefault="00FB74D3" w:rsidP="00C74431">
      <w:pPr>
        <w:widowControl w:val="0"/>
        <w:jc w:val="both"/>
        <w:rPr>
          <w:sz w:val="22"/>
          <w:szCs w:val="22"/>
          <w:lang w:val="sr-Latn-ME"/>
        </w:rPr>
      </w:pPr>
      <w:r w:rsidRPr="002B09C8">
        <w:rPr>
          <w:sz w:val="22"/>
          <w:szCs w:val="22"/>
          <w:lang w:val="sr-Latn-ME"/>
        </w:rPr>
        <w:t xml:space="preserve">PML treba razmotriti kao diferencijalnu dijagnozu kod svakog pacijenta s MS-om koji prima </w:t>
      </w:r>
      <w:proofErr w:type="spellStart"/>
      <w:r w:rsidR="00131618" w:rsidRPr="002B09C8">
        <w:rPr>
          <w:sz w:val="22"/>
          <w:szCs w:val="22"/>
          <w:lang w:val="sr-Latn-ME"/>
        </w:rPr>
        <w:t>natalizumab</w:t>
      </w:r>
      <w:proofErr w:type="spellEnd"/>
      <w:r w:rsidRPr="002B09C8">
        <w:rPr>
          <w:sz w:val="22"/>
          <w:szCs w:val="22"/>
          <w:lang w:val="sr-Latn-ME"/>
        </w:rPr>
        <w:t xml:space="preserve"> i prezentuje neurološke simptome i/ili nove moždane </w:t>
      </w:r>
      <w:proofErr w:type="spellStart"/>
      <w:r w:rsidRPr="002B09C8">
        <w:rPr>
          <w:sz w:val="22"/>
          <w:szCs w:val="22"/>
          <w:lang w:val="sr-Latn-ME"/>
        </w:rPr>
        <w:t>lezije</w:t>
      </w:r>
      <w:proofErr w:type="spellEnd"/>
      <w:r w:rsidRPr="002B09C8">
        <w:rPr>
          <w:sz w:val="22"/>
          <w:szCs w:val="22"/>
          <w:lang w:val="sr-Latn-ME"/>
        </w:rPr>
        <w:t xml:space="preserve"> na MR-u. Prijavljeni su slučajevi </w:t>
      </w:r>
      <w:proofErr w:type="spellStart"/>
      <w:r w:rsidRPr="002B09C8">
        <w:rPr>
          <w:sz w:val="22"/>
          <w:szCs w:val="22"/>
          <w:lang w:val="sr-Latn-ME"/>
        </w:rPr>
        <w:t>asimptomatskog</w:t>
      </w:r>
      <w:proofErr w:type="spellEnd"/>
      <w:r w:rsidRPr="002B09C8">
        <w:rPr>
          <w:sz w:val="22"/>
          <w:szCs w:val="22"/>
          <w:lang w:val="sr-Latn-ME"/>
        </w:rPr>
        <w:t xml:space="preserve"> PML-a na osnovu MR-a i pozitivnog JCV DNK-a u cerebrospinalnoj tečnosti.</w:t>
      </w:r>
    </w:p>
    <w:p w14:paraId="70B12EB9" w14:textId="77777777" w:rsidR="00FB74D3" w:rsidRPr="002B09C8" w:rsidRDefault="00FB74D3" w:rsidP="00C74431">
      <w:pPr>
        <w:widowControl w:val="0"/>
        <w:jc w:val="both"/>
        <w:rPr>
          <w:sz w:val="22"/>
          <w:szCs w:val="22"/>
          <w:lang w:val="sr-Latn-ME"/>
        </w:rPr>
      </w:pPr>
    </w:p>
    <w:p w14:paraId="585A5269" w14:textId="3DD9C182" w:rsidR="00FB74D3" w:rsidRPr="002B09C8" w:rsidRDefault="00FB74D3" w:rsidP="00C74431">
      <w:pPr>
        <w:widowControl w:val="0"/>
        <w:jc w:val="both"/>
        <w:rPr>
          <w:sz w:val="22"/>
          <w:szCs w:val="22"/>
          <w:lang w:val="sr-Latn-ME"/>
        </w:rPr>
      </w:pPr>
      <w:r w:rsidRPr="002B09C8">
        <w:rPr>
          <w:sz w:val="22"/>
          <w:szCs w:val="22"/>
          <w:lang w:val="sr-Latn-ME"/>
        </w:rPr>
        <w:t xml:space="preserve">Ljekari se upućuju na Informacije za ljekare i Smjernice za liječenje za dodatne informacije o upravljanju rizikom od PML-a kod pacijenata liječenih </w:t>
      </w:r>
      <w:proofErr w:type="spellStart"/>
      <w:r w:rsidR="00131618" w:rsidRPr="002B09C8">
        <w:rPr>
          <w:sz w:val="22"/>
          <w:szCs w:val="22"/>
          <w:lang w:val="sr-Latn-ME"/>
        </w:rPr>
        <w:t>natalizumabom</w:t>
      </w:r>
      <w:proofErr w:type="spellEnd"/>
      <w:r w:rsidRPr="002B09C8">
        <w:rPr>
          <w:sz w:val="22"/>
          <w:szCs w:val="22"/>
          <w:lang w:val="sr-Latn-ME"/>
        </w:rPr>
        <w:t>.</w:t>
      </w:r>
    </w:p>
    <w:p w14:paraId="1C1872DE" w14:textId="77777777" w:rsidR="00FB74D3" w:rsidRPr="002B09C8" w:rsidRDefault="00FB74D3" w:rsidP="00C74431">
      <w:pPr>
        <w:widowControl w:val="0"/>
        <w:jc w:val="both"/>
        <w:rPr>
          <w:b/>
          <w:sz w:val="22"/>
          <w:szCs w:val="22"/>
          <w:lang w:val="sr-Latn-ME"/>
        </w:rPr>
      </w:pPr>
    </w:p>
    <w:p w14:paraId="70FB77A0" w14:textId="77777777" w:rsidR="00FB74D3" w:rsidRPr="002B09C8" w:rsidRDefault="00FB74D3" w:rsidP="00C74431">
      <w:pPr>
        <w:widowControl w:val="0"/>
        <w:jc w:val="both"/>
        <w:rPr>
          <w:b/>
          <w:sz w:val="22"/>
          <w:szCs w:val="22"/>
          <w:lang w:val="sr-Latn-ME"/>
        </w:rPr>
      </w:pPr>
      <w:r w:rsidRPr="002B09C8">
        <w:rPr>
          <w:b/>
          <w:sz w:val="22"/>
          <w:szCs w:val="22"/>
          <w:lang w:val="sr-Latn-ME"/>
        </w:rPr>
        <w:t>Ako se sumnja na PML</w:t>
      </w:r>
      <w:r w:rsidRPr="002B09C8">
        <w:rPr>
          <w:sz w:val="22"/>
          <w:szCs w:val="22"/>
          <w:lang w:val="sr-Latn-ME"/>
        </w:rPr>
        <w:t xml:space="preserve"> </w:t>
      </w:r>
      <w:r w:rsidRPr="002B09C8">
        <w:rPr>
          <w:b/>
          <w:sz w:val="22"/>
          <w:szCs w:val="22"/>
          <w:lang w:val="sr-Latn-ME"/>
        </w:rPr>
        <w:t xml:space="preserve">ili JCV GCN, dalje doziranje se mora prekinuti sve dok se ne isključi PML. </w:t>
      </w:r>
    </w:p>
    <w:p w14:paraId="7A29322D" w14:textId="77777777" w:rsidR="00FB74D3" w:rsidRPr="002B09C8" w:rsidRDefault="00FB74D3" w:rsidP="00C74431">
      <w:pPr>
        <w:widowControl w:val="0"/>
        <w:jc w:val="both"/>
        <w:rPr>
          <w:sz w:val="22"/>
          <w:szCs w:val="22"/>
          <w:lang w:val="sr-Latn-ME"/>
        </w:rPr>
      </w:pPr>
    </w:p>
    <w:p w14:paraId="1976EEB2" w14:textId="0F90C3A3" w:rsidR="00FB74D3" w:rsidRPr="002B09C8" w:rsidRDefault="001D3ED7" w:rsidP="00C74431">
      <w:pPr>
        <w:widowControl w:val="0"/>
        <w:jc w:val="both"/>
        <w:rPr>
          <w:sz w:val="22"/>
          <w:szCs w:val="22"/>
          <w:lang w:val="sr-Latn-ME"/>
        </w:rPr>
      </w:pPr>
      <w:r w:rsidRPr="002B09C8">
        <w:rPr>
          <w:sz w:val="22"/>
          <w:szCs w:val="22"/>
          <w:lang w:val="sr-Latn-ME"/>
        </w:rPr>
        <w:t>L</w:t>
      </w:r>
      <w:r w:rsidR="00FB74D3" w:rsidRPr="002B09C8">
        <w:rPr>
          <w:sz w:val="22"/>
          <w:szCs w:val="22"/>
          <w:lang w:val="sr-Latn-ME"/>
        </w:rPr>
        <w:t xml:space="preserve">jekar </w:t>
      </w:r>
      <w:r w:rsidRPr="002B09C8">
        <w:rPr>
          <w:sz w:val="22"/>
          <w:szCs w:val="22"/>
          <w:lang w:val="sr-Latn-ME"/>
        </w:rPr>
        <w:t xml:space="preserve">specijalista </w:t>
      </w:r>
      <w:r w:rsidR="00FB74D3" w:rsidRPr="002B09C8">
        <w:rPr>
          <w:sz w:val="22"/>
          <w:szCs w:val="22"/>
          <w:lang w:val="sr-Latn-ME"/>
        </w:rPr>
        <w:t xml:space="preserve">treba da ispita pacijenta kako bi utvrdio da li simptomi ukazuju na neurološku </w:t>
      </w:r>
      <w:proofErr w:type="spellStart"/>
      <w:r w:rsidR="00FB74D3" w:rsidRPr="002B09C8">
        <w:rPr>
          <w:sz w:val="22"/>
          <w:szCs w:val="22"/>
          <w:lang w:val="sr-Latn-ME"/>
        </w:rPr>
        <w:t>disfunkciju</w:t>
      </w:r>
      <w:proofErr w:type="spellEnd"/>
      <w:r w:rsidR="00FB74D3" w:rsidRPr="002B09C8">
        <w:rPr>
          <w:sz w:val="22"/>
          <w:szCs w:val="22"/>
          <w:lang w:val="sr-Latn-ME"/>
        </w:rPr>
        <w:t xml:space="preserve">, ako ukazuju, da li su ti simptomi tipični za MS ili možda upućuju na PML ili JCV GCN. Ako postoji bilo kakva sumnja, dalje ispitivanje, uključujući MR, najbolje sa kontrastom (poređena sa početnom MR prije liječenja), </w:t>
      </w:r>
      <w:proofErr w:type="spellStart"/>
      <w:r w:rsidR="00FB74D3" w:rsidRPr="002B09C8">
        <w:rPr>
          <w:sz w:val="22"/>
          <w:szCs w:val="22"/>
          <w:lang w:val="sr-Latn-ME"/>
        </w:rPr>
        <w:t>pregled</w:t>
      </w:r>
      <w:proofErr w:type="spellEnd"/>
      <w:r w:rsidR="00FB74D3" w:rsidRPr="002B09C8">
        <w:rPr>
          <w:sz w:val="22"/>
          <w:szCs w:val="22"/>
          <w:lang w:val="sr-Latn-ME"/>
        </w:rPr>
        <w:t xml:space="preserve"> cerebrospinalne tečnosti (</w:t>
      </w:r>
      <w:r w:rsidR="00131618" w:rsidRPr="002B09C8">
        <w:rPr>
          <w:sz w:val="22"/>
          <w:szCs w:val="22"/>
          <w:lang w:val="sr-Latn-ME"/>
        </w:rPr>
        <w:t xml:space="preserve">engl. </w:t>
      </w:r>
      <w:proofErr w:type="spellStart"/>
      <w:r w:rsidR="00FB74D3" w:rsidRPr="002B09C8">
        <w:rPr>
          <w:i/>
          <w:iCs/>
          <w:sz w:val="22"/>
          <w:szCs w:val="22"/>
          <w:lang w:val="sr-Latn-ME"/>
        </w:rPr>
        <w:t>cerebrospinal</w:t>
      </w:r>
      <w:proofErr w:type="spellEnd"/>
      <w:r w:rsidR="00FB74D3" w:rsidRPr="002B09C8">
        <w:rPr>
          <w:i/>
          <w:iCs/>
          <w:sz w:val="22"/>
          <w:szCs w:val="22"/>
          <w:lang w:val="sr-Latn-ME"/>
        </w:rPr>
        <w:t xml:space="preserve"> fluid</w:t>
      </w:r>
      <w:r w:rsidR="00FB74D3" w:rsidRPr="002B09C8">
        <w:rPr>
          <w:sz w:val="22"/>
          <w:szCs w:val="22"/>
          <w:lang w:val="sr-Latn-ME"/>
        </w:rPr>
        <w:t>, CSF) na JC (</w:t>
      </w:r>
      <w:proofErr w:type="spellStart"/>
      <w:r w:rsidR="00FB74D3" w:rsidRPr="002B09C8">
        <w:rPr>
          <w:sz w:val="22"/>
          <w:szCs w:val="22"/>
          <w:lang w:val="sr-Latn-ME"/>
        </w:rPr>
        <w:t>John</w:t>
      </w:r>
      <w:proofErr w:type="spellEnd"/>
      <w:r w:rsidR="00FB74D3" w:rsidRPr="002B09C8">
        <w:rPr>
          <w:sz w:val="22"/>
          <w:szCs w:val="22"/>
          <w:lang w:val="sr-Latn-ME"/>
        </w:rPr>
        <w:t xml:space="preserve"> </w:t>
      </w:r>
      <w:proofErr w:type="spellStart"/>
      <w:r w:rsidR="00FB74D3" w:rsidRPr="002B09C8">
        <w:rPr>
          <w:sz w:val="22"/>
          <w:szCs w:val="22"/>
          <w:lang w:val="sr-Latn-ME"/>
        </w:rPr>
        <w:t>Cunningham</w:t>
      </w:r>
      <w:proofErr w:type="spellEnd"/>
      <w:r w:rsidR="00FB74D3" w:rsidRPr="002B09C8">
        <w:rPr>
          <w:sz w:val="22"/>
          <w:szCs w:val="22"/>
          <w:lang w:val="sr-Latn-ME"/>
        </w:rPr>
        <w:t xml:space="preserve"> virus) virusnu DNK i ponavljanje neuroloških testova, treba razmotriti kao što je opisano u Informacijama za ljekare i Smjernicama za liječenje (vidjeti smjernicu za edukaciju). Jednom kada je klinički ljekar isključio PML i/ili JCV GCN (ako je potrebno, ponovljenim kliničkim, slikovnim i/ili laboratorijskim ispitivanjima ako postoji klinička sumnja), doziranje lijeka</w:t>
      </w:r>
      <w:r w:rsidR="0059673A" w:rsidRPr="002B09C8">
        <w:rPr>
          <w:sz w:val="22"/>
          <w:szCs w:val="22"/>
          <w:lang w:val="sr-Latn-ME"/>
        </w:rPr>
        <w:t xml:space="preserve"> </w:t>
      </w:r>
      <w:r w:rsidR="00FB74D3" w:rsidRPr="002B09C8">
        <w:rPr>
          <w:sz w:val="22"/>
          <w:szCs w:val="22"/>
          <w:lang w:val="sr-Latn-ME"/>
        </w:rPr>
        <w:t>se može nastaviti.</w:t>
      </w:r>
    </w:p>
    <w:p w14:paraId="02AFF05E" w14:textId="77777777" w:rsidR="00FB74D3" w:rsidRPr="002B09C8" w:rsidRDefault="00FB74D3" w:rsidP="00C74431">
      <w:pPr>
        <w:widowControl w:val="0"/>
        <w:jc w:val="both"/>
        <w:rPr>
          <w:sz w:val="22"/>
          <w:szCs w:val="22"/>
          <w:lang w:val="sr-Latn-ME"/>
        </w:rPr>
      </w:pPr>
    </w:p>
    <w:p w14:paraId="32A5077D" w14:textId="77777777" w:rsidR="00FB74D3" w:rsidRPr="002B09C8" w:rsidRDefault="00FB74D3" w:rsidP="00C74431">
      <w:pPr>
        <w:widowControl w:val="0"/>
        <w:jc w:val="both"/>
        <w:rPr>
          <w:sz w:val="22"/>
          <w:szCs w:val="22"/>
          <w:lang w:val="sr-Latn-ME"/>
        </w:rPr>
      </w:pPr>
      <w:r w:rsidRPr="002B09C8">
        <w:rPr>
          <w:sz w:val="22"/>
          <w:szCs w:val="22"/>
          <w:lang w:val="sr-Latn-ME"/>
        </w:rPr>
        <w:t>Ljekar treba naročito obratiti pažnju na simptome koji upućuju na PML</w:t>
      </w:r>
      <w:r w:rsidRPr="002B09C8">
        <w:rPr>
          <w:bCs/>
          <w:sz w:val="22"/>
          <w:szCs w:val="22"/>
          <w:lang w:val="sr-Latn-ME"/>
        </w:rPr>
        <w:t xml:space="preserve"> </w:t>
      </w:r>
      <w:r w:rsidRPr="002B09C8">
        <w:rPr>
          <w:sz w:val="22"/>
          <w:szCs w:val="22"/>
          <w:lang w:val="sr-Latn-ME"/>
        </w:rPr>
        <w:t>ili</w:t>
      </w:r>
      <w:r w:rsidRPr="002B09C8">
        <w:rPr>
          <w:bCs/>
          <w:sz w:val="22"/>
          <w:szCs w:val="22"/>
          <w:lang w:val="sr-Latn-ME"/>
        </w:rPr>
        <w:t xml:space="preserve"> </w:t>
      </w:r>
      <w:r w:rsidRPr="002B09C8">
        <w:rPr>
          <w:b/>
          <w:sz w:val="22"/>
          <w:szCs w:val="22"/>
          <w:lang w:val="sr-Latn-ME"/>
        </w:rPr>
        <w:t>JCV GCN</w:t>
      </w:r>
      <w:r w:rsidRPr="002B09C8">
        <w:rPr>
          <w:sz w:val="22"/>
          <w:szCs w:val="22"/>
          <w:lang w:val="sr-Latn-ME"/>
        </w:rPr>
        <w:t>, a koje pacijent ne primjećuje (npr. kognitivni psihijatrijski simptomi ili cerebralni sindrom). Pacijente treba takođe savjetovati da obavijeste svog partnera ili staratelje o svom liječenju, jer oni mogu primijetiti simptome kojih pacijent nije svjestan.</w:t>
      </w:r>
    </w:p>
    <w:p w14:paraId="001D08E1" w14:textId="77777777" w:rsidR="00FB74D3" w:rsidRPr="002B09C8" w:rsidRDefault="00FB74D3" w:rsidP="00C74431">
      <w:pPr>
        <w:widowControl w:val="0"/>
        <w:jc w:val="both"/>
        <w:rPr>
          <w:sz w:val="22"/>
          <w:szCs w:val="22"/>
          <w:lang w:val="sr-Latn-ME"/>
        </w:rPr>
      </w:pPr>
    </w:p>
    <w:p w14:paraId="74EA4846" w14:textId="710BF3B9" w:rsidR="00FB74D3" w:rsidRPr="002B09C8" w:rsidRDefault="00FB74D3" w:rsidP="00C74431">
      <w:pPr>
        <w:widowControl w:val="0"/>
        <w:jc w:val="both"/>
        <w:rPr>
          <w:sz w:val="22"/>
          <w:szCs w:val="22"/>
          <w:lang w:val="sr-Latn-ME"/>
        </w:rPr>
      </w:pPr>
      <w:r w:rsidRPr="002B09C8">
        <w:rPr>
          <w:sz w:val="22"/>
          <w:szCs w:val="22"/>
          <w:lang w:val="sr-Latn-ME"/>
        </w:rPr>
        <w:t>PML je bio prijavljen nakon prestanka liječenja</w:t>
      </w:r>
      <w:r w:rsidR="00CC14B2" w:rsidRPr="002B09C8">
        <w:rPr>
          <w:sz w:val="22"/>
          <w:szCs w:val="22"/>
          <w:lang w:val="sr-Latn-ME"/>
        </w:rPr>
        <w:t xml:space="preserve"> ovim</w:t>
      </w:r>
      <w:r w:rsidRPr="002B09C8">
        <w:rPr>
          <w:sz w:val="22"/>
          <w:szCs w:val="22"/>
          <w:lang w:val="sr-Latn-ME"/>
        </w:rPr>
        <w:t xml:space="preserve"> lijekom kod pacijenata koji u vrijeme prestanka liječenja nijesu imali nalaze koji bi upućivali na PML. Pacijenti i ljekari trebaju nastaviti slijediti plan nadziranja i dalje biti oprezni u slučaju bilo kakvih novih znakova ili simptoma koji mogu upućivati na PML do otprilike 6 mjeseci po prestanku liječenja lijekom TYSABRI.</w:t>
      </w:r>
    </w:p>
    <w:p w14:paraId="5AE38989" w14:textId="77777777" w:rsidR="00FB74D3" w:rsidRPr="002B09C8" w:rsidRDefault="00FB74D3" w:rsidP="00C74431">
      <w:pPr>
        <w:widowControl w:val="0"/>
        <w:jc w:val="both"/>
        <w:rPr>
          <w:sz w:val="22"/>
          <w:szCs w:val="22"/>
          <w:lang w:val="sr-Latn-ME"/>
        </w:rPr>
      </w:pPr>
    </w:p>
    <w:p w14:paraId="66202868" w14:textId="6340EF41" w:rsidR="00FB74D3" w:rsidRPr="002B09C8" w:rsidRDefault="00FB74D3" w:rsidP="00C74431">
      <w:pPr>
        <w:widowControl w:val="0"/>
        <w:jc w:val="both"/>
        <w:rPr>
          <w:sz w:val="22"/>
          <w:szCs w:val="22"/>
          <w:lang w:val="sr-Latn-ME"/>
        </w:rPr>
      </w:pPr>
      <w:r w:rsidRPr="002B09C8">
        <w:rPr>
          <w:sz w:val="22"/>
          <w:szCs w:val="22"/>
          <w:lang w:val="sr-Latn-ME"/>
        </w:rPr>
        <w:t xml:space="preserve">Ako se kod pacijenta razvije PML, doziranje </w:t>
      </w:r>
      <w:proofErr w:type="spellStart"/>
      <w:r w:rsidR="00CC14B2" w:rsidRPr="002B09C8">
        <w:rPr>
          <w:sz w:val="22"/>
          <w:szCs w:val="22"/>
          <w:lang w:val="sr-Latn-ME"/>
        </w:rPr>
        <w:t>natalizumabom</w:t>
      </w:r>
      <w:proofErr w:type="spellEnd"/>
      <w:r w:rsidR="00CC14B2" w:rsidRPr="002B09C8">
        <w:rPr>
          <w:sz w:val="22"/>
          <w:szCs w:val="22"/>
          <w:lang w:val="sr-Latn-ME"/>
        </w:rPr>
        <w:t xml:space="preserve"> </w:t>
      </w:r>
      <w:r w:rsidRPr="002B09C8">
        <w:rPr>
          <w:sz w:val="22"/>
          <w:szCs w:val="22"/>
          <w:lang w:val="sr-Latn-ME"/>
        </w:rPr>
        <w:t>se mora trajno prekinuti.</w:t>
      </w:r>
    </w:p>
    <w:p w14:paraId="7ABAFD3D" w14:textId="77777777" w:rsidR="00FB74D3" w:rsidRPr="002B09C8" w:rsidRDefault="00FB74D3" w:rsidP="00C74431">
      <w:pPr>
        <w:widowControl w:val="0"/>
        <w:jc w:val="both"/>
        <w:rPr>
          <w:sz w:val="22"/>
          <w:szCs w:val="22"/>
          <w:lang w:val="sr-Latn-ME"/>
        </w:rPr>
      </w:pPr>
    </w:p>
    <w:p w14:paraId="7291F6BB" w14:textId="77777777" w:rsidR="00FB74D3" w:rsidRPr="002B09C8" w:rsidRDefault="00FB74D3" w:rsidP="00C74431">
      <w:pPr>
        <w:widowControl w:val="0"/>
        <w:jc w:val="both"/>
        <w:rPr>
          <w:sz w:val="22"/>
          <w:szCs w:val="22"/>
          <w:lang w:val="sr-Latn-ME"/>
        </w:rPr>
      </w:pPr>
      <w:r w:rsidRPr="002B09C8">
        <w:rPr>
          <w:sz w:val="22"/>
          <w:szCs w:val="22"/>
          <w:lang w:val="sr-Latn-ME"/>
        </w:rPr>
        <w:t xml:space="preserve">Nakon obnavljanja imunološkog sistema kod </w:t>
      </w:r>
      <w:proofErr w:type="spellStart"/>
      <w:r w:rsidRPr="002B09C8">
        <w:rPr>
          <w:sz w:val="22"/>
          <w:szCs w:val="22"/>
          <w:lang w:val="sr-Latn-ME"/>
        </w:rPr>
        <w:t>imunokompromitovanih</w:t>
      </w:r>
      <w:proofErr w:type="spellEnd"/>
      <w:r w:rsidRPr="002B09C8">
        <w:rPr>
          <w:sz w:val="22"/>
          <w:szCs w:val="22"/>
          <w:lang w:val="sr-Latn-ME"/>
        </w:rPr>
        <w:t xml:space="preserve"> pacijenata sa PML-om primijećen je poboljšan ishod bolesti.</w:t>
      </w:r>
    </w:p>
    <w:p w14:paraId="64B36196" w14:textId="77777777" w:rsidR="00FB74D3" w:rsidRPr="002B09C8" w:rsidRDefault="00FB74D3" w:rsidP="00C74431">
      <w:pPr>
        <w:widowControl w:val="0"/>
        <w:jc w:val="both"/>
        <w:rPr>
          <w:sz w:val="22"/>
          <w:szCs w:val="22"/>
          <w:lang w:val="sr-Latn-ME"/>
        </w:rPr>
      </w:pPr>
    </w:p>
    <w:p w14:paraId="50B3A8DC" w14:textId="095C427B" w:rsidR="00FB74D3" w:rsidRPr="002B09C8" w:rsidRDefault="00FB74D3" w:rsidP="00C74431">
      <w:pPr>
        <w:widowControl w:val="0"/>
        <w:jc w:val="both"/>
        <w:rPr>
          <w:sz w:val="22"/>
          <w:szCs w:val="22"/>
          <w:lang w:val="sr-Latn-ME"/>
        </w:rPr>
      </w:pPr>
      <w:r w:rsidRPr="002B09C8">
        <w:rPr>
          <w:sz w:val="22"/>
          <w:szCs w:val="22"/>
          <w:lang w:val="sr-Latn-ME"/>
        </w:rPr>
        <w:t xml:space="preserve">Na osnovu retrospektivne analize pacijenata liječenih </w:t>
      </w:r>
      <w:proofErr w:type="spellStart"/>
      <w:r w:rsidRPr="002B09C8">
        <w:rPr>
          <w:sz w:val="22"/>
          <w:szCs w:val="22"/>
          <w:lang w:val="sr-Latn-ME"/>
        </w:rPr>
        <w:t>natalizumabom</w:t>
      </w:r>
      <w:proofErr w:type="spellEnd"/>
      <w:r w:rsidRPr="002B09C8">
        <w:rPr>
          <w:sz w:val="22"/>
          <w:szCs w:val="22"/>
          <w:lang w:val="sr-Latn-ME"/>
        </w:rPr>
        <w:t>, nije zabilježena razlika u dvogodišnjem preživljavanju nakon dijagnoze PML između pacijenata kod kojih je prim</w:t>
      </w:r>
      <w:r w:rsidR="009A3116" w:rsidRPr="002B09C8">
        <w:rPr>
          <w:sz w:val="22"/>
          <w:szCs w:val="22"/>
          <w:lang w:val="sr-Latn-ME"/>
        </w:rPr>
        <w:t>i</w:t>
      </w:r>
      <w:r w:rsidRPr="002B09C8">
        <w:rPr>
          <w:sz w:val="22"/>
          <w:szCs w:val="22"/>
          <w:lang w:val="sr-Latn-ME"/>
        </w:rPr>
        <w:t>jenjen PLEX i onih kod kojih nije. Za odgovore na druga pitanja u vezi sa liječenjem PML, vidjeti Informacije za ljekare i Smjernice za liječenje.</w:t>
      </w:r>
    </w:p>
    <w:p w14:paraId="1761D2F2" w14:textId="77777777" w:rsidR="00FB74D3" w:rsidRPr="002B09C8" w:rsidRDefault="00FB74D3" w:rsidP="00C74431">
      <w:pPr>
        <w:widowControl w:val="0"/>
        <w:jc w:val="both"/>
        <w:rPr>
          <w:sz w:val="22"/>
          <w:szCs w:val="22"/>
          <w:lang w:val="sr-Latn-ME"/>
        </w:rPr>
      </w:pPr>
    </w:p>
    <w:p w14:paraId="1EE64B48"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PML i IRIS (</w:t>
      </w:r>
      <w:proofErr w:type="spellStart"/>
      <w:r w:rsidRPr="002B09C8">
        <w:rPr>
          <w:sz w:val="22"/>
          <w:szCs w:val="22"/>
          <w:u w:val="single"/>
          <w:lang w:val="sr-Latn-ME"/>
        </w:rPr>
        <w:t>Immune</w:t>
      </w:r>
      <w:proofErr w:type="spellEnd"/>
      <w:r w:rsidRPr="002B09C8">
        <w:rPr>
          <w:sz w:val="22"/>
          <w:szCs w:val="22"/>
          <w:u w:val="single"/>
          <w:lang w:val="sr-Latn-ME"/>
        </w:rPr>
        <w:t xml:space="preserve"> </w:t>
      </w:r>
      <w:proofErr w:type="spellStart"/>
      <w:r w:rsidRPr="002B09C8">
        <w:rPr>
          <w:sz w:val="22"/>
          <w:szCs w:val="22"/>
          <w:u w:val="single"/>
          <w:lang w:val="sr-Latn-ME"/>
        </w:rPr>
        <w:t>Reconstitution</w:t>
      </w:r>
      <w:proofErr w:type="spellEnd"/>
      <w:r w:rsidRPr="002B09C8">
        <w:rPr>
          <w:sz w:val="22"/>
          <w:szCs w:val="22"/>
          <w:u w:val="single"/>
          <w:lang w:val="sr-Latn-ME"/>
        </w:rPr>
        <w:t xml:space="preserve"> </w:t>
      </w:r>
      <w:proofErr w:type="spellStart"/>
      <w:r w:rsidRPr="002B09C8">
        <w:rPr>
          <w:sz w:val="22"/>
          <w:szCs w:val="22"/>
          <w:u w:val="single"/>
          <w:lang w:val="sr-Latn-ME"/>
        </w:rPr>
        <w:t>Inflammatory</w:t>
      </w:r>
      <w:proofErr w:type="spellEnd"/>
      <w:r w:rsidRPr="002B09C8">
        <w:rPr>
          <w:sz w:val="22"/>
          <w:szCs w:val="22"/>
          <w:u w:val="single"/>
          <w:lang w:val="sr-Latn-ME"/>
        </w:rPr>
        <w:t xml:space="preserve"> </w:t>
      </w:r>
      <w:proofErr w:type="spellStart"/>
      <w:r w:rsidRPr="002B09C8">
        <w:rPr>
          <w:sz w:val="22"/>
          <w:szCs w:val="22"/>
          <w:u w:val="single"/>
          <w:lang w:val="sr-Latn-ME"/>
        </w:rPr>
        <w:t>Syndrome</w:t>
      </w:r>
      <w:proofErr w:type="spellEnd"/>
      <w:r w:rsidRPr="002B09C8">
        <w:rPr>
          <w:sz w:val="22"/>
          <w:szCs w:val="22"/>
          <w:u w:val="single"/>
          <w:lang w:val="sr-Latn-ME"/>
        </w:rPr>
        <w:t xml:space="preserve"> – </w:t>
      </w:r>
      <w:proofErr w:type="spellStart"/>
      <w:r w:rsidRPr="002B09C8">
        <w:rPr>
          <w:sz w:val="22"/>
          <w:szCs w:val="22"/>
          <w:u w:val="single"/>
          <w:lang w:val="sr-Latn-ME"/>
        </w:rPr>
        <w:t>Inflamatorni</w:t>
      </w:r>
      <w:proofErr w:type="spellEnd"/>
      <w:r w:rsidRPr="002B09C8">
        <w:rPr>
          <w:sz w:val="22"/>
          <w:szCs w:val="22"/>
          <w:u w:val="single"/>
          <w:lang w:val="sr-Latn-ME"/>
        </w:rPr>
        <w:t xml:space="preserve"> sindrom imunološke </w:t>
      </w:r>
      <w:proofErr w:type="spellStart"/>
      <w:r w:rsidRPr="002B09C8">
        <w:rPr>
          <w:sz w:val="22"/>
          <w:szCs w:val="22"/>
          <w:u w:val="single"/>
          <w:lang w:val="sr-Latn-ME"/>
        </w:rPr>
        <w:t>rekonstitucije</w:t>
      </w:r>
      <w:proofErr w:type="spellEnd"/>
      <w:r w:rsidRPr="002B09C8">
        <w:rPr>
          <w:sz w:val="22"/>
          <w:szCs w:val="22"/>
          <w:u w:val="single"/>
          <w:lang w:val="sr-Latn-ME"/>
        </w:rPr>
        <w:t>)</w:t>
      </w:r>
    </w:p>
    <w:p w14:paraId="03E2D9EF" w14:textId="77777777" w:rsidR="00FB74D3" w:rsidRPr="002B09C8" w:rsidRDefault="00FB74D3" w:rsidP="00C74431">
      <w:pPr>
        <w:widowControl w:val="0"/>
        <w:jc w:val="both"/>
        <w:rPr>
          <w:sz w:val="22"/>
          <w:szCs w:val="22"/>
          <w:lang w:val="sr-Latn-ME"/>
        </w:rPr>
      </w:pPr>
    </w:p>
    <w:p w14:paraId="30CF51F5" w14:textId="0144BB1A" w:rsidR="00FB74D3" w:rsidRPr="002B09C8" w:rsidRDefault="00FB74D3" w:rsidP="00C74431">
      <w:pPr>
        <w:widowControl w:val="0"/>
        <w:jc w:val="both"/>
        <w:rPr>
          <w:sz w:val="22"/>
          <w:szCs w:val="22"/>
          <w:lang w:val="sr-Latn-ME"/>
        </w:rPr>
      </w:pPr>
      <w:r w:rsidRPr="002B09C8">
        <w:rPr>
          <w:sz w:val="22"/>
          <w:szCs w:val="22"/>
          <w:lang w:val="sr-Latn-ME"/>
        </w:rPr>
        <w:t xml:space="preserve">IRIS se pojavljuje skoro kod svih pacijenata s PML-om, liječenih </w:t>
      </w:r>
      <w:r w:rsidR="00523EEB" w:rsidRPr="002B09C8">
        <w:rPr>
          <w:sz w:val="22"/>
          <w:szCs w:val="22"/>
          <w:lang w:val="sr-Latn-ME"/>
        </w:rPr>
        <w:t xml:space="preserve">ovim </w:t>
      </w:r>
      <w:r w:rsidRPr="002B09C8">
        <w:rPr>
          <w:sz w:val="22"/>
          <w:szCs w:val="22"/>
          <w:lang w:val="sr-Latn-ME"/>
        </w:rPr>
        <w:t>lijekom, nakon povlačenja ili uklanjanja lijeka. Smatra se da je IRIS rezultat obnove imunološke funkcije kod pacijenata sa PML-om, koji može dovesti do ozbiljnih neuroloških komplikacija i može biti smrtonosan. Potrebno je praćenje razvoja IRIS-a i preduzimanje odgovarajućeg liječenja prateće upale tokom oporavljanja od PML-a (vidjeti Informacije za ljekare i Smjernice za liječenje za daljnje informacije).</w:t>
      </w:r>
    </w:p>
    <w:p w14:paraId="1C87FD52" w14:textId="77777777" w:rsidR="00FB74D3" w:rsidRPr="002B09C8" w:rsidRDefault="00FB74D3" w:rsidP="00C74431">
      <w:pPr>
        <w:widowControl w:val="0"/>
        <w:jc w:val="both"/>
        <w:rPr>
          <w:sz w:val="22"/>
          <w:szCs w:val="22"/>
          <w:u w:val="single"/>
          <w:lang w:val="sr-Latn-ME"/>
        </w:rPr>
      </w:pPr>
    </w:p>
    <w:p w14:paraId="280DFA0C"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Infekcije uključujući druge oportunističke infekcije</w:t>
      </w:r>
    </w:p>
    <w:p w14:paraId="3B3E6E3C" w14:textId="77777777" w:rsidR="00FB74D3" w:rsidRPr="002B09C8" w:rsidRDefault="00FB74D3" w:rsidP="00C74431">
      <w:pPr>
        <w:widowControl w:val="0"/>
        <w:jc w:val="both"/>
        <w:rPr>
          <w:sz w:val="22"/>
          <w:szCs w:val="22"/>
          <w:u w:val="single"/>
          <w:lang w:val="sr-Latn-ME"/>
        </w:rPr>
      </w:pPr>
    </w:p>
    <w:p w14:paraId="6517BF66" w14:textId="2A0F2BED" w:rsidR="00FB74D3" w:rsidRPr="002B09C8" w:rsidRDefault="00FB74D3" w:rsidP="00C74431">
      <w:pPr>
        <w:widowControl w:val="0"/>
        <w:jc w:val="both"/>
        <w:rPr>
          <w:sz w:val="22"/>
          <w:szCs w:val="22"/>
          <w:lang w:val="sr-Latn-ME"/>
        </w:rPr>
      </w:pPr>
      <w:r w:rsidRPr="002B09C8">
        <w:rPr>
          <w:sz w:val="22"/>
          <w:szCs w:val="22"/>
          <w:lang w:val="sr-Latn-ME"/>
        </w:rPr>
        <w:t xml:space="preserve">Druge oportunističke infekcije bile su prijavljene kod upotrebe </w:t>
      </w:r>
      <w:r w:rsidR="00523EEB" w:rsidRPr="002B09C8">
        <w:rPr>
          <w:sz w:val="22"/>
          <w:szCs w:val="22"/>
          <w:lang w:val="sr-Latn-ME"/>
        </w:rPr>
        <w:t xml:space="preserve">ovog </w:t>
      </w:r>
      <w:r w:rsidRPr="002B09C8">
        <w:rPr>
          <w:sz w:val="22"/>
          <w:szCs w:val="22"/>
          <w:lang w:val="sr-Latn-ME"/>
        </w:rPr>
        <w:t xml:space="preserve">lijeka, prvenstveno kod pacijenata sa </w:t>
      </w:r>
      <w:proofErr w:type="spellStart"/>
      <w:r w:rsidRPr="002B09C8">
        <w:rPr>
          <w:sz w:val="22"/>
          <w:szCs w:val="22"/>
          <w:lang w:val="sr-Latn-ME"/>
        </w:rPr>
        <w:t>Crohn</w:t>
      </w:r>
      <w:proofErr w:type="spellEnd"/>
      <w:r w:rsidRPr="002B09C8">
        <w:rPr>
          <w:sz w:val="22"/>
          <w:szCs w:val="22"/>
          <w:lang w:val="sr-Latn-ME"/>
        </w:rPr>
        <w:t xml:space="preserve">-ovom bolešću koji su bili </w:t>
      </w:r>
      <w:proofErr w:type="spellStart"/>
      <w:r w:rsidRPr="002B09C8">
        <w:rPr>
          <w:sz w:val="22"/>
          <w:szCs w:val="22"/>
          <w:lang w:val="sr-Latn-ME"/>
        </w:rPr>
        <w:t>imunokompromitovani</w:t>
      </w:r>
      <w:proofErr w:type="spellEnd"/>
      <w:r w:rsidRPr="002B09C8">
        <w:rPr>
          <w:sz w:val="22"/>
          <w:szCs w:val="22"/>
          <w:lang w:val="sr-Latn-ME"/>
        </w:rPr>
        <w:t xml:space="preserve"> ili gdje je postojala značajna </w:t>
      </w:r>
      <w:proofErr w:type="spellStart"/>
      <w:r w:rsidRPr="002B09C8">
        <w:rPr>
          <w:sz w:val="22"/>
          <w:szCs w:val="22"/>
          <w:lang w:val="sr-Latn-ME"/>
        </w:rPr>
        <w:t>komorbidnost</w:t>
      </w:r>
      <w:proofErr w:type="spellEnd"/>
      <w:r w:rsidRPr="002B09C8">
        <w:rPr>
          <w:sz w:val="22"/>
          <w:szCs w:val="22"/>
          <w:lang w:val="sr-Latn-ME"/>
        </w:rPr>
        <w:t xml:space="preserve">. Ipak, povećan rizik od drugih oportunističkih infekcija kod upotrebe lijeka TYSABRI kod pacijenata </w:t>
      </w:r>
      <w:r w:rsidRPr="002B09C8">
        <w:rPr>
          <w:sz w:val="22"/>
          <w:szCs w:val="22"/>
          <w:lang w:val="sr-Latn-ME"/>
        </w:rPr>
        <w:lastRenderedPageBreak/>
        <w:t xml:space="preserve">bez ovih </w:t>
      </w:r>
      <w:proofErr w:type="spellStart"/>
      <w:r w:rsidRPr="002B09C8">
        <w:rPr>
          <w:sz w:val="22"/>
          <w:szCs w:val="22"/>
          <w:lang w:val="sr-Latn-ME"/>
        </w:rPr>
        <w:t>komorbidnosti</w:t>
      </w:r>
      <w:proofErr w:type="spellEnd"/>
      <w:r w:rsidRPr="002B09C8">
        <w:rPr>
          <w:sz w:val="22"/>
          <w:szCs w:val="22"/>
          <w:lang w:val="sr-Latn-ME"/>
        </w:rPr>
        <w:t xml:space="preserve"> ne može trenutno biti isključen. Oportunističke infekcije su takođe bile primijećene kod pacijenata sa MS-om koji su primali </w:t>
      </w:r>
      <w:r w:rsidR="00523EEB" w:rsidRPr="002B09C8">
        <w:rPr>
          <w:sz w:val="22"/>
          <w:szCs w:val="22"/>
          <w:lang w:val="sr-Latn-ME"/>
        </w:rPr>
        <w:t xml:space="preserve">ovaj </w:t>
      </w:r>
      <w:r w:rsidRPr="002B09C8">
        <w:rPr>
          <w:sz w:val="22"/>
          <w:szCs w:val="22"/>
          <w:lang w:val="sr-Latn-ME"/>
        </w:rPr>
        <w:t xml:space="preserve">lijek kao </w:t>
      </w:r>
      <w:proofErr w:type="spellStart"/>
      <w:r w:rsidRPr="002B09C8">
        <w:rPr>
          <w:sz w:val="22"/>
          <w:szCs w:val="22"/>
          <w:lang w:val="sr-Latn-ME"/>
        </w:rPr>
        <w:t>monoterapiju</w:t>
      </w:r>
      <w:proofErr w:type="spellEnd"/>
      <w:r w:rsidRPr="002B09C8">
        <w:rPr>
          <w:sz w:val="22"/>
          <w:szCs w:val="22"/>
          <w:lang w:val="sr-Latn-ME"/>
        </w:rPr>
        <w:t xml:space="preserve"> (vidjeti dio 4.8).</w:t>
      </w:r>
    </w:p>
    <w:p w14:paraId="5B169075" w14:textId="77777777" w:rsidR="00FB74D3" w:rsidRPr="002B09C8" w:rsidRDefault="00FB74D3" w:rsidP="00C74431">
      <w:pPr>
        <w:widowControl w:val="0"/>
        <w:jc w:val="both"/>
        <w:rPr>
          <w:sz w:val="22"/>
          <w:szCs w:val="22"/>
          <w:lang w:val="sr-Latn-ME"/>
        </w:rPr>
      </w:pPr>
    </w:p>
    <w:p w14:paraId="0BB0C1A2" w14:textId="3769D336" w:rsidR="00FB74D3" w:rsidRPr="002B09C8" w:rsidRDefault="00523EEB" w:rsidP="00C74431">
      <w:pPr>
        <w:widowControl w:val="0"/>
        <w:jc w:val="both"/>
        <w:rPr>
          <w:sz w:val="22"/>
          <w:szCs w:val="22"/>
          <w:lang w:val="sr-Latn-ME"/>
        </w:rPr>
      </w:pPr>
      <w:r w:rsidRPr="002B09C8">
        <w:rPr>
          <w:sz w:val="22"/>
          <w:szCs w:val="22"/>
          <w:lang w:val="sr-Latn-ME"/>
        </w:rPr>
        <w:t>Ovo l</w:t>
      </w:r>
      <w:r w:rsidR="009A3116" w:rsidRPr="002B09C8">
        <w:rPr>
          <w:sz w:val="22"/>
          <w:szCs w:val="22"/>
          <w:lang w:val="sr-Latn-ME"/>
        </w:rPr>
        <w:t>ij</w:t>
      </w:r>
      <w:r w:rsidRPr="002B09C8">
        <w:rPr>
          <w:sz w:val="22"/>
          <w:szCs w:val="22"/>
          <w:lang w:val="sr-Latn-ME"/>
        </w:rPr>
        <w:t>ečenje</w:t>
      </w:r>
      <w:r w:rsidR="00FB74D3" w:rsidRPr="002B09C8">
        <w:rPr>
          <w:sz w:val="22"/>
          <w:szCs w:val="22"/>
          <w:lang w:val="sr-Latn-ME"/>
        </w:rPr>
        <w:t xml:space="preserve"> povećava rizik od razvoja encefalitisa i meningitisa izazvanih Herpes-</w:t>
      </w:r>
      <w:proofErr w:type="spellStart"/>
      <w:r w:rsidR="00FB74D3" w:rsidRPr="002B09C8">
        <w:rPr>
          <w:sz w:val="22"/>
          <w:szCs w:val="22"/>
          <w:lang w:val="sr-Latn-ME"/>
        </w:rPr>
        <w:t>simplex</w:t>
      </w:r>
      <w:proofErr w:type="spellEnd"/>
      <w:r w:rsidR="00FB74D3" w:rsidRPr="002B09C8">
        <w:rPr>
          <w:sz w:val="22"/>
          <w:szCs w:val="22"/>
          <w:lang w:val="sr-Latn-ME"/>
        </w:rPr>
        <w:t xml:space="preserve"> i </w:t>
      </w:r>
      <w:proofErr w:type="spellStart"/>
      <w:r w:rsidR="00FB74D3" w:rsidRPr="002B09C8">
        <w:rPr>
          <w:sz w:val="22"/>
          <w:szCs w:val="22"/>
          <w:lang w:val="sr-Latn-ME"/>
        </w:rPr>
        <w:t>Varicella-Zoster</w:t>
      </w:r>
      <w:proofErr w:type="spellEnd"/>
      <w:r w:rsidR="00FB74D3" w:rsidRPr="002B09C8">
        <w:rPr>
          <w:sz w:val="22"/>
          <w:szCs w:val="22"/>
          <w:lang w:val="sr-Latn-ME"/>
        </w:rPr>
        <w:t xml:space="preserve"> virusima. Ozbiljni, po život opasni, a ponekad i slučajevi</w:t>
      </w:r>
      <w:r w:rsidRPr="002B09C8">
        <w:rPr>
          <w:sz w:val="22"/>
          <w:szCs w:val="22"/>
          <w:lang w:val="sr-Latn-ME"/>
        </w:rPr>
        <w:t xml:space="preserve"> sa smrtnim ishodom</w:t>
      </w:r>
      <w:r w:rsidR="00FB74D3" w:rsidRPr="002B09C8">
        <w:rPr>
          <w:sz w:val="22"/>
          <w:szCs w:val="22"/>
          <w:lang w:val="sr-Latn-ME"/>
        </w:rPr>
        <w:t xml:space="preserve"> prijavljeni su nakon stavljanja lijeka u promet kod pacijenata sa multiplom sklerozom koji su primali </w:t>
      </w:r>
      <w:r w:rsidRPr="002B09C8">
        <w:rPr>
          <w:sz w:val="22"/>
          <w:szCs w:val="22"/>
          <w:lang w:val="sr-Latn-ME"/>
        </w:rPr>
        <w:t xml:space="preserve">ovaj </w:t>
      </w:r>
      <w:r w:rsidR="00FB74D3" w:rsidRPr="002B09C8">
        <w:rPr>
          <w:sz w:val="22"/>
          <w:szCs w:val="22"/>
          <w:lang w:val="sr-Latn-ME"/>
        </w:rPr>
        <w:t>lijek (vidjeti odjeljak 4.8). Ako se herpesni encefalitis ili meningitis pojave, liječenje lijekom treba prekinuti i treba primijeniti odgovarajuće liječenje herpesnog encefalitisa ili meningitisa.</w:t>
      </w:r>
    </w:p>
    <w:p w14:paraId="17011143" w14:textId="77777777" w:rsidR="00FB74D3" w:rsidRPr="002B09C8" w:rsidRDefault="00FB74D3" w:rsidP="00C74431">
      <w:pPr>
        <w:widowControl w:val="0"/>
        <w:jc w:val="both"/>
        <w:rPr>
          <w:sz w:val="22"/>
          <w:szCs w:val="22"/>
          <w:lang w:val="sr-Latn-ME"/>
        </w:rPr>
      </w:pPr>
    </w:p>
    <w:p w14:paraId="1EFFEDAA" w14:textId="7516EF99" w:rsidR="00FB74D3" w:rsidRPr="002B09C8" w:rsidRDefault="00FB74D3" w:rsidP="00C74431">
      <w:pPr>
        <w:widowControl w:val="0"/>
        <w:jc w:val="both"/>
        <w:rPr>
          <w:sz w:val="22"/>
          <w:szCs w:val="22"/>
          <w:lang w:val="sr-Latn-ME"/>
        </w:rPr>
      </w:pPr>
      <w:r w:rsidRPr="002B09C8">
        <w:rPr>
          <w:sz w:val="22"/>
          <w:szCs w:val="22"/>
          <w:lang w:val="sr-Latn-ME"/>
        </w:rPr>
        <w:t xml:space="preserve">Akutna </w:t>
      </w:r>
      <w:proofErr w:type="spellStart"/>
      <w:r w:rsidRPr="002B09C8">
        <w:rPr>
          <w:sz w:val="22"/>
          <w:szCs w:val="22"/>
          <w:lang w:val="sr-Latn-ME"/>
        </w:rPr>
        <w:t>retinalna</w:t>
      </w:r>
      <w:proofErr w:type="spellEnd"/>
      <w:r w:rsidRPr="002B09C8">
        <w:rPr>
          <w:sz w:val="22"/>
          <w:szCs w:val="22"/>
          <w:lang w:val="sr-Latn-ME"/>
        </w:rPr>
        <w:t xml:space="preserve"> </w:t>
      </w:r>
      <w:proofErr w:type="spellStart"/>
      <w:r w:rsidRPr="002B09C8">
        <w:rPr>
          <w:sz w:val="22"/>
          <w:szCs w:val="22"/>
          <w:lang w:val="sr-Latn-ME"/>
        </w:rPr>
        <w:t>nekroza</w:t>
      </w:r>
      <w:proofErr w:type="spellEnd"/>
      <w:r w:rsidRPr="002B09C8">
        <w:rPr>
          <w:sz w:val="22"/>
          <w:szCs w:val="22"/>
          <w:lang w:val="sr-Latn-ME"/>
        </w:rPr>
        <w:t xml:space="preserve"> rijetka je </w:t>
      </w:r>
      <w:proofErr w:type="spellStart"/>
      <w:r w:rsidRPr="002B09C8">
        <w:rPr>
          <w:sz w:val="22"/>
          <w:szCs w:val="22"/>
          <w:lang w:val="sr-Latn-ME"/>
        </w:rPr>
        <w:t>fulminantna</w:t>
      </w:r>
      <w:proofErr w:type="spellEnd"/>
      <w:r w:rsidRPr="002B09C8">
        <w:rPr>
          <w:sz w:val="22"/>
          <w:szCs w:val="22"/>
          <w:lang w:val="sr-Latn-ME"/>
        </w:rPr>
        <w:t xml:space="preserve"> virusna infekcija mrežnjače koju uzrokuje porodica herpes virusa (npr. </w:t>
      </w:r>
      <w:proofErr w:type="spellStart"/>
      <w:r w:rsidRPr="002B09C8">
        <w:rPr>
          <w:i/>
          <w:iCs/>
          <w:sz w:val="22"/>
          <w:szCs w:val="22"/>
          <w:lang w:val="sr-Latn-ME"/>
        </w:rPr>
        <w:t>varicella</w:t>
      </w:r>
      <w:proofErr w:type="spellEnd"/>
      <w:r w:rsidRPr="002B09C8">
        <w:rPr>
          <w:i/>
          <w:iCs/>
          <w:sz w:val="22"/>
          <w:szCs w:val="22"/>
          <w:lang w:val="sr-Latn-ME"/>
        </w:rPr>
        <w:t xml:space="preserve"> </w:t>
      </w:r>
      <w:proofErr w:type="spellStart"/>
      <w:r w:rsidRPr="002B09C8">
        <w:rPr>
          <w:i/>
          <w:iCs/>
          <w:sz w:val="22"/>
          <w:szCs w:val="22"/>
          <w:lang w:val="sr-Latn-ME"/>
        </w:rPr>
        <w:t>zoster</w:t>
      </w:r>
      <w:proofErr w:type="spellEnd"/>
      <w:r w:rsidRPr="002B09C8">
        <w:rPr>
          <w:sz w:val="22"/>
          <w:szCs w:val="22"/>
          <w:lang w:val="sr-Latn-ME"/>
        </w:rPr>
        <w:t xml:space="preserve">). Akutna </w:t>
      </w:r>
      <w:proofErr w:type="spellStart"/>
      <w:r w:rsidRPr="002B09C8">
        <w:rPr>
          <w:sz w:val="22"/>
          <w:szCs w:val="22"/>
          <w:lang w:val="sr-Latn-ME"/>
        </w:rPr>
        <w:t>retinalna</w:t>
      </w:r>
      <w:proofErr w:type="spellEnd"/>
      <w:r w:rsidRPr="002B09C8">
        <w:rPr>
          <w:sz w:val="22"/>
          <w:szCs w:val="22"/>
          <w:lang w:val="sr-Latn-ME"/>
        </w:rPr>
        <w:t xml:space="preserve"> </w:t>
      </w:r>
      <w:proofErr w:type="spellStart"/>
      <w:r w:rsidRPr="002B09C8">
        <w:rPr>
          <w:sz w:val="22"/>
          <w:szCs w:val="22"/>
          <w:lang w:val="sr-Latn-ME"/>
        </w:rPr>
        <w:t>nekroza</w:t>
      </w:r>
      <w:proofErr w:type="spellEnd"/>
      <w:r w:rsidRPr="002B09C8">
        <w:rPr>
          <w:sz w:val="22"/>
          <w:szCs w:val="22"/>
          <w:lang w:val="sr-Latn-ME"/>
        </w:rPr>
        <w:t xml:space="preserve"> je zapažena kod pacijenata kod kojih se primjenjuje TYSABRI i može potencijalno izazvati sljepilo. Pacijente kod kojih se javljaju simptomi na oku poput smanjene oštrine vida, crvenilo oka i bol u oku treba uputiti na </w:t>
      </w:r>
      <w:proofErr w:type="spellStart"/>
      <w:r w:rsidRPr="002B09C8">
        <w:rPr>
          <w:sz w:val="22"/>
          <w:szCs w:val="22"/>
          <w:lang w:val="sr-Latn-ME"/>
        </w:rPr>
        <w:t>pregled</w:t>
      </w:r>
      <w:proofErr w:type="spellEnd"/>
      <w:r w:rsidRPr="002B09C8">
        <w:rPr>
          <w:sz w:val="22"/>
          <w:szCs w:val="22"/>
          <w:lang w:val="sr-Latn-ME"/>
        </w:rPr>
        <w:t xml:space="preserve"> mrežnice radi utvrđivanja akutne </w:t>
      </w:r>
      <w:proofErr w:type="spellStart"/>
      <w:r w:rsidRPr="002B09C8">
        <w:rPr>
          <w:sz w:val="22"/>
          <w:szCs w:val="22"/>
          <w:lang w:val="sr-Latn-ME"/>
        </w:rPr>
        <w:t>retinalne</w:t>
      </w:r>
      <w:proofErr w:type="spellEnd"/>
      <w:r w:rsidRPr="002B09C8">
        <w:rPr>
          <w:sz w:val="22"/>
          <w:szCs w:val="22"/>
          <w:lang w:val="sr-Latn-ME"/>
        </w:rPr>
        <w:t xml:space="preserve"> </w:t>
      </w:r>
      <w:proofErr w:type="spellStart"/>
      <w:r w:rsidRPr="002B09C8">
        <w:rPr>
          <w:sz w:val="22"/>
          <w:szCs w:val="22"/>
          <w:lang w:val="sr-Latn-ME"/>
        </w:rPr>
        <w:t>nekroze</w:t>
      </w:r>
      <w:proofErr w:type="spellEnd"/>
      <w:r w:rsidRPr="002B09C8">
        <w:rPr>
          <w:sz w:val="22"/>
          <w:szCs w:val="22"/>
          <w:lang w:val="sr-Latn-ME"/>
        </w:rPr>
        <w:t xml:space="preserve">. Nakon kliničke dijagnoze akutne </w:t>
      </w:r>
      <w:proofErr w:type="spellStart"/>
      <w:r w:rsidRPr="002B09C8">
        <w:rPr>
          <w:sz w:val="22"/>
          <w:szCs w:val="22"/>
          <w:lang w:val="sr-Latn-ME"/>
        </w:rPr>
        <w:t>retinalne</w:t>
      </w:r>
      <w:proofErr w:type="spellEnd"/>
      <w:r w:rsidRPr="002B09C8">
        <w:rPr>
          <w:sz w:val="22"/>
          <w:szCs w:val="22"/>
          <w:lang w:val="sr-Latn-ME"/>
        </w:rPr>
        <w:t xml:space="preserve"> </w:t>
      </w:r>
      <w:proofErr w:type="spellStart"/>
      <w:r w:rsidRPr="002B09C8">
        <w:rPr>
          <w:sz w:val="22"/>
          <w:szCs w:val="22"/>
          <w:lang w:val="sr-Latn-ME"/>
        </w:rPr>
        <w:t>nekroze</w:t>
      </w:r>
      <w:proofErr w:type="spellEnd"/>
      <w:r w:rsidRPr="002B09C8">
        <w:rPr>
          <w:sz w:val="22"/>
          <w:szCs w:val="22"/>
          <w:lang w:val="sr-Latn-ME"/>
        </w:rPr>
        <w:t xml:space="preserve"> potrebno je razmotriti prekid primjene</w:t>
      </w:r>
      <w:r w:rsidR="00523EEB" w:rsidRPr="002B09C8">
        <w:rPr>
          <w:sz w:val="22"/>
          <w:szCs w:val="22"/>
          <w:lang w:val="sr-Latn-ME"/>
        </w:rPr>
        <w:t xml:space="preserve"> ovog</w:t>
      </w:r>
      <w:r w:rsidRPr="002B09C8">
        <w:rPr>
          <w:sz w:val="22"/>
          <w:szCs w:val="22"/>
          <w:lang w:val="sr-Latn-ME"/>
        </w:rPr>
        <w:t xml:space="preserve"> lijeka kod tih pacijenata.</w:t>
      </w:r>
    </w:p>
    <w:p w14:paraId="5B4D60AF" w14:textId="77777777" w:rsidR="00FB74D3" w:rsidRPr="002B09C8" w:rsidRDefault="00FB74D3" w:rsidP="00C74431">
      <w:pPr>
        <w:widowControl w:val="0"/>
        <w:jc w:val="both"/>
        <w:rPr>
          <w:sz w:val="22"/>
          <w:szCs w:val="22"/>
          <w:lang w:val="sr-Latn-ME"/>
        </w:rPr>
      </w:pPr>
    </w:p>
    <w:p w14:paraId="4282EFD1" w14:textId="6D0954EF" w:rsidR="00FB74D3" w:rsidRPr="002B09C8" w:rsidRDefault="00FB74D3" w:rsidP="00C74431">
      <w:pPr>
        <w:widowControl w:val="0"/>
        <w:jc w:val="both"/>
        <w:rPr>
          <w:sz w:val="22"/>
          <w:szCs w:val="22"/>
          <w:lang w:val="sr-Latn-ME"/>
        </w:rPr>
      </w:pPr>
      <w:r w:rsidRPr="002B09C8">
        <w:rPr>
          <w:sz w:val="22"/>
          <w:szCs w:val="22"/>
          <w:lang w:val="sr-Latn-ME"/>
        </w:rPr>
        <w:t xml:space="preserve">Ljekari koji propisuju lijek treba da budu svjesni mogućnosti da se druge oportunističke infekcije mogu pojaviti tokom </w:t>
      </w:r>
      <w:r w:rsidR="00523EEB" w:rsidRPr="002B09C8">
        <w:rPr>
          <w:sz w:val="22"/>
          <w:szCs w:val="22"/>
          <w:lang w:val="sr-Latn-ME"/>
        </w:rPr>
        <w:t xml:space="preserve">ove </w:t>
      </w:r>
      <w:r w:rsidRPr="002B09C8">
        <w:rPr>
          <w:sz w:val="22"/>
          <w:szCs w:val="22"/>
          <w:lang w:val="sr-Latn-ME"/>
        </w:rPr>
        <w:t xml:space="preserve">terapije, pa treba da ih uključe u diferencijalnu dijagnozu infekcija koje se javljaju kod pacijenata liječenih </w:t>
      </w:r>
      <w:proofErr w:type="spellStart"/>
      <w:r w:rsidR="00523EEB" w:rsidRPr="002B09C8">
        <w:rPr>
          <w:sz w:val="22"/>
          <w:szCs w:val="22"/>
          <w:lang w:val="sr-Latn-ME"/>
        </w:rPr>
        <w:t>natalizumabom</w:t>
      </w:r>
      <w:proofErr w:type="spellEnd"/>
      <w:r w:rsidRPr="002B09C8">
        <w:rPr>
          <w:sz w:val="22"/>
          <w:szCs w:val="22"/>
          <w:lang w:val="sr-Latn-ME"/>
        </w:rPr>
        <w:t>. Ako se sumnja na oportunističku infekciju, treba obustaviti</w:t>
      </w:r>
      <w:r w:rsidR="00523EEB" w:rsidRPr="002B09C8">
        <w:rPr>
          <w:sz w:val="22"/>
          <w:szCs w:val="22"/>
          <w:lang w:val="sr-Latn-ME"/>
        </w:rPr>
        <w:t xml:space="preserve"> doziranje ovog l</w:t>
      </w:r>
      <w:r w:rsidR="00294F59" w:rsidRPr="002B09C8">
        <w:rPr>
          <w:sz w:val="22"/>
          <w:szCs w:val="22"/>
          <w:lang w:val="sr-Latn-ME"/>
        </w:rPr>
        <w:t>ij</w:t>
      </w:r>
      <w:r w:rsidR="00523EEB" w:rsidRPr="002B09C8">
        <w:rPr>
          <w:sz w:val="22"/>
          <w:szCs w:val="22"/>
          <w:lang w:val="sr-Latn-ME"/>
        </w:rPr>
        <w:t>eka</w:t>
      </w:r>
      <w:r w:rsidRPr="002B09C8">
        <w:rPr>
          <w:sz w:val="22"/>
          <w:szCs w:val="22"/>
          <w:lang w:val="sr-Latn-ME"/>
        </w:rPr>
        <w:t xml:space="preserve"> sve dok daljim ispitivanjima ne bude moguće isključiti ovakve infekcije. </w:t>
      </w:r>
    </w:p>
    <w:p w14:paraId="34370163" w14:textId="77777777" w:rsidR="00FB74D3" w:rsidRPr="002B09C8" w:rsidRDefault="00FB74D3" w:rsidP="00C74431">
      <w:pPr>
        <w:widowControl w:val="0"/>
        <w:jc w:val="both"/>
        <w:rPr>
          <w:sz w:val="22"/>
          <w:szCs w:val="22"/>
          <w:lang w:val="sr-Latn-ME"/>
        </w:rPr>
      </w:pPr>
    </w:p>
    <w:p w14:paraId="3D3D1259" w14:textId="1A0C394E" w:rsidR="00FB74D3" w:rsidRPr="002B09C8" w:rsidRDefault="00FB74D3" w:rsidP="00C74431">
      <w:pPr>
        <w:widowControl w:val="0"/>
        <w:jc w:val="both"/>
        <w:rPr>
          <w:sz w:val="22"/>
          <w:szCs w:val="22"/>
          <w:lang w:val="sr-Latn-ME"/>
        </w:rPr>
      </w:pPr>
      <w:r w:rsidRPr="002B09C8">
        <w:rPr>
          <w:sz w:val="22"/>
          <w:szCs w:val="22"/>
          <w:lang w:val="sr-Latn-ME"/>
        </w:rPr>
        <w:t xml:space="preserve">Ako pacijent koji prima </w:t>
      </w:r>
      <w:r w:rsidR="00523EEB" w:rsidRPr="002B09C8">
        <w:rPr>
          <w:sz w:val="22"/>
          <w:szCs w:val="22"/>
          <w:lang w:val="sr-Latn-ME"/>
        </w:rPr>
        <w:t xml:space="preserve">ovaj </w:t>
      </w:r>
      <w:r w:rsidRPr="002B09C8">
        <w:rPr>
          <w:sz w:val="22"/>
          <w:szCs w:val="22"/>
          <w:lang w:val="sr-Latn-ME"/>
        </w:rPr>
        <w:t>lijek razvije oportunističku infekciju, doziranje lijeka TYSABRI se mora trajno prekinuti.</w:t>
      </w:r>
    </w:p>
    <w:p w14:paraId="6AF5C2EF" w14:textId="77777777" w:rsidR="00FB74D3" w:rsidRPr="002B09C8" w:rsidRDefault="00FB74D3" w:rsidP="00C74431">
      <w:pPr>
        <w:widowControl w:val="0"/>
        <w:jc w:val="both"/>
        <w:rPr>
          <w:sz w:val="22"/>
          <w:szCs w:val="22"/>
          <w:u w:val="single"/>
          <w:lang w:val="sr-Latn-ME"/>
        </w:rPr>
      </w:pPr>
    </w:p>
    <w:p w14:paraId="71444C86" w14:textId="77777777" w:rsidR="00FB74D3" w:rsidRPr="002B09C8" w:rsidRDefault="00FB74D3" w:rsidP="00C74431">
      <w:pPr>
        <w:widowControl w:val="0"/>
        <w:jc w:val="both"/>
        <w:rPr>
          <w:sz w:val="22"/>
          <w:szCs w:val="22"/>
          <w:lang w:val="sr-Latn-ME"/>
        </w:rPr>
      </w:pPr>
      <w:r w:rsidRPr="002B09C8">
        <w:rPr>
          <w:sz w:val="22"/>
          <w:szCs w:val="22"/>
          <w:u w:val="single"/>
          <w:lang w:val="sr-Latn-ME"/>
        </w:rPr>
        <w:t>Smjernica za edukaciju</w:t>
      </w:r>
    </w:p>
    <w:p w14:paraId="64389AB4" w14:textId="77777777" w:rsidR="00FB74D3" w:rsidRPr="002B09C8" w:rsidRDefault="00FB74D3" w:rsidP="00C74431">
      <w:pPr>
        <w:widowControl w:val="0"/>
        <w:jc w:val="both"/>
        <w:rPr>
          <w:sz w:val="22"/>
          <w:szCs w:val="22"/>
          <w:lang w:val="sr-Latn-ME"/>
        </w:rPr>
      </w:pPr>
    </w:p>
    <w:p w14:paraId="6A93C620" w14:textId="61FF2F23" w:rsidR="00FB74D3" w:rsidRPr="002B09C8" w:rsidRDefault="00FB74D3" w:rsidP="00C74431">
      <w:pPr>
        <w:widowControl w:val="0"/>
        <w:jc w:val="both"/>
        <w:rPr>
          <w:sz w:val="22"/>
          <w:szCs w:val="22"/>
          <w:lang w:val="sr-Latn-ME"/>
        </w:rPr>
      </w:pPr>
      <w:r w:rsidRPr="002B09C8">
        <w:rPr>
          <w:sz w:val="22"/>
          <w:szCs w:val="22"/>
          <w:lang w:val="sr-Latn-ME"/>
        </w:rPr>
        <w:t>Svi ljekari koji namjeravaju propisati lijek moraju biti dobro upoznati sa Informacijama za ljekare i Smjernicama za liječenje.</w:t>
      </w:r>
    </w:p>
    <w:p w14:paraId="4224B88E" w14:textId="77777777" w:rsidR="00FB74D3" w:rsidRPr="002B09C8" w:rsidRDefault="00FB74D3" w:rsidP="00C74431">
      <w:pPr>
        <w:widowControl w:val="0"/>
        <w:jc w:val="both"/>
        <w:rPr>
          <w:sz w:val="22"/>
          <w:szCs w:val="22"/>
          <w:lang w:val="sr-Latn-ME"/>
        </w:rPr>
      </w:pPr>
    </w:p>
    <w:p w14:paraId="15C8EDE4" w14:textId="0D97DB9B" w:rsidR="00FB74D3" w:rsidRPr="002B09C8" w:rsidRDefault="00FB74D3" w:rsidP="00C74431">
      <w:pPr>
        <w:widowControl w:val="0"/>
        <w:jc w:val="both"/>
        <w:rPr>
          <w:sz w:val="22"/>
          <w:szCs w:val="22"/>
          <w:lang w:val="sr-Latn-ME"/>
        </w:rPr>
      </w:pPr>
      <w:r w:rsidRPr="002B09C8">
        <w:rPr>
          <w:sz w:val="22"/>
          <w:szCs w:val="22"/>
          <w:lang w:val="sr-Latn-ME"/>
        </w:rPr>
        <w:t xml:space="preserve">Ljekari moraju razmotriti koristi i rizike terapije </w:t>
      </w:r>
      <w:proofErr w:type="spellStart"/>
      <w:r w:rsidR="00523EEB" w:rsidRPr="002B09C8">
        <w:rPr>
          <w:sz w:val="22"/>
          <w:szCs w:val="22"/>
          <w:lang w:val="sr-Latn-ME"/>
        </w:rPr>
        <w:t>natalizumabom</w:t>
      </w:r>
      <w:proofErr w:type="spellEnd"/>
      <w:r w:rsidRPr="002B09C8">
        <w:rPr>
          <w:sz w:val="22"/>
          <w:szCs w:val="22"/>
          <w:lang w:val="sr-Latn-ME"/>
        </w:rPr>
        <w:t xml:space="preserve"> sa pacijentima i treba da im daju Karticu za pacijenta sa upozorenjima. Pacijente treba informisati da u slučaju pojave infekcije treba da obavijeste svog ljekara da su liječeni </w:t>
      </w:r>
      <w:r w:rsidR="00523EEB" w:rsidRPr="002B09C8">
        <w:rPr>
          <w:sz w:val="22"/>
          <w:szCs w:val="22"/>
          <w:lang w:val="sr-Latn-ME"/>
        </w:rPr>
        <w:t xml:space="preserve">ovim </w:t>
      </w:r>
      <w:r w:rsidRPr="002B09C8">
        <w:rPr>
          <w:sz w:val="22"/>
          <w:szCs w:val="22"/>
          <w:lang w:val="sr-Latn-ME"/>
        </w:rPr>
        <w:t>lijekom.</w:t>
      </w:r>
    </w:p>
    <w:p w14:paraId="585AF02F" w14:textId="77777777" w:rsidR="00FB74D3" w:rsidRPr="002B09C8" w:rsidRDefault="00FB74D3" w:rsidP="00C74431">
      <w:pPr>
        <w:widowControl w:val="0"/>
        <w:jc w:val="both"/>
        <w:rPr>
          <w:sz w:val="22"/>
          <w:szCs w:val="22"/>
          <w:lang w:val="sr-Latn-ME"/>
        </w:rPr>
      </w:pPr>
    </w:p>
    <w:p w14:paraId="33BD294B" w14:textId="77777777" w:rsidR="00FB74D3" w:rsidRPr="002B09C8" w:rsidRDefault="00FB74D3" w:rsidP="00C74431">
      <w:pPr>
        <w:widowControl w:val="0"/>
        <w:jc w:val="both"/>
        <w:rPr>
          <w:sz w:val="22"/>
          <w:szCs w:val="22"/>
          <w:lang w:val="sr-Latn-ME"/>
        </w:rPr>
      </w:pPr>
      <w:r w:rsidRPr="002B09C8">
        <w:rPr>
          <w:sz w:val="22"/>
          <w:szCs w:val="22"/>
          <w:lang w:val="sr-Latn-ME"/>
        </w:rPr>
        <w:t>Ljekari treba da savjetuju pacijente o važnosti neprekinute primjene, naročito u početnim mjesecima liječenja (vidjeti preosjetljivost).</w:t>
      </w:r>
    </w:p>
    <w:p w14:paraId="7AE60380" w14:textId="77777777" w:rsidR="00FB74D3" w:rsidRPr="002B09C8" w:rsidRDefault="00FB74D3" w:rsidP="00C74431">
      <w:pPr>
        <w:widowControl w:val="0"/>
        <w:jc w:val="both"/>
        <w:rPr>
          <w:sz w:val="22"/>
          <w:szCs w:val="22"/>
          <w:u w:val="single"/>
          <w:lang w:val="sr-Latn-ME"/>
        </w:rPr>
      </w:pPr>
    </w:p>
    <w:p w14:paraId="65213CDC"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Preosjetljivost</w:t>
      </w:r>
    </w:p>
    <w:p w14:paraId="4728AB66" w14:textId="77777777" w:rsidR="00FB74D3" w:rsidRPr="002B09C8" w:rsidRDefault="00FB74D3" w:rsidP="00C74431">
      <w:pPr>
        <w:widowControl w:val="0"/>
        <w:jc w:val="both"/>
        <w:rPr>
          <w:sz w:val="22"/>
          <w:szCs w:val="22"/>
          <w:u w:val="single"/>
          <w:lang w:val="sr-Latn-ME"/>
        </w:rPr>
      </w:pPr>
    </w:p>
    <w:p w14:paraId="7E443BF9" w14:textId="7DCDF478" w:rsidR="00FB74D3" w:rsidRPr="002B09C8" w:rsidRDefault="00FB74D3" w:rsidP="00C74431">
      <w:pPr>
        <w:widowControl w:val="0"/>
        <w:jc w:val="both"/>
        <w:rPr>
          <w:sz w:val="22"/>
          <w:szCs w:val="22"/>
          <w:lang w:val="sr-Latn-ME"/>
        </w:rPr>
      </w:pPr>
      <w:r w:rsidRPr="002B09C8">
        <w:rPr>
          <w:sz w:val="22"/>
          <w:szCs w:val="22"/>
          <w:lang w:val="sr-Latn-ME"/>
        </w:rPr>
        <w:t xml:space="preserve">Reakcije preosjetljivosti mogu nastati kod primjene </w:t>
      </w:r>
      <w:r w:rsidR="00523EEB" w:rsidRPr="002B09C8">
        <w:rPr>
          <w:sz w:val="22"/>
          <w:szCs w:val="22"/>
          <w:lang w:val="sr-Latn-ME"/>
        </w:rPr>
        <w:t xml:space="preserve">ovog </w:t>
      </w:r>
      <w:r w:rsidRPr="002B09C8">
        <w:rPr>
          <w:sz w:val="22"/>
          <w:szCs w:val="22"/>
          <w:lang w:val="sr-Latn-ME"/>
        </w:rPr>
        <w:t>lijeka, uključujući ozbiljne sistemske reakcije (vidjeti dio 4.8). Ove reakcije su se uglavnom pojavile tokom infuzije ili do 1 sat nakon završetka infuzije. Rizik od preosjetljivosti bio je najveći kod početnih infuzija i kod pacijenata ponovo izloženih</w:t>
      </w:r>
      <w:r w:rsidR="00523EEB" w:rsidRPr="002B09C8">
        <w:rPr>
          <w:sz w:val="22"/>
          <w:szCs w:val="22"/>
          <w:lang w:val="sr-Latn-ME"/>
        </w:rPr>
        <w:t xml:space="preserve"> ovom</w:t>
      </w:r>
      <w:r w:rsidRPr="002B09C8">
        <w:rPr>
          <w:sz w:val="22"/>
          <w:szCs w:val="22"/>
          <w:lang w:val="sr-Latn-ME"/>
        </w:rPr>
        <w:t xml:space="preserve"> lijeku nakon početne kratke izloženosti (jedna ili dvije infuzije) i produženog perioda (tri mjeseca ili duže) bez liječenja. Ipak, rizik od reakcija preosjetljivosti treba uzeti u obzir kod svake primijenjene infuzije.</w:t>
      </w:r>
    </w:p>
    <w:p w14:paraId="1ABDAA15" w14:textId="77777777" w:rsidR="00FB74D3" w:rsidRPr="002B09C8" w:rsidRDefault="00FB74D3" w:rsidP="00C74431">
      <w:pPr>
        <w:widowControl w:val="0"/>
        <w:jc w:val="both"/>
        <w:rPr>
          <w:sz w:val="22"/>
          <w:szCs w:val="22"/>
          <w:lang w:val="sr-Latn-ME"/>
        </w:rPr>
      </w:pPr>
    </w:p>
    <w:p w14:paraId="7932AD62" w14:textId="77777777" w:rsidR="00FB74D3" w:rsidRPr="002B09C8" w:rsidRDefault="00FB74D3" w:rsidP="00C74431">
      <w:pPr>
        <w:widowControl w:val="0"/>
        <w:jc w:val="both"/>
        <w:rPr>
          <w:sz w:val="22"/>
          <w:szCs w:val="22"/>
          <w:lang w:val="sr-Latn-ME"/>
        </w:rPr>
      </w:pPr>
      <w:r w:rsidRPr="002B09C8">
        <w:rPr>
          <w:sz w:val="22"/>
          <w:szCs w:val="22"/>
          <w:lang w:val="sr-Latn-ME"/>
        </w:rPr>
        <w:t>Pacijente treba pratiti tokom infuzije i do 1 sata nakon završetka infuzije (vidjeti dio 4.8). Sredstva za liječenje reakcija preosjetljivosti trebaju biti dostupna.</w:t>
      </w:r>
    </w:p>
    <w:p w14:paraId="28328CED" w14:textId="77777777" w:rsidR="00FB74D3" w:rsidRPr="002B09C8" w:rsidRDefault="00FB74D3" w:rsidP="00C74431">
      <w:pPr>
        <w:widowControl w:val="0"/>
        <w:jc w:val="both"/>
        <w:rPr>
          <w:sz w:val="22"/>
          <w:szCs w:val="22"/>
          <w:lang w:val="sr-Latn-ME"/>
        </w:rPr>
      </w:pPr>
    </w:p>
    <w:p w14:paraId="3655318C" w14:textId="61288FAF" w:rsidR="00FB74D3" w:rsidRPr="002B09C8" w:rsidRDefault="00FB74D3" w:rsidP="00C74431">
      <w:pPr>
        <w:widowControl w:val="0"/>
        <w:jc w:val="both"/>
        <w:rPr>
          <w:sz w:val="22"/>
          <w:szCs w:val="22"/>
          <w:lang w:val="sr-Latn-ME"/>
        </w:rPr>
      </w:pPr>
      <w:r w:rsidRPr="002B09C8">
        <w:rPr>
          <w:sz w:val="22"/>
          <w:szCs w:val="22"/>
          <w:lang w:val="sr-Latn-ME"/>
        </w:rPr>
        <w:t>Prekinite primjenu</w:t>
      </w:r>
      <w:r w:rsidR="00523EEB" w:rsidRPr="002B09C8">
        <w:rPr>
          <w:sz w:val="22"/>
          <w:szCs w:val="22"/>
          <w:lang w:val="sr-Latn-ME"/>
        </w:rPr>
        <w:t xml:space="preserve"> ovog</w:t>
      </w:r>
      <w:r w:rsidRPr="002B09C8">
        <w:rPr>
          <w:sz w:val="22"/>
          <w:szCs w:val="22"/>
          <w:lang w:val="sr-Latn-ME"/>
        </w:rPr>
        <w:t xml:space="preserve"> lijeka i započnite sa odgovarajućom terapijom kod prvih simptoma ili znakova preosjetljivosti.</w:t>
      </w:r>
    </w:p>
    <w:p w14:paraId="7D5A8C57" w14:textId="77777777" w:rsidR="00FB74D3" w:rsidRPr="002B09C8" w:rsidRDefault="00FB74D3" w:rsidP="00C74431">
      <w:pPr>
        <w:widowControl w:val="0"/>
        <w:jc w:val="both"/>
        <w:rPr>
          <w:sz w:val="22"/>
          <w:szCs w:val="22"/>
          <w:lang w:val="sr-Latn-ME"/>
        </w:rPr>
      </w:pPr>
    </w:p>
    <w:p w14:paraId="15C6E68F" w14:textId="6C1D2295" w:rsidR="00FB74D3" w:rsidRPr="002B09C8" w:rsidRDefault="00FB74D3" w:rsidP="00C74431">
      <w:pPr>
        <w:widowControl w:val="0"/>
        <w:jc w:val="both"/>
        <w:rPr>
          <w:sz w:val="22"/>
          <w:szCs w:val="22"/>
          <w:lang w:val="sr-Latn-ME"/>
        </w:rPr>
      </w:pPr>
      <w:r w:rsidRPr="002B09C8">
        <w:rPr>
          <w:sz w:val="22"/>
          <w:szCs w:val="22"/>
          <w:lang w:val="sr-Latn-ME"/>
        </w:rPr>
        <w:t xml:space="preserve">Pacijenti kod kojih se pojavila reakcija preosjetljivosti moraju trajno prekinuti liječenje </w:t>
      </w:r>
      <w:proofErr w:type="spellStart"/>
      <w:r w:rsidR="00523EEB" w:rsidRPr="002B09C8">
        <w:rPr>
          <w:sz w:val="22"/>
          <w:szCs w:val="22"/>
          <w:lang w:val="sr-Latn-ME"/>
        </w:rPr>
        <w:t>natalizumabom</w:t>
      </w:r>
      <w:proofErr w:type="spellEnd"/>
      <w:r w:rsidRPr="002B09C8">
        <w:rPr>
          <w:sz w:val="22"/>
          <w:szCs w:val="22"/>
          <w:lang w:val="sr-Latn-ME"/>
        </w:rPr>
        <w:t>.</w:t>
      </w:r>
    </w:p>
    <w:p w14:paraId="0A87C6A8" w14:textId="77777777" w:rsidR="00FB74D3" w:rsidRPr="002B09C8" w:rsidRDefault="00FB74D3" w:rsidP="00C74431">
      <w:pPr>
        <w:widowControl w:val="0"/>
        <w:jc w:val="both"/>
        <w:rPr>
          <w:sz w:val="22"/>
          <w:szCs w:val="22"/>
          <w:lang w:val="sr-Latn-ME"/>
        </w:rPr>
      </w:pPr>
    </w:p>
    <w:p w14:paraId="15DCD22E"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 xml:space="preserve">Istovremeno liječenje </w:t>
      </w:r>
      <w:proofErr w:type="spellStart"/>
      <w:r w:rsidRPr="002B09C8">
        <w:rPr>
          <w:sz w:val="22"/>
          <w:szCs w:val="22"/>
          <w:u w:val="single"/>
          <w:lang w:val="sr-Latn-ME"/>
        </w:rPr>
        <w:t>imunosupresivima</w:t>
      </w:r>
      <w:proofErr w:type="spellEnd"/>
    </w:p>
    <w:p w14:paraId="5377FC90" w14:textId="77777777" w:rsidR="00FB74D3" w:rsidRPr="002B09C8" w:rsidRDefault="00FB74D3" w:rsidP="00C74431">
      <w:pPr>
        <w:widowControl w:val="0"/>
        <w:jc w:val="both"/>
        <w:rPr>
          <w:sz w:val="22"/>
          <w:szCs w:val="22"/>
          <w:u w:val="single"/>
          <w:lang w:val="sr-Latn-ME"/>
        </w:rPr>
      </w:pPr>
    </w:p>
    <w:p w14:paraId="3D20EF96" w14:textId="34C4B18E" w:rsidR="00FB74D3" w:rsidRPr="002B09C8" w:rsidRDefault="00FB74D3" w:rsidP="00C74431">
      <w:pPr>
        <w:widowControl w:val="0"/>
        <w:jc w:val="both"/>
        <w:rPr>
          <w:sz w:val="22"/>
          <w:szCs w:val="22"/>
          <w:lang w:val="sr-Latn-ME"/>
        </w:rPr>
      </w:pPr>
      <w:r w:rsidRPr="002B09C8">
        <w:rPr>
          <w:sz w:val="22"/>
          <w:szCs w:val="22"/>
          <w:lang w:val="sr-Latn-ME"/>
        </w:rPr>
        <w:t xml:space="preserve">Bezbjednost i efikasnost </w:t>
      </w:r>
      <w:r w:rsidR="007C1678" w:rsidRPr="002B09C8">
        <w:rPr>
          <w:sz w:val="22"/>
          <w:szCs w:val="22"/>
          <w:lang w:val="sr-Latn-ME"/>
        </w:rPr>
        <w:t xml:space="preserve">ovog </w:t>
      </w:r>
      <w:r w:rsidRPr="002B09C8">
        <w:rPr>
          <w:sz w:val="22"/>
          <w:szCs w:val="22"/>
          <w:lang w:val="sr-Latn-ME"/>
        </w:rPr>
        <w:t xml:space="preserve">lijeka u kombinaciji sa drugim terapijama </w:t>
      </w:r>
      <w:proofErr w:type="spellStart"/>
      <w:r w:rsidRPr="002B09C8">
        <w:rPr>
          <w:sz w:val="22"/>
          <w:szCs w:val="22"/>
          <w:lang w:val="sr-Latn-ME"/>
        </w:rPr>
        <w:t>imunosupresivima</w:t>
      </w:r>
      <w:proofErr w:type="spellEnd"/>
      <w:r w:rsidRPr="002B09C8">
        <w:rPr>
          <w:sz w:val="22"/>
          <w:szCs w:val="22"/>
          <w:lang w:val="sr-Latn-ME"/>
        </w:rPr>
        <w:t xml:space="preserve"> i </w:t>
      </w:r>
      <w:proofErr w:type="spellStart"/>
      <w:r w:rsidRPr="002B09C8">
        <w:rPr>
          <w:sz w:val="22"/>
          <w:szCs w:val="22"/>
          <w:lang w:val="sr-Latn-ME"/>
        </w:rPr>
        <w:t>antineoplasticima</w:t>
      </w:r>
      <w:proofErr w:type="spellEnd"/>
      <w:r w:rsidRPr="002B09C8">
        <w:rPr>
          <w:sz w:val="22"/>
          <w:szCs w:val="22"/>
          <w:lang w:val="sr-Latn-ME"/>
        </w:rPr>
        <w:t xml:space="preserve"> nijesu u potpunosti utvrđene. Istovremena primjena ovih ljekova s lijekom TYSABRI </w:t>
      </w:r>
      <w:r w:rsidRPr="002B09C8">
        <w:rPr>
          <w:sz w:val="22"/>
          <w:szCs w:val="22"/>
          <w:lang w:val="sr-Latn-ME"/>
        </w:rPr>
        <w:lastRenderedPageBreak/>
        <w:t>može povećati rizik od infekcija, uključujući oportunističke infekcije, te je zato kontraindikovana (vidjeti dio 4.3).</w:t>
      </w:r>
    </w:p>
    <w:p w14:paraId="33942E13" w14:textId="77777777" w:rsidR="00FB74D3" w:rsidRPr="002B09C8" w:rsidRDefault="00FB74D3" w:rsidP="00C74431">
      <w:pPr>
        <w:widowControl w:val="0"/>
        <w:jc w:val="both"/>
        <w:rPr>
          <w:sz w:val="22"/>
          <w:szCs w:val="22"/>
          <w:lang w:val="sr-Latn-ME"/>
        </w:rPr>
      </w:pPr>
    </w:p>
    <w:p w14:paraId="56B86DE9" w14:textId="393AB7A7" w:rsidR="00FB74D3" w:rsidRPr="002B09C8" w:rsidRDefault="00FB74D3" w:rsidP="00C74431">
      <w:pPr>
        <w:widowControl w:val="0"/>
        <w:tabs>
          <w:tab w:val="left" w:pos="284"/>
        </w:tabs>
        <w:jc w:val="both"/>
        <w:rPr>
          <w:sz w:val="22"/>
          <w:szCs w:val="22"/>
          <w:lang w:val="sr-Latn-ME"/>
        </w:rPr>
      </w:pPr>
      <w:r w:rsidRPr="002B09C8">
        <w:rPr>
          <w:sz w:val="22"/>
          <w:szCs w:val="22"/>
          <w:lang w:val="sr-Latn-ME"/>
        </w:rPr>
        <w:t>U fazi 3 kliničkih ispitivanja multiple skleroze</w:t>
      </w:r>
      <w:r w:rsidR="007C1678" w:rsidRPr="002B09C8">
        <w:rPr>
          <w:sz w:val="22"/>
          <w:szCs w:val="22"/>
          <w:lang w:val="sr-Latn-ME"/>
        </w:rPr>
        <w:t xml:space="preserve"> sa </w:t>
      </w:r>
      <w:proofErr w:type="spellStart"/>
      <w:r w:rsidR="007C1678" w:rsidRPr="002B09C8">
        <w:rPr>
          <w:sz w:val="22"/>
          <w:szCs w:val="22"/>
          <w:lang w:val="sr-Latn-ME"/>
        </w:rPr>
        <w:t>intravenskim</w:t>
      </w:r>
      <w:proofErr w:type="spellEnd"/>
      <w:r w:rsidR="007C1678" w:rsidRPr="002B09C8">
        <w:rPr>
          <w:sz w:val="22"/>
          <w:szCs w:val="22"/>
          <w:lang w:val="sr-Latn-ME"/>
        </w:rPr>
        <w:t xml:space="preserve"> infuzijama </w:t>
      </w:r>
      <w:proofErr w:type="spellStart"/>
      <w:r w:rsidR="007C1678" w:rsidRPr="002B09C8">
        <w:rPr>
          <w:sz w:val="22"/>
          <w:szCs w:val="22"/>
          <w:lang w:val="sr-Latn-ME"/>
        </w:rPr>
        <w:t>natalizumaba</w:t>
      </w:r>
      <w:proofErr w:type="spellEnd"/>
      <w:r w:rsidRPr="002B09C8">
        <w:rPr>
          <w:sz w:val="22"/>
          <w:szCs w:val="22"/>
          <w:lang w:val="sr-Latn-ME"/>
        </w:rPr>
        <w:t xml:space="preserve">, istovremeno liječenje </w:t>
      </w:r>
      <w:proofErr w:type="spellStart"/>
      <w:r w:rsidRPr="002B09C8">
        <w:rPr>
          <w:sz w:val="22"/>
          <w:szCs w:val="22"/>
          <w:lang w:val="sr-Latn-ME"/>
        </w:rPr>
        <w:t>relapsa</w:t>
      </w:r>
      <w:proofErr w:type="spellEnd"/>
      <w:r w:rsidRPr="002B09C8">
        <w:rPr>
          <w:sz w:val="22"/>
          <w:szCs w:val="22"/>
          <w:lang w:val="sr-Latn-ME"/>
        </w:rPr>
        <w:t xml:space="preserve"> kratkotrajnom terapijom </w:t>
      </w:r>
      <w:proofErr w:type="spellStart"/>
      <w:r w:rsidRPr="002B09C8">
        <w:rPr>
          <w:sz w:val="22"/>
          <w:szCs w:val="22"/>
          <w:lang w:val="sr-Latn-ME"/>
        </w:rPr>
        <w:t>kortikosteroidima</w:t>
      </w:r>
      <w:proofErr w:type="spellEnd"/>
      <w:r w:rsidRPr="002B09C8">
        <w:rPr>
          <w:sz w:val="22"/>
          <w:szCs w:val="22"/>
          <w:lang w:val="sr-Latn-ME"/>
        </w:rPr>
        <w:t xml:space="preserve"> nije bilo povezano s povećanom stopom infekcija. Kratkotrajna terapija </w:t>
      </w:r>
      <w:proofErr w:type="spellStart"/>
      <w:r w:rsidRPr="002B09C8">
        <w:rPr>
          <w:sz w:val="22"/>
          <w:szCs w:val="22"/>
          <w:lang w:val="sr-Latn-ME"/>
        </w:rPr>
        <w:t>kortikosteroidima</w:t>
      </w:r>
      <w:proofErr w:type="spellEnd"/>
      <w:r w:rsidRPr="002B09C8">
        <w:rPr>
          <w:sz w:val="22"/>
          <w:szCs w:val="22"/>
          <w:lang w:val="sr-Latn-ME"/>
        </w:rPr>
        <w:t xml:space="preserve"> stoga se može primjenjivati u kombinaciji sa</w:t>
      </w:r>
      <w:r w:rsidR="00C31F99" w:rsidRPr="002B09C8">
        <w:rPr>
          <w:sz w:val="22"/>
          <w:szCs w:val="22"/>
          <w:lang w:val="sr-Latn-ME"/>
        </w:rPr>
        <w:t xml:space="preserve"> ovim</w:t>
      </w:r>
      <w:r w:rsidRPr="002B09C8">
        <w:rPr>
          <w:sz w:val="22"/>
          <w:szCs w:val="22"/>
          <w:lang w:val="sr-Latn-ME"/>
        </w:rPr>
        <w:t xml:space="preserve"> lijekom.</w:t>
      </w:r>
    </w:p>
    <w:p w14:paraId="7C5D69C5" w14:textId="77777777" w:rsidR="00FB74D3" w:rsidRPr="002B09C8" w:rsidRDefault="00FB74D3" w:rsidP="00C74431">
      <w:pPr>
        <w:widowControl w:val="0"/>
        <w:tabs>
          <w:tab w:val="left" w:pos="284"/>
        </w:tabs>
        <w:jc w:val="both"/>
        <w:rPr>
          <w:sz w:val="22"/>
          <w:szCs w:val="22"/>
          <w:lang w:val="sr-Latn-ME"/>
        </w:rPr>
      </w:pPr>
    </w:p>
    <w:p w14:paraId="26AF9A83" w14:textId="77777777" w:rsidR="00FB74D3" w:rsidRPr="002B09C8" w:rsidRDefault="00FB74D3" w:rsidP="00C74431">
      <w:pPr>
        <w:widowControl w:val="0"/>
        <w:tabs>
          <w:tab w:val="left" w:pos="284"/>
        </w:tabs>
        <w:jc w:val="both"/>
        <w:rPr>
          <w:sz w:val="22"/>
          <w:szCs w:val="22"/>
          <w:u w:val="single"/>
          <w:lang w:val="sr-Latn-ME"/>
        </w:rPr>
      </w:pPr>
      <w:r w:rsidRPr="002B09C8">
        <w:rPr>
          <w:sz w:val="22"/>
          <w:szCs w:val="22"/>
          <w:u w:val="single"/>
          <w:lang w:val="sr-Latn-ME"/>
        </w:rPr>
        <w:t xml:space="preserve">Prethodno liječenje </w:t>
      </w:r>
      <w:proofErr w:type="spellStart"/>
      <w:r w:rsidRPr="002B09C8">
        <w:rPr>
          <w:sz w:val="22"/>
          <w:szCs w:val="22"/>
          <w:u w:val="single"/>
          <w:lang w:val="sr-Latn-ME"/>
        </w:rPr>
        <w:t>imunosupresivnim</w:t>
      </w:r>
      <w:proofErr w:type="spellEnd"/>
      <w:r w:rsidRPr="002B09C8">
        <w:rPr>
          <w:sz w:val="22"/>
          <w:szCs w:val="22"/>
          <w:u w:val="single"/>
          <w:lang w:val="sr-Latn-ME"/>
        </w:rPr>
        <w:t xml:space="preserve"> ili </w:t>
      </w:r>
      <w:proofErr w:type="spellStart"/>
      <w:r w:rsidRPr="002B09C8">
        <w:rPr>
          <w:sz w:val="22"/>
          <w:szCs w:val="22"/>
          <w:u w:val="single"/>
          <w:lang w:val="sr-Latn-ME"/>
        </w:rPr>
        <w:t>imunomodulatornim</w:t>
      </w:r>
      <w:proofErr w:type="spellEnd"/>
      <w:r w:rsidRPr="002B09C8">
        <w:rPr>
          <w:sz w:val="22"/>
          <w:szCs w:val="22"/>
          <w:u w:val="single"/>
          <w:lang w:val="sr-Latn-ME"/>
        </w:rPr>
        <w:t xml:space="preserve"> terapijama </w:t>
      </w:r>
    </w:p>
    <w:p w14:paraId="39C75574" w14:textId="77777777" w:rsidR="00FB74D3" w:rsidRPr="002B09C8" w:rsidRDefault="00FB74D3" w:rsidP="00C74431">
      <w:pPr>
        <w:widowControl w:val="0"/>
        <w:tabs>
          <w:tab w:val="left" w:pos="284"/>
        </w:tabs>
        <w:jc w:val="both"/>
        <w:rPr>
          <w:sz w:val="22"/>
          <w:szCs w:val="22"/>
          <w:lang w:val="sr-Latn-ME"/>
        </w:rPr>
      </w:pPr>
    </w:p>
    <w:p w14:paraId="2F261005" w14:textId="466BF01E" w:rsidR="00FB74D3" w:rsidRPr="002B09C8" w:rsidRDefault="00FB74D3" w:rsidP="00C74431">
      <w:pPr>
        <w:widowControl w:val="0"/>
        <w:tabs>
          <w:tab w:val="left" w:pos="284"/>
        </w:tabs>
        <w:jc w:val="both"/>
        <w:rPr>
          <w:sz w:val="22"/>
          <w:szCs w:val="22"/>
          <w:lang w:val="sr-Latn-ME"/>
        </w:rPr>
      </w:pPr>
      <w:r w:rsidRPr="002B09C8">
        <w:rPr>
          <w:sz w:val="22"/>
          <w:szCs w:val="22"/>
          <w:lang w:val="sr-Latn-ME"/>
        </w:rPr>
        <w:t xml:space="preserve">Pacijenti koji su u prošlosti liječeni </w:t>
      </w:r>
      <w:proofErr w:type="spellStart"/>
      <w:r w:rsidRPr="002B09C8">
        <w:rPr>
          <w:sz w:val="22"/>
          <w:szCs w:val="22"/>
          <w:lang w:val="sr-Latn-ME"/>
        </w:rPr>
        <w:t>imunosupresivnim</w:t>
      </w:r>
      <w:proofErr w:type="spellEnd"/>
      <w:r w:rsidRPr="002B09C8">
        <w:rPr>
          <w:sz w:val="22"/>
          <w:szCs w:val="22"/>
          <w:lang w:val="sr-Latn-ME"/>
        </w:rPr>
        <w:t xml:space="preserve"> ljekovima imaju povećan rizik za PML. Nijesu sprovedena ispitivanja kako bi se procijenila efikasnost i bezbjednost lijeka kada pacijenti prelaze sa terapija koje mijenjaju tok bolesti i imaju </w:t>
      </w:r>
      <w:proofErr w:type="spellStart"/>
      <w:r w:rsidRPr="002B09C8">
        <w:rPr>
          <w:sz w:val="22"/>
          <w:szCs w:val="22"/>
          <w:lang w:val="sr-Latn-ME"/>
        </w:rPr>
        <w:t>imunosupresivni</w:t>
      </w:r>
      <w:proofErr w:type="spellEnd"/>
      <w:r w:rsidRPr="002B09C8">
        <w:rPr>
          <w:sz w:val="22"/>
          <w:szCs w:val="22"/>
          <w:lang w:val="sr-Latn-ME"/>
        </w:rPr>
        <w:t xml:space="preserve"> efekat. Nije poznato da li postoji povećan rizik od PML-a kod pacijenata koji prelaze sa tih terapija na</w:t>
      </w:r>
      <w:r w:rsidR="000A66D1" w:rsidRPr="002B09C8">
        <w:rPr>
          <w:sz w:val="22"/>
          <w:szCs w:val="22"/>
          <w:lang w:val="sr-Latn-ME"/>
        </w:rPr>
        <w:t xml:space="preserve"> ovaj</w:t>
      </w:r>
      <w:r w:rsidRPr="002B09C8">
        <w:rPr>
          <w:sz w:val="22"/>
          <w:szCs w:val="22"/>
          <w:lang w:val="sr-Latn-ME"/>
        </w:rPr>
        <w:t xml:space="preserve"> lijek, stoga te pacijente treba češće nadzirati (tj. slično kao i pacijente koji na</w:t>
      </w:r>
      <w:r w:rsidR="000A66D1" w:rsidRPr="002B09C8">
        <w:rPr>
          <w:sz w:val="22"/>
          <w:szCs w:val="22"/>
          <w:lang w:val="sr-Latn-ME"/>
        </w:rPr>
        <w:t xml:space="preserve"> ovaj</w:t>
      </w:r>
      <w:r w:rsidRPr="002B09C8">
        <w:rPr>
          <w:sz w:val="22"/>
          <w:szCs w:val="22"/>
          <w:lang w:val="sr-Latn-ME"/>
        </w:rPr>
        <w:t xml:space="preserve"> lijek prelaze sa </w:t>
      </w:r>
      <w:proofErr w:type="spellStart"/>
      <w:r w:rsidRPr="002B09C8">
        <w:rPr>
          <w:sz w:val="22"/>
          <w:szCs w:val="22"/>
          <w:lang w:val="sr-Latn-ME"/>
        </w:rPr>
        <w:t>imunosupresivnih</w:t>
      </w:r>
      <w:proofErr w:type="spellEnd"/>
      <w:r w:rsidRPr="002B09C8">
        <w:rPr>
          <w:sz w:val="22"/>
          <w:szCs w:val="22"/>
          <w:lang w:val="sr-Latn-ME"/>
        </w:rPr>
        <w:t xml:space="preserve"> ljekova, vidjeti odjeljak MRI snimanje za PML).</w:t>
      </w:r>
    </w:p>
    <w:p w14:paraId="6241513A" w14:textId="77777777" w:rsidR="00FB74D3" w:rsidRPr="002B09C8" w:rsidRDefault="00FB74D3" w:rsidP="00C74431">
      <w:pPr>
        <w:widowControl w:val="0"/>
        <w:tabs>
          <w:tab w:val="left" w:pos="284"/>
        </w:tabs>
        <w:jc w:val="both"/>
        <w:rPr>
          <w:sz w:val="22"/>
          <w:szCs w:val="22"/>
          <w:lang w:val="sr-Latn-ME"/>
        </w:rPr>
      </w:pPr>
    </w:p>
    <w:p w14:paraId="7ED60DDC" w14:textId="35E798D9" w:rsidR="00FB74D3" w:rsidRPr="002B09C8" w:rsidRDefault="00FB74D3" w:rsidP="00C74431">
      <w:pPr>
        <w:widowControl w:val="0"/>
        <w:tabs>
          <w:tab w:val="left" w:pos="284"/>
        </w:tabs>
        <w:jc w:val="both"/>
        <w:rPr>
          <w:sz w:val="22"/>
          <w:szCs w:val="22"/>
          <w:lang w:val="sr-Latn-ME"/>
        </w:rPr>
      </w:pPr>
      <w:r w:rsidRPr="002B09C8">
        <w:rPr>
          <w:sz w:val="22"/>
          <w:szCs w:val="22"/>
          <w:lang w:val="sr-Latn-ME"/>
        </w:rPr>
        <w:t xml:space="preserve">Pažnja je potrebna kod pacijenata koji su prethodno primali </w:t>
      </w:r>
      <w:proofErr w:type="spellStart"/>
      <w:r w:rsidRPr="002B09C8">
        <w:rPr>
          <w:sz w:val="22"/>
          <w:szCs w:val="22"/>
          <w:lang w:val="sr-Latn-ME"/>
        </w:rPr>
        <w:t>imunosupresive</w:t>
      </w:r>
      <w:proofErr w:type="spellEnd"/>
      <w:r w:rsidRPr="002B09C8">
        <w:rPr>
          <w:sz w:val="22"/>
          <w:szCs w:val="22"/>
          <w:lang w:val="sr-Latn-ME"/>
        </w:rPr>
        <w:t xml:space="preserve"> jer treba proći dovoljno </w:t>
      </w:r>
      <w:proofErr w:type="spellStart"/>
      <w:r w:rsidRPr="002B09C8">
        <w:rPr>
          <w:sz w:val="22"/>
          <w:szCs w:val="22"/>
          <w:lang w:val="sr-Latn-ME"/>
        </w:rPr>
        <w:t>vremena</w:t>
      </w:r>
      <w:proofErr w:type="spellEnd"/>
      <w:r w:rsidRPr="002B09C8">
        <w:rPr>
          <w:sz w:val="22"/>
          <w:szCs w:val="22"/>
          <w:lang w:val="sr-Latn-ME"/>
        </w:rPr>
        <w:t xml:space="preserve"> da se ponovno uspostavi normalna imunološka funkcija. Ljekari moraju osmotriti svakog pacijenta zasebno kako bi utvrdili da li je stanje pacijenta </w:t>
      </w:r>
      <w:proofErr w:type="spellStart"/>
      <w:r w:rsidRPr="002B09C8">
        <w:rPr>
          <w:sz w:val="22"/>
          <w:szCs w:val="22"/>
          <w:lang w:val="sr-Latn-ME"/>
        </w:rPr>
        <w:t>imunokompromitovano</w:t>
      </w:r>
      <w:proofErr w:type="spellEnd"/>
      <w:r w:rsidRPr="002B09C8">
        <w:rPr>
          <w:sz w:val="22"/>
          <w:szCs w:val="22"/>
          <w:lang w:val="sr-Latn-ME"/>
        </w:rPr>
        <w:t xml:space="preserve"> prije početka liječenja (vidjeti dio 4.3).</w:t>
      </w:r>
    </w:p>
    <w:p w14:paraId="74DEB16C" w14:textId="77777777" w:rsidR="00FB74D3" w:rsidRPr="002B09C8" w:rsidRDefault="00FB74D3" w:rsidP="00C74431">
      <w:pPr>
        <w:widowControl w:val="0"/>
        <w:tabs>
          <w:tab w:val="left" w:pos="284"/>
        </w:tabs>
        <w:jc w:val="both"/>
        <w:rPr>
          <w:sz w:val="22"/>
          <w:szCs w:val="22"/>
          <w:lang w:val="sr-Latn-ME"/>
        </w:rPr>
      </w:pPr>
    </w:p>
    <w:p w14:paraId="1E4969DB" w14:textId="0993DC69" w:rsidR="00FB74D3" w:rsidRPr="002B09C8" w:rsidRDefault="00FB74D3" w:rsidP="00C74431">
      <w:pPr>
        <w:widowControl w:val="0"/>
        <w:jc w:val="both"/>
        <w:rPr>
          <w:sz w:val="22"/>
          <w:szCs w:val="22"/>
          <w:lang w:val="sr-Latn-ME"/>
        </w:rPr>
      </w:pPr>
      <w:r w:rsidRPr="002B09C8">
        <w:rPr>
          <w:sz w:val="22"/>
          <w:szCs w:val="22"/>
          <w:lang w:val="sr-Latn-ME"/>
        </w:rPr>
        <w:t>Kada pacijenti prelaze sa druge terapije koja mijenja tok bolesti na</w:t>
      </w:r>
      <w:r w:rsidR="000A66D1" w:rsidRPr="002B09C8">
        <w:rPr>
          <w:sz w:val="22"/>
          <w:szCs w:val="22"/>
          <w:lang w:val="sr-Latn-ME"/>
        </w:rPr>
        <w:t xml:space="preserve"> ovaj</w:t>
      </w:r>
      <w:r w:rsidRPr="002B09C8">
        <w:rPr>
          <w:sz w:val="22"/>
          <w:szCs w:val="22"/>
          <w:lang w:val="sr-Latn-ME"/>
        </w:rPr>
        <w:t xml:space="preserve"> lijek, mora se uzeti u obzir poluvrijeme eliminacije i način djelovanja te druge terapije kako bi se izbjegao aditivni imuni efekat, a da se istovremeno minimizira rizik od </w:t>
      </w:r>
      <w:proofErr w:type="spellStart"/>
      <w:r w:rsidRPr="002B09C8">
        <w:rPr>
          <w:sz w:val="22"/>
          <w:szCs w:val="22"/>
          <w:lang w:val="sr-Latn-ME"/>
        </w:rPr>
        <w:t>reaktivacije</w:t>
      </w:r>
      <w:proofErr w:type="spellEnd"/>
      <w:r w:rsidRPr="002B09C8">
        <w:rPr>
          <w:sz w:val="22"/>
          <w:szCs w:val="22"/>
          <w:lang w:val="sr-Latn-ME"/>
        </w:rPr>
        <w:t xml:space="preserve"> bolesti. Kako bi se osiguralo da su nestali imunološki efekti prethodne terapije (tj. </w:t>
      </w:r>
      <w:proofErr w:type="spellStart"/>
      <w:r w:rsidRPr="002B09C8">
        <w:rPr>
          <w:sz w:val="22"/>
          <w:szCs w:val="22"/>
          <w:lang w:val="sr-Latn-ME"/>
        </w:rPr>
        <w:t>citopenija</w:t>
      </w:r>
      <w:proofErr w:type="spellEnd"/>
      <w:r w:rsidRPr="002B09C8">
        <w:rPr>
          <w:sz w:val="22"/>
          <w:szCs w:val="22"/>
          <w:lang w:val="sr-Latn-ME"/>
        </w:rPr>
        <w:t>), prije početka liječenja</w:t>
      </w:r>
      <w:r w:rsidR="000A66D1" w:rsidRPr="002B09C8">
        <w:rPr>
          <w:sz w:val="22"/>
          <w:szCs w:val="22"/>
          <w:lang w:val="sr-Latn-ME"/>
        </w:rPr>
        <w:t xml:space="preserve"> ovim</w:t>
      </w:r>
      <w:r w:rsidRPr="002B09C8">
        <w:rPr>
          <w:sz w:val="22"/>
          <w:szCs w:val="22"/>
          <w:lang w:val="sr-Latn-ME"/>
        </w:rPr>
        <w:t xml:space="preserve"> lijekom preporučuje se kontrola kompletne krvne slike (KKS, uključujući i </w:t>
      </w:r>
      <w:proofErr w:type="spellStart"/>
      <w:r w:rsidRPr="002B09C8">
        <w:rPr>
          <w:sz w:val="22"/>
          <w:szCs w:val="22"/>
          <w:lang w:val="sr-Latn-ME"/>
        </w:rPr>
        <w:t>limfocite</w:t>
      </w:r>
      <w:proofErr w:type="spellEnd"/>
      <w:r w:rsidRPr="002B09C8">
        <w:rPr>
          <w:sz w:val="22"/>
          <w:szCs w:val="22"/>
          <w:lang w:val="sr-Latn-ME"/>
        </w:rPr>
        <w:t xml:space="preserve">). </w:t>
      </w:r>
    </w:p>
    <w:p w14:paraId="016EC683" w14:textId="77777777" w:rsidR="00FB74D3" w:rsidRPr="002B09C8" w:rsidRDefault="00FB74D3" w:rsidP="00C74431">
      <w:pPr>
        <w:widowControl w:val="0"/>
        <w:jc w:val="both"/>
        <w:rPr>
          <w:sz w:val="22"/>
          <w:szCs w:val="22"/>
          <w:lang w:val="sr-Latn-ME"/>
        </w:rPr>
      </w:pPr>
    </w:p>
    <w:p w14:paraId="11C23BCD" w14:textId="016DBDCE" w:rsidR="00FB74D3" w:rsidRPr="002B09C8" w:rsidRDefault="00FB74D3" w:rsidP="00C74431">
      <w:pPr>
        <w:widowControl w:val="0"/>
        <w:jc w:val="both"/>
        <w:rPr>
          <w:sz w:val="22"/>
          <w:szCs w:val="22"/>
          <w:lang w:val="sr-Latn-ME"/>
        </w:rPr>
      </w:pPr>
      <w:r w:rsidRPr="002B09C8">
        <w:rPr>
          <w:sz w:val="22"/>
          <w:szCs w:val="22"/>
          <w:lang w:val="sr-Latn-ME"/>
        </w:rPr>
        <w:t xml:space="preserve">Pacijenti mogu direktno </w:t>
      </w:r>
      <w:proofErr w:type="spellStart"/>
      <w:r w:rsidRPr="002B09C8">
        <w:rPr>
          <w:sz w:val="22"/>
          <w:szCs w:val="22"/>
          <w:lang w:val="sr-Latn-ME"/>
        </w:rPr>
        <w:t>preći</w:t>
      </w:r>
      <w:proofErr w:type="spellEnd"/>
      <w:r w:rsidRPr="002B09C8">
        <w:rPr>
          <w:sz w:val="22"/>
          <w:szCs w:val="22"/>
          <w:lang w:val="sr-Latn-ME"/>
        </w:rPr>
        <w:t xml:space="preserve"> sa </w:t>
      </w:r>
      <w:proofErr w:type="spellStart"/>
      <w:r w:rsidRPr="002B09C8">
        <w:rPr>
          <w:sz w:val="22"/>
          <w:szCs w:val="22"/>
          <w:lang w:val="sr-Latn-ME"/>
        </w:rPr>
        <w:t>interferona</w:t>
      </w:r>
      <w:proofErr w:type="spellEnd"/>
      <w:r w:rsidRPr="002B09C8">
        <w:rPr>
          <w:sz w:val="22"/>
          <w:szCs w:val="22"/>
          <w:lang w:val="sr-Latn-ME"/>
        </w:rPr>
        <w:t xml:space="preserve"> beta ili </w:t>
      </w:r>
      <w:proofErr w:type="spellStart"/>
      <w:r w:rsidRPr="002B09C8">
        <w:rPr>
          <w:sz w:val="22"/>
          <w:szCs w:val="22"/>
          <w:lang w:val="sr-Latn-ME"/>
        </w:rPr>
        <w:t>glatiramer</w:t>
      </w:r>
      <w:proofErr w:type="spellEnd"/>
      <w:r w:rsidRPr="002B09C8">
        <w:rPr>
          <w:sz w:val="22"/>
          <w:szCs w:val="22"/>
          <w:lang w:val="sr-Latn-ME"/>
        </w:rPr>
        <w:t xml:space="preserve"> acetata na </w:t>
      </w:r>
      <w:proofErr w:type="spellStart"/>
      <w:r w:rsidR="000A66D1" w:rsidRPr="002B09C8">
        <w:rPr>
          <w:sz w:val="22"/>
          <w:szCs w:val="22"/>
          <w:lang w:val="sr-Latn-ME"/>
        </w:rPr>
        <w:t>natalizumab</w:t>
      </w:r>
      <w:proofErr w:type="spellEnd"/>
      <w:r w:rsidRPr="002B09C8">
        <w:rPr>
          <w:sz w:val="22"/>
          <w:szCs w:val="22"/>
          <w:lang w:val="sr-Latn-ME"/>
        </w:rPr>
        <w:t xml:space="preserve">, uz uslov da nema znakova značajnih abnormalnosti povezanih sa liječenjem, poput </w:t>
      </w:r>
      <w:proofErr w:type="spellStart"/>
      <w:r w:rsidRPr="002B09C8">
        <w:rPr>
          <w:sz w:val="22"/>
          <w:szCs w:val="22"/>
          <w:lang w:val="sr-Latn-ME"/>
        </w:rPr>
        <w:t>neutropenije</w:t>
      </w:r>
      <w:proofErr w:type="spellEnd"/>
      <w:r w:rsidRPr="002B09C8">
        <w:rPr>
          <w:sz w:val="22"/>
          <w:szCs w:val="22"/>
          <w:lang w:val="sr-Latn-ME"/>
        </w:rPr>
        <w:t xml:space="preserve"> i </w:t>
      </w:r>
      <w:proofErr w:type="spellStart"/>
      <w:r w:rsidRPr="002B09C8">
        <w:rPr>
          <w:sz w:val="22"/>
          <w:szCs w:val="22"/>
          <w:lang w:val="sr-Latn-ME"/>
        </w:rPr>
        <w:t>limfopenije</w:t>
      </w:r>
      <w:proofErr w:type="spellEnd"/>
      <w:r w:rsidRPr="002B09C8">
        <w:rPr>
          <w:sz w:val="22"/>
          <w:szCs w:val="22"/>
          <w:lang w:val="sr-Latn-ME"/>
        </w:rPr>
        <w:t>.</w:t>
      </w:r>
    </w:p>
    <w:p w14:paraId="637CE164" w14:textId="77777777" w:rsidR="00FB74D3" w:rsidRPr="002B09C8" w:rsidRDefault="00FB74D3" w:rsidP="00C74431">
      <w:pPr>
        <w:widowControl w:val="0"/>
        <w:jc w:val="both"/>
        <w:rPr>
          <w:sz w:val="22"/>
          <w:szCs w:val="22"/>
          <w:lang w:val="sr-Latn-ME"/>
        </w:rPr>
      </w:pPr>
    </w:p>
    <w:p w14:paraId="48DFAE54" w14:textId="19621132" w:rsidR="00FB74D3" w:rsidRPr="002B09C8" w:rsidRDefault="00FB74D3" w:rsidP="00C74431">
      <w:pPr>
        <w:widowControl w:val="0"/>
        <w:jc w:val="both"/>
        <w:rPr>
          <w:sz w:val="22"/>
          <w:szCs w:val="22"/>
          <w:lang w:val="sr-Latn-ME"/>
        </w:rPr>
      </w:pPr>
      <w:r w:rsidRPr="002B09C8">
        <w:rPr>
          <w:sz w:val="22"/>
          <w:szCs w:val="22"/>
          <w:lang w:val="sr-Latn-ME"/>
        </w:rPr>
        <w:t xml:space="preserve">Kada pacijenti prelaze sa </w:t>
      </w:r>
      <w:proofErr w:type="spellStart"/>
      <w:r w:rsidRPr="002B09C8">
        <w:rPr>
          <w:sz w:val="22"/>
          <w:szCs w:val="22"/>
          <w:lang w:val="sr-Latn-ME"/>
        </w:rPr>
        <w:t>dimetil</w:t>
      </w:r>
      <w:proofErr w:type="spellEnd"/>
      <w:r w:rsidRPr="002B09C8">
        <w:rPr>
          <w:sz w:val="22"/>
          <w:szCs w:val="22"/>
          <w:lang w:val="sr-Latn-ME"/>
        </w:rPr>
        <w:t xml:space="preserve"> </w:t>
      </w:r>
      <w:proofErr w:type="spellStart"/>
      <w:r w:rsidRPr="002B09C8">
        <w:rPr>
          <w:sz w:val="22"/>
          <w:szCs w:val="22"/>
          <w:lang w:val="sr-Latn-ME"/>
        </w:rPr>
        <w:t>fumarata</w:t>
      </w:r>
      <w:proofErr w:type="spellEnd"/>
      <w:r w:rsidRPr="002B09C8">
        <w:rPr>
          <w:sz w:val="22"/>
          <w:szCs w:val="22"/>
          <w:lang w:val="sr-Latn-ME"/>
        </w:rPr>
        <w:t xml:space="preserve">, period ispiranja lijeka iz organizma treba biti dovoljno dug da se broj </w:t>
      </w:r>
      <w:proofErr w:type="spellStart"/>
      <w:r w:rsidRPr="002B09C8">
        <w:rPr>
          <w:sz w:val="22"/>
          <w:szCs w:val="22"/>
          <w:lang w:val="sr-Latn-ME"/>
        </w:rPr>
        <w:t>limfocita</w:t>
      </w:r>
      <w:proofErr w:type="spellEnd"/>
      <w:r w:rsidRPr="002B09C8">
        <w:rPr>
          <w:sz w:val="22"/>
          <w:szCs w:val="22"/>
          <w:lang w:val="sr-Latn-ME"/>
        </w:rPr>
        <w:t xml:space="preserve"> oporavi prije nego što se započne liječenje lijekom.</w:t>
      </w:r>
    </w:p>
    <w:p w14:paraId="482FAB60" w14:textId="77777777" w:rsidR="00FB74D3" w:rsidRPr="002B09C8" w:rsidRDefault="00FB74D3" w:rsidP="00C74431">
      <w:pPr>
        <w:widowControl w:val="0"/>
        <w:jc w:val="both"/>
        <w:rPr>
          <w:sz w:val="22"/>
          <w:szCs w:val="22"/>
          <w:lang w:val="sr-Latn-ME"/>
        </w:rPr>
      </w:pPr>
    </w:p>
    <w:p w14:paraId="67CE5A10" w14:textId="132FCF14" w:rsidR="00FB74D3" w:rsidRPr="002B09C8" w:rsidRDefault="00FB74D3" w:rsidP="00C74431">
      <w:pPr>
        <w:widowControl w:val="0"/>
        <w:jc w:val="both"/>
        <w:rPr>
          <w:sz w:val="22"/>
          <w:szCs w:val="22"/>
          <w:lang w:val="sr-Latn-ME"/>
        </w:rPr>
      </w:pPr>
      <w:r w:rsidRPr="002B09C8">
        <w:rPr>
          <w:sz w:val="22"/>
          <w:szCs w:val="22"/>
          <w:lang w:val="sr-Latn-ME"/>
        </w:rPr>
        <w:t xml:space="preserve">Nakon prekida liječenja </w:t>
      </w:r>
      <w:proofErr w:type="spellStart"/>
      <w:r w:rsidRPr="002B09C8">
        <w:rPr>
          <w:sz w:val="22"/>
          <w:szCs w:val="22"/>
          <w:lang w:val="sr-Latn-ME"/>
        </w:rPr>
        <w:t>fingolimodom</w:t>
      </w:r>
      <w:proofErr w:type="spellEnd"/>
      <w:r w:rsidRPr="002B09C8">
        <w:rPr>
          <w:sz w:val="22"/>
          <w:szCs w:val="22"/>
          <w:lang w:val="sr-Latn-ME"/>
        </w:rPr>
        <w:t xml:space="preserve">, broj </w:t>
      </w:r>
      <w:proofErr w:type="spellStart"/>
      <w:r w:rsidRPr="002B09C8">
        <w:rPr>
          <w:sz w:val="22"/>
          <w:szCs w:val="22"/>
          <w:lang w:val="sr-Latn-ME"/>
        </w:rPr>
        <w:t>limfocita</w:t>
      </w:r>
      <w:proofErr w:type="spellEnd"/>
      <w:r w:rsidRPr="002B09C8">
        <w:rPr>
          <w:sz w:val="22"/>
          <w:szCs w:val="22"/>
          <w:lang w:val="sr-Latn-ME"/>
        </w:rPr>
        <w:t xml:space="preserve"> progresivno se vraća u normalan opseg u toku 1 do 2 mjeseca nakon prestanka terapije. Period ispiranja lijeka iz organizma treba biti dovoljno dug da se broj </w:t>
      </w:r>
      <w:proofErr w:type="spellStart"/>
      <w:r w:rsidRPr="002B09C8">
        <w:rPr>
          <w:sz w:val="22"/>
          <w:szCs w:val="22"/>
          <w:lang w:val="sr-Latn-ME"/>
        </w:rPr>
        <w:t>limfocita</w:t>
      </w:r>
      <w:proofErr w:type="spellEnd"/>
      <w:r w:rsidRPr="002B09C8">
        <w:rPr>
          <w:sz w:val="22"/>
          <w:szCs w:val="22"/>
          <w:lang w:val="sr-Latn-ME"/>
        </w:rPr>
        <w:t xml:space="preserve"> oporavi prije nego što se započne </w:t>
      </w:r>
      <w:r w:rsidR="002F28FA" w:rsidRPr="002B09C8">
        <w:rPr>
          <w:sz w:val="22"/>
          <w:szCs w:val="22"/>
          <w:lang w:val="sr-Latn-ME"/>
        </w:rPr>
        <w:t>prim</w:t>
      </w:r>
      <w:r w:rsidR="00294F59" w:rsidRPr="002B09C8">
        <w:rPr>
          <w:sz w:val="22"/>
          <w:szCs w:val="22"/>
          <w:lang w:val="sr-Latn-ME"/>
        </w:rPr>
        <w:t>j</w:t>
      </w:r>
      <w:r w:rsidR="002F28FA" w:rsidRPr="002B09C8">
        <w:rPr>
          <w:sz w:val="22"/>
          <w:szCs w:val="22"/>
          <w:lang w:val="sr-Latn-ME"/>
        </w:rPr>
        <w:t>ena</w:t>
      </w:r>
      <w:r w:rsidRPr="002B09C8">
        <w:rPr>
          <w:sz w:val="22"/>
          <w:szCs w:val="22"/>
          <w:lang w:val="sr-Latn-ME"/>
        </w:rPr>
        <w:t xml:space="preserve"> lijek</w:t>
      </w:r>
      <w:r w:rsidR="002F28FA" w:rsidRPr="002B09C8">
        <w:rPr>
          <w:sz w:val="22"/>
          <w:szCs w:val="22"/>
          <w:lang w:val="sr-Latn-ME"/>
        </w:rPr>
        <w:t>a</w:t>
      </w:r>
      <w:r w:rsidRPr="002B09C8">
        <w:rPr>
          <w:sz w:val="22"/>
          <w:szCs w:val="22"/>
          <w:lang w:val="sr-Latn-ME"/>
        </w:rPr>
        <w:t>.</w:t>
      </w:r>
    </w:p>
    <w:p w14:paraId="72620FFF" w14:textId="77777777" w:rsidR="00FB74D3" w:rsidRPr="002B09C8" w:rsidRDefault="00FB74D3" w:rsidP="00C74431">
      <w:pPr>
        <w:widowControl w:val="0"/>
        <w:jc w:val="both"/>
        <w:rPr>
          <w:sz w:val="22"/>
          <w:szCs w:val="22"/>
          <w:lang w:val="sr-Latn-ME"/>
        </w:rPr>
      </w:pPr>
    </w:p>
    <w:p w14:paraId="370C90F7" w14:textId="11D9395F" w:rsidR="00FB74D3" w:rsidRPr="002B09C8" w:rsidRDefault="00FB74D3" w:rsidP="00C74431">
      <w:pPr>
        <w:widowControl w:val="0"/>
        <w:jc w:val="both"/>
        <w:rPr>
          <w:sz w:val="22"/>
          <w:szCs w:val="22"/>
          <w:lang w:val="sr-Latn-ME"/>
        </w:rPr>
      </w:pPr>
      <w:proofErr w:type="spellStart"/>
      <w:r w:rsidRPr="002B09C8">
        <w:rPr>
          <w:sz w:val="22"/>
          <w:szCs w:val="22"/>
          <w:lang w:val="sr-Latn-ME"/>
        </w:rPr>
        <w:t>Teriflunomid</w:t>
      </w:r>
      <w:proofErr w:type="spellEnd"/>
      <w:r w:rsidRPr="002B09C8">
        <w:rPr>
          <w:sz w:val="22"/>
          <w:szCs w:val="22"/>
          <w:lang w:val="sr-Latn-ME"/>
        </w:rPr>
        <w:t xml:space="preserve"> se sporo eliminiše iz plazme. Bez ubrzanog postupka eliminacije, </w:t>
      </w:r>
      <w:proofErr w:type="spellStart"/>
      <w:r w:rsidRPr="002B09C8">
        <w:rPr>
          <w:sz w:val="22"/>
          <w:szCs w:val="22"/>
          <w:lang w:val="sr-Latn-ME"/>
        </w:rPr>
        <w:t>klirens</w:t>
      </w:r>
      <w:proofErr w:type="spellEnd"/>
      <w:r w:rsidRPr="002B09C8">
        <w:rPr>
          <w:sz w:val="22"/>
          <w:szCs w:val="22"/>
          <w:lang w:val="sr-Latn-ME"/>
        </w:rPr>
        <w:t xml:space="preserve"> </w:t>
      </w:r>
      <w:proofErr w:type="spellStart"/>
      <w:r w:rsidRPr="002B09C8">
        <w:rPr>
          <w:sz w:val="22"/>
          <w:szCs w:val="22"/>
          <w:lang w:val="sr-Latn-ME"/>
        </w:rPr>
        <w:t>teriflunomida</w:t>
      </w:r>
      <w:proofErr w:type="spellEnd"/>
      <w:r w:rsidRPr="002B09C8">
        <w:rPr>
          <w:sz w:val="22"/>
          <w:szCs w:val="22"/>
          <w:lang w:val="sr-Latn-ME"/>
        </w:rPr>
        <w:t xml:space="preserve"> iz plazme može trajati od nekoliko mjeseci do 2 godine. Preporučuje se ubrzani postupak eliminacije opisan u Sažetku karakteristika lijeka za </w:t>
      </w:r>
      <w:proofErr w:type="spellStart"/>
      <w:r w:rsidRPr="002B09C8">
        <w:rPr>
          <w:sz w:val="22"/>
          <w:szCs w:val="22"/>
          <w:lang w:val="sr-Latn-ME"/>
        </w:rPr>
        <w:t>teriflunomid</w:t>
      </w:r>
      <w:proofErr w:type="spellEnd"/>
      <w:r w:rsidRPr="002B09C8">
        <w:rPr>
          <w:sz w:val="22"/>
          <w:szCs w:val="22"/>
          <w:lang w:val="sr-Latn-ME"/>
        </w:rPr>
        <w:t xml:space="preserve"> ili, u drugom slučaju, period ispiranja lijeka iz organizma ne smije biti kraći od 3,5 mjeseca. Kada pacijenti prelaze s </w:t>
      </w:r>
      <w:proofErr w:type="spellStart"/>
      <w:r w:rsidRPr="002B09C8">
        <w:rPr>
          <w:sz w:val="22"/>
          <w:szCs w:val="22"/>
          <w:lang w:val="sr-Latn-ME"/>
        </w:rPr>
        <w:t>teriflunomida</w:t>
      </w:r>
      <w:proofErr w:type="spellEnd"/>
      <w:r w:rsidRPr="002B09C8">
        <w:rPr>
          <w:sz w:val="22"/>
          <w:szCs w:val="22"/>
          <w:lang w:val="sr-Latn-ME"/>
        </w:rPr>
        <w:t xml:space="preserve"> na</w:t>
      </w:r>
      <w:r w:rsidR="002F28FA" w:rsidRPr="002B09C8">
        <w:rPr>
          <w:sz w:val="22"/>
          <w:szCs w:val="22"/>
          <w:lang w:val="sr-Latn-ME"/>
        </w:rPr>
        <w:t xml:space="preserve"> ovaj</w:t>
      </w:r>
      <w:r w:rsidRPr="002B09C8">
        <w:rPr>
          <w:sz w:val="22"/>
          <w:szCs w:val="22"/>
          <w:lang w:val="sr-Latn-ME"/>
        </w:rPr>
        <w:t xml:space="preserve"> lijek, potreban je oprez zbog mogućih istovremenih imunih efekata.</w:t>
      </w:r>
    </w:p>
    <w:p w14:paraId="782219C9" w14:textId="77777777" w:rsidR="00FB74D3" w:rsidRPr="002B09C8" w:rsidRDefault="00FB74D3" w:rsidP="00C74431">
      <w:pPr>
        <w:widowControl w:val="0"/>
        <w:jc w:val="both"/>
        <w:rPr>
          <w:sz w:val="22"/>
          <w:szCs w:val="22"/>
          <w:lang w:val="sr-Latn-ME"/>
        </w:rPr>
      </w:pPr>
    </w:p>
    <w:p w14:paraId="4F442DDA" w14:textId="204E07C2" w:rsidR="00FB74D3" w:rsidRPr="002B09C8" w:rsidRDefault="00FB74D3" w:rsidP="00C74431">
      <w:pPr>
        <w:widowControl w:val="0"/>
        <w:jc w:val="both"/>
        <w:rPr>
          <w:sz w:val="22"/>
          <w:szCs w:val="22"/>
          <w:lang w:val="sr-Latn-ME"/>
        </w:rPr>
      </w:pPr>
      <w:proofErr w:type="spellStart"/>
      <w:r w:rsidRPr="002B09C8">
        <w:rPr>
          <w:sz w:val="22"/>
          <w:szCs w:val="22"/>
          <w:lang w:val="sr-Latn-ME"/>
        </w:rPr>
        <w:t>Alemtuzumab</w:t>
      </w:r>
      <w:proofErr w:type="spellEnd"/>
      <w:r w:rsidRPr="002B09C8">
        <w:rPr>
          <w:sz w:val="22"/>
          <w:szCs w:val="22"/>
          <w:lang w:val="sr-Latn-ME"/>
        </w:rPr>
        <w:t xml:space="preserve"> ima izrazito dugotrajne </w:t>
      </w:r>
      <w:proofErr w:type="spellStart"/>
      <w:r w:rsidRPr="002B09C8">
        <w:rPr>
          <w:sz w:val="22"/>
          <w:szCs w:val="22"/>
          <w:lang w:val="sr-Latn-ME"/>
        </w:rPr>
        <w:t>imunosupresivne</w:t>
      </w:r>
      <w:proofErr w:type="spellEnd"/>
      <w:r w:rsidRPr="002B09C8">
        <w:rPr>
          <w:sz w:val="22"/>
          <w:szCs w:val="22"/>
          <w:lang w:val="sr-Latn-ME"/>
        </w:rPr>
        <w:t xml:space="preserve"> efekte. Budući da stvarno trajanje tih efekata nije poznato, ne preporučuje se započinjanje prim</w:t>
      </w:r>
      <w:r w:rsidR="009A3116" w:rsidRPr="002B09C8">
        <w:rPr>
          <w:sz w:val="22"/>
          <w:szCs w:val="22"/>
          <w:lang w:val="sr-Latn-ME"/>
        </w:rPr>
        <w:t>j</w:t>
      </w:r>
      <w:r w:rsidRPr="002B09C8">
        <w:rPr>
          <w:sz w:val="22"/>
          <w:szCs w:val="22"/>
          <w:lang w:val="sr-Latn-ME"/>
        </w:rPr>
        <w:t>ene</w:t>
      </w:r>
      <w:r w:rsidR="002F28FA" w:rsidRPr="002B09C8">
        <w:rPr>
          <w:sz w:val="22"/>
          <w:szCs w:val="22"/>
          <w:lang w:val="sr-Latn-ME"/>
        </w:rPr>
        <w:t xml:space="preserve"> ovog</w:t>
      </w:r>
      <w:r w:rsidRPr="002B09C8">
        <w:rPr>
          <w:sz w:val="22"/>
          <w:szCs w:val="22"/>
          <w:lang w:val="sr-Latn-ME"/>
        </w:rPr>
        <w:t xml:space="preserve"> lijeka poslije </w:t>
      </w:r>
      <w:proofErr w:type="spellStart"/>
      <w:r w:rsidRPr="002B09C8">
        <w:rPr>
          <w:sz w:val="22"/>
          <w:szCs w:val="22"/>
          <w:lang w:val="sr-Latn-ME"/>
        </w:rPr>
        <w:t>alemtuzumaba</w:t>
      </w:r>
      <w:proofErr w:type="spellEnd"/>
      <w:r w:rsidRPr="002B09C8">
        <w:rPr>
          <w:sz w:val="22"/>
          <w:szCs w:val="22"/>
          <w:lang w:val="sr-Latn-ME"/>
        </w:rPr>
        <w:t xml:space="preserve"> osim kada korist jasno prevazilazi rizik za pojedinog pacijenta.</w:t>
      </w:r>
    </w:p>
    <w:p w14:paraId="059FEB86" w14:textId="77777777" w:rsidR="00FB74D3" w:rsidRPr="002B09C8" w:rsidRDefault="00FB74D3" w:rsidP="00C74431">
      <w:pPr>
        <w:widowControl w:val="0"/>
        <w:jc w:val="both"/>
        <w:rPr>
          <w:sz w:val="22"/>
          <w:szCs w:val="22"/>
          <w:u w:val="single"/>
          <w:lang w:val="sr-Latn-ME"/>
        </w:rPr>
      </w:pPr>
    </w:p>
    <w:p w14:paraId="631B39A9" w14:textId="77777777" w:rsidR="00FB74D3" w:rsidRPr="002B09C8" w:rsidRDefault="00FB74D3" w:rsidP="00C74431">
      <w:pPr>
        <w:widowControl w:val="0"/>
        <w:jc w:val="both"/>
        <w:rPr>
          <w:sz w:val="22"/>
          <w:szCs w:val="22"/>
          <w:u w:val="single"/>
          <w:lang w:val="sr-Latn-ME"/>
        </w:rPr>
      </w:pPr>
      <w:proofErr w:type="spellStart"/>
      <w:r w:rsidRPr="002B09C8">
        <w:rPr>
          <w:sz w:val="22"/>
          <w:szCs w:val="22"/>
          <w:u w:val="single"/>
          <w:lang w:val="sr-Latn-ME"/>
        </w:rPr>
        <w:t>Imunogenost</w:t>
      </w:r>
      <w:proofErr w:type="spellEnd"/>
    </w:p>
    <w:p w14:paraId="267FFB43" w14:textId="77777777" w:rsidR="00FB74D3" w:rsidRPr="002B09C8" w:rsidRDefault="00FB74D3" w:rsidP="00C74431">
      <w:pPr>
        <w:widowControl w:val="0"/>
        <w:jc w:val="both"/>
        <w:rPr>
          <w:sz w:val="22"/>
          <w:szCs w:val="22"/>
          <w:u w:val="single"/>
          <w:lang w:val="sr-Latn-ME"/>
        </w:rPr>
      </w:pPr>
    </w:p>
    <w:p w14:paraId="16D6FE47" w14:textId="18657576" w:rsidR="00FB74D3" w:rsidRPr="002B09C8" w:rsidRDefault="00FB74D3" w:rsidP="00C74431">
      <w:pPr>
        <w:widowControl w:val="0"/>
        <w:jc w:val="both"/>
        <w:rPr>
          <w:sz w:val="22"/>
          <w:szCs w:val="22"/>
          <w:lang w:val="sr-Latn-ME"/>
        </w:rPr>
      </w:pPr>
      <w:r w:rsidRPr="002B09C8">
        <w:rPr>
          <w:sz w:val="22"/>
          <w:szCs w:val="22"/>
          <w:lang w:val="sr-Latn-ME"/>
        </w:rPr>
        <w:t xml:space="preserve">Pogoršanja bolesti ili slučajevi vezani za infuziju mogu ukazati na razvoj antitijela na </w:t>
      </w:r>
      <w:proofErr w:type="spellStart"/>
      <w:r w:rsidRPr="002B09C8">
        <w:rPr>
          <w:sz w:val="22"/>
          <w:szCs w:val="22"/>
          <w:lang w:val="sr-Latn-ME"/>
        </w:rPr>
        <w:t>natalizumab</w:t>
      </w:r>
      <w:proofErr w:type="spellEnd"/>
      <w:r w:rsidRPr="002B09C8">
        <w:rPr>
          <w:sz w:val="22"/>
          <w:szCs w:val="22"/>
          <w:lang w:val="sr-Latn-ME"/>
        </w:rPr>
        <w:t xml:space="preserve">. U tim slučajevima prisustvo antitijela treba ispitati i ako su i dalje pozitivni u potvrdnom testu nakon barem 6 sedmica, liječenje treba prekinuti, jer su </w:t>
      </w:r>
      <w:proofErr w:type="spellStart"/>
      <w:r w:rsidRPr="002B09C8">
        <w:rPr>
          <w:sz w:val="22"/>
          <w:szCs w:val="22"/>
          <w:lang w:val="sr-Latn-ME"/>
        </w:rPr>
        <w:t>perzistentna</w:t>
      </w:r>
      <w:proofErr w:type="spellEnd"/>
      <w:r w:rsidRPr="002B09C8">
        <w:rPr>
          <w:sz w:val="22"/>
          <w:szCs w:val="22"/>
          <w:lang w:val="sr-Latn-ME"/>
        </w:rPr>
        <w:t xml:space="preserve"> antitijela povezana sa znatnim smanjenjem efikasnosti</w:t>
      </w:r>
      <w:r w:rsidR="002F28FA" w:rsidRPr="002B09C8">
        <w:rPr>
          <w:sz w:val="22"/>
          <w:szCs w:val="22"/>
          <w:lang w:val="sr-Latn-ME"/>
        </w:rPr>
        <w:t xml:space="preserve"> ovog</w:t>
      </w:r>
      <w:r w:rsidRPr="002B09C8">
        <w:rPr>
          <w:sz w:val="22"/>
          <w:szCs w:val="22"/>
          <w:lang w:val="sr-Latn-ME"/>
        </w:rPr>
        <w:t xml:space="preserve"> lijeka i povećanom učestalošću reakcija preosjetljivosti (vidjeti dio 4.8).</w:t>
      </w:r>
    </w:p>
    <w:p w14:paraId="50E5A177" w14:textId="77777777" w:rsidR="00FB74D3" w:rsidRPr="002B09C8" w:rsidRDefault="00FB74D3" w:rsidP="00C74431">
      <w:pPr>
        <w:widowControl w:val="0"/>
        <w:jc w:val="both"/>
        <w:rPr>
          <w:sz w:val="22"/>
          <w:szCs w:val="22"/>
          <w:lang w:val="sr-Latn-ME"/>
        </w:rPr>
      </w:pPr>
    </w:p>
    <w:p w14:paraId="14702A80" w14:textId="518E5A94" w:rsidR="00FB74D3" w:rsidRPr="002B09C8" w:rsidRDefault="00FB74D3" w:rsidP="00C74431">
      <w:pPr>
        <w:widowControl w:val="0"/>
        <w:tabs>
          <w:tab w:val="left" w:pos="567"/>
        </w:tabs>
        <w:jc w:val="both"/>
        <w:rPr>
          <w:snapToGrid w:val="0"/>
          <w:sz w:val="22"/>
          <w:szCs w:val="22"/>
          <w:lang w:val="sr-Latn-ME" w:eastAsia="hr-HR"/>
        </w:rPr>
      </w:pPr>
      <w:r w:rsidRPr="002B09C8">
        <w:rPr>
          <w:snapToGrid w:val="0"/>
          <w:sz w:val="22"/>
          <w:szCs w:val="22"/>
          <w:lang w:val="sr-Latn-ME" w:eastAsia="hr-HR"/>
        </w:rPr>
        <w:t xml:space="preserve">Budući da bolesnici, koji su na početku bili kratko izloženi </w:t>
      </w:r>
      <w:r w:rsidR="002F28FA" w:rsidRPr="002B09C8">
        <w:rPr>
          <w:snapToGrid w:val="0"/>
          <w:sz w:val="22"/>
          <w:szCs w:val="22"/>
          <w:lang w:val="sr-Latn-ME" w:eastAsia="hr-HR"/>
        </w:rPr>
        <w:t xml:space="preserve">ovom </w:t>
      </w:r>
      <w:r w:rsidRPr="002B09C8">
        <w:rPr>
          <w:snapToGrid w:val="0"/>
          <w:sz w:val="22"/>
          <w:szCs w:val="22"/>
          <w:lang w:val="sr-Latn-ME" w:eastAsia="hr-HR"/>
        </w:rPr>
        <w:t xml:space="preserve">lijeku a nakon toga imali produženi period bez liječenja, imaju povećani rizik od razvoja antitijela na </w:t>
      </w:r>
      <w:proofErr w:type="spellStart"/>
      <w:r w:rsidRPr="002B09C8">
        <w:rPr>
          <w:snapToGrid w:val="0"/>
          <w:sz w:val="22"/>
          <w:szCs w:val="22"/>
          <w:lang w:val="sr-Latn-ME" w:eastAsia="hr-HR"/>
        </w:rPr>
        <w:t>natalizumab</w:t>
      </w:r>
      <w:proofErr w:type="spellEnd"/>
      <w:r w:rsidRPr="002B09C8">
        <w:rPr>
          <w:snapToGrid w:val="0"/>
          <w:sz w:val="22"/>
          <w:szCs w:val="22"/>
          <w:lang w:val="sr-Latn-ME" w:eastAsia="hr-HR"/>
        </w:rPr>
        <w:t xml:space="preserve"> i/ili preosjetljivosti uslijed </w:t>
      </w:r>
      <w:r w:rsidRPr="002B09C8">
        <w:rPr>
          <w:snapToGrid w:val="0"/>
          <w:sz w:val="22"/>
          <w:szCs w:val="22"/>
          <w:lang w:val="sr-Latn-ME" w:eastAsia="hr-HR"/>
        </w:rPr>
        <w:lastRenderedPageBreak/>
        <w:t xml:space="preserve">ponovnog liječenja, mora se ispitati prisutnost antitijela, a ako je test i dalje pozitivan nakon 6 nedjelja, liječenje sa </w:t>
      </w:r>
      <w:proofErr w:type="spellStart"/>
      <w:r w:rsidR="002F28FA" w:rsidRPr="002B09C8">
        <w:rPr>
          <w:snapToGrid w:val="0"/>
          <w:sz w:val="22"/>
          <w:szCs w:val="22"/>
          <w:lang w:val="sr-Latn-ME" w:eastAsia="hr-HR"/>
        </w:rPr>
        <w:t>natalizumabom</w:t>
      </w:r>
      <w:proofErr w:type="spellEnd"/>
      <w:r w:rsidRPr="002B09C8">
        <w:rPr>
          <w:snapToGrid w:val="0"/>
          <w:sz w:val="22"/>
          <w:szCs w:val="22"/>
          <w:lang w:val="sr-Latn-ME" w:eastAsia="hr-HR"/>
        </w:rPr>
        <w:t xml:space="preserve"> se ne smije nastaviti</w:t>
      </w:r>
      <w:r w:rsidR="002F28FA" w:rsidRPr="002B09C8">
        <w:rPr>
          <w:snapToGrid w:val="0"/>
          <w:sz w:val="22"/>
          <w:szCs w:val="22"/>
          <w:lang w:val="sr-Latn-ME" w:eastAsia="hr-HR"/>
        </w:rPr>
        <w:t xml:space="preserve"> </w:t>
      </w:r>
      <w:r w:rsidR="002F28FA" w:rsidRPr="002B09C8">
        <w:rPr>
          <w:sz w:val="22"/>
          <w:szCs w:val="22"/>
          <w:lang w:val="sr-Latn-ME"/>
        </w:rPr>
        <w:t>(vidjeti dio 5.1)</w:t>
      </w:r>
      <w:r w:rsidRPr="002B09C8">
        <w:rPr>
          <w:snapToGrid w:val="0"/>
          <w:sz w:val="22"/>
          <w:szCs w:val="22"/>
          <w:lang w:val="sr-Latn-ME" w:eastAsia="hr-HR"/>
        </w:rPr>
        <w:t>.</w:t>
      </w:r>
    </w:p>
    <w:p w14:paraId="2E1B22EE" w14:textId="77777777" w:rsidR="00FB74D3" w:rsidRPr="002B09C8" w:rsidRDefault="00FB74D3" w:rsidP="00C74431">
      <w:pPr>
        <w:widowControl w:val="0"/>
        <w:jc w:val="both"/>
        <w:rPr>
          <w:sz w:val="22"/>
          <w:szCs w:val="22"/>
          <w:u w:val="single"/>
          <w:lang w:val="sr-Latn-ME"/>
        </w:rPr>
      </w:pPr>
    </w:p>
    <w:p w14:paraId="6217C14D"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Oštećenja jetre</w:t>
      </w:r>
    </w:p>
    <w:p w14:paraId="445F93B2" w14:textId="77777777" w:rsidR="00FB74D3" w:rsidRPr="002B09C8" w:rsidRDefault="00FB74D3" w:rsidP="00C74431">
      <w:pPr>
        <w:widowControl w:val="0"/>
        <w:jc w:val="both"/>
        <w:rPr>
          <w:sz w:val="22"/>
          <w:szCs w:val="22"/>
          <w:u w:val="single"/>
          <w:lang w:val="sr-Latn-ME"/>
        </w:rPr>
      </w:pPr>
    </w:p>
    <w:p w14:paraId="21B1DCA5" w14:textId="6F20B301" w:rsidR="00FB74D3" w:rsidRPr="002B09C8" w:rsidRDefault="00FB74D3" w:rsidP="00C74431">
      <w:pPr>
        <w:widowControl w:val="0"/>
        <w:jc w:val="both"/>
        <w:rPr>
          <w:sz w:val="22"/>
          <w:szCs w:val="22"/>
          <w:lang w:val="sr-Latn-ME"/>
        </w:rPr>
      </w:pPr>
      <w:r w:rsidRPr="002B09C8">
        <w:rPr>
          <w:sz w:val="22"/>
          <w:szCs w:val="22"/>
          <w:lang w:val="sr-Latn-ME"/>
        </w:rPr>
        <w:t xml:space="preserve">Spontane ozbiljne neželjene reakcije oštećenja jetre bile su prijavljene tokom </w:t>
      </w:r>
      <w:proofErr w:type="spellStart"/>
      <w:r w:rsidRPr="002B09C8">
        <w:rPr>
          <w:sz w:val="22"/>
          <w:szCs w:val="22"/>
          <w:lang w:val="sr-Latn-ME"/>
        </w:rPr>
        <w:t>postmarketinške</w:t>
      </w:r>
      <w:proofErr w:type="spellEnd"/>
      <w:r w:rsidRPr="002B09C8">
        <w:rPr>
          <w:sz w:val="22"/>
          <w:szCs w:val="22"/>
          <w:lang w:val="sr-Latn-ME"/>
        </w:rPr>
        <w:t xml:space="preserve"> faze</w:t>
      </w:r>
      <w:r w:rsidR="002F28FA" w:rsidRPr="002B09C8">
        <w:rPr>
          <w:sz w:val="22"/>
          <w:szCs w:val="22"/>
          <w:lang w:val="sr-Latn-ME"/>
        </w:rPr>
        <w:t xml:space="preserve"> (vidjeti dio 4.8)</w:t>
      </w:r>
      <w:r w:rsidRPr="002B09C8">
        <w:rPr>
          <w:sz w:val="22"/>
          <w:szCs w:val="22"/>
          <w:lang w:val="sr-Latn-ME"/>
        </w:rPr>
        <w:t>. Ova oštećenja jetre mogu se pojaviti u bilo koje vrijeme tokom liječenja, čak i nakon prve doze. U nekim primjerima, reakcija se ponovo pojavila kada je lijek bio ponovo uveden. Neki pacijenti, koji su u svojoj medicinskoj prošlosti imali abnormalne jetrene testove, doživjeli su pogoršanje abnormalnih jetrenih testova dok su bili na</w:t>
      </w:r>
      <w:r w:rsidR="002F28FA" w:rsidRPr="002B09C8">
        <w:rPr>
          <w:sz w:val="22"/>
          <w:szCs w:val="22"/>
          <w:lang w:val="sr-Latn-ME"/>
        </w:rPr>
        <w:t xml:space="preserve"> ovom</w:t>
      </w:r>
      <w:r w:rsidRPr="002B09C8">
        <w:rPr>
          <w:sz w:val="22"/>
          <w:szCs w:val="22"/>
          <w:lang w:val="sr-Latn-ME"/>
        </w:rPr>
        <w:t xml:space="preserve"> lijeku. Pacijenti bi zbog oštećene funkcije jetre treba da budu adekvatno praćeni i poučeni da kontaktiraju svog ljekara u slučaju znakova i simptoma koji navode na pojavu oštećenja jetre, kao što su žutica i povraćanje. U slučajevima značajnog oštećenja jetre primjenu</w:t>
      </w:r>
      <w:r w:rsidR="002F28FA" w:rsidRPr="002B09C8">
        <w:rPr>
          <w:sz w:val="22"/>
          <w:szCs w:val="22"/>
          <w:lang w:val="sr-Latn-ME"/>
        </w:rPr>
        <w:t xml:space="preserve"> ovog</w:t>
      </w:r>
      <w:r w:rsidRPr="002B09C8">
        <w:rPr>
          <w:sz w:val="22"/>
          <w:szCs w:val="22"/>
          <w:lang w:val="sr-Latn-ME"/>
        </w:rPr>
        <w:t xml:space="preserve"> lijeka bi trebalo prekinuti. </w:t>
      </w:r>
    </w:p>
    <w:p w14:paraId="7DA52F09" w14:textId="77777777" w:rsidR="007567B4" w:rsidRPr="002B09C8" w:rsidRDefault="007567B4" w:rsidP="00C74431">
      <w:pPr>
        <w:widowControl w:val="0"/>
        <w:jc w:val="both"/>
        <w:rPr>
          <w:sz w:val="22"/>
          <w:szCs w:val="22"/>
          <w:lang w:val="sr-Latn-ME"/>
        </w:rPr>
      </w:pPr>
    </w:p>
    <w:p w14:paraId="2DD1D3A2" w14:textId="77777777" w:rsidR="007567B4" w:rsidRPr="002B09C8" w:rsidRDefault="007567B4" w:rsidP="00C74431">
      <w:pPr>
        <w:widowControl w:val="0"/>
        <w:jc w:val="both"/>
        <w:rPr>
          <w:sz w:val="22"/>
          <w:szCs w:val="22"/>
          <w:u w:val="single"/>
          <w:lang w:val="sr-Latn-ME"/>
        </w:rPr>
      </w:pPr>
      <w:proofErr w:type="spellStart"/>
      <w:r w:rsidRPr="002B09C8">
        <w:rPr>
          <w:sz w:val="22"/>
          <w:szCs w:val="22"/>
          <w:u w:val="single"/>
          <w:lang w:val="sr-Latn-ME"/>
        </w:rPr>
        <w:t>Trombocitopenija</w:t>
      </w:r>
      <w:proofErr w:type="spellEnd"/>
      <w:r w:rsidRPr="002B09C8">
        <w:rPr>
          <w:sz w:val="22"/>
          <w:szCs w:val="22"/>
          <w:u w:val="single"/>
          <w:lang w:val="sr-Latn-ME"/>
        </w:rPr>
        <w:t xml:space="preserve"> </w:t>
      </w:r>
    </w:p>
    <w:p w14:paraId="5C6C0565" w14:textId="77777777" w:rsidR="007567B4" w:rsidRPr="002B09C8" w:rsidRDefault="007567B4" w:rsidP="00C74431">
      <w:pPr>
        <w:widowControl w:val="0"/>
        <w:jc w:val="both"/>
        <w:rPr>
          <w:sz w:val="22"/>
          <w:szCs w:val="22"/>
          <w:lang w:val="sr-Latn-ME"/>
        </w:rPr>
      </w:pPr>
    </w:p>
    <w:p w14:paraId="620F23AA" w14:textId="522F722D" w:rsidR="007567B4" w:rsidRPr="002B09C8" w:rsidRDefault="007567B4" w:rsidP="00C74431">
      <w:pPr>
        <w:widowControl w:val="0"/>
        <w:jc w:val="both"/>
        <w:rPr>
          <w:sz w:val="22"/>
          <w:szCs w:val="22"/>
          <w:lang w:val="sr-Latn-ME"/>
        </w:rPr>
      </w:pPr>
      <w:r w:rsidRPr="002B09C8">
        <w:rPr>
          <w:sz w:val="22"/>
          <w:szCs w:val="22"/>
          <w:lang w:val="sr-Latn-ME"/>
        </w:rPr>
        <w:t>Kod prim</w:t>
      </w:r>
      <w:r w:rsidR="00294F59" w:rsidRPr="002B09C8">
        <w:rPr>
          <w:sz w:val="22"/>
          <w:szCs w:val="22"/>
          <w:lang w:val="sr-Latn-ME"/>
        </w:rPr>
        <w:t>j</w:t>
      </w:r>
      <w:r w:rsidRPr="002B09C8">
        <w:rPr>
          <w:sz w:val="22"/>
          <w:szCs w:val="22"/>
          <w:lang w:val="sr-Latn-ME"/>
        </w:rPr>
        <w:t xml:space="preserve">ene </w:t>
      </w:r>
      <w:proofErr w:type="spellStart"/>
      <w:r w:rsidRPr="002B09C8">
        <w:rPr>
          <w:sz w:val="22"/>
          <w:szCs w:val="22"/>
          <w:lang w:val="sr-Latn-ME"/>
        </w:rPr>
        <w:t>natalizumaba</w:t>
      </w:r>
      <w:proofErr w:type="spellEnd"/>
      <w:r w:rsidRPr="002B09C8">
        <w:rPr>
          <w:sz w:val="22"/>
          <w:szCs w:val="22"/>
          <w:lang w:val="sr-Latn-ME"/>
        </w:rPr>
        <w:t xml:space="preserve"> prijavljena je </w:t>
      </w:r>
      <w:proofErr w:type="spellStart"/>
      <w:r w:rsidRPr="002B09C8">
        <w:rPr>
          <w:sz w:val="22"/>
          <w:szCs w:val="22"/>
          <w:lang w:val="sr-Latn-ME"/>
        </w:rPr>
        <w:t>trombocitopenija</w:t>
      </w:r>
      <w:proofErr w:type="spellEnd"/>
      <w:r w:rsidRPr="002B09C8">
        <w:rPr>
          <w:sz w:val="22"/>
          <w:szCs w:val="22"/>
          <w:lang w:val="sr-Latn-ME"/>
        </w:rPr>
        <w:t xml:space="preserve">, uključujući </w:t>
      </w:r>
      <w:proofErr w:type="spellStart"/>
      <w:r w:rsidRPr="002B09C8">
        <w:rPr>
          <w:sz w:val="22"/>
          <w:szCs w:val="22"/>
          <w:lang w:val="sr-Latn-ME"/>
        </w:rPr>
        <w:t>imunsku</w:t>
      </w:r>
      <w:proofErr w:type="spellEnd"/>
      <w:r w:rsidRPr="002B09C8">
        <w:rPr>
          <w:sz w:val="22"/>
          <w:szCs w:val="22"/>
          <w:lang w:val="sr-Latn-ME"/>
        </w:rPr>
        <w:t xml:space="preserve"> </w:t>
      </w:r>
      <w:proofErr w:type="spellStart"/>
      <w:r w:rsidRPr="002B09C8">
        <w:rPr>
          <w:sz w:val="22"/>
          <w:szCs w:val="22"/>
          <w:lang w:val="sr-Latn-ME"/>
        </w:rPr>
        <w:t>trombocitopenijsku</w:t>
      </w:r>
      <w:proofErr w:type="spellEnd"/>
      <w:r w:rsidRPr="002B09C8">
        <w:rPr>
          <w:sz w:val="22"/>
          <w:szCs w:val="22"/>
          <w:lang w:val="sr-Latn-ME"/>
        </w:rPr>
        <w:t xml:space="preserve"> purpuru (ITP). Odložena dijagnoza i l</w:t>
      </w:r>
      <w:r w:rsidR="00294F59" w:rsidRPr="002B09C8">
        <w:rPr>
          <w:sz w:val="22"/>
          <w:szCs w:val="22"/>
          <w:lang w:val="sr-Latn-ME"/>
        </w:rPr>
        <w:t>ij</w:t>
      </w:r>
      <w:r w:rsidRPr="002B09C8">
        <w:rPr>
          <w:sz w:val="22"/>
          <w:szCs w:val="22"/>
          <w:lang w:val="sr-Latn-ME"/>
        </w:rPr>
        <w:t xml:space="preserve">ečenje </w:t>
      </w:r>
      <w:proofErr w:type="spellStart"/>
      <w:r w:rsidRPr="002B09C8">
        <w:rPr>
          <w:sz w:val="22"/>
          <w:szCs w:val="22"/>
          <w:lang w:val="sr-Latn-ME"/>
        </w:rPr>
        <w:t>trombocitopenije</w:t>
      </w:r>
      <w:proofErr w:type="spellEnd"/>
      <w:r w:rsidRPr="002B09C8">
        <w:rPr>
          <w:sz w:val="22"/>
          <w:szCs w:val="22"/>
          <w:lang w:val="sr-Latn-ME"/>
        </w:rPr>
        <w:t xml:space="preserve"> mogu da dovedu do ozbiljnih i životno </w:t>
      </w:r>
      <w:proofErr w:type="spellStart"/>
      <w:r w:rsidRPr="002B09C8">
        <w:rPr>
          <w:sz w:val="22"/>
          <w:szCs w:val="22"/>
          <w:lang w:val="sr-Latn-ME"/>
        </w:rPr>
        <w:t>ugrožavajućih</w:t>
      </w:r>
      <w:proofErr w:type="spellEnd"/>
      <w:r w:rsidRPr="002B09C8">
        <w:rPr>
          <w:sz w:val="22"/>
          <w:szCs w:val="22"/>
          <w:lang w:val="sr-Latn-ME"/>
        </w:rPr>
        <w:t xml:space="preserve"> stanja. Pacijente treba uputiti da odmah jave svom l</w:t>
      </w:r>
      <w:r w:rsidR="00294F59" w:rsidRPr="002B09C8">
        <w:rPr>
          <w:sz w:val="22"/>
          <w:szCs w:val="22"/>
          <w:lang w:val="sr-Latn-ME"/>
        </w:rPr>
        <w:t>j</w:t>
      </w:r>
      <w:r w:rsidRPr="002B09C8">
        <w:rPr>
          <w:sz w:val="22"/>
          <w:szCs w:val="22"/>
          <w:lang w:val="sr-Latn-ME"/>
        </w:rPr>
        <w:t>ekaru ukoliko prim</w:t>
      </w:r>
      <w:r w:rsidR="00294F59" w:rsidRPr="002B09C8">
        <w:rPr>
          <w:sz w:val="22"/>
          <w:szCs w:val="22"/>
          <w:lang w:val="sr-Latn-ME"/>
        </w:rPr>
        <w:t>ij</w:t>
      </w:r>
      <w:r w:rsidRPr="002B09C8">
        <w:rPr>
          <w:sz w:val="22"/>
          <w:szCs w:val="22"/>
          <w:lang w:val="sr-Latn-ME"/>
        </w:rPr>
        <w:t xml:space="preserve">ete bilo kakav znak neobičnog ili produženog </w:t>
      </w:r>
      <w:proofErr w:type="spellStart"/>
      <w:r w:rsidRPr="002B09C8">
        <w:rPr>
          <w:sz w:val="22"/>
          <w:szCs w:val="22"/>
          <w:lang w:val="sr-Latn-ME"/>
        </w:rPr>
        <w:t>vremena</w:t>
      </w:r>
      <w:proofErr w:type="spellEnd"/>
      <w:r w:rsidRPr="002B09C8">
        <w:rPr>
          <w:sz w:val="22"/>
          <w:szCs w:val="22"/>
          <w:lang w:val="sr-Latn-ME"/>
        </w:rPr>
        <w:t xml:space="preserve"> krvarenja, </w:t>
      </w:r>
      <w:proofErr w:type="spellStart"/>
      <w:r w:rsidRPr="002B09C8">
        <w:rPr>
          <w:sz w:val="22"/>
          <w:szCs w:val="22"/>
          <w:lang w:val="sr-Latn-ME"/>
        </w:rPr>
        <w:t>petehije</w:t>
      </w:r>
      <w:proofErr w:type="spellEnd"/>
      <w:r w:rsidRPr="002B09C8">
        <w:rPr>
          <w:sz w:val="22"/>
          <w:szCs w:val="22"/>
          <w:lang w:val="sr-Latn-ME"/>
        </w:rPr>
        <w:t xml:space="preserve"> ili spontano stvaranje modrica. Ukoliko se utvrdi postojanje </w:t>
      </w:r>
      <w:proofErr w:type="spellStart"/>
      <w:r w:rsidRPr="002B09C8">
        <w:rPr>
          <w:sz w:val="22"/>
          <w:szCs w:val="22"/>
          <w:lang w:val="sr-Latn-ME"/>
        </w:rPr>
        <w:t>trombocitopenije</w:t>
      </w:r>
      <w:proofErr w:type="spellEnd"/>
      <w:r w:rsidRPr="002B09C8">
        <w:rPr>
          <w:sz w:val="22"/>
          <w:szCs w:val="22"/>
          <w:lang w:val="sr-Latn-ME"/>
        </w:rPr>
        <w:t>, potrebno je razmotriti prekid prim</w:t>
      </w:r>
      <w:r w:rsidR="00294F59" w:rsidRPr="002B09C8">
        <w:rPr>
          <w:sz w:val="22"/>
          <w:szCs w:val="22"/>
          <w:lang w:val="sr-Latn-ME"/>
        </w:rPr>
        <w:t>j</w:t>
      </w:r>
      <w:r w:rsidRPr="002B09C8">
        <w:rPr>
          <w:sz w:val="22"/>
          <w:szCs w:val="22"/>
          <w:lang w:val="sr-Latn-ME"/>
        </w:rPr>
        <w:t xml:space="preserve">ene </w:t>
      </w:r>
      <w:proofErr w:type="spellStart"/>
      <w:r w:rsidRPr="002B09C8">
        <w:rPr>
          <w:sz w:val="22"/>
          <w:szCs w:val="22"/>
          <w:lang w:val="sr-Latn-ME"/>
        </w:rPr>
        <w:t>natalizumaba</w:t>
      </w:r>
      <w:proofErr w:type="spellEnd"/>
      <w:r w:rsidRPr="002B09C8">
        <w:rPr>
          <w:sz w:val="22"/>
          <w:szCs w:val="22"/>
          <w:lang w:val="sr-Latn-ME"/>
        </w:rPr>
        <w:t>.</w:t>
      </w:r>
    </w:p>
    <w:p w14:paraId="3F6A7CA2" w14:textId="77777777" w:rsidR="00FB74D3" w:rsidRPr="002B09C8" w:rsidRDefault="00FB74D3" w:rsidP="00C74431">
      <w:pPr>
        <w:widowControl w:val="0"/>
        <w:jc w:val="both"/>
        <w:rPr>
          <w:sz w:val="22"/>
          <w:szCs w:val="22"/>
          <w:u w:val="single"/>
          <w:lang w:val="sr-Latn-ME"/>
        </w:rPr>
      </w:pPr>
    </w:p>
    <w:p w14:paraId="733C32C2" w14:textId="548021E0" w:rsidR="00FB74D3" w:rsidRPr="002B09C8" w:rsidRDefault="00FB74D3" w:rsidP="00C74431">
      <w:pPr>
        <w:widowControl w:val="0"/>
        <w:jc w:val="both"/>
        <w:rPr>
          <w:sz w:val="22"/>
          <w:szCs w:val="22"/>
          <w:u w:val="single"/>
          <w:lang w:val="sr-Latn-ME"/>
        </w:rPr>
      </w:pPr>
      <w:r w:rsidRPr="002B09C8">
        <w:rPr>
          <w:sz w:val="22"/>
          <w:szCs w:val="22"/>
          <w:u w:val="single"/>
          <w:lang w:val="sr-Latn-ME"/>
        </w:rPr>
        <w:t>Prekid terapije</w:t>
      </w:r>
    </w:p>
    <w:p w14:paraId="6774297F" w14:textId="77777777" w:rsidR="00FB74D3" w:rsidRPr="002B09C8" w:rsidRDefault="00FB74D3" w:rsidP="00C74431">
      <w:pPr>
        <w:widowControl w:val="0"/>
        <w:jc w:val="both"/>
        <w:rPr>
          <w:sz w:val="22"/>
          <w:szCs w:val="22"/>
          <w:lang w:val="sr-Latn-ME"/>
        </w:rPr>
      </w:pPr>
    </w:p>
    <w:p w14:paraId="6E68D210" w14:textId="52A07999" w:rsidR="00FB74D3" w:rsidRPr="002B09C8" w:rsidRDefault="00FB74D3" w:rsidP="00C74431">
      <w:pPr>
        <w:widowControl w:val="0"/>
        <w:jc w:val="both"/>
        <w:rPr>
          <w:sz w:val="22"/>
          <w:szCs w:val="22"/>
          <w:lang w:val="sr-Latn-ME"/>
        </w:rPr>
      </w:pPr>
      <w:r w:rsidRPr="002B09C8">
        <w:rPr>
          <w:sz w:val="22"/>
          <w:szCs w:val="22"/>
          <w:lang w:val="sr-Latn-ME"/>
        </w:rPr>
        <w:t xml:space="preserve">Ako se donese odluka o prekidu liječenja </w:t>
      </w:r>
      <w:proofErr w:type="spellStart"/>
      <w:r w:rsidRPr="002B09C8">
        <w:rPr>
          <w:sz w:val="22"/>
          <w:szCs w:val="22"/>
          <w:lang w:val="sr-Latn-ME"/>
        </w:rPr>
        <w:t>natalizumabom</w:t>
      </w:r>
      <w:proofErr w:type="spellEnd"/>
      <w:r w:rsidRPr="002B09C8">
        <w:rPr>
          <w:sz w:val="22"/>
          <w:szCs w:val="22"/>
          <w:lang w:val="sr-Latn-ME"/>
        </w:rPr>
        <w:t xml:space="preserve">, ljekar treba biti svjestan da </w:t>
      </w:r>
      <w:proofErr w:type="spellStart"/>
      <w:r w:rsidRPr="002B09C8">
        <w:rPr>
          <w:sz w:val="22"/>
          <w:szCs w:val="22"/>
          <w:lang w:val="sr-Latn-ME"/>
        </w:rPr>
        <w:t>natalizumab</w:t>
      </w:r>
      <w:proofErr w:type="spellEnd"/>
      <w:r w:rsidRPr="002B09C8">
        <w:rPr>
          <w:sz w:val="22"/>
          <w:szCs w:val="22"/>
          <w:lang w:val="sr-Latn-ME"/>
        </w:rPr>
        <w:t xml:space="preserve"> ostaje u krvi i ima </w:t>
      </w:r>
      <w:proofErr w:type="spellStart"/>
      <w:r w:rsidRPr="002B09C8">
        <w:rPr>
          <w:sz w:val="22"/>
          <w:szCs w:val="22"/>
          <w:lang w:val="sr-Latn-ME"/>
        </w:rPr>
        <w:t>farmakodinamičke</w:t>
      </w:r>
      <w:proofErr w:type="spellEnd"/>
      <w:r w:rsidRPr="002B09C8">
        <w:rPr>
          <w:sz w:val="22"/>
          <w:szCs w:val="22"/>
          <w:lang w:val="sr-Latn-ME"/>
        </w:rPr>
        <w:t xml:space="preserve"> efekte (npr. povećan broj </w:t>
      </w:r>
      <w:proofErr w:type="spellStart"/>
      <w:r w:rsidRPr="002B09C8">
        <w:rPr>
          <w:sz w:val="22"/>
          <w:szCs w:val="22"/>
          <w:lang w:val="sr-Latn-ME"/>
        </w:rPr>
        <w:t>limfocita</w:t>
      </w:r>
      <w:proofErr w:type="spellEnd"/>
      <w:r w:rsidRPr="002B09C8">
        <w:rPr>
          <w:sz w:val="22"/>
          <w:szCs w:val="22"/>
          <w:lang w:val="sr-Latn-ME"/>
        </w:rPr>
        <w:t xml:space="preserve">) tokom približno 12 sedmica nakon zadnje doze. Započinjanje drugih terapija u ovom periodu će dovesti do istovremene izloženosti </w:t>
      </w:r>
      <w:proofErr w:type="spellStart"/>
      <w:r w:rsidRPr="002B09C8">
        <w:rPr>
          <w:sz w:val="22"/>
          <w:szCs w:val="22"/>
          <w:lang w:val="sr-Latn-ME"/>
        </w:rPr>
        <w:t>natalizumabu</w:t>
      </w:r>
      <w:proofErr w:type="spellEnd"/>
      <w:r w:rsidRPr="002B09C8">
        <w:rPr>
          <w:sz w:val="22"/>
          <w:szCs w:val="22"/>
          <w:lang w:val="sr-Latn-ME"/>
        </w:rPr>
        <w:t xml:space="preserve">. Za ljekove kao što su </w:t>
      </w:r>
      <w:proofErr w:type="spellStart"/>
      <w:r w:rsidRPr="002B09C8">
        <w:rPr>
          <w:sz w:val="22"/>
          <w:szCs w:val="22"/>
          <w:lang w:val="sr-Latn-ME"/>
        </w:rPr>
        <w:t>interferon</w:t>
      </w:r>
      <w:proofErr w:type="spellEnd"/>
      <w:r w:rsidRPr="002B09C8">
        <w:rPr>
          <w:sz w:val="22"/>
          <w:szCs w:val="22"/>
          <w:lang w:val="sr-Latn-ME"/>
        </w:rPr>
        <w:t xml:space="preserve"> i </w:t>
      </w:r>
      <w:proofErr w:type="spellStart"/>
      <w:r w:rsidRPr="002B09C8">
        <w:rPr>
          <w:sz w:val="22"/>
          <w:szCs w:val="22"/>
          <w:lang w:val="sr-Latn-ME"/>
        </w:rPr>
        <w:t>glatiramer</w:t>
      </w:r>
      <w:proofErr w:type="spellEnd"/>
      <w:r w:rsidRPr="002B09C8">
        <w:rPr>
          <w:sz w:val="22"/>
          <w:szCs w:val="22"/>
          <w:lang w:val="sr-Latn-ME"/>
        </w:rPr>
        <w:t xml:space="preserve"> acetat, istovremeno izlaganje u ovom periodu nije bilo povezano sa rizicima za bezbjednost tokom kliničkih ispitivanja. Nijesu dostupni podaci kod pacijenata sa MS-om o istovremenoj izloženosti </w:t>
      </w:r>
      <w:proofErr w:type="spellStart"/>
      <w:r w:rsidRPr="002B09C8">
        <w:rPr>
          <w:sz w:val="22"/>
          <w:szCs w:val="22"/>
          <w:lang w:val="sr-Latn-ME"/>
        </w:rPr>
        <w:t>imunosupresivima</w:t>
      </w:r>
      <w:proofErr w:type="spellEnd"/>
      <w:r w:rsidRPr="002B09C8">
        <w:rPr>
          <w:sz w:val="22"/>
          <w:szCs w:val="22"/>
          <w:lang w:val="sr-Latn-ME"/>
        </w:rPr>
        <w:t xml:space="preserve">. Upotreba ovih ljekova ubrzo nakon prekida </w:t>
      </w:r>
      <w:proofErr w:type="spellStart"/>
      <w:r w:rsidRPr="002B09C8">
        <w:rPr>
          <w:sz w:val="22"/>
          <w:szCs w:val="22"/>
          <w:lang w:val="sr-Latn-ME"/>
        </w:rPr>
        <w:t>natalizumaba</w:t>
      </w:r>
      <w:proofErr w:type="spellEnd"/>
      <w:r w:rsidRPr="002B09C8">
        <w:rPr>
          <w:sz w:val="22"/>
          <w:szCs w:val="22"/>
          <w:lang w:val="sr-Latn-ME"/>
        </w:rPr>
        <w:t xml:space="preserve"> može voditi dodatnom </w:t>
      </w:r>
      <w:proofErr w:type="spellStart"/>
      <w:r w:rsidRPr="002B09C8">
        <w:rPr>
          <w:sz w:val="22"/>
          <w:szCs w:val="22"/>
          <w:lang w:val="sr-Latn-ME"/>
        </w:rPr>
        <w:t>imunosupresivnom</w:t>
      </w:r>
      <w:proofErr w:type="spellEnd"/>
      <w:r w:rsidRPr="002B09C8">
        <w:rPr>
          <w:sz w:val="22"/>
          <w:szCs w:val="22"/>
          <w:lang w:val="sr-Latn-ME"/>
        </w:rPr>
        <w:t xml:space="preserve"> efektu. Ovo bi trebalo pažljivo razmatrati od slučaja do slučaja, u skladu sa mogućnostima dozvoliti da prođe period uklanjanja </w:t>
      </w:r>
      <w:proofErr w:type="spellStart"/>
      <w:r w:rsidRPr="002B09C8">
        <w:rPr>
          <w:sz w:val="22"/>
          <w:szCs w:val="22"/>
          <w:lang w:val="sr-Latn-ME"/>
        </w:rPr>
        <w:t>natalizumaba</w:t>
      </w:r>
      <w:proofErr w:type="spellEnd"/>
      <w:r w:rsidRPr="002B09C8">
        <w:rPr>
          <w:sz w:val="22"/>
          <w:szCs w:val="22"/>
          <w:lang w:val="sr-Latn-ME"/>
        </w:rPr>
        <w:t xml:space="preserve">. Kratkotrajna liječenja </w:t>
      </w:r>
      <w:proofErr w:type="spellStart"/>
      <w:r w:rsidRPr="002B09C8">
        <w:rPr>
          <w:sz w:val="22"/>
          <w:szCs w:val="22"/>
          <w:lang w:val="sr-Latn-ME"/>
        </w:rPr>
        <w:t>steroidima</w:t>
      </w:r>
      <w:proofErr w:type="spellEnd"/>
      <w:r w:rsidRPr="002B09C8">
        <w:rPr>
          <w:sz w:val="22"/>
          <w:szCs w:val="22"/>
          <w:lang w:val="sr-Latn-ME"/>
        </w:rPr>
        <w:t xml:space="preserve"> korištenim za liječenje </w:t>
      </w:r>
      <w:proofErr w:type="spellStart"/>
      <w:r w:rsidRPr="002B09C8">
        <w:rPr>
          <w:sz w:val="22"/>
          <w:szCs w:val="22"/>
          <w:lang w:val="sr-Latn-ME"/>
        </w:rPr>
        <w:t>relapsa</w:t>
      </w:r>
      <w:proofErr w:type="spellEnd"/>
      <w:r w:rsidRPr="002B09C8">
        <w:rPr>
          <w:sz w:val="22"/>
          <w:szCs w:val="22"/>
          <w:lang w:val="sr-Latn-ME"/>
        </w:rPr>
        <w:t xml:space="preserve"> nijesu bila povezana sa povećanim infekcijama tokom kliničkih ispitivanja.</w:t>
      </w:r>
    </w:p>
    <w:p w14:paraId="464FA35A" w14:textId="77777777" w:rsidR="00FB74D3" w:rsidRPr="002B09C8" w:rsidRDefault="00FB74D3" w:rsidP="00C74431">
      <w:pPr>
        <w:widowControl w:val="0"/>
        <w:jc w:val="both"/>
        <w:rPr>
          <w:sz w:val="22"/>
          <w:szCs w:val="22"/>
          <w:u w:val="single"/>
          <w:lang w:val="sr-Latn-ME"/>
        </w:rPr>
      </w:pPr>
    </w:p>
    <w:p w14:paraId="783A9121" w14:textId="7165B9A5" w:rsidR="00FB74D3" w:rsidRPr="002B09C8" w:rsidRDefault="00FB74D3" w:rsidP="00C74431">
      <w:pPr>
        <w:widowControl w:val="0"/>
        <w:jc w:val="both"/>
        <w:rPr>
          <w:sz w:val="22"/>
          <w:szCs w:val="22"/>
          <w:u w:val="single"/>
          <w:lang w:val="sr-Latn-ME"/>
        </w:rPr>
      </w:pPr>
      <w:r w:rsidRPr="002B09C8">
        <w:rPr>
          <w:sz w:val="22"/>
          <w:szCs w:val="22"/>
          <w:u w:val="single"/>
          <w:lang w:val="sr-Latn-ME"/>
        </w:rPr>
        <w:t>Sadržaj natrijuma</w:t>
      </w:r>
    </w:p>
    <w:p w14:paraId="79DE8C3B" w14:textId="77777777" w:rsidR="00FB74D3" w:rsidRPr="002B09C8" w:rsidRDefault="00FB74D3" w:rsidP="00C74431">
      <w:pPr>
        <w:widowControl w:val="0"/>
        <w:jc w:val="both"/>
        <w:rPr>
          <w:sz w:val="22"/>
          <w:szCs w:val="22"/>
          <w:lang w:val="sr-Latn-ME"/>
        </w:rPr>
      </w:pPr>
    </w:p>
    <w:p w14:paraId="69B6AD57" w14:textId="4C6339F3" w:rsidR="00057E35" w:rsidRPr="002B09C8" w:rsidRDefault="00912514" w:rsidP="00C74431">
      <w:pPr>
        <w:widowControl w:val="0"/>
        <w:jc w:val="both"/>
        <w:rPr>
          <w:sz w:val="22"/>
          <w:szCs w:val="22"/>
          <w:lang w:val="sr-Latn-ME"/>
        </w:rPr>
      </w:pPr>
      <w:r w:rsidRPr="002B09C8">
        <w:rPr>
          <w:sz w:val="22"/>
          <w:szCs w:val="22"/>
          <w:lang w:val="sr-Latn-ME"/>
        </w:rPr>
        <w:t>Pr</w:t>
      </w:r>
      <w:r w:rsidR="005F3852" w:rsidRPr="002B09C8">
        <w:rPr>
          <w:sz w:val="22"/>
          <w:szCs w:val="22"/>
          <w:lang w:val="sr-Latn-ME"/>
        </w:rPr>
        <w:t>ij</w:t>
      </w:r>
      <w:r w:rsidR="00234E57" w:rsidRPr="002B09C8">
        <w:rPr>
          <w:sz w:val="22"/>
          <w:szCs w:val="22"/>
          <w:lang w:val="sr-Latn-ME"/>
        </w:rPr>
        <w:t>e razblaživa</w:t>
      </w:r>
      <w:r w:rsidRPr="002B09C8">
        <w:rPr>
          <w:sz w:val="22"/>
          <w:szCs w:val="22"/>
          <w:lang w:val="sr-Latn-ME"/>
        </w:rPr>
        <w:t>nja ovaj l</w:t>
      </w:r>
      <w:r w:rsidR="005F3852" w:rsidRPr="002B09C8">
        <w:rPr>
          <w:sz w:val="22"/>
          <w:szCs w:val="22"/>
          <w:lang w:val="sr-Latn-ME"/>
        </w:rPr>
        <w:t>ij</w:t>
      </w:r>
      <w:r w:rsidRPr="002B09C8">
        <w:rPr>
          <w:sz w:val="22"/>
          <w:szCs w:val="22"/>
          <w:lang w:val="sr-Latn-ME"/>
        </w:rPr>
        <w:t xml:space="preserve">ek sadrži 52 mg natrijuma po bočici, što odgovara 2,6% maksimalnog dnevnog unosa od 2 g natrijuma prema </w:t>
      </w:r>
      <w:r w:rsidR="005F3852" w:rsidRPr="002B09C8">
        <w:rPr>
          <w:sz w:val="22"/>
          <w:szCs w:val="22"/>
          <w:lang w:val="sr-Latn-ME"/>
        </w:rPr>
        <w:t>p</w:t>
      </w:r>
      <w:r w:rsidRPr="002B09C8">
        <w:rPr>
          <w:sz w:val="22"/>
          <w:szCs w:val="22"/>
          <w:lang w:val="sr-Latn-ME"/>
        </w:rPr>
        <w:t>reporukama Sv</w:t>
      </w:r>
      <w:r w:rsidR="009A3116" w:rsidRPr="002B09C8">
        <w:rPr>
          <w:sz w:val="22"/>
          <w:szCs w:val="22"/>
          <w:lang w:val="sr-Latn-ME"/>
        </w:rPr>
        <w:t>j</w:t>
      </w:r>
      <w:r w:rsidRPr="002B09C8">
        <w:rPr>
          <w:sz w:val="22"/>
          <w:szCs w:val="22"/>
          <w:lang w:val="sr-Latn-ME"/>
        </w:rPr>
        <w:t>etske zdravstvene organizacije (WHO) za odrasle osobe.</w:t>
      </w:r>
    </w:p>
    <w:p w14:paraId="2024D0D4" w14:textId="77777777" w:rsidR="00057E35" w:rsidRPr="002B09C8" w:rsidRDefault="00057E35" w:rsidP="00C74431">
      <w:pPr>
        <w:widowControl w:val="0"/>
        <w:tabs>
          <w:tab w:val="left" w:pos="540"/>
          <w:tab w:val="left" w:pos="569"/>
        </w:tabs>
        <w:jc w:val="both"/>
        <w:rPr>
          <w:bCs/>
          <w:sz w:val="22"/>
          <w:szCs w:val="22"/>
          <w:lang w:val="sr-Latn-ME"/>
        </w:rPr>
      </w:pPr>
    </w:p>
    <w:p w14:paraId="3F6C0FE9" w14:textId="77777777" w:rsidR="00411B4B" w:rsidRPr="002B09C8" w:rsidRDefault="00411B4B" w:rsidP="00C74431">
      <w:pPr>
        <w:widowControl w:val="0"/>
        <w:tabs>
          <w:tab w:val="left" w:pos="540"/>
          <w:tab w:val="left" w:pos="569"/>
        </w:tabs>
        <w:jc w:val="both"/>
        <w:rPr>
          <w:b/>
          <w:bCs/>
          <w:sz w:val="22"/>
          <w:szCs w:val="22"/>
          <w:lang w:val="sr-Latn-ME"/>
        </w:rPr>
      </w:pPr>
      <w:r w:rsidRPr="002B09C8">
        <w:rPr>
          <w:b/>
          <w:bCs/>
          <w:sz w:val="22"/>
          <w:szCs w:val="22"/>
          <w:lang w:val="sr-Latn-ME"/>
        </w:rPr>
        <w:t>4.5.</w:t>
      </w:r>
      <w:r w:rsidR="000D60CC" w:rsidRPr="002B09C8">
        <w:rPr>
          <w:b/>
          <w:bCs/>
          <w:sz w:val="22"/>
          <w:szCs w:val="22"/>
          <w:lang w:val="sr-Latn-ME"/>
        </w:rPr>
        <w:tab/>
      </w:r>
      <w:r w:rsidRPr="002B09C8">
        <w:rPr>
          <w:b/>
          <w:bCs/>
          <w:sz w:val="22"/>
          <w:szCs w:val="22"/>
          <w:lang w:val="sr-Latn-ME"/>
        </w:rPr>
        <w:t>Interakcije sa drugim ljekovima i druge vrste interakcija</w:t>
      </w:r>
    </w:p>
    <w:p w14:paraId="2FAB2EA5" w14:textId="77777777" w:rsidR="0072020E" w:rsidRPr="002B09C8" w:rsidRDefault="0072020E" w:rsidP="00C74431">
      <w:pPr>
        <w:widowControl w:val="0"/>
        <w:tabs>
          <w:tab w:val="left" w:pos="540"/>
          <w:tab w:val="left" w:pos="569"/>
        </w:tabs>
        <w:jc w:val="both"/>
        <w:rPr>
          <w:bCs/>
          <w:sz w:val="22"/>
          <w:szCs w:val="22"/>
          <w:lang w:val="sr-Latn-ME"/>
        </w:rPr>
      </w:pPr>
    </w:p>
    <w:p w14:paraId="552930FA" w14:textId="3B37EBCB" w:rsidR="00FB74D3" w:rsidRPr="002B09C8" w:rsidRDefault="00912514" w:rsidP="00C74431">
      <w:pPr>
        <w:widowControl w:val="0"/>
        <w:jc w:val="both"/>
        <w:rPr>
          <w:bCs/>
          <w:sz w:val="22"/>
          <w:szCs w:val="22"/>
          <w:lang w:val="sr-Latn-ME"/>
        </w:rPr>
      </w:pPr>
      <w:proofErr w:type="spellStart"/>
      <w:r w:rsidRPr="002B09C8">
        <w:rPr>
          <w:bCs/>
          <w:sz w:val="22"/>
          <w:szCs w:val="22"/>
          <w:lang w:val="sr-Latn-ME"/>
        </w:rPr>
        <w:t>Natalizumab</w:t>
      </w:r>
      <w:proofErr w:type="spellEnd"/>
      <w:r w:rsidR="00FB74D3" w:rsidRPr="002B09C8">
        <w:rPr>
          <w:bCs/>
          <w:sz w:val="22"/>
          <w:szCs w:val="22"/>
          <w:lang w:val="sr-Latn-ME"/>
        </w:rPr>
        <w:t xml:space="preserve"> je kontraindikovan u kombinaciji sa</w:t>
      </w:r>
      <w:r w:rsidR="00FB74D3" w:rsidRPr="002B09C8">
        <w:rPr>
          <w:sz w:val="22"/>
          <w:szCs w:val="22"/>
          <w:lang w:val="sr-Latn-ME"/>
        </w:rPr>
        <w:t xml:space="preserve"> drugim terapijama koje mijenjaju tok bolesti (vidjeti dio 4.3)</w:t>
      </w:r>
      <w:r w:rsidR="00FB74D3" w:rsidRPr="002B09C8">
        <w:rPr>
          <w:bCs/>
          <w:sz w:val="22"/>
          <w:szCs w:val="22"/>
          <w:lang w:val="sr-Latn-ME"/>
        </w:rPr>
        <w:t>.</w:t>
      </w:r>
    </w:p>
    <w:p w14:paraId="2848DA23" w14:textId="77777777" w:rsidR="00FB74D3" w:rsidRPr="002B09C8" w:rsidRDefault="00FB74D3" w:rsidP="00C74431">
      <w:pPr>
        <w:widowControl w:val="0"/>
        <w:jc w:val="both"/>
        <w:rPr>
          <w:bCs/>
          <w:sz w:val="22"/>
          <w:szCs w:val="22"/>
          <w:lang w:val="sr-Latn-ME"/>
        </w:rPr>
      </w:pPr>
    </w:p>
    <w:p w14:paraId="0DE53919"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Imunizacija</w:t>
      </w:r>
    </w:p>
    <w:p w14:paraId="2DCC3964" w14:textId="0BF2B3C0" w:rsidR="00FB74D3" w:rsidRPr="002B09C8" w:rsidRDefault="00FB74D3" w:rsidP="00C74431">
      <w:pPr>
        <w:widowControl w:val="0"/>
        <w:jc w:val="both"/>
        <w:rPr>
          <w:sz w:val="22"/>
          <w:szCs w:val="22"/>
          <w:lang w:val="sr-Latn-ME"/>
        </w:rPr>
      </w:pPr>
      <w:r w:rsidRPr="002B09C8">
        <w:rPr>
          <w:sz w:val="22"/>
          <w:szCs w:val="22"/>
          <w:lang w:val="sr-Latn-ME"/>
        </w:rPr>
        <w:t xml:space="preserve">U </w:t>
      </w:r>
      <w:proofErr w:type="spellStart"/>
      <w:r w:rsidR="009A3116" w:rsidRPr="002B09C8">
        <w:rPr>
          <w:sz w:val="22"/>
          <w:szCs w:val="22"/>
          <w:lang w:val="sr-Latn-ME"/>
        </w:rPr>
        <w:t>randomizovanoj</w:t>
      </w:r>
      <w:proofErr w:type="spellEnd"/>
      <w:r w:rsidRPr="002B09C8">
        <w:rPr>
          <w:sz w:val="22"/>
          <w:szCs w:val="22"/>
          <w:lang w:val="sr-Latn-ME"/>
        </w:rPr>
        <w:t xml:space="preserve">, otvorenoj studiji na 60 pacijenata sa </w:t>
      </w:r>
      <w:proofErr w:type="spellStart"/>
      <w:r w:rsidRPr="002B09C8">
        <w:rPr>
          <w:sz w:val="22"/>
          <w:szCs w:val="22"/>
          <w:lang w:val="sr-Latn-ME"/>
        </w:rPr>
        <w:t>relapsnom</w:t>
      </w:r>
      <w:proofErr w:type="spellEnd"/>
      <w:r w:rsidRPr="002B09C8">
        <w:rPr>
          <w:sz w:val="22"/>
          <w:szCs w:val="22"/>
          <w:lang w:val="sr-Latn-ME"/>
        </w:rPr>
        <w:t xml:space="preserve"> MS nije bilo značajne razlike u </w:t>
      </w:r>
      <w:proofErr w:type="spellStart"/>
      <w:r w:rsidRPr="002B09C8">
        <w:rPr>
          <w:sz w:val="22"/>
          <w:szCs w:val="22"/>
          <w:lang w:val="sr-Latn-ME"/>
        </w:rPr>
        <w:t>humoralnom</w:t>
      </w:r>
      <w:proofErr w:type="spellEnd"/>
      <w:r w:rsidRPr="002B09C8">
        <w:rPr>
          <w:sz w:val="22"/>
          <w:szCs w:val="22"/>
          <w:lang w:val="sr-Latn-ME"/>
        </w:rPr>
        <w:t xml:space="preserve"> imunološkom odgovoru na tetanus </w:t>
      </w:r>
      <w:proofErr w:type="spellStart"/>
      <w:r w:rsidRPr="002B09C8">
        <w:rPr>
          <w:sz w:val="22"/>
          <w:szCs w:val="22"/>
          <w:lang w:val="sr-Latn-ME"/>
        </w:rPr>
        <w:t>toksoid</w:t>
      </w:r>
      <w:proofErr w:type="spellEnd"/>
      <w:r w:rsidRPr="002B09C8">
        <w:rPr>
          <w:sz w:val="22"/>
          <w:szCs w:val="22"/>
          <w:lang w:val="sr-Latn-ME"/>
        </w:rPr>
        <w:t xml:space="preserve"> (</w:t>
      </w:r>
      <w:proofErr w:type="spellStart"/>
      <w:r w:rsidRPr="002B09C8">
        <w:rPr>
          <w:sz w:val="22"/>
          <w:szCs w:val="22"/>
          <w:lang w:val="sr-Latn-ME"/>
        </w:rPr>
        <w:t>recall</w:t>
      </w:r>
      <w:proofErr w:type="spellEnd"/>
      <w:r w:rsidRPr="002B09C8">
        <w:rPr>
          <w:sz w:val="22"/>
          <w:szCs w:val="22"/>
          <w:lang w:val="sr-Latn-ME"/>
        </w:rPr>
        <w:t xml:space="preserve"> </w:t>
      </w:r>
      <w:proofErr w:type="spellStart"/>
      <w:r w:rsidRPr="002B09C8">
        <w:rPr>
          <w:sz w:val="22"/>
          <w:szCs w:val="22"/>
          <w:lang w:val="sr-Latn-ME"/>
        </w:rPr>
        <w:t>antigen</w:t>
      </w:r>
      <w:proofErr w:type="spellEnd"/>
      <w:r w:rsidRPr="002B09C8">
        <w:rPr>
          <w:sz w:val="22"/>
          <w:szCs w:val="22"/>
          <w:lang w:val="sr-Latn-ME"/>
        </w:rPr>
        <w:t xml:space="preserve">), a samo nešto sporiji i smanjen </w:t>
      </w:r>
      <w:proofErr w:type="spellStart"/>
      <w:r w:rsidRPr="002B09C8">
        <w:rPr>
          <w:sz w:val="22"/>
          <w:szCs w:val="22"/>
          <w:lang w:val="sr-Latn-ME"/>
        </w:rPr>
        <w:t>humoralni</w:t>
      </w:r>
      <w:proofErr w:type="spellEnd"/>
      <w:r w:rsidRPr="002B09C8">
        <w:rPr>
          <w:sz w:val="22"/>
          <w:szCs w:val="22"/>
          <w:lang w:val="sr-Latn-ME"/>
        </w:rPr>
        <w:t xml:space="preserve"> imunološki odgovor na </w:t>
      </w:r>
      <w:proofErr w:type="spellStart"/>
      <w:r w:rsidRPr="002B09C8">
        <w:rPr>
          <w:sz w:val="22"/>
          <w:szCs w:val="22"/>
          <w:lang w:val="sr-Latn-ME"/>
        </w:rPr>
        <w:t>neoantigen</w:t>
      </w:r>
      <w:proofErr w:type="spellEnd"/>
      <w:r w:rsidRPr="002B09C8">
        <w:rPr>
          <w:sz w:val="22"/>
          <w:szCs w:val="22"/>
          <w:lang w:val="sr-Latn-ME"/>
        </w:rPr>
        <w:t xml:space="preserve"> (</w:t>
      </w:r>
      <w:proofErr w:type="spellStart"/>
      <w:r w:rsidRPr="002B09C8">
        <w:rPr>
          <w:sz w:val="22"/>
          <w:szCs w:val="22"/>
          <w:lang w:val="sr-Latn-ME"/>
        </w:rPr>
        <w:t>hemocianin</w:t>
      </w:r>
      <w:proofErr w:type="spellEnd"/>
      <w:r w:rsidRPr="002B09C8">
        <w:rPr>
          <w:sz w:val="22"/>
          <w:szCs w:val="22"/>
          <w:lang w:val="sr-Latn-ME"/>
        </w:rPr>
        <w:t xml:space="preserve"> iz školjke) primijećen je kod pacijenata koji su bili 6 mjeseci liječeni</w:t>
      </w:r>
      <w:r w:rsidR="00912514" w:rsidRPr="002B09C8">
        <w:rPr>
          <w:sz w:val="22"/>
          <w:szCs w:val="22"/>
          <w:lang w:val="sr-Latn-ME"/>
        </w:rPr>
        <w:t xml:space="preserve"> ovim</w:t>
      </w:r>
      <w:r w:rsidRPr="002B09C8">
        <w:rPr>
          <w:sz w:val="22"/>
          <w:szCs w:val="22"/>
          <w:lang w:val="sr-Latn-ME"/>
        </w:rPr>
        <w:t xml:space="preserve"> lijekom u poređenju sa kontrolnom grupom koja nije liječena. Žive vakcine nijesu ispitivane.</w:t>
      </w:r>
    </w:p>
    <w:p w14:paraId="0EC28BD8" w14:textId="77777777" w:rsidR="00FB74D3" w:rsidRPr="002B09C8" w:rsidRDefault="00FB74D3" w:rsidP="00C74431">
      <w:pPr>
        <w:widowControl w:val="0"/>
        <w:tabs>
          <w:tab w:val="left" w:pos="540"/>
          <w:tab w:val="left" w:pos="569"/>
        </w:tabs>
        <w:jc w:val="both"/>
        <w:rPr>
          <w:bCs/>
          <w:sz w:val="22"/>
          <w:szCs w:val="22"/>
          <w:lang w:val="sr-Latn-ME"/>
        </w:rPr>
      </w:pPr>
    </w:p>
    <w:p w14:paraId="587BA121" w14:textId="77777777" w:rsidR="0072020E" w:rsidRPr="002B09C8" w:rsidRDefault="0072020E" w:rsidP="00C74431">
      <w:pPr>
        <w:widowControl w:val="0"/>
        <w:tabs>
          <w:tab w:val="left" w:pos="540"/>
          <w:tab w:val="left" w:pos="569"/>
        </w:tabs>
        <w:jc w:val="both"/>
        <w:rPr>
          <w:b/>
          <w:sz w:val="22"/>
          <w:szCs w:val="22"/>
          <w:lang w:val="sr-Latn-ME"/>
        </w:rPr>
      </w:pPr>
      <w:r w:rsidRPr="002B09C8">
        <w:rPr>
          <w:b/>
          <w:bCs/>
          <w:sz w:val="22"/>
          <w:szCs w:val="22"/>
          <w:lang w:val="sr-Latn-ME"/>
        </w:rPr>
        <w:t xml:space="preserve">4.6. </w:t>
      </w:r>
      <w:r w:rsidR="00480FB1" w:rsidRPr="002B09C8">
        <w:rPr>
          <w:b/>
          <w:bCs/>
          <w:sz w:val="22"/>
          <w:szCs w:val="22"/>
          <w:lang w:val="sr-Latn-ME"/>
        </w:rPr>
        <w:tab/>
      </w:r>
      <w:r w:rsidR="006D20A5" w:rsidRPr="002B09C8">
        <w:rPr>
          <w:b/>
          <w:sz w:val="22"/>
          <w:szCs w:val="22"/>
          <w:lang w:val="sr-Latn-ME"/>
        </w:rPr>
        <w:t>Plodnost, trudnoća i dojenje</w:t>
      </w:r>
    </w:p>
    <w:p w14:paraId="19E149A7" w14:textId="77777777" w:rsidR="002031B3" w:rsidRPr="002B09C8" w:rsidRDefault="002031B3" w:rsidP="00C74431">
      <w:pPr>
        <w:widowControl w:val="0"/>
        <w:tabs>
          <w:tab w:val="left" w:pos="540"/>
          <w:tab w:val="left" w:pos="569"/>
        </w:tabs>
        <w:jc w:val="both"/>
        <w:rPr>
          <w:sz w:val="22"/>
          <w:szCs w:val="22"/>
          <w:lang w:val="sr-Latn-ME"/>
        </w:rPr>
      </w:pPr>
    </w:p>
    <w:p w14:paraId="37E104BF" w14:textId="77777777" w:rsidR="00754C6E" w:rsidRPr="002B09C8" w:rsidRDefault="00754C6E" w:rsidP="00C74431">
      <w:pPr>
        <w:widowControl w:val="0"/>
        <w:jc w:val="both"/>
        <w:rPr>
          <w:bCs/>
          <w:sz w:val="22"/>
          <w:szCs w:val="22"/>
          <w:u w:val="single"/>
          <w:lang w:val="sr-Latn-ME"/>
        </w:rPr>
      </w:pPr>
      <w:r w:rsidRPr="002B09C8">
        <w:rPr>
          <w:bCs/>
          <w:sz w:val="22"/>
          <w:szCs w:val="22"/>
          <w:u w:val="single"/>
          <w:lang w:val="sr-Latn-ME"/>
        </w:rPr>
        <w:t>Žene u reproduktivnom periodu</w:t>
      </w:r>
    </w:p>
    <w:p w14:paraId="4E7FD7F2" w14:textId="77777777" w:rsidR="00754C6E" w:rsidRPr="002B09C8" w:rsidRDefault="00754C6E" w:rsidP="00C74431">
      <w:pPr>
        <w:widowControl w:val="0"/>
        <w:jc w:val="both"/>
        <w:rPr>
          <w:bCs/>
          <w:sz w:val="22"/>
          <w:szCs w:val="22"/>
          <w:u w:val="single"/>
          <w:lang w:val="sr-Latn-ME"/>
        </w:rPr>
      </w:pPr>
    </w:p>
    <w:p w14:paraId="635614A7" w14:textId="78E68744" w:rsidR="00754C6E" w:rsidRPr="002B09C8" w:rsidRDefault="00754C6E" w:rsidP="00C74431">
      <w:pPr>
        <w:widowControl w:val="0"/>
        <w:tabs>
          <w:tab w:val="left" w:pos="540"/>
          <w:tab w:val="left" w:pos="569"/>
        </w:tabs>
        <w:jc w:val="both"/>
        <w:rPr>
          <w:bCs/>
          <w:sz w:val="22"/>
          <w:szCs w:val="22"/>
          <w:lang w:val="sr-Latn-ME"/>
        </w:rPr>
      </w:pPr>
      <w:r w:rsidRPr="002B09C8">
        <w:rPr>
          <w:bCs/>
          <w:sz w:val="22"/>
          <w:szCs w:val="22"/>
          <w:lang w:val="sr-Latn-ME"/>
        </w:rPr>
        <w:lastRenderedPageBreak/>
        <w:t xml:space="preserve">Ako žena zatrudni tokom uzimanja lijeka TYSABRI potrebno je razmotriti prekid primjene lijeka TYSABRI. Prilikom procjene efekta koristi i rizika primjene lijeka TYSABRI tokom trudnoće treba uzeti u obzir kliničko stanje </w:t>
      </w:r>
      <w:proofErr w:type="spellStart"/>
      <w:r w:rsidR="005F3852" w:rsidRPr="002B09C8">
        <w:rPr>
          <w:bCs/>
          <w:sz w:val="22"/>
          <w:szCs w:val="22"/>
          <w:lang w:val="sr-Latn-ME"/>
        </w:rPr>
        <w:t>pac</w:t>
      </w:r>
      <w:r w:rsidR="009A3116" w:rsidRPr="002B09C8">
        <w:rPr>
          <w:bCs/>
          <w:sz w:val="22"/>
          <w:szCs w:val="22"/>
          <w:lang w:val="sr-Latn-ME"/>
        </w:rPr>
        <w:t>i</w:t>
      </w:r>
      <w:r w:rsidR="005F3852" w:rsidRPr="002B09C8">
        <w:rPr>
          <w:bCs/>
          <w:sz w:val="22"/>
          <w:szCs w:val="22"/>
          <w:lang w:val="sr-Latn-ME"/>
        </w:rPr>
        <w:t>jentkinje</w:t>
      </w:r>
      <w:proofErr w:type="spellEnd"/>
      <w:r w:rsidRPr="002B09C8">
        <w:rPr>
          <w:bCs/>
          <w:sz w:val="22"/>
          <w:szCs w:val="22"/>
          <w:lang w:val="sr-Latn-ME"/>
        </w:rPr>
        <w:t xml:space="preserve"> i mogući povratak aktivnosti bolesti nakon prekida primjene lijeka TYSABRI.</w:t>
      </w:r>
    </w:p>
    <w:p w14:paraId="496B4A91" w14:textId="77777777" w:rsidR="00754C6E" w:rsidRPr="002B09C8" w:rsidRDefault="00754C6E" w:rsidP="00C74431">
      <w:pPr>
        <w:widowControl w:val="0"/>
        <w:tabs>
          <w:tab w:val="left" w:pos="540"/>
          <w:tab w:val="left" w:pos="569"/>
        </w:tabs>
        <w:jc w:val="both"/>
        <w:rPr>
          <w:sz w:val="22"/>
          <w:szCs w:val="22"/>
          <w:lang w:val="sr-Latn-ME"/>
        </w:rPr>
      </w:pPr>
    </w:p>
    <w:p w14:paraId="72D35D43" w14:textId="77777777" w:rsidR="002031B3" w:rsidRPr="002B09C8" w:rsidRDefault="002031B3" w:rsidP="00C74431">
      <w:pPr>
        <w:widowControl w:val="0"/>
        <w:tabs>
          <w:tab w:val="left" w:pos="540"/>
          <w:tab w:val="left" w:pos="569"/>
        </w:tabs>
        <w:jc w:val="both"/>
        <w:rPr>
          <w:sz w:val="22"/>
          <w:szCs w:val="22"/>
          <w:u w:val="single"/>
          <w:lang w:val="sr-Latn-ME"/>
        </w:rPr>
      </w:pPr>
      <w:r w:rsidRPr="002B09C8">
        <w:rPr>
          <w:sz w:val="22"/>
          <w:szCs w:val="22"/>
          <w:u w:val="single"/>
          <w:lang w:val="sr-Latn-ME"/>
        </w:rPr>
        <w:t>Plodnost</w:t>
      </w:r>
    </w:p>
    <w:p w14:paraId="31ADCC20" w14:textId="77777777" w:rsidR="002031B3" w:rsidRPr="002B09C8" w:rsidRDefault="002031B3" w:rsidP="00C74431">
      <w:pPr>
        <w:widowControl w:val="0"/>
        <w:tabs>
          <w:tab w:val="left" w:pos="540"/>
          <w:tab w:val="left" w:pos="569"/>
        </w:tabs>
        <w:jc w:val="both"/>
        <w:rPr>
          <w:sz w:val="22"/>
          <w:szCs w:val="22"/>
          <w:u w:val="single"/>
          <w:lang w:val="sr-Latn-ME"/>
        </w:rPr>
      </w:pPr>
    </w:p>
    <w:p w14:paraId="737CB9F8" w14:textId="77777777" w:rsidR="00FB74D3" w:rsidRPr="002B09C8" w:rsidRDefault="00FB74D3" w:rsidP="00C74431">
      <w:pPr>
        <w:widowControl w:val="0"/>
        <w:autoSpaceDE w:val="0"/>
        <w:autoSpaceDN w:val="0"/>
        <w:adjustRightInd w:val="0"/>
        <w:jc w:val="both"/>
        <w:rPr>
          <w:snapToGrid w:val="0"/>
          <w:sz w:val="22"/>
          <w:szCs w:val="22"/>
          <w:lang w:val="sr-Latn-ME" w:eastAsia="hr-HR"/>
        </w:rPr>
      </w:pPr>
      <w:r w:rsidRPr="002B09C8">
        <w:rPr>
          <w:snapToGrid w:val="0"/>
          <w:sz w:val="22"/>
          <w:szCs w:val="22"/>
          <w:lang w:val="sr-Latn-ME" w:eastAsia="hr-HR"/>
        </w:rPr>
        <w:t xml:space="preserve">Primijećeno je smanjenje plodnosti ženki zamorca u jednom ispitivanju kod primjene doza koje su prekoračivale dozu primijenjenu kod </w:t>
      </w:r>
      <w:proofErr w:type="spellStart"/>
      <w:r w:rsidRPr="002B09C8">
        <w:rPr>
          <w:snapToGrid w:val="0"/>
          <w:sz w:val="22"/>
          <w:szCs w:val="22"/>
          <w:lang w:val="sr-Latn-ME" w:eastAsia="hr-HR"/>
        </w:rPr>
        <w:t>ljudi</w:t>
      </w:r>
      <w:proofErr w:type="spellEnd"/>
      <w:r w:rsidRPr="002B09C8">
        <w:rPr>
          <w:snapToGrid w:val="0"/>
          <w:sz w:val="22"/>
          <w:szCs w:val="22"/>
          <w:lang w:val="sr-Latn-ME" w:eastAsia="hr-HR"/>
        </w:rPr>
        <w:t xml:space="preserve">; </w:t>
      </w:r>
      <w:proofErr w:type="spellStart"/>
      <w:r w:rsidRPr="002B09C8">
        <w:rPr>
          <w:snapToGrid w:val="0"/>
          <w:sz w:val="22"/>
          <w:szCs w:val="22"/>
          <w:lang w:val="sr-Latn-ME" w:eastAsia="hr-HR"/>
        </w:rPr>
        <w:t>natalizumab</w:t>
      </w:r>
      <w:proofErr w:type="spellEnd"/>
      <w:r w:rsidRPr="002B09C8">
        <w:rPr>
          <w:snapToGrid w:val="0"/>
          <w:sz w:val="22"/>
          <w:szCs w:val="22"/>
          <w:lang w:val="sr-Latn-ME" w:eastAsia="hr-HR"/>
        </w:rPr>
        <w:t xml:space="preserve"> nije imao uticaja na mušku plodnost. </w:t>
      </w:r>
    </w:p>
    <w:p w14:paraId="12F750D7" w14:textId="77777777" w:rsidR="00FB74D3" w:rsidRPr="002B09C8" w:rsidRDefault="00FB74D3" w:rsidP="00C74431">
      <w:pPr>
        <w:widowControl w:val="0"/>
        <w:autoSpaceDE w:val="0"/>
        <w:autoSpaceDN w:val="0"/>
        <w:adjustRightInd w:val="0"/>
        <w:jc w:val="both"/>
        <w:rPr>
          <w:snapToGrid w:val="0"/>
          <w:sz w:val="22"/>
          <w:szCs w:val="22"/>
          <w:lang w:val="sr-Latn-ME" w:eastAsia="hr-HR"/>
        </w:rPr>
      </w:pPr>
      <w:r w:rsidRPr="002B09C8">
        <w:rPr>
          <w:snapToGrid w:val="0"/>
          <w:sz w:val="22"/>
          <w:szCs w:val="22"/>
          <w:lang w:val="sr-Latn-ME" w:eastAsia="hr-HR"/>
        </w:rPr>
        <w:t xml:space="preserve">Mogućnost da bi </w:t>
      </w:r>
      <w:proofErr w:type="spellStart"/>
      <w:r w:rsidRPr="002B09C8">
        <w:rPr>
          <w:snapToGrid w:val="0"/>
          <w:sz w:val="22"/>
          <w:szCs w:val="22"/>
          <w:lang w:val="sr-Latn-ME" w:eastAsia="hr-HR"/>
        </w:rPr>
        <w:t>natalizumab</w:t>
      </w:r>
      <w:proofErr w:type="spellEnd"/>
      <w:r w:rsidRPr="002B09C8">
        <w:rPr>
          <w:snapToGrid w:val="0"/>
          <w:sz w:val="22"/>
          <w:szCs w:val="22"/>
          <w:lang w:val="sr-Latn-ME" w:eastAsia="hr-HR"/>
        </w:rPr>
        <w:t xml:space="preserve"> uticao na plodnost u </w:t>
      </w:r>
      <w:proofErr w:type="spellStart"/>
      <w:r w:rsidRPr="002B09C8">
        <w:rPr>
          <w:snapToGrid w:val="0"/>
          <w:sz w:val="22"/>
          <w:szCs w:val="22"/>
          <w:lang w:val="sr-Latn-ME" w:eastAsia="hr-HR"/>
        </w:rPr>
        <w:t>ljudi</w:t>
      </w:r>
      <w:proofErr w:type="spellEnd"/>
      <w:r w:rsidRPr="002B09C8">
        <w:rPr>
          <w:snapToGrid w:val="0"/>
          <w:sz w:val="22"/>
          <w:szCs w:val="22"/>
          <w:lang w:val="sr-Latn-ME" w:eastAsia="hr-HR"/>
        </w:rPr>
        <w:t xml:space="preserve"> kod primjene maksimalne preporučene doze nije vjerovatna. </w:t>
      </w:r>
    </w:p>
    <w:p w14:paraId="34E4F164" w14:textId="77777777" w:rsidR="00FB74D3" w:rsidRPr="002B09C8" w:rsidRDefault="00FB74D3" w:rsidP="00C74431">
      <w:pPr>
        <w:widowControl w:val="0"/>
        <w:tabs>
          <w:tab w:val="left" w:pos="540"/>
          <w:tab w:val="left" w:pos="569"/>
        </w:tabs>
        <w:jc w:val="both"/>
        <w:rPr>
          <w:sz w:val="22"/>
          <w:szCs w:val="22"/>
          <w:u w:val="single"/>
          <w:lang w:val="sr-Latn-ME"/>
        </w:rPr>
      </w:pPr>
    </w:p>
    <w:p w14:paraId="4E0D6663" w14:textId="77777777" w:rsidR="007A3ECB" w:rsidRPr="002B09C8" w:rsidRDefault="007A3ECB" w:rsidP="00C74431">
      <w:pPr>
        <w:widowControl w:val="0"/>
        <w:tabs>
          <w:tab w:val="left" w:pos="540"/>
          <w:tab w:val="left" w:pos="569"/>
        </w:tabs>
        <w:jc w:val="both"/>
        <w:rPr>
          <w:sz w:val="22"/>
          <w:szCs w:val="22"/>
          <w:u w:val="single"/>
          <w:lang w:val="sr-Latn-ME"/>
        </w:rPr>
      </w:pPr>
      <w:r w:rsidRPr="002B09C8">
        <w:rPr>
          <w:sz w:val="22"/>
          <w:szCs w:val="22"/>
          <w:u w:val="single"/>
          <w:lang w:val="sr-Latn-ME"/>
        </w:rPr>
        <w:t>Trudnoća</w:t>
      </w:r>
    </w:p>
    <w:p w14:paraId="731DD4BB" w14:textId="77777777" w:rsidR="002031B3" w:rsidRPr="002B09C8" w:rsidRDefault="002031B3" w:rsidP="00C74431">
      <w:pPr>
        <w:widowControl w:val="0"/>
        <w:tabs>
          <w:tab w:val="left" w:pos="540"/>
          <w:tab w:val="left" w:pos="569"/>
        </w:tabs>
        <w:jc w:val="both"/>
        <w:rPr>
          <w:sz w:val="22"/>
          <w:szCs w:val="22"/>
          <w:u w:val="single"/>
          <w:lang w:val="sr-Latn-ME"/>
        </w:rPr>
      </w:pPr>
    </w:p>
    <w:p w14:paraId="13111838" w14:textId="77777777" w:rsidR="00C86319" w:rsidRPr="002B09C8" w:rsidRDefault="00FB74D3" w:rsidP="00C74431">
      <w:pPr>
        <w:widowControl w:val="0"/>
        <w:tabs>
          <w:tab w:val="left" w:pos="567"/>
        </w:tabs>
        <w:jc w:val="both"/>
        <w:rPr>
          <w:snapToGrid w:val="0"/>
          <w:sz w:val="22"/>
          <w:szCs w:val="22"/>
          <w:lang w:val="sr-Latn-ME" w:eastAsia="hr-HR"/>
        </w:rPr>
      </w:pPr>
      <w:r w:rsidRPr="002B09C8">
        <w:rPr>
          <w:snapToGrid w:val="0"/>
          <w:sz w:val="22"/>
          <w:szCs w:val="22"/>
          <w:lang w:val="sr-Latn-ME" w:eastAsia="hr-HR"/>
        </w:rPr>
        <w:t xml:space="preserve">Ispitivanja na životinjama pokazala su reproduktivnu toksičnost (vidjeti dio 5.3). </w:t>
      </w:r>
    </w:p>
    <w:p w14:paraId="12BC98F4" w14:textId="77777777" w:rsidR="00C86319" w:rsidRPr="002B09C8" w:rsidRDefault="00C86319" w:rsidP="00C74431">
      <w:pPr>
        <w:widowControl w:val="0"/>
        <w:tabs>
          <w:tab w:val="left" w:pos="567"/>
        </w:tabs>
        <w:jc w:val="both"/>
        <w:rPr>
          <w:snapToGrid w:val="0"/>
          <w:sz w:val="22"/>
          <w:szCs w:val="22"/>
          <w:lang w:val="sr-Latn-ME" w:eastAsia="hr-HR"/>
        </w:rPr>
      </w:pPr>
    </w:p>
    <w:p w14:paraId="5C0CBEAB" w14:textId="11DAD225" w:rsidR="00FB74D3" w:rsidRPr="002B09C8" w:rsidRDefault="00FB74D3" w:rsidP="00C74431">
      <w:pPr>
        <w:widowControl w:val="0"/>
        <w:tabs>
          <w:tab w:val="left" w:pos="567"/>
        </w:tabs>
        <w:jc w:val="both"/>
        <w:rPr>
          <w:snapToGrid w:val="0"/>
          <w:sz w:val="22"/>
          <w:szCs w:val="22"/>
          <w:lang w:val="sr-Latn-ME" w:eastAsia="hr-HR"/>
        </w:rPr>
      </w:pPr>
      <w:r w:rsidRPr="002B09C8">
        <w:rPr>
          <w:snapToGrid w:val="0"/>
          <w:sz w:val="22"/>
          <w:szCs w:val="22"/>
          <w:lang w:val="sr-Latn-ME" w:eastAsia="hr-HR"/>
        </w:rPr>
        <w:t xml:space="preserve">Podaci iz kliničkih ispitivanja, registra za prospektivno praćenje trudnoća, slučajeva nakon stavljanja lijeka u promet i dostupne literature ne ukazuju da izloženost </w:t>
      </w:r>
      <w:proofErr w:type="spellStart"/>
      <w:r w:rsidR="007C1678" w:rsidRPr="002B09C8">
        <w:rPr>
          <w:snapToGrid w:val="0"/>
          <w:sz w:val="22"/>
          <w:szCs w:val="22"/>
          <w:lang w:val="sr-Latn-ME" w:eastAsia="hr-HR"/>
        </w:rPr>
        <w:t>natalizumabu</w:t>
      </w:r>
      <w:proofErr w:type="spellEnd"/>
      <w:r w:rsidRPr="002B09C8">
        <w:rPr>
          <w:snapToGrid w:val="0"/>
          <w:sz w:val="22"/>
          <w:szCs w:val="22"/>
          <w:lang w:val="sr-Latn-ME" w:eastAsia="hr-HR"/>
        </w:rPr>
        <w:t xml:space="preserve"> ima </w:t>
      </w:r>
      <w:r w:rsidR="007C1678" w:rsidRPr="002B09C8">
        <w:rPr>
          <w:snapToGrid w:val="0"/>
          <w:sz w:val="22"/>
          <w:szCs w:val="22"/>
          <w:lang w:val="sr-Latn-ME" w:eastAsia="hr-HR"/>
        </w:rPr>
        <w:t xml:space="preserve">uticaj </w:t>
      </w:r>
      <w:r w:rsidRPr="002B09C8">
        <w:rPr>
          <w:snapToGrid w:val="0"/>
          <w:sz w:val="22"/>
          <w:szCs w:val="22"/>
          <w:lang w:val="sr-Latn-ME" w:eastAsia="hr-HR"/>
        </w:rPr>
        <w:t>na ishod trudnoće.</w:t>
      </w:r>
    </w:p>
    <w:p w14:paraId="6FFB94CA" w14:textId="77777777" w:rsidR="00FB74D3" w:rsidRPr="002B09C8" w:rsidRDefault="00FB74D3" w:rsidP="00C74431">
      <w:pPr>
        <w:widowControl w:val="0"/>
        <w:tabs>
          <w:tab w:val="left" w:pos="567"/>
        </w:tabs>
        <w:jc w:val="both"/>
        <w:rPr>
          <w:snapToGrid w:val="0"/>
          <w:sz w:val="22"/>
          <w:szCs w:val="22"/>
          <w:u w:val="single"/>
          <w:lang w:val="sr-Latn-ME" w:eastAsia="hr-HR"/>
        </w:rPr>
      </w:pPr>
    </w:p>
    <w:p w14:paraId="2187EE17" w14:textId="12C7A814" w:rsidR="00FB74D3" w:rsidRPr="002B09C8" w:rsidRDefault="00FB74D3" w:rsidP="00C74431">
      <w:pPr>
        <w:widowControl w:val="0"/>
        <w:tabs>
          <w:tab w:val="left" w:pos="567"/>
        </w:tabs>
        <w:jc w:val="both"/>
        <w:rPr>
          <w:snapToGrid w:val="0"/>
          <w:sz w:val="22"/>
          <w:szCs w:val="22"/>
          <w:lang w:val="sr-Latn-ME" w:eastAsia="hr-HR"/>
        </w:rPr>
      </w:pPr>
      <w:r w:rsidRPr="002B09C8">
        <w:rPr>
          <w:snapToGrid w:val="0"/>
          <w:sz w:val="22"/>
          <w:szCs w:val="22"/>
          <w:lang w:val="sr-Latn-ME" w:eastAsia="hr-HR"/>
        </w:rPr>
        <w:t xml:space="preserve">Završen registar za prospektivno praćenje trudnoća sa lijekom </w:t>
      </w:r>
      <w:proofErr w:type="spellStart"/>
      <w:r w:rsidR="00912514" w:rsidRPr="002B09C8">
        <w:rPr>
          <w:snapToGrid w:val="0"/>
          <w:sz w:val="22"/>
          <w:szCs w:val="22"/>
          <w:lang w:val="sr-Latn-ME" w:eastAsia="hr-HR"/>
        </w:rPr>
        <w:t>Tysabri</w:t>
      </w:r>
      <w:proofErr w:type="spellEnd"/>
      <w:r w:rsidR="00912514" w:rsidRPr="002B09C8">
        <w:rPr>
          <w:snapToGrid w:val="0"/>
          <w:sz w:val="22"/>
          <w:szCs w:val="22"/>
          <w:lang w:val="sr-Latn-ME" w:eastAsia="hr-HR"/>
        </w:rPr>
        <w:t xml:space="preserve"> </w:t>
      </w:r>
      <w:r w:rsidRPr="002B09C8">
        <w:rPr>
          <w:snapToGrid w:val="0"/>
          <w:sz w:val="22"/>
          <w:szCs w:val="22"/>
          <w:lang w:val="sr-Latn-ME" w:eastAsia="hr-HR"/>
        </w:rPr>
        <w:t>sadržavao je 355 trudnoća sa dostupnim ishodima. Bilo je 316 živorođene djece, od kojih je za 29 prijavljeno da imaju urođene mane. Šesnaest od tih 29 klasifikovano je kao teške urođene mane. Ta stopa mana odgovara stopi mana prijavljenih u drugim registrima trudnoća koji uključuju bolesnice s multiplom sklerozom. Nema dokaza o određenom obrascu urođenih mana pri primjeni</w:t>
      </w:r>
      <w:r w:rsidR="00912514" w:rsidRPr="002B09C8">
        <w:rPr>
          <w:snapToGrid w:val="0"/>
          <w:sz w:val="22"/>
          <w:szCs w:val="22"/>
          <w:lang w:val="sr-Latn-ME" w:eastAsia="hr-HR"/>
        </w:rPr>
        <w:t xml:space="preserve"> ovog</w:t>
      </w:r>
      <w:r w:rsidRPr="002B09C8">
        <w:rPr>
          <w:snapToGrid w:val="0"/>
          <w:sz w:val="22"/>
          <w:szCs w:val="22"/>
          <w:lang w:val="sr-Latn-ME" w:eastAsia="hr-HR"/>
        </w:rPr>
        <w:t xml:space="preserve"> lijeka.</w:t>
      </w:r>
    </w:p>
    <w:p w14:paraId="50EB54DB" w14:textId="77777777" w:rsidR="00754C6E" w:rsidRPr="002B09C8" w:rsidRDefault="00754C6E" w:rsidP="00C74431">
      <w:pPr>
        <w:widowControl w:val="0"/>
        <w:tabs>
          <w:tab w:val="left" w:pos="567"/>
        </w:tabs>
        <w:jc w:val="both"/>
        <w:rPr>
          <w:snapToGrid w:val="0"/>
          <w:sz w:val="22"/>
          <w:szCs w:val="22"/>
          <w:lang w:val="sr-Latn-ME" w:eastAsia="hr-HR"/>
        </w:rPr>
      </w:pPr>
    </w:p>
    <w:p w14:paraId="5424D588" w14:textId="77777777" w:rsidR="00754C6E" w:rsidRPr="002B09C8" w:rsidRDefault="00754C6E" w:rsidP="00C74431">
      <w:pPr>
        <w:widowControl w:val="0"/>
        <w:tabs>
          <w:tab w:val="left" w:pos="567"/>
        </w:tabs>
        <w:jc w:val="both"/>
        <w:rPr>
          <w:bCs/>
          <w:snapToGrid w:val="0"/>
          <w:sz w:val="22"/>
          <w:szCs w:val="22"/>
          <w:lang w:val="sr-Latn-ME" w:eastAsia="hr-HR"/>
        </w:rPr>
      </w:pPr>
      <w:r w:rsidRPr="002B09C8">
        <w:rPr>
          <w:bCs/>
          <w:snapToGrid w:val="0"/>
          <w:sz w:val="22"/>
          <w:szCs w:val="22"/>
          <w:lang w:val="sr-Latn-ME" w:eastAsia="hr-HR"/>
        </w:rPr>
        <w:t xml:space="preserve">Ne postoje odgovarajuća i dobro kontrolisana ispitivanja terapije </w:t>
      </w:r>
      <w:proofErr w:type="spellStart"/>
      <w:r w:rsidRPr="002B09C8">
        <w:rPr>
          <w:bCs/>
          <w:snapToGrid w:val="0"/>
          <w:sz w:val="22"/>
          <w:szCs w:val="22"/>
          <w:lang w:val="sr-Latn-ME" w:eastAsia="hr-HR"/>
        </w:rPr>
        <w:t>natalizumabom</w:t>
      </w:r>
      <w:proofErr w:type="spellEnd"/>
      <w:r w:rsidRPr="002B09C8">
        <w:rPr>
          <w:bCs/>
          <w:snapToGrid w:val="0"/>
          <w:sz w:val="22"/>
          <w:szCs w:val="22"/>
          <w:lang w:val="sr-Latn-ME" w:eastAsia="hr-HR"/>
        </w:rPr>
        <w:t xml:space="preserve"> kod trudnica.</w:t>
      </w:r>
    </w:p>
    <w:p w14:paraId="2420A696" w14:textId="77777777" w:rsidR="00754C6E" w:rsidRPr="002B09C8" w:rsidRDefault="00754C6E" w:rsidP="00C74431">
      <w:pPr>
        <w:widowControl w:val="0"/>
        <w:tabs>
          <w:tab w:val="left" w:pos="567"/>
        </w:tabs>
        <w:jc w:val="both"/>
        <w:rPr>
          <w:bCs/>
          <w:snapToGrid w:val="0"/>
          <w:sz w:val="22"/>
          <w:szCs w:val="22"/>
          <w:lang w:val="sr-Latn-ME" w:eastAsia="hr-HR"/>
        </w:rPr>
      </w:pPr>
    </w:p>
    <w:p w14:paraId="13A39CB7" w14:textId="3FADECD4" w:rsidR="00754C6E" w:rsidRPr="002B09C8" w:rsidRDefault="00754C6E" w:rsidP="00C74431">
      <w:pPr>
        <w:widowControl w:val="0"/>
        <w:tabs>
          <w:tab w:val="left" w:pos="567"/>
        </w:tabs>
        <w:jc w:val="both"/>
        <w:rPr>
          <w:bCs/>
          <w:snapToGrid w:val="0"/>
          <w:sz w:val="22"/>
          <w:szCs w:val="22"/>
          <w:lang w:val="sr-Latn-ME" w:eastAsia="hr-HR"/>
        </w:rPr>
      </w:pPr>
      <w:r w:rsidRPr="002B09C8">
        <w:rPr>
          <w:bCs/>
          <w:snapToGrid w:val="0"/>
          <w:sz w:val="22"/>
          <w:szCs w:val="22"/>
          <w:lang w:val="sr-Latn-ME" w:eastAsia="hr-HR"/>
        </w:rPr>
        <w:t>Tokom praćenja nakon stavljanja l</w:t>
      </w:r>
      <w:r w:rsidR="005F3852" w:rsidRPr="002B09C8">
        <w:rPr>
          <w:bCs/>
          <w:snapToGrid w:val="0"/>
          <w:sz w:val="22"/>
          <w:szCs w:val="22"/>
          <w:lang w:val="sr-Latn-ME" w:eastAsia="hr-HR"/>
        </w:rPr>
        <w:t>ij</w:t>
      </w:r>
      <w:r w:rsidRPr="002B09C8">
        <w:rPr>
          <w:bCs/>
          <w:snapToGrid w:val="0"/>
          <w:sz w:val="22"/>
          <w:szCs w:val="22"/>
          <w:lang w:val="sr-Latn-ME" w:eastAsia="hr-HR"/>
        </w:rPr>
        <w:t xml:space="preserve">eka u promet prijavljene su </w:t>
      </w:r>
      <w:proofErr w:type="spellStart"/>
      <w:r w:rsidRPr="002B09C8">
        <w:rPr>
          <w:bCs/>
          <w:snapToGrid w:val="0"/>
          <w:sz w:val="22"/>
          <w:szCs w:val="22"/>
          <w:lang w:val="sr-Latn-ME" w:eastAsia="hr-HR"/>
        </w:rPr>
        <w:t>trombocitopenija</w:t>
      </w:r>
      <w:proofErr w:type="spellEnd"/>
      <w:r w:rsidRPr="002B09C8">
        <w:rPr>
          <w:bCs/>
          <w:snapToGrid w:val="0"/>
          <w:sz w:val="22"/>
          <w:szCs w:val="22"/>
          <w:lang w:val="sr-Latn-ME" w:eastAsia="hr-HR"/>
        </w:rPr>
        <w:t xml:space="preserve"> i anemija kod odojčadi koja su rodile žene koje su bile izložene </w:t>
      </w:r>
      <w:proofErr w:type="spellStart"/>
      <w:r w:rsidRPr="002B09C8">
        <w:rPr>
          <w:bCs/>
          <w:snapToGrid w:val="0"/>
          <w:sz w:val="22"/>
          <w:szCs w:val="22"/>
          <w:lang w:val="sr-Latn-ME" w:eastAsia="hr-HR"/>
        </w:rPr>
        <w:t>natalizumabu</w:t>
      </w:r>
      <w:proofErr w:type="spellEnd"/>
      <w:r w:rsidRPr="002B09C8">
        <w:rPr>
          <w:bCs/>
          <w:snapToGrid w:val="0"/>
          <w:sz w:val="22"/>
          <w:szCs w:val="22"/>
          <w:lang w:val="sr-Latn-ME" w:eastAsia="hr-HR"/>
        </w:rPr>
        <w:t xml:space="preserve"> tokom trudnoće. Preporučuje se praćenje broja </w:t>
      </w:r>
      <w:proofErr w:type="spellStart"/>
      <w:r w:rsidRPr="002B09C8">
        <w:rPr>
          <w:bCs/>
          <w:snapToGrid w:val="0"/>
          <w:sz w:val="22"/>
          <w:szCs w:val="22"/>
          <w:lang w:val="sr-Latn-ME" w:eastAsia="hr-HR"/>
        </w:rPr>
        <w:t>trombocita</w:t>
      </w:r>
      <w:proofErr w:type="spellEnd"/>
      <w:r w:rsidR="00154B1D" w:rsidRPr="002B09C8">
        <w:rPr>
          <w:bCs/>
          <w:snapToGrid w:val="0"/>
          <w:sz w:val="22"/>
          <w:szCs w:val="22"/>
          <w:lang w:val="sr-Latn-ME" w:eastAsia="hr-HR"/>
        </w:rPr>
        <w:t>,</w:t>
      </w:r>
      <w:r w:rsidRPr="002B09C8">
        <w:rPr>
          <w:bCs/>
          <w:snapToGrid w:val="0"/>
          <w:sz w:val="22"/>
          <w:szCs w:val="22"/>
          <w:lang w:val="sr-Latn-ME" w:eastAsia="hr-HR"/>
        </w:rPr>
        <w:t xml:space="preserve"> vr</w:t>
      </w:r>
      <w:r w:rsidR="005F3852" w:rsidRPr="002B09C8">
        <w:rPr>
          <w:bCs/>
          <w:snapToGrid w:val="0"/>
          <w:sz w:val="22"/>
          <w:szCs w:val="22"/>
          <w:lang w:val="sr-Latn-ME" w:eastAsia="hr-HR"/>
        </w:rPr>
        <w:t>ij</w:t>
      </w:r>
      <w:r w:rsidRPr="002B09C8">
        <w:rPr>
          <w:bCs/>
          <w:snapToGrid w:val="0"/>
          <w:sz w:val="22"/>
          <w:szCs w:val="22"/>
          <w:lang w:val="sr-Latn-ME" w:eastAsia="hr-HR"/>
        </w:rPr>
        <w:t xml:space="preserve">ednosti hemoglobina </w:t>
      </w:r>
      <w:r w:rsidR="00154B1D" w:rsidRPr="002B09C8">
        <w:rPr>
          <w:bCs/>
          <w:snapToGrid w:val="0"/>
          <w:sz w:val="22"/>
          <w:szCs w:val="22"/>
          <w:lang w:val="sr-Latn-ME" w:eastAsia="hr-HR"/>
        </w:rPr>
        <w:t xml:space="preserve">i </w:t>
      </w:r>
      <w:proofErr w:type="spellStart"/>
      <w:r w:rsidR="00154B1D" w:rsidRPr="002B09C8">
        <w:rPr>
          <w:bCs/>
          <w:snapToGrid w:val="0"/>
          <w:sz w:val="22"/>
          <w:szCs w:val="22"/>
          <w:lang w:val="sr-Latn-ME" w:eastAsia="hr-HR"/>
        </w:rPr>
        <w:t>hematokrit</w:t>
      </w:r>
      <w:proofErr w:type="spellEnd"/>
      <w:r w:rsidR="00154B1D" w:rsidRPr="002B09C8">
        <w:rPr>
          <w:bCs/>
          <w:snapToGrid w:val="0"/>
          <w:sz w:val="22"/>
          <w:szCs w:val="22"/>
          <w:lang w:val="sr-Latn-ME" w:eastAsia="hr-HR"/>
        </w:rPr>
        <w:t xml:space="preserve"> </w:t>
      </w:r>
      <w:r w:rsidRPr="002B09C8">
        <w:rPr>
          <w:bCs/>
          <w:snapToGrid w:val="0"/>
          <w:sz w:val="22"/>
          <w:szCs w:val="22"/>
          <w:lang w:val="sr-Latn-ME" w:eastAsia="hr-HR"/>
        </w:rPr>
        <w:t xml:space="preserve">kod novorođenčadi koju su rodile žene koje su bile izložene </w:t>
      </w:r>
      <w:proofErr w:type="spellStart"/>
      <w:r w:rsidRPr="002B09C8">
        <w:rPr>
          <w:bCs/>
          <w:snapToGrid w:val="0"/>
          <w:sz w:val="22"/>
          <w:szCs w:val="22"/>
          <w:lang w:val="sr-Latn-ME" w:eastAsia="hr-HR"/>
        </w:rPr>
        <w:t>natalizumabu</w:t>
      </w:r>
      <w:proofErr w:type="spellEnd"/>
      <w:r w:rsidRPr="002B09C8">
        <w:rPr>
          <w:bCs/>
          <w:snapToGrid w:val="0"/>
          <w:sz w:val="22"/>
          <w:szCs w:val="22"/>
          <w:lang w:val="sr-Latn-ME" w:eastAsia="hr-HR"/>
        </w:rPr>
        <w:t xml:space="preserve"> tokom trudnoće.</w:t>
      </w:r>
    </w:p>
    <w:p w14:paraId="06BFD241" w14:textId="77777777" w:rsidR="00754C6E" w:rsidRPr="002B09C8" w:rsidRDefault="00754C6E" w:rsidP="00C74431">
      <w:pPr>
        <w:widowControl w:val="0"/>
        <w:tabs>
          <w:tab w:val="left" w:pos="567"/>
        </w:tabs>
        <w:jc w:val="both"/>
        <w:rPr>
          <w:bCs/>
          <w:snapToGrid w:val="0"/>
          <w:sz w:val="22"/>
          <w:szCs w:val="22"/>
          <w:lang w:val="sr-Latn-ME" w:eastAsia="hr-HR"/>
        </w:rPr>
      </w:pPr>
    </w:p>
    <w:p w14:paraId="56774E73" w14:textId="49D5C1C3" w:rsidR="00754C6E" w:rsidRPr="002B09C8" w:rsidRDefault="00754C6E" w:rsidP="00C74431">
      <w:pPr>
        <w:widowControl w:val="0"/>
        <w:tabs>
          <w:tab w:val="left" w:pos="567"/>
        </w:tabs>
        <w:jc w:val="both"/>
        <w:rPr>
          <w:bCs/>
          <w:snapToGrid w:val="0"/>
          <w:sz w:val="22"/>
          <w:szCs w:val="22"/>
          <w:lang w:val="sr-Latn-ME" w:eastAsia="hr-HR"/>
        </w:rPr>
      </w:pPr>
      <w:r w:rsidRPr="002B09C8">
        <w:rPr>
          <w:bCs/>
          <w:snapToGrid w:val="0"/>
          <w:sz w:val="22"/>
          <w:szCs w:val="22"/>
          <w:lang w:val="sr-Latn-ME" w:eastAsia="hr-HR"/>
        </w:rPr>
        <w:t>Ovaj l</w:t>
      </w:r>
      <w:r w:rsidR="005F3852" w:rsidRPr="002B09C8">
        <w:rPr>
          <w:bCs/>
          <w:snapToGrid w:val="0"/>
          <w:sz w:val="22"/>
          <w:szCs w:val="22"/>
          <w:lang w:val="sr-Latn-ME" w:eastAsia="hr-HR"/>
        </w:rPr>
        <w:t>ij</w:t>
      </w:r>
      <w:r w:rsidRPr="002B09C8">
        <w:rPr>
          <w:bCs/>
          <w:snapToGrid w:val="0"/>
          <w:sz w:val="22"/>
          <w:szCs w:val="22"/>
          <w:lang w:val="sr-Latn-ME" w:eastAsia="hr-HR"/>
        </w:rPr>
        <w:t>ek sm</w:t>
      </w:r>
      <w:r w:rsidR="005F3852" w:rsidRPr="002B09C8">
        <w:rPr>
          <w:bCs/>
          <w:snapToGrid w:val="0"/>
          <w:sz w:val="22"/>
          <w:szCs w:val="22"/>
          <w:lang w:val="sr-Latn-ME" w:eastAsia="hr-HR"/>
        </w:rPr>
        <w:t>ij</w:t>
      </w:r>
      <w:r w:rsidRPr="002B09C8">
        <w:rPr>
          <w:bCs/>
          <w:snapToGrid w:val="0"/>
          <w:sz w:val="22"/>
          <w:szCs w:val="22"/>
          <w:lang w:val="sr-Latn-ME" w:eastAsia="hr-HR"/>
        </w:rPr>
        <w:t xml:space="preserve">e da se koristi tokom trudnoće samo ako za to postoji jasna potreba. Ako žena zatrudni tokom terapije </w:t>
      </w:r>
      <w:proofErr w:type="spellStart"/>
      <w:r w:rsidRPr="002B09C8">
        <w:rPr>
          <w:bCs/>
          <w:snapToGrid w:val="0"/>
          <w:sz w:val="22"/>
          <w:szCs w:val="22"/>
          <w:lang w:val="sr-Latn-ME" w:eastAsia="hr-HR"/>
        </w:rPr>
        <w:t>natalizumabom</w:t>
      </w:r>
      <w:proofErr w:type="spellEnd"/>
      <w:r w:rsidRPr="002B09C8">
        <w:rPr>
          <w:bCs/>
          <w:snapToGrid w:val="0"/>
          <w:sz w:val="22"/>
          <w:szCs w:val="22"/>
          <w:lang w:val="sr-Latn-ME" w:eastAsia="hr-HR"/>
        </w:rPr>
        <w:t>, treba razmotriti prekid prim</w:t>
      </w:r>
      <w:r w:rsidR="005F3852" w:rsidRPr="002B09C8">
        <w:rPr>
          <w:bCs/>
          <w:snapToGrid w:val="0"/>
          <w:sz w:val="22"/>
          <w:szCs w:val="22"/>
          <w:lang w:val="sr-Latn-ME" w:eastAsia="hr-HR"/>
        </w:rPr>
        <w:t>j</w:t>
      </w:r>
      <w:r w:rsidRPr="002B09C8">
        <w:rPr>
          <w:bCs/>
          <w:snapToGrid w:val="0"/>
          <w:sz w:val="22"/>
          <w:szCs w:val="22"/>
          <w:lang w:val="sr-Latn-ME" w:eastAsia="hr-HR"/>
        </w:rPr>
        <w:t xml:space="preserve">ene </w:t>
      </w:r>
      <w:proofErr w:type="spellStart"/>
      <w:r w:rsidRPr="002B09C8">
        <w:rPr>
          <w:bCs/>
          <w:snapToGrid w:val="0"/>
          <w:sz w:val="22"/>
          <w:szCs w:val="22"/>
          <w:lang w:val="sr-Latn-ME" w:eastAsia="hr-HR"/>
        </w:rPr>
        <w:t>natalizumaba</w:t>
      </w:r>
      <w:proofErr w:type="spellEnd"/>
      <w:r w:rsidRPr="002B09C8">
        <w:rPr>
          <w:bCs/>
          <w:snapToGrid w:val="0"/>
          <w:sz w:val="22"/>
          <w:szCs w:val="22"/>
          <w:lang w:val="sr-Latn-ME" w:eastAsia="hr-HR"/>
        </w:rPr>
        <w:t>.</w:t>
      </w:r>
    </w:p>
    <w:p w14:paraId="76C5A0A0" w14:textId="77777777" w:rsidR="00FB74D3" w:rsidRPr="002B09C8" w:rsidRDefault="00FB74D3" w:rsidP="00C74431">
      <w:pPr>
        <w:widowControl w:val="0"/>
        <w:tabs>
          <w:tab w:val="left" w:pos="567"/>
        </w:tabs>
        <w:jc w:val="both"/>
        <w:rPr>
          <w:bCs/>
          <w:snapToGrid w:val="0"/>
          <w:sz w:val="22"/>
          <w:szCs w:val="22"/>
          <w:lang w:val="sr-Latn-ME" w:eastAsia="hr-HR"/>
        </w:rPr>
      </w:pPr>
    </w:p>
    <w:p w14:paraId="10B2BF5C" w14:textId="2EB9425A" w:rsidR="0072020E" w:rsidRPr="002B09C8" w:rsidRDefault="007A3ECB" w:rsidP="00C74431">
      <w:pPr>
        <w:widowControl w:val="0"/>
        <w:tabs>
          <w:tab w:val="left" w:pos="540"/>
          <w:tab w:val="left" w:pos="569"/>
        </w:tabs>
        <w:jc w:val="both"/>
        <w:rPr>
          <w:sz w:val="22"/>
          <w:szCs w:val="22"/>
          <w:u w:val="single"/>
          <w:lang w:val="sr-Latn-ME"/>
        </w:rPr>
      </w:pPr>
      <w:r w:rsidRPr="002B09C8">
        <w:rPr>
          <w:sz w:val="22"/>
          <w:szCs w:val="22"/>
          <w:u w:val="single"/>
          <w:lang w:val="sr-Latn-ME"/>
        </w:rPr>
        <w:t xml:space="preserve">Dojenje </w:t>
      </w:r>
    </w:p>
    <w:p w14:paraId="3463DC9A" w14:textId="0B7B04ED" w:rsidR="00FB74D3" w:rsidRPr="002B09C8" w:rsidRDefault="00FB74D3" w:rsidP="00C74431">
      <w:pPr>
        <w:widowControl w:val="0"/>
        <w:tabs>
          <w:tab w:val="left" w:pos="569"/>
        </w:tabs>
        <w:jc w:val="both"/>
        <w:rPr>
          <w:snapToGrid w:val="0"/>
          <w:sz w:val="22"/>
          <w:szCs w:val="22"/>
          <w:lang w:val="sr-Latn-ME" w:eastAsia="hr-HR"/>
        </w:rPr>
      </w:pPr>
      <w:proofErr w:type="spellStart"/>
      <w:r w:rsidRPr="002B09C8">
        <w:rPr>
          <w:sz w:val="22"/>
          <w:szCs w:val="22"/>
          <w:lang w:val="sr-Latn-ME"/>
        </w:rPr>
        <w:t>Natalizumab</w:t>
      </w:r>
      <w:proofErr w:type="spellEnd"/>
      <w:r w:rsidRPr="002B09C8">
        <w:rPr>
          <w:sz w:val="22"/>
          <w:szCs w:val="22"/>
          <w:lang w:val="sr-Latn-ME"/>
        </w:rPr>
        <w:t xml:space="preserve"> </w:t>
      </w:r>
      <w:r w:rsidRPr="002B09C8">
        <w:rPr>
          <w:snapToGrid w:val="0"/>
          <w:sz w:val="22"/>
          <w:szCs w:val="22"/>
          <w:lang w:val="sr-Latn-ME" w:eastAsia="hr-HR"/>
        </w:rPr>
        <w:t xml:space="preserve">se izlučuje u majčino mlijeko. </w:t>
      </w:r>
      <w:r w:rsidR="00C44C1E" w:rsidRPr="002B09C8">
        <w:rPr>
          <w:snapToGrid w:val="0"/>
          <w:sz w:val="22"/>
          <w:szCs w:val="22"/>
          <w:lang w:val="sr-Latn-ME" w:eastAsia="hr-HR"/>
        </w:rPr>
        <w:t xml:space="preserve">Uticaj </w:t>
      </w:r>
      <w:proofErr w:type="spellStart"/>
      <w:r w:rsidRPr="002B09C8">
        <w:rPr>
          <w:snapToGrid w:val="0"/>
          <w:sz w:val="22"/>
          <w:szCs w:val="22"/>
          <w:lang w:val="sr-Latn-ME" w:eastAsia="hr-HR"/>
        </w:rPr>
        <w:t>natalizumaba</w:t>
      </w:r>
      <w:proofErr w:type="spellEnd"/>
      <w:r w:rsidRPr="002B09C8">
        <w:rPr>
          <w:snapToGrid w:val="0"/>
          <w:sz w:val="22"/>
          <w:szCs w:val="22"/>
          <w:lang w:val="sr-Latn-ME" w:eastAsia="hr-HR"/>
        </w:rPr>
        <w:t xml:space="preserve"> na novorođenčad/odojčad je nepoznat. Dojenje treba prekinuti tokom liječenja </w:t>
      </w:r>
      <w:proofErr w:type="spellStart"/>
      <w:r w:rsidR="00C44C1E" w:rsidRPr="002B09C8">
        <w:rPr>
          <w:snapToGrid w:val="0"/>
          <w:sz w:val="22"/>
          <w:szCs w:val="22"/>
          <w:lang w:val="sr-Latn-ME" w:eastAsia="hr-HR"/>
        </w:rPr>
        <w:t>natalizumabom</w:t>
      </w:r>
      <w:proofErr w:type="spellEnd"/>
      <w:r w:rsidRPr="002B09C8">
        <w:rPr>
          <w:snapToGrid w:val="0"/>
          <w:sz w:val="22"/>
          <w:szCs w:val="22"/>
          <w:lang w:val="sr-Latn-ME" w:eastAsia="hr-HR"/>
        </w:rPr>
        <w:t>.</w:t>
      </w:r>
    </w:p>
    <w:p w14:paraId="7612D1EA" w14:textId="77777777" w:rsidR="00227BDB" w:rsidRPr="002B09C8" w:rsidRDefault="00227BDB" w:rsidP="00C74431">
      <w:pPr>
        <w:widowControl w:val="0"/>
        <w:tabs>
          <w:tab w:val="left" w:pos="540"/>
          <w:tab w:val="left" w:pos="569"/>
        </w:tabs>
        <w:ind w:left="540" w:hanging="540"/>
        <w:jc w:val="both"/>
        <w:rPr>
          <w:b/>
          <w:bCs/>
          <w:sz w:val="22"/>
          <w:szCs w:val="22"/>
          <w:lang w:val="sr-Latn-ME"/>
        </w:rPr>
      </w:pPr>
    </w:p>
    <w:p w14:paraId="4B0BF345" w14:textId="77777777" w:rsidR="0072020E" w:rsidRPr="002B09C8" w:rsidRDefault="0072020E" w:rsidP="00C74431">
      <w:pPr>
        <w:widowControl w:val="0"/>
        <w:tabs>
          <w:tab w:val="left" w:pos="540"/>
          <w:tab w:val="left" w:pos="569"/>
        </w:tabs>
        <w:ind w:left="540" w:hanging="540"/>
        <w:jc w:val="both"/>
        <w:rPr>
          <w:b/>
          <w:bCs/>
          <w:sz w:val="22"/>
          <w:szCs w:val="22"/>
          <w:lang w:val="sr-Latn-ME"/>
        </w:rPr>
      </w:pPr>
      <w:r w:rsidRPr="002B09C8">
        <w:rPr>
          <w:b/>
          <w:bCs/>
          <w:sz w:val="22"/>
          <w:szCs w:val="22"/>
          <w:lang w:val="sr-Latn-ME"/>
        </w:rPr>
        <w:t xml:space="preserve">4.7. </w:t>
      </w:r>
      <w:r w:rsidR="00480FB1" w:rsidRPr="002B09C8">
        <w:rPr>
          <w:b/>
          <w:bCs/>
          <w:sz w:val="22"/>
          <w:szCs w:val="22"/>
          <w:lang w:val="sr-Latn-ME"/>
        </w:rPr>
        <w:tab/>
      </w:r>
      <w:r w:rsidRPr="002B09C8">
        <w:rPr>
          <w:b/>
          <w:bCs/>
          <w:sz w:val="22"/>
          <w:szCs w:val="22"/>
          <w:lang w:val="sr-Latn-ME"/>
        </w:rPr>
        <w:t xml:space="preserve">Uticaj na </w:t>
      </w:r>
      <w:r w:rsidR="002031B3" w:rsidRPr="002B09C8">
        <w:rPr>
          <w:b/>
          <w:bCs/>
          <w:sz w:val="22"/>
          <w:szCs w:val="22"/>
          <w:lang w:val="sr-Latn-ME"/>
        </w:rPr>
        <w:t xml:space="preserve">sposobnost </w:t>
      </w:r>
      <w:r w:rsidR="00F34554" w:rsidRPr="002B09C8">
        <w:rPr>
          <w:b/>
          <w:bCs/>
          <w:sz w:val="22"/>
          <w:szCs w:val="22"/>
          <w:lang w:val="sr-Latn-ME"/>
        </w:rPr>
        <w:t>upravljanja vozili</w:t>
      </w:r>
      <w:r w:rsidRPr="002B09C8">
        <w:rPr>
          <w:b/>
          <w:bCs/>
          <w:sz w:val="22"/>
          <w:szCs w:val="22"/>
          <w:lang w:val="sr-Latn-ME"/>
        </w:rPr>
        <w:t>m</w:t>
      </w:r>
      <w:r w:rsidR="00F34554" w:rsidRPr="002B09C8">
        <w:rPr>
          <w:b/>
          <w:bCs/>
          <w:sz w:val="22"/>
          <w:szCs w:val="22"/>
          <w:lang w:val="sr-Latn-ME"/>
        </w:rPr>
        <w:t>a</w:t>
      </w:r>
      <w:r w:rsidRPr="002B09C8">
        <w:rPr>
          <w:b/>
          <w:bCs/>
          <w:sz w:val="22"/>
          <w:szCs w:val="22"/>
          <w:lang w:val="sr-Latn-ME"/>
        </w:rPr>
        <w:t xml:space="preserve"> i </w:t>
      </w:r>
      <w:r w:rsidR="000D3449" w:rsidRPr="002B09C8">
        <w:rPr>
          <w:b/>
          <w:bCs/>
          <w:sz w:val="22"/>
          <w:szCs w:val="22"/>
          <w:lang w:val="sr-Latn-ME"/>
        </w:rPr>
        <w:t xml:space="preserve">rukovanje </w:t>
      </w:r>
      <w:r w:rsidRPr="002B09C8">
        <w:rPr>
          <w:b/>
          <w:bCs/>
          <w:sz w:val="22"/>
          <w:szCs w:val="22"/>
          <w:lang w:val="sr-Latn-ME"/>
        </w:rPr>
        <w:t>mašinama</w:t>
      </w:r>
    </w:p>
    <w:p w14:paraId="2480823F" w14:textId="77777777" w:rsidR="00FB74D3" w:rsidRPr="002B09C8" w:rsidRDefault="00FB74D3" w:rsidP="00C74431">
      <w:pPr>
        <w:widowControl w:val="0"/>
        <w:tabs>
          <w:tab w:val="left" w:pos="540"/>
          <w:tab w:val="left" w:pos="569"/>
        </w:tabs>
        <w:ind w:left="540" w:hanging="540"/>
        <w:jc w:val="both"/>
        <w:rPr>
          <w:b/>
          <w:bCs/>
          <w:sz w:val="22"/>
          <w:szCs w:val="22"/>
          <w:lang w:val="sr-Latn-ME"/>
        </w:rPr>
      </w:pPr>
    </w:p>
    <w:p w14:paraId="71117F1A" w14:textId="76A41943" w:rsidR="00FB74D3" w:rsidRPr="002B09C8" w:rsidRDefault="006B20B4" w:rsidP="00C74431">
      <w:pPr>
        <w:widowControl w:val="0"/>
        <w:jc w:val="both"/>
        <w:rPr>
          <w:bCs/>
          <w:sz w:val="22"/>
          <w:szCs w:val="22"/>
          <w:lang w:val="sr-Latn-ME"/>
        </w:rPr>
      </w:pPr>
      <w:r w:rsidRPr="002B09C8">
        <w:rPr>
          <w:bCs/>
          <w:sz w:val="22"/>
          <w:szCs w:val="22"/>
          <w:lang w:val="sr-Latn-ME"/>
        </w:rPr>
        <w:t>L</w:t>
      </w:r>
      <w:r w:rsidR="005F3852" w:rsidRPr="002B09C8">
        <w:rPr>
          <w:bCs/>
          <w:sz w:val="22"/>
          <w:szCs w:val="22"/>
          <w:lang w:val="sr-Latn-ME"/>
        </w:rPr>
        <w:t>ij</w:t>
      </w:r>
      <w:r w:rsidRPr="002B09C8">
        <w:rPr>
          <w:bCs/>
          <w:sz w:val="22"/>
          <w:szCs w:val="22"/>
          <w:lang w:val="sr-Latn-ME"/>
        </w:rPr>
        <w:t xml:space="preserve">ek </w:t>
      </w:r>
      <w:proofErr w:type="spellStart"/>
      <w:r w:rsidRPr="002B09C8">
        <w:rPr>
          <w:bCs/>
          <w:sz w:val="22"/>
          <w:szCs w:val="22"/>
          <w:lang w:val="sr-Latn-ME"/>
        </w:rPr>
        <w:t>Tysabri</w:t>
      </w:r>
      <w:proofErr w:type="spellEnd"/>
      <w:r w:rsidRPr="002B09C8">
        <w:rPr>
          <w:bCs/>
          <w:sz w:val="22"/>
          <w:szCs w:val="22"/>
          <w:lang w:val="sr-Latn-ME"/>
        </w:rPr>
        <w:t xml:space="preserve"> ima manji uticaj na sposobnost upravljanja vozilima i rukovanje mašinama</w:t>
      </w:r>
      <w:r w:rsidR="005F3852" w:rsidRPr="002B09C8">
        <w:rPr>
          <w:bCs/>
          <w:sz w:val="22"/>
          <w:szCs w:val="22"/>
          <w:lang w:val="sr-Latn-ME"/>
        </w:rPr>
        <w:t>.</w:t>
      </w:r>
      <w:r w:rsidRPr="002B09C8">
        <w:rPr>
          <w:bCs/>
          <w:sz w:val="22"/>
          <w:szCs w:val="22"/>
          <w:lang w:val="sr-Latn-ME"/>
        </w:rPr>
        <w:t xml:space="preserve"> Nakon prim</w:t>
      </w:r>
      <w:r w:rsidR="005F3852" w:rsidRPr="002B09C8">
        <w:rPr>
          <w:bCs/>
          <w:sz w:val="22"/>
          <w:szCs w:val="22"/>
          <w:lang w:val="sr-Latn-ME"/>
        </w:rPr>
        <w:t>j</w:t>
      </w:r>
      <w:r w:rsidRPr="002B09C8">
        <w:rPr>
          <w:bCs/>
          <w:sz w:val="22"/>
          <w:szCs w:val="22"/>
          <w:lang w:val="sr-Latn-ME"/>
        </w:rPr>
        <w:t xml:space="preserve">ene </w:t>
      </w:r>
      <w:proofErr w:type="spellStart"/>
      <w:r w:rsidRPr="002B09C8">
        <w:rPr>
          <w:bCs/>
          <w:sz w:val="22"/>
          <w:szCs w:val="22"/>
          <w:lang w:val="sr-Latn-ME"/>
        </w:rPr>
        <w:t>nazalizumaba</w:t>
      </w:r>
      <w:proofErr w:type="spellEnd"/>
      <w:r w:rsidRPr="002B09C8">
        <w:rPr>
          <w:bCs/>
          <w:sz w:val="22"/>
          <w:szCs w:val="22"/>
          <w:lang w:val="sr-Latn-ME"/>
        </w:rPr>
        <w:t xml:space="preserve"> može se pojaviti vrtoglavica (vid</w:t>
      </w:r>
      <w:r w:rsidR="00912514" w:rsidRPr="002B09C8">
        <w:rPr>
          <w:bCs/>
          <w:sz w:val="22"/>
          <w:szCs w:val="22"/>
          <w:lang w:val="sr-Latn-ME"/>
        </w:rPr>
        <w:t>j</w:t>
      </w:r>
      <w:r w:rsidRPr="002B09C8">
        <w:rPr>
          <w:bCs/>
          <w:sz w:val="22"/>
          <w:szCs w:val="22"/>
          <w:lang w:val="sr-Latn-ME"/>
        </w:rPr>
        <w:t>eti dio 4.8).</w:t>
      </w:r>
    </w:p>
    <w:p w14:paraId="47460EF1" w14:textId="77777777" w:rsidR="0072020E" w:rsidRPr="002B09C8" w:rsidRDefault="0072020E" w:rsidP="00C74431">
      <w:pPr>
        <w:widowControl w:val="0"/>
        <w:tabs>
          <w:tab w:val="left" w:pos="540"/>
          <w:tab w:val="left" w:pos="569"/>
        </w:tabs>
        <w:jc w:val="both"/>
        <w:rPr>
          <w:b/>
          <w:bCs/>
          <w:sz w:val="22"/>
          <w:szCs w:val="22"/>
          <w:lang w:val="sr-Latn-ME"/>
        </w:rPr>
      </w:pPr>
    </w:p>
    <w:p w14:paraId="65B80F30"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4.8. </w:t>
      </w:r>
      <w:r w:rsidR="00480FB1" w:rsidRPr="002B09C8">
        <w:rPr>
          <w:b/>
          <w:bCs/>
          <w:sz w:val="22"/>
          <w:szCs w:val="22"/>
          <w:lang w:val="sr-Latn-ME"/>
        </w:rPr>
        <w:tab/>
      </w:r>
      <w:r w:rsidRPr="002B09C8">
        <w:rPr>
          <w:b/>
          <w:bCs/>
          <w:sz w:val="22"/>
          <w:szCs w:val="22"/>
          <w:lang w:val="sr-Latn-ME"/>
        </w:rPr>
        <w:t>Neželjena dejstva</w:t>
      </w:r>
    </w:p>
    <w:p w14:paraId="612B83E5" w14:textId="77777777" w:rsidR="004E70AD" w:rsidRPr="002B09C8" w:rsidRDefault="004E70AD" w:rsidP="00C74431">
      <w:pPr>
        <w:widowControl w:val="0"/>
        <w:tabs>
          <w:tab w:val="left" w:pos="540"/>
          <w:tab w:val="left" w:pos="569"/>
        </w:tabs>
        <w:jc w:val="both"/>
        <w:rPr>
          <w:b/>
          <w:bCs/>
          <w:sz w:val="22"/>
          <w:szCs w:val="22"/>
          <w:lang w:val="sr-Latn-ME"/>
        </w:rPr>
      </w:pPr>
    </w:p>
    <w:p w14:paraId="5D6FD1C4"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 xml:space="preserve">Sažetak </w:t>
      </w:r>
      <w:proofErr w:type="spellStart"/>
      <w:r w:rsidRPr="002B09C8">
        <w:rPr>
          <w:sz w:val="22"/>
          <w:szCs w:val="22"/>
          <w:u w:val="single"/>
          <w:lang w:val="sr-Latn-ME"/>
        </w:rPr>
        <w:t>bezbjednosnog</w:t>
      </w:r>
      <w:proofErr w:type="spellEnd"/>
      <w:r w:rsidRPr="002B09C8">
        <w:rPr>
          <w:sz w:val="22"/>
          <w:szCs w:val="22"/>
          <w:u w:val="single"/>
          <w:lang w:val="sr-Latn-ME"/>
        </w:rPr>
        <w:t xml:space="preserve"> profila</w:t>
      </w:r>
    </w:p>
    <w:p w14:paraId="168EAA32" w14:textId="0543C7B3" w:rsidR="00FB74D3" w:rsidRPr="002B09C8" w:rsidRDefault="00FB74D3" w:rsidP="00C74431">
      <w:pPr>
        <w:widowControl w:val="0"/>
        <w:jc w:val="both"/>
        <w:rPr>
          <w:sz w:val="22"/>
          <w:szCs w:val="22"/>
          <w:lang w:val="sr-Latn-ME"/>
        </w:rPr>
      </w:pPr>
      <w:r w:rsidRPr="002B09C8">
        <w:rPr>
          <w:sz w:val="22"/>
          <w:szCs w:val="22"/>
          <w:lang w:val="sr-Latn-ME"/>
        </w:rPr>
        <w:t xml:space="preserve">U </w:t>
      </w:r>
      <w:proofErr w:type="spellStart"/>
      <w:r w:rsidRPr="002B09C8">
        <w:rPr>
          <w:sz w:val="22"/>
          <w:szCs w:val="22"/>
          <w:lang w:val="sr-Latn-ME"/>
        </w:rPr>
        <w:t>placebo</w:t>
      </w:r>
      <w:proofErr w:type="spellEnd"/>
      <w:r w:rsidRPr="002B09C8">
        <w:rPr>
          <w:sz w:val="22"/>
          <w:szCs w:val="22"/>
          <w:lang w:val="sr-Latn-ME"/>
        </w:rPr>
        <w:t xml:space="preserve"> kontrolisanim ispitivanjima na 1617 pacijenata sa MS-om liječenih </w:t>
      </w:r>
      <w:proofErr w:type="spellStart"/>
      <w:r w:rsidRPr="002B09C8">
        <w:rPr>
          <w:sz w:val="22"/>
          <w:szCs w:val="22"/>
          <w:lang w:val="sr-Latn-ME"/>
        </w:rPr>
        <w:t>natalizumabom</w:t>
      </w:r>
      <w:proofErr w:type="spellEnd"/>
      <w:r w:rsidRPr="002B09C8">
        <w:rPr>
          <w:sz w:val="22"/>
          <w:szCs w:val="22"/>
          <w:lang w:val="sr-Latn-ME"/>
        </w:rPr>
        <w:t xml:space="preserve"> do 2 godine (</w:t>
      </w:r>
      <w:proofErr w:type="spellStart"/>
      <w:r w:rsidRPr="002B09C8">
        <w:rPr>
          <w:sz w:val="22"/>
          <w:szCs w:val="22"/>
          <w:lang w:val="sr-Latn-ME"/>
        </w:rPr>
        <w:t>placebo</w:t>
      </w:r>
      <w:proofErr w:type="spellEnd"/>
      <w:r w:rsidRPr="002B09C8">
        <w:rPr>
          <w:sz w:val="22"/>
          <w:szCs w:val="22"/>
          <w:lang w:val="sr-Latn-ME"/>
        </w:rPr>
        <w:t xml:space="preserve">: 1135 pacijenata), neželjena dejstva koja su dovela do prekida terapije pojavila su se kod 5,8 % pacijenata liječenih </w:t>
      </w:r>
      <w:proofErr w:type="spellStart"/>
      <w:r w:rsidRPr="002B09C8">
        <w:rPr>
          <w:sz w:val="22"/>
          <w:szCs w:val="22"/>
          <w:lang w:val="sr-Latn-ME"/>
        </w:rPr>
        <w:t>natalizumabom</w:t>
      </w:r>
      <w:proofErr w:type="spellEnd"/>
      <w:r w:rsidRPr="002B09C8">
        <w:rPr>
          <w:sz w:val="22"/>
          <w:szCs w:val="22"/>
          <w:lang w:val="sr-Latn-ME"/>
        </w:rPr>
        <w:t xml:space="preserve"> (</w:t>
      </w:r>
      <w:proofErr w:type="spellStart"/>
      <w:r w:rsidRPr="002B09C8">
        <w:rPr>
          <w:sz w:val="22"/>
          <w:szCs w:val="22"/>
          <w:lang w:val="sr-Latn-ME"/>
        </w:rPr>
        <w:t>placebo</w:t>
      </w:r>
      <w:proofErr w:type="spellEnd"/>
      <w:r w:rsidRPr="002B09C8">
        <w:rPr>
          <w:sz w:val="22"/>
          <w:szCs w:val="22"/>
          <w:lang w:val="sr-Latn-ME"/>
        </w:rPr>
        <w:t xml:space="preserve">: 4,8 % pacijenata). Tokom 2-godišnjeg trajanja studija, 43,5 % pacijenata liječenih </w:t>
      </w:r>
      <w:proofErr w:type="spellStart"/>
      <w:r w:rsidRPr="002B09C8">
        <w:rPr>
          <w:sz w:val="22"/>
          <w:szCs w:val="22"/>
          <w:lang w:val="sr-Latn-ME"/>
        </w:rPr>
        <w:t>natalizumabom</w:t>
      </w:r>
      <w:proofErr w:type="spellEnd"/>
      <w:r w:rsidRPr="002B09C8">
        <w:rPr>
          <w:sz w:val="22"/>
          <w:szCs w:val="22"/>
          <w:lang w:val="sr-Latn-ME"/>
        </w:rPr>
        <w:t xml:space="preserve"> prijavilo je neželjene reakcije (</w:t>
      </w:r>
      <w:proofErr w:type="spellStart"/>
      <w:r w:rsidRPr="002B09C8">
        <w:rPr>
          <w:sz w:val="22"/>
          <w:szCs w:val="22"/>
          <w:lang w:val="sr-Latn-ME"/>
        </w:rPr>
        <w:t>placebo</w:t>
      </w:r>
      <w:proofErr w:type="spellEnd"/>
      <w:r w:rsidRPr="002B09C8">
        <w:rPr>
          <w:sz w:val="22"/>
          <w:szCs w:val="22"/>
          <w:lang w:val="sr-Latn-ME"/>
        </w:rPr>
        <w:t xml:space="preserve">: 39,6 %). </w:t>
      </w:r>
    </w:p>
    <w:p w14:paraId="7A241056" w14:textId="77777777" w:rsidR="00FB74D3" w:rsidRPr="002B09C8" w:rsidRDefault="00FB74D3" w:rsidP="00C74431">
      <w:pPr>
        <w:widowControl w:val="0"/>
        <w:jc w:val="both"/>
        <w:rPr>
          <w:sz w:val="22"/>
          <w:szCs w:val="22"/>
          <w:lang w:val="sr-Latn-ME"/>
        </w:rPr>
      </w:pPr>
    </w:p>
    <w:p w14:paraId="54939AB8" w14:textId="3EE03696" w:rsidR="00FB74D3" w:rsidRPr="002B09C8" w:rsidRDefault="0054647B" w:rsidP="00C74431">
      <w:pPr>
        <w:widowControl w:val="0"/>
        <w:jc w:val="both"/>
        <w:rPr>
          <w:sz w:val="22"/>
          <w:szCs w:val="22"/>
          <w:lang w:val="sr-Latn-ME"/>
        </w:rPr>
      </w:pPr>
      <w:r w:rsidRPr="002B09C8">
        <w:rPr>
          <w:sz w:val="22"/>
          <w:szCs w:val="22"/>
          <w:lang w:val="sr-Latn-ME"/>
        </w:rPr>
        <w:t>U kliničkim ispitivanjima kod 6786 pacijenata l</w:t>
      </w:r>
      <w:r w:rsidR="005F3852" w:rsidRPr="002B09C8">
        <w:rPr>
          <w:sz w:val="22"/>
          <w:szCs w:val="22"/>
          <w:lang w:val="sr-Latn-ME"/>
        </w:rPr>
        <w:t>ij</w:t>
      </w:r>
      <w:r w:rsidRPr="002B09C8">
        <w:rPr>
          <w:sz w:val="22"/>
          <w:szCs w:val="22"/>
          <w:lang w:val="sr-Latn-ME"/>
        </w:rPr>
        <w:t xml:space="preserve">ečenih </w:t>
      </w:r>
      <w:proofErr w:type="spellStart"/>
      <w:r w:rsidRPr="002B09C8">
        <w:rPr>
          <w:sz w:val="22"/>
          <w:szCs w:val="22"/>
          <w:lang w:val="sr-Latn-ME"/>
        </w:rPr>
        <w:t>natalizumabom</w:t>
      </w:r>
      <w:proofErr w:type="spellEnd"/>
      <w:r w:rsidRPr="002B09C8">
        <w:rPr>
          <w:sz w:val="22"/>
          <w:szCs w:val="22"/>
          <w:lang w:val="sr-Latn-ME"/>
        </w:rPr>
        <w:t xml:space="preserve"> (</w:t>
      </w:r>
      <w:proofErr w:type="spellStart"/>
      <w:r w:rsidRPr="002B09C8">
        <w:rPr>
          <w:sz w:val="22"/>
          <w:szCs w:val="22"/>
          <w:lang w:val="sr-Latn-ME"/>
        </w:rPr>
        <w:t>intravenska</w:t>
      </w:r>
      <w:proofErr w:type="spellEnd"/>
      <w:r w:rsidRPr="002B09C8">
        <w:rPr>
          <w:sz w:val="22"/>
          <w:szCs w:val="22"/>
          <w:lang w:val="sr-Latn-ME"/>
        </w:rPr>
        <w:t xml:space="preserve"> infuzija i </w:t>
      </w:r>
      <w:proofErr w:type="spellStart"/>
      <w:r w:rsidRPr="002B09C8">
        <w:rPr>
          <w:sz w:val="22"/>
          <w:szCs w:val="22"/>
          <w:lang w:val="sr-Latn-ME"/>
        </w:rPr>
        <w:t>su</w:t>
      </w:r>
      <w:r w:rsidR="009A3116" w:rsidRPr="002B09C8">
        <w:rPr>
          <w:sz w:val="22"/>
          <w:szCs w:val="22"/>
          <w:lang w:val="sr-Latn-ME"/>
        </w:rPr>
        <w:t>b</w:t>
      </w:r>
      <w:r w:rsidRPr="002B09C8">
        <w:rPr>
          <w:sz w:val="22"/>
          <w:szCs w:val="22"/>
          <w:lang w:val="sr-Latn-ME"/>
        </w:rPr>
        <w:t>kutana</w:t>
      </w:r>
      <w:proofErr w:type="spellEnd"/>
      <w:r w:rsidRPr="002B09C8">
        <w:rPr>
          <w:sz w:val="22"/>
          <w:szCs w:val="22"/>
          <w:lang w:val="sr-Latn-ME"/>
        </w:rPr>
        <w:t xml:space="preserve"> injekcija) najčešć</w:t>
      </w:r>
      <w:r w:rsidR="005F3852" w:rsidRPr="002B09C8">
        <w:rPr>
          <w:sz w:val="22"/>
          <w:szCs w:val="22"/>
          <w:lang w:val="sr-Latn-ME"/>
        </w:rPr>
        <w:t>a</w:t>
      </w:r>
      <w:r w:rsidRPr="002B09C8">
        <w:rPr>
          <w:sz w:val="22"/>
          <w:szCs w:val="22"/>
          <w:lang w:val="sr-Latn-ME"/>
        </w:rPr>
        <w:t xml:space="preserve"> neželjen</w:t>
      </w:r>
      <w:r w:rsidR="005F3852" w:rsidRPr="002B09C8">
        <w:rPr>
          <w:sz w:val="22"/>
          <w:szCs w:val="22"/>
          <w:lang w:val="sr-Latn-ME"/>
        </w:rPr>
        <w:t>a</w:t>
      </w:r>
      <w:r w:rsidRPr="002B09C8">
        <w:rPr>
          <w:sz w:val="22"/>
          <w:szCs w:val="22"/>
          <w:lang w:val="sr-Latn-ME"/>
        </w:rPr>
        <w:t xml:space="preserve"> </w:t>
      </w:r>
      <w:r w:rsidR="005F3852" w:rsidRPr="002B09C8">
        <w:rPr>
          <w:sz w:val="22"/>
          <w:szCs w:val="22"/>
          <w:lang w:val="sr-Latn-ME"/>
        </w:rPr>
        <w:t>dejstva</w:t>
      </w:r>
      <w:r w:rsidRPr="002B09C8">
        <w:rPr>
          <w:sz w:val="22"/>
          <w:szCs w:val="22"/>
          <w:lang w:val="sr-Latn-ME"/>
        </w:rPr>
        <w:t xml:space="preserve"> povezan</w:t>
      </w:r>
      <w:r w:rsidR="005F3852" w:rsidRPr="002B09C8">
        <w:rPr>
          <w:sz w:val="22"/>
          <w:szCs w:val="22"/>
          <w:lang w:val="sr-Latn-ME"/>
        </w:rPr>
        <w:t>a</w:t>
      </w:r>
      <w:r w:rsidRPr="002B09C8">
        <w:rPr>
          <w:sz w:val="22"/>
          <w:szCs w:val="22"/>
          <w:lang w:val="sr-Latn-ME"/>
        </w:rPr>
        <w:t xml:space="preserve"> sa prim</w:t>
      </w:r>
      <w:r w:rsidR="005F3852" w:rsidRPr="002B09C8">
        <w:rPr>
          <w:sz w:val="22"/>
          <w:szCs w:val="22"/>
          <w:lang w:val="sr-Latn-ME"/>
        </w:rPr>
        <w:t>j</w:t>
      </w:r>
      <w:r w:rsidRPr="002B09C8">
        <w:rPr>
          <w:sz w:val="22"/>
          <w:szCs w:val="22"/>
          <w:lang w:val="sr-Latn-ME"/>
        </w:rPr>
        <w:t xml:space="preserve">enom </w:t>
      </w:r>
      <w:proofErr w:type="spellStart"/>
      <w:r w:rsidRPr="002B09C8">
        <w:rPr>
          <w:sz w:val="22"/>
          <w:szCs w:val="22"/>
          <w:lang w:val="sr-Latn-ME"/>
        </w:rPr>
        <w:t>natalizumaba</w:t>
      </w:r>
      <w:proofErr w:type="spellEnd"/>
      <w:r w:rsidRPr="002B09C8">
        <w:rPr>
          <w:sz w:val="22"/>
          <w:szCs w:val="22"/>
          <w:lang w:val="sr-Latn-ME"/>
        </w:rPr>
        <w:t xml:space="preserve"> bil</w:t>
      </w:r>
      <w:r w:rsidR="005F3852" w:rsidRPr="002B09C8">
        <w:rPr>
          <w:sz w:val="22"/>
          <w:szCs w:val="22"/>
          <w:lang w:val="sr-Latn-ME"/>
        </w:rPr>
        <w:t>a</w:t>
      </w:r>
      <w:r w:rsidRPr="002B09C8">
        <w:rPr>
          <w:sz w:val="22"/>
          <w:szCs w:val="22"/>
          <w:lang w:val="sr-Latn-ME"/>
        </w:rPr>
        <w:t xml:space="preserve"> su: glavobolja (32%), </w:t>
      </w:r>
      <w:proofErr w:type="spellStart"/>
      <w:r w:rsidRPr="002B09C8">
        <w:rPr>
          <w:sz w:val="22"/>
          <w:szCs w:val="22"/>
          <w:lang w:val="sr-Latn-ME"/>
        </w:rPr>
        <w:t>nazofaringitis</w:t>
      </w:r>
      <w:proofErr w:type="spellEnd"/>
      <w:r w:rsidRPr="002B09C8">
        <w:rPr>
          <w:sz w:val="22"/>
          <w:szCs w:val="22"/>
          <w:lang w:val="sr-Latn-ME"/>
        </w:rPr>
        <w:t xml:space="preserve"> (27%), zamor (23%), infekcija </w:t>
      </w:r>
      <w:proofErr w:type="spellStart"/>
      <w:r w:rsidRPr="002B09C8">
        <w:rPr>
          <w:sz w:val="22"/>
          <w:szCs w:val="22"/>
          <w:lang w:val="sr-Latn-ME"/>
        </w:rPr>
        <w:t>urinarnog</w:t>
      </w:r>
      <w:proofErr w:type="spellEnd"/>
      <w:r w:rsidRPr="002B09C8">
        <w:rPr>
          <w:sz w:val="22"/>
          <w:szCs w:val="22"/>
          <w:lang w:val="sr-Latn-ME"/>
        </w:rPr>
        <w:t xml:space="preserve"> trakta (16%), mučnina (15%), </w:t>
      </w:r>
      <w:proofErr w:type="spellStart"/>
      <w:r w:rsidRPr="002B09C8">
        <w:rPr>
          <w:sz w:val="22"/>
          <w:szCs w:val="22"/>
          <w:lang w:val="sr-Latn-ME"/>
        </w:rPr>
        <w:t>artralgija</w:t>
      </w:r>
      <w:proofErr w:type="spellEnd"/>
      <w:r w:rsidRPr="002B09C8">
        <w:rPr>
          <w:sz w:val="22"/>
          <w:szCs w:val="22"/>
          <w:lang w:val="sr-Latn-ME"/>
        </w:rPr>
        <w:t xml:space="preserve"> (14%) i vrtoglavica (11%)</w:t>
      </w:r>
      <w:r w:rsidR="00FB74D3" w:rsidRPr="002B09C8">
        <w:rPr>
          <w:sz w:val="22"/>
          <w:szCs w:val="22"/>
          <w:lang w:val="sr-Latn-ME"/>
        </w:rPr>
        <w:t xml:space="preserve">. </w:t>
      </w:r>
    </w:p>
    <w:p w14:paraId="3DA358D7" w14:textId="77777777" w:rsidR="00FB74D3" w:rsidRPr="002B09C8" w:rsidRDefault="00FB74D3" w:rsidP="00C74431">
      <w:pPr>
        <w:widowControl w:val="0"/>
        <w:jc w:val="both"/>
        <w:rPr>
          <w:sz w:val="22"/>
          <w:szCs w:val="22"/>
          <w:u w:val="single"/>
          <w:lang w:val="sr-Latn-ME"/>
        </w:rPr>
      </w:pPr>
    </w:p>
    <w:p w14:paraId="3E93FB55"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lastRenderedPageBreak/>
        <w:t>Tabelarni spisak neželjenih reakcija</w:t>
      </w:r>
    </w:p>
    <w:p w14:paraId="3935F441" w14:textId="77777777" w:rsidR="00FB74D3" w:rsidRPr="002B09C8" w:rsidRDefault="00FB74D3" w:rsidP="00C74431">
      <w:pPr>
        <w:widowControl w:val="0"/>
        <w:jc w:val="both"/>
        <w:rPr>
          <w:sz w:val="22"/>
          <w:szCs w:val="22"/>
          <w:lang w:val="sr-Latn-ME"/>
        </w:rPr>
      </w:pPr>
    </w:p>
    <w:p w14:paraId="29239949" w14:textId="438D350C" w:rsidR="0054647B" w:rsidRPr="002B09C8" w:rsidRDefault="0054647B" w:rsidP="00C74431">
      <w:pPr>
        <w:widowControl w:val="0"/>
        <w:jc w:val="both"/>
        <w:rPr>
          <w:sz w:val="22"/>
          <w:szCs w:val="22"/>
          <w:lang w:val="sr-Latn-ME"/>
        </w:rPr>
      </w:pPr>
      <w:r w:rsidRPr="002B09C8">
        <w:rPr>
          <w:sz w:val="22"/>
          <w:szCs w:val="22"/>
          <w:lang w:val="sr-Latn-ME"/>
        </w:rPr>
        <w:t>U tabeli 1 u nastavku prikazane su neželjen</w:t>
      </w:r>
      <w:r w:rsidR="005F3852" w:rsidRPr="002B09C8">
        <w:rPr>
          <w:sz w:val="22"/>
          <w:szCs w:val="22"/>
          <w:lang w:val="sr-Latn-ME"/>
        </w:rPr>
        <w:t>a</w:t>
      </w:r>
      <w:r w:rsidRPr="002B09C8">
        <w:rPr>
          <w:sz w:val="22"/>
          <w:szCs w:val="22"/>
          <w:lang w:val="sr-Latn-ME"/>
        </w:rPr>
        <w:t xml:space="preserve"> </w:t>
      </w:r>
      <w:r w:rsidR="005F3852" w:rsidRPr="002B09C8">
        <w:rPr>
          <w:sz w:val="22"/>
          <w:szCs w:val="22"/>
          <w:lang w:val="sr-Latn-ME"/>
        </w:rPr>
        <w:t>dejstva</w:t>
      </w:r>
      <w:r w:rsidRPr="002B09C8">
        <w:rPr>
          <w:sz w:val="22"/>
          <w:szCs w:val="22"/>
          <w:lang w:val="sr-Latn-ME"/>
        </w:rPr>
        <w:t xml:space="preserve"> koje proizilaze iz kliničkih ispitivanja bezb</w:t>
      </w:r>
      <w:r w:rsidR="009A3116" w:rsidRPr="002B09C8">
        <w:rPr>
          <w:sz w:val="22"/>
          <w:szCs w:val="22"/>
          <w:lang w:val="sr-Latn-ME"/>
        </w:rPr>
        <w:t>j</w:t>
      </w:r>
      <w:r w:rsidRPr="002B09C8">
        <w:rPr>
          <w:sz w:val="22"/>
          <w:szCs w:val="22"/>
          <w:lang w:val="sr-Latn-ME"/>
        </w:rPr>
        <w:t>ednosti nakon stavljanja l</w:t>
      </w:r>
      <w:r w:rsidR="00585FC1" w:rsidRPr="002B09C8">
        <w:rPr>
          <w:sz w:val="22"/>
          <w:szCs w:val="22"/>
          <w:lang w:val="sr-Latn-ME"/>
        </w:rPr>
        <w:t>ij</w:t>
      </w:r>
      <w:r w:rsidRPr="002B09C8">
        <w:rPr>
          <w:sz w:val="22"/>
          <w:szCs w:val="22"/>
          <w:lang w:val="sr-Latn-ME"/>
        </w:rPr>
        <w:t>eka u promet i spontanih prijava. Neželjen</w:t>
      </w:r>
      <w:r w:rsidR="00585FC1" w:rsidRPr="002B09C8">
        <w:rPr>
          <w:sz w:val="22"/>
          <w:szCs w:val="22"/>
          <w:lang w:val="sr-Latn-ME"/>
        </w:rPr>
        <w:t>a</w:t>
      </w:r>
      <w:r w:rsidRPr="002B09C8">
        <w:rPr>
          <w:sz w:val="22"/>
          <w:szCs w:val="22"/>
          <w:lang w:val="sr-Latn-ME"/>
        </w:rPr>
        <w:t xml:space="preserve"> </w:t>
      </w:r>
      <w:r w:rsidR="00585FC1" w:rsidRPr="002B09C8">
        <w:rPr>
          <w:sz w:val="22"/>
          <w:szCs w:val="22"/>
          <w:lang w:val="sr-Latn-ME"/>
        </w:rPr>
        <w:t>dejstva</w:t>
      </w:r>
      <w:r w:rsidRPr="002B09C8">
        <w:rPr>
          <w:sz w:val="22"/>
          <w:szCs w:val="22"/>
          <w:lang w:val="sr-Latn-ME"/>
        </w:rPr>
        <w:t xml:space="preserve"> su naveden</w:t>
      </w:r>
      <w:r w:rsidR="00585FC1" w:rsidRPr="002B09C8">
        <w:rPr>
          <w:sz w:val="22"/>
          <w:szCs w:val="22"/>
          <w:lang w:val="sr-Latn-ME"/>
        </w:rPr>
        <w:t>a</w:t>
      </w:r>
      <w:r w:rsidRPr="002B09C8">
        <w:rPr>
          <w:sz w:val="22"/>
          <w:szCs w:val="22"/>
          <w:lang w:val="sr-Latn-ME"/>
        </w:rPr>
        <w:t xml:space="preserve"> u okviru grupa sistema organa</w:t>
      </w:r>
      <w:r w:rsidR="00585FC1" w:rsidRPr="002B09C8">
        <w:rPr>
          <w:sz w:val="22"/>
          <w:szCs w:val="22"/>
          <w:lang w:val="sr-Latn-ME"/>
        </w:rPr>
        <w:t>,</w:t>
      </w:r>
      <w:r w:rsidRPr="002B09C8">
        <w:rPr>
          <w:sz w:val="22"/>
          <w:szCs w:val="22"/>
          <w:lang w:val="sr-Latn-ME"/>
        </w:rPr>
        <w:t xml:space="preserve"> naveden</w:t>
      </w:r>
      <w:r w:rsidR="00585FC1" w:rsidRPr="002B09C8">
        <w:rPr>
          <w:sz w:val="22"/>
          <w:szCs w:val="22"/>
          <w:lang w:val="sr-Latn-ME"/>
        </w:rPr>
        <w:t>a</w:t>
      </w:r>
      <w:r w:rsidRPr="002B09C8">
        <w:rPr>
          <w:sz w:val="22"/>
          <w:szCs w:val="22"/>
          <w:lang w:val="sr-Latn-ME"/>
        </w:rPr>
        <w:t xml:space="preserve"> sa sl</w:t>
      </w:r>
      <w:r w:rsidR="00585FC1" w:rsidRPr="002B09C8">
        <w:rPr>
          <w:sz w:val="22"/>
          <w:szCs w:val="22"/>
          <w:lang w:val="sr-Latn-ME"/>
        </w:rPr>
        <w:t>j</w:t>
      </w:r>
      <w:r w:rsidRPr="002B09C8">
        <w:rPr>
          <w:sz w:val="22"/>
          <w:szCs w:val="22"/>
          <w:lang w:val="sr-Latn-ME"/>
        </w:rPr>
        <w:t>edećim učestalostima: veoma često (≥1/10); često (≥1/100 do &lt;1/10); povremeno (≥1/1000 do &lt;1/100); r</w:t>
      </w:r>
      <w:r w:rsidR="00585FC1" w:rsidRPr="002B09C8">
        <w:rPr>
          <w:sz w:val="22"/>
          <w:szCs w:val="22"/>
          <w:lang w:val="sr-Latn-ME"/>
        </w:rPr>
        <w:t>ij</w:t>
      </w:r>
      <w:r w:rsidRPr="002B09C8">
        <w:rPr>
          <w:sz w:val="22"/>
          <w:szCs w:val="22"/>
          <w:lang w:val="sr-Latn-ME"/>
        </w:rPr>
        <w:t>etko (≥1/10000 do &lt;1/1000); veoma r</w:t>
      </w:r>
      <w:r w:rsidR="00585FC1" w:rsidRPr="002B09C8">
        <w:rPr>
          <w:sz w:val="22"/>
          <w:szCs w:val="22"/>
          <w:lang w:val="sr-Latn-ME"/>
        </w:rPr>
        <w:t>ij</w:t>
      </w:r>
      <w:r w:rsidRPr="002B09C8">
        <w:rPr>
          <w:sz w:val="22"/>
          <w:szCs w:val="22"/>
          <w:lang w:val="sr-Latn-ME"/>
        </w:rPr>
        <w:t>etko (&lt;1/10000); nepoznata učestalost (ne može se proc</w:t>
      </w:r>
      <w:r w:rsidR="00585FC1" w:rsidRPr="002B09C8">
        <w:rPr>
          <w:sz w:val="22"/>
          <w:szCs w:val="22"/>
          <w:lang w:val="sr-Latn-ME"/>
        </w:rPr>
        <w:t>ij</w:t>
      </w:r>
      <w:r w:rsidRPr="002B09C8">
        <w:rPr>
          <w:sz w:val="22"/>
          <w:szCs w:val="22"/>
          <w:lang w:val="sr-Latn-ME"/>
        </w:rPr>
        <w:t>eniti na osnovu dostupnih podataka). U okviru svake grupe učestalosti, neželjen</w:t>
      </w:r>
      <w:r w:rsidR="00585FC1" w:rsidRPr="002B09C8">
        <w:rPr>
          <w:sz w:val="22"/>
          <w:szCs w:val="22"/>
          <w:lang w:val="sr-Latn-ME"/>
        </w:rPr>
        <w:t>a</w:t>
      </w:r>
      <w:r w:rsidRPr="002B09C8">
        <w:rPr>
          <w:sz w:val="22"/>
          <w:szCs w:val="22"/>
          <w:lang w:val="sr-Latn-ME"/>
        </w:rPr>
        <w:t xml:space="preserve"> </w:t>
      </w:r>
      <w:r w:rsidR="00585FC1" w:rsidRPr="002B09C8">
        <w:rPr>
          <w:sz w:val="22"/>
          <w:szCs w:val="22"/>
          <w:lang w:val="sr-Latn-ME"/>
        </w:rPr>
        <w:t>dejstva</w:t>
      </w:r>
      <w:r w:rsidRPr="002B09C8">
        <w:rPr>
          <w:sz w:val="22"/>
          <w:szCs w:val="22"/>
          <w:lang w:val="sr-Latn-ME"/>
        </w:rPr>
        <w:t xml:space="preserve"> su navedene prema </w:t>
      </w:r>
      <w:proofErr w:type="spellStart"/>
      <w:r w:rsidRPr="002B09C8">
        <w:rPr>
          <w:sz w:val="22"/>
          <w:szCs w:val="22"/>
          <w:lang w:val="sr-Latn-ME"/>
        </w:rPr>
        <w:t>opadajućem</w:t>
      </w:r>
      <w:proofErr w:type="spellEnd"/>
      <w:r w:rsidRPr="002B09C8">
        <w:rPr>
          <w:sz w:val="22"/>
          <w:szCs w:val="22"/>
          <w:lang w:val="sr-Latn-ME"/>
        </w:rPr>
        <w:t xml:space="preserve"> redosl</w:t>
      </w:r>
      <w:r w:rsidR="009A3116" w:rsidRPr="002B09C8">
        <w:rPr>
          <w:sz w:val="22"/>
          <w:szCs w:val="22"/>
          <w:lang w:val="sr-Latn-ME"/>
        </w:rPr>
        <w:t>ij</w:t>
      </w:r>
      <w:r w:rsidRPr="002B09C8">
        <w:rPr>
          <w:sz w:val="22"/>
          <w:szCs w:val="22"/>
          <w:lang w:val="sr-Latn-ME"/>
        </w:rPr>
        <w:t>edu ozbiljnosti.</w:t>
      </w:r>
    </w:p>
    <w:p w14:paraId="34E0DC7A" w14:textId="77777777" w:rsidR="0054647B" w:rsidRPr="002B09C8" w:rsidRDefault="0054647B" w:rsidP="00C74431">
      <w:pPr>
        <w:widowControl w:val="0"/>
        <w:jc w:val="both"/>
        <w:rPr>
          <w:sz w:val="22"/>
          <w:szCs w:val="22"/>
          <w:lang w:val="sr-Latn-ME"/>
        </w:rPr>
      </w:pPr>
    </w:p>
    <w:p w14:paraId="41F90064" w14:textId="28F2611C" w:rsidR="0054647B" w:rsidRPr="002B09C8" w:rsidRDefault="0054647B" w:rsidP="00C74431">
      <w:pPr>
        <w:widowControl w:val="0"/>
        <w:jc w:val="both"/>
        <w:rPr>
          <w:sz w:val="22"/>
          <w:szCs w:val="22"/>
          <w:lang w:val="sr-Latn-ME"/>
        </w:rPr>
      </w:pPr>
      <w:r w:rsidRPr="002B09C8">
        <w:rPr>
          <w:sz w:val="22"/>
          <w:szCs w:val="22"/>
          <w:lang w:val="sr-Latn-ME"/>
        </w:rPr>
        <w:t>Tabela 1: Neželjen</w:t>
      </w:r>
      <w:r w:rsidR="00585FC1" w:rsidRPr="002B09C8">
        <w:rPr>
          <w:sz w:val="22"/>
          <w:szCs w:val="22"/>
          <w:lang w:val="sr-Latn-ME"/>
        </w:rPr>
        <w:t>a</w:t>
      </w:r>
      <w:r w:rsidRPr="002B09C8">
        <w:rPr>
          <w:sz w:val="22"/>
          <w:szCs w:val="22"/>
          <w:lang w:val="sr-Latn-ME"/>
        </w:rPr>
        <w:t xml:space="preserve"> </w:t>
      </w:r>
      <w:r w:rsidR="00585FC1" w:rsidRPr="002B09C8">
        <w:rPr>
          <w:sz w:val="22"/>
          <w:szCs w:val="22"/>
          <w:lang w:val="sr-Latn-ME"/>
        </w:rPr>
        <w:t>dejstva</w:t>
      </w:r>
    </w:p>
    <w:p w14:paraId="7CA8264A" w14:textId="77777777" w:rsidR="0054647B" w:rsidRPr="002B09C8" w:rsidRDefault="0054647B" w:rsidP="00C74431">
      <w:pPr>
        <w:widowControl w:val="0"/>
        <w:jc w:val="both"/>
        <w:rPr>
          <w:sz w:val="22"/>
          <w:szCs w:val="22"/>
          <w:lang w:val="sr-Latn-ME"/>
        </w:rPr>
      </w:pPr>
    </w:p>
    <w:tbl>
      <w:tblPr>
        <w:tblStyle w:val="TableGrid"/>
        <w:tblW w:w="5000" w:type="pct"/>
        <w:tblLayout w:type="fixed"/>
        <w:tblLook w:val="04A0" w:firstRow="1" w:lastRow="0" w:firstColumn="1" w:lastColumn="0" w:noHBand="0" w:noVBand="1"/>
      </w:tblPr>
      <w:tblGrid>
        <w:gridCol w:w="1560"/>
        <w:gridCol w:w="1272"/>
        <w:gridCol w:w="1271"/>
        <w:gridCol w:w="1660"/>
        <w:gridCol w:w="1681"/>
        <w:gridCol w:w="1619"/>
      </w:tblGrid>
      <w:tr w:rsidR="0054647B" w:rsidRPr="002B09C8" w14:paraId="2D7BD040" w14:textId="77777777" w:rsidTr="00CF1A4D">
        <w:tc>
          <w:tcPr>
            <w:tcW w:w="1560" w:type="dxa"/>
            <w:vMerge w:val="restart"/>
            <w:tcBorders>
              <w:top w:val="single" w:sz="4" w:space="0" w:color="auto"/>
              <w:left w:val="single" w:sz="4" w:space="0" w:color="auto"/>
              <w:bottom w:val="single" w:sz="4" w:space="0" w:color="auto"/>
              <w:right w:val="single" w:sz="4" w:space="0" w:color="auto"/>
            </w:tcBorders>
            <w:hideMark/>
          </w:tcPr>
          <w:p w14:paraId="0848EF16"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MedDRA</w:t>
            </w:r>
            <w:proofErr w:type="spellEnd"/>
            <w:r w:rsidRPr="002B09C8">
              <w:rPr>
                <w:sz w:val="22"/>
                <w:szCs w:val="22"/>
                <w:lang w:val="sr-Latn-ME"/>
              </w:rPr>
              <w:t xml:space="preserve"> </w:t>
            </w:r>
          </w:p>
          <w:p w14:paraId="7108E0DA" w14:textId="77777777" w:rsidR="0054647B" w:rsidRPr="002B09C8" w:rsidRDefault="0054647B" w:rsidP="00C74431">
            <w:pPr>
              <w:widowControl w:val="0"/>
              <w:jc w:val="both"/>
              <w:rPr>
                <w:sz w:val="22"/>
                <w:szCs w:val="22"/>
                <w:lang w:val="sr-Latn-ME"/>
              </w:rPr>
            </w:pPr>
            <w:r w:rsidRPr="002B09C8">
              <w:rPr>
                <w:sz w:val="22"/>
                <w:szCs w:val="22"/>
                <w:lang w:val="sr-Latn-ME"/>
              </w:rPr>
              <w:t>Klasifikacija sistema organa</w:t>
            </w:r>
          </w:p>
        </w:tc>
        <w:tc>
          <w:tcPr>
            <w:tcW w:w="7503" w:type="dxa"/>
            <w:gridSpan w:val="5"/>
            <w:tcBorders>
              <w:top w:val="single" w:sz="4" w:space="0" w:color="auto"/>
              <w:left w:val="single" w:sz="4" w:space="0" w:color="auto"/>
              <w:bottom w:val="single" w:sz="4" w:space="0" w:color="auto"/>
              <w:right w:val="single" w:sz="4" w:space="0" w:color="auto"/>
            </w:tcBorders>
            <w:hideMark/>
          </w:tcPr>
          <w:p w14:paraId="7CA6FE6F" w14:textId="75843D05" w:rsidR="0054647B" w:rsidRPr="002B09C8" w:rsidRDefault="0054647B" w:rsidP="00C74431">
            <w:pPr>
              <w:widowControl w:val="0"/>
              <w:jc w:val="both"/>
              <w:rPr>
                <w:sz w:val="22"/>
                <w:szCs w:val="22"/>
                <w:lang w:val="sr-Latn-ME"/>
              </w:rPr>
            </w:pPr>
            <w:r w:rsidRPr="002B09C8">
              <w:rPr>
                <w:sz w:val="22"/>
                <w:szCs w:val="22"/>
                <w:lang w:val="sr-Latn-ME"/>
              </w:rPr>
              <w:t xml:space="preserve">Učestalost neželjenih </w:t>
            </w:r>
            <w:r w:rsidR="00585FC1" w:rsidRPr="002B09C8">
              <w:rPr>
                <w:sz w:val="22"/>
                <w:szCs w:val="22"/>
                <w:lang w:val="sr-Latn-ME"/>
              </w:rPr>
              <w:t>dejstava</w:t>
            </w:r>
          </w:p>
        </w:tc>
      </w:tr>
      <w:tr w:rsidR="0054647B" w:rsidRPr="002B09C8" w14:paraId="241DFCCD" w14:textId="77777777" w:rsidTr="00CF1A4D">
        <w:tc>
          <w:tcPr>
            <w:tcW w:w="1560" w:type="dxa"/>
            <w:vMerge/>
            <w:tcBorders>
              <w:top w:val="single" w:sz="4" w:space="0" w:color="auto"/>
              <w:left w:val="single" w:sz="4" w:space="0" w:color="auto"/>
              <w:bottom w:val="single" w:sz="4" w:space="0" w:color="auto"/>
              <w:right w:val="single" w:sz="4" w:space="0" w:color="auto"/>
            </w:tcBorders>
            <w:vAlign w:val="center"/>
            <w:hideMark/>
          </w:tcPr>
          <w:p w14:paraId="01F0FEB2" w14:textId="77777777" w:rsidR="0054647B" w:rsidRPr="002B09C8" w:rsidRDefault="0054647B" w:rsidP="00C74431">
            <w:pPr>
              <w:widowControl w:val="0"/>
              <w:jc w:val="both"/>
              <w:rPr>
                <w:sz w:val="22"/>
                <w:szCs w:val="22"/>
                <w:lang w:val="sr-Latn-ME"/>
              </w:rPr>
            </w:pPr>
          </w:p>
        </w:tc>
        <w:tc>
          <w:tcPr>
            <w:tcW w:w="1272" w:type="dxa"/>
            <w:tcBorders>
              <w:top w:val="single" w:sz="4" w:space="0" w:color="auto"/>
              <w:left w:val="single" w:sz="4" w:space="0" w:color="auto"/>
              <w:bottom w:val="single" w:sz="4" w:space="0" w:color="auto"/>
              <w:right w:val="single" w:sz="4" w:space="0" w:color="auto"/>
            </w:tcBorders>
            <w:hideMark/>
          </w:tcPr>
          <w:p w14:paraId="1567A52B" w14:textId="77777777" w:rsidR="0054647B" w:rsidRPr="002B09C8" w:rsidRDefault="0054647B" w:rsidP="00C74431">
            <w:pPr>
              <w:widowControl w:val="0"/>
              <w:jc w:val="both"/>
              <w:rPr>
                <w:sz w:val="22"/>
                <w:szCs w:val="22"/>
                <w:lang w:val="sr-Latn-ME"/>
              </w:rPr>
            </w:pPr>
            <w:r w:rsidRPr="002B09C8">
              <w:rPr>
                <w:sz w:val="22"/>
                <w:szCs w:val="22"/>
                <w:lang w:val="sr-Latn-ME"/>
              </w:rPr>
              <w:t>Veoma često</w:t>
            </w:r>
          </w:p>
        </w:tc>
        <w:tc>
          <w:tcPr>
            <w:tcW w:w="1271" w:type="dxa"/>
            <w:tcBorders>
              <w:top w:val="single" w:sz="4" w:space="0" w:color="auto"/>
              <w:left w:val="single" w:sz="4" w:space="0" w:color="auto"/>
              <w:bottom w:val="single" w:sz="4" w:space="0" w:color="auto"/>
              <w:right w:val="single" w:sz="4" w:space="0" w:color="auto"/>
            </w:tcBorders>
            <w:hideMark/>
          </w:tcPr>
          <w:p w14:paraId="4438266F" w14:textId="77777777" w:rsidR="0054647B" w:rsidRPr="002B09C8" w:rsidRDefault="0054647B" w:rsidP="00C74431">
            <w:pPr>
              <w:widowControl w:val="0"/>
              <w:jc w:val="both"/>
              <w:rPr>
                <w:sz w:val="22"/>
                <w:szCs w:val="22"/>
                <w:lang w:val="sr-Latn-ME"/>
              </w:rPr>
            </w:pPr>
            <w:r w:rsidRPr="002B09C8">
              <w:rPr>
                <w:sz w:val="22"/>
                <w:szCs w:val="22"/>
                <w:lang w:val="sr-Latn-ME"/>
              </w:rPr>
              <w:t>Često</w:t>
            </w:r>
          </w:p>
        </w:tc>
        <w:tc>
          <w:tcPr>
            <w:tcW w:w="1660" w:type="dxa"/>
            <w:tcBorders>
              <w:top w:val="single" w:sz="4" w:space="0" w:color="auto"/>
              <w:left w:val="single" w:sz="4" w:space="0" w:color="auto"/>
              <w:bottom w:val="single" w:sz="4" w:space="0" w:color="auto"/>
              <w:right w:val="single" w:sz="4" w:space="0" w:color="auto"/>
            </w:tcBorders>
            <w:hideMark/>
          </w:tcPr>
          <w:p w14:paraId="39274991" w14:textId="77777777" w:rsidR="0054647B" w:rsidRPr="002B09C8" w:rsidRDefault="0054647B" w:rsidP="00C74431">
            <w:pPr>
              <w:widowControl w:val="0"/>
              <w:jc w:val="both"/>
              <w:rPr>
                <w:sz w:val="22"/>
                <w:szCs w:val="22"/>
                <w:lang w:val="sr-Latn-ME"/>
              </w:rPr>
            </w:pPr>
            <w:r w:rsidRPr="002B09C8">
              <w:rPr>
                <w:sz w:val="22"/>
                <w:szCs w:val="22"/>
                <w:lang w:val="sr-Latn-ME"/>
              </w:rPr>
              <w:t>Povremeno</w:t>
            </w:r>
          </w:p>
        </w:tc>
        <w:tc>
          <w:tcPr>
            <w:tcW w:w="1681" w:type="dxa"/>
            <w:tcBorders>
              <w:top w:val="single" w:sz="4" w:space="0" w:color="auto"/>
              <w:left w:val="single" w:sz="4" w:space="0" w:color="auto"/>
              <w:bottom w:val="single" w:sz="4" w:space="0" w:color="auto"/>
              <w:right w:val="single" w:sz="4" w:space="0" w:color="auto"/>
            </w:tcBorders>
            <w:hideMark/>
          </w:tcPr>
          <w:p w14:paraId="333DFFF7" w14:textId="718908D6" w:rsidR="0054647B" w:rsidRPr="002B09C8" w:rsidRDefault="0054647B" w:rsidP="00C74431">
            <w:pPr>
              <w:widowControl w:val="0"/>
              <w:jc w:val="both"/>
              <w:rPr>
                <w:sz w:val="22"/>
                <w:szCs w:val="22"/>
                <w:lang w:val="sr-Latn-ME"/>
              </w:rPr>
            </w:pPr>
            <w:r w:rsidRPr="002B09C8">
              <w:rPr>
                <w:sz w:val="22"/>
                <w:szCs w:val="22"/>
                <w:lang w:val="sr-Latn-ME"/>
              </w:rPr>
              <w:t>R</w:t>
            </w:r>
            <w:r w:rsidR="009A3116" w:rsidRPr="002B09C8">
              <w:rPr>
                <w:sz w:val="22"/>
                <w:szCs w:val="22"/>
                <w:lang w:val="sr-Latn-ME"/>
              </w:rPr>
              <w:t>ij</w:t>
            </w:r>
            <w:r w:rsidRPr="002B09C8">
              <w:rPr>
                <w:sz w:val="22"/>
                <w:szCs w:val="22"/>
                <w:lang w:val="sr-Latn-ME"/>
              </w:rPr>
              <w:t>etko</w:t>
            </w:r>
          </w:p>
        </w:tc>
        <w:tc>
          <w:tcPr>
            <w:tcW w:w="1619" w:type="dxa"/>
            <w:tcBorders>
              <w:top w:val="single" w:sz="4" w:space="0" w:color="auto"/>
              <w:left w:val="single" w:sz="4" w:space="0" w:color="auto"/>
              <w:bottom w:val="single" w:sz="4" w:space="0" w:color="auto"/>
              <w:right w:val="single" w:sz="4" w:space="0" w:color="auto"/>
            </w:tcBorders>
            <w:hideMark/>
          </w:tcPr>
          <w:p w14:paraId="6C917AB9" w14:textId="77777777" w:rsidR="0054647B" w:rsidRPr="002B09C8" w:rsidRDefault="0054647B" w:rsidP="00C74431">
            <w:pPr>
              <w:widowControl w:val="0"/>
              <w:jc w:val="both"/>
              <w:rPr>
                <w:sz w:val="22"/>
                <w:szCs w:val="22"/>
                <w:lang w:val="sr-Latn-ME"/>
              </w:rPr>
            </w:pPr>
            <w:r w:rsidRPr="002B09C8">
              <w:rPr>
                <w:sz w:val="22"/>
                <w:szCs w:val="22"/>
                <w:lang w:val="sr-Latn-ME"/>
              </w:rPr>
              <w:t>Nepoznata učestalost</w:t>
            </w:r>
          </w:p>
        </w:tc>
      </w:tr>
      <w:tr w:rsidR="0054647B" w:rsidRPr="002B09C8" w14:paraId="261D77BB" w14:textId="77777777" w:rsidTr="00CF1A4D">
        <w:tc>
          <w:tcPr>
            <w:tcW w:w="1560" w:type="dxa"/>
            <w:tcBorders>
              <w:top w:val="single" w:sz="4" w:space="0" w:color="auto"/>
              <w:left w:val="single" w:sz="4" w:space="0" w:color="auto"/>
              <w:bottom w:val="single" w:sz="4" w:space="0" w:color="auto"/>
              <w:right w:val="single" w:sz="4" w:space="0" w:color="auto"/>
            </w:tcBorders>
            <w:hideMark/>
          </w:tcPr>
          <w:p w14:paraId="2D780609" w14:textId="77777777" w:rsidR="0054647B" w:rsidRPr="002B09C8" w:rsidRDefault="0054647B" w:rsidP="00C74431">
            <w:pPr>
              <w:widowControl w:val="0"/>
              <w:jc w:val="both"/>
              <w:rPr>
                <w:i/>
                <w:sz w:val="22"/>
                <w:szCs w:val="22"/>
                <w:lang w:val="sr-Latn-ME"/>
              </w:rPr>
            </w:pPr>
            <w:r w:rsidRPr="002B09C8">
              <w:rPr>
                <w:i/>
                <w:sz w:val="22"/>
                <w:szCs w:val="22"/>
                <w:lang w:val="sr-Latn-ME"/>
              </w:rPr>
              <w:t xml:space="preserve">Infekcije i </w:t>
            </w:r>
            <w:proofErr w:type="spellStart"/>
            <w:r w:rsidRPr="002B09C8">
              <w:rPr>
                <w:i/>
                <w:sz w:val="22"/>
                <w:szCs w:val="22"/>
                <w:lang w:val="sr-Latn-ME"/>
              </w:rPr>
              <w:t>infestacije</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708C5EA2"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Nazofaringitis</w:t>
            </w:r>
            <w:proofErr w:type="spellEnd"/>
          </w:p>
          <w:p w14:paraId="5417651C" w14:textId="77777777" w:rsidR="0054647B" w:rsidRPr="002B09C8" w:rsidRDefault="0054647B" w:rsidP="00C74431">
            <w:pPr>
              <w:widowControl w:val="0"/>
              <w:jc w:val="both"/>
              <w:rPr>
                <w:sz w:val="22"/>
                <w:szCs w:val="22"/>
                <w:lang w:val="sr-Latn-ME"/>
              </w:rPr>
            </w:pPr>
            <w:r w:rsidRPr="002B09C8">
              <w:rPr>
                <w:sz w:val="22"/>
                <w:szCs w:val="22"/>
                <w:lang w:val="sr-Latn-ME"/>
              </w:rPr>
              <w:t xml:space="preserve">Infekcija </w:t>
            </w:r>
            <w:proofErr w:type="spellStart"/>
            <w:r w:rsidRPr="002B09C8">
              <w:rPr>
                <w:sz w:val="22"/>
                <w:szCs w:val="22"/>
                <w:lang w:val="sr-Latn-ME"/>
              </w:rPr>
              <w:t>urinarnog</w:t>
            </w:r>
            <w:proofErr w:type="spellEnd"/>
            <w:r w:rsidRPr="002B09C8">
              <w:rPr>
                <w:sz w:val="22"/>
                <w:szCs w:val="22"/>
                <w:lang w:val="sr-Latn-ME"/>
              </w:rPr>
              <w:t xml:space="preserve"> trakta</w:t>
            </w:r>
          </w:p>
        </w:tc>
        <w:tc>
          <w:tcPr>
            <w:tcW w:w="1271" w:type="dxa"/>
            <w:tcBorders>
              <w:top w:val="single" w:sz="4" w:space="0" w:color="auto"/>
              <w:left w:val="single" w:sz="4" w:space="0" w:color="auto"/>
              <w:bottom w:val="single" w:sz="4" w:space="0" w:color="auto"/>
              <w:right w:val="single" w:sz="4" w:space="0" w:color="auto"/>
            </w:tcBorders>
            <w:hideMark/>
          </w:tcPr>
          <w:p w14:paraId="208ED18B" w14:textId="77777777" w:rsidR="0054647B" w:rsidRPr="002B09C8" w:rsidRDefault="0054647B" w:rsidP="00C74431">
            <w:pPr>
              <w:widowControl w:val="0"/>
              <w:jc w:val="both"/>
              <w:rPr>
                <w:sz w:val="22"/>
                <w:szCs w:val="22"/>
                <w:lang w:val="sr-Latn-ME"/>
              </w:rPr>
            </w:pPr>
            <w:r w:rsidRPr="002B09C8">
              <w:rPr>
                <w:sz w:val="22"/>
                <w:szCs w:val="22"/>
                <w:lang w:val="sr-Latn-ME"/>
              </w:rPr>
              <w:t>Herpes infekcija</w:t>
            </w:r>
          </w:p>
        </w:tc>
        <w:tc>
          <w:tcPr>
            <w:tcW w:w="1660" w:type="dxa"/>
            <w:tcBorders>
              <w:top w:val="single" w:sz="4" w:space="0" w:color="auto"/>
              <w:left w:val="single" w:sz="4" w:space="0" w:color="auto"/>
              <w:bottom w:val="single" w:sz="4" w:space="0" w:color="auto"/>
              <w:right w:val="single" w:sz="4" w:space="0" w:color="auto"/>
            </w:tcBorders>
            <w:hideMark/>
          </w:tcPr>
          <w:p w14:paraId="22098A54" w14:textId="77777777" w:rsidR="0054647B" w:rsidRPr="002B09C8" w:rsidRDefault="0054647B" w:rsidP="00C74431">
            <w:pPr>
              <w:widowControl w:val="0"/>
              <w:jc w:val="both"/>
              <w:rPr>
                <w:sz w:val="22"/>
                <w:szCs w:val="22"/>
                <w:lang w:val="sr-Latn-ME"/>
              </w:rPr>
            </w:pPr>
            <w:r w:rsidRPr="002B09C8">
              <w:rPr>
                <w:sz w:val="22"/>
                <w:szCs w:val="22"/>
                <w:lang w:val="sr-Latn-ME"/>
              </w:rPr>
              <w:t xml:space="preserve">Progresivna </w:t>
            </w:r>
            <w:proofErr w:type="spellStart"/>
            <w:r w:rsidRPr="002B09C8">
              <w:rPr>
                <w:sz w:val="22"/>
                <w:szCs w:val="22"/>
                <w:lang w:val="sr-Latn-ME"/>
              </w:rPr>
              <w:t>multifokalna</w:t>
            </w:r>
            <w:proofErr w:type="spellEnd"/>
            <w:r w:rsidRPr="002B09C8">
              <w:rPr>
                <w:sz w:val="22"/>
                <w:szCs w:val="22"/>
                <w:lang w:val="sr-Latn-ME"/>
              </w:rPr>
              <w:t xml:space="preserve"> </w:t>
            </w:r>
            <w:proofErr w:type="spellStart"/>
            <w:r w:rsidRPr="002B09C8">
              <w:rPr>
                <w:sz w:val="22"/>
                <w:szCs w:val="22"/>
                <w:lang w:val="sr-Latn-ME"/>
              </w:rPr>
              <w:t>leukoencefalopatija</w:t>
            </w:r>
            <w:proofErr w:type="spellEnd"/>
          </w:p>
        </w:tc>
        <w:tc>
          <w:tcPr>
            <w:tcW w:w="1681" w:type="dxa"/>
            <w:tcBorders>
              <w:top w:val="single" w:sz="4" w:space="0" w:color="auto"/>
              <w:left w:val="single" w:sz="4" w:space="0" w:color="auto"/>
              <w:bottom w:val="single" w:sz="4" w:space="0" w:color="auto"/>
              <w:right w:val="single" w:sz="4" w:space="0" w:color="auto"/>
            </w:tcBorders>
            <w:hideMark/>
          </w:tcPr>
          <w:p w14:paraId="630C8145"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Oftalmološki</w:t>
            </w:r>
            <w:proofErr w:type="spellEnd"/>
            <w:r w:rsidRPr="002B09C8">
              <w:rPr>
                <w:sz w:val="22"/>
                <w:szCs w:val="22"/>
                <w:lang w:val="sr-Latn-ME"/>
              </w:rPr>
              <w:t xml:space="preserve"> herpes </w:t>
            </w:r>
          </w:p>
        </w:tc>
        <w:tc>
          <w:tcPr>
            <w:tcW w:w="1619" w:type="dxa"/>
            <w:tcBorders>
              <w:top w:val="single" w:sz="4" w:space="0" w:color="auto"/>
              <w:left w:val="single" w:sz="4" w:space="0" w:color="auto"/>
              <w:bottom w:val="single" w:sz="4" w:space="0" w:color="auto"/>
              <w:right w:val="single" w:sz="4" w:space="0" w:color="auto"/>
            </w:tcBorders>
            <w:hideMark/>
          </w:tcPr>
          <w:p w14:paraId="71C81C37"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Herpetički</w:t>
            </w:r>
            <w:proofErr w:type="spellEnd"/>
            <w:r w:rsidRPr="002B09C8">
              <w:rPr>
                <w:sz w:val="22"/>
                <w:szCs w:val="22"/>
                <w:lang w:val="sr-Latn-ME"/>
              </w:rPr>
              <w:t xml:space="preserve"> </w:t>
            </w:r>
            <w:proofErr w:type="spellStart"/>
            <w:r w:rsidRPr="002B09C8">
              <w:rPr>
                <w:sz w:val="22"/>
                <w:szCs w:val="22"/>
                <w:lang w:val="sr-Latn-ME"/>
              </w:rPr>
              <w:t>meningoencefalitis</w:t>
            </w:r>
            <w:proofErr w:type="spellEnd"/>
          </w:p>
          <w:p w14:paraId="24EF5641" w14:textId="77777777" w:rsidR="0054647B" w:rsidRPr="002B09C8" w:rsidRDefault="0054647B" w:rsidP="00C74431">
            <w:pPr>
              <w:widowControl w:val="0"/>
              <w:jc w:val="both"/>
              <w:rPr>
                <w:sz w:val="22"/>
                <w:szCs w:val="22"/>
                <w:lang w:val="sr-Latn-ME"/>
              </w:rPr>
            </w:pPr>
            <w:r w:rsidRPr="002B09C8">
              <w:rPr>
                <w:sz w:val="22"/>
                <w:szCs w:val="22"/>
                <w:lang w:val="sr-Latn-ME"/>
              </w:rPr>
              <w:t xml:space="preserve">Neuropatija </w:t>
            </w:r>
            <w:proofErr w:type="spellStart"/>
            <w:r w:rsidRPr="002B09C8">
              <w:rPr>
                <w:sz w:val="22"/>
                <w:szCs w:val="22"/>
                <w:lang w:val="sr-Latn-ME"/>
              </w:rPr>
              <w:t>granularnih</w:t>
            </w:r>
            <w:proofErr w:type="spellEnd"/>
            <w:r w:rsidRPr="002B09C8">
              <w:rPr>
                <w:sz w:val="22"/>
                <w:szCs w:val="22"/>
                <w:lang w:val="sr-Latn-ME"/>
              </w:rPr>
              <w:t xml:space="preserve"> ćelija uzrokovana JC virusom</w:t>
            </w:r>
          </w:p>
          <w:p w14:paraId="0CCCC13A"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Nekrotična</w:t>
            </w:r>
            <w:proofErr w:type="spellEnd"/>
            <w:r w:rsidRPr="002B09C8">
              <w:rPr>
                <w:sz w:val="22"/>
                <w:szCs w:val="22"/>
                <w:lang w:val="sr-Latn-ME"/>
              </w:rPr>
              <w:t xml:space="preserve"> </w:t>
            </w:r>
            <w:proofErr w:type="spellStart"/>
            <w:r w:rsidRPr="002B09C8">
              <w:rPr>
                <w:sz w:val="22"/>
                <w:szCs w:val="22"/>
                <w:lang w:val="sr-Latn-ME"/>
              </w:rPr>
              <w:t>herpetična</w:t>
            </w:r>
            <w:proofErr w:type="spellEnd"/>
            <w:r w:rsidRPr="002B09C8">
              <w:rPr>
                <w:sz w:val="22"/>
                <w:szCs w:val="22"/>
                <w:lang w:val="sr-Latn-ME"/>
              </w:rPr>
              <w:t xml:space="preserve"> </w:t>
            </w:r>
            <w:proofErr w:type="spellStart"/>
            <w:r w:rsidRPr="002B09C8">
              <w:rPr>
                <w:sz w:val="22"/>
                <w:szCs w:val="22"/>
                <w:lang w:val="sr-Latn-ME"/>
              </w:rPr>
              <w:t>retinopatija</w:t>
            </w:r>
            <w:proofErr w:type="spellEnd"/>
          </w:p>
        </w:tc>
      </w:tr>
      <w:tr w:rsidR="0054647B" w:rsidRPr="002B09C8" w14:paraId="5DD94E4B" w14:textId="77777777" w:rsidTr="00CF1A4D">
        <w:tc>
          <w:tcPr>
            <w:tcW w:w="1560" w:type="dxa"/>
            <w:tcBorders>
              <w:top w:val="single" w:sz="4" w:space="0" w:color="auto"/>
              <w:left w:val="single" w:sz="4" w:space="0" w:color="auto"/>
              <w:bottom w:val="single" w:sz="4" w:space="0" w:color="auto"/>
              <w:right w:val="single" w:sz="4" w:space="0" w:color="auto"/>
            </w:tcBorders>
            <w:hideMark/>
          </w:tcPr>
          <w:p w14:paraId="521CCB36" w14:textId="77777777" w:rsidR="0054647B" w:rsidRPr="002B09C8" w:rsidRDefault="0054647B" w:rsidP="00C74431">
            <w:pPr>
              <w:widowControl w:val="0"/>
              <w:jc w:val="both"/>
              <w:rPr>
                <w:i/>
                <w:sz w:val="22"/>
                <w:szCs w:val="22"/>
                <w:highlight w:val="yellow"/>
                <w:lang w:val="sr-Latn-ME"/>
              </w:rPr>
            </w:pPr>
            <w:r w:rsidRPr="002B09C8">
              <w:rPr>
                <w:i/>
                <w:sz w:val="22"/>
                <w:szCs w:val="22"/>
                <w:lang w:val="sr-Latn-ME"/>
              </w:rPr>
              <w:t>Poremećaji krvi i limfnog sistema</w:t>
            </w:r>
          </w:p>
        </w:tc>
        <w:tc>
          <w:tcPr>
            <w:tcW w:w="1272" w:type="dxa"/>
            <w:tcBorders>
              <w:top w:val="single" w:sz="4" w:space="0" w:color="auto"/>
              <w:left w:val="single" w:sz="4" w:space="0" w:color="auto"/>
              <w:bottom w:val="single" w:sz="4" w:space="0" w:color="auto"/>
              <w:right w:val="single" w:sz="4" w:space="0" w:color="auto"/>
            </w:tcBorders>
          </w:tcPr>
          <w:p w14:paraId="35ACC224" w14:textId="77777777" w:rsidR="0054647B" w:rsidRPr="002B09C8" w:rsidRDefault="0054647B" w:rsidP="00C74431">
            <w:pPr>
              <w:widowControl w:val="0"/>
              <w:jc w:val="both"/>
              <w:rPr>
                <w:sz w:val="22"/>
                <w:szCs w:val="22"/>
                <w:highlight w:val="yellow"/>
                <w:lang w:val="sr-Latn-ME"/>
              </w:rPr>
            </w:pPr>
          </w:p>
        </w:tc>
        <w:tc>
          <w:tcPr>
            <w:tcW w:w="1271" w:type="dxa"/>
            <w:tcBorders>
              <w:top w:val="single" w:sz="4" w:space="0" w:color="auto"/>
              <w:left w:val="single" w:sz="4" w:space="0" w:color="auto"/>
              <w:bottom w:val="single" w:sz="4" w:space="0" w:color="auto"/>
              <w:right w:val="single" w:sz="4" w:space="0" w:color="auto"/>
            </w:tcBorders>
            <w:hideMark/>
          </w:tcPr>
          <w:p w14:paraId="3FA0ABA8" w14:textId="77777777" w:rsidR="0054647B" w:rsidRPr="002B09C8" w:rsidRDefault="0054647B" w:rsidP="00C74431">
            <w:pPr>
              <w:widowControl w:val="0"/>
              <w:jc w:val="both"/>
              <w:rPr>
                <w:sz w:val="22"/>
                <w:szCs w:val="22"/>
                <w:highlight w:val="yellow"/>
                <w:lang w:val="sr-Latn-ME"/>
              </w:rPr>
            </w:pPr>
            <w:r w:rsidRPr="002B09C8">
              <w:rPr>
                <w:sz w:val="22"/>
                <w:szCs w:val="22"/>
                <w:lang w:val="sr-Latn-ME"/>
              </w:rPr>
              <w:t>Anemija</w:t>
            </w:r>
          </w:p>
        </w:tc>
        <w:tc>
          <w:tcPr>
            <w:tcW w:w="1660" w:type="dxa"/>
            <w:tcBorders>
              <w:top w:val="single" w:sz="4" w:space="0" w:color="auto"/>
              <w:left w:val="single" w:sz="4" w:space="0" w:color="auto"/>
              <w:bottom w:val="single" w:sz="4" w:space="0" w:color="auto"/>
              <w:right w:val="single" w:sz="4" w:space="0" w:color="auto"/>
            </w:tcBorders>
            <w:hideMark/>
          </w:tcPr>
          <w:p w14:paraId="11E617F0"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Trombocitopenija</w:t>
            </w:r>
            <w:proofErr w:type="spellEnd"/>
          </w:p>
          <w:p w14:paraId="433105BD"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Imunska</w:t>
            </w:r>
            <w:proofErr w:type="spellEnd"/>
            <w:r w:rsidRPr="002B09C8">
              <w:rPr>
                <w:sz w:val="22"/>
                <w:szCs w:val="22"/>
                <w:lang w:val="sr-Latn-ME"/>
              </w:rPr>
              <w:t xml:space="preserve"> </w:t>
            </w:r>
            <w:proofErr w:type="spellStart"/>
            <w:r w:rsidRPr="002B09C8">
              <w:rPr>
                <w:sz w:val="22"/>
                <w:szCs w:val="22"/>
                <w:lang w:val="sr-Latn-ME"/>
              </w:rPr>
              <w:t>trombocitopenijska</w:t>
            </w:r>
            <w:proofErr w:type="spellEnd"/>
            <w:r w:rsidRPr="002B09C8">
              <w:rPr>
                <w:sz w:val="22"/>
                <w:szCs w:val="22"/>
                <w:lang w:val="sr-Latn-ME"/>
              </w:rPr>
              <w:t xml:space="preserve"> purpura (ITP)</w:t>
            </w:r>
          </w:p>
          <w:p w14:paraId="4AB5FC4D" w14:textId="77777777" w:rsidR="0054647B" w:rsidRPr="002B09C8" w:rsidRDefault="0054647B" w:rsidP="00C74431">
            <w:pPr>
              <w:widowControl w:val="0"/>
              <w:jc w:val="both"/>
              <w:rPr>
                <w:sz w:val="22"/>
                <w:szCs w:val="22"/>
                <w:highlight w:val="yellow"/>
                <w:lang w:val="sr-Latn-ME"/>
              </w:rPr>
            </w:pPr>
            <w:proofErr w:type="spellStart"/>
            <w:r w:rsidRPr="002B09C8">
              <w:rPr>
                <w:sz w:val="22"/>
                <w:szCs w:val="22"/>
                <w:lang w:val="sr-Latn-ME"/>
              </w:rPr>
              <w:t>Eozinofilija</w:t>
            </w:r>
            <w:proofErr w:type="spellEnd"/>
          </w:p>
        </w:tc>
        <w:tc>
          <w:tcPr>
            <w:tcW w:w="1681" w:type="dxa"/>
            <w:tcBorders>
              <w:top w:val="single" w:sz="4" w:space="0" w:color="auto"/>
              <w:left w:val="single" w:sz="4" w:space="0" w:color="auto"/>
              <w:bottom w:val="single" w:sz="4" w:space="0" w:color="auto"/>
              <w:right w:val="single" w:sz="4" w:space="0" w:color="auto"/>
            </w:tcBorders>
            <w:hideMark/>
          </w:tcPr>
          <w:p w14:paraId="429CEB3E"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Hemolitička</w:t>
            </w:r>
            <w:proofErr w:type="spellEnd"/>
            <w:r w:rsidRPr="002B09C8">
              <w:rPr>
                <w:sz w:val="22"/>
                <w:szCs w:val="22"/>
                <w:lang w:val="sr-Latn-ME"/>
              </w:rPr>
              <w:t xml:space="preserve"> anemija</w:t>
            </w:r>
          </w:p>
          <w:p w14:paraId="18F97820"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Nukleirana</w:t>
            </w:r>
            <w:proofErr w:type="spellEnd"/>
            <w:r w:rsidRPr="002B09C8">
              <w:rPr>
                <w:sz w:val="22"/>
                <w:szCs w:val="22"/>
                <w:lang w:val="sr-Latn-ME"/>
              </w:rPr>
              <w:t xml:space="preserve"> crvena krvna zrnca</w:t>
            </w:r>
          </w:p>
        </w:tc>
        <w:tc>
          <w:tcPr>
            <w:tcW w:w="1619" w:type="dxa"/>
            <w:tcBorders>
              <w:top w:val="single" w:sz="4" w:space="0" w:color="auto"/>
              <w:left w:val="single" w:sz="4" w:space="0" w:color="auto"/>
              <w:bottom w:val="single" w:sz="4" w:space="0" w:color="auto"/>
              <w:right w:val="single" w:sz="4" w:space="0" w:color="auto"/>
            </w:tcBorders>
          </w:tcPr>
          <w:p w14:paraId="35822BDB" w14:textId="77777777" w:rsidR="0054647B" w:rsidRPr="002B09C8" w:rsidRDefault="0054647B" w:rsidP="00C74431">
            <w:pPr>
              <w:widowControl w:val="0"/>
              <w:jc w:val="both"/>
              <w:rPr>
                <w:sz w:val="22"/>
                <w:szCs w:val="22"/>
                <w:highlight w:val="yellow"/>
                <w:lang w:val="sr-Latn-ME"/>
              </w:rPr>
            </w:pPr>
          </w:p>
        </w:tc>
      </w:tr>
      <w:tr w:rsidR="003F6541" w:rsidRPr="002B09C8" w14:paraId="7735C853" w14:textId="77777777" w:rsidTr="00CF1A4D">
        <w:tc>
          <w:tcPr>
            <w:tcW w:w="1560" w:type="dxa"/>
            <w:tcBorders>
              <w:top w:val="single" w:sz="4" w:space="0" w:color="auto"/>
              <w:left w:val="single" w:sz="4" w:space="0" w:color="auto"/>
              <w:bottom w:val="single" w:sz="4" w:space="0" w:color="auto"/>
              <w:right w:val="single" w:sz="4" w:space="0" w:color="auto"/>
            </w:tcBorders>
            <w:hideMark/>
          </w:tcPr>
          <w:p w14:paraId="196DB133" w14:textId="3A9AEE23" w:rsidR="003F6541" w:rsidRPr="002B09C8" w:rsidRDefault="003F6541" w:rsidP="00773D3F">
            <w:pPr>
              <w:widowControl w:val="0"/>
              <w:jc w:val="both"/>
              <w:rPr>
                <w:i/>
                <w:sz w:val="22"/>
                <w:szCs w:val="22"/>
                <w:lang w:val="sr-Latn-ME"/>
              </w:rPr>
            </w:pPr>
            <w:r w:rsidRPr="002B09C8">
              <w:rPr>
                <w:i/>
                <w:sz w:val="22"/>
                <w:szCs w:val="22"/>
                <w:lang w:val="sr-Latn-ME"/>
              </w:rPr>
              <w:t>Poremećaji imunog sistema</w:t>
            </w:r>
          </w:p>
        </w:tc>
        <w:tc>
          <w:tcPr>
            <w:tcW w:w="1272" w:type="dxa"/>
            <w:tcBorders>
              <w:top w:val="single" w:sz="4" w:space="0" w:color="auto"/>
              <w:left w:val="single" w:sz="4" w:space="0" w:color="auto"/>
              <w:bottom w:val="single" w:sz="4" w:space="0" w:color="auto"/>
              <w:right w:val="single" w:sz="4" w:space="0" w:color="auto"/>
            </w:tcBorders>
          </w:tcPr>
          <w:p w14:paraId="2033A65B" w14:textId="77777777" w:rsidR="003F6541" w:rsidRPr="002B09C8" w:rsidRDefault="003F6541" w:rsidP="00C74431">
            <w:pPr>
              <w:widowControl w:val="0"/>
              <w:jc w:val="both"/>
              <w:rPr>
                <w:sz w:val="22"/>
                <w:szCs w:val="22"/>
                <w:lang w:val="sr-Latn-ME"/>
              </w:rPr>
            </w:pPr>
          </w:p>
        </w:tc>
        <w:tc>
          <w:tcPr>
            <w:tcW w:w="1271" w:type="dxa"/>
            <w:tcBorders>
              <w:top w:val="single" w:sz="4" w:space="0" w:color="auto"/>
              <w:left w:val="single" w:sz="4" w:space="0" w:color="auto"/>
              <w:bottom w:val="single" w:sz="4" w:space="0" w:color="auto"/>
              <w:right w:val="single" w:sz="4" w:space="0" w:color="auto"/>
            </w:tcBorders>
            <w:hideMark/>
          </w:tcPr>
          <w:p w14:paraId="7881A6B4" w14:textId="774372F3" w:rsidR="003F6541" w:rsidRPr="002B09C8" w:rsidRDefault="003F6541" w:rsidP="00C74431">
            <w:pPr>
              <w:widowControl w:val="0"/>
              <w:jc w:val="both"/>
              <w:rPr>
                <w:sz w:val="22"/>
                <w:szCs w:val="22"/>
                <w:lang w:val="sr-Latn-ME"/>
              </w:rPr>
            </w:pPr>
            <w:r w:rsidRPr="002B09C8">
              <w:rPr>
                <w:sz w:val="22"/>
                <w:szCs w:val="22"/>
                <w:lang w:val="sr-Latn-ME"/>
              </w:rPr>
              <w:t>Preos</w:t>
            </w:r>
            <w:r w:rsidR="00794B51" w:rsidRPr="002B09C8">
              <w:rPr>
                <w:sz w:val="22"/>
                <w:szCs w:val="22"/>
                <w:lang w:val="sr-Latn-ME"/>
              </w:rPr>
              <w:t>j</w:t>
            </w:r>
            <w:r w:rsidRPr="002B09C8">
              <w:rPr>
                <w:sz w:val="22"/>
                <w:szCs w:val="22"/>
                <w:lang w:val="sr-Latn-ME"/>
              </w:rPr>
              <w:t>etljivost</w:t>
            </w:r>
          </w:p>
        </w:tc>
        <w:tc>
          <w:tcPr>
            <w:tcW w:w="1660" w:type="dxa"/>
            <w:tcBorders>
              <w:top w:val="single" w:sz="4" w:space="0" w:color="auto"/>
              <w:left w:val="single" w:sz="4" w:space="0" w:color="auto"/>
              <w:bottom w:val="single" w:sz="4" w:space="0" w:color="auto"/>
              <w:right w:val="single" w:sz="4" w:space="0" w:color="auto"/>
            </w:tcBorders>
            <w:hideMark/>
          </w:tcPr>
          <w:p w14:paraId="20E549B1" w14:textId="77777777" w:rsidR="003F6541" w:rsidRPr="002B09C8" w:rsidRDefault="003F6541" w:rsidP="00C74431">
            <w:pPr>
              <w:widowControl w:val="0"/>
              <w:jc w:val="both"/>
              <w:rPr>
                <w:sz w:val="22"/>
                <w:szCs w:val="22"/>
                <w:lang w:val="sr-Latn-ME"/>
              </w:rPr>
            </w:pPr>
            <w:proofErr w:type="spellStart"/>
            <w:r w:rsidRPr="002B09C8">
              <w:rPr>
                <w:sz w:val="22"/>
                <w:szCs w:val="22"/>
                <w:lang w:val="sr-Latn-ME"/>
              </w:rPr>
              <w:t>Anafilaktička</w:t>
            </w:r>
            <w:proofErr w:type="spellEnd"/>
            <w:r w:rsidRPr="002B09C8">
              <w:rPr>
                <w:sz w:val="22"/>
                <w:szCs w:val="22"/>
                <w:lang w:val="sr-Latn-ME"/>
              </w:rPr>
              <w:t xml:space="preserve"> reakcija</w:t>
            </w:r>
          </w:p>
          <w:p w14:paraId="1748E059" w14:textId="77777777" w:rsidR="003F6541" w:rsidRPr="002B09C8" w:rsidRDefault="003F6541" w:rsidP="00C74431">
            <w:pPr>
              <w:widowControl w:val="0"/>
              <w:jc w:val="both"/>
              <w:rPr>
                <w:sz w:val="22"/>
                <w:szCs w:val="22"/>
                <w:lang w:val="sr-Latn-ME"/>
              </w:rPr>
            </w:pPr>
            <w:proofErr w:type="spellStart"/>
            <w:r w:rsidRPr="002B09C8">
              <w:rPr>
                <w:sz w:val="22"/>
                <w:szCs w:val="22"/>
                <w:lang w:val="sr-Latn-ME"/>
              </w:rPr>
              <w:t>Inflamatorni</w:t>
            </w:r>
            <w:proofErr w:type="spellEnd"/>
            <w:r w:rsidRPr="002B09C8">
              <w:rPr>
                <w:sz w:val="22"/>
                <w:szCs w:val="22"/>
                <w:lang w:val="sr-Latn-ME"/>
              </w:rPr>
              <w:t xml:space="preserve"> sindrom </w:t>
            </w:r>
            <w:proofErr w:type="spellStart"/>
            <w:r w:rsidRPr="002B09C8">
              <w:rPr>
                <w:sz w:val="22"/>
                <w:szCs w:val="22"/>
                <w:lang w:val="sr-Latn-ME"/>
              </w:rPr>
              <w:t>imunske</w:t>
            </w:r>
            <w:proofErr w:type="spellEnd"/>
            <w:r w:rsidRPr="002B09C8">
              <w:rPr>
                <w:sz w:val="22"/>
                <w:szCs w:val="22"/>
                <w:lang w:val="sr-Latn-ME"/>
              </w:rPr>
              <w:t xml:space="preserve"> </w:t>
            </w:r>
            <w:proofErr w:type="spellStart"/>
            <w:r w:rsidRPr="002B09C8">
              <w:rPr>
                <w:sz w:val="22"/>
                <w:szCs w:val="22"/>
                <w:lang w:val="sr-Latn-ME"/>
              </w:rPr>
              <w:t>rekonstitucije</w:t>
            </w:r>
            <w:proofErr w:type="spellEnd"/>
          </w:p>
        </w:tc>
        <w:tc>
          <w:tcPr>
            <w:tcW w:w="1681" w:type="dxa"/>
            <w:tcBorders>
              <w:top w:val="single" w:sz="4" w:space="0" w:color="auto"/>
              <w:left w:val="single" w:sz="4" w:space="0" w:color="auto"/>
              <w:bottom w:val="single" w:sz="4" w:space="0" w:color="auto"/>
              <w:right w:val="single" w:sz="4" w:space="0" w:color="auto"/>
            </w:tcBorders>
          </w:tcPr>
          <w:p w14:paraId="61D37006" w14:textId="77777777" w:rsidR="003F6541" w:rsidRPr="002B09C8" w:rsidRDefault="003F6541" w:rsidP="00C74431">
            <w:pPr>
              <w:widowControl w:val="0"/>
              <w:jc w:val="both"/>
              <w:rPr>
                <w:sz w:val="22"/>
                <w:szCs w:val="22"/>
                <w:lang w:val="sr-Latn-ME"/>
              </w:rPr>
            </w:pPr>
          </w:p>
        </w:tc>
        <w:tc>
          <w:tcPr>
            <w:tcW w:w="1619" w:type="dxa"/>
            <w:tcBorders>
              <w:top w:val="single" w:sz="4" w:space="0" w:color="auto"/>
              <w:left w:val="single" w:sz="4" w:space="0" w:color="auto"/>
              <w:bottom w:val="single" w:sz="4" w:space="0" w:color="auto"/>
              <w:right w:val="single" w:sz="4" w:space="0" w:color="auto"/>
            </w:tcBorders>
          </w:tcPr>
          <w:p w14:paraId="077D9124" w14:textId="77777777" w:rsidR="003F6541" w:rsidRPr="002B09C8" w:rsidRDefault="003F6541" w:rsidP="00C74431">
            <w:pPr>
              <w:widowControl w:val="0"/>
              <w:jc w:val="both"/>
              <w:rPr>
                <w:sz w:val="22"/>
                <w:szCs w:val="22"/>
                <w:lang w:val="sr-Latn-ME"/>
              </w:rPr>
            </w:pPr>
          </w:p>
        </w:tc>
      </w:tr>
      <w:tr w:rsidR="000D0A74" w:rsidRPr="002B09C8" w14:paraId="4B02B06C" w14:textId="77777777" w:rsidTr="00CF1A4D">
        <w:tc>
          <w:tcPr>
            <w:tcW w:w="1560" w:type="dxa"/>
            <w:tcBorders>
              <w:top w:val="single" w:sz="4" w:space="0" w:color="auto"/>
              <w:left w:val="single" w:sz="4" w:space="0" w:color="auto"/>
              <w:bottom w:val="single" w:sz="4" w:space="0" w:color="auto"/>
              <w:right w:val="single" w:sz="4" w:space="0" w:color="auto"/>
            </w:tcBorders>
          </w:tcPr>
          <w:p w14:paraId="3E1BB163" w14:textId="44A4B944" w:rsidR="000D0A74" w:rsidRPr="002B09C8" w:rsidRDefault="000D0A74" w:rsidP="00C74431">
            <w:pPr>
              <w:widowControl w:val="0"/>
              <w:jc w:val="both"/>
              <w:rPr>
                <w:i/>
                <w:sz w:val="22"/>
                <w:szCs w:val="22"/>
                <w:lang w:val="sr-Latn-ME"/>
              </w:rPr>
            </w:pPr>
            <w:r w:rsidRPr="002B09C8">
              <w:rPr>
                <w:i/>
                <w:sz w:val="22"/>
                <w:szCs w:val="22"/>
                <w:lang w:val="sr-Latn-ME"/>
              </w:rPr>
              <w:t>Poremećaji nervnog sistema</w:t>
            </w:r>
          </w:p>
        </w:tc>
        <w:tc>
          <w:tcPr>
            <w:tcW w:w="1272" w:type="dxa"/>
            <w:tcBorders>
              <w:top w:val="single" w:sz="4" w:space="0" w:color="auto"/>
              <w:left w:val="single" w:sz="4" w:space="0" w:color="auto"/>
              <w:bottom w:val="single" w:sz="4" w:space="0" w:color="auto"/>
              <w:right w:val="single" w:sz="4" w:space="0" w:color="auto"/>
            </w:tcBorders>
          </w:tcPr>
          <w:p w14:paraId="7E643426" w14:textId="77777777" w:rsidR="000D0A74" w:rsidRPr="002B09C8" w:rsidRDefault="000D0A74" w:rsidP="00C74431">
            <w:pPr>
              <w:widowControl w:val="0"/>
              <w:jc w:val="both"/>
              <w:rPr>
                <w:sz w:val="22"/>
                <w:szCs w:val="22"/>
                <w:lang w:val="sr-Latn-ME"/>
              </w:rPr>
            </w:pPr>
            <w:r w:rsidRPr="002B09C8">
              <w:rPr>
                <w:sz w:val="22"/>
                <w:szCs w:val="22"/>
                <w:lang w:val="sr-Latn-ME"/>
              </w:rPr>
              <w:t>Vrtoglavica</w:t>
            </w:r>
          </w:p>
          <w:p w14:paraId="4770FF80" w14:textId="65319CD3" w:rsidR="000D0A74" w:rsidRPr="002B09C8" w:rsidRDefault="000D0A74" w:rsidP="00C74431">
            <w:pPr>
              <w:widowControl w:val="0"/>
              <w:jc w:val="both"/>
              <w:rPr>
                <w:sz w:val="22"/>
                <w:szCs w:val="22"/>
                <w:lang w:val="sr-Latn-ME"/>
              </w:rPr>
            </w:pPr>
            <w:r w:rsidRPr="002B09C8">
              <w:rPr>
                <w:sz w:val="22"/>
                <w:szCs w:val="22"/>
                <w:lang w:val="sr-Latn-ME"/>
              </w:rPr>
              <w:t>Glavobolja</w:t>
            </w:r>
          </w:p>
        </w:tc>
        <w:tc>
          <w:tcPr>
            <w:tcW w:w="1271" w:type="dxa"/>
            <w:tcBorders>
              <w:top w:val="single" w:sz="4" w:space="0" w:color="auto"/>
              <w:left w:val="single" w:sz="4" w:space="0" w:color="auto"/>
              <w:bottom w:val="single" w:sz="4" w:space="0" w:color="auto"/>
              <w:right w:val="single" w:sz="4" w:space="0" w:color="auto"/>
            </w:tcBorders>
          </w:tcPr>
          <w:p w14:paraId="5506B7DA" w14:textId="77777777" w:rsidR="000D0A74" w:rsidRPr="002B09C8" w:rsidRDefault="000D0A74" w:rsidP="00C74431">
            <w:pPr>
              <w:widowControl w:val="0"/>
              <w:jc w:val="both"/>
              <w:rPr>
                <w:sz w:val="22"/>
                <w:szCs w:val="22"/>
                <w:lang w:val="sr-Latn-ME"/>
              </w:rPr>
            </w:pPr>
          </w:p>
        </w:tc>
        <w:tc>
          <w:tcPr>
            <w:tcW w:w="1660" w:type="dxa"/>
            <w:tcBorders>
              <w:top w:val="single" w:sz="4" w:space="0" w:color="auto"/>
              <w:left w:val="single" w:sz="4" w:space="0" w:color="auto"/>
              <w:bottom w:val="single" w:sz="4" w:space="0" w:color="auto"/>
              <w:right w:val="single" w:sz="4" w:space="0" w:color="auto"/>
            </w:tcBorders>
          </w:tcPr>
          <w:p w14:paraId="7DC804AD" w14:textId="77777777" w:rsidR="000D0A74" w:rsidRPr="002B09C8" w:rsidRDefault="000D0A74" w:rsidP="00C74431">
            <w:pPr>
              <w:widowControl w:val="0"/>
              <w:jc w:val="both"/>
              <w:rPr>
                <w:sz w:val="22"/>
                <w:szCs w:val="22"/>
                <w:lang w:val="sr-Latn-ME"/>
              </w:rPr>
            </w:pPr>
          </w:p>
        </w:tc>
        <w:tc>
          <w:tcPr>
            <w:tcW w:w="1681" w:type="dxa"/>
            <w:tcBorders>
              <w:top w:val="single" w:sz="4" w:space="0" w:color="auto"/>
              <w:left w:val="single" w:sz="4" w:space="0" w:color="auto"/>
              <w:bottom w:val="single" w:sz="4" w:space="0" w:color="auto"/>
              <w:right w:val="single" w:sz="4" w:space="0" w:color="auto"/>
            </w:tcBorders>
          </w:tcPr>
          <w:p w14:paraId="7D6862EB" w14:textId="77777777" w:rsidR="000D0A74" w:rsidRPr="002B09C8" w:rsidRDefault="000D0A74" w:rsidP="00C74431">
            <w:pPr>
              <w:widowControl w:val="0"/>
              <w:jc w:val="both"/>
              <w:rPr>
                <w:sz w:val="22"/>
                <w:szCs w:val="22"/>
                <w:lang w:val="sr-Latn-ME"/>
              </w:rPr>
            </w:pPr>
          </w:p>
        </w:tc>
        <w:tc>
          <w:tcPr>
            <w:tcW w:w="1619" w:type="dxa"/>
            <w:tcBorders>
              <w:top w:val="single" w:sz="4" w:space="0" w:color="auto"/>
              <w:left w:val="single" w:sz="4" w:space="0" w:color="auto"/>
              <w:bottom w:val="single" w:sz="4" w:space="0" w:color="auto"/>
              <w:right w:val="single" w:sz="4" w:space="0" w:color="auto"/>
            </w:tcBorders>
          </w:tcPr>
          <w:p w14:paraId="28A7DE2A" w14:textId="77777777" w:rsidR="000D0A74" w:rsidRPr="002B09C8" w:rsidRDefault="000D0A74" w:rsidP="00C74431">
            <w:pPr>
              <w:widowControl w:val="0"/>
              <w:jc w:val="both"/>
              <w:rPr>
                <w:sz w:val="22"/>
                <w:szCs w:val="22"/>
                <w:lang w:val="sr-Latn-ME"/>
              </w:rPr>
            </w:pPr>
          </w:p>
        </w:tc>
      </w:tr>
      <w:tr w:rsidR="000D0A74" w:rsidRPr="002B09C8" w14:paraId="495A48B9" w14:textId="77777777" w:rsidTr="00CF1A4D">
        <w:tc>
          <w:tcPr>
            <w:tcW w:w="1560" w:type="dxa"/>
            <w:tcBorders>
              <w:top w:val="single" w:sz="4" w:space="0" w:color="auto"/>
              <w:left w:val="single" w:sz="4" w:space="0" w:color="auto"/>
              <w:bottom w:val="single" w:sz="4" w:space="0" w:color="auto"/>
              <w:right w:val="single" w:sz="4" w:space="0" w:color="auto"/>
            </w:tcBorders>
          </w:tcPr>
          <w:p w14:paraId="691FC1C1" w14:textId="7CF475E8" w:rsidR="000D0A74" w:rsidRPr="002B09C8" w:rsidRDefault="000D0A74" w:rsidP="00C74431">
            <w:pPr>
              <w:widowControl w:val="0"/>
              <w:jc w:val="both"/>
              <w:rPr>
                <w:i/>
                <w:sz w:val="22"/>
                <w:szCs w:val="22"/>
                <w:lang w:val="sr-Latn-ME"/>
              </w:rPr>
            </w:pPr>
            <w:r w:rsidRPr="002B09C8">
              <w:rPr>
                <w:i/>
                <w:sz w:val="22"/>
                <w:szCs w:val="22"/>
                <w:lang w:val="sr-Latn-ME"/>
              </w:rPr>
              <w:t>Vaskularni poremećaji</w:t>
            </w:r>
          </w:p>
        </w:tc>
        <w:tc>
          <w:tcPr>
            <w:tcW w:w="1272" w:type="dxa"/>
            <w:tcBorders>
              <w:top w:val="single" w:sz="4" w:space="0" w:color="auto"/>
              <w:left w:val="single" w:sz="4" w:space="0" w:color="auto"/>
              <w:bottom w:val="single" w:sz="4" w:space="0" w:color="auto"/>
              <w:right w:val="single" w:sz="4" w:space="0" w:color="auto"/>
            </w:tcBorders>
          </w:tcPr>
          <w:p w14:paraId="0258E9DA" w14:textId="77777777" w:rsidR="000D0A74" w:rsidRPr="002B09C8" w:rsidRDefault="000D0A74" w:rsidP="00C74431">
            <w:pPr>
              <w:widowControl w:val="0"/>
              <w:jc w:val="both"/>
              <w:rPr>
                <w:sz w:val="22"/>
                <w:szCs w:val="22"/>
                <w:lang w:val="sr-Latn-ME"/>
              </w:rPr>
            </w:pPr>
          </w:p>
        </w:tc>
        <w:tc>
          <w:tcPr>
            <w:tcW w:w="1271" w:type="dxa"/>
            <w:tcBorders>
              <w:top w:val="single" w:sz="4" w:space="0" w:color="auto"/>
              <w:left w:val="single" w:sz="4" w:space="0" w:color="auto"/>
              <w:bottom w:val="single" w:sz="4" w:space="0" w:color="auto"/>
              <w:right w:val="single" w:sz="4" w:space="0" w:color="auto"/>
            </w:tcBorders>
          </w:tcPr>
          <w:p w14:paraId="280FF06B" w14:textId="495C397F" w:rsidR="000D0A74" w:rsidRPr="002B09C8" w:rsidRDefault="000D0A74" w:rsidP="00C74431">
            <w:pPr>
              <w:widowControl w:val="0"/>
              <w:jc w:val="both"/>
              <w:rPr>
                <w:sz w:val="22"/>
                <w:szCs w:val="22"/>
                <w:lang w:val="sr-Latn-ME"/>
              </w:rPr>
            </w:pPr>
            <w:r w:rsidRPr="002B09C8">
              <w:rPr>
                <w:sz w:val="22"/>
                <w:szCs w:val="22"/>
                <w:lang w:val="sr-Latn-ME"/>
              </w:rPr>
              <w:t xml:space="preserve">Crvenilo praćeno naletima vrućine </w:t>
            </w:r>
          </w:p>
        </w:tc>
        <w:tc>
          <w:tcPr>
            <w:tcW w:w="1660" w:type="dxa"/>
            <w:tcBorders>
              <w:top w:val="single" w:sz="4" w:space="0" w:color="auto"/>
              <w:left w:val="single" w:sz="4" w:space="0" w:color="auto"/>
              <w:bottom w:val="single" w:sz="4" w:space="0" w:color="auto"/>
              <w:right w:val="single" w:sz="4" w:space="0" w:color="auto"/>
            </w:tcBorders>
          </w:tcPr>
          <w:p w14:paraId="0686F066" w14:textId="77777777" w:rsidR="000D0A74" w:rsidRPr="002B09C8" w:rsidRDefault="000D0A74" w:rsidP="00C74431">
            <w:pPr>
              <w:widowControl w:val="0"/>
              <w:jc w:val="both"/>
              <w:rPr>
                <w:sz w:val="22"/>
                <w:szCs w:val="22"/>
                <w:lang w:val="sr-Latn-ME"/>
              </w:rPr>
            </w:pPr>
          </w:p>
        </w:tc>
        <w:tc>
          <w:tcPr>
            <w:tcW w:w="1681" w:type="dxa"/>
            <w:tcBorders>
              <w:top w:val="single" w:sz="4" w:space="0" w:color="auto"/>
              <w:left w:val="single" w:sz="4" w:space="0" w:color="auto"/>
              <w:bottom w:val="single" w:sz="4" w:space="0" w:color="auto"/>
              <w:right w:val="single" w:sz="4" w:space="0" w:color="auto"/>
            </w:tcBorders>
          </w:tcPr>
          <w:p w14:paraId="01C13407" w14:textId="77777777" w:rsidR="000D0A74" w:rsidRPr="002B09C8" w:rsidRDefault="000D0A74" w:rsidP="00C74431">
            <w:pPr>
              <w:widowControl w:val="0"/>
              <w:jc w:val="both"/>
              <w:rPr>
                <w:sz w:val="22"/>
                <w:szCs w:val="22"/>
                <w:lang w:val="sr-Latn-ME"/>
              </w:rPr>
            </w:pPr>
          </w:p>
        </w:tc>
        <w:tc>
          <w:tcPr>
            <w:tcW w:w="1619" w:type="dxa"/>
            <w:tcBorders>
              <w:top w:val="single" w:sz="4" w:space="0" w:color="auto"/>
              <w:left w:val="single" w:sz="4" w:space="0" w:color="auto"/>
              <w:bottom w:val="single" w:sz="4" w:space="0" w:color="auto"/>
              <w:right w:val="single" w:sz="4" w:space="0" w:color="auto"/>
            </w:tcBorders>
          </w:tcPr>
          <w:p w14:paraId="6BF5A225" w14:textId="77777777" w:rsidR="000D0A74" w:rsidRPr="002B09C8" w:rsidRDefault="000D0A74" w:rsidP="00C74431">
            <w:pPr>
              <w:widowControl w:val="0"/>
              <w:jc w:val="both"/>
              <w:rPr>
                <w:sz w:val="22"/>
                <w:szCs w:val="22"/>
                <w:lang w:val="sr-Latn-ME"/>
              </w:rPr>
            </w:pPr>
          </w:p>
        </w:tc>
      </w:tr>
      <w:tr w:rsidR="000D0A74" w:rsidRPr="002B09C8" w14:paraId="09CA90A4" w14:textId="77777777" w:rsidTr="00CF1A4D">
        <w:tc>
          <w:tcPr>
            <w:tcW w:w="1560" w:type="dxa"/>
            <w:tcBorders>
              <w:top w:val="single" w:sz="4" w:space="0" w:color="auto"/>
              <w:left w:val="single" w:sz="4" w:space="0" w:color="auto"/>
              <w:bottom w:val="single" w:sz="4" w:space="0" w:color="auto"/>
              <w:right w:val="single" w:sz="4" w:space="0" w:color="auto"/>
            </w:tcBorders>
          </w:tcPr>
          <w:p w14:paraId="46F4D2C9" w14:textId="750EA0B4" w:rsidR="000D0A74" w:rsidRPr="002B09C8" w:rsidRDefault="000D0A74" w:rsidP="00C74431">
            <w:pPr>
              <w:widowControl w:val="0"/>
              <w:jc w:val="both"/>
              <w:rPr>
                <w:i/>
                <w:sz w:val="22"/>
                <w:szCs w:val="22"/>
                <w:lang w:val="sr-Latn-ME"/>
              </w:rPr>
            </w:pPr>
            <w:r w:rsidRPr="002B09C8">
              <w:rPr>
                <w:i/>
                <w:sz w:val="22"/>
                <w:szCs w:val="22"/>
                <w:lang w:val="sr-Latn-ME"/>
              </w:rPr>
              <w:t xml:space="preserve">Respiratorni, torakalni i </w:t>
            </w:r>
            <w:proofErr w:type="spellStart"/>
            <w:r w:rsidRPr="002B09C8">
              <w:rPr>
                <w:i/>
                <w:sz w:val="22"/>
                <w:szCs w:val="22"/>
                <w:lang w:val="sr-Latn-ME"/>
              </w:rPr>
              <w:t>medijastinalni</w:t>
            </w:r>
            <w:proofErr w:type="spellEnd"/>
            <w:r w:rsidRPr="002B09C8">
              <w:rPr>
                <w:i/>
                <w:sz w:val="22"/>
                <w:szCs w:val="22"/>
                <w:lang w:val="sr-Latn-ME"/>
              </w:rPr>
              <w:t xml:space="preserve"> poremećaji</w:t>
            </w:r>
          </w:p>
        </w:tc>
        <w:tc>
          <w:tcPr>
            <w:tcW w:w="1272" w:type="dxa"/>
            <w:tcBorders>
              <w:top w:val="single" w:sz="4" w:space="0" w:color="auto"/>
              <w:left w:val="single" w:sz="4" w:space="0" w:color="auto"/>
              <w:bottom w:val="single" w:sz="4" w:space="0" w:color="auto"/>
              <w:right w:val="single" w:sz="4" w:space="0" w:color="auto"/>
            </w:tcBorders>
          </w:tcPr>
          <w:p w14:paraId="39473EE3" w14:textId="77777777" w:rsidR="000D0A74" w:rsidRPr="002B09C8" w:rsidRDefault="000D0A74" w:rsidP="00C74431">
            <w:pPr>
              <w:widowControl w:val="0"/>
              <w:jc w:val="both"/>
              <w:rPr>
                <w:sz w:val="22"/>
                <w:szCs w:val="22"/>
                <w:lang w:val="sr-Latn-ME"/>
              </w:rPr>
            </w:pPr>
          </w:p>
        </w:tc>
        <w:tc>
          <w:tcPr>
            <w:tcW w:w="1271" w:type="dxa"/>
            <w:tcBorders>
              <w:top w:val="single" w:sz="4" w:space="0" w:color="auto"/>
              <w:left w:val="single" w:sz="4" w:space="0" w:color="auto"/>
              <w:bottom w:val="single" w:sz="4" w:space="0" w:color="auto"/>
              <w:right w:val="single" w:sz="4" w:space="0" w:color="auto"/>
            </w:tcBorders>
          </w:tcPr>
          <w:p w14:paraId="7D446A72" w14:textId="4D380A9B" w:rsidR="000D0A74" w:rsidRPr="002B09C8" w:rsidRDefault="000D0A74" w:rsidP="00C74431">
            <w:pPr>
              <w:widowControl w:val="0"/>
              <w:jc w:val="both"/>
              <w:rPr>
                <w:sz w:val="22"/>
                <w:szCs w:val="22"/>
                <w:lang w:val="sr-Latn-ME"/>
              </w:rPr>
            </w:pPr>
            <w:proofErr w:type="spellStart"/>
            <w:r w:rsidRPr="002B09C8">
              <w:rPr>
                <w:sz w:val="22"/>
                <w:szCs w:val="22"/>
                <w:lang w:val="sr-Latn-ME"/>
              </w:rPr>
              <w:t>Dispneja</w:t>
            </w:r>
            <w:proofErr w:type="spellEnd"/>
          </w:p>
        </w:tc>
        <w:tc>
          <w:tcPr>
            <w:tcW w:w="1660" w:type="dxa"/>
            <w:tcBorders>
              <w:top w:val="single" w:sz="4" w:space="0" w:color="auto"/>
              <w:left w:val="single" w:sz="4" w:space="0" w:color="auto"/>
              <w:bottom w:val="single" w:sz="4" w:space="0" w:color="auto"/>
              <w:right w:val="single" w:sz="4" w:space="0" w:color="auto"/>
            </w:tcBorders>
          </w:tcPr>
          <w:p w14:paraId="44B48B67" w14:textId="77777777" w:rsidR="000D0A74" w:rsidRPr="002B09C8" w:rsidRDefault="000D0A74" w:rsidP="00C74431">
            <w:pPr>
              <w:widowControl w:val="0"/>
              <w:jc w:val="both"/>
              <w:rPr>
                <w:sz w:val="22"/>
                <w:szCs w:val="22"/>
                <w:lang w:val="sr-Latn-ME"/>
              </w:rPr>
            </w:pPr>
          </w:p>
        </w:tc>
        <w:tc>
          <w:tcPr>
            <w:tcW w:w="1681" w:type="dxa"/>
            <w:tcBorders>
              <w:top w:val="single" w:sz="4" w:space="0" w:color="auto"/>
              <w:left w:val="single" w:sz="4" w:space="0" w:color="auto"/>
              <w:bottom w:val="single" w:sz="4" w:space="0" w:color="auto"/>
              <w:right w:val="single" w:sz="4" w:space="0" w:color="auto"/>
            </w:tcBorders>
          </w:tcPr>
          <w:p w14:paraId="5D54CF26" w14:textId="77777777" w:rsidR="000D0A74" w:rsidRPr="002B09C8" w:rsidRDefault="000D0A74" w:rsidP="00C74431">
            <w:pPr>
              <w:widowControl w:val="0"/>
              <w:jc w:val="both"/>
              <w:rPr>
                <w:sz w:val="22"/>
                <w:szCs w:val="22"/>
                <w:lang w:val="sr-Latn-ME"/>
              </w:rPr>
            </w:pPr>
          </w:p>
        </w:tc>
        <w:tc>
          <w:tcPr>
            <w:tcW w:w="1619" w:type="dxa"/>
            <w:tcBorders>
              <w:top w:val="single" w:sz="4" w:space="0" w:color="auto"/>
              <w:left w:val="single" w:sz="4" w:space="0" w:color="auto"/>
              <w:bottom w:val="single" w:sz="4" w:space="0" w:color="auto"/>
              <w:right w:val="single" w:sz="4" w:space="0" w:color="auto"/>
            </w:tcBorders>
          </w:tcPr>
          <w:p w14:paraId="199BD1C1" w14:textId="77777777" w:rsidR="000D0A74" w:rsidRPr="002B09C8" w:rsidRDefault="000D0A74" w:rsidP="00C74431">
            <w:pPr>
              <w:widowControl w:val="0"/>
              <w:jc w:val="both"/>
              <w:rPr>
                <w:sz w:val="22"/>
                <w:szCs w:val="22"/>
                <w:lang w:val="sr-Latn-ME"/>
              </w:rPr>
            </w:pPr>
          </w:p>
        </w:tc>
      </w:tr>
      <w:tr w:rsidR="000D0A74" w:rsidRPr="002B09C8" w14:paraId="714A4158" w14:textId="77777777" w:rsidTr="00CF1A4D">
        <w:tc>
          <w:tcPr>
            <w:tcW w:w="1560" w:type="dxa"/>
            <w:tcBorders>
              <w:top w:val="single" w:sz="4" w:space="0" w:color="auto"/>
              <w:left w:val="single" w:sz="4" w:space="0" w:color="auto"/>
              <w:bottom w:val="single" w:sz="4" w:space="0" w:color="auto"/>
              <w:right w:val="single" w:sz="4" w:space="0" w:color="auto"/>
            </w:tcBorders>
          </w:tcPr>
          <w:p w14:paraId="68AAC768" w14:textId="6F778CCE" w:rsidR="000D0A74" w:rsidRPr="002B09C8" w:rsidRDefault="000D0A74" w:rsidP="00C74431">
            <w:pPr>
              <w:widowControl w:val="0"/>
              <w:jc w:val="both"/>
              <w:rPr>
                <w:i/>
                <w:sz w:val="22"/>
                <w:szCs w:val="22"/>
                <w:lang w:val="sr-Latn-ME"/>
              </w:rPr>
            </w:pPr>
            <w:r w:rsidRPr="002B09C8">
              <w:rPr>
                <w:i/>
                <w:sz w:val="22"/>
                <w:szCs w:val="22"/>
                <w:lang w:val="sr-Latn-ME"/>
              </w:rPr>
              <w:t>Gastrointestinalni poremećaji</w:t>
            </w:r>
          </w:p>
        </w:tc>
        <w:tc>
          <w:tcPr>
            <w:tcW w:w="1272" w:type="dxa"/>
            <w:tcBorders>
              <w:top w:val="single" w:sz="4" w:space="0" w:color="auto"/>
              <w:left w:val="single" w:sz="4" w:space="0" w:color="auto"/>
              <w:bottom w:val="single" w:sz="4" w:space="0" w:color="auto"/>
              <w:right w:val="single" w:sz="4" w:space="0" w:color="auto"/>
            </w:tcBorders>
          </w:tcPr>
          <w:p w14:paraId="7AB0E062" w14:textId="5861BB30" w:rsidR="000D0A74" w:rsidRPr="002B09C8" w:rsidRDefault="000D0A74" w:rsidP="00C74431">
            <w:pPr>
              <w:widowControl w:val="0"/>
              <w:jc w:val="both"/>
              <w:rPr>
                <w:sz w:val="22"/>
                <w:szCs w:val="22"/>
                <w:lang w:val="sr-Latn-ME"/>
              </w:rPr>
            </w:pPr>
            <w:r w:rsidRPr="002B09C8">
              <w:rPr>
                <w:sz w:val="22"/>
                <w:szCs w:val="22"/>
                <w:lang w:val="sr-Latn-ME"/>
              </w:rPr>
              <w:t>Mučnina</w:t>
            </w:r>
          </w:p>
        </w:tc>
        <w:tc>
          <w:tcPr>
            <w:tcW w:w="1271" w:type="dxa"/>
            <w:tcBorders>
              <w:top w:val="single" w:sz="4" w:space="0" w:color="auto"/>
              <w:left w:val="single" w:sz="4" w:space="0" w:color="auto"/>
              <w:bottom w:val="single" w:sz="4" w:space="0" w:color="auto"/>
              <w:right w:val="single" w:sz="4" w:space="0" w:color="auto"/>
            </w:tcBorders>
          </w:tcPr>
          <w:p w14:paraId="6E9CF640" w14:textId="3857001F" w:rsidR="000D0A74" w:rsidRPr="002B09C8" w:rsidRDefault="000D0A74" w:rsidP="00C74431">
            <w:pPr>
              <w:widowControl w:val="0"/>
              <w:jc w:val="both"/>
              <w:rPr>
                <w:sz w:val="22"/>
                <w:szCs w:val="22"/>
                <w:lang w:val="sr-Latn-ME"/>
              </w:rPr>
            </w:pPr>
            <w:r w:rsidRPr="002B09C8">
              <w:rPr>
                <w:sz w:val="22"/>
                <w:szCs w:val="22"/>
                <w:lang w:val="sr-Latn-ME"/>
              </w:rPr>
              <w:t>Povraćanje</w:t>
            </w:r>
          </w:p>
        </w:tc>
        <w:tc>
          <w:tcPr>
            <w:tcW w:w="1660" w:type="dxa"/>
            <w:tcBorders>
              <w:top w:val="single" w:sz="4" w:space="0" w:color="auto"/>
              <w:left w:val="single" w:sz="4" w:space="0" w:color="auto"/>
              <w:bottom w:val="single" w:sz="4" w:space="0" w:color="auto"/>
              <w:right w:val="single" w:sz="4" w:space="0" w:color="auto"/>
            </w:tcBorders>
          </w:tcPr>
          <w:p w14:paraId="169FEFC3" w14:textId="77777777" w:rsidR="000D0A74" w:rsidRPr="002B09C8" w:rsidRDefault="000D0A74" w:rsidP="00C74431">
            <w:pPr>
              <w:widowControl w:val="0"/>
              <w:jc w:val="both"/>
              <w:rPr>
                <w:sz w:val="22"/>
                <w:szCs w:val="22"/>
                <w:lang w:val="sr-Latn-ME"/>
              </w:rPr>
            </w:pPr>
          </w:p>
        </w:tc>
        <w:tc>
          <w:tcPr>
            <w:tcW w:w="1681" w:type="dxa"/>
            <w:tcBorders>
              <w:top w:val="single" w:sz="4" w:space="0" w:color="auto"/>
              <w:left w:val="single" w:sz="4" w:space="0" w:color="auto"/>
              <w:bottom w:val="single" w:sz="4" w:space="0" w:color="auto"/>
              <w:right w:val="single" w:sz="4" w:space="0" w:color="auto"/>
            </w:tcBorders>
          </w:tcPr>
          <w:p w14:paraId="10BDBEB8" w14:textId="77777777" w:rsidR="000D0A74" w:rsidRPr="002B09C8" w:rsidRDefault="000D0A74" w:rsidP="00C74431">
            <w:pPr>
              <w:widowControl w:val="0"/>
              <w:jc w:val="both"/>
              <w:rPr>
                <w:sz w:val="22"/>
                <w:szCs w:val="22"/>
                <w:lang w:val="sr-Latn-ME"/>
              </w:rPr>
            </w:pPr>
          </w:p>
        </w:tc>
        <w:tc>
          <w:tcPr>
            <w:tcW w:w="1619" w:type="dxa"/>
            <w:tcBorders>
              <w:top w:val="single" w:sz="4" w:space="0" w:color="auto"/>
              <w:left w:val="single" w:sz="4" w:space="0" w:color="auto"/>
              <w:bottom w:val="single" w:sz="4" w:space="0" w:color="auto"/>
              <w:right w:val="single" w:sz="4" w:space="0" w:color="auto"/>
            </w:tcBorders>
          </w:tcPr>
          <w:p w14:paraId="5A4A5922" w14:textId="77777777" w:rsidR="000D0A74" w:rsidRPr="002B09C8" w:rsidRDefault="000D0A74" w:rsidP="00C74431">
            <w:pPr>
              <w:widowControl w:val="0"/>
              <w:jc w:val="both"/>
              <w:rPr>
                <w:sz w:val="22"/>
                <w:szCs w:val="22"/>
                <w:lang w:val="sr-Latn-ME"/>
              </w:rPr>
            </w:pPr>
          </w:p>
        </w:tc>
      </w:tr>
      <w:tr w:rsidR="0054647B" w:rsidRPr="002B09C8" w14:paraId="6988B94B" w14:textId="77777777" w:rsidTr="00CF1A4D">
        <w:tc>
          <w:tcPr>
            <w:tcW w:w="1560" w:type="dxa"/>
            <w:tcBorders>
              <w:top w:val="single" w:sz="4" w:space="0" w:color="auto"/>
              <w:left w:val="single" w:sz="4" w:space="0" w:color="auto"/>
              <w:bottom w:val="single" w:sz="4" w:space="0" w:color="auto"/>
              <w:right w:val="single" w:sz="4" w:space="0" w:color="auto"/>
            </w:tcBorders>
            <w:hideMark/>
          </w:tcPr>
          <w:p w14:paraId="749D7600" w14:textId="77777777" w:rsidR="0054647B" w:rsidRPr="002B09C8" w:rsidRDefault="0054647B" w:rsidP="00C74431">
            <w:pPr>
              <w:widowControl w:val="0"/>
              <w:jc w:val="both"/>
              <w:rPr>
                <w:i/>
                <w:sz w:val="22"/>
                <w:szCs w:val="22"/>
                <w:lang w:val="sr-Latn-ME"/>
              </w:rPr>
            </w:pPr>
            <w:proofErr w:type="spellStart"/>
            <w:r w:rsidRPr="002B09C8">
              <w:rPr>
                <w:i/>
                <w:sz w:val="22"/>
                <w:szCs w:val="22"/>
                <w:lang w:val="sr-Latn-ME"/>
              </w:rPr>
              <w:t>Hepatobilijarni</w:t>
            </w:r>
            <w:proofErr w:type="spellEnd"/>
            <w:r w:rsidRPr="002B09C8">
              <w:rPr>
                <w:i/>
                <w:sz w:val="22"/>
                <w:szCs w:val="22"/>
                <w:lang w:val="sr-Latn-ME"/>
              </w:rPr>
              <w:t xml:space="preserve"> poremećaji</w:t>
            </w:r>
          </w:p>
        </w:tc>
        <w:tc>
          <w:tcPr>
            <w:tcW w:w="1272" w:type="dxa"/>
            <w:tcBorders>
              <w:top w:val="single" w:sz="4" w:space="0" w:color="auto"/>
              <w:left w:val="single" w:sz="4" w:space="0" w:color="auto"/>
              <w:bottom w:val="single" w:sz="4" w:space="0" w:color="auto"/>
              <w:right w:val="single" w:sz="4" w:space="0" w:color="auto"/>
            </w:tcBorders>
          </w:tcPr>
          <w:p w14:paraId="57C4C746" w14:textId="77777777" w:rsidR="0054647B" w:rsidRPr="002B09C8" w:rsidRDefault="0054647B" w:rsidP="00C74431">
            <w:pPr>
              <w:widowControl w:val="0"/>
              <w:jc w:val="both"/>
              <w:rPr>
                <w:sz w:val="22"/>
                <w:szCs w:val="22"/>
                <w:lang w:val="sr-Latn-ME"/>
              </w:rPr>
            </w:pPr>
          </w:p>
        </w:tc>
        <w:tc>
          <w:tcPr>
            <w:tcW w:w="1271" w:type="dxa"/>
            <w:tcBorders>
              <w:top w:val="single" w:sz="4" w:space="0" w:color="auto"/>
              <w:left w:val="single" w:sz="4" w:space="0" w:color="auto"/>
              <w:bottom w:val="single" w:sz="4" w:space="0" w:color="auto"/>
              <w:right w:val="single" w:sz="4" w:space="0" w:color="auto"/>
            </w:tcBorders>
          </w:tcPr>
          <w:p w14:paraId="331DAA36" w14:textId="77777777" w:rsidR="0054647B" w:rsidRPr="002B09C8" w:rsidRDefault="0054647B" w:rsidP="00C74431">
            <w:pPr>
              <w:widowControl w:val="0"/>
              <w:jc w:val="both"/>
              <w:rPr>
                <w:sz w:val="22"/>
                <w:szCs w:val="22"/>
                <w:lang w:val="sr-Latn-ME"/>
              </w:rPr>
            </w:pPr>
          </w:p>
        </w:tc>
        <w:tc>
          <w:tcPr>
            <w:tcW w:w="1660" w:type="dxa"/>
            <w:tcBorders>
              <w:top w:val="single" w:sz="4" w:space="0" w:color="auto"/>
              <w:left w:val="single" w:sz="4" w:space="0" w:color="auto"/>
              <w:bottom w:val="single" w:sz="4" w:space="0" w:color="auto"/>
              <w:right w:val="single" w:sz="4" w:space="0" w:color="auto"/>
            </w:tcBorders>
          </w:tcPr>
          <w:p w14:paraId="1417B508" w14:textId="77777777" w:rsidR="0054647B" w:rsidRPr="002B09C8" w:rsidRDefault="0054647B" w:rsidP="00C74431">
            <w:pPr>
              <w:widowControl w:val="0"/>
              <w:jc w:val="both"/>
              <w:rPr>
                <w:sz w:val="22"/>
                <w:szCs w:val="22"/>
                <w:lang w:val="sr-Latn-ME"/>
              </w:rPr>
            </w:pPr>
          </w:p>
        </w:tc>
        <w:tc>
          <w:tcPr>
            <w:tcW w:w="1681" w:type="dxa"/>
            <w:tcBorders>
              <w:top w:val="single" w:sz="4" w:space="0" w:color="auto"/>
              <w:left w:val="single" w:sz="4" w:space="0" w:color="auto"/>
              <w:bottom w:val="single" w:sz="4" w:space="0" w:color="auto"/>
              <w:right w:val="single" w:sz="4" w:space="0" w:color="auto"/>
            </w:tcBorders>
            <w:hideMark/>
          </w:tcPr>
          <w:p w14:paraId="6C88BE75"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Hiperbilirubinemija</w:t>
            </w:r>
            <w:proofErr w:type="spellEnd"/>
          </w:p>
        </w:tc>
        <w:tc>
          <w:tcPr>
            <w:tcW w:w="1619" w:type="dxa"/>
            <w:tcBorders>
              <w:top w:val="single" w:sz="4" w:space="0" w:color="auto"/>
              <w:left w:val="single" w:sz="4" w:space="0" w:color="auto"/>
              <w:bottom w:val="single" w:sz="4" w:space="0" w:color="auto"/>
              <w:right w:val="single" w:sz="4" w:space="0" w:color="auto"/>
            </w:tcBorders>
            <w:hideMark/>
          </w:tcPr>
          <w:p w14:paraId="54FF8471" w14:textId="77777777" w:rsidR="0054647B" w:rsidRPr="002B09C8" w:rsidRDefault="0054647B" w:rsidP="00C74431">
            <w:pPr>
              <w:widowControl w:val="0"/>
              <w:jc w:val="both"/>
              <w:rPr>
                <w:sz w:val="22"/>
                <w:szCs w:val="22"/>
                <w:lang w:val="sr-Latn-ME"/>
              </w:rPr>
            </w:pPr>
            <w:r w:rsidRPr="002B09C8">
              <w:rPr>
                <w:sz w:val="22"/>
                <w:szCs w:val="22"/>
                <w:lang w:val="sr-Latn-ME"/>
              </w:rPr>
              <w:t>Oštećenje jetre</w:t>
            </w:r>
          </w:p>
        </w:tc>
      </w:tr>
      <w:tr w:rsidR="0054647B" w:rsidRPr="002B09C8" w14:paraId="0A4891D7" w14:textId="77777777" w:rsidTr="00CF1A4D">
        <w:tc>
          <w:tcPr>
            <w:tcW w:w="1560" w:type="dxa"/>
            <w:tcBorders>
              <w:top w:val="single" w:sz="4" w:space="0" w:color="auto"/>
              <w:left w:val="single" w:sz="4" w:space="0" w:color="auto"/>
              <w:bottom w:val="single" w:sz="4" w:space="0" w:color="auto"/>
              <w:right w:val="single" w:sz="4" w:space="0" w:color="auto"/>
            </w:tcBorders>
            <w:hideMark/>
          </w:tcPr>
          <w:p w14:paraId="4BB98096" w14:textId="77777777" w:rsidR="0054647B" w:rsidRPr="002B09C8" w:rsidRDefault="0054647B" w:rsidP="00C74431">
            <w:pPr>
              <w:widowControl w:val="0"/>
              <w:jc w:val="both"/>
              <w:rPr>
                <w:i/>
                <w:sz w:val="22"/>
                <w:szCs w:val="22"/>
                <w:lang w:val="sr-Latn-ME"/>
              </w:rPr>
            </w:pPr>
            <w:r w:rsidRPr="002B09C8">
              <w:rPr>
                <w:i/>
                <w:sz w:val="22"/>
                <w:szCs w:val="22"/>
                <w:lang w:val="sr-Latn-ME"/>
              </w:rPr>
              <w:t xml:space="preserve">Poremećaji kože i potkožnog </w:t>
            </w:r>
            <w:r w:rsidRPr="002B09C8">
              <w:rPr>
                <w:i/>
                <w:sz w:val="22"/>
                <w:szCs w:val="22"/>
                <w:lang w:val="sr-Latn-ME"/>
              </w:rPr>
              <w:lastRenderedPageBreak/>
              <w:t>tkiva</w:t>
            </w:r>
          </w:p>
        </w:tc>
        <w:tc>
          <w:tcPr>
            <w:tcW w:w="1272" w:type="dxa"/>
            <w:tcBorders>
              <w:top w:val="single" w:sz="4" w:space="0" w:color="auto"/>
              <w:left w:val="single" w:sz="4" w:space="0" w:color="auto"/>
              <w:bottom w:val="single" w:sz="4" w:space="0" w:color="auto"/>
              <w:right w:val="single" w:sz="4" w:space="0" w:color="auto"/>
            </w:tcBorders>
          </w:tcPr>
          <w:p w14:paraId="2686D455" w14:textId="77777777" w:rsidR="0054647B" w:rsidRPr="002B09C8" w:rsidRDefault="0054647B" w:rsidP="00C74431">
            <w:pPr>
              <w:widowControl w:val="0"/>
              <w:jc w:val="both"/>
              <w:rPr>
                <w:sz w:val="22"/>
                <w:szCs w:val="22"/>
                <w:lang w:val="sr-Latn-ME"/>
              </w:rPr>
            </w:pPr>
          </w:p>
        </w:tc>
        <w:tc>
          <w:tcPr>
            <w:tcW w:w="1271" w:type="dxa"/>
            <w:tcBorders>
              <w:top w:val="single" w:sz="4" w:space="0" w:color="auto"/>
              <w:left w:val="single" w:sz="4" w:space="0" w:color="auto"/>
              <w:bottom w:val="single" w:sz="4" w:space="0" w:color="auto"/>
              <w:right w:val="single" w:sz="4" w:space="0" w:color="auto"/>
            </w:tcBorders>
          </w:tcPr>
          <w:p w14:paraId="1D8C928E" w14:textId="64AE7FCB" w:rsidR="0054647B" w:rsidRPr="002B09C8" w:rsidRDefault="0054647B" w:rsidP="00C74431">
            <w:pPr>
              <w:widowControl w:val="0"/>
              <w:jc w:val="both"/>
              <w:rPr>
                <w:sz w:val="22"/>
                <w:szCs w:val="22"/>
                <w:lang w:val="sr-Latn-ME"/>
              </w:rPr>
            </w:pPr>
            <w:proofErr w:type="spellStart"/>
            <w:r w:rsidRPr="002B09C8">
              <w:rPr>
                <w:sz w:val="22"/>
                <w:szCs w:val="22"/>
                <w:lang w:val="sr-Latn-ME"/>
              </w:rPr>
              <w:t>Prurit</w:t>
            </w:r>
            <w:r w:rsidR="009A3116" w:rsidRPr="002B09C8">
              <w:rPr>
                <w:sz w:val="22"/>
                <w:szCs w:val="22"/>
                <w:lang w:val="sr-Latn-ME"/>
              </w:rPr>
              <w:t>u</w:t>
            </w:r>
            <w:r w:rsidRPr="002B09C8">
              <w:rPr>
                <w:sz w:val="22"/>
                <w:szCs w:val="22"/>
                <w:lang w:val="sr-Latn-ME"/>
              </w:rPr>
              <w:t>s</w:t>
            </w:r>
            <w:proofErr w:type="spellEnd"/>
          </w:p>
          <w:p w14:paraId="34DF049D" w14:textId="77777777" w:rsidR="0054647B" w:rsidRPr="002B09C8" w:rsidRDefault="0054647B" w:rsidP="00C74431">
            <w:pPr>
              <w:widowControl w:val="0"/>
              <w:jc w:val="both"/>
              <w:rPr>
                <w:sz w:val="22"/>
                <w:szCs w:val="22"/>
                <w:lang w:val="sr-Latn-ME"/>
              </w:rPr>
            </w:pPr>
            <w:r w:rsidRPr="002B09C8">
              <w:rPr>
                <w:sz w:val="22"/>
                <w:szCs w:val="22"/>
                <w:lang w:val="sr-Latn-ME"/>
              </w:rPr>
              <w:t>Osip</w:t>
            </w:r>
          </w:p>
          <w:p w14:paraId="6AC0C942" w14:textId="77777777" w:rsidR="0054647B" w:rsidRPr="002B09C8" w:rsidRDefault="0054647B" w:rsidP="00C74431">
            <w:pPr>
              <w:widowControl w:val="0"/>
              <w:jc w:val="both"/>
              <w:rPr>
                <w:sz w:val="22"/>
                <w:szCs w:val="22"/>
                <w:lang w:val="sr-Latn-ME"/>
              </w:rPr>
            </w:pPr>
            <w:r w:rsidRPr="002B09C8">
              <w:rPr>
                <w:sz w:val="22"/>
                <w:szCs w:val="22"/>
                <w:lang w:val="sr-Latn-ME"/>
              </w:rPr>
              <w:t>Urtikarija</w:t>
            </w:r>
          </w:p>
          <w:p w14:paraId="00F5DB19" w14:textId="77777777" w:rsidR="0054647B" w:rsidRPr="002B09C8" w:rsidRDefault="0054647B" w:rsidP="00C74431">
            <w:pPr>
              <w:widowControl w:val="0"/>
              <w:jc w:val="both"/>
              <w:rPr>
                <w:sz w:val="22"/>
                <w:szCs w:val="22"/>
                <w:lang w:val="sr-Latn-ME"/>
              </w:rPr>
            </w:pPr>
          </w:p>
        </w:tc>
        <w:tc>
          <w:tcPr>
            <w:tcW w:w="1660" w:type="dxa"/>
            <w:tcBorders>
              <w:top w:val="single" w:sz="4" w:space="0" w:color="auto"/>
              <w:left w:val="single" w:sz="4" w:space="0" w:color="auto"/>
              <w:bottom w:val="single" w:sz="4" w:space="0" w:color="auto"/>
              <w:right w:val="single" w:sz="4" w:space="0" w:color="auto"/>
            </w:tcBorders>
          </w:tcPr>
          <w:p w14:paraId="72E2F3B1" w14:textId="77777777" w:rsidR="0054647B" w:rsidRPr="002B09C8" w:rsidRDefault="0054647B" w:rsidP="00C74431">
            <w:pPr>
              <w:widowControl w:val="0"/>
              <w:jc w:val="both"/>
              <w:rPr>
                <w:sz w:val="22"/>
                <w:szCs w:val="22"/>
                <w:lang w:val="sr-Latn-ME"/>
              </w:rPr>
            </w:pPr>
          </w:p>
        </w:tc>
        <w:tc>
          <w:tcPr>
            <w:tcW w:w="1681" w:type="dxa"/>
            <w:tcBorders>
              <w:top w:val="single" w:sz="4" w:space="0" w:color="auto"/>
              <w:left w:val="single" w:sz="4" w:space="0" w:color="auto"/>
              <w:bottom w:val="single" w:sz="4" w:space="0" w:color="auto"/>
              <w:right w:val="single" w:sz="4" w:space="0" w:color="auto"/>
            </w:tcBorders>
            <w:hideMark/>
          </w:tcPr>
          <w:p w14:paraId="07ABD48D"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Angioedem</w:t>
            </w:r>
            <w:proofErr w:type="spellEnd"/>
          </w:p>
        </w:tc>
        <w:tc>
          <w:tcPr>
            <w:tcW w:w="1619" w:type="dxa"/>
            <w:tcBorders>
              <w:top w:val="single" w:sz="4" w:space="0" w:color="auto"/>
              <w:left w:val="single" w:sz="4" w:space="0" w:color="auto"/>
              <w:bottom w:val="single" w:sz="4" w:space="0" w:color="auto"/>
              <w:right w:val="single" w:sz="4" w:space="0" w:color="auto"/>
            </w:tcBorders>
          </w:tcPr>
          <w:p w14:paraId="6605DEFE" w14:textId="77777777" w:rsidR="0054647B" w:rsidRPr="002B09C8" w:rsidRDefault="0054647B" w:rsidP="00C74431">
            <w:pPr>
              <w:widowControl w:val="0"/>
              <w:jc w:val="both"/>
              <w:rPr>
                <w:sz w:val="22"/>
                <w:szCs w:val="22"/>
                <w:lang w:val="sr-Latn-ME"/>
              </w:rPr>
            </w:pPr>
          </w:p>
        </w:tc>
      </w:tr>
      <w:tr w:rsidR="0054647B" w:rsidRPr="002B09C8" w14:paraId="17B41AF9" w14:textId="77777777" w:rsidTr="00CF1A4D">
        <w:tc>
          <w:tcPr>
            <w:tcW w:w="1560" w:type="dxa"/>
            <w:tcBorders>
              <w:top w:val="single" w:sz="4" w:space="0" w:color="auto"/>
              <w:left w:val="single" w:sz="4" w:space="0" w:color="auto"/>
              <w:bottom w:val="single" w:sz="4" w:space="0" w:color="auto"/>
              <w:right w:val="single" w:sz="4" w:space="0" w:color="auto"/>
            </w:tcBorders>
            <w:hideMark/>
          </w:tcPr>
          <w:p w14:paraId="1AAB5049" w14:textId="77777777" w:rsidR="0054647B" w:rsidRPr="002B09C8" w:rsidRDefault="0054647B" w:rsidP="00C74431">
            <w:pPr>
              <w:widowControl w:val="0"/>
              <w:jc w:val="both"/>
              <w:rPr>
                <w:i/>
                <w:sz w:val="22"/>
                <w:szCs w:val="22"/>
                <w:lang w:val="sr-Latn-ME"/>
              </w:rPr>
            </w:pPr>
            <w:r w:rsidRPr="002B09C8">
              <w:rPr>
                <w:i/>
                <w:sz w:val="22"/>
                <w:szCs w:val="22"/>
                <w:lang w:val="sr-Latn-ME"/>
              </w:rPr>
              <w:t>Poremećaji mišićno-koštanog sistema i vezivnog tkiva</w:t>
            </w:r>
          </w:p>
        </w:tc>
        <w:tc>
          <w:tcPr>
            <w:tcW w:w="1272" w:type="dxa"/>
            <w:tcBorders>
              <w:top w:val="single" w:sz="4" w:space="0" w:color="auto"/>
              <w:left w:val="single" w:sz="4" w:space="0" w:color="auto"/>
              <w:bottom w:val="single" w:sz="4" w:space="0" w:color="auto"/>
              <w:right w:val="single" w:sz="4" w:space="0" w:color="auto"/>
            </w:tcBorders>
            <w:hideMark/>
          </w:tcPr>
          <w:p w14:paraId="3933D351" w14:textId="77777777" w:rsidR="0054647B" w:rsidRPr="002B09C8" w:rsidRDefault="0054647B" w:rsidP="00C74431">
            <w:pPr>
              <w:widowControl w:val="0"/>
              <w:jc w:val="both"/>
              <w:rPr>
                <w:sz w:val="22"/>
                <w:szCs w:val="22"/>
                <w:lang w:val="sr-Latn-ME"/>
              </w:rPr>
            </w:pPr>
            <w:proofErr w:type="spellStart"/>
            <w:r w:rsidRPr="002B09C8">
              <w:rPr>
                <w:sz w:val="22"/>
                <w:szCs w:val="22"/>
                <w:lang w:val="sr-Latn-ME"/>
              </w:rPr>
              <w:t>Artralgija</w:t>
            </w:r>
            <w:proofErr w:type="spellEnd"/>
          </w:p>
        </w:tc>
        <w:tc>
          <w:tcPr>
            <w:tcW w:w="1271" w:type="dxa"/>
            <w:tcBorders>
              <w:top w:val="single" w:sz="4" w:space="0" w:color="auto"/>
              <w:left w:val="single" w:sz="4" w:space="0" w:color="auto"/>
              <w:bottom w:val="single" w:sz="4" w:space="0" w:color="auto"/>
              <w:right w:val="single" w:sz="4" w:space="0" w:color="auto"/>
            </w:tcBorders>
          </w:tcPr>
          <w:p w14:paraId="143E9941" w14:textId="77777777" w:rsidR="0054647B" w:rsidRPr="002B09C8" w:rsidRDefault="0054647B" w:rsidP="00C74431">
            <w:pPr>
              <w:widowControl w:val="0"/>
              <w:jc w:val="both"/>
              <w:rPr>
                <w:sz w:val="22"/>
                <w:szCs w:val="22"/>
                <w:lang w:val="sr-Latn-ME"/>
              </w:rPr>
            </w:pPr>
          </w:p>
        </w:tc>
        <w:tc>
          <w:tcPr>
            <w:tcW w:w="1660" w:type="dxa"/>
            <w:tcBorders>
              <w:top w:val="single" w:sz="4" w:space="0" w:color="auto"/>
              <w:left w:val="single" w:sz="4" w:space="0" w:color="auto"/>
              <w:bottom w:val="single" w:sz="4" w:space="0" w:color="auto"/>
              <w:right w:val="single" w:sz="4" w:space="0" w:color="auto"/>
            </w:tcBorders>
          </w:tcPr>
          <w:p w14:paraId="408A0963" w14:textId="77777777" w:rsidR="0054647B" w:rsidRPr="002B09C8" w:rsidRDefault="0054647B" w:rsidP="00C74431">
            <w:pPr>
              <w:widowControl w:val="0"/>
              <w:jc w:val="both"/>
              <w:rPr>
                <w:sz w:val="22"/>
                <w:szCs w:val="22"/>
                <w:lang w:val="sr-Latn-ME"/>
              </w:rPr>
            </w:pPr>
          </w:p>
        </w:tc>
        <w:tc>
          <w:tcPr>
            <w:tcW w:w="1681" w:type="dxa"/>
            <w:tcBorders>
              <w:top w:val="single" w:sz="4" w:space="0" w:color="auto"/>
              <w:left w:val="single" w:sz="4" w:space="0" w:color="auto"/>
              <w:bottom w:val="single" w:sz="4" w:space="0" w:color="auto"/>
              <w:right w:val="single" w:sz="4" w:space="0" w:color="auto"/>
            </w:tcBorders>
          </w:tcPr>
          <w:p w14:paraId="0A96EC57" w14:textId="77777777" w:rsidR="0054647B" w:rsidRPr="002B09C8" w:rsidRDefault="0054647B" w:rsidP="00C74431">
            <w:pPr>
              <w:widowControl w:val="0"/>
              <w:jc w:val="both"/>
              <w:rPr>
                <w:sz w:val="22"/>
                <w:szCs w:val="22"/>
                <w:lang w:val="sr-Latn-ME"/>
              </w:rPr>
            </w:pPr>
          </w:p>
        </w:tc>
        <w:tc>
          <w:tcPr>
            <w:tcW w:w="1619" w:type="dxa"/>
            <w:tcBorders>
              <w:top w:val="single" w:sz="4" w:space="0" w:color="auto"/>
              <w:left w:val="single" w:sz="4" w:space="0" w:color="auto"/>
              <w:bottom w:val="single" w:sz="4" w:space="0" w:color="auto"/>
              <w:right w:val="single" w:sz="4" w:space="0" w:color="auto"/>
            </w:tcBorders>
          </w:tcPr>
          <w:p w14:paraId="5AF5831F" w14:textId="77777777" w:rsidR="0054647B" w:rsidRPr="002B09C8" w:rsidRDefault="0054647B" w:rsidP="00C74431">
            <w:pPr>
              <w:widowControl w:val="0"/>
              <w:jc w:val="both"/>
              <w:rPr>
                <w:sz w:val="22"/>
                <w:szCs w:val="22"/>
                <w:lang w:val="sr-Latn-ME"/>
              </w:rPr>
            </w:pPr>
          </w:p>
        </w:tc>
      </w:tr>
      <w:tr w:rsidR="006D7FFD" w:rsidRPr="002B09C8" w14:paraId="72A1D875" w14:textId="77777777" w:rsidTr="00CF1A4D">
        <w:tc>
          <w:tcPr>
            <w:tcW w:w="1560" w:type="dxa"/>
            <w:tcBorders>
              <w:top w:val="single" w:sz="4" w:space="0" w:color="auto"/>
              <w:left w:val="single" w:sz="4" w:space="0" w:color="auto"/>
              <w:bottom w:val="single" w:sz="4" w:space="0" w:color="auto"/>
              <w:right w:val="single" w:sz="4" w:space="0" w:color="auto"/>
            </w:tcBorders>
          </w:tcPr>
          <w:p w14:paraId="70B2525C" w14:textId="17B1493F" w:rsidR="006D7FFD" w:rsidRPr="002B09C8" w:rsidRDefault="006D7FFD" w:rsidP="00C74431">
            <w:pPr>
              <w:widowControl w:val="0"/>
              <w:jc w:val="both"/>
              <w:rPr>
                <w:i/>
                <w:sz w:val="22"/>
                <w:szCs w:val="22"/>
                <w:lang w:val="sr-Latn-ME"/>
              </w:rPr>
            </w:pPr>
            <w:r w:rsidRPr="002B09C8">
              <w:rPr>
                <w:i/>
                <w:sz w:val="22"/>
                <w:szCs w:val="22"/>
                <w:lang w:val="sr-Latn-ME"/>
              </w:rPr>
              <w:t>Opšti poremećaji i reakcije na m</w:t>
            </w:r>
            <w:r w:rsidR="00794B51" w:rsidRPr="002B09C8">
              <w:rPr>
                <w:i/>
                <w:sz w:val="22"/>
                <w:szCs w:val="22"/>
                <w:lang w:val="sr-Latn-ME"/>
              </w:rPr>
              <w:t>j</w:t>
            </w:r>
            <w:r w:rsidRPr="002B09C8">
              <w:rPr>
                <w:i/>
                <w:sz w:val="22"/>
                <w:szCs w:val="22"/>
                <w:lang w:val="sr-Latn-ME"/>
              </w:rPr>
              <w:t>estu prim</w:t>
            </w:r>
            <w:r w:rsidR="00794B51" w:rsidRPr="002B09C8">
              <w:rPr>
                <w:i/>
                <w:sz w:val="22"/>
                <w:szCs w:val="22"/>
                <w:lang w:val="sr-Latn-ME"/>
              </w:rPr>
              <w:t>j</w:t>
            </w:r>
            <w:r w:rsidRPr="002B09C8">
              <w:rPr>
                <w:i/>
                <w:sz w:val="22"/>
                <w:szCs w:val="22"/>
                <w:lang w:val="sr-Latn-ME"/>
              </w:rPr>
              <w:t>ene</w:t>
            </w:r>
          </w:p>
        </w:tc>
        <w:tc>
          <w:tcPr>
            <w:tcW w:w="1272" w:type="dxa"/>
            <w:tcBorders>
              <w:top w:val="single" w:sz="4" w:space="0" w:color="auto"/>
              <w:left w:val="single" w:sz="4" w:space="0" w:color="auto"/>
              <w:bottom w:val="single" w:sz="4" w:space="0" w:color="auto"/>
              <w:right w:val="single" w:sz="4" w:space="0" w:color="auto"/>
            </w:tcBorders>
          </w:tcPr>
          <w:p w14:paraId="040E75BB" w14:textId="6D22D1B1" w:rsidR="006D7FFD" w:rsidRPr="002B09C8" w:rsidRDefault="006D7FFD" w:rsidP="00C74431">
            <w:pPr>
              <w:widowControl w:val="0"/>
              <w:jc w:val="both"/>
              <w:rPr>
                <w:sz w:val="22"/>
                <w:szCs w:val="22"/>
                <w:lang w:val="sr-Latn-ME"/>
              </w:rPr>
            </w:pPr>
            <w:r w:rsidRPr="002B09C8">
              <w:rPr>
                <w:sz w:val="22"/>
                <w:szCs w:val="22"/>
                <w:lang w:val="sr-Latn-ME"/>
              </w:rPr>
              <w:t>Zamor</w:t>
            </w:r>
          </w:p>
        </w:tc>
        <w:tc>
          <w:tcPr>
            <w:tcW w:w="1271" w:type="dxa"/>
            <w:tcBorders>
              <w:top w:val="single" w:sz="4" w:space="0" w:color="auto"/>
              <w:left w:val="single" w:sz="4" w:space="0" w:color="auto"/>
              <w:bottom w:val="single" w:sz="4" w:space="0" w:color="auto"/>
              <w:right w:val="single" w:sz="4" w:space="0" w:color="auto"/>
            </w:tcBorders>
          </w:tcPr>
          <w:p w14:paraId="6BD36809" w14:textId="77777777" w:rsidR="006D7FFD" w:rsidRPr="002B09C8" w:rsidRDefault="006D7FFD" w:rsidP="00C74431">
            <w:pPr>
              <w:widowControl w:val="0"/>
              <w:jc w:val="both"/>
              <w:rPr>
                <w:sz w:val="22"/>
                <w:szCs w:val="22"/>
                <w:lang w:val="sr-Latn-ME"/>
              </w:rPr>
            </w:pPr>
            <w:proofErr w:type="spellStart"/>
            <w:r w:rsidRPr="002B09C8">
              <w:rPr>
                <w:sz w:val="22"/>
                <w:szCs w:val="22"/>
                <w:lang w:val="sr-Latn-ME"/>
              </w:rPr>
              <w:t>Pireksija</w:t>
            </w:r>
            <w:proofErr w:type="spellEnd"/>
          </w:p>
          <w:p w14:paraId="284B2179" w14:textId="77777777" w:rsidR="006D7FFD" w:rsidRPr="002B09C8" w:rsidRDefault="006D7FFD" w:rsidP="00C74431">
            <w:pPr>
              <w:widowControl w:val="0"/>
              <w:jc w:val="both"/>
              <w:rPr>
                <w:sz w:val="22"/>
                <w:szCs w:val="22"/>
                <w:lang w:val="sr-Latn-ME"/>
              </w:rPr>
            </w:pPr>
            <w:r w:rsidRPr="002B09C8">
              <w:rPr>
                <w:sz w:val="22"/>
                <w:szCs w:val="22"/>
                <w:lang w:val="sr-Latn-ME"/>
              </w:rPr>
              <w:t>Drhtavica</w:t>
            </w:r>
          </w:p>
          <w:p w14:paraId="654FF0B4" w14:textId="3D290F2E" w:rsidR="006D7FFD" w:rsidRPr="002B09C8" w:rsidRDefault="006D7FFD" w:rsidP="00C74431">
            <w:pPr>
              <w:widowControl w:val="0"/>
              <w:jc w:val="both"/>
              <w:rPr>
                <w:sz w:val="22"/>
                <w:szCs w:val="22"/>
                <w:lang w:val="sr-Latn-ME"/>
              </w:rPr>
            </w:pPr>
            <w:r w:rsidRPr="002B09C8">
              <w:rPr>
                <w:sz w:val="22"/>
                <w:szCs w:val="22"/>
                <w:lang w:val="sr-Latn-ME"/>
              </w:rPr>
              <w:t>Reakcija na m</w:t>
            </w:r>
            <w:r w:rsidR="00794B51" w:rsidRPr="002B09C8">
              <w:rPr>
                <w:sz w:val="22"/>
                <w:szCs w:val="22"/>
                <w:lang w:val="sr-Latn-ME"/>
              </w:rPr>
              <w:t>j</w:t>
            </w:r>
            <w:r w:rsidRPr="002B09C8">
              <w:rPr>
                <w:sz w:val="22"/>
                <w:szCs w:val="22"/>
                <w:lang w:val="sr-Latn-ME"/>
              </w:rPr>
              <w:t>estu infuzije</w:t>
            </w:r>
          </w:p>
          <w:p w14:paraId="39C74666" w14:textId="5EDFD8C2" w:rsidR="006D7FFD" w:rsidRPr="002B09C8" w:rsidRDefault="006D7FFD" w:rsidP="00C74431">
            <w:pPr>
              <w:widowControl w:val="0"/>
              <w:jc w:val="both"/>
              <w:rPr>
                <w:sz w:val="22"/>
                <w:szCs w:val="22"/>
                <w:lang w:val="sr-Latn-ME"/>
              </w:rPr>
            </w:pPr>
            <w:r w:rsidRPr="002B09C8">
              <w:rPr>
                <w:sz w:val="22"/>
                <w:szCs w:val="22"/>
                <w:lang w:val="sr-Latn-ME"/>
              </w:rPr>
              <w:t>Reakcija na m</w:t>
            </w:r>
            <w:r w:rsidR="00794B51" w:rsidRPr="002B09C8">
              <w:rPr>
                <w:sz w:val="22"/>
                <w:szCs w:val="22"/>
                <w:lang w:val="sr-Latn-ME"/>
              </w:rPr>
              <w:t>j</w:t>
            </w:r>
            <w:r w:rsidRPr="002B09C8">
              <w:rPr>
                <w:sz w:val="22"/>
                <w:szCs w:val="22"/>
                <w:lang w:val="sr-Latn-ME"/>
              </w:rPr>
              <w:t>estu injekcije</w:t>
            </w:r>
          </w:p>
        </w:tc>
        <w:tc>
          <w:tcPr>
            <w:tcW w:w="1660" w:type="dxa"/>
            <w:tcBorders>
              <w:top w:val="single" w:sz="4" w:space="0" w:color="auto"/>
              <w:left w:val="single" w:sz="4" w:space="0" w:color="auto"/>
              <w:bottom w:val="single" w:sz="4" w:space="0" w:color="auto"/>
              <w:right w:val="single" w:sz="4" w:space="0" w:color="auto"/>
            </w:tcBorders>
          </w:tcPr>
          <w:p w14:paraId="2CE48B20" w14:textId="02CCD4DC" w:rsidR="006D7FFD" w:rsidRPr="002B09C8" w:rsidRDefault="006D7FFD" w:rsidP="00C74431">
            <w:pPr>
              <w:widowControl w:val="0"/>
              <w:jc w:val="both"/>
              <w:rPr>
                <w:sz w:val="22"/>
                <w:szCs w:val="22"/>
                <w:lang w:val="sr-Latn-ME"/>
              </w:rPr>
            </w:pPr>
            <w:proofErr w:type="spellStart"/>
            <w:r w:rsidRPr="002B09C8">
              <w:rPr>
                <w:sz w:val="22"/>
                <w:szCs w:val="22"/>
                <w:lang w:val="sr-Latn-ME"/>
              </w:rPr>
              <w:t>Edem</w:t>
            </w:r>
            <w:proofErr w:type="spellEnd"/>
            <w:r w:rsidRPr="002B09C8">
              <w:rPr>
                <w:sz w:val="22"/>
                <w:szCs w:val="22"/>
                <w:lang w:val="sr-Latn-ME"/>
              </w:rPr>
              <w:t xml:space="preserve"> lica</w:t>
            </w:r>
          </w:p>
        </w:tc>
        <w:tc>
          <w:tcPr>
            <w:tcW w:w="1681" w:type="dxa"/>
            <w:tcBorders>
              <w:top w:val="single" w:sz="4" w:space="0" w:color="auto"/>
              <w:left w:val="single" w:sz="4" w:space="0" w:color="auto"/>
              <w:bottom w:val="single" w:sz="4" w:space="0" w:color="auto"/>
              <w:right w:val="single" w:sz="4" w:space="0" w:color="auto"/>
            </w:tcBorders>
          </w:tcPr>
          <w:p w14:paraId="56BA1CD2" w14:textId="77777777" w:rsidR="006D7FFD" w:rsidRPr="002B09C8" w:rsidRDefault="006D7FFD" w:rsidP="00C74431">
            <w:pPr>
              <w:widowControl w:val="0"/>
              <w:jc w:val="both"/>
              <w:rPr>
                <w:sz w:val="22"/>
                <w:szCs w:val="22"/>
                <w:lang w:val="sr-Latn-ME"/>
              </w:rPr>
            </w:pPr>
          </w:p>
        </w:tc>
        <w:tc>
          <w:tcPr>
            <w:tcW w:w="1619" w:type="dxa"/>
            <w:tcBorders>
              <w:top w:val="single" w:sz="4" w:space="0" w:color="auto"/>
              <w:left w:val="single" w:sz="4" w:space="0" w:color="auto"/>
              <w:bottom w:val="single" w:sz="4" w:space="0" w:color="auto"/>
              <w:right w:val="single" w:sz="4" w:space="0" w:color="auto"/>
            </w:tcBorders>
          </w:tcPr>
          <w:p w14:paraId="3CF08818" w14:textId="77777777" w:rsidR="006D7FFD" w:rsidRPr="002B09C8" w:rsidRDefault="006D7FFD" w:rsidP="00C74431">
            <w:pPr>
              <w:widowControl w:val="0"/>
              <w:jc w:val="both"/>
              <w:rPr>
                <w:sz w:val="22"/>
                <w:szCs w:val="22"/>
                <w:lang w:val="sr-Latn-ME"/>
              </w:rPr>
            </w:pPr>
          </w:p>
        </w:tc>
      </w:tr>
      <w:tr w:rsidR="00D85EAD" w:rsidRPr="002B09C8" w14:paraId="4BFD82E3" w14:textId="77777777" w:rsidTr="00CF1A4D">
        <w:tc>
          <w:tcPr>
            <w:tcW w:w="1560" w:type="dxa"/>
            <w:tcBorders>
              <w:top w:val="single" w:sz="4" w:space="0" w:color="auto"/>
              <w:left w:val="single" w:sz="4" w:space="0" w:color="auto"/>
              <w:bottom w:val="single" w:sz="4" w:space="0" w:color="auto"/>
              <w:right w:val="single" w:sz="4" w:space="0" w:color="auto"/>
            </w:tcBorders>
          </w:tcPr>
          <w:p w14:paraId="768B17E3" w14:textId="3444103D" w:rsidR="00D85EAD" w:rsidRPr="002B09C8" w:rsidRDefault="00D85EAD" w:rsidP="00C74431">
            <w:pPr>
              <w:widowControl w:val="0"/>
              <w:jc w:val="both"/>
              <w:rPr>
                <w:i/>
                <w:sz w:val="22"/>
                <w:szCs w:val="22"/>
                <w:lang w:val="sr-Latn-ME"/>
              </w:rPr>
            </w:pPr>
            <w:r w:rsidRPr="002B09C8">
              <w:rPr>
                <w:i/>
                <w:sz w:val="22"/>
                <w:szCs w:val="22"/>
                <w:lang w:val="sr-Latn-ME"/>
              </w:rPr>
              <w:t>Ispitivanja</w:t>
            </w:r>
          </w:p>
        </w:tc>
        <w:tc>
          <w:tcPr>
            <w:tcW w:w="1272" w:type="dxa"/>
            <w:tcBorders>
              <w:top w:val="single" w:sz="4" w:space="0" w:color="auto"/>
              <w:left w:val="single" w:sz="4" w:space="0" w:color="auto"/>
              <w:bottom w:val="single" w:sz="4" w:space="0" w:color="auto"/>
              <w:right w:val="single" w:sz="4" w:space="0" w:color="auto"/>
            </w:tcBorders>
          </w:tcPr>
          <w:p w14:paraId="512066B6" w14:textId="77777777" w:rsidR="00D85EAD" w:rsidRPr="002B09C8" w:rsidRDefault="00D85EAD" w:rsidP="00C74431">
            <w:pPr>
              <w:widowControl w:val="0"/>
              <w:jc w:val="both"/>
              <w:rPr>
                <w:sz w:val="22"/>
                <w:szCs w:val="22"/>
                <w:lang w:val="sr-Latn-ME"/>
              </w:rPr>
            </w:pPr>
          </w:p>
        </w:tc>
        <w:tc>
          <w:tcPr>
            <w:tcW w:w="1271" w:type="dxa"/>
            <w:tcBorders>
              <w:top w:val="single" w:sz="4" w:space="0" w:color="auto"/>
              <w:left w:val="single" w:sz="4" w:space="0" w:color="auto"/>
              <w:bottom w:val="single" w:sz="4" w:space="0" w:color="auto"/>
              <w:right w:val="single" w:sz="4" w:space="0" w:color="auto"/>
            </w:tcBorders>
          </w:tcPr>
          <w:p w14:paraId="322FC0D0" w14:textId="77777777" w:rsidR="00D85EAD" w:rsidRPr="002B09C8" w:rsidRDefault="00D85EAD" w:rsidP="00C74431">
            <w:pPr>
              <w:widowControl w:val="0"/>
              <w:jc w:val="both"/>
              <w:rPr>
                <w:sz w:val="22"/>
                <w:szCs w:val="22"/>
                <w:lang w:val="sr-Latn-ME"/>
              </w:rPr>
            </w:pPr>
            <w:r w:rsidRPr="002B09C8">
              <w:rPr>
                <w:sz w:val="22"/>
                <w:szCs w:val="22"/>
                <w:lang w:val="sr-Latn-ME"/>
              </w:rPr>
              <w:t>Povećane vrijednosti enzima jetre</w:t>
            </w:r>
          </w:p>
          <w:p w14:paraId="631128B6" w14:textId="044AD4BF" w:rsidR="00D85EAD" w:rsidRPr="002B09C8" w:rsidRDefault="00D85EAD" w:rsidP="00C74431">
            <w:pPr>
              <w:widowControl w:val="0"/>
              <w:jc w:val="both"/>
              <w:rPr>
                <w:sz w:val="22"/>
                <w:szCs w:val="22"/>
                <w:lang w:val="sr-Latn-ME"/>
              </w:rPr>
            </w:pPr>
            <w:r w:rsidRPr="002B09C8">
              <w:rPr>
                <w:sz w:val="22"/>
                <w:szCs w:val="22"/>
                <w:lang w:val="sr-Latn-ME"/>
              </w:rPr>
              <w:t>Prisutna antit</w:t>
            </w:r>
            <w:r w:rsidR="00794B51" w:rsidRPr="002B09C8">
              <w:rPr>
                <w:sz w:val="22"/>
                <w:szCs w:val="22"/>
                <w:lang w:val="sr-Latn-ME"/>
              </w:rPr>
              <w:t>ij</w:t>
            </w:r>
            <w:r w:rsidRPr="002B09C8">
              <w:rPr>
                <w:sz w:val="22"/>
                <w:szCs w:val="22"/>
                <w:lang w:val="sr-Latn-ME"/>
              </w:rPr>
              <w:t>ela specifična na lijek</w:t>
            </w:r>
          </w:p>
        </w:tc>
        <w:tc>
          <w:tcPr>
            <w:tcW w:w="1660" w:type="dxa"/>
            <w:tcBorders>
              <w:top w:val="single" w:sz="4" w:space="0" w:color="auto"/>
              <w:left w:val="single" w:sz="4" w:space="0" w:color="auto"/>
              <w:bottom w:val="single" w:sz="4" w:space="0" w:color="auto"/>
              <w:right w:val="single" w:sz="4" w:space="0" w:color="auto"/>
            </w:tcBorders>
          </w:tcPr>
          <w:p w14:paraId="2453AABB" w14:textId="77777777" w:rsidR="00D85EAD" w:rsidRPr="002B09C8" w:rsidRDefault="00D85EAD" w:rsidP="00C74431">
            <w:pPr>
              <w:widowControl w:val="0"/>
              <w:jc w:val="both"/>
              <w:rPr>
                <w:sz w:val="22"/>
                <w:szCs w:val="22"/>
                <w:lang w:val="sr-Latn-ME"/>
              </w:rPr>
            </w:pPr>
          </w:p>
        </w:tc>
        <w:tc>
          <w:tcPr>
            <w:tcW w:w="1681" w:type="dxa"/>
            <w:tcBorders>
              <w:top w:val="single" w:sz="4" w:space="0" w:color="auto"/>
              <w:left w:val="single" w:sz="4" w:space="0" w:color="auto"/>
              <w:bottom w:val="single" w:sz="4" w:space="0" w:color="auto"/>
              <w:right w:val="single" w:sz="4" w:space="0" w:color="auto"/>
            </w:tcBorders>
          </w:tcPr>
          <w:p w14:paraId="38C98EE4" w14:textId="77777777" w:rsidR="00D85EAD" w:rsidRPr="002B09C8" w:rsidRDefault="00D85EAD" w:rsidP="00C74431">
            <w:pPr>
              <w:widowControl w:val="0"/>
              <w:jc w:val="both"/>
              <w:rPr>
                <w:sz w:val="22"/>
                <w:szCs w:val="22"/>
                <w:lang w:val="sr-Latn-ME"/>
              </w:rPr>
            </w:pPr>
          </w:p>
        </w:tc>
        <w:tc>
          <w:tcPr>
            <w:tcW w:w="1619" w:type="dxa"/>
            <w:tcBorders>
              <w:top w:val="single" w:sz="4" w:space="0" w:color="auto"/>
              <w:left w:val="single" w:sz="4" w:space="0" w:color="auto"/>
              <w:bottom w:val="single" w:sz="4" w:space="0" w:color="auto"/>
              <w:right w:val="single" w:sz="4" w:space="0" w:color="auto"/>
            </w:tcBorders>
          </w:tcPr>
          <w:p w14:paraId="277B9B32" w14:textId="77777777" w:rsidR="00D85EAD" w:rsidRPr="002B09C8" w:rsidRDefault="00D85EAD" w:rsidP="00C74431">
            <w:pPr>
              <w:widowControl w:val="0"/>
              <w:jc w:val="both"/>
              <w:rPr>
                <w:sz w:val="22"/>
                <w:szCs w:val="22"/>
                <w:lang w:val="sr-Latn-ME"/>
              </w:rPr>
            </w:pPr>
          </w:p>
        </w:tc>
      </w:tr>
      <w:tr w:rsidR="00D85EAD" w:rsidRPr="002B09C8" w14:paraId="04554BC9" w14:textId="77777777" w:rsidTr="00CF1A4D">
        <w:tc>
          <w:tcPr>
            <w:tcW w:w="1560" w:type="dxa"/>
            <w:tcBorders>
              <w:top w:val="single" w:sz="4" w:space="0" w:color="auto"/>
              <w:left w:val="single" w:sz="4" w:space="0" w:color="auto"/>
              <w:bottom w:val="single" w:sz="4" w:space="0" w:color="auto"/>
              <w:right w:val="single" w:sz="4" w:space="0" w:color="auto"/>
            </w:tcBorders>
          </w:tcPr>
          <w:p w14:paraId="20AE1991" w14:textId="3FB80110" w:rsidR="00D85EAD" w:rsidRPr="002B09C8" w:rsidRDefault="00D85EAD" w:rsidP="00C74431">
            <w:pPr>
              <w:widowControl w:val="0"/>
              <w:jc w:val="both"/>
              <w:rPr>
                <w:i/>
                <w:sz w:val="22"/>
                <w:szCs w:val="22"/>
                <w:lang w:val="sr-Latn-ME"/>
              </w:rPr>
            </w:pPr>
            <w:proofErr w:type="spellStart"/>
            <w:r w:rsidRPr="002B09C8">
              <w:rPr>
                <w:i/>
                <w:sz w:val="22"/>
                <w:szCs w:val="22"/>
                <w:lang w:val="sr-Latn-ME"/>
              </w:rPr>
              <w:t>Povrede</w:t>
            </w:r>
            <w:proofErr w:type="spellEnd"/>
            <w:r w:rsidRPr="002B09C8">
              <w:rPr>
                <w:i/>
                <w:sz w:val="22"/>
                <w:szCs w:val="22"/>
                <w:lang w:val="sr-Latn-ME"/>
              </w:rPr>
              <w:t xml:space="preserve">, trovanje i proceduralne komplikacije </w:t>
            </w:r>
          </w:p>
        </w:tc>
        <w:tc>
          <w:tcPr>
            <w:tcW w:w="1272" w:type="dxa"/>
            <w:tcBorders>
              <w:top w:val="single" w:sz="4" w:space="0" w:color="auto"/>
              <w:left w:val="single" w:sz="4" w:space="0" w:color="auto"/>
              <w:bottom w:val="single" w:sz="4" w:space="0" w:color="auto"/>
              <w:right w:val="single" w:sz="4" w:space="0" w:color="auto"/>
            </w:tcBorders>
          </w:tcPr>
          <w:p w14:paraId="5217A10C" w14:textId="110DA366" w:rsidR="00D85EAD" w:rsidRPr="002B09C8" w:rsidRDefault="00D85EAD" w:rsidP="00C74431">
            <w:pPr>
              <w:widowControl w:val="0"/>
              <w:jc w:val="both"/>
              <w:rPr>
                <w:sz w:val="22"/>
                <w:szCs w:val="22"/>
                <w:lang w:val="sr-Latn-ME"/>
              </w:rPr>
            </w:pPr>
            <w:r w:rsidRPr="002B09C8">
              <w:rPr>
                <w:sz w:val="22"/>
                <w:szCs w:val="22"/>
                <w:lang w:val="sr-Latn-ME"/>
              </w:rPr>
              <w:t>Reakcija povezana sa infuzijom</w:t>
            </w:r>
          </w:p>
        </w:tc>
        <w:tc>
          <w:tcPr>
            <w:tcW w:w="1271" w:type="dxa"/>
            <w:tcBorders>
              <w:top w:val="single" w:sz="4" w:space="0" w:color="auto"/>
              <w:left w:val="single" w:sz="4" w:space="0" w:color="auto"/>
              <w:bottom w:val="single" w:sz="4" w:space="0" w:color="auto"/>
              <w:right w:val="single" w:sz="4" w:space="0" w:color="auto"/>
            </w:tcBorders>
          </w:tcPr>
          <w:p w14:paraId="6F8A2D3C" w14:textId="77777777" w:rsidR="00D85EAD" w:rsidRPr="002B09C8" w:rsidRDefault="00D85EAD" w:rsidP="00C74431">
            <w:pPr>
              <w:widowControl w:val="0"/>
              <w:jc w:val="both"/>
              <w:rPr>
                <w:sz w:val="22"/>
                <w:szCs w:val="22"/>
                <w:lang w:val="sr-Latn-ME"/>
              </w:rPr>
            </w:pPr>
          </w:p>
        </w:tc>
        <w:tc>
          <w:tcPr>
            <w:tcW w:w="1660" w:type="dxa"/>
            <w:tcBorders>
              <w:top w:val="single" w:sz="4" w:space="0" w:color="auto"/>
              <w:left w:val="single" w:sz="4" w:space="0" w:color="auto"/>
              <w:bottom w:val="single" w:sz="4" w:space="0" w:color="auto"/>
              <w:right w:val="single" w:sz="4" w:space="0" w:color="auto"/>
            </w:tcBorders>
          </w:tcPr>
          <w:p w14:paraId="22F65BDF" w14:textId="77777777" w:rsidR="00D85EAD" w:rsidRPr="002B09C8" w:rsidRDefault="00D85EAD" w:rsidP="00C74431">
            <w:pPr>
              <w:widowControl w:val="0"/>
              <w:jc w:val="both"/>
              <w:rPr>
                <w:sz w:val="22"/>
                <w:szCs w:val="22"/>
                <w:lang w:val="sr-Latn-ME"/>
              </w:rPr>
            </w:pPr>
          </w:p>
        </w:tc>
        <w:tc>
          <w:tcPr>
            <w:tcW w:w="1681" w:type="dxa"/>
            <w:tcBorders>
              <w:top w:val="single" w:sz="4" w:space="0" w:color="auto"/>
              <w:left w:val="single" w:sz="4" w:space="0" w:color="auto"/>
              <w:bottom w:val="single" w:sz="4" w:space="0" w:color="auto"/>
              <w:right w:val="single" w:sz="4" w:space="0" w:color="auto"/>
            </w:tcBorders>
          </w:tcPr>
          <w:p w14:paraId="602F4444" w14:textId="77777777" w:rsidR="00D85EAD" w:rsidRPr="002B09C8" w:rsidRDefault="00D85EAD" w:rsidP="00C74431">
            <w:pPr>
              <w:widowControl w:val="0"/>
              <w:jc w:val="both"/>
              <w:rPr>
                <w:sz w:val="22"/>
                <w:szCs w:val="22"/>
                <w:lang w:val="sr-Latn-ME"/>
              </w:rPr>
            </w:pPr>
          </w:p>
        </w:tc>
        <w:tc>
          <w:tcPr>
            <w:tcW w:w="1619" w:type="dxa"/>
            <w:tcBorders>
              <w:top w:val="single" w:sz="4" w:space="0" w:color="auto"/>
              <w:left w:val="single" w:sz="4" w:space="0" w:color="auto"/>
              <w:bottom w:val="single" w:sz="4" w:space="0" w:color="auto"/>
              <w:right w:val="single" w:sz="4" w:space="0" w:color="auto"/>
            </w:tcBorders>
          </w:tcPr>
          <w:p w14:paraId="105ABEC5" w14:textId="77777777" w:rsidR="00D85EAD" w:rsidRPr="002B09C8" w:rsidRDefault="00D85EAD" w:rsidP="00C74431">
            <w:pPr>
              <w:widowControl w:val="0"/>
              <w:jc w:val="both"/>
              <w:rPr>
                <w:sz w:val="22"/>
                <w:szCs w:val="22"/>
                <w:lang w:val="sr-Latn-ME"/>
              </w:rPr>
            </w:pPr>
          </w:p>
        </w:tc>
      </w:tr>
    </w:tbl>
    <w:p w14:paraId="6E9A46C9" w14:textId="77777777" w:rsidR="00FB74D3" w:rsidRPr="002B09C8" w:rsidRDefault="00FB74D3" w:rsidP="00C74431">
      <w:pPr>
        <w:widowControl w:val="0"/>
        <w:jc w:val="both"/>
        <w:rPr>
          <w:iCs/>
          <w:sz w:val="22"/>
          <w:szCs w:val="22"/>
          <w:u w:val="single"/>
          <w:lang w:val="sr-Latn-ME"/>
        </w:rPr>
      </w:pPr>
    </w:p>
    <w:p w14:paraId="2F9A7D43"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Opis odabranih neželjenih reakcija</w:t>
      </w:r>
    </w:p>
    <w:p w14:paraId="54C45113" w14:textId="77777777" w:rsidR="00FB74D3" w:rsidRPr="002B09C8" w:rsidRDefault="00FB74D3" w:rsidP="00C74431">
      <w:pPr>
        <w:widowControl w:val="0"/>
        <w:jc w:val="both"/>
        <w:rPr>
          <w:sz w:val="22"/>
          <w:szCs w:val="22"/>
          <w:u w:val="single"/>
          <w:lang w:val="sr-Latn-ME"/>
        </w:rPr>
      </w:pPr>
    </w:p>
    <w:p w14:paraId="0A6728A9" w14:textId="31172D67" w:rsidR="00FB74D3" w:rsidRPr="002B09C8" w:rsidRDefault="00FB74D3" w:rsidP="00C74431">
      <w:pPr>
        <w:widowControl w:val="0"/>
        <w:jc w:val="both"/>
        <w:rPr>
          <w:i/>
          <w:sz w:val="22"/>
          <w:szCs w:val="22"/>
          <w:u w:val="single"/>
          <w:lang w:val="sr-Latn-ME"/>
        </w:rPr>
      </w:pPr>
      <w:r w:rsidRPr="002B09C8">
        <w:rPr>
          <w:i/>
          <w:sz w:val="22"/>
          <w:szCs w:val="22"/>
          <w:u w:val="single"/>
          <w:lang w:val="sr-Latn-ME"/>
        </w:rPr>
        <w:t xml:space="preserve">Reakcije </w:t>
      </w:r>
      <w:r w:rsidR="0083389E" w:rsidRPr="002B09C8">
        <w:rPr>
          <w:i/>
          <w:sz w:val="22"/>
          <w:szCs w:val="22"/>
          <w:u w:val="single"/>
          <w:lang w:val="sr-Latn-ME"/>
        </w:rPr>
        <w:t>povezane sa prim</w:t>
      </w:r>
      <w:r w:rsidR="00C3386D" w:rsidRPr="002B09C8">
        <w:rPr>
          <w:i/>
          <w:sz w:val="22"/>
          <w:szCs w:val="22"/>
          <w:u w:val="single"/>
          <w:lang w:val="sr-Latn-ME"/>
        </w:rPr>
        <w:t>j</w:t>
      </w:r>
      <w:r w:rsidR="0083389E" w:rsidRPr="002B09C8">
        <w:rPr>
          <w:i/>
          <w:sz w:val="22"/>
          <w:szCs w:val="22"/>
          <w:u w:val="single"/>
          <w:lang w:val="sr-Latn-ME"/>
        </w:rPr>
        <w:t>enom</w:t>
      </w:r>
      <w:r w:rsidRPr="002B09C8">
        <w:rPr>
          <w:i/>
          <w:sz w:val="22"/>
          <w:szCs w:val="22"/>
          <w:u w:val="single"/>
          <w:lang w:val="sr-Latn-ME"/>
        </w:rPr>
        <w:t xml:space="preserve"> infuzij</w:t>
      </w:r>
      <w:r w:rsidR="0083389E" w:rsidRPr="002B09C8">
        <w:rPr>
          <w:i/>
          <w:sz w:val="22"/>
          <w:szCs w:val="22"/>
          <w:u w:val="single"/>
          <w:lang w:val="sr-Latn-ME"/>
        </w:rPr>
        <w:t>e</w:t>
      </w:r>
    </w:p>
    <w:p w14:paraId="328F9E4F" w14:textId="77777777" w:rsidR="00FB74D3" w:rsidRPr="002B09C8" w:rsidRDefault="00FB74D3" w:rsidP="00C74431">
      <w:pPr>
        <w:widowControl w:val="0"/>
        <w:jc w:val="both"/>
        <w:rPr>
          <w:sz w:val="22"/>
          <w:szCs w:val="22"/>
          <w:lang w:val="sr-Latn-ME"/>
        </w:rPr>
      </w:pPr>
    </w:p>
    <w:p w14:paraId="4AB8F80B" w14:textId="77777777" w:rsidR="00FB74D3" w:rsidRPr="002B09C8" w:rsidRDefault="00FB74D3" w:rsidP="00C74431">
      <w:pPr>
        <w:widowControl w:val="0"/>
        <w:jc w:val="both"/>
        <w:rPr>
          <w:sz w:val="22"/>
          <w:szCs w:val="22"/>
          <w:lang w:val="sr-Latn-ME"/>
        </w:rPr>
      </w:pPr>
      <w:r w:rsidRPr="002B09C8">
        <w:rPr>
          <w:sz w:val="22"/>
          <w:szCs w:val="22"/>
          <w:lang w:val="sr-Latn-ME"/>
        </w:rPr>
        <w:t xml:space="preserve">U 2-godišnjim kontrolisanim kliničkim ispitivanjima na pacijentima sa MS-om, događaj povezan sa infuzijom definisan je kao neželjeni događaj koji se javlja tokom infuzije ili unutar 1 sata po završetku infuzije. Pojavili su se kod 23,1 % pacijenata s MS-om liječenih </w:t>
      </w:r>
      <w:proofErr w:type="spellStart"/>
      <w:r w:rsidRPr="002B09C8">
        <w:rPr>
          <w:sz w:val="22"/>
          <w:szCs w:val="22"/>
          <w:lang w:val="sr-Latn-ME"/>
        </w:rPr>
        <w:t>natalizumabom</w:t>
      </w:r>
      <w:proofErr w:type="spellEnd"/>
      <w:r w:rsidRPr="002B09C8">
        <w:rPr>
          <w:sz w:val="22"/>
          <w:szCs w:val="22"/>
          <w:lang w:val="sr-Latn-ME"/>
        </w:rPr>
        <w:t xml:space="preserve"> (</w:t>
      </w:r>
      <w:proofErr w:type="spellStart"/>
      <w:r w:rsidRPr="002B09C8">
        <w:rPr>
          <w:sz w:val="22"/>
          <w:szCs w:val="22"/>
          <w:lang w:val="sr-Latn-ME"/>
        </w:rPr>
        <w:t>placebo</w:t>
      </w:r>
      <w:proofErr w:type="spellEnd"/>
      <w:r w:rsidRPr="002B09C8">
        <w:rPr>
          <w:sz w:val="22"/>
          <w:szCs w:val="22"/>
          <w:lang w:val="sr-Latn-ME"/>
        </w:rPr>
        <w:t xml:space="preserve">: 18,7 %). Slučajevi prijavljeni češće sa </w:t>
      </w:r>
      <w:proofErr w:type="spellStart"/>
      <w:r w:rsidRPr="002B09C8">
        <w:rPr>
          <w:sz w:val="22"/>
          <w:szCs w:val="22"/>
          <w:lang w:val="sr-Latn-ME"/>
        </w:rPr>
        <w:t>natalizumabom</w:t>
      </w:r>
      <w:proofErr w:type="spellEnd"/>
      <w:r w:rsidRPr="002B09C8">
        <w:rPr>
          <w:sz w:val="22"/>
          <w:szCs w:val="22"/>
          <w:lang w:val="sr-Latn-ME"/>
        </w:rPr>
        <w:t xml:space="preserve"> nego sa </w:t>
      </w:r>
      <w:proofErr w:type="spellStart"/>
      <w:r w:rsidRPr="002B09C8">
        <w:rPr>
          <w:sz w:val="22"/>
          <w:szCs w:val="22"/>
          <w:lang w:val="sr-Latn-ME"/>
        </w:rPr>
        <w:t>placebom</w:t>
      </w:r>
      <w:proofErr w:type="spellEnd"/>
      <w:r w:rsidRPr="002B09C8">
        <w:rPr>
          <w:sz w:val="22"/>
          <w:szCs w:val="22"/>
          <w:lang w:val="sr-Latn-ME"/>
        </w:rPr>
        <w:t xml:space="preserve"> uključuju vrtoglavicu, mučninu, urtikariju i </w:t>
      </w:r>
      <w:proofErr w:type="spellStart"/>
      <w:r w:rsidRPr="002B09C8">
        <w:rPr>
          <w:sz w:val="22"/>
          <w:szCs w:val="22"/>
          <w:lang w:val="sr-Latn-ME"/>
        </w:rPr>
        <w:t>rigor</w:t>
      </w:r>
      <w:proofErr w:type="spellEnd"/>
      <w:r w:rsidRPr="002B09C8">
        <w:rPr>
          <w:sz w:val="22"/>
          <w:szCs w:val="22"/>
          <w:lang w:val="sr-Latn-ME"/>
        </w:rPr>
        <w:t xml:space="preserve">. </w:t>
      </w:r>
    </w:p>
    <w:p w14:paraId="35109271" w14:textId="77777777" w:rsidR="00FB74D3" w:rsidRPr="002B09C8" w:rsidRDefault="00FB74D3" w:rsidP="00C74431">
      <w:pPr>
        <w:widowControl w:val="0"/>
        <w:jc w:val="both"/>
        <w:rPr>
          <w:i/>
          <w:sz w:val="22"/>
          <w:szCs w:val="22"/>
          <w:u w:val="single"/>
          <w:lang w:val="sr-Latn-ME"/>
        </w:rPr>
      </w:pPr>
    </w:p>
    <w:p w14:paraId="57CEC7B9" w14:textId="77777777" w:rsidR="00FB74D3" w:rsidRPr="002B09C8" w:rsidRDefault="00FB74D3" w:rsidP="00C74431">
      <w:pPr>
        <w:widowControl w:val="0"/>
        <w:jc w:val="both"/>
        <w:rPr>
          <w:i/>
          <w:sz w:val="22"/>
          <w:szCs w:val="22"/>
          <w:u w:val="single"/>
          <w:lang w:val="sr-Latn-ME"/>
        </w:rPr>
      </w:pPr>
      <w:r w:rsidRPr="002B09C8">
        <w:rPr>
          <w:i/>
          <w:sz w:val="22"/>
          <w:szCs w:val="22"/>
          <w:u w:val="single"/>
          <w:lang w:val="sr-Latn-ME"/>
        </w:rPr>
        <w:t>Reakcije preosjetljivosti</w:t>
      </w:r>
    </w:p>
    <w:p w14:paraId="32D0F9C5" w14:textId="77777777" w:rsidR="00FB74D3" w:rsidRPr="002B09C8" w:rsidRDefault="00FB74D3" w:rsidP="00C74431">
      <w:pPr>
        <w:widowControl w:val="0"/>
        <w:jc w:val="both"/>
        <w:rPr>
          <w:sz w:val="22"/>
          <w:szCs w:val="22"/>
          <w:u w:val="single"/>
          <w:lang w:val="sr-Latn-ME"/>
        </w:rPr>
      </w:pPr>
    </w:p>
    <w:p w14:paraId="160AD42F" w14:textId="5D5A40CA" w:rsidR="00FB74D3" w:rsidRPr="002B09C8" w:rsidRDefault="00FB74D3" w:rsidP="00C74431">
      <w:pPr>
        <w:widowControl w:val="0"/>
        <w:jc w:val="both"/>
        <w:rPr>
          <w:sz w:val="22"/>
          <w:szCs w:val="22"/>
          <w:lang w:val="sr-Latn-ME"/>
        </w:rPr>
      </w:pPr>
      <w:r w:rsidRPr="002B09C8">
        <w:rPr>
          <w:sz w:val="22"/>
          <w:szCs w:val="22"/>
          <w:lang w:val="sr-Latn-ME"/>
        </w:rPr>
        <w:t xml:space="preserve">U 2-godišnjim kontrolisanim kliničkim ispitivanjima na pacijentima sa MS-om, reakcije preosjetljivosti pojavile su se kod do 4 % pacijenata. </w:t>
      </w:r>
      <w:proofErr w:type="spellStart"/>
      <w:r w:rsidRPr="002B09C8">
        <w:rPr>
          <w:sz w:val="22"/>
          <w:szCs w:val="22"/>
          <w:lang w:val="sr-Latn-ME"/>
        </w:rPr>
        <w:t>Anafilaktičke</w:t>
      </w:r>
      <w:proofErr w:type="spellEnd"/>
      <w:r w:rsidRPr="002B09C8">
        <w:rPr>
          <w:sz w:val="22"/>
          <w:szCs w:val="22"/>
          <w:lang w:val="sr-Latn-ME"/>
        </w:rPr>
        <w:t>/</w:t>
      </w:r>
      <w:proofErr w:type="spellStart"/>
      <w:r w:rsidRPr="002B09C8">
        <w:rPr>
          <w:sz w:val="22"/>
          <w:szCs w:val="22"/>
          <w:lang w:val="sr-Latn-ME"/>
        </w:rPr>
        <w:t>anafilaktoidne</w:t>
      </w:r>
      <w:proofErr w:type="spellEnd"/>
      <w:r w:rsidRPr="002B09C8">
        <w:rPr>
          <w:sz w:val="22"/>
          <w:szCs w:val="22"/>
          <w:lang w:val="sr-Latn-ME"/>
        </w:rPr>
        <w:t xml:space="preserve"> reakcije pojavile su se kod manje od 1 % pacijenata koji su primali</w:t>
      </w:r>
      <w:r w:rsidR="00C03D2D" w:rsidRPr="002B09C8">
        <w:rPr>
          <w:sz w:val="22"/>
          <w:szCs w:val="22"/>
          <w:lang w:val="sr-Latn-ME"/>
        </w:rPr>
        <w:t xml:space="preserve"> ovaj</w:t>
      </w:r>
      <w:r w:rsidRPr="002B09C8">
        <w:rPr>
          <w:sz w:val="22"/>
          <w:szCs w:val="22"/>
          <w:lang w:val="sr-Latn-ME"/>
        </w:rPr>
        <w:t xml:space="preserve"> lijek. Reakcije preosjetljivosti obično su se pojavile tokom infuzije ili unutar 1 sata po završetku infuzije (vidjeti dio 4.4). </w:t>
      </w:r>
      <w:r w:rsidR="007678A2" w:rsidRPr="002B09C8">
        <w:rPr>
          <w:sz w:val="22"/>
          <w:szCs w:val="22"/>
          <w:lang w:val="sr-Latn-ME"/>
        </w:rPr>
        <w:t>Tokom perioda nakon stavljanja l</w:t>
      </w:r>
      <w:r w:rsidR="00C3386D" w:rsidRPr="002B09C8">
        <w:rPr>
          <w:sz w:val="22"/>
          <w:szCs w:val="22"/>
          <w:lang w:val="sr-Latn-ME"/>
        </w:rPr>
        <w:t>ij</w:t>
      </w:r>
      <w:r w:rsidR="007678A2" w:rsidRPr="002B09C8">
        <w:rPr>
          <w:sz w:val="22"/>
          <w:szCs w:val="22"/>
          <w:lang w:val="sr-Latn-ME"/>
        </w:rPr>
        <w:t>eka u promet</w:t>
      </w:r>
      <w:r w:rsidRPr="002B09C8">
        <w:rPr>
          <w:sz w:val="22"/>
          <w:szCs w:val="22"/>
          <w:lang w:val="sr-Latn-ME"/>
        </w:rPr>
        <w:t xml:space="preserve"> bile su prijave reakcija preosjetljivosti koje su se pojavile sa jednim ili više sljedećih povezanih simptoma: </w:t>
      </w:r>
      <w:proofErr w:type="spellStart"/>
      <w:r w:rsidRPr="002B09C8">
        <w:rPr>
          <w:sz w:val="22"/>
          <w:szCs w:val="22"/>
          <w:lang w:val="sr-Latn-ME"/>
        </w:rPr>
        <w:t>hipotenzija</w:t>
      </w:r>
      <w:proofErr w:type="spellEnd"/>
      <w:r w:rsidRPr="002B09C8">
        <w:rPr>
          <w:sz w:val="22"/>
          <w:szCs w:val="22"/>
          <w:lang w:val="sr-Latn-ME"/>
        </w:rPr>
        <w:t xml:space="preserve">, hipertenzija, bol u grudima, neprijatan osjećaj u grudima, </w:t>
      </w:r>
      <w:proofErr w:type="spellStart"/>
      <w:r w:rsidRPr="002B09C8">
        <w:rPr>
          <w:sz w:val="22"/>
          <w:szCs w:val="22"/>
          <w:lang w:val="sr-Latn-ME"/>
        </w:rPr>
        <w:t>dispneja</w:t>
      </w:r>
      <w:proofErr w:type="spellEnd"/>
      <w:r w:rsidRPr="002B09C8">
        <w:rPr>
          <w:sz w:val="22"/>
          <w:szCs w:val="22"/>
          <w:lang w:val="sr-Latn-ME"/>
        </w:rPr>
        <w:t xml:space="preserve">, </w:t>
      </w:r>
      <w:proofErr w:type="spellStart"/>
      <w:r w:rsidRPr="002B09C8">
        <w:rPr>
          <w:sz w:val="22"/>
          <w:szCs w:val="22"/>
          <w:lang w:val="sr-Latn-ME"/>
        </w:rPr>
        <w:t>angioedem</w:t>
      </w:r>
      <w:proofErr w:type="spellEnd"/>
      <w:r w:rsidRPr="002B09C8">
        <w:rPr>
          <w:sz w:val="22"/>
          <w:szCs w:val="22"/>
          <w:lang w:val="sr-Latn-ME"/>
        </w:rPr>
        <w:t>, dodatno uz uobičajene simptome kao što su osip i urtikarija.</w:t>
      </w:r>
    </w:p>
    <w:p w14:paraId="387ACBD8" w14:textId="77777777" w:rsidR="00FB74D3" w:rsidRPr="002B09C8" w:rsidRDefault="00FB74D3" w:rsidP="00C74431">
      <w:pPr>
        <w:widowControl w:val="0"/>
        <w:jc w:val="both"/>
        <w:rPr>
          <w:i/>
          <w:sz w:val="22"/>
          <w:szCs w:val="22"/>
          <w:u w:val="single"/>
          <w:lang w:val="sr-Latn-ME"/>
        </w:rPr>
      </w:pPr>
    </w:p>
    <w:p w14:paraId="59EADCDB" w14:textId="77777777" w:rsidR="00FB74D3" w:rsidRPr="002B09C8" w:rsidRDefault="00FB74D3" w:rsidP="00C74431">
      <w:pPr>
        <w:widowControl w:val="0"/>
        <w:jc w:val="both"/>
        <w:rPr>
          <w:i/>
          <w:sz w:val="22"/>
          <w:szCs w:val="22"/>
          <w:u w:val="single"/>
          <w:lang w:val="sr-Latn-ME"/>
        </w:rPr>
      </w:pPr>
      <w:proofErr w:type="spellStart"/>
      <w:r w:rsidRPr="002B09C8">
        <w:rPr>
          <w:i/>
          <w:sz w:val="22"/>
          <w:szCs w:val="22"/>
          <w:u w:val="single"/>
          <w:lang w:val="sr-Latn-ME"/>
        </w:rPr>
        <w:t>Imunogenost</w:t>
      </w:r>
      <w:proofErr w:type="spellEnd"/>
    </w:p>
    <w:p w14:paraId="2227B106" w14:textId="77777777" w:rsidR="00FB74D3" w:rsidRPr="002B09C8" w:rsidRDefault="00FB74D3" w:rsidP="00C74431">
      <w:pPr>
        <w:widowControl w:val="0"/>
        <w:jc w:val="both"/>
        <w:rPr>
          <w:sz w:val="22"/>
          <w:szCs w:val="22"/>
          <w:lang w:val="sr-Latn-ME"/>
        </w:rPr>
      </w:pPr>
    </w:p>
    <w:p w14:paraId="67BF097F" w14:textId="6A747E3D" w:rsidR="00FB74D3" w:rsidRPr="002B09C8" w:rsidRDefault="00FB74D3" w:rsidP="00C74431">
      <w:pPr>
        <w:widowControl w:val="0"/>
        <w:jc w:val="both"/>
        <w:rPr>
          <w:sz w:val="22"/>
          <w:szCs w:val="22"/>
          <w:lang w:val="sr-Latn-ME"/>
        </w:rPr>
      </w:pPr>
      <w:r w:rsidRPr="002B09C8">
        <w:rPr>
          <w:sz w:val="22"/>
          <w:szCs w:val="22"/>
          <w:lang w:val="sr-Latn-ME"/>
        </w:rPr>
        <w:t xml:space="preserve">Kod 10 % pacijenata antitijela na </w:t>
      </w:r>
      <w:proofErr w:type="spellStart"/>
      <w:r w:rsidRPr="002B09C8">
        <w:rPr>
          <w:sz w:val="22"/>
          <w:szCs w:val="22"/>
          <w:lang w:val="sr-Latn-ME"/>
        </w:rPr>
        <w:t>natalizumab</w:t>
      </w:r>
      <w:proofErr w:type="spellEnd"/>
      <w:r w:rsidRPr="002B09C8">
        <w:rPr>
          <w:sz w:val="22"/>
          <w:szCs w:val="22"/>
          <w:lang w:val="sr-Latn-ME"/>
        </w:rPr>
        <w:t xml:space="preserve"> otkrivena su tokom 2-godišnjih kontrolisanih kliničkih ispitivanja na pacijentima sa MS-om. </w:t>
      </w:r>
      <w:proofErr w:type="spellStart"/>
      <w:r w:rsidRPr="002B09C8">
        <w:rPr>
          <w:sz w:val="22"/>
          <w:szCs w:val="22"/>
          <w:lang w:val="sr-Latn-ME"/>
        </w:rPr>
        <w:t>Perzistentna</w:t>
      </w:r>
      <w:proofErr w:type="spellEnd"/>
      <w:r w:rsidRPr="002B09C8">
        <w:rPr>
          <w:sz w:val="22"/>
          <w:szCs w:val="22"/>
          <w:lang w:val="sr-Latn-ME"/>
        </w:rPr>
        <w:t xml:space="preserve"> anti-</w:t>
      </w:r>
      <w:proofErr w:type="spellStart"/>
      <w:r w:rsidRPr="002B09C8">
        <w:rPr>
          <w:sz w:val="22"/>
          <w:szCs w:val="22"/>
          <w:lang w:val="sr-Latn-ME"/>
        </w:rPr>
        <w:t>natalizumab</w:t>
      </w:r>
      <w:proofErr w:type="spellEnd"/>
      <w:r w:rsidRPr="002B09C8">
        <w:rPr>
          <w:sz w:val="22"/>
          <w:szCs w:val="22"/>
          <w:lang w:val="sr-Latn-ME"/>
        </w:rPr>
        <w:t xml:space="preserve"> antitijela (jedan pozitivan test potvrđen kod ponovnog testiranja najmanje 6 sedmica kasnije) razvila su se kod približno 6 % pacijenata. Antitijela su otkrivena samo kod jednog slučaja kod dodatnih 4 % pacijenata. </w:t>
      </w:r>
      <w:proofErr w:type="spellStart"/>
      <w:r w:rsidRPr="002B09C8">
        <w:rPr>
          <w:sz w:val="22"/>
          <w:szCs w:val="22"/>
          <w:lang w:val="sr-Latn-ME"/>
        </w:rPr>
        <w:t>Perzistentna</w:t>
      </w:r>
      <w:proofErr w:type="spellEnd"/>
      <w:r w:rsidRPr="002B09C8">
        <w:rPr>
          <w:sz w:val="22"/>
          <w:szCs w:val="22"/>
          <w:lang w:val="sr-Latn-ME"/>
        </w:rPr>
        <w:t xml:space="preserve"> antitijela bila su povezana sa značajnim smanjenjem efikasnosti </w:t>
      </w:r>
      <w:proofErr w:type="spellStart"/>
      <w:r w:rsidR="007678A2" w:rsidRPr="002B09C8">
        <w:rPr>
          <w:sz w:val="22"/>
          <w:szCs w:val="22"/>
          <w:lang w:val="sr-Latn-ME"/>
        </w:rPr>
        <w:t>natalizumaba</w:t>
      </w:r>
      <w:proofErr w:type="spellEnd"/>
      <w:r w:rsidRPr="002B09C8">
        <w:rPr>
          <w:sz w:val="22"/>
          <w:szCs w:val="22"/>
          <w:lang w:val="sr-Latn-ME"/>
        </w:rPr>
        <w:t xml:space="preserve"> i povećanom učestalošću reakcija preosjetljivosti. Dodatne, sa infuzijom povezane reakcije, udružene sa </w:t>
      </w:r>
      <w:proofErr w:type="spellStart"/>
      <w:r w:rsidRPr="002B09C8">
        <w:rPr>
          <w:sz w:val="22"/>
          <w:szCs w:val="22"/>
          <w:lang w:val="sr-Latn-ME"/>
        </w:rPr>
        <w:t>perzistentnim</w:t>
      </w:r>
      <w:proofErr w:type="spellEnd"/>
      <w:r w:rsidRPr="002B09C8">
        <w:rPr>
          <w:sz w:val="22"/>
          <w:szCs w:val="22"/>
          <w:lang w:val="sr-Latn-ME"/>
        </w:rPr>
        <w:t xml:space="preserve"> antitijelima uključile su </w:t>
      </w:r>
      <w:proofErr w:type="spellStart"/>
      <w:r w:rsidRPr="002B09C8">
        <w:rPr>
          <w:sz w:val="22"/>
          <w:szCs w:val="22"/>
          <w:lang w:val="sr-Latn-ME"/>
        </w:rPr>
        <w:t>rigor</w:t>
      </w:r>
      <w:proofErr w:type="spellEnd"/>
      <w:r w:rsidRPr="002B09C8">
        <w:rPr>
          <w:sz w:val="22"/>
          <w:szCs w:val="22"/>
          <w:lang w:val="sr-Latn-ME"/>
        </w:rPr>
        <w:t>, mučninu, povraćanje i crvenilo (vidjeti dio 4.4).</w:t>
      </w:r>
    </w:p>
    <w:p w14:paraId="26DC3092" w14:textId="77777777" w:rsidR="00FB74D3" w:rsidRPr="002B09C8" w:rsidRDefault="00FB74D3" w:rsidP="00C74431">
      <w:pPr>
        <w:widowControl w:val="0"/>
        <w:jc w:val="both"/>
        <w:rPr>
          <w:sz w:val="22"/>
          <w:szCs w:val="22"/>
          <w:lang w:val="sr-Latn-ME"/>
        </w:rPr>
      </w:pPr>
    </w:p>
    <w:p w14:paraId="684005F0" w14:textId="77777777" w:rsidR="00FB74D3" w:rsidRPr="002B09C8" w:rsidRDefault="00FB74D3" w:rsidP="00C74431">
      <w:pPr>
        <w:widowControl w:val="0"/>
        <w:jc w:val="both"/>
        <w:rPr>
          <w:sz w:val="22"/>
          <w:szCs w:val="22"/>
          <w:lang w:val="sr-Latn-ME"/>
        </w:rPr>
      </w:pPr>
      <w:r w:rsidRPr="002B09C8">
        <w:rPr>
          <w:sz w:val="22"/>
          <w:szCs w:val="22"/>
          <w:lang w:val="sr-Latn-ME"/>
        </w:rPr>
        <w:lastRenderedPageBreak/>
        <w:t xml:space="preserve">Ako se nakon približno 6 mjeseci terapije posumnja na </w:t>
      </w:r>
      <w:proofErr w:type="spellStart"/>
      <w:r w:rsidRPr="002B09C8">
        <w:rPr>
          <w:sz w:val="22"/>
          <w:szCs w:val="22"/>
          <w:lang w:val="sr-Latn-ME"/>
        </w:rPr>
        <w:t>perzistentna</w:t>
      </w:r>
      <w:proofErr w:type="spellEnd"/>
      <w:r w:rsidRPr="002B09C8">
        <w:rPr>
          <w:sz w:val="22"/>
          <w:szCs w:val="22"/>
          <w:lang w:val="sr-Latn-ME"/>
        </w:rPr>
        <w:t xml:space="preserve"> antitijela na osnovu smanjene efikasnosti ili pojave slučajeva povezanih s infuzijom, ista se mogu otkriti i potvrditi kasnijim testom 6 sedmica nakon prvog pozitivnog testa. Pošto kod pacijenata s </w:t>
      </w:r>
      <w:proofErr w:type="spellStart"/>
      <w:r w:rsidRPr="002B09C8">
        <w:rPr>
          <w:sz w:val="22"/>
          <w:szCs w:val="22"/>
          <w:lang w:val="sr-Latn-ME"/>
        </w:rPr>
        <w:t>perzistentnim</w:t>
      </w:r>
      <w:proofErr w:type="spellEnd"/>
      <w:r w:rsidRPr="002B09C8">
        <w:rPr>
          <w:sz w:val="22"/>
          <w:szCs w:val="22"/>
          <w:lang w:val="sr-Latn-ME"/>
        </w:rPr>
        <w:t xml:space="preserve"> antitijelima efikasnost može biti smanjena ili učestalost reakcija preosjetljivosti ili reakcija povezanih s infuzijom može biti povećana, liječenje treba prekinuti kod pacijenata koji razvijaju </w:t>
      </w:r>
      <w:proofErr w:type="spellStart"/>
      <w:r w:rsidRPr="002B09C8">
        <w:rPr>
          <w:sz w:val="22"/>
          <w:szCs w:val="22"/>
          <w:lang w:val="sr-Latn-ME"/>
        </w:rPr>
        <w:t>perzistentna</w:t>
      </w:r>
      <w:proofErr w:type="spellEnd"/>
      <w:r w:rsidRPr="002B09C8">
        <w:rPr>
          <w:sz w:val="22"/>
          <w:szCs w:val="22"/>
          <w:lang w:val="sr-Latn-ME"/>
        </w:rPr>
        <w:t xml:space="preserve"> antitijela.</w:t>
      </w:r>
    </w:p>
    <w:p w14:paraId="15236871" w14:textId="77777777" w:rsidR="00FB74D3" w:rsidRPr="002B09C8" w:rsidRDefault="00FB74D3" w:rsidP="00C74431">
      <w:pPr>
        <w:widowControl w:val="0"/>
        <w:jc w:val="both"/>
        <w:rPr>
          <w:i/>
          <w:sz w:val="22"/>
          <w:szCs w:val="22"/>
          <w:u w:val="single"/>
          <w:lang w:val="sr-Latn-ME"/>
        </w:rPr>
      </w:pPr>
    </w:p>
    <w:p w14:paraId="0A6A6609" w14:textId="77777777" w:rsidR="00FB74D3" w:rsidRPr="002B09C8" w:rsidRDefault="00FB74D3" w:rsidP="00C74431">
      <w:pPr>
        <w:widowControl w:val="0"/>
        <w:jc w:val="both"/>
        <w:rPr>
          <w:i/>
          <w:sz w:val="22"/>
          <w:szCs w:val="22"/>
          <w:u w:val="single"/>
          <w:lang w:val="sr-Latn-ME"/>
        </w:rPr>
      </w:pPr>
      <w:r w:rsidRPr="002B09C8">
        <w:rPr>
          <w:i/>
          <w:sz w:val="22"/>
          <w:szCs w:val="22"/>
          <w:u w:val="single"/>
          <w:lang w:val="sr-Latn-ME"/>
        </w:rPr>
        <w:t>Infekcije, uključujući PML i oportunističke infekcije</w:t>
      </w:r>
    </w:p>
    <w:p w14:paraId="2ED9167A" w14:textId="77777777" w:rsidR="00FB74D3" w:rsidRPr="002B09C8" w:rsidRDefault="00FB74D3" w:rsidP="00C74431">
      <w:pPr>
        <w:widowControl w:val="0"/>
        <w:jc w:val="both"/>
        <w:rPr>
          <w:sz w:val="22"/>
          <w:szCs w:val="22"/>
          <w:u w:val="single"/>
          <w:lang w:val="sr-Latn-ME"/>
        </w:rPr>
      </w:pPr>
    </w:p>
    <w:p w14:paraId="59400A6E" w14:textId="77777777" w:rsidR="00FB74D3" w:rsidRPr="002B09C8" w:rsidRDefault="00FB74D3" w:rsidP="00C74431">
      <w:pPr>
        <w:widowControl w:val="0"/>
        <w:jc w:val="both"/>
        <w:rPr>
          <w:i/>
          <w:sz w:val="22"/>
          <w:szCs w:val="22"/>
          <w:lang w:val="sr-Latn-ME"/>
        </w:rPr>
      </w:pPr>
      <w:r w:rsidRPr="002B09C8">
        <w:rPr>
          <w:sz w:val="22"/>
          <w:szCs w:val="22"/>
          <w:lang w:val="sr-Latn-ME"/>
        </w:rPr>
        <w:t xml:space="preserve">U 2-godišnjim kontrolisanim kliničkim ispitivanjima na pacijentima sa MS-om, učestalost infekcije bila je oko 1,5 po pacijentu godišnje, i kod </w:t>
      </w:r>
      <w:proofErr w:type="spellStart"/>
      <w:r w:rsidRPr="002B09C8">
        <w:rPr>
          <w:sz w:val="22"/>
          <w:szCs w:val="22"/>
          <w:lang w:val="sr-Latn-ME"/>
        </w:rPr>
        <w:t>natalizumabom</w:t>
      </w:r>
      <w:proofErr w:type="spellEnd"/>
      <w:r w:rsidRPr="002B09C8">
        <w:rPr>
          <w:sz w:val="22"/>
          <w:szCs w:val="22"/>
          <w:lang w:val="sr-Latn-ME"/>
        </w:rPr>
        <w:t xml:space="preserve"> i kod </w:t>
      </w:r>
      <w:proofErr w:type="spellStart"/>
      <w:r w:rsidRPr="002B09C8">
        <w:rPr>
          <w:sz w:val="22"/>
          <w:szCs w:val="22"/>
          <w:lang w:val="sr-Latn-ME"/>
        </w:rPr>
        <w:t>placebom</w:t>
      </w:r>
      <w:proofErr w:type="spellEnd"/>
      <w:r w:rsidRPr="002B09C8">
        <w:rPr>
          <w:sz w:val="22"/>
          <w:szCs w:val="22"/>
          <w:lang w:val="sr-Latn-ME"/>
        </w:rPr>
        <w:t xml:space="preserve"> liječenih pacijenata. Priroda infekcija bila je uglavnom slična kod </w:t>
      </w:r>
      <w:proofErr w:type="spellStart"/>
      <w:r w:rsidRPr="002B09C8">
        <w:rPr>
          <w:sz w:val="22"/>
          <w:szCs w:val="22"/>
          <w:lang w:val="sr-Latn-ME"/>
        </w:rPr>
        <w:t>natalizumabom</w:t>
      </w:r>
      <w:proofErr w:type="spellEnd"/>
      <w:r w:rsidRPr="002B09C8">
        <w:rPr>
          <w:sz w:val="22"/>
          <w:szCs w:val="22"/>
          <w:lang w:val="sr-Latn-ME"/>
        </w:rPr>
        <w:t xml:space="preserve"> i kod </w:t>
      </w:r>
      <w:proofErr w:type="spellStart"/>
      <w:r w:rsidRPr="002B09C8">
        <w:rPr>
          <w:sz w:val="22"/>
          <w:szCs w:val="22"/>
          <w:lang w:val="sr-Latn-ME"/>
        </w:rPr>
        <w:t>placebom</w:t>
      </w:r>
      <w:proofErr w:type="spellEnd"/>
      <w:r w:rsidRPr="002B09C8">
        <w:rPr>
          <w:sz w:val="22"/>
          <w:szCs w:val="22"/>
          <w:lang w:val="sr-Latn-ME"/>
        </w:rPr>
        <w:t xml:space="preserve"> liječenih pacijenata. Slučaj dijareje uzrokovane </w:t>
      </w:r>
      <w:proofErr w:type="spellStart"/>
      <w:r w:rsidRPr="002B09C8">
        <w:rPr>
          <w:sz w:val="22"/>
          <w:szCs w:val="22"/>
          <w:lang w:val="sr-Latn-ME"/>
        </w:rPr>
        <w:t>protozoom</w:t>
      </w:r>
      <w:proofErr w:type="spellEnd"/>
      <w:r w:rsidRPr="002B09C8">
        <w:rPr>
          <w:sz w:val="22"/>
          <w:szCs w:val="22"/>
          <w:lang w:val="sr-Latn-ME"/>
        </w:rPr>
        <w:t xml:space="preserve"> roda </w:t>
      </w:r>
      <w:proofErr w:type="spellStart"/>
      <w:r w:rsidRPr="002B09C8">
        <w:rPr>
          <w:i/>
          <w:sz w:val="22"/>
          <w:szCs w:val="22"/>
          <w:lang w:val="sr-Latn-ME"/>
        </w:rPr>
        <w:t>Cryptosporidium</w:t>
      </w:r>
      <w:proofErr w:type="spellEnd"/>
      <w:r w:rsidRPr="002B09C8">
        <w:rPr>
          <w:i/>
          <w:sz w:val="22"/>
          <w:szCs w:val="22"/>
          <w:lang w:val="sr-Latn-ME"/>
        </w:rPr>
        <w:t xml:space="preserve"> </w:t>
      </w:r>
      <w:r w:rsidRPr="002B09C8">
        <w:rPr>
          <w:sz w:val="22"/>
          <w:szCs w:val="22"/>
          <w:lang w:val="sr-Latn-ME"/>
        </w:rPr>
        <w:t xml:space="preserve">bio je prijavljen u kliničkim ispitivanjima MS-a. U drugim kliničkim ispitivanjima bili su prijavljeni slučajevi dodatnih oportunističkih infekcija, od kojih su neke bile smrtonosne. Većina pacijenata nije prekinula terapiju </w:t>
      </w:r>
      <w:proofErr w:type="spellStart"/>
      <w:r w:rsidRPr="002B09C8">
        <w:rPr>
          <w:sz w:val="22"/>
          <w:szCs w:val="22"/>
          <w:lang w:val="sr-Latn-ME"/>
        </w:rPr>
        <w:t>natalizumabom</w:t>
      </w:r>
      <w:proofErr w:type="spellEnd"/>
      <w:r w:rsidRPr="002B09C8">
        <w:rPr>
          <w:sz w:val="22"/>
          <w:szCs w:val="22"/>
          <w:lang w:val="sr-Latn-ME"/>
        </w:rPr>
        <w:t xml:space="preserve"> za vrijeme infekcija i oporavili su se nakon odgovarajućeg liječenja.</w:t>
      </w:r>
    </w:p>
    <w:p w14:paraId="08DCFC13" w14:textId="77777777" w:rsidR="00FB74D3" w:rsidRPr="002B09C8" w:rsidRDefault="00FB74D3" w:rsidP="00C74431">
      <w:pPr>
        <w:widowControl w:val="0"/>
        <w:jc w:val="both"/>
        <w:rPr>
          <w:sz w:val="22"/>
          <w:szCs w:val="22"/>
          <w:lang w:val="sr-Latn-ME"/>
        </w:rPr>
      </w:pPr>
    </w:p>
    <w:p w14:paraId="20BF1DC6" w14:textId="523C53A8" w:rsidR="00FB74D3" w:rsidRPr="002B09C8" w:rsidRDefault="00FB74D3" w:rsidP="00C74431">
      <w:pPr>
        <w:widowControl w:val="0"/>
        <w:jc w:val="both"/>
        <w:rPr>
          <w:snapToGrid w:val="0"/>
          <w:sz w:val="22"/>
          <w:szCs w:val="22"/>
          <w:lang w:val="sr-Latn-ME" w:eastAsia="hr-HR"/>
        </w:rPr>
      </w:pPr>
      <w:r w:rsidRPr="002B09C8">
        <w:rPr>
          <w:sz w:val="22"/>
          <w:szCs w:val="22"/>
          <w:lang w:val="sr-Latn-ME"/>
        </w:rPr>
        <w:t>U kliničkim ispitivanjima, herpes infekcije (</w:t>
      </w:r>
      <w:proofErr w:type="spellStart"/>
      <w:r w:rsidRPr="002B09C8">
        <w:rPr>
          <w:sz w:val="22"/>
          <w:szCs w:val="22"/>
          <w:lang w:val="sr-Latn-ME"/>
        </w:rPr>
        <w:t>Varicella-Zoster</w:t>
      </w:r>
      <w:proofErr w:type="spellEnd"/>
      <w:r w:rsidRPr="002B09C8">
        <w:rPr>
          <w:sz w:val="22"/>
          <w:szCs w:val="22"/>
          <w:lang w:val="sr-Latn-ME"/>
        </w:rPr>
        <w:t xml:space="preserve"> virus, Herpes-</w:t>
      </w:r>
      <w:proofErr w:type="spellStart"/>
      <w:r w:rsidRPr="002B09C8">
        <w:rPr>
          <w:sz w:val="22"/>
          <w:szCs w:val="22"/>
          <w:lang w:val="sr-Latn-ME"/>
        </w:rPr>
        <w:t>simplex</w:t>
      </w:r>
      <w:proofErr w:type="spellEnd"/>
      <w:r w:rsidRPr="002B09C8">
        <w:rPr>
          <w:sz w:val="22"/>
          <w:szCs w:val="22"/>
          <w:lang w:val="sr-Latn-ME"/>
        </w:rPr>
        <w:t xml:space="preserve"> virus) pojavljivale su se neznatno učestalije kod </w:t>
      </w:r>
      <w:proofErr w:type="spellStart"/>
      <w:r w:rsidRPr="002B09C8">
        <w:rPr>
          <w:sz w:val="22"/>
          <w:szCs w:val="22"/>
          <w:lang w:val="sr-Latn-ME"/>
        </w:rPr>
        <w:t>natalizumabom</w:t>
      </w:r>
      <w:proofErr w:type="spellEnd"/>
      <w:r w:rsidRPr="002B09C8">
        <w:rPr>
          <w:sz w:val="22"/>
          <w:szCs w:val="22"/>
          <w:lang w:val="sr-Latn-ME"/>
        </w:rPr>
        <w:t xml:space="preserve"> liječenih pacijenata nego kod </w:t>
      </w:r>
      <w:proofErr w:type="spellStart"/>
      <w:r w:rsidRPr="002B09C8">
        <w:rPr>
          <w:sz w:val="22"/>
          <w:szCs w:val="22"/>
          <w:lang w:val="sr-Latn-ME"/>
        </w:rPr>
        <w:t>placebom</w:t>
      </w:r>
      <w:proofErr w:type="spellEnd"/>
      <w:r w:rsidRPr="002B09C8">
        <w:rPr>
          <w:sz w:val="22"/>
          <w:szCs w:val="22"/>
          <w:lang w:val="sr-Latn-ME"/>
        </w:rPr>
        <w:t xml:space="preserve"> liječenih pacijenata. </w:t>
      </w:r>
      <w:r w:rsidRPr="002B09C8">
        <w:rPr>
          <w:snapToGrid w:val="0"/>
          <w:sz w:val="22"/>
          <w:szCs w:val="22"/>
          <w:lang w:val="sr-Latn-ME" w:eastAsia="hr-HR"/>
        </w:rPr>
        <w:t xml:space="preserve">Nakon stavljanja lijeka u promet bilo je prijavljenih ozbiljnih, slučajeva uzrokovanih herpes </w:t>
      </w:r>
      <w:proofErr w:type="spellStart"/>
      <w:r w:rsidRPr="002B09C8">
        <w:rPr>
          <w:snapToGrid w:val="0"/>
          <w:sz w:val="22"/>
          <w:szCs w:val="22"/>
          <w:lang w:val="sr-Latn-ME" w:eastAsia="hr-HR"/>
        </w:rPr>
        <w:t>simplex</w:t>
      </w:r>
      <w:proofErr w:type="spellEnd"/>
      <w:r w:rsidRPr="002B09C8">
        <w:rPr>
          <w:snapToGrid w:val="0"/>
          <w:sz w:val="22"/>
          <w:szCs w:val="22"/>
          <w:lang w:val="sr-Latn-ME" w:eastAsia="hr-HR"/>
        </w:rPr>
        <w:t xml:space="preserve"> ili </w:t>
      </w:r>
      <w:proofErr w:type="spellStart"/>
      <w:r w:rsidRPr="002B09C8">
        <w:rPr>
          <w:snapToGrid w:val="0"/>
          <w:sz w:val="22"/>
          <w:szCs w:val="22"/>
          <w:lang w:val="sr-Latn-ME" w:eastAsia="hr-HR"/>
        </w:rPr>
        <w:t>varicella</w:t>
      </w:r>
      <w:proofErr w:type="spellEnd"/>
      <w:r w:rsidRPr="002B09C8">
        <w:rPr>
          <w:snapToGrid w:val="0"/>
          <w:sz w:val="22"/>
          <w:szCs w:val="22"/>
          <w:lang w:val="sr-Latn-ME" w:eastAsia="hr-HR"/>
        </w:rPr>
        <w:t xml:space="preserve"> </w:t>
      </w:r>
      <w:proofErr w:type="spellStart"/>
      <w:r w:rsidRPr="002B09C8">
        <w:rPr>
          <w:snapToGrid w:val="0"/>
          <w:sz w:val="22"/>
          <w:szCs w:val="22"/>
          <w:lang w:val="sr-Latn-ME" w:eastAsia="hr-HR"/>
        </w:rPr>
        <w:t>zoster</w:t>
      </w:r>
      <w:proofErr w:type="spellEnd"/>
      <w:r w:rsidRPr="002B09C8">
        <w:rPr>
          <w:snapToGrid w:val="0"/>
          <w:sz w:val="22"/>
          <w:szCs w:val="22"/>
          <w:lang w:val="sr-Latn-ME" w:eastAsia="hr-HR"/>
        </w:rPr>
        <w:t xml:space="preserve"> virusima uključujući slučajeve encefalitisa i meningitisa sa fatalnim ishodom </w:t>
      </w:r>
      <w:r w:rsidRPr="002B09C8">
        <w:rPr>
          <w:sz w:val="22"/>
          <w:szCs w:val="22"/>
          <w:lang w:val="sr-Latn-ME"/>
        </w:rPr>
        <w:t xml:space="preserve">kod pacijenata sa multiplom sklerozom koji su primali </w:t>
      </w:r>
      <w:proofErr w:type="spellStart"/>
      <w:r w:rsidR="007678A2" w:rsidRPr="002B09C8">
        <w:rPr>
          <w:sz w:val="22"/>
          <w:szCs w:val="22"/>
          <w:lang w:val="sr-Latn-ME"/>
        </w:rPr>
        <w:t>natalizumab</w:t>
      </w:r>
      <w:proofErr w:type="spellEnd"/>
      <w:r w:rsidRPr="002B09C8">
        <w:rPr>
          <w:sz w:val="22"/>
          <w:szCs w:val="22"/>
          <w:lang w:val="sr-Latn-ME"/>
        </w:rPr>
        <w:t xml:space="preserve">. Liječenje </w:t>
      </w:r>
      <w:proofErr w:type="spellStart"/>
      <w:r w:rsidR="007678A2" w:rsidRPr="002B09C8">
        <w:rPr>
          <w:sz w:val="22"/>
          <w:szCs w:val="22"/>
          <w:lang w:val="sr-Latn-ME"/>
        </w:rPr>
        <w:t>natalizumabom</w:t>
      </w:r>
      <w:proofErr w:type="spellEnd"/>
      <w:r w:rsidRPr="002B09C8">
        <w:rPr>
          <w:sz w:val="22"/>
          <w:szCs w:val="22"/>
          <w:lang w:val="sr-Latn-ME"/>
        </w:rPr>
        <w:t xml:space="preserve"> prije pojave te bolesti trajalo je nekoliko mjeseci do nekoliko godina</w:t>
      </w:r>
      <w:r w:rsidRPr="002B09C8">
        <w:rPr>
          <w:snapToGrid w:val="0"/>
          <w:sz w:val="22"/>
          <w:szCs w:val="22"/>
          <w:lang w:val="sr-Latn-ME" w:eastAsia="hr-HR"/>
        </w:rPr>
        <w:t>. (vidjeti dio 4.4).</w:t>
      </w:r>
    </w:p>
    <w:p w14:paraId="5EE60999" w14:textId="77777777" w:rsidR="00FB74D3" w:rsidRPr="002B09C8" w:rsidRDefault="00FB74D3" w:rsidP="00C74431">
      <w:pPr>
        <w:widowControl w:val="0"/>
        <w:jc w:val="both"/>
        <w:rPr>
          <w:i/>
          <w:sz w:val="22"/>
          <w:szCs w:val="22"/>
          <w:lang w:val="sr-Latn-ME"/>
        </w:rPr>
      </w:pPr>
    </w:p>
    <w:p w14:paraId="3A0B162A" w14:textId="6F6245FF" w:rsidR="00FB74D3" w:rsidRPr="002B09C8" w:rsidRDefault="00FB74D3" w:rsidP="00C74431">
      <w:pPr>
        <w:widowControl w:val="0"/>
        <w:jc w:val="both"/>
        <w:rPr>
          <w:sz w:val="22"/>
          <w:szCs w:val="22"/>
          <w:lang w:val="sr-Latn-ME"/>
        </w:rPr>
      </w:pPr>
      <w:r w:rsidRPr="002B09C8">
        <w:rPr>
          <w:sz w:val="22"/>
          <w:szCs w:val="22"/>
          <w:lang w:val="sr-Latn-ME"/>
        </w:rPr>
        <w:t xml:space="preserve">Nakon stavljanja lijeka u promet zabilježeni su rijetki slučajevi akutne </w:t>
      </w:r>
      <w:proofErr w:type="spellStart"/>
      <w:r w:rsidRPr="002B09C8">
        <w:rPr>
          <w:sz w:val="22"/>
          <w:szCs w:val="22"/>
          <w:lang w:val="sr-Latn-ME"/>
        </w:rPr>
        <w:t>retinalne</w:t>
      </w:r>
      <w:proofErr w:type="spellEnd"/>
      <w:r w:rsidRPr="002B09C8">
        <w:rPr>
          <w:sz w:val="22"/>
          <w:szCs w:val="22"/>
          <w:lang w:val="sr-Latn-ME"/>
        </w:rPr>
        <w:t xml:space="preserve"> </w:t>
      </w:r>
      <w:proofErr w:type="spellStart"/>
      <w:r w:rsidRPr="002B09C8">
        <w:rPr>
          <w:sz w:val="22"/>
          <w:szCs w:val="22"/>
          <w:lang w:val="sr-Latn-ME"/>
        </w:rPr>
        <w:t>nekroze</w:t>
      </w:r>
      <w:proofErr w:type="spellEnd"/>
      <w:r w:rsidRPr="002B09C8">
        <w:rPr>
          <w:sz w:val="22"/>
          <w:szCs w:val="22"/>
          <w:lang w:val="sr-Latn-ME"/>
        </w:rPr>
        <w:t xml:space="preserve"> kod pacijenata koji su primali</w:t>
      </w:r>
      <w:r w:rsidR="00EF505A" w:rsidRPr="002B09C8">
        <w:rPr>
          <w:sz w:val="22"/>
          <w:szCs w:val="22"/>
          <w:lang w:val="sr-Latn-ME"/>
        </w:rPr>
        <w:t xml:space="preserve"> ovaj l</w:t>
      </w:r>
      <w:r w:rsidR="00C3386D" w:rsidRPr="002B09C8">
        <w:rPr>
          <w:sz w:val="22"/>
          <w:szCs w:val="22"/>
          <w:lang w:val="sr-Latn-ME"/>
        </w:rPr>
        <w:t>ij</w:t>
      </w:r>
      <w:r w:rsidR="00EF505A" w:rsidRPr="002B09C8">
        <w:rPr>
          <w:sz w:val="22"/>
          <w:szCs w:val="22"/>
          <w:lang w:val="sr-Latn-ME"/>
        </w:rPr>
        <w:t>ek</w:t>
      </w:r>
      <w:r w:rsidRPr="002B09C8">
        <w:rPr>
          <w:sz w:val="22"/>
          <w:szCs w:val="22"/>
          <w:lang w:val="sr-Latn-ME"/>
        </w:rPr>
        <w:t xml:space="preserve">. Neki slučajevi zabilježeni su kod pacijenata s herpes infekcijama centralnog nervnog sistema (CNS) (npr. herpesnim meningitisom i encefalitisom). Ozbiljni slučajevi akutne </w:t>
      </w:r>
      <w:proofErr w:type="spellStart"/>
      <w:r w:rsidRPr="002B09C8">
        <w:rPr>
          <w:sz w:val="22"/>
          <w:szCs w:val="22"/>
          <w:lang w:val="sr-Latn-ME"/>
        </w:rPr>
        <w:t>retinalne</w:t>
      </w:r>
      <w:proofErr w:type="spellEnd"/>
      <w:r w:rsidRPr="002B09C8">
        <w:rPr>
          <w:sz w:val="22"/>
          <w:szCs w:val="22"/>
          <w:lang w:val="sr-Latn-ME"/>
        </w:rPr>
        <w:t xml:space="preserve"> </w:t>
      </w:r>
      <w:proofErr w:type="spellStart"/>
      <w:r w:rsidRPr="002B09C8">
        <w:rPr>
          <w:sz w:val="22"/>
          <w:szCs w:val="22"/>
          <w:lang w:val="sr-Latn-ME"/>
        </w:rPr>
        <w:t>nekroze</w:t>
      </w:r>
      <w:proofErr w:type="spellEnd"/>
      <w:r w:rsidRPr="002B09C8">
        <w:rPr>
          <w:sz w:val="22"/>
          <w:szCs w:val="22"/>
          <w:lang w:val="sr-Latn-ME"/>
        </w:rPr>
        <w:t xml:space="preserve"> koji su zahvatili jedno ili oba oka doveli su do sljepoće kod nekih pacijenata. Liječenje zabilježeno u tim slučajevima uključivalo je antivirusnu terapiju, a u nekim slučajevima operaciju (vidjeti dio 4.4).</w:t>
      </w:r>
    </w:p>
    <w:p w14:paraId="565E0C18" w14:textId="77777777" w:rsidR="00FB74D3" w:rsidRPr="002B09C8" w:rsidRDefault="00FB74D3" w:rsidP="00C74431">
      <w:pPr>
        <w:widowControl w:val="0"/>
        <w:jc w:val="both"/>
        <w:rPr>
          <w:sz w:val="22"/>
          <w:szCs w:val="22"/>
          <w:lang w:val="sr-Latn-ME"/>
        </w:rPr>
      </w:pPr>
    </w:p>
    <w:p w14:paraId="7102CF74" w14:textId="0EBA64C3" w:rsidR="00FB74D3" w:rsidRPr="002B09C8" w:rsidRDefault="00FB74D3" w:rsidP="00C74431">
      <w:pPr>
        <w:widowControl w:val="0"/>
        <w:jc w:val="both"/>
        <w:rPr>
          <w:sz w:val="22"/>
          <w:szCs w:val="22"/>
          <w:lang w:val="sr-Latn-ME"/>
        </w:rPr>
      </w:pPr>
      <w:r w:rsidRPr="002B09C8">
        <w:rPr>
          <w:sz w:val="22"/>
          <w:szCs w:val="22"/>
          <w:lang w:val="sr-Latn-ME"/>
        </w:rPr>
        <w:t xml:space="preserve">Slučajevi PML-a bili su prijavljeni iz kliničkih ispitivanja, </w:t>
      </w:r>
      <w:proofErr w:type="spellStart"/>
      <w:r w:rsidRPr="002B09C8">
        <w:rPr>
          <w:sz w:val="22"/>
          <w:szCs w:val="22"/>
          <w:lang w:val="sr-Latn-ME"/>
        </w:rPr>
        <w:t>postmarketinških</w:t>
      </w:r>
      <w:proofErr w:type="spellEnd"/>
      <w:r w:rsidRPr="002B09C8">
        <w:rPr>
          <w:sz w:val="22"/>
          <w:szCs w:val="22"/>
          <w:lang w:val="sr-Latn-ME"/>
        </w:rPr>
        <w:t xml:space="preserve"> opservacionih studija i </w:t>
      </w:r>
      <w:proofErr w:type="spellStart"/>
      <w:r w:rsidRPr="002B09C8">
        <w:rPr>
          <w:sz w:val="22"/>
          <w:szCs w:val="22"/>
          <w:lang w:val="sr-Latn-ME"/>
        </w:rPr>
        <w:t>posmarketinškog</w:t>
      </w:r>
      <w:proofErr w:type="spellEnd"/>
      <w:r w:rsidRPr="002B09C8">
        <w:rPr>
          <w:sz w:val="22"/>
          <w:szCs w:val="22"/>
          <w:lang w:val="sr-Latn-ME"/>
        </w:rPr>
        <w:t xml:space="preserve"> pasivnog praćenja. PML obično dovodi do teške </w:t>
      </w:r>
      <w:proofErr w:type="spellStart"/>
      <w:r w:rsidRPr="002B09C8">
        <w:rPr>
          <w:sz w:val="22"/>
          <w:szCs w:val="22"/>
          <w:lang w:val="sr-Latn-ME"/>
        </w:rPr>
        <w:t>onesposobljenosti</w:t>
      </w:r>
      <w:proofErr w:type="spellEnd"/>
      <w:r w:rsidRPr="002B09C8">
        <w:rPr>
          <w:sz w:val="22"/>
          <w:szCs w:val="22"/>
          <w:lang w:val="sr-Latn-ME"/>
        </w:rPr>
        <w:t xml:space="preserve"> ili smrti (vidjeti dio 4.4). Slučajevi JCV GCN-a su takođe prijavljeni tokom </w:t>
      </w:r>
      <w:proofErr w:type="spellStart"/>
      <w:r w:rsidRPr="002B09C8">
        <w:rPr>
          <w:sz w:val="22"/>
          <w:szCs w:val="22"/>
          <w:lang w:val="sr-Latn-ME"/>
        </w:rPr>
        <w:t>postmarketinške</w:t>
      </w:r>
      <w:proofErr w:type="spellEnd"/>
      <w:r w:rsidRPr="002B09C8">
        <w:rPr>
          <w:sz w:val="22"/>
          <w:szCs w:val="22"/>
          <w:lang w:val="sr-Latn-ME"/>
        </w:rPr>
        <w:t xml:space="preserve"> primjene</w:t>
      </w:r>
      <w:r w:rsidR="007678A2" w:rsidRPr="002B09C8">
        <w:rPr>
          <w:sz w:val="22"/>
          <w:szCs w:val="22"/>
          <w:lang w:val="sr-Latn-ME"/>
        </w:rPr>
        <w:t xml:space="preserve"> ovog</w:t>
      </w:r>
      <w:r w:rsidRPr="002B09C8">
        <w:rPr>
          <w:sz w:val="22"/>
          <w:szCs w:val="22"/>
          <w:lang w:val="sr-Latn-ME"/>
        </w:rPr>
        <w:t xml:space="preserve"> lijeka. Simptomi JCV GCN-a su slični PML-u.</w:t>
      </w:r>
    </w:p>
    <w:p w14:paraId="13DD9412" w14:textId="77777777" w:rsidR="00FB74D3" w:rsidRPr="002B09C8" w:rsidRDefault="00FB74D3" w:rsidP="00C74431">
      <w:pPr>
        <w:widowControl w:val="0"/>
        <w:jc w:val="both"/>
        <w:rPr>
          <w:sz w:val="22"/>
          <w:szCs w:val="22"/>
          <w:lang w:val="sr-Latn-ME"/>
        </w:rPr>
      </w:pPr>
    </w:p>
    <w:p w14:paraId="368644FD" w14:textId="77777777" w:rsidR="00FB74D3" w:rsidRPr="002B09C8" w:rsidRDefault="00FB74D3" w:rsidP="00C74431">
      <w:pPr>
        <w:widowControl w:val="0"/>
        <w:jc w:val="both"/>
        <w:rPr>
          <w:i/>
          <w:sz w:val="22"/>
          <w:szCs w:val="22"/>
          <w:u w:val="single"/>
          <w:lang w:val="sr-Latn-ME"/>
        </w:rPr>
      </w:pPr>
      <w:r w:rsidRPr="002B09C8">
        <w:rPr>
          <w:i/>
          <w:sz w:val="22"/>
          <w:szCs w:val="22"/>
          <w:u w:val="single"/>
          <w:lang w:val="sr-Latn-ME"/>
        </w:rPr>
        <w:t>Oštećenja jetre</w:t>
      </w:r>
    </w:p>
    <w:p w14:paraId="58117E91" w14:textId="77777777" w:rsidR="00FB74D3" w:rsidRPr="002B09C8" w:rsidRDefault="00FB74D3" w:rsidP="00C74431">
      <w:pPr>
        <w:widowControl w:val="0"/>
        <w:jc w:val="both"/>
        <w:rPr>
          <w:sz w:val="22"/>
          <w:szCs w:val="22"/>
          <w:lang w:val="sr-Latn-ME"/>
        </w:rPr>
      </w:pPr>
    </w:p>
    <w:p w14:paraId="323166A8" w14:textId="1FB83A40" w:rsidR="00FB74D3" w:rsidRPr="002B09C8" w:rsidRDefault="00FB74D3" w:rsidP="00C74431">
      <w:pPr>
        <w:widowControl w:val="0"/>
        <w:jc w:val="both"/>
        <w:rPr>
          <w:sz w:val="22"/>
          <w:szCs w:val="22"/>
          <w:lang w:val="sr-Latn-ME"/>
        </w:rPr>
      </w:pPr>
      <w:r w:rsidRPr="002B09C8">
        <w:rPr>
          <w:sz w:val="22"/>
          <w:szCs w:val="22"/>
          <w:lang w:val="sr-Latn-ME"/>
        </w:rPr>
        <w:t>Spontani slučajevi ozbiljnih oštećenja jetre, povišenih enzima</w:t>
      </w:r>
      <w:r w:rsidR="00E81AA1" w:rsidRPr="002B09C8">
        <w:rPr>
          <w:sz w:val="22"/>
          <w:szCs w:val="22"/>
          <w:lang w:val="sr-Latn-ME"/>
        </w:rPr>
        <w:t xml:space="preserve"> jetre</w:t>
      </w:r>
      <w:r w:rsidRPr="002B09C8">
        <w:rPr>
          <w:sz w:val="22"/>
          <w:szCs w:val="22"/>
          <w:lang w:val="sr-Latn-ME"/>
        </w:rPr>
        <w:t xml:space="preserve"> i </w:t>
      </w:r>
      <w:proofErr w:type="spellStart"/>
      <w:r w:rsidRPr="002B09C8">
        <w:rPr>
          <w:sz w:val="22"/>
          <w:szCs w:val="22"/>
          <w:lang w:val="sr-Latn-ME"/>
        </w:rPr>
        <w:t>hiperbilirubinemije</w:t>
      </w:r>
      <w:proofErr w:type="spellEnd"/>
      <w:r w:rsidRPr="002B09C8">
        <w:rPr>
          <w:sz w:val="22"/>
          <w:szCs w:val="22"/>
          <w:lang w:val="sr-Latn-ME"/>
        </w:rPr>
        <w:t xml:space="preserve"> bili su prijavljeni tokom </w:t>
      </w:r>
      <w:proofErr w:type="spellStart"/>
      <w:r w:rsidRPr="002B09C8">
        <w:rPr>
          <w:sz w:val="22"/>
          <w:szCs w:val="22"/>
          <w:lang w:val="sr-Latn-ME"/>
        </w:rPr>
        <w:t>postmarketinške</w:t>
      </w:r>
      <w:proofErr w:type="spellEnd"/>
      <w:r w:rsidRPr="002B09C8">
        <w:rPr>
          <w:sz w:val="22"/>
          <w:szCs w:val="22"/>
          <w:lang w:val="sr-Latn-ME"/>
        </w:rPr>
        <w:t xml:space="preserve"> faze (vidjeti dio 4.4.)</w:t>
      </w:r>
    </w:p>
    <w:p w14:paraId="2C3BF6AD" w14:textId="77777777" w:rsidR="00FB74D3" w:rsidRPr="002B09C8" w:rsidRDefault="00FB74D3" w:rsidP="00C74431">
      <w:pPr>
        <w:widowControl w:val="0"/>
        <w:tabs>
          <w:tab w:val="left" w:pos="567"/>
        </w:tabs>
        <w:jc w:val="both"/>
        <w:rPr>
          <w:i/>
          <w:snapToGrid w:val="0"/>
          <w:sz w:val="22"/>
          <w:szCs w:val="22"/>
          <w:u w:val="single"/>
          <w:lang w:val="sr-Latn-ME" w:eastAsia="hr-HR"/>
        </w:rPr>
      </w:pPr>
    </w:p>
    <w:p w14:paraId="137314CE" w14:textId="77777777" w:rsidR="00FB74D3" w:rsidRPr="002B09C8" w:rsidRDefault="00FB74D3" w:rsidP="00C74431">
      <w:pPr>
        <w:widowControl w:val="0"/>
        <w:tabs>
          <w:tab w:val="left" w:pos="567"/>
        </w:tabs>
        <w:jc w:val="both"/>
        <w:rPr>
          <w:snapToGrid w:val="0"/>
          <w:sz w:val="22"/>
          <w:szCs w:val="22"/>
          <w:u w:val="single"/>
          <w:lang w:val="sr-Latn-ME" w:eastAsia="hr-HR"/>
        </w:rPr>
      </w:pPr>
      <w:r w:rsidRPr="002B09C8">
        <w:rPr>
          <w:i/>
          <w:snapToGrid w:val="0"/>
          <w:sz w:val="22"/>
          <w:szCs w:val="22"/>
          <w:u w:val="single"/>
          <w:lang w:val="sr-Latn-ME" w:eastAsia="hr-HR"/>
        </w:rPr>
        <w:t xml:space="preserve">Anemija i </w:t>
      </w:r>
      <w:proofErr w:type="spellStart"/>
      <w:r w:rsidRPr="002B09C8">
        <w:rPr>
          <w:i/>
          <w:snapToGrid w:val="0"/>
          <w:sz w:val="22"/>
          <w:szCs w:val="22"/>
          <w:u w:val="single"/>
          <w:lang w:val="sr-Latn-ME" w:eastAsia="hr-HR"/>
        </w:rPr>
        <w:t>hemolitička</w:t>
      </w:r>
      <w:proofErr w:type="spellEnd"/>
      <w:r w:rsidRPr="002B09C8">
        <w:rPr>
          <w:i/>
          <w:snapToGrid w:val="0"/>
          <w:sz w:val="22"/>
          <w:szCs w:val="22"/>
          <w:u w:val="single"/>
          <w:lang w:val="sr-Latn-ME" w:eastAsia="hr-HR"/>
        </w:rPr>
        <w:t xml:space="preserve"> anemija</w:t>
      </w:r>
    </w:p>
    <w:p w14:paraId="40F1E107" w14:textId="77777777" w:rsidR="00FB74D3" w:rsidRPr="002B09C8" w:rsidRDefault="00FB74D3" w:rsidP="00C74431">
      <w:pPr>
        <w:widowControl w:val="0"/>
        <w:tabs>
          <w:tab w:val="left" w:pos="567"/>
        </w:tabs>
        <w:jc w:val="both"/>
        <w:rPr>
          <w:snapToGrid w:val="0"/>
          <w:sz w:val="22"/>
          <w:szCs w:val="22"/>
          <w:lang w:val="sr-Latn-ME" w:eastAsia="hr-HR"/>
        </w:rPr>
      </w:pPr>
    </w:p>
    <w:p w14:paraId="1A529A3E" w14:textId="799F5F92" w:rsidR="00FB74D3" w:rsidRPr="002B09C8" w:rsidRDefault="00FB74D3" w:rsidP="00C74431">
      <w:pPr>
        <w:widowControl w:val="0"/>
        <w:tabs>
          <w:tab w:val="left" w:pos="567"/>
        </w:tabs>
        <w:jc w:val="both"/>
        <w:rPr>
          <w:snapToGrid w:val="0"/>
          <w:sz w:val="22"/>
          <w:szCs w:val="22"/>
          <w:lang w:val="sr-Latn-ME" w:eastAsia="hr-HR"/>
        </w:rPr>
      </w:pPr>
      <w:r w:rsidRPr="002B09C8">
        <w:rPr>
          <w:snapToGrid w:val="0"/>
          <w:sz w:val="22"/>
          <w:szCs w:val="22"/>
          <w:lang w:val="sr-Latn-ME" w:eastAsia="hr-HR"/>
        </w:rPr>
        <w:t xml:space="preserve">U bolesnika koji su liječeni </w:t>
      </w:r>
      <w:proofErr w:type="spellStart"/>
      <w:r w:rsidR="00E81AA1" w:rsidRPr="002B09C8">
        <w:rPr>
          <w:snapToGrid w:val="0"/>
          <w:sz w:val="22"/>
          <w:szCs w:val="22"/>
          <w:lang w:val="sr-Latn-ME" w:eastAsia="hr-HR"/>
        </w:rPr>
        <w:t>natalizumabom</w:t>
      </w:r>
      <w:proofErr w:type="spellEnd"/>
      <w:r w:rsidRPr="002B09C8">
        <w:rPr>
          <w:snapToGrid w:val="0"/>
          <w:sz w:val="22"/>
          <w:szCs w:val="22"/>
          <w:lang w:val="sr-Latn-ME" w:eastAsia="hr-HR"/>
        </w:rPr>
        <w:t xml:space="preserve"> u </w:t>
      </w:r>
      <w:proofErr w:type="spellStart"/>
      <w:r w:rsidRPr="002B09C8">
        <w:rPr>
          <w:snapToGrid w:val="0"/>
          <w:sz w:val="22"/>
          <w:szCs w:val="22"/>
          <w:lang w:val="sr-Latn-ME" w:eastAsia="hr-HR"/>
        </w:rPr>
        <w:t>postmarketinškim</w:t>
      </w:r>
      <w:proofErr w:type="spellEnd"/>
      <w:r w:rsidRPr="002B09C8">
        <w:rPr>
          <w:snapToGrid w:val="0"/>
          <w:sz w:val="22"/>
          <w:szCs w:val="22"/>
          <w:lang w:val="sr-Latn-ME" w:eastAsia="hr-HR"/>
        </w:rPr>
        <w:t xml:space="preserve"> opservacionim ispitivanjima, prijavljeni su rijetki, ozbiljni slučajevi anemije i </w:t>
      </w:r>
      <w:proofErr w:type="spellStart"/>
      <w:r w:rsidRPr="002B09C8">
        <w:rPr>
          <w:snapToGrid w:val="0"/>
          <w:sz w:val="22"/>
          <w:szCs w:val="22"/>
          <w:lang w:val="sr-Latn-ME" w:eastAsia="hr-HR"/>
        </w:rPr>
        <w:t>hemolitičke</w:t>
      </w:r>
      <w:proofErr w:type="spellEnd"/>
      <w:r w:rsidRPr="002B09C8">
        <w:rPr>
          <w:snapToGrid w:val="0"/>
          <w:sz w:val="22"/>
          <w:szCs w:val="22"/>
          <w:lang w:val="sr-Latn-ME" w:eastAsia="hr-HR"/>
        </w:rPr>
        <w:t xml:space="preserve"> anemije.</w:t>
      </w:r>
    </w:p>
    <w:p w14:paraId="6DF4080C" w14:textId="77777777" w:rsidR="00FB74D3" w:rsidRPr="002B09C8" w:rsidRDefault="00FB74D3" w:rsidP="00C74431">
      <w:pPr>
        <w:widowControl w:val="0"/>
        <w:jc w:val="both"/>
        <w:rPr>
          <w:sz w:val="22"/>
          <w:szCs w:val="22"/>
          <w:u w:val="single"/>
          <w:lang w:val="sr-Latn-ME"/>
        </w:rPr>
      </w:pPr>
    </w:p>
    <w:p w14:paraId="45E5B829" w14:textId="77777777" w:rsidR="00FB74D3" w:rsidRPr="002B09C8" w:rsidRDefault="00FB74D3" w:rsidP="00C74431">
      <w:pPr>
        <w:widowControl w:val="0"/>
        <w:jc w:val="both"/>
        <w:rPr>
          <w:i/>
          <w:sz w:val="22"/>
          <w:szCs w:val="22"/>
          <w:u w:val="single"/>
          <w:lang w:val="sr-Latn-ME"/>
        </w:rPr>
      </w:pPr>
      <w:r w:rsidRPr="002B09C8">
        <w:rPr>
          <w:i/>
          <w:sz w:val="22"/>
          <w:szCs w:val="22"/>
          <w:u w:val="single"/>
          <w:lang w:val="sr-Latn-ME"/>
        </w:rPr>
        <w:t>Maligne bolesti</w:t>
      </w:r>
    </w:p>
    <w:p w14:paraId="6FD82D96" w14:textId="77777777" w:rsidR="00C86319" w:rsidRPr="002B09C8" w:rsidRDefault="00C86319" w:rsidP="00C74431">
      <w:pPr>
        <w:widowControl w:val="0"/>
        <w:jc w:val="both"/>
        <w:rPr>
          <w:i/>
          <w:sz w:val="22"/>
          <w:szCs w:val="22"/>
          <w:u w:val="single"/>
          <w:lang w:val="sr-Latn-ME"/>
        </w:rPr>
      </w:pPr>
    </w:p>
    <w:p w14:paraId="18D6C3DB" w14:textId="2AA364C2" w:rsidR="00FB74D3" w:rsidRPr="002B09C8" w:rsidRDefault="00FB74D3" w:rsidP="00C74431">
      <w:pPr>
        <w:widowControl w:val="0"/>
        <w:jc w:val="both"/>
        <w:rPr>
          <w:sz w:val="22"/>
          <w:szCs w:val="22"/>
          <w:lang w:val="sr-Latn-ME"/>
        </w:rPr>
      </w:pPr>
      <w:r w:rsidRPr="002B09C8">
        <w:rPr>
          <w:sz w:val="22"/>
          <w:szCs w:val="22"/>
          <w:lang w:val="sr-Latn-ME"/>
        </w:rPr>
        <w:t xml:space="preserve">Razlike u učestalosti ili prirodi malignih bolesti između </w:t>
      </w:r>
      <w:proofErr w:type="spellStart"/>
      <w:r w:rsidRPr="002B09C8">
        <w:rPr>
          <w:sz w:val="22"/>
          <w:szCs w:val="22"/>
          <w:lang w:val="sr-Latn-ME"/>
        </w:rPr>
        <w:t>natalizumabom</w:t>
      </w:r>
      <w:proofErr w:type="spellEnd"/>
      <w:r w:rsidRPr="002B09C8">
        <w:rPr>
          <w:sz w:val="22"/>
          <w:szCs w:val="22"/>
          <w:lang w:val="sr-Latn-ME"/>
        </w:rPr>
        <w:t xml:space="preserve"> i </w:t>
      </w:r>
      <w:proofErr w:type="spellStart"/>
      <w:r w:rsidRPr="002B09C8">
        <w:rPr>
          <w:sz w:val="22"/>
          <w:szCs w:val="22"/>
          <w:lang w:val="sr-Latn-ME"/>
        </w:rPr>
        <w:t>placebom</w:t>
      </w:r>
      <w:proofErr w:type="spellEnd"/>
      <w:r w:rsidRPr="002B09C8">
        <w:rPr>
          <w:sz w:val="22"/>
          <w:szCs w:val="22"/>
          <w:lang w:val="sr-Latn-ME"/>
        </w:rPr>
        <w:t xml:space="preserve"> liječenih pacijenata nijesu primjećene tokom 2 godine liječenja. Ipak, praćenje kroz duže periode liječenja se zahtijeva prije nego se bilo koji uticaj </w:t>
      </w:r>
      <w:proofErr w:type="spellStart"/>
      <w:r w:rsidRPr="002B09C8">
        <w:rPr>
          <w:sz w:val="22"/>
          <w:szCs w:val="22"/>
          <w:lang w:val="sr-Latn-ME"/>
        </w:rPr>
        <w:t>natalizumaba</w:t>
      </w:r>
      <w:proofErr w:type="spellEnd"/>
      <w:r w:rsidRPr="002B09C8">
        <w:rPr>
          <w:sz w:val="22"/>
          <w:szCs w:val="22"/>
          <w:lang w:val="sr-Latn-ME"/>
        </w:rPr>
        <w:t xml:space="preserve"> na maligne bolesti može isključiti </w:t>
      </w:r>
      <w:r w:rsidR="00E81AA1" w:rsidRPr="002B09C8">
        <w:rPr>
          <w:sz w:val="22"/>
          <w:szCs w:val="22"/>
          <w:lang w:val="sr-Latn-ME"/>
        </w:rPr>
        <w:t>(v</w:t>
      </w:r>
      <w:r w:rsidRPr="002B09C8">
        <w:rPr>
          <w:sz w:val="22"/>
          <w:szCs w:val="22"/>
          <w:lang w:val="sr-Latn-ME"/>
        </w:rPr>
        <w:t>idjeti dio 4.3</w:t>
      </w:r>
      <w:r w:rsidR="00E81AA1" w:rsidRPr="002B09C8">
        <w:rPr>
          <w:sz w:val="22"/>
          <w:szCs w:val="22"/>
          <w:lang w:val="sr-Latn-ME"/>
        </w:rPr>
        <w:t>)</w:t>
      </w:r>
      <w:r w:rsidRPr="002B09C8">
        <w:rPr>
          <w:sz w:val="22"/>
          <w:szCs w:val="22"/>
          <w:lang w:val="sr-Latn-ME"/>
        </w:rPr>
        <w:t>.</w:t>
      </w:r>
    </w:p>
    <w:p w14:paraId="02245C90" w14:textId="77777777" w:rsidR="00FB74D3" w:rsidRPr="002B09C8" w:rsidRDefault="00FB74D3" w:rsidP="00C74431">
      <w:pPr>
        <w:widowControl w:val="0"/>
        <w:jc w:val="both"/>
        <w:rPr>
          <w:i/>
          <w:sz w:val="22"/>
          <w:szCs w:val="22"/>
          <w:u w:val="single"/>
          <w:lang w:val="sr-Latn-ME"/>
        </w:rPr>
      </w:pPr>
    </w:p>
    <w:p w14:paraId="47FFB609" w14:textId="77777777" w:rsidR="00FB74D3" w:rsidRPr="002B09C8" w:rsidRDefault="00FB74D3" w:rsidP="00C74431">
      <w:pPr>
        <w:widowControl w:val="0"/>
        <w:jc w:val="both"/>
        <w:rPr>
          <w:i/>
          <w:sz w:val="22"/>
          <w:szCs w:val="22"/>
          <w:u w:val="single"/>
          <w:lang w:val="sr-Latn-ME"/>
        </w:rPr>
      </w:pPr>
      <w:r w:rsidRPr="002B09C8">
        <w:rPr>
          <w:i/>
          <w:sz w:val="22"/>
          <w:szCs w:val="22"/>
          <w:u w:val="single"/>
          <w:lang w:val="sr-Latn-ME"/>
        </w:rPr>
        <w:t>Uticaj na laboratorijske testove</w:t>
      </w:r>
    </w:p>
    <w:p w14:paraId="37F75A2E" w14:textId="77777777" w:rsidR="00FB74D3" w:rsidRPr="002B09C8" w:rsidRDefault="00FB74D3" w:rsidP="00C74431">
      <w:pPr>
        <w:widowControl w:val="0"/>
        <w:jc w:val="both"/>
        <w:rPr>
          <w:sz w:val="22"/>
          <w:szCs w:val="22"/>
          <w:u w:val="single"/>
          <w:lang w:val="sr-Latn-ME"/>
        </w:rPr>
      </w:pPr>
    </w:p>
    <w:p w14:paraId="274B5833" w14:textId="6B5C20C7" w:rsidR="00FB74D3" w:rsidRPr="002B09C8" w:rsidRDefault="00FB74D3" w:rsidP="00C74431">
      <w:pPr>
        <w:widowControl w:val="0"/>
        <w:jc w:val="both"/>
        <w:rPr>
          <w:sz w:val="22"/>
          <w:szCs w:val="22"/>
          <w:lang w:val="sr-Latn-ME"/>
        </w:rPr>
      </w:pPr>
      <w:r w:rsidRPr="002B09C8">
        <w:rPr>
          <w:sz w:val="22"/>
          <w:szCs w:val="22"/>
          <w:lang w:val="sr-Latn-ME"/>
        </w:rPr>
        <w:t xml:space="preserve">U 2-godišnjim kontrolisanim kliničkim ispitivanjima na pacijentima sa MS-om, liječenje </w:t>
      </w:r>
      <w:proofErr w:type="spellStart"/>
      <w:r w:rsidR="00E81AA1" w:rsidRPr="002B09C8">
        <w:rPr>
          <w:sz w:val="22"/>
          <w:szCs w:val="22"/>
          <w:lang w:val="sr-Latn-ME"/>
        </w:rPr>
        <w:t>natalizumabom</w:t>
      </w:r>
      <w:proofErr w:type="spellEnd"/>
      <w:r w:rsidRPr="002B09C8">
        <w:rPr>
          <w:sz w:val="22"/>
          <w:szCs w:val="22"/>
          <w:lang w:val="sr-Latn-ME"/>
        </w:rPr>
        <w:t xml:space="preserve"> bilo je povezano sa povećanjem broja </w:t>
      </w:r>
      <w:proofErr w:type="spellStart"/>
      <w:r w:rsidRPr="002B09C8">
        <w:rPr>
          <w:sz w:val="22"/>
          <w:szCs w:val="22"/>
          <w:lang w:val="sr-Latn-ME"/>
        </w:rPr>
        <w:t>limfocita</w:t>
      </w:r>
      <w:proofErr w:type="spellEnd"/>
      <w:r w:rsidRPr="002B09C8">
        <w:rPr>
          <w:sz w:val="22"/>
          <w:szCs w:val="22"/>
          <w:lang w:val="sr-Latn-ME"/>
        </w:rPr>
        <w:t xml:space="preserve">, </w:t>
      </w:r>
      <w:proofErr w:type="spellStart"/>
      <w:r w:rsidRPr="002B09C8">
        <w:rPr>
          <w:sz w:val="22"/>
          <w:szCs w:val="22"/>
          <w:lang w:val="sr-Latn-ME"/>
        </w:rPr>
        <w:t>monocita</w:t>
      </w:r>
      <w:proofErr w:type="spellEnd"/>
      <w:r w:rsidRPr="002B09C8">
        <w:rPr>
          <w:sz w:val="22"/>
          <w:szCs w:val="22"/>
          <w:lang w:val="sr-Latn-ME"/>
        </w:rPr>
        <w:t xml:space="preserve">, </w:t>
      </w:r>
      <w:proofErr w:type="spellStart"/>
      <w:r w:rsidRPr="002B09C8">
        <w:rPr>
          <w:sz w:val="22"/>
          <w:szCs w:val="22"/>
          <w:lang w:val="sr-Latn-ME"/>
        </w:rPr>
        <w:t>eozinofila</w:t>
      </w:r>
      <w:proofErr w:type="spellEnd"/>
      <w:r w:rsidRPr="002B09C8">
        <w:rPr>
          <w:sz w:val="22"/>
          <w:szCs w:val="22"/>
          <w:lang w:val="sr-Latn-ME"/>
        </w:rPr>
        <w:t xml:space="preserve">, </w:t>
      </w:r>
      <w:proofErr w:type="spellStart"/>
      <w:r w:rsidRPr="002B09C8">
        <w:rPr>
          <w:sz w:val="22"/>
          <w:szCs w:val="22"/>
          <w:lang w:val="sr-Latn-ME"/>
        </w:rPr>
        <w:t>bazofila</w:t>
      </w:r>
      <w:proofErr w:type="spellEnd"/>
      <w:r w:rsidRPr="002B09C8">
        <w:rPr>
          <w:sz w:val="22"/>
          <w:szCs w:val="22"/>
          <w:lang w:val="sr-Latn-ME"/>
        </w:rPr>
        <w:t xml:space="preserve"> i nezrelih crvenih krvnih ćelija - </w:t>
      </w:r>
      <w:proofErr w:type="spellStart"/>
      <w:r w:rsidRPr="002B09C8">
        <w:rPr>
          <w:sz w:val="22"/>
          <w:szCs w:val="22"/>
          <w:lang w:val="sr-Latn-ME"/>
        </w:rPr>
        <w:t>eritroblasta</w:t>
      </w:r>
      <w:proofErr w:type="spellEnd"/>
      <w:r w:rsidRPr="002B09C8">
        <w:rPr>
          <w:sz w:val="22"/>
          <w:szCs w:val="22"/>
          <w:lang w:val="sr-Latn-ME"/>
        </w:rPr>
        <w:t>. Povećanja</w:t>
      </w:r>
      <w:r w:rsidR="00E81AA1" w:rsidRPr="002B09C8">
        <w:rPr>
          <w:sz w:val="22"/>
          <w:szCs w:val="22"/>
          <w:lang w:val="sr-Latn-ME"/>
        </w:rPr>
        <w:t xml:space="preserve"> broja</w:t>
      </w:r>
      <w:r w:rsidRPr="002B09C8">
        <w:rPr>
          <w:sz w:val="22"/>
          <w:szCs w:val="22"/>
          <w:lang w:val="sr-Latn-ME"/>
        </w:rPr>
        <w:t xml:space="preserve"> </w:t>
      </w:r>
      <w:proofErr w:type="spellStart"/>
      <w:r w:rsidRPr="002B09C8">
        <w:rPr>
          <w:sz w:val="22"/>
          <w:szCs w:val="22"/>
          <w:lang w:val="sr-Latn-ME"/>
        </w:rPr>
        <w:t>neutrofila</w:t>
      </w:r>
      <w:proofErr w:type="spellEnd"/>
      <w:r w:rsidRPr="002B09C8">
        <w:rPr>
          <w:sz w:val="22"/>
          <w:szCs w:val="22"/>
          <w:lang w:val="sr-Latn-ME"/>
        </w:rPr>
        <w:t xml:space="preserve"> nijesu primijećena. Povećanja u broju </w:t>
      </w:r>
      <w:proofErr w:type="spellStart"/>
      <w:r w:rsidRPr="002B09C8">
        <w:rPr>
          <w:sz w:val="22"/>
          <w:szCs w:val="22"/>
          <w:lang w:val="sr-Latn-ME"/>
        </w:rPr>
        <w:t>limfocita</w:t>
      </w:r>
      <w:proofErr w:type="spellEnd"/>
      <w:r w:rsidRPr="002B09C8">
        <w:rPr>
          <w:sz w:val="22"/>
          <w:szCs w:val="22"/>
          <w:lang w:val="sr-Latn-ME"/>
        </w:rPr>
        <w:t xml:space="preserve">, </w:t>
      </w:r>
      <w:proofErr w:type="spellStart"/>
      <w:r w:rsidRPr="002B09C8">
        <w:rPr>
          <w:sz w:val="22"/>
          <w:szCs w:val="22"/>
          <w:lang w:val="sr-Latn-ME"/>
        </w:rPr>
        <w:t>monocita</w:t>
      </w:r>
      <w:proofErr w:type="spellEnd"/>
      <w:r w:rsidRPr="002B09C8">
        <w:rPr>
          <w:sz w:val="22"/>
          <w:szCs w:val="22"/>
          <w:lang w:val="sr-Latn-ME"/>
        </w:rPr>
        <w:t xml:space="preserve">, </w:t>
      </w:r>
      <w:proofErr w:type="spellStart"/>
      <w:r w:rsidRPr="002B09C8">
        <w:rPr>
          <w:sz w:val="22"/>
          <w:szCs w:val="22"/>
          <w:lang w:val="sr-Latn-ME"/>
        </w:rPr>
        <w:t>eozinofila</w:t>
      </w:r>
      <w:proofErr w:type="spellEnd"/>
      <w:r w:rsidRPr="002B09C8">
        <w:rPr>
          <w:sz w:val="22"/>
          <w:szCs w:val="22"/>
          <w:lang w:val="sr-Latn-ME"/>
        </w:rPr>
        <w:t xml:space="preserve"> i </w:t>
      </w:r>
      <w:proofErr w:type="spellStart"/>
      <w:r w:rsidRPr="002B09C8">
        <w:rPr>
          <w:sz w:val="22"/>
          <w:szCs w:val="22"/>
          <w:lang w:val="sr-Latn-ME"/>
        </w:rPr>
        <w:t>bazofila</w:t>
      </w:r>
      <w:proofErr w:type="spellEnd"/>
      <w:r w:rsidRPr="002B09C8">
        <w:rPr>
          <w:sz w:val="22"/>
          <w:szCs w:val="22"/>
          <w:lang w:val="sr-Latn-ME"/>
        </w:rPr>
        <w:t xml:space="preserve"> od osnovnog nivoa kretala su se u rasponu od 35 % do 140 % </w:t>
      </w:r>
      <w:r w:rsidRPr="002B09C8">
        <w:rPr>
          <w:sz w:val="22"/>
          <w:szCs w:val="22"/>
          <w:lang w:val="sr-Latn-ME"/>
        </w:rPr>
        <w:lastRenderedPageBreak/>
        <w:t>za pojedine vrste ćelija, ali je srednji broj ćelija ostao u normalnim okvirima</w:t>
      </w:r>
      <w:r w:rsidR="00E81AA1" w:rsidRPr="002B09C8">
        <w:rPr>
          <w:sz w:val="22"/>
          <w:szCs w:val="22"/>
          <w:lang w:val="sr-Latn-ME"/>
        </w:rPr>
        <w:t xml:space="preserve"> kod prim</w:t>
      </w:r>
      <w:r w:rsidR="00C3386D" w:rsidRPr="002B09C8">
        <w:rPr>
          <w:sz w:val="22"/>
          <w:szCs w:val="22"/>
          <w:lang w:val="sr-Latn-ME"/>
        </w:rPr>
        <w:t>j</w:t>
      </w:r>
      <w:r w:rsidR="00E81AA1" w:rsidRPr="002B09C8">
        <w:rPr>
          <w:sz w:val="22"/>
          <w:szCs w:val="22"/>
          <w:lang w:val="sr-Latn-ME"/>
        </w:rPr>
        <w:t xml:space="preserve">ene </w:t>
      </w:r>
      <w:proofErr w:type="spellStart"/>
      <w:r w:rsidR="00E81AA1" w:rsidRPr="002B09C8">
        <w:rPr>
          <w:sz w:val="22"/>
          <w:szCs w:val="22"/>
          <w:lang w:val="sr-Latn-ME"/>
        </w:rPr>
        <w:t>intravenske</w:t>
      </w:r>
      <w:proofErr w:type="spellEnd"/>
      <w:r w:rsidR="00E81AA1" w:rsidRPr="002B09C8">
        <w:rPr>
          <w:sz w:val="22"/>
          <w:szCs w:val="22"/>
          <w:lang w:val="sr-Latn-ME"/>
        </w:rPr>
        <w:t xml:space="preserve"> infuzije</w:t>
      </w:r>
      <w:r w:rsidRPr="002B09C8">
        <w:rPr>
          <w:sz w:val="22"/>
          <w:szCs w:val="22"/>
          <w:lang w:val="sr-Latn-ME"/>
        </w:rPr>
        <w:t xml:space="preserve">. Tokom liječenja </w:t>
      </w:r>
      <w:r w:rsidR="00E81AA1" w:rsidRPr="002B09C8">
        <w:rPr>
          <w:sz w:val="22"/>
          <w:szCs w:val="22"/>
          <w:lang w:val="sr-Latn-ME"/>
        </w:rPr>
        <w:t xml:space="preserve">IV oblikom ovog </w:t>
      </w:r>
      <w:r w:rsidRPr="002B09C8">
        <w:rPr>
          <w:sz w:val="22"/>
          <w:szCs w:val="22"/>
          <w:lang w:val="sr-Latn-ME"/>
        </w:rPr>
        <w:t>lijek</w:t>
      </w:r>
      <w:r w:rsidR="00E81AA1" w:rsidRPr="002B09C8">
        <w:rPr>
          <w:sz w:val="22"/>
          <w:szCs w:val="22"/>
          <w:lang w:val="sr-Latn-ME"/>
        </w:rPr>
        <w:t>a</w:t>
      </w:r>
      <w:r w:rsidRPr="002B09C8">
        <w:rPr>
          <w:sz w:val="22"/>
          <w:szCs w:val="22"/>
          <w:lang w:val="sr-Latn-ME"/>
        </w:rPr>
        <w:t xml:space="preserve"> primijećena su mala smanjenja hemoglobina (srednje smanjenje 0,6 g/dl), </w:t>
      </w:r>
      <w:proofErr w:type="spellStart"/>
      <w:r w:rsidRPr="002B09C8">
        <w:rPr>
          <w:sz w:val="22"/>
          <w:szCs w:val="22"/>
          <w:lang w:val="sr-Latn-ME"/>
        </w:rPr>
        <w:t>hematokrita</w:t>
      </w:r>
      <w:proofErr w:type="spellEnd"/>
      <w:r w:rsidRPr="002B09C8">
        <w:rPr>
          <w:sz w:val="22"/>
          <w:szCs w:val="22"/>
          <w:lang w:val="sr-Latn-ME"/>
        </w:rPr>
        <w:t xml:space="preserve"> (srednje smanjenje 2 %) i broja crvenih krvnih ćelija (srednje smanjenje 0,1 x 10</w:t>
      </w:r>
      <w:r w:rsidRPr="002B09C8">
        <w:rPr>
          <w:sz w:val="22"/>
          <w:szCs w:val="22"/>
          <w:vertAlign w:val="superscript"/>
          <w:lang w:val="sr-Latn-ME"/>
        </w:rPr>
        <w:t>6</w:t>
      </w:r>
      <w:r w:rsidRPr="002B09C8">
        <w:rPr>
          <w:sz w:val="22"/>
          <w:szCs w:val="22"/>
          <w:lang w:val="sr-Latn-ME"/>
        </w:rPr>
        <w:t>/l). Sve promjene u hematološkim parametrima vratile su se na vrijednosti prije liječenja, obično u roku od 16 sedmica nakon posl</w:t>
      </w:r>
      <w:r w:rsidR="00773D3F" w:rsidRPr="002B09C8">
        <w:rPr>
          <w:sz w:val="22"/>
          <w:szCs w:val="22"/>
          <w:lang w:val="sr-Latn-ME"/>
        </w:rPr>
        <w:t>j</w:t>
      </w:r>
      <w:r w:rsidRPr="002B09C8">
        <w:rPr>
          <w:sz w:val="22"/>
          <w:szCs w:val="22"/>
          <w:lang w:val="sr-Latn-ME"/>
        </w:rPr>
        <w:t xml:space="preserve">ednje doze lijeka i promjene nijesu bile povezane s kliničkim simptomima. U </w:t>
      </w:r>
      <w:proofErr w:type="spellStart"/>
      <w:r w:rsidRPr="002B09C8">
        <w:rPr>
          <w:sz w:val="22"/>
          <w:szCs w:val="22"/>
          <w:lang w:val="sr-Latn-ME"/>
        </w:rPr>
        <w:t>postmarketinškom</w:t>
      </w:r>
      <w:proofErr w:type="spellEnd"/>
      <w:r w:rsidRPr="002B09C8">
        <w:rPr>
          <w:sz w:val="22"/>
          <w:szCs w:val="22"/>
          <w:lang w:val="sr-Latn-ME"/>
        </w:rPr>
        <w:t xml:space="preserve"> iskustvu bile su takođe prijave </w:t>
      </w:r>
      <w:proofErr w:type="spellStart"/>
      <w:r w:rsidRPr="002B09C8">
        <w:rPr>
          <w:sz w:val="22"/>
          <w:szCs w:val="22"/>
          <w:lang w:val="sr-Latn-ME"/>
        </w:rPr>
        <w:t>eozinofilije</w:t>
      </w:r>
      <w:proofErr w:type="spellEnd"/>
      <w:r w:rsidRPr="002B09C8">
        <w:rPr>
          <w:sz w:val="22"/>
          <w:szCs w:val="22"/>
          <w:lang w:val="sr-Latn-ME"/>
        </w:rPr>
        <w:t xml:space="preserve"> (broj </w:t>
      </w:r>
      <w:proofErr w:type="spellStart"/>
      <w:r w:rsidRPr="002B09C8">
        <w:rPr>
          <w:sz w:val="22"/>
          <w:szCs w:val="22"/>
          <w:lang w:val="sr-Latn-ME"/>
        </w:rPr>
        <w:t>eozinofila</w:t>
      </w:r>
      <w:proofErr w:type="spellEnd"/>
      <w:r w:rsidRPr="002B09C8">
        <w:rPr>
          <w:sz w:val="22"/>
          <w:szCs w:val="22"/>
          <w:lang w:val="sr-Latn-ME"/>
        </w:rPr>
        <w:t xml:space="preserve"> &gt; 1500/mm</w:t>
      </w:r>
      <w:r w:rsidRPr="002B09C8">
        <w:rPr>
          <w:sz w:val="22"/>
          <w:szCs w:val="22"/>
          <w:vertAlign w:val="superscript"/>
          <w:lang w:val="sr-Latn-ME"/>
        </w:rPr>
        <w:t>3</w:t>
      </w:r>
      <w:r w:rsidRPr="002B09C8">
        <w:rPr>
          <w:sz w:val="22"/>
          <w:szCs w:val="22"/>
          <w:lang w:val="sr-Latn-ME"/>
        </w:rPr>
        <w:t xml:space="preserve">) bez kliničkih simptoma. U takvim slučajevima kada je terapija lijekom prekinuta, povišeni nivoi </w:t>
      </w:r>
      <w:proofErr w:type="spellStart"/>
      <w:r w:rsidRPr="002B09C8">
        <w:rPr>
          <w:sz w:val="22"/>
          <w:szCs w:val="22"/>
          <w:lang w:val="sr-Latn-ME"/>
        </w:rPr>
        <w:t>eozinofila</w:t>
      </w:r>
      <w:proofErr w:type="spellEnd"/>
      <w:r w:rsidRPr="002B09C8">
        <w:rPr>
          <w:sz w:val="22"/>
          <w:szCs w:val="22"/>
          <w:lang w:val="sr-Latn-ME"/>
        </w:rPr>
        <w:t xml:space="preserve"> bili su normalizovani.</w:t>
      </w:r>
    </w:p>
    <w:p w14:paraId="779817BA" w14:textId="77777777" w:rsidR="007567B4" w:rsidRPr="002B09C8" w:rsidRDefault="007567B4" w:rsidP="00C74431">
      <w:pPr>
        <w:widowControl w:val="0"/>
        <w:jc w:val="both"/>
        <w:rPr>
          <w:sz w:val="22"/>
          <w:szCs w:val="22"/>
          <w:lang w:val="sr-Latn-ME"/>
        </w:rPr>
      </w:pPr>
    </w:p>
    <w:p w14:paraId="4F758752" w14:textId="77777777" w:rsidR="007567B4" w:rsidRPr="002B09C8" w:rsidRDefault="007567B4" w:rsidP="00C74431">
      <w:pPr>
        <w:widowControl w:val="0"/>
        <w:jc w:val="both"/>
        <w:rPr>
          <w:i/>
          <w:iCs/>
          <w:sz w:val="22"/>
          <w:szCs w:val="22"/>
          <w:lang w:val="sr-Latn-ME"/>
        </w:rPr>
      </w:pPr>
      <w:proofErr w:type="spellStart"/>
      <w:r w:rsidRPr="002B09C8">
        <w:rPr>
          <w:i/>
          <w:iCs/>
          <w:sz w:val="22"/>
          <w:szCs w:val="22"/>
          <w:lang w:val="sr-Latn-ME"/>
        </w:rPr>
        <w:t>Trombocitopenija</w:t>
      </w:r>
      <w:proofErr w:type="spellEnd"/>
      <w:r w:rsidRPr="002B09C8">
        <w:rPr>
          <w:i/>
          <w:iCs/>
          <w:sz w:val="22"/>
          <w:szCs w:val="22"/>
          <w:lang w:val="sr-Latn-ME"/>
        </w:rPr>
        <w:t xml:space="preserve"> </w:t>
      </w:r>
    </w:p>
    <w:p w14:paraId="620A9E47" w14:textId="77777777" w:rsidR="007567B4" w:rsidRPr="002B09C8" w:rsidRDefault="007567B4" w:rsidP="00C74431">
      <w:pPr>
        <w:widowControl w:val="0"/>
        <w:jc w:val="both"/>
        <w:rPr>
          <w:sz w:val="22"/>
          <w:szCs w:val="22"/>
          <w:lang w:val="sr-Latn-ME"/>
        </w:rPr>
      </w:pPr>
    </w:p>
    <w:p w14:paraId="356A45FB" w14:textId="6AD5391E" w:rsidR="007567B4" w:rsidRPr="002B09C8" w:rsidRDefault="007567B4" w:rsidP="00C74431">
      <w:pPr>
        <w:widowControl w:val="0"/>
        <w:jc w:val="both"/>
        <w:rPr>
          <w:sz w:val="22"/>
          <w:szCs w:val="22"/>
          <w:lang w:val="sr-Latn-ME"/>
        </w:rPr>
      </w:pPr>
      <w:r w:rsidRPr="002B09C8">
        <w:rPr>
          <w:sz w:val="22"/>
          <w:szCs w:val="22"/>
          <w:lang w:val="sr-Latn-ME"/>
        </w:rPr>
        <w:t xml:space="preserve">U </w:t>
      </w:r>
      <w:proofErr w:type="spellStart"/>
      <w:r w:rsidRPr="002B09C8">
        <w:rPr>
          <w:sz w:val="22"/>
          <w:szCs w:val="22"/>
          <w:lang w:val="sr-Latn-ME"/>
        </w:rPr>
        <w:t>postmarketinškom</w:t>
      </w:r>
      <w:proofErr w:type="spellEnd"/>
      <w:r w:rsidRPr="002B09C8">
        <w:rPr>
          <w:sz w:val="22"/>
          <w:szCs w:val="22"/>
          <w:lang w:val="sr-Latn-ME"/>
        </w:rPr>
        <w:t xml:space="preserve"> praćenju, </w:t>
      </w:r>
      <w:proofErr w:type="spellStart"/>
      <w:r w:rsidRPr="002B09C8">
        <w:rPr>
          <w:sz w:val="22"/>
          <w:szCs w:val="22"/>
          <w:lang w:val="sr-Latn-ME"/>
        </w:rPr>
        <w:t>trombocitopenija</w:t>
      </w:r>
      <w:proofErr w:type="spellEnd"/>
      <w:r w:rsidRPr="002B09C8">
        <w:rPr>
          <w:sz w:val="22"/>
          <w:szCs w:val="22"/>
          <w:lang w:val="sr-Latn-ME"/>
        </w:rPr>
        <w:t xml:space="preserve"> i </w:t>
      </w:r>
      <w:proofErr w:type="spellStart"/>
      <w:r w:rsidRPr="002B09C8">
        <w:rPr>
          <w:sz w:val="22"/>
          <w:szCs w:val="22"/>
          <w:lang w:val="sr-Latn-ME"/>
        </w:rPr>
        <w:t>imunska</w:t>
      </w:r>
      <w:proofErr w:type="spellEnd"/>
      <w:r w:rsidRPr="002B09C8">
        <w:rPr>
          <w:sz w:val="22"/>
          <w:szCs w:val="22"/>
          <w:lang w:val="sr-Latn-ME"/>
        </w:rPr>
        <w:t xml:space="preserve"> </w:t>
      </w:r>
      <w:proofErr w:type="spellStart"/>
      <w:r w:rsidRPr="002B09C8">
        <w:rPr>
          <w:sz w:val="22"/>
          <w:szCs w:val="22"/>
          <w:lang w:val="sr-Latn-ME"/>
        </w:rPr>
        <w:t>trombocitopenijska</w:t>
      </w:r>
      <w:proofErr w:type="spellEnd"/>
      <w:r w:rsidRPr="002B09C8">
        <w:rPr>
          <w:sz w:val="22"/>
          <w:szCs w:val="22"/>
          <w:lang w:val="sr-Latn-ME"/>
        </w:rPr>
        <w:t xml:space="preserve"> purpura (ITP) su prijavljene sa povremenom učestalošću.</w:t>
      </w:r>
    </w:p>
    <w:p w14:paraId="10836CEE" w14:textId="77777777" w:rsidR="00FB74D3" w:rsidRPr="002B09C8" w:rsidRDefault="00FB74D3" w:rsidP="00C74431">
      <w:pPr>
        <w:widowControl w:val="0"/>
        <w:tabs>
          <w:tab w:val="left" w:pos="567"/>
        </w:tabs>
        <w:autoSpaceDE w:val="0"/>
        <w:autoSpaceDN w:val="0"/>
        <w:adjustRightInd w:val="0"/>
        <w:jc w:val="both"/>
        <w:rPr>
          <w:snapToGrid w:val="0"/>
          <w:sz w:val="22"/>
          <w:szCs w:val="22"/>
          <w:u w:val="single"/>
          <w:lang w:val="sr-Latn-ME" w:eastAsia="hr-HR"/>
        </w:rPr>
      </w:pPr>
    </w:p>
    <w:p w14:paraId="1CF6961E" w14:textId="77777777" w:rsidR="00FB74D3" w:rsidRPr="002B09C8" w:rsidRDefault="00FB74D3" w:rsidP="00C74431">
      <w:pPr>
        <w:widowControl w:val="0"/>
        <w:tabs>
          <w:tab w:val="left" w:pos="567"/>
        </w:tabs>
        <w:autoSpaceDE w:val="0"/>
        <w:autoSpaceDN w:val="0"/>
        <w:adjustRightInd w:val="0"/>
        <w:jc w:val="both"/>
        <w:rPr>
          <w:snapToGrid w:val="0"/>
          <w:sz w:val="22"/>
          <w:szCs w:val="22"/>
          <w:u w:val="single"/>
          <w:lang w:val="sr-Latn-ME" w:eastAsia="hr-HR"/>
        </w:rPr>
      </w:pPr>
      <w:r w:rsidRPr="002B09C8">
        <w:rPr>
          <w:snapToGrid w:val="0"/>
          <w:sz w:val="22"/>
          <w:szCs w:val="22"/>
          <w:u w:val="single"/>
          <w:lang w:val="sr-Latn-ME" w:eastAsia="hr-HR"/>
        </w:rPr>
        <w:t>Pedijatrijska populacija</w:t>
      </w:r>
    </w:p>
    <w:p w14:paraId="3AE9C475" w14:textId="77777777" w:rsidR="00FB74D3" w:rsidRPr="002B09C8" w:rsidRDefault="00FB74D3" w:rsidP="00C74431">
      <w:pPr>
        <w:widowControl w:val="0"/>
        <w:tabs>
          <w:tab w:val="left" w:pos="567"/>
        </w:tabs>
        <w:autoSpaceDE w:val="0"/>
        <w:autoSpaceDN w:val="0"/>
        <w:adjustRightInd w:val="0"/>
        <w:jc w:val="both"/>
        <w:rPr>
          <w:b/>
          <w:snapToGrid w:val="0"/>
          <w:sz w:val="22"/>
          <w:szCs w:val="22"/>
          <w:lang w:val="sr-Latn-ME" w:eastAsia="hr-HR"/>
        </w:rPr>
      </w:pPr>
    </w:p>
    <w:p w14:paraId="352281E3" w14:textId="135D8BA6" w:rsidR="00FB74D3" w:rsidRPr="002B09C8" w:rsidRDefault="00FB74D3" w:rsidP="00C74431">
      <w:pPr>
        <w:widowControl w:val="0"/>
        <w:tabs>
          <w:tab w:val="left" w:pos="540"/>
          <w:tab w:val="left" w:pos="569"/>
        </w:tabs>
        <w:jc w:val="both"/>
        <w:rPr>
          <w:b/>
          <w:bCs/>
          <w:sz w:val="22"/>
          <w:szCs w:val="22"/>
          <w:lang w:val="sr-Latn-ME"/>
        </w:rPr>
      </w:pPr>
      <w:r w:rsidRPr="002B09C8">
        <w:rPr>
          <w:snapToGrid w:val="0"/>
          <w:sz w:val="22"/>
          <w:szCs w:val="22"/>
          <w:lang w:val="sr-Latn-ME" w:eastAsia="hr-HR"/>
        </w:rPr>
        <w:t>Ozbiljna neželjena dejstva procijenjena su u 621 pedijatrijskih pacijenata s multiplom sklerozom uključenog u meta</w:t>
      </w:r>
      <w:r w:rsidR="00773D3F" w:rsidRPr="002B09C8">
        <w:rPr>
          <w:snapToGrid w:val="0"/>
          <w:sz w:val="22"/>
          <w:szCs w:val="22"/>
          <w:lang w:val="sr-Latn-ME" w:eastAsia="hr-HR"/>
        </w:rPr>
        <w:t>-</w:t>
      </w:r>
      <w:r w:rsidRPr="002B09C8">
        <w:rPr>
          <w:snapToGrid w:val="0"/>
          <w:sz w:val="22"/>
          <w:szCs w:val="22"/>
          <w:lang w:val="sr-Latn-ME" w:eastAsia="hr-HR"/>
        </w:rPr>
        <w:t>analizu (vidjeti takođe dio 5.1). Uzimajući u obzir ograničenja tih podataka, u ovoj populaciji pacijenata nijesu ustanovljeni novi sigurnosni signali. U meta</w:t>
      </w:r>
      <w:r w:rsidR="00773D3F" w:rsidRPr="002B09C8">
        <w:rPr>
          <w:snapToGrid w:val="0"/>
          <w:sz w:val="22"/>
          <w:szCs w:val="22"/>
          <w:lang w:val="sr-Latn-ME" w:eastAsia="hr-HR"/>
        </w:rPr>
        <w:t>-</w:t>
      </w:r>
      <w:r w:rsidRPr="002B09C8">
        <w:rPr>
          <w:snapToGrid w:val="0"/>
          <w:sz w:val="22"/>
          <w:szCs w:val="22"/>
          <w:lang w:val="sr-Latn-ME" w:eastAsia="hr-HR"/>
        </w:rPr>
        <w:t>analizi je zabilježen 1 slučaj herpesnog meningitisa. Meta</w:t>
      </w:r>
      <w:r w:rsidR="00773D3F" w:rsidRPr="002B09C8">
        <w:rPr>
          <w:snapToGrid w:val="0"/>
          <w:sz w:val="22"/>
          <w:szCs w:val="22"/>
          <w:lang w:val="sr-Latn-ME" w:eastAsia="hr-HR"/>
        </w:rPr>
        <w:t>-</w:t>
      </w:r>
      <w:r w:rsidRPr="002B09C8">
        <w:rPr>
          <w:snapToGrid w:val="0"/>
          <w:sz w:val="22"/>
          <w:szCs w:val="22"/>
          <w:lang w:val="sr-Latn-ME" w:eastAsia="hr-HR"/>
        </w:rPr>
        <w:t xml:space="preserve">analiza nije pokazala slučajeve PML-a, međutim, tokom praćenja nakon stavljanja lijeka u promet, zabilježeni su slučajevi PML-a kod pedijatrijskih pacijenata liječenih </w:t>
      </w:r>
      <w:proofErr w:type="spellStart"/>
      <w:r w:rsidRPr="002B09C8">
        <w:rPr>
          <w:snapToGrid w:val="0"/>
          <w:sz w:val="22"/>
          <w:szCs w:val="22"/>
          <w:lang w:val="sr-Latn-ME" w:eastAsia="hr-HR"/>
        </w:rPr>
        <w:t>natalizumabom</w:t>
      </w:r>
      <w:proofErr w:type="spellEnd"/>
      <w:r w:rsidRPr="002B09C8">
        <w:rPr>
          <w:snapToGrid w:val="0"/>
          <w:sz w:val="22"/>
          <w:szCs w:val="22"/>
          <w:lang w:val="sr-Latn-ME" w:eastAsia="hr-HR"/>
        </w:rPr>
        <w:t>.</w:t>
      </w:r>
    </w:p>
    <w:p w14:paraId="07DDC2F3" w14:textId="77777777" w:rsidR="00FB74D3" w:rsidRPr="002B09C8" w:rsidRDefault="00FB74D3" w:rsidP="00C74431">
      <w:pPr>
        <w:widowControl w:val="0"/>
        <w:tabs>
          <w:tab w:val="left" w:pos="540"/>
          <w:tab w:val="left" w:pos="569"/>
        </w:tabs>
        <w:jc w:val="both"/>
        <w:rPr>
          <w:b/>
          <w:bCs/>
          <w:sz w:val="22"/>
          <w:szCs w:val="22"/>
          <w:lang w:val="sr-Latn-ME"/>
        </w:rPr>
      </w:pPr>
    </w:p>
    <w:p w14:paraId="618CA3D1" w14:textId="77777777" w:rsidR="005A23D2" w:rsidRPr="002B09C8" w:rsidRDefault="005A23D2" w:rsidP="00C74431">
      <w:pPr>
        <w:widowControl w:val="0"/>
        <w:jc w:val="both"/>
        <w:rPr>
          <w:rFonts w:eastAsia="Calibri"/>
          <w:sz w:val="22"/>
          <w:szCs w:val="22"/>
          <w:u w:val="single"/>
          <w:lang w:val="sr-Latn-ME"/>
        </w:rPr>
      </w:pPr>
      <w:r w:rsidRPr="002B09C8">
        <w:rPr>
          <w:rFonts w:eastAsia="Calibri"/>
          <w:sz w:val="22"/>
          <w:szCs w:val="22"/>
          <w:u w:val="single"/>
          <w:lang w:val="sr-Latn-ME"/>
        </w:rPr>
        <w:t>Prijavljivanje sumnji na neželjena dejstva</w:t>
      </w:r>
    </w:p>
    <w:p w14:paraId="6B7563F6" w14:textId="3686711E" w:rsidR="005A23D2" w:rsidRPr="002B09C8" w:rsidRDefault="005A23D2" w:rsidP="00C74431">
      <w:pPr>
        <w:widowControl w:val="0"/>
        <w:jc w:val="both"/>
        <w:rPr>
          <w:rFonts w:eastAsia="Calibri"/>
          <w:sz w:val="22"/>
          <w:szCs w:val="22"/>
          <w:lang w:val="sr-Latn-ME"/>
        </w:rPr>
      </w:pPr>
      <w:r w:rsidRPr="002B09C8">
        <w:rPr>
          <w:rFonts w:eastAsia="Calibri"/>
          <w:sz w:val="22"/>
          <w:szCs w:val="22"/>
          <w:lang w:val="sr-Latn-ME"/>
        </w:rPr>
        <w:t>Prijavljivanje neželjenih dejstava nakon dobijanja dozvole je od velikog značaja jer obezbjeđuje kont</w:t>
      </w:r>
      <w:r w:rsidR="00EA5765" w:rsidRPr="002B09C8">
        <w:rPr>
          <w:rFonts w:eastAsia="Calibri"/>
          <w:sz w:val="22"/>
          <w:szCs w:val="22"/>
          <w:lang w:val="sr-Latn-ME"/>
        </w:rPr>
        <w:t>inuirano praćenje odnosa korist</w:t>
      </w:r>
      <w:r w:rsidRPr="002B09C8">
        <w:rPr>
          <w:rFonts w:eastAsia="Calibri"/>
          <w:sz w:val="22"/>
          <w:szCs w:val="22"/>
          <w:lang w:val="sr-Latn-ME"/>
        </w:rPr>
        <w:t>/rizik primjene lijeka. Zdravstveni radnici treba da prijave svaku sumnju na neželjeno</w:t>
      </w:r>
      <w:r w:rsidR="009B062A" w:rsidRPr="002B09C8">
        <w:rPr>
          <w:rFonts w:eastAsia="Calibri"/>
          <w:sz w:val="22"/>
          <w:szCs w:val="22"/>
          <w:lang w:val="sr-Latn-ME"/>
        </w:rPr>
        <w:t xml:space="preserve"> </w:t>
      </w:r>
      <w:r w:rsidRPr="002B09C8">
        <w:rPr>
          <w:rFonts w:eastAsia="Calibri"/>
          <w:sz w:val="22"/>
          <w:szCs w:val="22"/>
          <w:lang w:val="sr-Latn-ME"/>
        </w:rPr>
        <w:t xml:space="preserve">dejstvo ovog lijeka </w:t>
      </w:r>
      <w:r w:rsidR="004E70AD" w:rsidRPr="002B09C8">
        <w:rPr>
          <w:rFonts w:eastAsia="Calibri"/>
          <w:sz w:val="22"/>
          <w:szCs w:val="22"/>
          <w:lang w:val="sr-Latn-ME"/>
        </w:rPr>
        <w:t>Institutu</w:t>
      </w:r>
      <w:r w:rsidRPr="002B09C8">
        <w:rPr>
          <w:rFonts w:eastAsia="Calibri"/>
          <w:sz w:val="22"/>
          <w:szCs w:val="22"/>
          <w:lang w:val="sr-Latn-ME"/>
        </w:rPr>
        <w:t xml:space="preserve"> za ljekove i medicinska sredstva</w:t>
      </w:r>
      <w:r w:rsidR="004E70AD" w:rsidRPr="002B09C8">
        <w:rPr>
          <w:rFonts w:eastAsia="Calibri"/>
          <w:sz w:val="22"/>
          <w:szCs w:val="22"/>
          <w:lang w:val="sr-Latn-ME"/>
        </w:rPr>
        <w:t xml:space="preserve"> </w:t>
      </w:r>
      <w:r w:rsidRPr="002B09C8">
        <w:rPr>
          <w:rFonts w:eastAsia="Calibri"/>
          <w:sz w:val="22"/>
          <w:szCs w:val="22"/>
          <w:lang w:val="sr-Latn-ME"/>
        </w:rPr>
        <w:t>(</w:t>
      </w:r>
      <w:r w:rsidR="004E70AD" w:rsidRPr="002B09C8">
        <w:rPr>
          <w:rFonts w:eastAsia="Calibri"/>
          <w:sz w:val="22"/>
          <w:szCs w:val="22"/>
          <w:lang w:val="sr-Latn-ME"/>
        </w:rPr>
        <w:t>CInMED</w:t>
      </w:r>
      <w:r w:rsidRPr="002B09C8">
        <w:rPr>
          <w:rFonts w:eastAsia="Calibri"/>
          <w:sz w:val="22"/>
          <w:szCs w:val="22"/>
          <w:lang w:val="sr-Latn-ME"/>
        </w:rPr>
        <w:t>):</w:t>
      </w:r>
    </w:p>
    <w:p w14:paraId="5EAE68F5" w14:textId="77777777" w:rsidR="00773D3F" w:rsidRPr="002B09C8" w:rsidRDefault="00773D3F" w:rsidP="00C74431">
      <w:pPr>
        <w:widowControl w:val="0"/>
        <w:jc w:val="both"/>
        <w:rPr>
          <w:rFonts w:eastAsia="Calibri"/>
          <w:sz w:val="22"/>
          <w:szCs w:val="22"/>
          <w:lang w:val="sr-Latn-ME"/>
        </w:rPr>
      </w:pPr>
    </w:p>
    <w:p w14:paraId="1188C8CF" w14:textId="77777777" w:rsidR="005A23D2" w:rsidRPr="002B09C8" w:rsidRDefault="004E70AD" w:rsidP="00C74431">
      <w:pPr>
        <w:pStyle w:val="NoSpacing"/>
        <w:widowControl w:val="0"/>
        <w:jc w:val="both"/>
        <w:rPr>
          <w:rFonts w:eastAsia="Calibri"/>
          <w:sz w:val="22"/>
          <w:szCs w:val="22"/>
          <w:lang w:val="sr-Latn-ME"/>
        </w:rPr>
      </w:pPr>
      <w:r w:rsidRPr="002B09C8">
        <w:rPr>
          <w:rFonts w:eastAsia="Calibri"/>
          <w:sz w:val="22"/>
          <w:szCs w:val="22"/>
          <w:lang w:val="sr-Latn-ME"/>
        </w:rPr>
        <w:t xml:space="preserve">Institut </w:t>
      </w:r>
      <w:r w:rsidR="005A23D2" w:rsidRPr="002B09C8">
        <w:rPr>
          <w:rFonts w:eastAsia="Calibri"/>
          <w:sz w:val="22"/>
          <w:szCs w:val="22"/>
          <w:lang w:val="sr-Latn-ME"/>
        </w:rPr>
        <w:t xml:space="preserve">za ljekove i medicinska sredstva </w:t>
      </w:r>
    </w:p>
    <w:p w14:paraId="478C6B2A" w14:textId="77777777" w:rsidR="005A23D2" w:rsidRPr="002B09C8" w:rsidRDefault="005A23D2" w:rsidP="00C74431">
      <w:pPr>
        <w:pStyle w:val="NoSpacing"/>
        <w:widowControl w:val="0"/>
        <w:jc w:val="both"/>
        <w:rPr>
          <w:rFonts w:eastAsia="Calibri"/>
          <w:sz w:val="22"/>
          <w:szCs w:val="22"/>
          <w:lang w:val="sr-Latn-ME"/>
        </w:rPr>
      </w:pPr>
      <w:r w:rsidRPr="002B09C8">
        <w:rPr>
          <w:rFonts w:eastAsia="Calibri"/>
          <w:sz w:val="22"/>
          <w:szCs w:val="22"/>
          <w:lang w:val="sr-Latn-ME"/>
        </w:rPr>
        <w:t xml:space="preserve">Odjeljenje za </w:t>
      </w:r>
      <w:proofErr w:type="spellStart"/>
      <w:r w:rsidRPr="002B09C8">
        <w:rPr>
          <w:rFonts w:eastAsia="Calibri"/>
          <w:sz w:val="22"/>
          <w:szCs w:val="22"/>
          <w:lang w:val="sr-Latn-ME"/>
        </w:rPr>
        <w:t>farmakovigilancu</w:t>
      </w:r>
      <w:proofErr w:type="spellEnd"/>
    </w:p>
    <w:p w14:paraId="70F80C69" w14:textId="77777777" w:rsidR="00EA5765" w:rsidRPr="002B09C8" w:rsidRDefault="005A23D2" w:rsidP="00C74431">
      <w:pPr>
        <w:pStyle w:val="NoSpacing"/>
        <w:widowControl w:val="0"/>
        <w:jc w:val="both"/>
        <w:rPr>
          <w:rFonts w:eastAsia="Calibri"/>
          <w:sz w:val="22"/>
          <w:szCs w:val="22"/>
          <w:lang w:val="sr-Latn-ME"/>
        </w:rPr>
      </w:pPr>
      <w:r w:rsidRPr="002B09C8">
        <w:rPr>
          <w:rFonts w:eastAsia="Calibri"/>
          <w:sz w:val="22"/>
          <w:szCs w:val="22"/>
          <w:lang w:val="sr-Latn-ME"/>
        </w:rPr>
        <w:t>Bulevar Ivana Crnojevića 64a, 81000 Podgorica</w:t>
      </w:r>
    </w:p>
    <w:p w14:paraId="77011665" w14:textId="77777777" w:rsidR="00EA5765" w:rsidRPr="002B09C8" w:rsidRDefault="00EA5765" w:rsidP="00C74431">
      <w:pPr>
        <w:pStyle w:val="NoSpacing"/>
        <w:widowControl w:val="0"/>
        <w:jc w:val="both"/>
        <w:rPr>
          <w:rFonts w:eastAsia="Calibri"/>
          <w:sz w:val="22"/>
          <w:szCs w:val="22"/>
          <w:lang w:val="sr-Latn-ME"/>
        </w:rPr>
      </w:pPr>
    </w:p>
    <w:p w14:paraId="7FC52370" w14:textId="77777777" w:rsidR="005A23D2" w:rsidRPr="002B09C8" w:rsidRDefault="005A23D2" w:rsidP="00C74431">
      <w:pPr>
        <w:pStyle w:val="NoSpacing"/>
        <w:widowControl w:val="0"/>
        <w:jc w:val="both"/>
        <w:rPr>
          <w:rFonts w:eastAsia="Calibri"/>
          <w:sz w:val="22"/>
          <w:szCs w:val="22"/>
          <w:lang w:val="sr-Latn-ME"/>
        </w:rPr>
      </w:pPr>
      <w:r w:rsidRPr="002B09C8">
        <w:rPr>
          <w:rFonts w:eastAsia="Calibri"/>
          <w:sz w:val="22"/>
          <w:szCs w:val="22"/>
          <w:lang w:val="sr-Latn-ME"/>
        </w:rPr>
        <w:t>tel: +382 (0) 20 310 280</w:t>
      </w:r>
    </w:p>
    <w:p w14:paraId="48ED7E8A" w14:textId="77777777" w:rsidR="00EA5765" w:rsidRPr="002B09C8" w:rsidRDefault="005A23D2" w:rsidP="00C74431">
      <w:pPr>
        <w:pStyle w:val="NoSpacing"/>
        <w:widowControl w:val="0"/>
        <w:jc w:val="both"/>
        <w:rPr>
          <w:rFonts w:eastAsia="Calibri"/>
          <w:sz w:val="22"/>
          <w:szCs w:val="22"/>
          <w:lang w:val="sr-Latn-ME"/>
        </w:rPr>
      </w:pPr>
      <w:proofErr w:type="spellStart"/>
      <w:r w:rsidRPr="002B09C8">
        <w:rPr>
          <w:rFonts w:eastAsia="Calibri"/>
          <w:sz w:val="22"/>
          <w:szCs w:val="22"/>
          <w:lang w:val="sr-Latn-ME"/>
        </w:rPr>
        <w:t>fax</w:t>
      </w:r>
      <w:proofErr w:type="spellEnd"/>
      <w:r w:rsidRPr="002B09C8">
        <w:rPr>
          <w:rFonts w:eastAsia="Calibri"/>
          <w:sz w:val="22"/>
          <w:szCs w:val="22"/>
          <w:lang w:val="sr-Latn-ME"/>
        </w:rPr>
        <w:t>:</w:t>
      </w:r>
      <w:r w:rsidR="00EA5765" w:rsidRPr="002B09C8">
        <w:rPr>
          <w:rFonts w:eastAsia="Calibri"/>
          <w:sz w:val="22"/>
          <w:szCs w:val="22"/>
          <w:lang w:val="sr-Latn-ME"/>
        </w:rPr>
        <w:t xml:space="preserve"> </w:t>
      </w:r>
      <w:r w:rsidRPr="002B09C8">
        <w:rPr>
          <w:rFonts w:eastAsia="Calibri"/>
          <w:sz w:val="22"/>
          <w:szCs w:val="22"/>
          <w:lang w:val="sr-Latn-ME"/>
        </w:rPr>
        <w:t>+382 (0) 20 310 581</w:t>
      </w:r>
    </w:p>
    <w:p w14:paraId="5A1C61E7" w14:textId="77777777" w:rsidR="005A23D2" w:rsidRPr="002B09C8" w:rsidRDefault="002B09C8" w:rsidP="00C74431">
      <w:pPr>
        <w:pStyle w:val="NoSpacing"/>
        <w:widowControl w:val="0"/>
        <w:jc w:val="both"/>
        <w:rPr>
          <w:rFonts w:eastAsia="Calibri"/>
          <w:sz w:val="22"/>
          <w:szCs w:val="22"/>
          <w:lang w:val="sr-Latn-ME"/>
        </w:rPr>
      </w:pPr>
      <w:hyperlink r:id="rId11" w:history="1">
        <w:r w:rsidR="004E70AD" w:rsidRPr="002B09C8">
          <w:rPr>
            <w:rStyle w:val="Hyperlink"/>
            <w:rFonts w:eastAsia="Calibri"/>
            <w:sz w:val="22"/>
            <w:szCs w:val="22"/>
            <w:lang w:val="sr-Latn-ME"/>
          </w:rPr>
          <w:t>www.cinmed.me</w:t>
        </w:r>
      </w:hyperlink>
    </w:p>
    <w:p w14:paraId="0DE4B8BB" w14:textId="77777777" w:rsidR="00EA5765" w:rsidRPr="002B09C8" w:rsidRDefault="002B09C8" w:rsidP="00C74431">
      <w:pPr>
        <w:pStyle w:val="NoSpacing"/>
        <w:widowControl w:val="0"/>
        <w:jc w:val="both"/>
        <w:rPr>
          <w:rFonts w:eastAsia="Calibri"/>
          <w:color w:val="0000FF"/>
          <w:sz w:val="22"/>
          <w:szCs w:val="22"/>
          <w:u w:val="single"/>
          <w:lang w:val="sr-Latn-ME"/>
        </w:rPr>
      </w:pPr>
      <w:hyperlink r:id="rId12" w:history="1">
        <w:r w:rsidR="004E70AD" w:rsidRPr="002B09C8">
          <w:rPr>
            <w:rStyle w:val="Hyperlink"/>
            <w:rFonts w:eastAsia="Calibri"/>
            <w:sz w:val="22"/>
            <w:szCs w:val="22"/>
            <w:lang w:val="sr-Latn-ME"/>
          </w:rPr>
          <w:t>nezeljenadejstva@cinmed.me</w:t>
        </w:r>
      </w:hyperlink>
    </w:p>
    <w:p w14:paraId="1A8FA14C" w14:textId="77777777" w:rsidR="005A23D2" w:rsidRPr="002B09C8" w:rsidRDefault="005A23D2" w:rsidP="00C74431">
      <w:pPr>
        <w:pStyle w:val="NoSpacing"/>
        <w:widowControl w:val="0"/>
        <w:jc w:val="both"/>
        <w:rPr>
          <w:rFonts w:eastAsia="Calibri"/>
          <w:sz w:val="22"/>
          <w:szCs w:val="22"/>
          <w:lang w:val="sr-Latn-ME"/>
        </w:rPr>
      </w:pPr>
      <w:r w:rsidRPr="002B09C8">
        <w:rPr>
          <w:rFonts w:eastAsia="Calibri"/>
          <w:sz w:val="22"/>
          <w:szCs w:val="22"/>
          <w:lang w:val="sr-Latn-ME"/>
        </w:rPr>
        <w:t>putem IS zdravstvene zaštite</w:t>
      </w:r>
    </w:p>
    <w:p w14:paraId="1386E8BF" w14:textId="77777777" w:rsidR="00E105EA" w:rsidRPr="002B09C8" w:rsidRDefault="00E105EA" w:rsidP="00C74431">
      <w:pPr>
        <w:pStyle w:val="NoSpacing"/>
        <w:widowControl w:val="0"/>
        <w:jc w:val="both"/>
        <w:rPr>
          <w:rFonts w:eastAsia="Calibri"/>
          <w:sz w:val="22"/>
          <w:szCs w:val="22"/>
          <w:lang w:val="sr-Latn-ME"/>
        </w:rPr>
      </w:pPr>
      <w:r w:rsidRPr="002B09C8">
        <w:rPr>
          <w:rFonts w:eastAsia="Calibri"/>
          <w:sz w:val="22"/>
          <w:szCs w:val="22"/>
          <w:lang w:val="sr-Latn-ME"/>
        </w:rPr>
        <w:t xml:space="preserve">QR kod za </w:t>
      </w:r>
      <w:proofErr w:type="spellStart"/>
      <w:r w:rsidRPr="002B09C8">
        <w:rPr>
          <w:rFonts w:eastAsia="Calibri"/>
          <w:sz w:val="22"/>
          <w:szCs w:val="22"/>
          <w:lang w:val="sr-Latn-ME"/>
        </w:rPr>
        <w:t>online</w:t>
      </w:r>
      <w:proofErr w:type="spellEnd"/>
      <w:r w:rsidRPr="002B09C8">
        <w:rPr>
          <w:rFonts w:eastAsia="Calibri"/>
          <w:sz w:val="22"/>
          <w:szCs w:val="22"/>
          <w:lang w:val="sr-Latn-ME"/>
        </w:rPr>
        <w:t xml:space="preserve"> prijavu sumnje na neželjeno dejstvo lijeka:</w:t>
      </w:r>
    </w:p>
    <w:p w14:paraId="399B9385" w14:textId="77777777" w:rsidR="00E105EA" w:rsidRPr="002B09C8" w:rsidRDefault="00E105EA" w:rsidP="00C74431">
      <w:pPr>
        <w:pStyle w:val="NoSpacing"/>
        <w:widowControl w:val="0"/>
        <w:rPr>
          <w:rFonts w:eastAsia="Calibri"/>
          <w:sz w:val="22"/>
          <w:szCs w:val="22"/>
          <w:lang w:val="sr-Latn-ME"/>
        </w:rPr>
      </w:pPr>
    </w:p>
    <w:p w14:paraId="20772EA2" w14:textId="77777777" w:rsidR="00E105EA" w:rsidRPr="002B09C8" w:rsidRDefault="00E105EA" w:rsidP="00C74431">
      <w:pPr>
        <w:widowControl w:val="0"/>
        <w:tabs>
          <w:tab w:val="left" w:pos="540"/>
          <w:tab w:val="left" w:pos="569"/>
        </w:tabs>
        <w:rPr>
          <w:b/>
          <w:bCs/>
          <w:sz w:val="22"/>
          <w:szCs w:val="22"/>
          <w:lang w:val="sr-Latn-ME"/>
        </w:rPr>
      </w:pPr>
      <w:r w:rsidRPr="002B09C8">
        <w:rPr>
          <w:b/>
          <w:bCs/>
          <w:noProof/>
          <w:sz w:val="22"/>
          <w:szCs w:val="22"/>
          <w:lang w:val="sr-Latn-ME"/>
        </w:rPr>
        <w:drawing>
          <wp:inline distT="0" distB="0" distL="0" distR="0" wp14:anchorId="4424360C" wp14:editId="402529E1">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32B9F67" w14:textId="77777777" w:rsidR="00836B35" w:rsidRPr="002B09C8" w:rsidRDefault="00836B35" w:rsidP="00C74431">
      <w:pPr>
        <w:widowControl w:val="0"/>
        <w:tabs>
          <w:tab w:val="left" w:pos="540"/>
          <w:tab w:val="left" w:pos="569"/>
        </w:tabs>
        <w:jc w:val="both"/>
        <w:rPr>
          <w:b/>
          <w:bCs/>
          <w:sz w:val="22"/>
          <w:szCs w:val="22"/>
          <w:lang w:val="sr-Latn-ME"/>
        </w:rPr>
      </w:pPr>
    </w:p>
    <w:p w14:paraId="0B8EEE24" w14:textId="77777777" w:rsidR="00CD6F02"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4.9. </w:t>
      </w:r>
      <w:r w:rsidR="00480FB1" w:rsidRPr="002B09C8">
        <w:rPr>
          <w:b/>
          <w:bCs/>
          <w:sz w:val="22"/>
          <w:szCs w:val="22"/>
          <w:lang w:val="sr-Latn-ME"/>
        </w:rPr>
        <w:tab/>
      </w:r>
      <w:proofErr w:type="spellStart"/>
      <w:r w:rsidRPr="002B09C8">
        <w:rPr>
          <w:b/>
          <w:bCs/>
          <w:sz w:val="22"/>
          <w:szCs w:val="22"/>
          <w:lang w:val="sr-Latn-ME"/>
        </w:rPr>
        <w:t>Predoziranje</w:t>
      </w:r>
      <w:proofErr w:type="spellEnd"/>
      <w:r w:rsidR="002846DB" w:rsidRPr="002B09C8">
        <w:rPr>
          <w:b/>
          <w:bCs/>
          <w:sz w:val="22"/>
          <w:szCs w:val="22"/>
          <w:lang w:val="sr-Latn-ME"/>
        </w:rPr>
        <w:t xml:space="preserve"> </w:t>
      </w:r>
    </w:p>
    <w:p w14:paraId="055285A4" w14:textId="77777777" w:rsidR="00CD6F02" w:rsidRPr="002B09C8" w:rsidRDefault="00CD6F02" w:rsidP="00C74431">
      <w:pPr>
        <w:widowControl w:val="0"/>
        <w:tabs>
          <w:tab w:val="left" w:pos="540"/>
          <w:tab w:val="left" w:pos="569"/>
        </w:tabs>
        <w:jc w:val="both"/>
        <w:rPr>
          <w:b/>
          <w:bCs/>
          <w:sz w:val="22"/>
          <w:szCs w:val="22"/>
          <w:lang w:val="sr-Latn-ME"/>
        </w:rPr>
      </w:pPr>
    </w:p>
    <w:p w14:paraId="02BEC4E5" w14:textId="156968BD" w:rsidR="00E81AA1" w:rsidRPr="002B09C8" w:rsidRDefault="00E81AA1" w:rsidP="00C74431">
      <w:pPr>
        <w:widowControl w:val="0"/>
        <w:jc w:val="both"/>
        <w:rPr>
          <w:sz w:val="22"/>
          <w:szCs w:val="22"/>
          <w:lang w:val="sr-Latn-ME"/>
        </w:rPr>
      </w:pPr>
      <w:r w:rsidRPr="002B09C8">
        <w:rPr>
          <w:sz w:val="22"/>
          <w:szCs w:val="22"/>
          <w:lang w:val="sr-Latn-ME"/>
        </w:rPr>
        <w:t>Bezb</w:t>
      </w:r>
      <w:r w:rsidR="00C3386D" w:rsidRPr="002B09C8">
        <w:rPr>
          <w:sz w:val="22"/>
          <w:szCs w:val="22"/>
          <w:lang w:val="sr-Latn-ME"/>
        </w:rPr>
        <w:t>j</w:t>
      </w:r>
      <w:r w:rsidRPr="002B09C8">
        <w:rPr>
          <w:sz w:val="22"/>
          <w:szCs w:val="22"/>
          <w:lang w:val="sr-Latn-ME"/>
        </w:rPr>
        <w:t>ednost doza većih od 300 mg nije adekvatno proc</w:t>
      </w:r>
      <w:r w:rsidR="00C3386D" w:rsidRPr="002B09C8">
        <w:rPr>
          <w:sz w:val="22"/>
          <w:szCs w:val="22"/>
          <w:lang w:val="sr-Latn-ME"/>
        </w:rPr>
        <w:t>ij</w:t>
      </w:r>
      <w:r w:rsidRPr="002B09C8">
        <w:rPr>
          <w:sz w:val="22"/>
          <w:szCs w:val="22"/>
          <w:lang w:val="sr-Latn-ME"/>
        </w:rPr>
        <w:t xml:space="preserve">enjena. Nije utvrđena maksimalna doza količina </w:t>
      </w:r>
      <w:proofErr w:type="spellStart"/>
      <w:r w:rsidRPr="002B09C8">
        <w:rPr>
          <w:sz w:val="22"/>
          <w:szCs w:val="22"/>
          <w:lang w:val="sr-Latn-ME"/>
        </w:rPr>
        <w:t>natalizumaba</w:t>
      </w:r>
      <w:proofErr w:type="spellEnd"/>
      <w:r w:rsidRPr="002B09C8">
        <w:rPr>
          <w:sz w:val="22"/>
          <w:szCs w:val="22"/>
          <w:lang w:val="sr-Latn-ME"/>
        </w:rPr>
        <w:t xml:space="preserve"> koja se može bezb</w:t>
      </w:r>
      <w:r w:rsidR="00773D3F" w:rsidRPr="002B09C8">
        <w:rPr>
          <w:sz w:val="22"/>
          <w:szCs w:val="22"/>
          <w:lang w:val="sr-Latn-ME"/>
        </w:rPr>
        <w:t>j</w:t>
      </w:r>
      <w:r w:rsidRPr="002B09C8">
        <w:rPr>
          <w:sz w:val="22"/>
          <w:szCs w:val="22"/>
          <w:lang w:val="sr-Latn-ME"/>
        </w:rPr>
        <w:t>edno prim</w:t>
      </w:r>
      <w:r w:rsidR="00C3386D" w:rsidRPr="002B09C8">
        <w:rPr>
          <w:sz w:val="22"/>
          <w:szCs w:val="22"/>
          <w:lang w:val="sr-Latn-ME"/>
        </w:rPr>
        <w:t>ij</w:t>
      </w:r>
      <w:r w:rsidRPr="002B09C8">
        <w:rPr>
          <w:sz w:val="22"/>
          <w:szCs w:val="22"/>
          <w:lang w:val="sr-Latn-ME"/>
        </w:rPr>
        <w:t xml:space="preserve">eniti. </w:t>
      </w:r>
    </w:p>
    <w:p w14:paraId="6B9429C1" w14:textId="77777777" w:rsidR="00E81AA1" w:rsidRPr="002B09C8" w:rsidRDefault="00E81AA1" w:rsidP="00C74431">
      <w:pPr>
        <w:widowControl w:val="0"/>
        <w:jc w:val="both"/>
        <w:rPr>
          <w:sz w:val="22"/>
          <w:szCs w:val="22"/>
          <w:lang w:val="sr-Latn-ME"/>
        </w:rPr>
      </w:pPr>
    </w:p>
    <w:p w14:paraId="49DD9EA6" w14:textId="6F3025B7" w:rsidR="00FB74D3" w:rsidRPr="002B09C8" w:rsidRDefault="00E81AA1" w:rsidP="00C74431">
      <w:pPr>
        <w:widowControl w:val="0"/>
        <w:jc w:val="both"/>
        <w:rPr>
          <w:sz w:val="22"/>
          <w:szCs w:val="22"/>
          <w:lang w:val="sr-Latn-ME"/>
        </w:rPr>
      </w:pPr>
      <w:r w:rsidRPr="002B09C8">
        <w:rPr>
          <w:sz w:val="22"/>
          <w:szCs w:val="22"/>
          <w:lang w:val="sr-Latn-ME"/>
        </w:rPr>
        <w:t xml:space="preserve">Nije poznat antidot za </w:t>
      </w:r>
      <w:proofErr w:type="spellStart"/>
      <w:r w:rsidRPr="002B09C8">
        <w:rPr>
          <w:sz w:val="22"/>
          <w:szCs w:val="22"/>
          <w:lang w:val="sr-Latn-ME"/>
        </w:rPr>
        <w:t>predoziranje</w:t>
      </w:r>
      <w:proofErr w:type="spellEnd"/>
      <w:r w:rsidRPr="002B09C8">
        <w:rPr>
          <w:sz w:val="22"/>
          <w:szCs w:val="22"/>
          <w:lang w:val="sr-Latn-ME"/>
        </w:rPr>
        <w:t xml:space="preserve"> </w:t>
      </w:r>
      <w:proofErr w:type="spellStart"/>
      <w:r w:rsidRPr="002B09C8">
        <w:rPr>
          <w:sz w:val="22"/>
          <w:szCs w:val="22"/>
          <w:lang w:val="sr-Latn-ME"/>
        </w:rPr>
        <w:t>natalizumabom</w:t>
      </w:r>
      <w:proofErr w:type="spellEnd"/>
      <w:r w:rsidRPr="002B09C8">
        <w:rPr>
          <w:sz w:val="22"/>
          <w:szCs w:val="22"/>
          <w:lang w:val="sr-Latn-ME"/>
        </w:rPr>
        <w:t>. L</w:t>
      </w:r>
      <w:r w:rsidR="00C3386D" w:rsidRPr="002B09C8">
        <w:rPr>
          <w:sz w:val="22"/>
          <w:szCs w:val="22"/>
          <w:lang w:val="sr-Latn-ME"/>
        </w:rPr>
        <w:t>ij</w:t>
      </w:r>
      <w:r w:rsidRPr="002B09C8">
        <w:rPr>
          <w:sz w:val="22"/>
          <w:szCs w:val="22"/>
          <w:lang w:val="sr-Latn-ME"/>
        </w:rPr>
        <w:t>ečenje se sastoji od prekida prim</w:t>
      </w:r>
      <w:r w:rsidR="00C3386D" w:rsidRPr="002B09C8">
        <w:rPr>
          <w:sz w:val="22"/>
          <w:szCs w:val="22"/>
          <w:lang w:val="sr-Latn-ME"/>
        </w:rPr>
        <w:t>j</w:t>
      </w:r>
      <w:r w:rsidRPr="002B09C8">
        <w:rPr>
          <w:sz w:val="22"/>
          <w:szCs w:val="22"/>
          <w:lang w:val="sr-Latn-ME"/>
        </w:rPr>
        <w:t>ene l</w:t>
      </w:r>
      <w:r w:rsidR="00C3386D" w:rsidRPr="002B09C8">
        <w:rPr>
          <w:sz w:val="22"/>
          <w:szCs w:val="22"/>
          <w:lang w:val="sr-Latn-ME"/>
        </w:rPr>
        <w:t>ij</w:t>
      </w:r>
      <w:r w:rsidRPr="002B09C8">
        <w:rPr>
          <w:sz w:val="22"/>
          <w:szCs w:val="22"/>
          <w:lang w:val="sr-Latn-ME"/>
        </w:rPr>
        <w:t xml:space="preserve">eka i </w:t>
      </w:r>
      <w:proofErr w:type="spellStart"/>
      <w:r w:rsidRPr="002B09C8">
        <w:rPr>
          <w:sz w:val="22"/>
          <w:szCs w:val="22"/>
          <w:lang w:val="sr-Latn-ME"/>
        </w:rPr>
        <w:t>suportivne</w:t>
      </w:r>
      <w:proofErr w:type="spellEnd"/>
      <w:r w:rsidRPr="002B09C8">
        <w:rPr>
          <w:sz w:val="22"/>
          <w:szCs w:val="22"/>
          <w:lang w:val="sr-Latn-ME"/>
        </w:rPr>
        <w:t xml:space="preserve"> terapije po potrebi.</w:t>
      </w:r>
    </w:p>
    <w:p w14:paraId="561C1760" w14:textId="58CF9A2D" w:rsidR="00227BDB" w:rsidRPr="002B09C8" w:rsidRDefault="00227BDB" w:rsidP="00C74431">
      <w:pPr>
        <w:widowControl w:val="0"/>
        <w:tabs>
          <w:tab w:val="left" w:pos="540"/>
          <w:tab w:val="left" w:pos="569"/>
        </w:tabs>
        <w:jc w:val="both"/>
        <w:rPr>
          <w:b/>
          <w:bCs/>
          <w:sz w:val="22"/>
          <w:szCs w:val="22"/>
          <w:lang w:val="sr-Latn-ME"/>
        </w:rPr>
      </w:pPr>
    </w:p>
    <w:p w14:paraId="2F5A8432" w14:textId="77777777" w:rsidR="00C8402F" w:rsidRPr="002B09C8" w:rsidRDefault="00C8402F" w:rsidP="00C74431">
      <w:pPr>
        <w:widowControl w:val="0"/>
        <w:tabs>
          <w:tab w:val="left" w:pos="540"/>
          <w:tab w:val="left" w:pos="569"/>
        </w:tabs>
        <w:jc w:val="both"/>
        <w:rPr>
          <w:b/>
          <w:bCs/>
          <w:sz w:val="22"/>
          <w:szCs w:val="22"/>
          <w:lang w:val="sr-Latn-ME"/>
        </w:rPr>
      </w:pPr>
    </w:p>
    <w:p w14:paraId="0EB9AC3F"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5. </w:t>
      </w:r>
      <w:r w:rsidR="00480FB1" w:rsidRPr="002B09C8">
        <w:rPr>
          <w:b/>
          <w:bCs/>
          <w:sz w:val="22"/>
          <w:szCs w:val="22"/>
          <w:lang w:val="sr-Latn-ME"/>
        </w:rPr>
        <w:tab/>
      </w:r>
      <w:r w:rsidRPr="002B09C8">
        <w:rPr>
          <w:b/>
          <w:bCs/>
          <w:sz w:val="22"/>
          <w:szCs w:val="22"/>
          <w:lang w:val="sr-Latn-ME"/>
        </w:rPr>
        <w:t>FARMAKOLOŠK</w:t>
      </w:r>
      <w:r w:rsidR="000D425A" w:rsidRPr="002B09C8">
        <w:rPr>
          <w:b/>
          <w:bCs/>
          <w:sz w:val="22"/>
          <w:szCs w:val="22"/>
          <w:lang w:val="sr-Latn-ME"/>
        </w:rPr>
        <w:t>I</w:t>
      </w:r>
      <w:r w:rsidRPr="002B09C8">
        <w:rPr>
          <w:b/>
          <w:bCs/>
          <w:sz w:val="22"/>
          <w:szCs w:val="22"/>
          <w:lang w:val="sr-Latn-ME"/>
        </w:rPr>
        <w:t xml:space="preserve"> PODACI</w:t>
      </w:r>
    </w:p>
    <w:p w14:paraId="0411B5B9" w14:textId="77777777" w:rsidR="0072020E" w:rsidRPr="002B09C8" w:rsidRDefault="0072020E" w:rsidP="00C74431">
      <w:pPr>
        <w:widowControl w:val="0"/>
        <w:tabs>
          <w:tab w:val="left" w:pos="540"/>
          <w:tab w:val="left" w:pos="569"/>
        </w:tabs>
        <w:jc w:val="both"/>
        <w:rPr>
          <w:b/>
          <w:bCs/>
          <w:sz w:val="22"/>
          <w:szCs w:val="22"/>
          <w:lang w:val="sr-Latn-ME"/>
        </w:rPr>
      </w:pPr>
    </w:p>
    <w:p w14:paraId="36751C9A"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lastRenderedPageBreak/>
        <w:t xml:space="preserve">5.1. </w:t>
      </w:r>
      <w:r w:rsidR="00480FB1" w:rsidRPr="002B09C8">
        <w:rPr>
          <w:b/>
          <w:bCs/>
          <w:sz w:val="22"/>
          <w:szCs w:val="22"/>
          <w:lang w:val="sr-Latn-ME"/>
        </w:rPr>
        <w:tab/>
      </w:r>
      <w:proofErr w:type="spellStart"/>
      <w:r w:rsidRPr="002B09C8">
        <w:rPr>
          <w:b/>
          <w:bCs/>
          <w:sz w:val="22"/>
          <w:szCs w:val="22"/>
          <w:lang w:val="sr-Latn-ME"/>
        </w:rPr>
        <w:t>Farmakodinamski</w:t>
      </w:r>
      <w:proofErr w:type="spellEnd"/>
      <w:r w:rsidRPr="002B09C8">
        <w:rPr>
          <w:b/>
          <w:bCs/>
          <w:sz w:val="22"/>
          <w:szCs w:val="22"/>
          <w:lang w:val="sr-Latn-ME"/>
        </w:rPr>
        <w:t xml:space="preserve"> podaci</w:t>
      </w:r>
      <w:r w:rsidR="003A7059" w:rsidRPr="002B09C8">
        <w:rPr>
          <w:b/>
          <w:bCs/>
          <w:sz w:val="22"/>
          <w:szCs w:val="22"/>
          <w:lang w:val="sr-Latn-ME"/>
        </w:rPr>
        <w:t xml:space="preserve"> </w:t>
      </w:r>
    </w:p>
    <w:p w14:paraId="45D701BB" w14:textId="77777777" w:rsidR="00F45F77" w:rsidRPr="002B09C8" w:rsidRDefault="00F45F77" w:rsidP="00C74431">
      <w:pPr>
        <w:widowControl w:val="0"/>
        <w:tabs>
          <w:tab w:val="left" w:pos="540"/>
          <w:tab w:val="left" w:pos="569"/>
        </w:tabs>
        <w:jc w:val="both"/>
        <w:rPr>
          <w:b/>
          <w:bCs/>
          <w:sz w:val="22"/>
          <w:szCs w:val="22"/>
          <w:lang w:val="sr-Latn-ME"/>
        </w:rPr>
      </w:pPr>
    </w:p>
    <w:p w14:paraId="646A4F34" w14:textId="6EF5B2F3" w:rsidR="0072020E" w:rsidRPr="002B09C8" w:rsidRDefault="0072020E" w:rsidP="00C74431">
      <w:pPr>
        <w:widowControl w:val="0"/>
        <w:tabs>
          <w:tab w:val="left" w:pos="540"/>
          <w:tab w:val="left" w:pos="569"/>
        </w:tabs>
        <w:jc w:val="both"/>
        <w:rPr>
          <w:bCs/>
          <w:sz w:val="22"/>
          <w:szCs w:val="22"/>
          <w:lang w:val="sr-Latn-ME"/>
        </w:rPr>
      </w:pPr>
      <w:proofErr w:type="spellStart"/>
      <w:r w:rsidRPr="002B09C8">
        <w:rPr>
          <w:bCs/>
          <w:sz w:val="22"/>
          <w:szCs w:val="22"/>
          <w:lang w:val="sr-Latn-ME"/>
        </w:rPr>
        <w:t>Farmakoterapijska</w:t>
      </w:r>
      <w:proofErr w:type="spellEnd"/>
      <w:r w:rsidRPr="002B09C8">
        <w:rPr>
          <w:bCs/>
          <w:sz w:val="22"/>
          <w:szCs w:val="22"/>
          <w:lang w:val="sr-Latn-ME"/>
        </w:rPr>
        <w:t xml:space="preserve"> grupa:</w:t>
      </w:r>
      <w:r w:rsidR="00FB74D3" w:rsidRPr="002B09C8">
        <w:rPr>
          <w:bCs/>
          <w:sz w:val="22"/>
          <w:szCs w:val="22"/>
          <w:lang w:val="sr-Latn-ME"/>
        </w:rPr>
        <w:t xml:space="preserve"> </w:t>
      </w:r>
      <w:proofErr w:type="spellStart"/>
      <w:r w:rsidR="004A470E" w:rsidRPr="002B09C8">
        <w:rPr>
          <w:sz w:val="22"/>
          <w:szCs w:val="22"/>
          <w:lang w:val="sr-Latn-ME"/>
        </w:rPr>
        <w:t>Imunosupresivi</w:t>
      </w:r>
      <w:proofErr w:type="spellEnd"/>
      <w:r w:rsidR="004A470E" w:rsidRPr="002B09C8">
        <w:rPr>
          <w:sz w:val="22"/>
          <w:szCs w:val="22"/>
          <w:lang w:val="sr-Latn-ME"/>
        </w:rPr>
        <w:t xml:space="preserve">; </w:t>
      </w:r>
      <w:proofErr w:type="spellStart"/>
      <w:r w:rsidR="004A470E" w:rsidRPr="002B09C8">
        <w:rPr>
          <w:sz w:val="22"/>
          <w:szCs w:val="22"/>
          <w:lang w:val="sr-Latn-ME"/>
        </w:rPr>
        <w:t>monoklonska</w:t>
      </w:r>
      <w:proofErr w:type="spellEnd"/>
      <w:r w:rsidR="004A470E" w:rsidRPr="002B09C8">
        <w:rPr>
          <w:sz w:val="22"/>
          <w:szCs w:val="22"/>
          <w:lang w:val="sr-Latn-ME"/>
        </w:rPr>
        <w:t xml:space="preserve"> antit</w:t>
      </w:r>
      <w:r w:rsidR="00794B51" w:rsidRPr="002B09C8">
        <w:rPr>
          <w:sz w:val="22"/>
          <w:szCs w:val="22"/>
          <w:lang w:val="sr-Latn-ME"/>
        </w:rPr>
        <w:t>ij</w:t>
      </w:r>
      <w:r w:rsidR="004A470E" w:rsidRPr="002B09C8">
        <w:rPr>
          <w:sz w:val="22"/>
          <w:szCs w:val="22"/>
          <w:lang w:val="sr-Latn-ME"/>
        </w:rPr>
        <w:t>ela</w:t>
      </w:r>
    </w:p>
    <w:p w14:paraId="5D6D69C9" w14:textId="77777777" w:rsidR="0072020E" w:rsidRPr="002B09C8" w:rsidRDefault="0072020E" w:rsidP="00C74431">
      <w:pPr>
        <w:widowControl w:val="0"/>
        <w:tabs>
          <w:tab w:val="left" w:pos="540"/>
          <w:tab w:val="left" w:pos="569"/>
        </w:tabs>
        <w:jc w:val="both"/>
        <w:rPr>
          <w:bCs/>
          <w:sz w:val="22"/>
          <w:szCs w:val="22"/>
          <w:lang w:val="sr-Latn-ME"/>
        </w:rPr>
      </w:pPr>
    </w:p>
    <w:p w14:paraId="49803370" w14:textId="62DEFB4D" w:rsidR="0072020E" w:rsidRPr="002B09C8" w:rsidRDefault="0072020E" w:rsidP="00C74431">
      <w:pPr>
        <w:widowControl w:val="0"/>
        <w:tabs>
          <w:tab w:val="left" w:pos="540"/>
          <w:tab w:val="left" w:pos="569"/>
        </w:tabs>
        <w:jc w:val="both"/>
        <w:rPr>
          <w:sz w:val="22"/>
          <w:szCs w:val="22"/>
          <w:lang w:val="sr-Latn-ME"/>
        </w:rPr>
      </w:pPr>
      <w:r w:rsidRPr="002B09C8">
        <w:rPr>
          <w:bCs/>
          <w:sz w:val="22"/>
          <w:szCs w:val="22"/>
          <w:lang w:val="sr-Latn-ME"/>
        </w:rPr>
        <w:t>ATC kod:</w:t>
      </w:r>
      <w:r w:rsidR="00FB74D3" w:rsidRPr="002B09C8">
        <w:rPr>
          <w:bCs/>
          <w:sz w:val="22"/>
          <w:szCs w:val="22"/>
          <w:lang w:val="sr-Latn-ME"/>
        </w:rPr>
        <w:t xml:space="preserve"> </w:t>
      </w:r>
      <w:r w:rsidR="009B4FF8" w:rsidRPr="002B09C8">
        <w:rPr>
          <w:sz w:val="22"/>
          <w:szCs w:val="22"/>
          <w:lang w:val="sr-Latn-ME"/>
        </w:rPr>
        <w:t>L04AG03</w:t>
      </w:r>
    </w:p>
    <w:p w14:paraId="56422D59" w14:textId="77777777" w:rsidR="00FB74D3" w:rsidRPr="002B09C8" w:rsidRDefault="00FB74D3" w:rsidP="00C74431">
      <w:pPr>
        <w:widowControl w:val="0"/>
        <w:tabs>
          <w:tab w:val="left" w:pos="540"/>
          <w:tab w:val="left" w:pos="569"/>
        </w:tabs>
        <w:jc w:val="both"/>
        <w:rPr>
          <w:bCs/>
          <w:sz w:val="22"/>
          <w:szCs w:val="22"/>
          <w:lang w:val="sr-Latn-ME"/>
        </w:rPr>
      </w:pPr>
    </w:p>
    <w:p w14:paraId="43D28B1F" w14:textId="07E3D3E9" w:rsidR="00FB74D3" w:rsidRPr="002B09C8" w:rsidRDefault="00FB74D3" w:rsidP="00C74431">
      <w:pPr>
        <w:widowControl w:val="0"/>
        <w:jc w:val="both"/>
        <w:rPr>
          <w:sz w:val="22"/>
          <w:szCs w:val="22"/>
          <w:u w:val="single"/>
          <w:lang w:val="sr-Latn-ME"/>
        </w:rPr>
      </w:pPr>
      <w:proofErr w:type="spellStart"/>
      <w:r w:rsidRPr="002B09C8">
        <w:rPr>
          <w:sz w:val="22"/>
          <w:szCs w:val="22"/>
          <w:u w:val="single"/>
          <w:lang w:val="sr-Latn-ME"/>
        </w:rPr>
        <w:t>Farmakodinam</w:t>
      </w:r>
      <w:r w:rsidR="00773D3F" w:rsidRPr="002B09C8">
        <w:rPr>
          <w:sz w:val="22"/>
          <w:szCs w:val="22"/>
          <w:u w:val="single"/>
          <w:lang w:val="sr-Latn-ME"/>
        </w:rPr>
        <w:t>s</w:t>
      </w:r>
      <w:r w:rsidRPr="002B09C8">
        <w:rPr>
          <w:sz w:val="22"/>
          <w:szCs w:val="22"/>
          <w:u w:val="single"/>
          <w:lang w:val="sr-Latn-ME"/>
        </w:rPr>
        <w:t>ki</w:t>
      </w:r>
      <w:proofErr w:type="spellEnd"/>
      <w:r w:rsidRPr="002B09C8">
        <w:rPr>
          <w:sz w:val="22"/>
          <w:szCs w:val="22"/>
          <w:u w:val="single"/>
          <w:lang w:val="sr-Latn-ME"/>
        </w:rPr>
        <w:t xml:space="preserve"> efekti</w:t>
      </w:r>
    </w:p>
    <w:p w14:paraId="7F2FEB4A" w14:textId="77777777" w:rsidR="00FB74D3" w:rsidRPr="002B09C8" w:rsidRDefault="00FB74D3" w:rsidP="00C74431">
      <w:pPr>
        <w:widowControl w:val="0"/>
        <w:jc w:val="both"/>
        <w:rPr>
          <w:sz w:val="22"/>
          <w:szCs w:val="22"/>
          <w:u w:val="single"/>
          <w:lang w:val="sr-Latn-ME"/>
        </w:rPr>
      </w:pPr>
    </w:p>
    <w:p w14:paraId="6C627D93" w14:textId="4A453C6E" w:rsidR="00FB74D3" w:rsidRPr="002B09C8" w:rsidRDefault="00FB74D3" w:rsidP="00C74431">
      <w:pPr>
        <w:widowControl w:val="0"/>
        <w:jc w:val="both"/>
        <w:rPr>
          <w:sz w:val="22"/>
          <w:szCs w:val="22"/>
          <w:lang w:val="sr-Latn-ME"/>
        </w:rPr>
      </w:pPr>
      <w:proofErr w:type="spellStart"/>
      <w:r w:rsidRPr="002B09C8">
        <w:rPr>
          <w:sz w:val="22"/>
          <w:szCs w:val="22"/>
          <w:lang w:val="sr-Latn-ME"/>
        </w:rPr>
        <w:t>Natalizumab</w:t>
      </w:r>
      <w:proofErr w:type="spellEnd"/>
      <w:r w:rsidRPr="002B09C8">
        <w:rPr>
          <w:sz w:val="22"/>
          <w:szCs w:val="22"/>
          <w:lang w:val="sr-Latn-ME"/>
        </w:rPr>
        <w:t xml:space="preserve"> selektivno inhibira adhezivne molekule vezivanjem za α4-podjedinicu humanih </w:t>
      </w:r>
      <w:proofErr w:type="spellStart"/>
      <w:r w:rsidRPr="002B09C8">
        <w:rPr>
          <w:sz w:val="22"/>
          <w:szCs w:val="22"/>
          <w:lang w:val="sr-Latn-ME"/>
        </w:rPr>
        <w:t>integrina</w:t>
      </w:r>
      <w:proofErr w:type="spellEnd"/>
      <w:r w:rsidRPr="002B09C8">
        <w:rPr>
          <w:sz w:val="22"/>
          <w:szCs w:val="22"/>
          <w:lang w:val="sr-Latn-ME"/>
        </w:rPr>
        <w:t xml:space="preserve">, koja je izrazito prisutna na površini svih leukocita osim </w:t>
      </w:r>
      <w:proofErr w:type="spellStart"/>
      <w:r w:rsidRPr="002B09C8">
        <w:rPr>
          <w:sz w:val="22"/>
          <w:szCs w:val="22"/>
          <w:lang w:val="sr-Latn-ME"/>
        </w:rPr>
        <w:t>neutrofila</w:t>
      </w:r>
      <w:proofErr w:type="spellEnd"/>
      <w:r w:rsidRPr="002B09C8">
        <w:rPr>
          <w:sz w:val="22"/>
          <w:szCs w:val="22"/>
          <w:lang w:val="sr-Latn-ME"/>
        </w:rPr>
        <w:t xml:space="preserve">. </w:t>
      </w:r>
      <w:proofErr w:type="spellStart"/>
      <w:r w:rsidRPr="002B09C8">
        <w:rPr>
          <w:sz w:val="22"/>
          <w:szCs w:val="22"/>
          <w:lang w:val="sr-Latn-ME"/>
        </w:rPr>
        <w:t>Natalizumab</w:t>
      </w:r>
      <w:proofErr w:type="spellEnd"/>
      <w:r w:rsidRPr="002B09C8">
        <w:rPr>
          <w:sz w:val="22"/>
          <w:szCs w:val="22"/>
          <w:lang w:val="sr-Latn-ME"/>
        </w:rPr>
        <w:t xml:space="preserve"> se specifično veže za α4β1 </w:t>
      </w:r>
      <w:proofErr w:type="spellStart"/>
      <w:r w:rsidRPr="002B09C8">
        <w:rPr>
          <w:sz w:val="22"/>
          <w:szCs w:val="22"/>
          <w:lang w:val="sr-Latn-ME"/>
        </w:rPr>
        <w:t>integrin</w:t>
      </w:r>
      <w:proofErr w:type="spellEnd"/>
      <w:r w:rsidRPr="002B09C8">
        <w:rPr>
          <w:sz w:val="22"/>
          <w:szCs w:val="22"/>
          <w:lang w:val="sr-Latn-ME"/>
        </w:rPr>
        <w:t xml:space="preserve"> te time spr</w:t>
      </w:r>
      <w:r w:rsidR="00773D3F" w:rsidRPr="002B09C8">
        <w:rPr>
          <w:sz w:val="22"/>
          <w:szCs w:val="22"/>
          <w:lang w:val="sr-Latn-ME"/>
        </w:rPr>
        <w:t>j</w:t>
      </w:r>
      <w:r w:rsidRPr="002B09C8">
        <w:rPr>
          <w:sz w:val="22"/>
          <w:szCs w:val="22"/>
          <w:lang w:val="sr-Latn-ME"/>
        </w:rPr>
        <w:t>ečava njegovu interakciju sa srodnim receptorom, vaskularnim ćelijskim adhezivnim molekulom-1 (</w:t>
      </w:r>
      <w:proofErr w:type="spellStart"/>
      <w:r w:rsidRPr="002B09C8">
        <w:rPr>
          <w:sz w:val="22"/>
          <w:szCs w:val="22"/>
          <w:lang w:val="sr-Latn-ME"/>
        </w:rPr>
        <w:t>vascular</w:t>
      </w:r>
      <w:proofErr w:type="spellEnd"/>
      <w:r w:rsidRPr="002B09C8">
        <w:rPr>
          <w:sz w:val="22"/>
          <w:szCs w:val="22"/>
          <w:lang w:val="sr-Latn-ME"/>
        </w:rPr>
        <w:t xml:space="preserve"> </w:t>
      </w:r>
      <w:proofErr w:type="spellStart"/>
      <w:r w:rsidRPr="002B09C8">
        <w:rPr>
          <w:sz w:val="22"/>
          <w:szCs w:val="22"/>
          <w:lang w:val="sr-Latn-ME"/>
        </w:rPr>
        <w:t>cell</w:t>
      </w:r>
      <w:proofErr w:type="spellEnd"/>
      <w:r w:rsidRPr="002B09C8">
        <w:rPr>
          <w:sz w:val="22"/>
          <w:szCs w:val="22"/>
          <w:lang w:val="sr-Latn-ME"/>
        </w:rPr>
        <w:t xml:space="preserve"> </w:t>
      </w:r>
      <w:proofErr w:type="spellStart"/>
      <w:r w:rsidRPr="002B09C8">
        <w:rPr>
          <w:sz w:val="22"/>
          <w:szCs w:val="22"/>
          <w:lang w:val="sr-Latn-ME"/>
        </w:rPr>
        <w:t>adhesion</w:t>
      </w:r>
      <w:proofErr w:type="spellEnd"/>
      <w:r w:rsidRPr="002B09C8">
        <w:rPr>
          <w:sz w:val="22"/>
          <w:szCs w:val="22"/>
          <w:lang w:val="sr-Latn-ME"/>
        </w:rPr>
        <w:t xml:space="preserve"> molecule-1, VCAM-1) i </w:t>
      </w:r>
      <w:proofErr w:type="spellStart"/>
      <w:r w:rsidRPr="002B09C8">
        <w:rPr>
          <w:sz w:val="22"/>
          <w:szCs w:val="22"/>
          <w:lang w:val="sr-Latn-ME"/>
        </w:rPr>
        <w:t>ligandima</w:t>
      </w:r>
      <w:proofErr w:type="spellEnd"/>
      <w:r w:rsidRPr="002B09C8">
        <w:rPr>
          <w:sz w:val="22"/>
          <w:szCs w:val="22"/>
          <w:lang w:val="sr-Latn-ME"/>
        </w:rPr>
        <w:t xml:space="preserve"> </w:t>
      </w:r>
      <w:proofErr w:type="spellStart"/>
      <w:r w:rsidRPr="002B09C8">
        <w:rPr>
          <w:sz w:val="22"/>
          <w:szCs w:val="22"/>
          <w:lang w:val="sr-Latn-ME"/>
        </w:rPr>
        <w:t>osteopontinom</w:t>
      </w:r>
      <w:proofErr w:type="spellEnd"/>
      <w:r w:rsidRPr="002B09C8">
        <w:rPr>
          <w:sz w:val="22"/>
          <w:szCs w:val="22"/>
          <w:lang w:val="sr-Latn-ME"/>
        </w:rPr>
        <w:t xml:space="preserve"> i alternativnim vezivnim područjem </w:t>
      </w:r>
      <w:proofErr w:type="spellStart"/>
      <w:r w:rsidRPr="002B09C8">
        <w:rPr>
          <w:sz w:val="22"/>
          <w:szCs w:val="22"/>
          <w:lang w:val="sr-Latn-ME"/>
        </w:rPr>
        <w:t>fibronektina</w:t>
      </w:r>
      <w:proofErr w:type="spellEnd"/>
      <w:r w:rsidRPr="002B09C8">
        <w:rPr>
          <w:sz w:val="22"/>
          <w:szCs w:val="22"/>
          <w:lang w:val="sr-Latn-ME"/>
        </w:rPr>
        <w:t>, veznim segmentom-1 (‘</w:t>
      </w:r>
      <w:proofErr w:type="spellStart"/>
      <w:r w:rsidRPr="002B09C8">
        <w:rPr>
          <w:sz w:val="22"/>
          <w:szCs w:val="22"/>
          <w:lang w:val="sr-Latn-ME"/>
        </w:rPr>
        <w:t>connecting</w:t>
      </w:r>
      <w:proofErr w:type="spellEnd"/>
      <w:r w:rsidRPr="002B09C8">
        <w:rPr>
          <w:sz w:val="22"/>
          <w:szCs w:val="22"/>
          <w:lang w:val="sr-Latn-ME"/>
        </w:rPr>
        <w:t xml:space="preserve"> segment-</w:t>
      </w:r>
      <w:smartTag w:uri="urn:schemas-microsoft-com:office:smarttags" w:element="metricconverter">
        <w:smartTagPr>
          <w:attr w:name="ProductID" w:val="1’"/>
        </w:smartTagPr>
        <w:r w:rsidRPr="002B09C8">
          <w:rPr>
            <w:sz w:val="22"/>
            <w:szCs w:val="22"/>
            <w:lang w:val="sr-Latn-ME"/>
          </w:rPr>
          <w:t>1’</w:t>
        </w:r>
      </w:smartTag>
      <w:r w:rsidRPr="002B09C8">
        <w:rPr>
          <w:sz w:val="22"/>
          <w:szCs w:val="22"/>
          <w:lang w:val="sr-Latn-ME"/>
        </w:rPr>
        <w:t xml:space="preserve">, CS-1). </w:t>
      </w:r>
      <w:proofErr w:type="spellStart"/>
      <w:r w:rsidRPr="002B09C8">
        <w:rPr>
          <w:sz w:val="22"/>
          <w:szCs w:val="22"/>
          <w:lang w:val="sr-Latn-ME"/>
        </w:rPr>
        <w:t>Natalizumab</w:t>
      </w:r>
      <w:proofErr w:type="spellEnd"/>
      <w:r w:rsidRPr="002B09C8">
        <w:rPr>
          <w:sz w:val="22"/>
          <w:szCs w:val="22"/>
          <w:lang w:val="sr-Latn-ME"/>
        </w:rPr>
        <w:t xml:space="preserve"> spr</w:t>
      </w:r>
      <w:r w:rsidR="00773D3F" w:rsidRPr="002B09C8">
        <w:rPr>
          <w:sz w:val="22"/>
          <w:szCs w:val="22"/>
          <w:lang w:val="sr-Latn-ME"/>
        </w:rPr>
        <w:t>j</w:t>
      </w:r>
      <w:r w:rsidRPr="002B09C8">
        <w:rPr>
          <w:sz w:val="22"/>
          <w:szCs w:val="22"/>
          <w:lang w:val="sr-Latn-ME"/>
        </w:rPr>
        <w:t xml:space="preserve">ečava interakciju α4β7 </w:t>
      </w:r>
      <w:proofErr w:type="spellStart"/>
      <w:r w:rsidRPr="002B09C8">
        <w:rPr>
          <w:sz w:val="22"/>
          <w:szCs w:val="22"/>
          <w:lang w:val="sr-Latn-ME"/>
        </w:rPr>
        <w:t>integrina</w:t>
      </w:r>
      <w:proofErr w:type="spellEnd"/>
      <w:r w:rsidRPr="002B09C8">
        <w:rPr>
          <w:sz w:val="22"/>
          <w:szCs w:val="22"/>
          <w:lang w:val="sr-Latn-ME"/>
        </w:rPr>
        <w:t xml:space="preserve"> sa adhezivnim molekulom-1 </w:t>
      </w:r>
      <w:proofErr w:type="spellStart"/>
      <w:r w:rsidRPr="002B09C8">
        <w:rPr>
          <w:sz w:val="22"/>
          <w:szCs w:val="22"/>
          <w:lang w:val="sr-Latn-ME"/>
        </w:rPr>
        <w:t>mukozno</w:t>
      </w:r>
      <w:proofErr w:type="spellEnd"/>
      <w:r w:rsidRPr="002B09C8">
        <w:rPr>
          <w:sz w:val="22"/>
          <w:szCs w:val="22"/>
          <w:lang w:val="sr-Latn-ME"/>
        </w:rPr>
        <w:t xml:space="preserve"> </w:t>
      </w:r>
      <w:proofErr w:type="spellStart"/>
      <w:r w:rsidRPr="002B09C8">
        <w:rPr>
          <w:sz w:val="22"/>
          <w:szCs w:val="22"/>
          <w:lang w:val="sr-Latn-ME"/>
        </w:rPr>
        <w:t>adresinskih</w:t>
      </w:r>
      <w:proofErr w:type="spellEnd"/>
      <w:r w:rsidRPr="002B09C8">
        <w:rPr>
          <w:sz w:val="22"/>
          <w:szCs w:val="22"/>
          <w:lang w:val="sr-Latn-ME"/>
        </w:rPr>
        <w:t xml:space="preserve"> ćelija (</w:t>
      </w:r>
      <w:proofErr w:type="spellStart"/>
      <w:r w:rsidRPr="002B09C8">
        <w:rPr>
          <w:sz w:val="22"/>
          <w:szCs w:val="22"/>
          <w:lang w:val="sr-Latn-ME"/>
        </w:rPr>
        <w:t>mucosal</w:t>
      </w:r>
      <w:proofErr w:type="spellEnd"/>
      <w:r w:rsidRPr="002B09C8">
        <w:rPr>
          <w:sz w:val="22"/>
          <w:szCs w:val="22"/>
          <w:lang w:val="sr-Latn-ME"/>
        </w:rPr>
        <w:t xml:space="preserve"> </w:t>
      </w:r>
      <w:proofErr w:type="spellStart"/>
      <w:r w:rsidRPr="002B09C8">
        <w:rPr>
          <w:sz w:val="22"/>
          <w:szCs w:val="22"/>
          <w:lang w:val="sr-Latn-ME"/>
        </w:rPr>
        <w:t>addressin</w:t>
      </w:r>
      <w:proofErr w:type="spellEnd"/>
      <w:r w:rsidRPr="002B09C8">
        <w:rPr>
          <w:sz w:val="22"/>
          <w:szCs w:val="22"/>
          <w:lang w:val="sr-Latn-ME"/>
        </w:rPr>
        <w:t xml:space="preserve"> </w:t>
      </w:r>
      <w:proofErr w:type="spellStart"/>
      <w:r w:rsidRPr="002B09C8">
        <w:rPr>
          <w:sz w:val="22"/>
          <w:szCs w:val="22"/>
          <w:lang w:val="sr-Latn-ME"/>
        </w:rPr>
        <w:t>cell</w:t>
      </w:r>
      <w:proofErr w:type="spellEnd"/>
      <w:r w:rsidRPr="002B09C8">
        <w:rPr>
          <w:sz w:val="22"/>
          <w:szCs w:val="22"/>
          <w:lang w:val="sr-Latn-ME"/>
        </w:rPr>
        <w:t xml:space="preserve"> </w:t>
      </w:r>
      <w:proofErr w:type="spellStart"/>
      <w:r w:rsidRPr="002B09C8">
        <w:rPr>
          <w:sz w:val="22"/>
          <w:szCs w:val="22"/>
          <w:lang w:val="sr-Latn-ME"/>
        </w:rPr>
        <w:t>adhesion</w:t>
      </w:r>
      <w:proofErr w:type="spellEnd"/>
      <w:r w:rsidRPr="002B09C8">
        <w:rPr>
          <w:sz w:val="22"/>
          <w:szCs w:val="22"/>
          <w:lang w:val="sr-Latn-ME"/>
        </w:rPr>
        <w:t xml:space="preserve"> molecule-1, MadCAM-1). Poremećaj ovih molekulskih interakcija spr</w:t>
      </w:r>
      <w:r w:rsidR="00773D3F" w:rsidRPr="002B09C8">
        <w:rPr>
          <w:sz w:val="22"/>
          <w:szCs w:val="22"/>
          <w:lang w:val="sr-Latn-ME"/>
        </w:rPr>
        <w:t>j</w:t>
      </w:r>
      <w:r w:rsidRPr="002B09C8">
        <w:rPr>
          <w:sz w:val="22"/>
          <w:szCs w:val="22"/>
          <w:lang w:val="sr-Latn-ME"/>
        </w:rPr>
        <w:t xml:space="preserve">ečava </w:t>
      </w:r>
      <w:proofErr w:type="spellStart"/>
      <w:r w:rsidRPr="002B09C8">
        <w:rPr>
          <w:sz w:val="22"/>
          <w:szCs w:val="22"/>
          <w:lang w:val="sr-Latn-ME"/>
        </w:rPr>
        <w:t>prelaz</w:t>
      </w:r>
      <w:proofErr w:type="spellEnd"/>
      <w:r w:rsidRPr="002B09C8">
        <w:rPr>
          <w:sz w:val="22"/>
          <w:szCs w:val="22"/>
          <w:lang w:val="sr-Latn-ME"/>
        </w:rPr>
        <w:t xml:space="preserve"> </w:t>
      </w:r>
      <w:proofErr w:type="spellStart"/>
      <w:r w:rsidRPr="002B09C8">
        <w:rPr>
          <w:sz w:val="22"/>
          <w:szCs w:val="22"/>
          <w:lang w:val="sr-Latn-ME"/>
        </w:rPr>
        <w:t>mononuklearnih</w:t>
      </w:r>
      <w:proofErr w:type="spellEnd"/>
      <w:r w:rsidRPr="002B09C8">
        <w:rPr>
          <w:sz w:val="22"/>
          <w:szCs w:val="22"/>
          <w:lang w:val="sr-Latn-ME"/>
        </w:rPr>
        <w:t xml:space="preserve"> leukocita </w:t>
      </w:r>
      <w:proofErr w:type="spellStart"/>
      <w:r w:rsidRPr="002B09C8">
        <w:rPr>
          <w:sz w:val="22"/>
          <w:szCs w:val="22"/>
          <w:lang w:val="sr-Latn-ME"/>
        </w:rPr>
        <w:t>preko</w:t>
      </w:r>
      <w:proofErr w:type="spellEnd"/>
      <w:r w:rsidRPr="002B09C8">
        <w:rPr>
          <w:sz w:val="22"/>
          <w:szCs w:val="22"/>
          <w:lang w:val="sr-Latn-ME"/>
        </w:rPr>
        <w:t xml:space="preserve"> </w:t>
      </w:r>
      <w:proofErr w:type="spellStart"/>
      <w:r w:rsidRPr="002B09C8">
        <w:rPr>
          <w:sz w:val="22"/>
          <w:szCs w:val="22"/>
          <w:lang w:val="sr-Latn-ME"/>
        </w:rPr>
        <w:t>endotela</w:t>
      </w:r>
      <w:proofErr w:type="spellEnd"/>
      <w:r w:rsidRPr="002B09C8">
        <w:rPr>
          <w:sz w:val="22"/>
          <w:szCs w:val="22"/>
          <w:lang w:val="sr-Latn-ME"/>
        </w:rPr>
        <w:t xml:space="preserve"> u upaljeno tkivo </w:t>
      </w:r>
      <w:proofErr w:type="spellStart"/>
      <w:r w:rsidRPr="002B09C8">
        <w:rPr>
          <w:sz w:val="22"/>
          <w:szCs w:val="22"/>
          <w:lang w:val="sr-Latn-ME"/>
        </w:rPr>
        <w:t>parenhima</w:t>
      </w:r>
      <w:proofErr w:type="spellEnd"/>
      <w:r w:rsidRPr="002B09C8">
        <w:rPr>
          <w:sz w:val="22"/>
          <w:szCs w:val="22"/>
          <w:lang w:val="sr-Latn-ME"/>
        </w:rPr>
        <w:t xml:space="preserve">. Dalji mehanizam djelovanja </w:t>
      </w:r>
      <w:proofErr w:type="spellStart"/>
      <w:r w:rsidRPr="002B09C8">
        <w:rPr>
          <w:sz w:val="22"/>
          <w:szCs w:val="22"/>
          <w:lang w:val="sr-Latn-ME"/>
        </w:rPr>
        <w:t>natalizumaba</w:t>
      </w:r>
      <w:proofErr w:type="spellEnd"/>
      <w:r w:rsidRPr="002B09C8">
        <w:rPr>
          <w:sz w:val="22"/>
          <w:szCs w:val="22"/>
          <w:lang w:val="sr-Latn-ME"/>
        </w:rPr>
        <w:t xml:space="preserve"> mogao bi biti spr</w:t>
      </w:r>
      <w:r w:rsidR="00773D3F" w:rsidRPr="002B09C8">
        <w:rPr>
          <w:sz w:val="22"/>
          <w:szCs w:val="22"/>
          <w:lang w:val="sr-Latn-ME"/>
        </w:rPr>
        <w:t>j</w:t>
      </w:r>
      <w:r w:rsidRPr="002B09C8">
        <w:rPr>
          <w:sz w:val="22"/>
          <w:szCs w:val="22"/>
          <w:lang w:val="sr-Latn-ME"/>
        </w:rPr>
        <w:t xml:space="preserve">ečavanje neprestanih </w:t>
      </w:r>
      <w:proofErr w:type="spellStart"/>
      <w:r w:rsidRPr="002B09C8">
        <w:rPr>
          <w:sz w:val="22"/>
          <w:szCs w:val="22"/>
          <w:lang w:val="sr-Latn-ME"/>
        </w:rPr>
        <w:t>upalnih</w:t>
      </w:r>
      <w:proofErr w:type="spellEnd"/>
      <w:r w:rsidRPr="002B09C8">
        <w:rPr>
          <w:sz w:val="22"/>
          <w:szCs w:val="22"/>
          <w:lang w:val="sr-Latn-ME"/>
        </w:rPr>
        <w:t xml:space="preserve"> reakcija u </w:t>
      </w:r>
      <w:proofErr w:type="spellStart"/>
      <w:r w:rsidRPr="002B09C8">
        <w:rPr>
          <w:sz w:val="22"/>
          <w:szCs w:val="22"/>
          <w:lang w:val="sr-Latn-ME"/>
        </w:rPr>
        <w:t>oboljelim</w:t>
      </w:r>
      <w:proofErr w:type="spellEnd"/>
      <w:r w:rsidRPr="002B09C8">
        <w:rPr>
          <w:sz w:val="22"/>
          <w:szCs w:val="22"/>
          <w:lang w:val="sr-Latn-ME"/>
        </w:rPr>
        <w:t xml:space="preserve"> tkivima inhibicijom interakcije leukocita koji na površini imaju α4 sa njihovim </w:t>
      </w:r>
      <w:proofErr w:type="spellStart"/>
      <w:r w:rsidRPr="002B09C8">
        <w:rPr>
          <w:sz w:val="22"/>
          <w:szCs w:val="22"/>
          <w:lang w:val="sr-Latn-ME"/>
        </w:rPr>
        <w:t>ligandima</w:t>
      </w:r>
      <w:proofErr w:type="spellEnd"/>
      <w:r w:rsidRPr="002B09C8">
        <w:rPr>
          <w:sz w:val="22"/>
          <w:szCs w:val="22"/>
          <w:lang w:val="sr-Latn-ME"/>
        </w:rPr>
        <w:t xml:space="preserve"> u </w:t>
      </w:r>
      <w:proofErr w:type="spellStart"/>
      <w:r w:rsidRPr="002B09C8">
        <w:rPr>
          <w:sz w:val="22"/>
          <w:szCs w:val="22"/>
          <w:lang w:val="sr-Latn-ME"/>
        </w:rPr>
        <w:t>vanćelijskom</w:t>
      </w:r>
      <w:proofErr w:type="spellEnd"/>
      <w:r w:rsidRPr="002B09C8">
        <w:rPr>
          <w:sz w:val="22"/>
          <w:szCs w:val="22"/>
          <w:lang w:val="sr-Latn-ME"/>
        </w:rPr>
        <w:t xml:space="preserve"> </w:t>
      </w:r>
      <w:proofErr w:type="spellStart"/>
      <w:r w:rsidRPr="002B09C8">
        <w:rPr>
          <w:sz w:val="22"/>
          <w:szCs w:val="22"/>
          <w:lang w:val="sr-Latn-ME"/>
        </w:rPr>
        <w:t>matriksu</w:t>
      </w:r>
      <w:proofErr w:type="spellEnd"/>
      <w:r w:rsidRPr="002B09C8">
        <w:rPr>
          <w:sz w:val="22"/>
          <w:szCs w:val="22"/>
          <w:lang w:val="sr-Latn-ME"/>
        </w:rPr>
        <w:t xml:space="preserve"> i na ćelijama </w:t>
      </w:r>
      <w:proofErr w:type="spellStart"/>
      <w:r w:rsidRPr="002B09C8">
        <w:rPr>
          <w:sz w:val="22"/>
          <w:szCs w:val="22"/>
          <w:lang w:val="sr-Latn-ME"/>
        </w:rPr>
        <w:t>parenhima</w:t>
      </w:r>
      <w:proofErr w:type="spellEnd"/>
      <w:r w:rsidRPr="002B09C8">
        <w:rPr>
          <w:sz w:val="22"/>
          <w:szCs w:val="22"/>
          <w:lang w:val="sr-Latn-ME"/>
        </w:rPr>
        <w:t xml:space="preserve">. </w:t>
      </w:r>
      <w:proofErr w:type="spellStart"/>
      <w:r w:rsidRPr="002B09C8">
        <w:rPr>
          <w:sz w:val="22"/>
          <w:szCs w:val="22"/>
          <w:lang w:val="sr-Latn-ME"/>
        </w:rPr>
        <w:t>Natalizumab</w:t>
      </w:r>
      <w:proofErr w:type="spellEnd"/>
      <w:r w:rsidRPr="002B09C8">
        <w:rPr>
          <w:sz w:val="22"/>
          <w:szCs w:val="22"/>
          <w:lang w:val="sr-Latn-ME"/>
        </w:rPr>
        <w:t xml:space="preserve"> time može suzbiti </w:t>
      </w:r>
      <w:proofErr w:type="spellStart"/>
      <w:r w:rsidRPr="002B09C8">
        <w:rPr>
          <w:sz w:val="22"/>
          <w:szCs w:val="22"/>
          <w:lang w:val="sr-Latn-ME"/>
        </w:rPr>
        <w:t>upalni</w:t>
      </w:r>
      <w:proofErr w:type="spellEnd"/>
      <w:r w:rsidRPr="002B09C8">
        <w:rPr>
          <w:sz w:val="22"/>
          <w:szCs w:val="22"/>
          <w:lang w:val="sr-Latn-ME"/>
        </w:rPr>
        <w:t xml:space="preserve"> proces na </w:t>
      </w:r>
      <w:proofErr w:type="spellStart"/>
      <w:r w:rsidRPr="002B09C8">
        <w:rPr>
          <w:sz w:val="22"/>
          <w:szCs w:val="22"/>
          <w:lang w:val="sr-Latn-ME"/>
        </w:rPr>
        <w:t>oboljelom</w:t>
      </w:r>
      <w:proofErr w:type="spellEnd"/>
      <w:r w:rsidRPr="002B09C8">
        <w:rPr>
          <w:sz w:val="22"/>
          <w:szCs w:val="22"/>
          <w:lang w:val="sr-Latn-ME"/>
        </w:rPr>
        <w:t xml:space="preserve"> mjestu i inhibirati dalji prodor imunoloških ćelija u </w:t>
      </w:r>
      <w:proofErr w:type="spellStart"/>
      <w:r w:rsidRPr="002B09C8">
        <w:rPr>
          <w:sz w:val="22"/>
          <w:szCs w:val="22"/>
          <w:lang w:val="sr-Latn-ME"/>
        </w:rPr>
        <w:t>inflamirana</w:t>
      </w:r>
      <w:proofErr w:type="spellEnd"/>
      <w:r w:rsidRPr="002B09C8">
        <w:rPr>
          <w:sz w:val="22"/>
          <w:szCs w:val="22"/>
          <w:lang w:val="sr-Latn-ME"/>
        </w:rPr>
        <w:t xml:space="preserve"> tkiva.</w:t>
      </w:r>
    </w:p>
    <w:p w14:paraId="19786ECF" w14:textId="77777777" w:rsidR="00FB74D3" w:rsidRPr="002B09C8" w:rsidRDefault="00FB74D3" w:rsidP="00C74431">
      <w:pPr>
        <w:widowControl w:val="0"/>
        <w:jc w:val="both"/>
        <w:rPr>
          <w:sz w:val="22"/>
          <w:szCs w:val="22"/>
          <w:lang w:val="sr-Latn-ME"/>
        </w:rPr>
      </w:pPr>
    </w:p>
    <w:p w14:paraId="3C3FBF29" w14:textId="17DE7E64" w:rsidR="00FB74D3" w:rsidRPr="002B09C8" w:rsidRDefault="00FB74D3" w:rsidP="00C74431">
      <w:pPr>
        <w:widowControl w:val="0"/>
        <w:jc w:val="both"/>
        <w:rPr>
          <w:sz w:val="22"/>
          <w:szCs w:val="22"/>
          <w:lang w:val="sr-Latn-ME"/>
        </w:rPr>
      </w:pPr>
      <w:r w:rsidRPr="002B09C8">
        <w:rPr>
          <w:sz w:val="22"/>
          <w:szCs w:val="22"/>
          <w:lang w:val="sr-Latn-ME"/>
        </w:rPr>
        <w:t xml:space="preserve">Smatra se da se </w:t>
      </w:r>
      <w:proofErr w:type="spellStart"/>
      <w:r w:rsidRPr="002B09C8">
        <w:rPr>
          <w:sz w:val="22"/>
          <w:szCs w:val="22"/>
          <w:lang w:val="sr-Latn-ME"/>
        </w:rPr>
        <w:t>lezije</w:t>
      </w:r>
      <w:proofErr w:type="spellEnd"/>
      <w:r w:rsidRPr="002B09C8">
        <w:rPr>
          <w:sz w:val="22"/>
          <w:szCs w:val="22"/>
          <w:lang w:val="sr-Latn-ME"/>
        </w:rPr>
        <w:t xml:space="preserve"> kod MS-a pojavljuju kada aktivirani T-</w:t>
      </w:r>
      <w:proofErr w:type="spellStart"/>
      <w:r w:rsidRPr="002B09C8">
        <w:rPr>
          <w:sz w:val="22"/>
          <w:szCs w:val="22"/>
          <w:lang w:val="sr-Latn-ME"/>
        </w:rPr>
        <w:t>limfociti</w:t>
      </w:r>
      <w:proofErr w:type="spellEnd"/>
      <w:r w:rsidRPr="002B09C8">
        <w:rPr>
          <w:sz w:val="22"/>
          <w:szCs w:val="22"/>
          <w:lang w:val="sr-Latn-ME"/>
        </w:rPr>
        <w:t xml:space="preserve"> pređu krvno-moždanu barijeru</w:t>
      </w:r>
      <w:r w:rsidR="00E81AA1" w:rsidRPr="002B09C8">
        <w:rPr>
          <w:sz w:val="22"/>
          <w:szCs w:val="22"/>
          <w:lang w:val="sr-Latn-ME"/>
        </w:rPr>
        <w:t xml:space="preserve"> (engl. </w:t>
      </w:r>
      <w:proofErr w:type="spellStart"/>
      <w:r w:rsidR="00E81AA1" w:rsidRPr="002B09C8">
        <w:rPr>
          <w:i/>
          <w:iCs/>
          <w:sz w:val="22"/>
          <w:szCs w:val="22"/>
          <w:lang w:val="sr-Latn-ME"/>
        </w:rPr>
        <w:t>blood-brain</w:t>
      </w:r>
      <w:proofErr w:type="spellEnd"/>
      <w:r w:rsidR="00E81AA1" w:rsidRPr="002B09C8">
        <w:rPr>
          <w:i/>
          <w:iCs/>
          <w:sz w:val="22"/>
          <w:szCs w:val="22"/>
          <w:lang w:val="sr-Latn-ME"/>
        </w:rPr>
        <w:t xml:space="preserve"> </w:t>
      </w:r>
      <w:proofErr w:type="spellStart"/>
      <w:r w:rsidR="00E81AA1" w:rsidRPr="002B09C8">
        <w:rPr>
          <w:i/>
          <w:iCs/>
          <w:sz w:val="22"/>
          <w:szCs w:val="22"/>
          <w:lang w:val="sr-Latn-ME"/>
        </w:rPr>
        <w:t>barrier</w:t>
      </w:r>
      <w:proofErr w:type="spellEnd"/>
      <w:r w:rsidR="00E81AA1" w:rsidRPr="002B09C8">
        <w:rPr>
          <w:sz w:val="22"/>
          <w:szCs w:val="22"/>
          <w:lang w:val="sr-Latn-ME"/>
        </w:rPr>
        <w:t>, BBB)</w:t>
      </w:r>
      <w:r w:rsidRPr="002B09C8">
        <w:rPr>
          <w:sz w:val="22"/>
          <w:szCs w:val="22"/>
          <w:lang w:val="sr-Latn-ME"/>
        </w:rPr>
        <w:t xml:space="preserve">. </w:t>
      </w:r>
      <w:proofErr w:type="spellStart"/>
      <w:r w:rsidRPr="002B09C8">
        <w:rPr>
          <w:sz w:val="22"/>
          <w:szCs w:val="22"/>
          <w:lang w:val="sr-Latn-ME"/>
        </w:rPr>
        <w:t>Prelaz</w:t>
      </w:r>
      <w:proofErr w:type="spellEnd"/>
      <w:r w:rsidRPr="002B09C8">
        <w:rPr>
          <w:sz w:val="22"/>
          <w:szCs w:val="22"/>
          <w:lang w:val="sr-Latn-ME"/>
        </w:rPr>
        <w:t xml:space="preserve"> leukocita kroz krvno-moždanu barijeru uključuje interakciju između adhezivnih molekula na </w:t>
      </w:r>
      <w:proofErr w:type="spellStart"/>
      <w:r w:rsidRPr="002B09C8">
        <w:rPr>
          <w:sz w:val="22"/>
          <w:szCs w:val="22"/>
          <w:lang w:val="sr-Latn-ME"/>
        </w:rPr>
        <w:t>upalnim</w:t>
      </w:r>
      <w:proofErr w:type="spellEnd"/>
      <w:r w:rsidRPr="002B09C8">
        <w:rPr>
          <w:sz w:val="22"/>
          <w:szCs w:val="22"/>
          <w:lang w:val="sr-Latn-ME"/>
        </w:rPr>
        <w:t xml:space="preserve"> ćelijama i </w:t>
      </w:r>
      <w:proofErr w:type="spellStart"/>
      <w:r w:rsidRPr="002B09C8">
        <w:rPr>
          <w:sz w:val="22"/>
          <w:szCs w:val="22"/>
          <w:lang w:val="sr-Latn-ME"/>
        </w:rPr>
        <w:t>endotelnih</w:t>
      </w:r>
      <w:proofErr w:type="spellEnd"/>
      <w:r w:rsidRPr="002B09C8">
        <w:rPr>
          <w:sz w:val="22"/>
          <w:szCs w:val="22"/>
          <w:lang w:val="sr-Latn-ME"/>
        </w:rPr>
        <w:t xml:space="preserve"> ćelija zida krvnih sudova. Interakcija između α4β1 i njegovih meta važan je dio patološke upale u mozgu i prekidom ovih interakcija dolazi do smanjenja upale. U normalnim okolnostima VCAM-1 nije </w:t>
      </w:r>
      <w:proofErr w:type="spellStart"/>
      <w:r w:rsidRPr="002B09C8">
        <w:rPr>
          <w:sz w:val="22"/>
          <w:szCs w:val="22"/>
          <w:lang w:val="sr-Latn-ME"/>
        </w:rPr>
        <w:t>eksprimiran</w:t>
      </w:r>
      <w:proofErr w:type="spellEnd"/>
      <w:r w:rsidRPr="002B09C8">
        <w:rPr>
          <w:sz w:val="22"/>
          <w:szCs w:val="22"/>
          <w:lang w:val="sr-Latn-ME"/>
        </w:rPr>
        <w:t xml:space="preserve"> u </w:t>
      </w:r>
      <w:proofErr w:type="spellStart"/>
      <w:r w:rsidRPr="002B09C8">
        <w:rPr>
          <w:sz w:val="22"/>
          <w:szCs w:val="22"/>
          <w:lang w:val="sr-Latn-ME"/>
        </w:rPr>
        <w:t>parenhimu</w:t>
      </w:r>
      <w:proofErr w:type="spellEnd"/>
      <w:r w:rsidRPr="002B09C8">
        <w:rPr>
          <w:sz w:val="22"/>
          <w:szCs w:val="22"/>
          <w:lang w:val="sr-Latn-ME"/>
        </w:rPr>
        <w:t xml:space="preserve"> mozga. Međutim, u prisustvu </w:t>
      </w:r>
      <w:proofErr w:type="spellStart"/>
      <w:r w:rsidRPr="002B09C8">
        <w:rPr>
          <w:sz w:val="22"/>
          <w:szCs w:val="22"/>
          <w:lang w:val="sr-Latn-ME"/>
        </w:rPr>
        <w:t>protivupalnih</w:t>
      </w:r>
      <w:proofErr w:type="spellEnd"/>
      <w:r w:rsidRPr="002B09C8">
        <w:rPr>
          <w:sz w:val="22"/>
          <w:szCs w:val="22"/>
          <w:lang w:val="sr-Latn-ME"/>
        </w:rPr>
        <w:t xml:space="preserve"> </w:t>
      </w:r>
      <w:proofErr w:type="spellStart"/>
      <w:r w:rsidRPr="002B09C8">
        <w:rPr>
          <w:sz w:val="22"/>
          <w:szCs w:val="22"/>
          <w:lang w:val="sr-Latn-ME"/>
        </w:rPr>
        <w:t>citokina</w:t>
      </w:r>
      <w:proofErr w:type="spellEnd"/>
      <w:r w:rsidRPr="002B09C8">
        <w:rPr>
          <w:sz w:val="22"/>
          <w:szCs w:val="22"/>
          <w:lang w:val="sr-Latn-ME"/>
        </w:rPr>
        <w:t xml:space="preserve">, dolazi do ekspresije VCAM-1 na </w:t>
      </w:r>
      <w:proofErr w:type="spellStart"/>
      <w:r w:rsidRPr="002B09C8">
        <w:rPr>
          <w:sz w:val="22"/>
          <w:szCs w:val="22"/>
          <w:lang w:val="sr-Latn-ME"/>
        </w:rPr>
        <w:t>endotelnim</w:t>
      </w:r>
      <w:proofErr w:type="spellEnd"/>
      <w:r w:rsidRPr="002B09C8">
        <w:rPr>
          <w:sz w:val="22"/>
          <w:szCs w:val="22"/>
          <w:lang w:val="sr-Latn-ME"/>
        </w:rPr>
        <w:t xml:space="preserve"> ćelijama, a vjerovatno i na </w:t>
      </w:r>
      <w:proofErr w:type="spellStart"/>
      <w:r w:rsidRPr="002B09C8">
        <w:rPr>
          <w:sz w:val="22"/>
          <w:szCs w:val="22"/>
          <w:lang w:val="sr-Latn-ME"/>
        </w:rPr>
        <w:t>glija</w:t>
      </w:r>
      <w:proofErr w:type="spellEnd"/>
      <w:r w:rsidRPr="002B09C8">
        <w:rPr>
          <w:sz w:val="22"/>
          <w:szCs w:val="22"/>
          <w:lang w:val="sr-Latn-ME"/>
        </w:rPr>
        <w:t xml:space="preserve"> ćelijama blizu mjesta upale. Za pojavu upale central</w:t>
      </w:r>
      <w:r w:rsidR="00773D3F" w:rsidRPr="002B09C8">
        <w:rPr>
          <w:sz w:val="22"/>
          <w:szCs w:val="22"/>
          <w:lang w:val="sr-Latn-ME"/>
        </w:rPr>
        <w:t>n</w:t>
      </w:r>
      <w:r w:rsidRPr="002B09C8">
        <w:rPr>
          <w:sz w:val="22"/>
          <w:szCs w:val="22"/>
          <w:lang w:val="sr-Latn-ME"/>
        </w:rPr>
        <w:t xml:space="preserve">og nervnog sistema (CNS) kod MS-a odgovorna je interakcija α4β1 sa VCAM-1, CS-1 i </w:t>
      </w:r>
      <w:proofErr w:type="spellStart"/>
      <w:r w:rsidRPr="002B09C8">
        <w:rPr>
          <w:sz w:val="22"/>
          <w:szCs w:val="22"/>
          <w:lang w:val="sr-Latn-ME"/>
        </w:rPr>
        <w:t>osteopontinom</w:t>
      </w:r>
      <w:proofErr w:type="spellEnd"/>
      <w:r w:rsidRPr="002B09C8">
        <w:rPr>
          <w:sz w:val="22"/>
          <w:szCs w:val="22"/>
          <w:lang w:val="sr-Latn-ME"/>
        </w:rPr>
        <w:t xml:space="preserve"> koja dovodi do snažne adhezije i </w:t>
      </w:r>
      <w:proofErr w:type="spellStart"/>
      <w:r w:rsidRPr="002B09C8">
        <w:rPr>
          <w:sz w:val="22"/>
          <w:szCs w:val="22"/>
          <w:lang w:val="sr-Latn-ME"/>
        </w:rPr>
        <w:t>prelaza</w:t>
      </w:r>
      <w:proofErr w:type="spellEnd"/>
      <w:r w:rsidRPr="002B09C8">
        <w:rPr>
          <w:sz w:val="22"/>
          <w:szCs w:val="22"/>
          <w:lang w:val="sr-Latn-ME"/>
        </w:rPr>
        <w:t xml:space="preserve"> leukocita u </w:t>
      </w:r>
      <w:proofErr w:type="spellStart"/>
      <w:r w:rsidRPr="002B09C8">
        <w:rPr>
          <w:sz w:val="22"/>
          <w:szCs w:val="22"/>
          <w:lang w:val="sr-Latn-ME"/>
        </w:rPr>
        <w:t>parenhim</w:t>
      </w:r>
      <w:proofErr w:type="spellEnd"/>
      <w:r w:rsidRPr="002B09C8">
        <w:rPr>
          <w:sz w:val="22"/>
          <w:szCs w:val="22"/>
          <w:lang w:val="sr-Latn-ME"/>
        </w:rPr>
        <w:t xml:space="preserve"> mozga te može pokrenuti </w:t>
      </w:r>
      <w:proofErr w:type="spellStart"/>
      <w:r w:rsidRPr="002B09C8">
        <w:rPr>
          <w:sz w:val="22"/>
          <w:szCs w:val="22"/>
          <w:lang w:val="sr-Latn-ME"/>
        </w:rPr>
        <w:t>upalni</w:t>
      </w:r>
      <w:proofErr w:type="spellEnd"/>
      <w:r w:rsidRPr="002B09C8">
        <w:rPr>
          <w:sz w:val="22"/>
          <w:szCs w:val="22"/>
          <w:lang w:val="sr-Latn-ME"/>
        </w:rPr>
        <w:t xml:space="preserve"> proces u tkivu CNS. Blokada molekulskih interakcija α4β1 s njegovim metama smanjuje </w:t>
      </w:r>
      <w:proofErr w:type="spellStart"/>
      <w:r w:rsidRPr="002B09C8">
        <w:rPr>
          <w:sz w:val="22"/>
          <w:szCs w:val="22"/>
          <w:lang w:val="sr-Latn-ME"/>
        </w:rPr>
        <w:t>upalnu</w:t>
      </w:r>
      <w:proofErr w:type="spellEnd"/>
      <w:r w:rsidRPr="002B09C8">
        <w:rPr>
          <w:sz w:val="22"/>
          <w:szCs w:val="22"/>
          <w:lang w:val="sr-Latn-ME"/>
        </w:rPr>
        <w:t xml:space="preserve"> aktivnost prisutnu u mozgu kod MS-a i inhibira dalji prodor imunoloških ćelija u upaljeno tkivo, čime smanjuje nastanak ili povećanje </w:t>
      </w:r>
      <w:proofErr w:type="spellStart"/>
      <w:r w:rsidRPr="002B09C8">
        <w:rPr>
          <w:sz w:val="22"/>
          <w:szCs w:val="22"/>
          <w:lang w:val="sr-Latn-ME"/>
        </w:rPr>
        <w:t>lezija</w:t>
      </w:r>
      <w:proofErr w:type="spellEnd"/>
      <w:r w:rsidRPr="002B09C8">
        <w:rPr>
          <w:sz w:val="22"/>
          <w:szCs w:val="22"/>
          <w:lang w:val="sr-Latn-ME"/>
        </w:rPr>
        <w:t xml:space="preserve"> kod MS-a.</w:t>
      </w:r>
    </w:p>
    <w:p w14:paraId="74955811" w14:textId="77777777" w:rsidR="00FB74D3" w:rsidRPr="002B09C8" w:rsidRDefault="00FB74D3" w:rsidP="00C74431">
      <w:pPr>
        <w:widowControl w:val="0"/>
        <w:jc w:val="both"/>
        <w:rPr>
          <w:sz w:val="22"/>
          <w:szCs w:val="22"/>
          <w:u w:val="single"/>
          <w:lang w:val="sr-Latn-ME"/>
        </w:rPr>
      </w:pPr>
    </w:p>
    <w:p w14:paraId="20606BA7" w14:textId="77777777" w:rsidR="00FB74D3" w:rsidRPr="002B09C8" w:rsidRDefault="00FB74D3" w:rsidP="00C74431">
      <w:pPr>
        <w:widowControl w:val="0"/>
        <w:jc w:val="both"/>
        <w:rPr>
          <w:sz w:val="22"/>
          <w:szCs w:val="22"/>
          <w:u w:val="single"/>
          <w:lang w:val="sr-Latn-ME"/>
        </w:rPr>
      </w:pPr>
      <w:r w:rsidRPr="002B09C8">
        <w:rPr>
          <w:sz w:val="22"/>
          <w:szCs w:val="22"/>
          <w:u w:val="single"/>
          <w:lang w:val="sr-Latn-ME"/>
        </w:rPr>
        <w:t>Klinička efikasnost</w:t>
      </w:r>
    </w:p>
    <w:p w14:paraId="0D97EA85" w14:textId="77777777" w:rsidR="00025D2A" w:rsidRPr="002B09C8" w:rsidRDefault="00025D2A" w:rsidP="00C74431">
      <w:pPr>
        <w:widowControl w:val="0"/>
        <w:jc w:val="both"/>
        <w:rPr>
          <w:sz w:val="22"/>
          <w:szCs w:val="22"/>
          <w:u w:val="single"/>
          <w:lang w:val="sr-Latn-ME"/>
        </w:rPr>
      </w:pPr>
    </w:p>
    <w:p w14:paraId="63F13958" w14:textId="7C92A336" w:rsidR="00025D2A" w:rsidRPr="002B09C8" w:rsidRDefault="00025D2A" w:rsidP="00C74431">
      <w:pPr>
        <w:widowControl w:val="0"/>
        <w:jc w:val="both"/>
        <w:rPr>
          <w:sz w:val="22"/>
          <w:szCs w:val="22"/>
          <w:u w:val="single"/>
          <w:lang w:val="sr-Latn-ME"/>
        </w:rPr>
      </w:pPr>
      <w:r w:rsidRPr="002B09C8">
        <w:rPr>
          <w:sz w:val="22"/>
          <w:szCs w:val="22"/>
          <w:u w:val="single"/>
          <w:lang w:val="sr-Latn-ME"/>
        </w:rPr>
        <w:t>AFFIRM klinička studija</w:t>
      </w:r>
    </w:p>
    <w:p w14:paraId="2E0EB9AA" w14:textId="77777777" w:rsidR="00FB74D3" w:rsidRPr="002B09C8" w:rsidRDefault="00FB74D3" w:rsidP="00C74431">
      <w:pPr>
        <w:widowControl w:val="0"/>
        <w:jc w:val="both"/>
        <w:rPr>
          <w:sz w:val="22"/>
          <w:szCs w:val="22"/>
          <w:lang w:val="sr-Latn-ME"/>
        </w:rPr>
      </w:pPr>
    </w:p>
    <w:p w14:paraId="3555A079" w14:textId="5D2C16EF" w:rsidR="00C8402F" w:rsidRPr="002B09C8" w:rsidRDefault="00FB74D3" w:rsidP="00C74431">
      <w:pPr>
        <w:widowControl w:val="0"/>
        <w:jc w:val="both"/>
        <w:rPr>
          <w:sz w:val="22"/>
          <w:szCs w:val="22"/>
          <w:lang w:val="sr-Latn-ME"/>
        </w:rPr>
      </w:pPr>
      <w:r w:rsidRPr="002B09C8">
        <w:rPr>
          <w:sz w:val="22"/>
          <w:szCs w:val="22"/>
          <w:lang w:val="sr-Latn-ME"/>
        </w:rPr>
        <w:t xml:space="preserve">Efikasnost </w:t>
      </w:r>
      <w:proofErr w:type="spellStart"/>
      <w:r w:rsidRPr="002B09C8">
        <w:rPr>
          <w:sz w:val="22"/>
          <w:szCs w:val="22"/>
          <w:lang w:val="sr-Latn-ME"/>
        </w:rPr>
        <w:t>monoterapije</w:t>
      </w:r>
      <w:proofErr w:type="spellEnd"/>
      <w:r w:rsidRPr="002B09C8">
        <w:rPr>
          <w:sz w:val="22"/>
          <w:szCs w:val="22"/>
          <w:lang w:val="sr-Latn-ME"/>
        </w:rPr>
        <w:t xml:space="preserve"> ispitana je u jednoj </w:t>
      </w:r>
      <w:proofErr w:type="spellStart"/>
      <w:r w:rsidRPr="002B09C8">
        <w:rPr>
          <w:sz w:val="22"/>
          <w:szCs w:val="22"/>
          <w:lang w:val="sr-Latn-ME"/>
        </w:rPr>
        <w:t>randomiz</w:t>
      </w:r>
      <w:r w:rsidR="00773D3F" w:rsidRPr="002B09C8">
        <w:rPr>
          <w:sz w:val="22"/>
          <w:szCs w:val="22"/>
          <w:lang w:val="sr-Latn-ME"/>
        </w:rPr>
        <w:t>ov</w:t>
      </w:r>
      <w:r w:rsidRPr="002B09C8">
        <w:rPr>
          <w:sz w:val="22"/>
          <w:szCs w:val="22"/>
          <w:lang w:val="sr-Latn-ME"/>
        </w:rPr>
        <w:t>anoj</w:t>
      </w:r>
      <w:proofErr w:type="spellEnd"/>
      <w:r w:rsidRPr="002B09C8">
        <w:rPr>
          <w:sz w:val="22"/>
          <w:szCs w:val="22"/>
          <w:lang w:val="sr-Latn-ME"/>
        </w:rPr>
        <w:t xml:space="preserve">, dvostruko slijepoj, </w:t>
      </w:r>
      <w:proofErr w:type="spellStart"/>
      <w:r w:rsidRPr="002B09C8">
        <w:rPr>
          <w:sz w:val="22"/>
          <w:szCs w:val="22"/>
          <w:lang w:val="sr-Latn-ME"/>
        </w:rPr>
        <w:t>placebo</w:t>
      </w:r>
      <w:proofErr w:type="spellEnd"/>
      <w:r w:rsidRPr="002B09C8">
        <w:rPr>
          <w:sz w:val="22"/>
          <w:szCs w:val="22"/>
          <w:lang w:val="sr-Latn-ME"/>
        </w:rPr>
        <w:t xml:space="preserve"> kontrolisanoj studiji u trajanju od 2 godine (studija AFFIRM) na pacijentima sa </w:t>
      </w:r>
      <w:r w:rsidR="002F67F6" w:rsidRPr="002B09C8">
        <w:rPr>
          <w:sz w:val="22"/>
          <w:szCs w:val="22"/>
          <w:lang w:val="sr-Latn-ME"/>
        </w:rPr>
        <w:t>RRMS</w:t>
      </w:r>
      <w:r w:rsidRPr="002B09C8">
        <w:rPr>
          <w:sz w:val="22"/>
          <w:szCs w:val="22"/>
          <w:lang w:val="sr-Latn-ME"/>
        </w:rPr>
        <w:t xml:space="preserve"> koji su doživjeli bar 1 klinički </w:t>
      </w:r>
      <w:proofErr w:type="spellStart"/>
      <w:r w:rsidRPr="002B09C8">
        <w:rPr>
          <w:sz w:val="22"/>
          <w:szCs w:val="22"/>
          <w:lang w:val="sr-Latn-ME"/>
        </w:rPr>
        <w:t>relaps</w:t>
      </w:r>
      <w:proofErr w:type="spellEnd"/>
      <w:r w:rsidRPr="002B09C8">
        <w:rPr>
          <w:sz w:val="22"/>
          <w:szCs w:val="22"/>
          <w:lang w:val="sr-Latn-ME"/>
        </w:rPr>
        <w:t xml:space="preserve"> u godini prije uključivanja u studiju te koji su prema </w:t>
      </w:r>
      <w:proofErr w:type="spellStart"/>
      <w:r w:rsidRPr="002B09C8">
        <w:rPr>
          <w:sz w:val="22"/>
          <w:szCs w:val="22"/>
          <w:lang w:val="sr-Latn-ME"/>
        </w:rPr>
        <w:t>Kurtzke</w:t>
      </w:r>
      <w:proofErr w:type="spellEnd"/>
      <w:r w:rsidRPr="002B09C8">
        <w:rPr>
          <w:sz w:val="22"/>
          <w:szCs w:val="22"/>
          <w:lang w:val="sr-Latn-ME"/>
        </w:rPr>
        <w:t>-ovoj skali stanja širenja nesposobnosti (‘</w:t>
      </w:r>
      <w:proofErr w:type="spellStart"/>
      <w:r w:rsidRPr="002B09C8">
        <w:rPr>
          <w:sz w:val="22"/>
          <w:szCs w:val="22"/>
          <w:lang w:val="sr-Latn-ME"/>
        </w:rPr>
        <w:t>Expanded</w:t>
      </w:r>
      <w:proofErr w:type="spellEnd"/>
      <w:r w:rsidRPr="002B09C8">
        <w:rPr>
          <w:sz w:val="22"/>
          <w:szCs w:val="22"/>
          <w:lang w:val="sr-Latn-ME"/>
        </w:rPr>
        <w:t xml:space="preserve"> </w:t>
      </w:r>
      <w:proofErr w:type="spellStart"/>
      <w:r w:rsidRPr="002B09C8">
        <w:rPr>
          <w:sz w:val="22"/>
          <w:szCs w:val="22"/>
          <w:lang w:val="sr-Latn-ME"/>
        </w:rPr>
        <w:t>Disability</w:t>
      </w:r>
      <w:proofErr w:type="spellEnd"/>
      <w:r w:rsidRPr="002B09C8">
        <w:rPr>
          <w:sz w:val="22"/>
          <w:szCs w:val="22"/>
          <w:lang w:val="sr-Latn-ME"/>
        </w:rPr>
        <w:t xml:space="preserve"> Status </w:t>
      </w:r>
      <w:proofErr w:type="spellStart"/>
      <w:r w:rsidRPr="002B09C8">
        <w:rPr>
          <w:sz w:val="22"/>
          <w:szCs w:val="22"/>
          <w:lang w:val="sr-Latn-ME"/>
        </w:rPr>
        <w:t>Scale</w:t>
      </w:r>
      <w:proofErr w:type="spellEnd"/>
      <w:r w:rsidRPr="002B09C8">
        <w:rPr>
          <w:sz w:val="22"/>
          <w:szCs w:val="22"/>
          <w:lang w:val="sr-Latn-ME"/>
        </w:rPr>
        <w:t xml:space="preserve">’, EDSS) ocijenjeni između 0. i 5. stepena. </w:t>
      </w:r>
      <w:proofErr w:type="spellStart"/>
      <w:r w:rsidRPr="002B09C8">
        <w:rPr>
          <w:sz w:val="22"/>
          <w:szCs w:val="22"/>
          <w:lang w:val="sr-Latn-ME"/>
        </w:rPr>
        <w:t>Medijana</w:t>
      </w:r>
      <w:proofErr w:type="spellEnd"/>
      <w:r w:rsidRPr="002B09C8">
        <w:rPr>
          <w:sz w:val="22"/>
          <w:szCs w:val="22"/>
          <w:lang w:val="sr-Latn-ME"/>
        </w:rPr>
        <w:t xml:space="preserve"> starosti je b</w:t>
      </w:r>
      <w:r w:rsidR="00773D3F" w:rsidRPr="002B09C8">
        <w:rPr>
          <w:sz w:val="22"/>
          <w:szCs w:val="22"/>
          <w:lang w:val="sr-Latn-ME"/>
        </w:rPr>
        <w:t>i</w:t>
      </w:r>
      <w:r w:rsidRPr="002B09C8">
        <w:rPr>
          <w:sz w:val="22"/>
          <w:szCs w:val="22"/>
          <w:lang w:val="sr-Latn-ME"/>
        </w:rPr>
        <w:t xml:space="preserve">la 37 godina, a </w:t>
      </w:r>
      <w:proofErr w:type="spellStart"/>
      <w:r w:rsidRPr="002B09C8">
        <w:rPr>
          <w:sz w:val="22"/>
          <w:szCs w:val="22"/>
          <w:lang w:val="sr-Latn-ME"/>
        </w:rPr>
        <w:t>medijana</w:t>
      </w:r>
      <w:proofErr w:type="spellEnd"/>
      <w:r w:rsidRPr="002B09C8">
        <w:rPr>
          <w:sz w:val="22"/>
          <w:szCs w:val="22"/>
          <w:lang w:val="sr-Latn-ME"/>
        </w:rPr>
        <w:t xml:space="preserve"> trajanja bolesti 5 godina. Pacijenti su bili nasumice raspodijeljeni u odnosu 2:1 u grupu koja je primala lijek </w:t>
      </w:r>
      <w:proofErr w:type="spellStart"/>
      <w:r w:rsidR="002F67F6" w:rsidRPr="002B09C8">
        <w:rPr>
          <w:sz w:val="22"/>
          <w:szCs w:val="22"/>
          <w:lang w:val="sr-Latn-ME"/>
        </w:rPr>
        <w:t>Tysabri</w:t>
      </w:r>
      <w:proofErr w:type="spellEnd"/>
      <w:r w:rsidR="002F67F6" w:rsidRPr="002B09C8">
        <w:rPr>
          <w:sz w:val="22"/>
          <w:szCs w:val="22"/>
          <w:lang w:val="sr-Latn-ME"/>
        </w:rPr>
        <w:t xml:space="preserve"> </w:t>
      </w:r>
      <w:r w:rsidRPr="002B09C8">
        <w:rPr>
          <w:sz w:val="22"/>
          <w:szCs w:val="22"/>
          <w:lang w:val="sr-Latn-ME"/>
        </w:rPr>
        <w:t xml:space="preserve">od 300 mg (n=627) i grupu koja je primala </w:t>
      </w:r>
      <w:proofErr w:type="spellStart"/>
      <w:r w:rsidRPr="002B09C8">
        <w:rPr>
          <w:sz w:val="22"/>
          <w:szCs w:val="22"/>
          <w:lang w:val="sr-Latn-ME"/>
        </w:rPr>
        <w:t>placebo</w:t>
      </w:r>
      <w:proofErr w:type="spellEnd"/>
      <w:r w:rsidRPr="002B09C8">
        <w:rPr>
          <w:sz w:val="22"/>
          <w:szCs w:val="22"/>
          <w:lang w:val="sr-Latn-ME"/>
        </w:rPr>
        <w:t xml:space="preserve"> (n=315) svake 4 sedmice do 30 infuzija. Neurološka ispitivanja su provođena svakih 12 sedmica, te kod sumnje na </w:t>
      </w:r>
      <w:proofErr w:type="spellStart"/>
      <w:r w:rsidRPr="002B09C8">
        <w:rPr>
          <w:sz w:val="22"/>
          <w:szCs w:val="22"/>
          <w:lang w:val="sr-Latn-ME"/>
        </w:rPr>
        <w:t>relaps</w:t>
      </w:r>
      <w:proofErr w:type="spellEnd"/>
      <w:r w:rsidRPr="002B09C8">
        <w:rPr>
          <w:sz w:val="22"/>
          <w:szCs w:val="22"/>
          <w:lang w:val="sr-Latn-ME"/>
        </w:rPr>
        <w:t xml:space="preserve">. MRI ispitivanja za </w:t>
      </w:r>
      <w:proofErr w:type="spellStart"/>
      <w:r w:rsidRPr="002B09C8">
        <w:rPr>
          <w:sz w:val="22"/>
          <w:szCs w:val="22"/>
          <w:lang w:val="sr-Latn-ME"/>
        </w:rPr>
        <w:t>lezije</w:t>
      </w:r>
      <w:proofErr w:type="spellEnd"/>
      <w:r w:rsidRPr="002B09C8">
        <w:rPr>
          <w:sz w:val="22"/>
          <w:szCs w:val="22"/>
          <w:lang w:val="sr-Latn-ME"/>
        </w:rPr>
        <w:t xml:space="preserve"> T1 utvrđene gadolinijumom (</w:t>
      </w:r>
      <w:proofErr w:type="spellStart"/>
      <w:r w:rsidRPr="002B09C8">
        <w:rPr>
          <w:sz w:val="22"/>
          <w:szCs w:val="22"/>
          <w:lang w:val="sr-Latn-ME"/>
        </w:rPr>
        <w:t>Gd</w:t>
      </w:r>
      <w:proofErr w:type="spellEnd"/>
      <w:r w:rsidRPr="002B09C8">
        <w:rPr>
          <w:sz w:val="22"/>
          <w:szCs w:val="22"/>
          <w:lang w:val="sr-Latn-ME"/>
        </w:rPr>
        <w:t xml:space="preserve">) i za </w:t>
      </w:r>
      <w:proofErr w:type="spellStart"/>
      <w:r w:rsidRPr="002B09C8">
        <w:rPr>
          <w:sz w:val="22"/>
          <w:szCs w:val="22"/>
          <w:lang w:val="sr-Latn-ME"/>
        </w:rPr>
        <w:t>hiperintenzivne</w:t>
      </w:r>
      <w:proofErr w:type="spellEnd"/>
      <w:r w:rsidRPr="002B09C8">
        <w:rPr>
          <w:sz w:val="22"/>
          <w:szCs w:val="22"/>
          <w:lang w:val="sr-Latn-ME"/>
        </w:rPr>
        <w:t xml:space="preserve"> </w:t>
      </w:r>
      <w:proofErr w:type="spellStart"/>
      <w:r w:rsidRPr="002B09C8">
        <w:rPr>
          <w:sz w:val="22"/>
          <w:szCs w:val="22"/>
          <w:lang w:val="sr-Latn-ME"/>
        </w:rPr>
        <w:t>lezije</w:t>
      </w:r>
      <w:proofErr w:type="spellEnd"/>
      <w:r w:rsidRPr="002B09C8">
        <w:rPr>
          <w:sz w:val="22"/>
          <w:szCs w:val="22"/>
          <w:lang w:val="sr-Latn-ME"/>
        </w:rPr>
        <w:t xml:space="preserve"> T2 vršene su jednom godišnje.</w:t>
      </w:r>
    </w:p>
    <w:p w14:paraId="7CC24C9A" w14:textId="77777777" w:rsidR="00FB74D3" w:rsidRPr="002B09C8" w:rsidRDefault="00FB74D3" w:rsidP="00C74431">
      <w:pPr>
        <w:widowControl w:val="0"/>
        <w:jc w:val="both"/>
        <w:rPr>
          <w:sz w:val="22"/>
          <w:szCs w:val="22"/>
          <w:lang w:val="sr-Latn-ME"/>
        </w:rPr>
      </w:pPr>
    </w:p>
    <w:p w14:paraId="30FA1953" w14:textId="42FA9557" w:rsidR="00FB74D3" w:rsidRPr="002B09C8" w:rsidRDefault="00FB74D3" w:rsidP="00C74431">
      <w:pPr>
        <w:widowControl w:val="0"/>
        <w:jc w:val="both"/>
        <w:rPr>
          <w:sz w:val="22"/>
          <w:szCs w:val="22"/>
          <w:lang w:val="sr-Latn-ME"/>
        </w:rPr>
      </w:pPr>
      <w:r w:rsidRPr="002B09C8">
        <w:rPr>
          <w:sz w:val="22"/>
          <w:szCs w:val="22"/>
          <w:lang w:val="sr-Latn-ME"/>
        </w:rPr>
        <w:t xml:space="preserve">Karakteristike i rezultati studije prikazani su u </w:t>
      </w:r>
      <w:r w:rsidR="0029113E" w:rsidRPr="002B09C8">
        <w:rPr>
          <w:sz w:val="22"/>
          <w:szCs w:val="22"/>
          <w:lang w:val="sr-Latn-ME"/>
        </w:rPr>
        <w:t>T</w:t>
      </w:r>
      <w:r w:rsidRPr="002B09C8">
        <w:rPr>
          <w:sz w:val="22"/>
          <w:szCs w:val="22"/>
          <w:lang w:val="sr-Latn-ME"/>
        </w:rPr>
        <w:t>abeli</w:t>
      </w:r>
      <w:r w:rsidR="0029113E" w:rsidRPr="002B09C8">
        <w:rPr>
          <w:sz w:val="22"/>
          <w:szCs w:val="22"/>
          <w:lang w:val="sr-Latn-ME"/>
        </w:rPr>
        <w:t xml:space="preserve"> 2</w:t>
      </w:r>
      <w:r w:rsidRPr="002B09C8">
        <w:rPr>
          <w:sz w:val="22"/>
          <w:szCs w:val="22"/>
          <w:lang w:val="sr-Latn-ME"/>
        </w:rPr>
        <w:t>.</w:t>
      </w:r>
    </w:p>
    <w:p w14:paraId="05AA570E" w14:textId="77777777" w:rsidR="00FB74D3" w:rsidRPr="002B09C8" w:rsidRDefault="00FB74D3" w:rsidP="00C74431">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2241"/>
        <w:gridCol w:w="3275"/>
      </w:tblGrid>
      <w:tr w:rsidR="00FB74D3" w:rsidRPr="002B09C8" w14:paraId="3D14CFE5" w14:textId="77777777" w:rsidTr="00CF1A4D">
        <w:tc>
          <w:tcPr>
            <w:tcW w:w="0" w:type="auto"/>
            <w:gridSpan w:val="3"/>
          </w:tcPr>
          <w:p w14:paraId="72DA55A7" w14:textId="6E65FADD" w:rsidR="00FB74D3" w:rsidRPr="002B09C8" w:rsidRDefault="00587D5A" w:rsidP="00C74431">
            <w:pPr>
              <w:widowControl w:val="0"/>
              <w:jc w:val="both"/>
              <w:rPr>
                <w:b/>
                <w:bCs/>
                <w:sz w:val="22"/>
                <w:szCs w:val="22"/>
                <w:lang w:val="sr-Latn-ME"/>
              </w:rPr>
            </w:pPr>
            <w:r w:rsidRPr="002B09C8">
              <w:rPr>
                <w:b/>
                <w:bCs/>
                <w:sz w:val="22"/>
                <w:szCs w:val="22"/>
                <w:lang w:val="sr-Latn-ME"/>
              </w:rPr>
              <w:t xml:space="preserve">Tabela 2. </w:t>
            </w:r>
            <w:r w:rsidR="00FB74D3" w:rsidRPr="002B09C8">
              <w:rPr>
                <w:b/>
                <w:bCs/>
                <w:sz w:val="22"/>
                <w:szCs w:val="22"/>
                <w:lang w:val="sr-Latn-ME"/>
              </w:rPr>
              <w:t>Studija AFFIRM: osnovne karakteristike i rezultati</w:t>
            </w:r>
          </w:p>
        </w:tc>
      </w:tr>
      <w:tr w:rsidR="00FB74D3" w:rsidRPr="002B09C8" w14:paraId="3C6B23F6" w14:textId="77777777" w:rsidTr="00CF1A4D">
        <w:tc>
          <w:tcPr>
            <w:tcW w:w="0" w:type="auto"/>
          </w:tcPr>
          <w:p w14:paraId="62785124" w14:textId="77777777" w:rsidR="00FB74D3" w:rsidRPr="002B09C8" w:rsidRDefault="00FB74D3" w:rsidP="00C74431">
            <w:pPr>
              <w:widowControl w:val="0"/>
              <w:jc w:val="both"/>
              <w:rPr>
                <w:sz w:val="22"/>
                <w:szCs w:val="22"/>
                <w:lang w:val="sr-Latn-ME"/>
              </w:rPr>
            </w:pPr>
            <w:r w:rsidRPr="002B09C8">
              <w:rPr>
                <w:sz w:val="22"/>
                <w:szCs w:val="22"/>
                <w:lang w:val="sr-Latn-ME"/>
              </w:rPr>
              <w:t>Dizajn</w:t>
            </w:r>
          </w:p>
        </w:tc>
        <w:tc>
          <w:tcPr>
            <w:tcW w:w="0" w:type="auto"/>
            <w:gridSpan w:val="2"/>
          </w:tcPr>
          <w:p w14:paraId="3CCDC0D3" w14:textId="7F78B9E5" w:rsidR="00FB74D3" w:rsidRPr="002B09C8" w:rsidRDefault="00FB74D3" w:rsidP="00A54362">
            <w:pPr>
              <w:widowControl w:val="0"/>
              <w:jc w:val="both"/>
              <w:rPr>
                <w:sz w:val="22"/>
                <w:szCs w:val="22"/>
                <w:lang w:val="sr-Latn-ME"/>
              </w:rPr>
            </w:pPr>
            <w:proofErr w:type="spellStart"/>
            <w:r w:rsidRPr="002B09C8">
              <w:rPr>
                <w:sz w:val="22"/>
                <w:szCs w:val="22"/>
                <w:lang w:val="sr-Latn-ME"/>
              </w:rPr>
              <w:t>Monoterapija</w:t>
            </w:r>
            <w:proofErr w:type="spellEnd"/>
            <w:r w:rsidRPr="002B09C8">
              <w:rPr>
                <w:sz w:val="22"/>
                <w:szCs w:val="22"/>
                <w:lang w:val="sr-Latn-ME"/>
              </w:rPr>
              <w:t xml:space="preserve">; </w:t>
            </w:r>
            <w:proofErr w:type="spellStart"/>
            <w:r w:rsidR="00773D3F" w:rsidRPr="002B09C8">
              <w:rPr>
                <w:sz w:val="22"/>
                <w:szCs w:val="22"/>
                <w:lang w:val="sr-Latn-ME"/>
              </w:rPr>
              <w:t>randomizovano</w:t>
            </w:r>
            <w:proofErr w:type="spellEnd"/>
            <w:r w:rsidRPr="002B09C8">
              <w:rPr>
                <w:sz w:val="22"/>
                <w:szCs w:val="22"/>
                <w:lang w:val="sr-Latn-ME"/>
              </w:rPr>
              <w:t xml:space="preserve">, dvostruko slijepo ispitivanje kontrolisano s paralelnom </w:t>
            </w:r>
            <w:proofErr w:type="spellStart"/>
            <w:r w:rsidRPr="002B09C8">
              <w:rPr>
                <w:sz w:val="22"/>
                <w:szCs w:val="22"/>
                <w:lang w:val="sr-Latn-ME"/>
              </w:rPr>
              <w:t>placebo</w:t>
            </w:r>
            <w:proofErr w:type="spellEnd"/>
            <w:r w:rsidRPr="002B09C8">
              <w:rPr>
                <w:sz w:val="22"/>
                <w:szCs w:val="22"/>
                <w:lang w:val="sr-Latn-ME"/>
              </w:rPr>
              <w:t xml:space="preserve"> grupom u trajanju od 120 sedmica</w:t>
            </w:r>
          </w:p>
        </w:tc>
      </w:tr>
      <w:tr w:rsidR="00FB74D3" w:rsidRPr="002B09C8" w14:paraId="3893EE94" w14:textId="77777777" w:rsidTr="00CF1A4D">
        <w:tc>
          <w:tcPr>
            <w:tcW w:w="0" w:type="auto"/>
          </w:tcPr>
          <w:p w14:paraId="754F6EE1" w14:textId="77777777" w:rsidR="00FB74D3" w:rsidRPr="002B09C8" w:rsidRDefault="00FB74D3" w:rsidP="00C74431">
            <w:pPr>
              <w:widowControl w:val="0"/>
              <w:jc w:val="both"/>
              <w:rPr>
                <w:sz w:val="22"/>
                <w:szCs w:val="22"/>
                <w:lang w:val="sr-Latn-ME"/>
              </w:rPr>
            </w:pPr>
            <w:r w:rsidRPr="002B09C8">
              <w:rPr>
                <w:sz w:val="22"/>
                <w:szCs w:val="22"/>
                <w:lang w:val="sr-Latn-ME"/>
              </w:rPr>
              <w:t>Ispitanici</w:t>
            </w:r>
          </w:p>
        </w:tc>
        <w:tc>
          <w:tcPr>
            <w:tcW w:w="0" w:type="auto"/>
            <w:gridSpan w:val="2"/>
          </w:tcPr>
          <w:p w14:paraId="035D97C4" w14:textId="77777777" w:rsidR="00FB74D3" w:rsidRPr="002B09C8" w:rsidRDefault="00FB74D3" w:rsidP="00C74431">
            <w:pPr>
              <w:widowControl w:val="0"/>
              <w:jc w:val="both"/>
              <w:rPr>
                <w:sz w:val="22"/>
                <w:szCs w:val="22"/>
                <w:lang w:val="sr-Latn-ME"/>
              </w:rPr>
            </w:pPr>
            <w:proofErr w:type="spellStart"/>
            <w:r w:rsidRPr="002B09C8">
              <w:rPr>
                <w:sz w:val="22"/>
                <w:szCs w:val="22"/>
                <w:lang w:val="sr-Latn-ME"/>
              </w:rPr>
              <w:t>Relapsno-remitentna</w:t>
            </w:r>
            <w:proofErr w:type="spellEnd"/>
            <w:r w:rsidRPr="002B09C8">
              <w:rPr>
                <w:sz w:val="22"/>
                <w:szCs w:val="22"/>
                <w:lang w:val="sr-Latn-ME"/>
              </w:rPr>
              <w:t xml:space="preserve"> MS ( </w:t>
            </w:r>
            <w:proofErr w:type="spellStart"/>
            <w:r w:rsidRPr="002B09C8">
              <w:rPr>
                <w:sz w:val="22"/>
                <w:szCs w:val="22"/>
                <w:lang w:val="sr-Latn-ME"/>
              </w:rPr>
              <w:t>McDonald</w:t>
            </w:r>
            <w:proofErr w:type="spellEnd"/>
            <w:r w:rsidRPr="002B09C8">
              <w:rPr>
                <w:sz w:val="22"/>
                <w:szCs w:val="22"/>
                <w:lang w:val="sr-Latn-ME"/>
              </w:rPr>
              <w:t>-ov kriterijum)</w:t>
            </w:r>
          </w:p>
        </w:tc>
      </w:tr>
      <w:tr w:rsidR="00FB74D3" w:rsidRPr="002B09C8" w14:paraId="38BE926F" w14:textId="77777777" w:rsidTr="00CF1A4D">
        <w:tc>
          <w:tcPr>
            <w:tcW w:w="0" w:type="auto"/>
          </w:tcPr>
          <w:p w14:paraId="1E347C55" w14:textId="77777777" w:rsidR="00FB74D3" w:rsidRPr="002B09C8" w:rsidRDefault="00FB74D3" w:rsidP="00C74431">
            <w:pPr>
              <w:widowControl w:val="0"/>
              <w:jc w:val="both"/>
              <w:rPr>
                <w:sz w:val="22"/>
                <w:szCs w:val="22"/>
                <w:lang w:val="sr-Latn-ME"/>
              </w:rPr>
            </w:pPr>
            <w:r w:rsidRPr="002B09C8">
              <w:rPr>
                <w:sz w:val="22"/>
                <w:szCs w:val="22"/>
                <w:lang w:val="sr-Latn-ME"/>
              </w:rPr>
              <w:t>Liječenje</w:t>
            </w:r>
          </w:p>
        </w:tc>
        <w:tc>
          <w:tcPr>
            <w:tcW w:w="0" w:type="auto"/>
            <w:gridSpan w:val="2"/>
          </w:tcPr>
          <w:p w14:paraId="5E92972D" w14:textId="77777777" w:rsidR="00FB74D3" w:rsidRPr="002B09C8" w:rsidRDefault="00FB74D3" w:rsidP="00C74431">
            <w:pPr>
              <w:widowControl w:val="0"/>
              <w:jc w:val="both"/>
              <w:rPr>
                <w:sz w:val="22"/>
                <w:szCs w:val="22"/>
                <w:lang w:val="sr-Latn-ME"/>
              </w:rPr>
            </w:pPr>
            <w:proofErr w:type="spellStart"/>
            <w:r w:rsidRPr="002B09C8">
              <w:rPr>
                <w:sz w:val="22"/>
                <w:szCs w:val="22"/>
                <w:lang w:val="sr-Latn-ME"/>
              </w:rPr>
              <w:t>Placebo</w:t>
            </w:r>
            <w:proofErr w:type="spellEnd"/>
            <w:r w:rsidRPr="002B09C8">
              <w:rPr>
                <w:sz w:val="22"/>
                <w:szCs w:val="22"/>
                <w:lang w:val="sr-Latn-ME"/>
              </w:rPr>
              <w:t>/</w:t>
            </w:r>
            <w:proofErr w:type="spellStart"/>
            <w:r w:rsidRPr="002B09C8">
              <w:rPr>
                <w:sz w:val="22"/>
                <w:szCs w:val="22"/>
                <w:lang w:val="sr-Latn-ME"/>
              </w:rPr>
              <w:t>Natalizumab</w:t>
            </w:r>
            <w:proofErr w:type="spellEnd"/>
            <w:r w:rsidRPr="002B09C8">
              <w:rPr>
                <w:sz w:val="22"/>
                <w:szCs w:val="22"/>
                <w:lang w:val="sr-Latn-ME"/>
              </w:rPr>
              <w:t xml:space="preserve"> 300 mg </w:t>
            </w:r>
            <w:proofErr w:type="spellStart"/>
            <w:r w:rsidRPr="002B09C8">
              <w:rPr>
                <w:sz w:val="22"/>
                <w:szCs w:val="22"/>
                <w:lang w:val="sr-Latn-ME"/>
              </w:rPr>
              <w:t>i.v</w:t>
            </w:r>
            <w:proofErr w:type="spellEnd"/>
            <w:r w:rsidRPr="002B09C8">
              <w:rPr>
                <w:sz w:val="22"/>
                <w:szCs w:val="22"/>
                <w:lang w:val="sr-Latn-ME"/>
              </w:rPr>
              <w:t>. svake 4 sedmice</w:t>
            </w:r>
          </w:p>
        </w:tc>
      </w:tr>
      <w:tr w:rsidR="00FB74D3" w:rsidRPr="002B09C8" w14:paraId="4BC1A018" w14:textId="77777777" w:rsidTr="00CF1A4D">
        <w:tc>
          <w:tcPr>
            <w:tcW w:w="0" w:type="auto"/>
          </w:tcPr>
          <w:p w14:paraId="0204742F" w14:textId="22401348" w:rsidR="00FB74D3" w:rsidRPr="002B09C8" w:rsidRDefault="00025D2A" w:rsidP="00C74431">
            <w:pPr>
              <w:widowControl w:val="0"/>
              <w:jc w:val="both"/>
              <w:rPr>
                <w:sz w:val="22"/>
                <w:szCs w:val="22"/>
                <w:lang w:val="sr-Latn-ME"/>
              </w:rPr>
            </w:pPr>
            <w:r w:rsidRPr="002B09C8">
              <w:rPr>
                <w:sz w:val="22"/>
                <w:szCs w:val="22"/>
                <w:lang w:val="sr-Latn-ME"/>
              </w:rPr>
              <w:t>Parametar praćenja</w:t>
            </w:r>
            <w:r w:rsidR="00FB74D3" w:rsidRPr="002B09C8">
              <w:rPr>
                <w:sz w:val="22"/>
                <w:szCs w:val="22"/>
                <w:lang w:val="sr-Latn-ME"/>
              </w:rPr>
              <w:t xml:space="preserve"> nakon prve godine</w:t>
            </w:r>
          </w:p>
        </w:tc>
        <w:tc>
          <w:tcPr>
            <w:tcW w:w="0" w:type="auto"/>
            <w:gridSpan w:val="2"/>
          </w:tcPr>
          <w:p w14:paraId="7FE9E9F7" w14:textId="77777777" w:rsidR="00FB74D3" w:rsidRPr="002B09C8" w:rsidRDefault="00FB74D3" w:rsidP="00C74431">
            <w:pPr>
              <w:widowControl w:val="0"/>
              <w:jc w:val="both"/>
              <w:rPr>
                <w:sz w:val="22"/>
                <w:szCs w:val="22"/>
                <w:lang w:val="sr-Latn-ME"/>
              </w:rPr>
            </w:pPr>
            <w:r w:rsidRPr="002B09C8">
              <w:rPr>
                <w:sz w:val="22"/>
                <w:szCs w:val="22"/>
                <w:lang w:val="sr-Latn-ME"/>
              </w:rPr>
              <w:t xml:space="preserve">Učestalost </w:t>
            </w:r>
            <w:proofErr w:type="spellStart"/>
            <w:r w:rsidRPr="002B09C8">
              <w:rPr>
                <w:sz w:val="22"/>
                <w:szCs w:val="22"/>
                <w:lang w:val="sr-Latn-ME"/>
              </w:rPr>
              <w:t>relapsa</w:t>
            </w:r>
            <w:proofErr w:type="spellEnd"/>
          </w:p>
        </w:tc>
      </w:tr>
      <w:tr w:rsidR="00FB74D3" w:rsidRPr="002B09C8" w14:paraId="473144C6" w14:textId="77777777" w:rsidTr="00CF1A4D">
        <w:tc>
          <w:tcPr>
            <w:tcW w:w="0" w:type="auto"/>
          </w:tcPr>
          <w:p w14:paraId="5E2790C2" w14:textId="0F30817C" w:rsidR="00FB74D3" w:rsidRPr="002B09C8" w:rsidRDefault="00025D2A" w:rsidP="00C74431">
            <w:pPr>
              <w:widowControl w:val="0"/>
              <w:jc w:val="both"/>
              <w:rPr>
                <w:sz w:val="22"/>
                <w:szCs w:val="22"/>
                <w:lang w:val="sr-Latn-ME"/>
              </w:rPr>
            </w:pPr>
            <w:r w:rsidRPr="002B09C8">
              <w:rPr>
                <w:sz w:val="22"/>
                <w:szCs w:val="22"/>
                <w:lang w:val="sr-Latn-ME"/>
              </w:rPr>
              <w:lastRenderedPageBreak/>
              <w:t>Parametar praćenja</w:t>
            </w:r>
            <w:r w:rsidR="00FB74D3" w:rsidRPr="002B09C8">
              <w:rPr>
                <w:sz w:val="22"/>
                <w:szCs w:val="22"/>
                <w:lang w:val="sr-Latn-ME"/>
              </w:rPr>
              <w:t xml:space="preserve"> nakon druge godine</w:t>
            </w:r>
          </w:p>
        </w:tc>
        <w:tc>
          <w:tcPr>
            <w:tcW w:w="0" w:type="auto"/>
            <w:gridSpan w:val="2"/>
          </w:tcPr>
          <w:p w14:paraId="2EE94CBA" w14:textId="77777777" w:rsidR="00FB74D3" w:rsidRPr="002B09C8" w:rsidRDefault="00FB74D3" w:rsidP="00C74431">
            <w:pPr>
              <w:widowControl w:val="0"/>
              <w:jc w:val="both"/>
              <w:rPr>
                <w:sz w:val="22"/>
                <w:szCs w:val="22"/>
                <w:lang w:val="sr-Latn-ME"/>
              </w:rPr>
            </w:pPr>
            <w:r w:rsidRPr="002B09C8">
              <w:rPr>
                <w:sz w:val="22"/>
                <w:szCs w:val="22"/>
                <w:lang w:val="sr-Latn-ME"/>
              </w:rPr>
              <w:t>Napredovanje na EDSS</w:t>
            </w:r>
          </w:p>
        </w:tc>
      </w:tr>
      <w:tr w:rsidR="00FB74D3" w:rsidRPr="002B09C8" w14:paraId="3A3B61A3" w14:textId="77777777" w:rsidTr="00CF1A4D">
        <w:tc>
          <w:tcPr>
            <w:tcW w:w="0" w:type="auto"/>
          </w:tcPr>
          <w:p w14:paraId="48284B87" w14:textId="52E41ABB" w:rsidR="00FB74D3" w:rsidRPr="002B09C8" w:rsidRDefault="00FB74D3" w:rsidP="00C74431">
            <w:pPr>
              <w:widowControl w:val="0"/>
              <w:jc w:val="both"/>
              <w:rPr>
                <w:sz w:val="22"/>
                <w:szCs w:val="22"/>
                <w:lang w:val="sr-Latn-ME"/>
              </w:rPr>
            </w:pPr>
            <w:r w:rsidRPr="002B09C8">
              <w:rPr>
                <w:sz w:val="22"/>
                <w:szCs w:val="22"/>
                <w:lang w:val="sr-Latn-ME"/>
              </w:rPr>
              <w:t xml:space="preserve">Sekundarni </w:t>
            </w:r>
            <w:r w:rsidR="00025D2A" w:rsidRPr="002B09C8">
              <w:rPr>
                <w:sz w:val="22"/>
                <w:szCs w:val="22"/>
                <w:lang w:val="sr-Latn-ME"/>
              </w:rPr>
              <w:t>parametar praćenja</w:t>
            </w:r>
          </w:p>
        </w:tc>
        <w:tc>
          <w:tcPr>
            <w:tcW w:w="0" w:type="auto"/>
            <w:gridSpan w:val="2"/>
          </w:tcPr>
          <w:p w14:paraId="4CE64D96" w14:textId="77777777" w:rsidR="00FB74D3" w:rsidRPr="002B09C8" w:rsidRDefault="00FB74D3" w:rsidP="00C74431">
            <w:pPr>
              <w:widowControl w:val="0"/>
              <w:jc w:val="both"/>
              <w:rPr>
                <w:sz w:val="22"/>
                <w:szCs w:val="22"/>
                <w:lang w:val="sr-Latn-ME"/>
              </w:rPr>
            </w:pPr>
            <w:r w:rsidRPr="002B09C8">
              <w:rPr>
                <w:sz w:val="22"/>
                <w:szCs w:val="22"/>
                <w:lang w:val="sr-Latn-ME"/>
              </w:rPr>
              <w:t xml:space="preserve">Varijable dobijene na osnovu učestalosti </w:t>
            </w:r>
            <w:proofErr w:type="spellStart"/>
            <w:r w:rsidRPr="002B09C8">
              <w:rPr>
                <w:sz w:val="22"/>
                <w:szCs w:val="22"/>
                <w:lang w:val="sr-Latn-ME"/>
              </w:rPr>
              <w:t>relapsa</w:t>
            </w:r>
            <w:proofErr w:type="spellEnd"/>
            <w:r w:rsidRPr="002B09C8">
              <w:rPr>
                <w:sz w:val="22"/>
                <w:szCs w:val="22"/>
                <w:lang w:val="sr-Latn-ME"/>
              </w:rPr>
              <w:t xml:space="preserve"> / varijable dobijene na osnovu MRI</w:t>
            </w:r>
          </w:p>
        </w:tc>
      </w:tr>
      <w:tr w:rsidR="00FB74D3" w:rsidRPr="002B09C8" w14:paraId="583FA12A" w14:textId="77777777" w:rsidTr="00CF1A4D">
        <w:tc>
          <w:tcPr>
            <w:tcW w:w="0" w:type="auto"/>
          </w:tcPr>
          <w:p w14:paraId="131D8482" w14:textId="77777777" w:rsidR="00FB74D3" w:rsidRPr="002B09C8" w:rsidRDefault="00FB74D3" w:rsidP="00C74431">
            <w:pPr>
              <w:widowControl w:val="0"/>
              <w:jc w:val="both"/>
              <w:rPr>
                <w:sz w:val="22"/>
                <w:szCs w:val="22"/>
                <w:lang w:val="sr-Latn-ME"/>
              </w:rPr>
            </w:pPr>
            <w:r w:rsidRPr="002B09C8">
              <w:rPr>
                <w:sz w:val="22"/>
                <w:szCs w:val="22"/>
                <w:lang w:val="sr-Latn-ME"/>
              </w:rPr>
              <w:t>Ispitanici</w:t>
            </w:r>
          </w:p>
        </w:tc>
        <w:tc>
          <w:tcPr>
            <w:tcW w:w="0" w:type="auto"/>
          </w:tcPr>
          <w:p w14:paraId="6E711DFB" w14:textId="77777777" w:rsidR="00FB74D3" w:rsidRPr="002B09C8" w:rsidRDefault="00FB74D3" w:rsidP="00C74431">
            <w:pPr>
              <w:widowControl w:val="0"/>
              <w:jc w:val="both"/>
              <w:rPr>
                <w:sz w:val="22"/>
                <w:szCs w:val="22"/>
                <w:lang w:val="sr-Latn-ME"/>
              </w:rPr>
            </w:pPr>
            <w:proofErr w:type="spellStart"/>
            <w:r w:rsidRPr="002B09C8">
              <w:rPr>
                <w:sz w:val="22"/>
                <w:szCs w:val="22"/>
                <w:lang w:val="sr-Latn-ME"/>
              </w:rPr>
              <w:t>Placebo</w:t>
            </w:r>
            <w:proofErr w:type="spellEnd"/>
          </w:p>
        </w:tc>
        <w:tc>
          <w:tcPr>
            <w:tcW w:w="0" w:type="auto"/>
          </w:tcPr>
          <w:p w14:paraId="04980D37" w14:textId="77777777" w:rsidR="00FB74D3" w:rsidRPr="002B09C8" w:rsidRDefault="00FB74D3" w:rsidP="00C74431">
            <w:pPr>
              <w:widowControl w:val="0"/>
              <w:jc w:val="both"/>
              <w:rPr>
                <w:sz w:val="22"/>
                <w:szCs w:val="22"/>
                <w:lang w:val="sr-Latn-ME"/>
              </w:rPr>
            </w:pPr>
            <w:proofErr w:type="spellStart"/>
            <w:r w:rsidRPr="002B09C8">
              <w:rPr>
                <w:sz w:val="22"/>
                <w:szCs w:val="22"/>
                <w:lang w:val="sr-Latn-ME"/>
              </w:rPr>
              <w:t>Natalizumab</w:t>
            </w:r>
            <w:proofErr w:type="spellEnd"/>
          </w:p>
        </w:tc>
      </w:tr>
      <w:tr w:rsidR="00FB74D3" w:rsidRPr="002B09C8" w14:paraId="151B3977" w14:textId="77777777" w:rsidTr="00CF1A4D">
        <w:tc>
          <w:tcPr>
            <w:tcW w:w="0" w:type="auto"/>
          </w:tcPr>
          <w:p w14:paraId="1C16AC37" w14:textId="77777777" w:rsidR="00FB74D3" w:rsidRPr="002B09C8" w:rsidRDefault="00FB74D3" w:rsidP="00C74431">
            <w:pPr>
              <w:widowControl w:val="0"/>
              <w:jc w:val="both"/>
              <w:rPr>
                <w:sz w:val="22"/>
                <w:szCs w:val="22"/>
                <w:lang w:val="sr-Latn-ME"/>
              </w:rPr>
            </w:pPr>
            <w:proofErr w:type="spellStart"/>
            <w:r w:rsidRPr="002B09C8">
              <w:rPr>
                <w:sz w:val="22"/>
                <w:szCs w:val="22"/>
                <w:lang w:val="sr-Latn-ME"/>
              </w:rPr>
              <w:t>Randomizacija</w:t>
            </w:r>
            <w:proofErr w:type="spellEnd"/>
          </w:p>
        </w:tc>
        <w:tc>
          <w:tcPr>
            <w:tcW w:w="0" w:type="auto"/>
          </w:tcPr>
          <w:p w14:paraId="2CD9794C" w14:textId="77777777" w:rsidR="00FB74D3" w:rsidRPr="002B09C8" w:rsidRDefault="00FB74D3" w:rsidP="00C74431">
            <w:pPr>
              <w:widowControl w:val="0"/>
              <w:jc w:val="both"/>
              <w:rPr>
                <w:sz w:val="22"/>
                <w:szCs w:val="22"/>
                <w:lang w:val="sr-Latn-ME"/>
              </w:rPr>
            </w:pPr>
            <w:r w:rsidRPr="002B09C8">
              <w:rPr>
                <w:sz w:val="22"/>
                <w:szCs w:val="22"/>
                <w:lang w:val="sr-Latn-ME"/>
              </w:rPr>
              <w:t>315</w:t>
            </w:r>
          </w:p>
        </w:tc>
        <w:tc>
          <w:tcPr>
            <w:tcW w:w="0" w:type="auto"/>
          </w:tcPr>
          <w:p w14:paraId="2E0F1EBE" w14:textId="77777777" w:rsidR="00FB74D3" w:rsidRPr="002B09C8" w:rsidRDefault="00FB74D3" w:rsidP="00C74431">
            <w:pPr>
              <w:widowControl w:val="0"/>
              <w:jc w:val="both"/>
              <w:rPr>
                <w:sz w:val="22"/>
                <w:szCs w:val="22"/>
                <w:lang w:val="sr-Latn-ME"/>
              </w:rPr>
            </w:pPr>
            <w:r w:rsidRPr="002B09C8">
              <w:rPr>
                <w:sz w:val="22"/>
                <w:szCs w:val="22"/>
                <w:lang w:val="sr-Latn-ME"/>
              </w:rPr>
              <w:t>627</w:t>
            </w:r>
          </w:p>
        </w:tc>
      </w:tr>
      <w:tr w:rsidR="00FB74D3" w:rsidRPr="002B09C8" w14:paraId="46956113" w14:textId="77777777" w:rsidTr="00CF1A4D">
        <w:tc>
          <w:tcPr>
            <w:tcW w:w="0" w:type="auto"/>
          </w:tcPr>
          <w:p w14:paraId="507846EC" w14:textId="77777777" w:rsidR="00FB74D3" w:rsidRPr="002B09C8" w:rsidRDefault="00FB74D3" w:rsidP="00C74431">
            <w:pPr>
              <w:widowControl w:val="0"/>
              <w:jc w:val="both"/>
              <w:rPr>
                <w:sz w:val="22"/>
                <w:szCs w:val="22"/>
                <w:lang w:val="sr-Latn-ME"/>
              </w:rPr>
            </w:pPr>
            <w:r w:rsidRPr="002B09C8">
              <w:rPr>
                <w:sz w:val="22"/>
                <w:szCs w:val="22"/>
                <w:lang w:val="sr-Latn-ME"/>
              </w:rPr>
              <w:t>Broj ispitanika na kraju 1 godine</w:t>
            </w:r>
          </w:p>
        </w:tc>
        <w:tc>
          <w:tcPr>
            <w:tcW w:w="0" w:type="auto"/>
          </w:tcPr>
          <w:p w14:paraId="3145AA85" w14:textId="77777777" w:rsidR="00FB74D3" w:rsidRPr="002B09C8" w:rsidRDefault="00FB74D3" w:rsidP="00C74431">
            <w:pPr>
              <w:widowControl w:val="0"/>
              <w:jc w:val="both"/>
              <w:rPr>
                <w:sz w:val="22"/>
                <w:szCs w:val="22"/>
                <w:lang w:val="sr-Latn-ME"/>
              </w:rPr>
            </w:pPr>
            <w:r w:rsidRPr="002B09C8">
              <w:rPr>
                <w:sz w:val="22"/>
                <w:szCs w:val="22"/>
                <w:lang w:val="sr-Latn-ME"/>
              </w:rPr>
              <w:t>296</w:t>
            </w:r>
          </w:p>
        </w:tc>
        <w:tc>
          <w:tcPr>
            <w:tcW w:w="0" w:type="auto"/>
          </w:tcPr>
          <w:p w14:paraId="58AB818A" w14:textId="77777777" w:rsidR="00FB74D3" w:rsidRPr="002B09C8" w:rsidRDefault="00FB74D3" w:rsidP="00C74431">
            <w:pPr>
              <w:widowControl w:val="0"/>
              <w:jc w:val="both"/>
              <w:rPr>
                <w:sz w:val="22"/>
                <w:szCs w:val="22"/>
                <w:lang w:val="sr-Latn-ME"/>
              </w:rPr>
            </w:pPr>
            <w:r w:rsidRPr="002B09C8">
              <w:rPr>
                <w:sz w:val="22"/>
                <w:szCs w:val="22"/>
                <w:lang w:val="sr-Latn-ME"/>
              </w:rPr>
              <w:t>609</w:t>
            </w:r>
          </w:p>
        </w:tc>
      </w:tr>
      <w:tr w:rsidR="00FB74D3" w:rsidRPr="002B09C8" w14:paraId="76E30DAA" w14:textId="77777777" w:rsidTr="00CF1A4D">
        <w:tc>
          <w:tcPr>
            <w:tcW w:w="0" w:type="auto"/>
          </w:tcPr>
          <w:p w14:paraId="6BB9FCDA" w14:textId="77777777" w:rsidR="00FB74D3" w:rsidRPr="002B09C8" w:rsidRDefault="00FB74D3" w:rsidP="00C74431">
            <w:pPr>
              <w:widowControl w:val="0"/>
              <w:jc w:val="both"/>
              <w:rPr>
                <w:sz w:val="22"/>
                <w:szCs w:val="22"/>
                <w:lang w:val="sr-Latn-ME"/>
              </w:rPr>
            </w:pPr>
            <w:r w:rsidRPr="002B09C8">
              <w:rPr>
                <w:sz w:val="22"/>
                <w:szCs w:val="22"/>
                <w:lang w:val="sr-Latn-ME"/>
              </w:rPr>
              <w:t>Broj ispitanika na kraju 2 godine</w:t>
            </w:r>
          </w:p>
        </w:tc>
        <w:tc>
          <w:tcPr>
            <w:tcW w:w="0" w:type="auto"/>
          </w:tcPr>
          <w:p w14:paraId="59262710" w14:textId="77777777" w:rsidR="00FB74D3" w:rsidRPr="002B09C8" w:rsidRDefault="00FB74D3" w:rsidP="00C74431">
            <w:pPr>
              <w:widowControl w:val="0"/>
              <w:jc w:val="both"/>
              <w:rPr>
                <w:sz w:val="22"/>
                <w:szCs w:val="22"/>
                <w:lang w:val="sr-Latn-ME"/>
              </w:rPr>
            </w:pPr>
            <w:r w:rsidRPr="002B09C8">
              <w:rPr>
                <w:sz w:val="22"/>
                <w:szCs w:val="22"/>
                <w:lang w:val="sr-Latn-ME"/>
              </w:rPr>
              <w:t>285</w:t>
            </w:r>
          </w:p>
        </w:tc>
        <w:tc>
          <w:tcPr>
            <w:tcW w:w="0" w:type="auto"/>
          </w:tcPr>
          <w:p w14:paraId="27B571FF" w14:textId="77777777" w:rsidR="00FB74D3" w:rsidRPr="002B09C8" w:rsidRDefault="00FB74D3" w:rsidP="00C74431">
            <w:pPr>
              <w:widowControl w:val="0"/>
              <w:jc w:val="both"/>
              <w:rPr>
                <w:sz w:val="22"/>
                <w:szCs w:val="22"/>
                <w:lang w:val="sr-Latn-ME"/>
              </w:rPr>
            </w:pPr>
            <w:r w:rsidRPr="002B09C8">
              <w:rPr>
                <w:sz w:val="22"/>
                <w:szCs w:val="22"/>
                <w:lang w:val="sr-Latn-ME"/>
              </w:rPr>
              <w:t>589</w:t>
            </w:r>
          </w:p>
        </w:tc>
      </w:tr>
      <w:tr w:rsidR="00FB74D3" w:rsidRPr="002B09C8" w14:paraId="64933C33" w14:textId="77777777" w:rsidTr="00CF1A4D">
        <w:tc>
          <w:tcPr>
            <w:tcW w:w="0" w:type="auto"/>
          </w:tcPr>
          <w:p w14:paraId="7F901E47" w14:textId="77777777" w:rsidR="00FB74D3" w:rsidRPr="002B09C8" w:rsidRDefault="00FB74D3" w:rsidP="00C74431">
            <w:pPr>
              <w:widowControl w:val="0"/>
              <w:jc w:val="both"/>
              <w:rPr>
                <w:sz w:val="22"/>
                <w:szCs w:val="22"/>
                <w:lang w:val="sr-Latn-ME"/>
              </w:rPr>
            </w:pPr>
          </w:p>
        </w:tc>
        <w:tc>
          <w:tcPr>
            <w:tcW w:w="0" w:type="auto"/>
          </w:tcPr>
          <w:p w14:paraId="56E67CCF" w14:textId="77777777" w:rsidR="00FB74D3" w:rsidRPr="002B09C8" w:rsidRDefault="00FB74D3" w:rsidP="00C74431">
            <w:pPr>
              <w:widowControl w:val="0"/>
              <w:jc w:val="both"/>
              <w:rPr>
                <w:sz w:val="22"/>
                <w:szCs w:val="22"/>
                <w:lang w:val="sr-Latn-ME"/>
              </w:rPr>
            </w:pPr>
          </w:p>
        </w:tc>
        <w:tc>
          <w:tcPr>
            <w:tcW w:w="0" w:type="auto"/>
          </w:tcPr>
          <w:p w14:paraId="634EE425" w14:textId="77777777" w:rsidR="00FB74D3" w:rsidRPr="002B09C8" w:rsidRDefault="00FB74D3" w:rsidP="00C74431">
            <w:pPr>
              <w:widowControl w:val="0"/>
              <w:jc w:val="both"/>
              <w:rPr>
                <w:sz w:val="22"/>
                <w:szCs w:val="22"/>
                <w:lang w:val="sr-Latn-ME"/>
              </w:rPr>
            </w:pPr>
          </w:p>
        </w:tc>
      </w:tr>
      <w:tr w:rsidR="00FB74D3" w:rsidRPr="002B09C8" w14:paraId="0812D9F3" w14:textId="77777777" w:rsidTr="00CF1A4D">
        <w:tc>
          <w:tcPr>
            <w:tcW w:w="0" w:type="auto"/>
          </w:tcPr>
          <w:p w14:paraId="7F796BC8" w14:textId="13E269FA" w:rsidR="00FB74D3" w:rsidRPr="002B09C8" w:rsidRDefault="002F67F6" w:rsidP="00C74431">
            <w:pPr>
              <w:widowControl w:val="0"/>
              <w:jc w:val="both"/>
              <w:rPr>
                <w:sz w:val="22"/>
                <w:szCs w:val="22"/>
                <w:lang w:val="sr-Latn-ME"/>
              </w:rPr>
            </w:pPr>
            <w:proofErr w:type="spellStart"/>
            <w:r w:rsidRPr="002B09C8">
              <w:rPr>
                <w:sz w:val="22"/>
                <w:szCs w:val="22"/>
                <w:lang w:val="sr-Latn-ME"/>
              </w:rPr>
              <w:t>Medijana</w:t>
            </w:r>
            <w:proofErr w:type="spellEnd"/>
            <w:r w:rsidRPr="002B09C8">
              <w:rPr>
                <w:sz w:val="22"/>
                <w:szCs w:val="22"/>
                <w:lang w:val="sr-Latn-ME"/>
              </w:rPr>
              <w:t xml:space="preserve"> </w:t>
            </w:r>
            <w:r w:rsidR="00FB74D3" w:rsidRPr="002B09C8">
              <w:rPr>
                <w:sz w:val="22"/>
                <w:szCs w:val="22"/>
                <w:lang w:val="sr-Latn-ME"/>
              </w:rPr>
              <w:t>starost</w:t>
            </w:r>
            <w:r w:rsidRPr="002B09C8">
              <w:rPr>
                <w:sz w:val="22"/>
                <w:szCs w:val="22"/>
                <w:lang w:val="sr-Latn-ME"/>
              </w:rPr>
              <w:t>i</w:t>
            </w:r>
            <w:r w:rsidR="00FB74D3" w:rsidRPr="002B09C8">
              <w:rPr>
                <w:sz w:val="22"/>
                <w:szCs w:val="22"/>
                <w:lang w:val="sr-Latn-ME"/>
              </w:rPr>
              <w:t xml:space="preserve"> pacijenata (raspon) </w:t>
            </w:r>
          </w:p>
        </w:tc>
        <w:tc>
          <w:tcPr>
            <w:tcW w:w="0" w:type="auto"/>
          </w:tcPr>
          <w:p w14:paraId="7028D023" w14:textId="77777777" w:rsidR="00FB74D3" w:rsidRPr="002B09C8" w:rsidRDefault="00FB74D3" w:rsidP="00C74431">
            <w:pPr>
              <w:widowControl w:val="0"/>
              <w:jc w:val="both"/>
              <w:rPr>
                <w:sz w:val="22"/>
                <w:szCs w:val="22"/>
                <w:lang w:val="sr-Latn-ME"/>
              </w:rPr>
            </w:pPr>
            <w:r w:rsidRPr="002B09C8">
              <w:rPr>
                <w:sz w:val="22"/>
                <w:szCs w:val="22"/>
                <w:lang w:val="sr-Latn-ME"/>
              </w:rPr>
              <w:t>37 (19-50)</w:t>
            </w:r>
          </w:p>
        </w:tc>
        <w:tc>
          <w:tcPr>
            <w:tcW w:w="0" w:type="auto"/>
          </w:tcPr>
          <w:p w14:paraId="68C5D1EA" w14:textId="77777777" w:rsidR="00FB74D3" w:rsidRPr="002B09C8" w:rsidRDefault="00FB74D3" w:rsidP="00C74431">
            <w:pPr>
              <w:widowControl w:val="0"/>
              <w:jc w:val="both"/>
              <w:rPr>
                <w:sz w:val="22"/>
                <w:szCs w:val="22"/>
                <w:lang w:val="sr-Latn-ME"/>
              </w:rPr>
            </w:pPr>
            <w:r w:rsidRPr="002B09C8">
              <w:rPr>
                <w:sz w:val="22"/>
                <w:szCs w:val="22"/>
                <w:lang w:val="sr-Latn-ME"/>
              </w:rPr>
              <w:t>36 (18-50)</w:t>
            </w:r>
          </w:p>
        </w:tc>
      </w:tr>
      <w:tr w:rsidR="00FB74D3" w:rsidRPr="002B09C8" w14:paraId="45C66431" w14:textId="77777777" w:rsidTr="00CF1A4D">
        <w:tc>
          <w:tcPr>
            <w:tcW w:w="0" w:type="auto"/>
          </w:tcPr>
          <w:p w14:paraId="563FEDE2" w14:textId="77777777" w:rsidR="00FB74D3" w:rsidRPr="002B09C8" w:rsidRDefault="00FB74D3" w:rsidP="00C74431">
            <w:pPr>
              <w:widowControl w:val="0"/>
              <w:jc w:val="both"/>
              <w:rPr>
                <w:sz w:val="22"/>
                <w:szCs w:val="22"/>
                <w:lang w:val="sr-Latn-ME"/>
              </w:rPr>
            </w:pPr>
            <w:r w:rsidRPr="002B09C8">
              <w:rPr>
                <w:sz w:val="22"/>
                <w:szCs w:val="22"/>
                <w:lang w:val="sr-Latn-ME"/>
              </w:rPr>
              <w:t xml:space="preserve">Istorija MS u godinama, </w:t>
            </w:r>
            <w:proofErr w:type="spellStart"/>
            <w:r w:rsidRPr="002B09C8">
              <w:rPr>
                <w:sz w:val="22"/>
                <w:szCs w:val="22"/>
                <w:lang w:val="sr-Latn-ME"/>
              </w:rPr>
              <w:t>medijana</w:t>
            </w:r>
            <w:proofErr w:type="spellEnd"/>
            <w:r w:rsidRPr="002B09C8">
              <w:rPr>
                <w:sz w:val="22"/>
                <w:szCs w:val="22"/>
                <w:lang w:val="sr-Latn-ME"/>
              </w:rPr>
              <w:t xml:space="preserve"> (raspon)</w:t>
            </w:r>
          </w:p>
        </w:tc>
        <w:tc>
          <w:tcPr>
            <w:tcW w:w="0" w:type="auto"/>
          </w:tcPr>
          <w:p w14:paraId="6D95D030" w14:textId="77777777" w:rsidR="00FB74D3" w:rsidRPr="002B09C8" w:rsidRDefault="00FB74D3" w:rsidP="00C74431">
            <w:pPr>
              <w:widowControl w:val="0"/>
              <w:jc w:val="both"/>
              <w:rPr>
                <w:sz w:val="22"/>
                <w:szCs w:val="22"/>
                <w:lang w:val="sr-Latn-ME"/>
              </w:rPr>
            </w:pPr>
            <w:r w:rsidRPr="002B09C8">
              <w:rPr>
                <w:sz w:val="22"/>
                <w:szCs w:val="22"/>
                <w:lang w:val="sr-Latn-ME"/>
              </w:rPr>
              <w:t>6,0 (0-33)</w:t>
            </w:r>
          </w:p>
        </w:tc>
        <w:tc>
          <w:tcPr>
            <w:tcW w:w="0" w:type="auto"/>
          </w:tcPr>
          <w:p w14:paraId="2760C085" w14:textId="77777777" w:rsidR="00FB74D3" w:rsidRPr="002B09C8" w:rsidRDefault="00FB74D3" w:rsidP="00C74431">
            <w:pPr>
              <w:widowControl w:val="0"/>
              <w:jc w:val="both"/>
              <w:rPr>
                <w:sz w:val="22"/>
                <w:szCs w:val="22"/>
                <w:lang w:val="sr-Latn-ME"/>
              </w:rPr>
            </w:pPr>
            <w:r w:rsidRPr="002B09C8">
              <w:rPr>
                <w:sz w:val="22"/>
                <w:szCs w:val="22"/>
                <w:lang w:val="sr-Latn-ME"/>
              </w:rPr>
              <w:t>5,0 (0-34)</w:t>
            </w:r>
          </w:p>
        </w:tc>
      </w:tr>
      <w:tr w:rsidR="00FB74D3" w:rsidRPr="002B09C8" w14:paraId="639DBE3C" w14:textId="77777777" w:rsidTr="00CF1A4D">
        <w:tc>
          <w:tcPr>
            <w:tcW w:w="0" w:type="auto"/>
          </w:tcPr>
          <w:p w14:paraId="66FE7647" w14:textId="77777777" w:rsidR="00FB74D3" w:rsidRPr="002B09C8" w:rsidRDefault="00FB74D3" w:rsidP="00C74431">
            <w:pPr>
              <w:widowControl w:val="0"/>
              <w:jc w:val="both"/>
              <w:rPr>
                <w:sz w:val="22"/>
                <w:szCs w:val="22"/>
                <w:lang w:val="sr-Latn-ME"/>
              </w:rPr>
            </w:pPr>
            <w:r w:rsidRPr="002B09C8">
              <w:rPr>
                <w:sz w:val="22"/>
                <w:szCs w:val="22"/>
                <w:lang w:val="sr-Latn-ME"/>
              </w:rPr>
              <w:t xml:space="preserve">Vrijeme od postavljanja dijagnoze u godinama, </w:t>
            </w:r>
            <w:proofErr w:type="spellStart"/>
            <w:r w:rsidRPr="002B09C8">
              <w:rPr>
                <w:sz w:val="22"/>
                <w:szCs w:val="22"/>
                <w:lang w:val="sr-Latn-ME"/>
              </w:rPr>
              <w:t>medijana</w:t>
            </w:r>
            <w:proofErr w:type="spellEnd"/>
            <w:r w:rsidRPr="002B09C8">
              <w:rPr>
                <w:sz w:val="22"/>
                <w:szCs w:val="22"/>
                <w:lang w:val="sr-Latn-ME"/>
              </w:rPr>
              <w:t xml:space="preserve"> (raspon)</w:t>
            </w:r>
          </w:p>
        </w:tc>
        <w:tc>
          <w:tcPr>
            <w:tcW w:w="0" w:type="auto"/>
          </w:tcPr>
          <w:p w14:paraId="4B0C70C3" w14:textId="77777777" w:rsidR="00FB74D3" w:rsidRPr="002B09C8" w:rsidRDefault="00FB74D3" w:rsidP="00C74431">
            <w:pPr>
              <w:widowControl w:val="0"/>
              <w:jc w:val="both"/>
              <w:rPr>
                <w:sz w:val="22"/>
                <w:szCs w:val="22"/>
                <w:lang w:val="sr-Latn-ME"/>
              </w:rPr>
            </w:pPr>
            <w:r w:rsidRPr="002B09C8">
              <w:rPr>
                <w:sz w:val="22"/>
                <w:szCs w:val="22"/>
                <w:lang w:val="sr-Latn-ME"/>
              </w:rPr>
              <w:t>2,0 (0-23)</w:t>
            </w:r>
          </w:p>
        </w:tc>
        <w:tc>
          <w:tcPr>
            <w:tcW w:w="0" w:type="auto"/>
          </w:tcPr>
          <w:p w14:paraId="374EC30E" w14:textId="77777777" w:rsidR="00FB74D3" w:rsidRPr="002B09C8" w:rsidRDefault="00FB74D3" w:rsidP="00C74431">
            <w:pPr>
              <w:widowControl w:val="0"/>
              <w:jc w:val="both"/>
              <w:rPr>
                <w:sz w:val="22"/>
                <w:szCs w:val="22"/>
                <w:lang w:val="sr-Latn-ME"/>
              </w:rPr>
            </w:pPr>
            <w:r w:rsidRPr="002B09C8">
              <w:rPr>
                <w:sz w:val="22"/>
                <w:szCs w:val="22"/>
                <w:lang w:val="sr-Latn-ME"/>
              </w:rPr>
              <w:t>2,0 (0-24)</w:t>
            </w:r>
          </w:p>
        </w:tc>
      </w:tr>
      <w:tr w:rsidR="00FB74D3" w:rsidRPr="002B09C8" w14:paraId="5281469F" w14:textId="77777777" w:rsidTr="00CF1A4D">
        <w:tc>
          <w:tcPr>
            <w:tcW w:w="0" w:type="auto"/>
          </w:tcPr>
          <w:p w14:paraId="3597EEF2" w14:textId="77777777" w:rsidR="00FB74D3" w:rsidRPr="002B09C8" w:rsidRDefault="00FB74D3" w:rsidP="00C74431">
            <w:pPr>
              <w:widowControl w:val="0"/>
              <w:jc w:val="both"/>
              <w:rPr>
                <w:sz w:val="22"/>
                <w:szCs w:val="22"/>
                <w:lang w:val="sr-Latn-ME"/>
              </w:rPr>
            </w:pPr>
            <w:proofErr w:type="spellStart"/>
            <w:r w:rsidRPr="002B09C8">
              <w:rPr>
                <w:sz w:val="22"/>
                <w:szCs w:val="22"/>
                <w:lang w:val="sr-Latn-ME"/>
              </w:rPr>
              <w:t>Relapsi</w:t>
            </w:r>
            <w:proofErr w:type="spellEnd"/>
            <w:r w:rsidRPr="002B09C8">
              <w:rPr>
                <w:sz w:val="22"/>
                <w:szCs w:val="22"/>
                <w:lang w:val="sr-Latn-ME"/>
              </w:rPr>
              <w:t xml:space="preserve"> u prethodnih 12 mjeseci, </w:t>
            </w:r>
            <w:proofErr w:type="spellStart"/>
            <w:r w:rsidRPr="002B09C8">
              <w:rPr>
                <w:sz w:val="22"/>
                <w:szCs w:val="22"/>
                <w:lang w:val="sr-Latn-ME"/>
              </w:rPr>
              <w:t>medijana</w:t>
            </w:r>
            <w:proofErr w:type="spellEnd"/>
            <w:r w:rsidRPr="002B09C8">
              <w:rPr>
                <w:sz w:val="22"/>
                <w:szCs w:val="22"/>
                <w:lang w:val="sr-Latn-ME"/>
              </w:rPr>
              <w:t xml:space="preserve"> (raspon)</w:t>
            </w:r>
          </w:p>
        </w:tc>
        <w:tc>
          <w:tcPr>
            <w:tcW w:w="0" w:type="auto"/>
          </w:tcPr>
          <w:p w14:paraId="20B68A04" w14:textId="77777777" w:rsidR="00FB74D3" w:rsidRPr="002B09C8" w:rsidRDefault="00FB74D3" w:rsidP="00C74431">
            <w:pPr>
              <w:widowControl w:val="0"/>
              <w:jc w:val="both"/>
              <w:rPr>
                <w:sz w:val="22"/>
                <w:szCs w:val="22"/>
                <w:lang w:val="sr-Latn-ME"/>
              </w:rPr>
            </w:pPr>
            <w:r w:rsidRPr="002B09C8">
              <w:rPr>
                <w:sz w:val="22"/>
                <w:szCs w:val="22"/>
                <w:lang w:val="sr-Latn-ME"/>
              </w:rPr>
              <w:t>1,0 (0-5)</w:t>
            </w:r>
          </w:p>
        </w:tc>
        <w:tc>
          <w:tcPr>
            <w:tcW w:w="0" w:type="auto"/>
          </w:tcPr>
          <w:p w14:paraId="15D9759A" w14:textId="77777777" w:rsidR="00FB74D3" w:rsidRPr="002B09C8" w:rsidRDefault="00FB74D3" w:rsidP="00C74431">
            <w:pPr>
              <w:widowControl w:val="0"/>
              <w:jc w:val="both"/>
              <w:rPr>
                <w:sz w:val="22"/>
                <w:szCs w:val="22"/>
                <w:lang w:val="sr-Latn-ME"/>
              </w:rPr>
            </w:pPr>
            <w:r w:rsidRPr="002B09C8">
              <w:rPr>
                <w:sz w:val="22"/>
                <w:szCs w:val="22"/>
                <w:lang w:val="sr-Latn-ME"/>
              </w:rPr>
              <w:t>1,0 (0-12)</w:t>
            </w:r>
          </w:p>
        </w:tc>
      </w:tr>
      <w:tr w:rsidR="00FB74D3" w:rsidRPr="002B09C8" w14:paraId="446FB204" w14:textId="77777777" w:rsidTr="00CF1A4D">
        <w:tc>
          <w:tcPr>
            <w:tcW w:w="0" w:type="auto"/>
            <w:tcBorders>
              <w:bottom w:val="single" w:sz="4" w:space="0" w:color="auto"/>
            </w:tcBorders>
          </w:tcPr>
          <w:p w14:paraId="447F2C03" w14:textId="700860D4" w:rsidR="00FB74D3" w:rsidRPr="002B09C8" w:rsidRDefault="007C3FA6" w:rsidP="00C74431">
            <w:pPr>
              <w:widowControl w:val="0"/>
              <w:jc w:val="both"/>
              <w:rPr>
                <w:sz w:val="22"/>
                <w:szCs w:val="22"/>
                <w:lang w:val="sr-Latn-ME"/>
              </w:rPr>
            </w:pPr>
            <w:proofErr w:type="spellStart"/>
            <w:r w:rsidRPr="002B09C8">
              <w:rPr>
                <w:sz w:val="22"/>
                <w:szCs w:val="22"/>
                <w:lang w:val="sr-Latn-ME"/>
              </w:rPr>
              <w:t>Medijana</w:t>
            </w:r>
            <w:proofErr w:type="spellEnd"/>
            <w:r w:rsidRPr="002B09C8">
              <w:rPr>
                <w:sz w:val="22"/>
                <w:szCs w:val="22"/>
                <w:lang w:val="sr-Latn-ME"/>
              </w:rPr>
              <w:t xml:space="preserve"> </w:t>
            </w:r>
            <w:r w:rsidR="00FB74D3" w:rsidRPr="002B09C8">
              <w:rPr>
                <w:sz w:val="22"/>
                <w:szCs w:val="22"/>
                <w:lang w:val="sr-Latn-ME"/>
              </w:rPr>
              <w:t>EDSS</w:t>
            </w:r>
            <w:r w:rsidRPr="002B09C8">
              <w:rPr>
                <w:sz w:val="22"/>
                <w:szCs w:val="22"/>
                <w:lang w:val="sr-Latn-ME"/>
              </w:rPr>
              <w:t xml:space="preserve"> bodova na početku</w:t>
            </w:r>
            <w:r w:rsidR="00FB74D3" w:rsidRPr="002B09C8">
              <w:rPr>
                <w:sz w:val="22"/>
                <w:szCs w:val="22"/>
                <w:lang w:val="sr-Latn-ME"/>
              </w:rPr>
              <w:t xml:space="preserve"> (raspon)</w:t>
            </w:r>
          </w:p>
        </w:tc>
        <w:tc>
          <w:tcPr>
            <w:tcW w:w="0" w:type="auto"/>
            <w:tcBorders>
              <w:bottom w:val="single" w:sz="4" w:space="0" w:color="auto"/>
            </w:tcBorders>
          </w:tcPr>
          <w:p w14:paraId="5DC8384B" w14:textId="77777777" w:rsidR="00FB74D3" w:rsidRPr="002B09C8" w:rsidRDefault="00FB74D3" w:rsidP="00C74431">
            <w:pPr>
              <w:widowControl w:val="0"/>
              <w:jc w:val="both"/>
              <w:rPr>
                <w:sz w:val="22"/>
                <w:szCs w:val="22"/>
                <w:lang w:val="sr-Latn-ME"/>
              </w:rPr>
            </w:pPr>
            <w:r w:rsidRPr="002B09C8">
              <w:rPr>
                <w:sz w:val="22"/>
                <w:szCs w:val="22"/>
                <w:lang w:val="sr-Latn-ME"/>
              </w:rPr>
              <w:t>2 (0-6,0)</w:t>
            </w:r>
          </w:p>
        </w:tc>
        <w:tc>
          <w:tcPr>
            <w:tcW w:w="0" w:type="auto"/>
            <w:tcBorders>
              <w:bottom w:val="single" w:sz="4" w:space="0" w:color="auto"/>
            </w:tcBorders>
          </w:tcPr>
          <w:p w14:paraId="652480D7" w14:textId="77777777" w:rsidR="00FB74D3" w:rsidRPr="002B09C8" w:rsidRDefault="00FB74D3" w:rsidP="00C74431">
            <w:pPr>
              <w:widowControl w:val="0"/>
              <w:jc w:val="both"/>
              <w:rPr>
                <w:sz w:val="22"/>
                <w:szCs w:val="22"/>
                <w:lang w:val="sr-Latn-ME"/>
              </w:rPr>
            </w:pPr>
            <w:r w:rsidRPr="002B09C8">
              <w:rPr>
                <w:sz w:val="22"/>
                <w:szCs w:val="22"/>
                <w:lang w:val="sr-Latn-ME"/>
              </w:rPr>
              <w:t>2 (0-6,0)</w:t>
            </w:r>
          </w:p>
        </w:tc>
      </w:tr>
      <w:tr w:rsidR="00FB74D3" w:rsidRPr="002B09C8" w14:paraId="5F4AE532" w14:textId="77777777" w:rsidTr="00CF1A4D">
        <w:tc>
          <w:tcPr>
            <w:tcW w:w="0" w:type="auto"/>
            <w:tcBorders>
              <w:left w:val="nil"/>
              <w:bottom w:val="nil"/>
              <w:right w:val="nil"/>
            </w:tcBorders>
          </w:tcPr>
          <w:p w14:paraId="0C0D0B3D" w14:textId="77777777" w:rsidR="00FB74D3" w:rsidRPr="002B09C8" w:rsidRDefault="00FB74D3" w:rsidP="00C74431">
            <w:pPr>
              <w:widowControl w:val="0"/>
              <w:jc w:val="both"/>
              <w:rPr>
                <w:sz w:val="22"/>
                <w:szCs w:val="22"/>
                <w:lang w:val="sr-Latn-ME"/>
              </w:rPr>
            </w:pPr>
          </w:p>
        </w:tc>
        <w:tc>
          <w:tcPr>
            <w:tcW w:w="0" w:type="auto"/>
            <w:tcBorders>
              <w:left w:val="nil"/>
              <w:bottom w:val="nil"/>
              <w:right w:val="nil"/>
            </w:tcBorders>
          </w:tcPr>
          <w:p w14:paraId="6B74D715" w14:textId="77777777" w:rsidR="00FB74D3" w:rsidRPr="002B09C8" w:rsidRDefault="00FB74D3" w:rsidP="00C74431">
            <w:pPr>
              <w:widowControl w:val="0"/>
              <w:jc w:val="both"/>
              <w:rPr>
                <w:sz w:val="22"/>
                <w:szCs w:val="22"/>
                <w:lang w:val="sr-Latn-ME"/>
              </w:rPr>
            </w:pPr>
          </w:p>
        </w:tc>
        <w:tc>
          <w:tcPr>
            <w:tcW w:w="0" w:type="auto"/>
            <w:tcBorders>
              <w:left w:val="nil"/>
              <w:bottom w:val="nil"/>
              <w:right w:val="nil"/>
            </w:tcBorders>
          </w:tcPr>
          <w:p w14:paraId="7C6C3C1B" w14:textId="77777777" w:rsidR="00FB74D3" w:rsidRPr="002B09C8" w:rsidRDefault="00FB74D3" w:rsidP="00C74431">
            <w:pPr>
              <w:widowControl w:val="0"/>
              <w:jc w:val="both"/>
              <w:rPr>
                <w:sz w:val="22"/>
                <w:szCs w:val="22"/>
                <w:lang w:val="sr-Latn-ME"/>
              </w:rPr>
            </w:pPr>
          </w:p>
        </w:tc>
      </w:tr>
      <w:tr w:rsidR="00FB74D3" w:rsidRPr="002B09C8" w14:paraId="65183F5E" w14:textId="77777777" w:rsidTr="00CF1A4D">
        <w:tc>
          <w:tcPr>
            <w:tcW w:w="0" w:type="auto"/>
          </w:tcPr>
          <w:p w14:paraId="5747A613" w14:textId="77777777" w:rsidR="00FB74D3" w:rsidRPr="002B09C8" w:rsidRDefault="00FB74D3" w:rsidP="00C74431">
            <w:pPr>
              <w:widowControl w:val="0"/>
              <w:jc w:val="both"/>
              <w:rPr>
                <w:sz w:val="22"/>
                <w:szCs w:val="22"/>
                <w:lang w:val="sr-Latn-ME"/>
              </w:rPr>
            </w:pPr>
            <w:r w:rsidRPr="002B09C8">
              <w:rPr>
                <w:sz w:val="22"/>
                <w:szCs w:val="22"/>
                <w:lang w:val="sr-Latn-ME"/>
              </w:rPr>
              <w:t>REZULTATI</w:t>
            </w:r>
          </w:p>
        </w:tc>
        <w:tc>
          <w:tcPr>
            <w:tcW w:w="0" w:type="auto"/>
          </w:tcPr>
          <w:p w14:paraId="72BB0ADB" w14:textId="77777777" w:rsidR="00FB74D3" w:rsidRPr="002B09C8" w:rsidRDefault="00FB74D3" w:rsidP="00C74431">
            <w:pPr>
              <w:widowControl w:val="0"/>
              <w:jc w:val="both"/>
              <w:rPr>
                <w:sz w:val="22"/>
                <w:szCs w:val="22"/>
                <w:lang w:val="sr-Latn-ME"/>
              </w:rPr>
            </w:pPr>
          </w:p>
        </w:tc>
        <w:tc>
          <w:tcPr>
            <w:tcW w:w="0" w:type="auto"/>
          </w:tcPr>
          <w:p w14:paraId="0C9C593D" w14:textId="77777777" w:rsidR="00FB74D3" w:rsidRPr="002B09C8" w:rsidRDefault="00FB74D3" w:rsidP="00C74431">
            <w:pPr>
              <w:widowControl w:val="0"/>
              <w:jc w:val="both"/>
              <w:rPr>
                <w:sz w:val="22"/>
                <w:szCs w:val="22"/>
                <w:lang w:val="sr-Latn-ME"/>
              </w:rPr>
            </w:pPr>
          </w:p>
        </w:tc>
      </w:tr>
      <w:tr w:rsidR="00FB74D3" w:rsidRPr="002B09C8" w14:paraId="09FB86E5" w14:textId="77777777" w:rsidTr="00CF1A4D">
        <w:tc>
          <w:tcPr>
            <w:tcW w:w="0" w:type="auto"/>
          </w:tcPr>
          <w:p w14:paraId="6E43DA8D" w14:textId="77777777" w:rsidR="00FB74D3" w:rsidRPr="002B09C8" w:rsidRDefault="00FB74D3" w:rsidP="00C74431">
            <w:pPr>
              <w:widowControl w:val="0"/>
              <w:jc w:val="both"/>
              <w:rPr>
                <w:sz w:val="22"/>
                <w:szCs w:val="22"/>
                <w:lang w:val="sr-Latn-ME"/>
              </w:rPr>
            </w:pPr>
            <w:r w:rsidRPr="002B09C8">
              <w:rPr>
                <w:sz w:val="22"/>
                <w:szCs w:val="22"/>
                <w:lang w:val="sr-Latn-ME"/>
              </w:rPr>
              <w:t xml:space="preserve">Godišnja stopa </w:t>
            </w:r>
            <w:proofErr w:type="spellStart"/>
            <w:r w:rsidRPr="002B09C8">
              <w:rPr>
                <w:sz w:val="22"/>
                <w:szCs w:val="22"/>
                <w:lang w:val="sr-Latn-ME"/>
              </w:rPr>
              <w:t>relapsa</w:t>
            </w:r>
            <w:proofErr w:type="spellEnd"/>
          </w:p>
        </w:tc>
        <w:tc>
          <w:tcPr>
            <w:tcW w:w="0" w:type="auto"/>
          </w:tcPr>
          <w:p w14:paraId="3C245885" w14:textId="77777777" w:rsidR="00FB74D3" w:rsidRPr="002B09C8" w:rsidRDefault="00FB74D3" w:rsidP="00C74431">
            <w:pPr>
              <w:widowControl w:val="0"/>
              <w:jc w:val="both"/>
              <w:rPr>
                <w:sz w:val="22"/>
                <w:szCs w:val="22"/>
                <w:lang w:val="sr-Latn-ME"/>
              </w:rPr>
            </w:pPr>
          </w:p>
        </w:tc>
        <w:tc>
          <w:tcPr>
            <w:tcW w:w="0" w:type="auto"/>
          </w:tcPr>
          <w:p w14:paraId="5964C58D" w14:textId="77777777" w:rsidR="00FB74D3" w:rsidRPr="002B09C8" w:rsidRDefault="00FB74D3" w:rsidP="00C74431">
            <w:pPr>
              <w:widowControl w:val="0"/>
              <w:jc w:val="both"/>
              <w:rPr>
                <w:sz w:val="22"/>
                <w:szCs w:val="22"/>
                <w:lang w:val="sr-Latn-ME"/>
              </w:rPr>
            </w:pPr>
          </w:p>
        </w:tc>
      </w:tr>
      <w:tr w:rsidR="00FB74D3" w:rsidRPr="002B09C8" w14:paraId="3CB20B60" w14:textId="77777777" w:rsidTr="00CF1A4D">
        <w:tc>
          <w:tcPr>
            <w:tcW w:w="0" w:type="auto"/>
          </w:tcPr>
          <w:p w14:paraId="1172BC69" w14:textId="0C778A06" w:rsidR="00FB74D3" w:rsidRPr="002B09C8" w:rsidRDefault="00FB74D3" w:rsidP="00C74431">
            <w:pPr>
              <w:widowControl w:val="0"/>
              <w:jc w:val="both"/>
              <w:rPr>
                <w:sz w:val="22"/>
                <w:szCs w:val="22"/>
                <w:lang w:val="sr-Latn-ME"/>
              </w:rPr>
            </w:pPr>
            <w:r w:rsidRPr="002B09C8">
              <w:rPr>
                <w:sz w:val="22"/>
                <w:szCs w:val="22"/>
                <w:lang w:val="sr-Latn-ME"/>
              </w:rPr>
              <w:t xml:space="preserve">Nakon jedne godine (primarni </w:t>
            </w:r>
            <w:r w:rsidR="007C3FA6" w:rsidRPr="002B09C8">
              <w:rPr>
                <w:sz w:val="22"/>
                <w:szCs w:val="22"/>
                <w:lang w:val="sr-Latn-ME"/>
              </w:rPr>
              <w:t>parametar praćenja</w:t>
            </w:r>
            <w:r w:rsidRPr="002B09C8">
              <w:rPr>
                <w:sz w:val="22"/>
                <w:szCs w:val="22"/>
                <w:lang w:val="sr-Latn-ME"/>
              </w:rPr>
              <w:t>)</w:t>
            </w:r>
          </w:p>
        </w:tc>
        <w:tc>
          <w:tcPr>
            <w:tcW w:w="0" w:type="auto"/>
          </w:tcPr>
          <w:p w14:paraId="79B2CAFA" w14:textId="77777777" w:rsidR="00FB74D3" w:rsidRPr="002B09C8" w:rsidRDefault="00FB74D3" w:rsidP="00C74431">
            <w:pPr>
              <w:widowControl w:val="0"/>
              <w:jc w:val="both"/>
              <w:rPr>
                <w:sz w:val="22"/>
                <w:szCs w:val="22"/>
                <w:lang w:val="sr-Latn-ME"/>
              </w:rPr>
            </w:pPr>
            <w:r w:rsidRPr="002B09C8">
              <w:rPr>
                <w:sz w:val="22"/>
                <w:szCs w:val="22"/>
                <w:lang w:val="sr-Latn-ME"/>
              </w:rPr>
              <w:t>0,805</w:t>
            </w:r>
          </w:p>
        </w:tc>
        <w:tc>
          <w:tcPr>
            <w:tcW w:w="0" w:type="auto"/>
          </w:tcPr>
          <w:p w14:paraId="5B21D9EC" w14:textId="77777777" w:rsidR="00FB74D3" w:rsidRPr="002B09C8" w:rsidRDefault="00FB74D3" w:rsidP="00C74431">
            <w:pPr>
              <w:widowControl w:val="0"/>
              <w:jc w:val="both"/>
              <w:rPr>
                <w:sz w:val="22"/>
                <w:szCs w:val="22"/>
                <w:lang w:val="sr-Latn-ME"/>
              </w:rPr>
            </w:pPr>
            <w:r w:rsidRPr="002B09C8">
              <w:rPr>
                <w:sz w:val="22"/>
                <w:szCs w:val="22"/>
                <w:lang w:val="sr-Latn-ME"/>
              </w:rPr>
              <w:t>0,261</w:t>
            </w:r>
          </w:p>
        </w:tc>
      </w:tr>
      <w:tr w:rsidR="00FB74D3" w:rsidRPr="002B09C8" w14:paraId="0A9241CF" w14:textId="77777777" w:rsidTr="00CF1A4D">
        <w:tc>
          <w:tcPr>
            <w:tcW w:w="0" w:type="auto"/>
          </w:tcPr>
          <w:p w14:paraId="156B3725" w14:textId="77777777" w:rsidR="00FB74D3" w:rsidRPr="002B09C8" w:rsidRDefault="00FB74D3" w:rsidP="00C74431">
            <w:pPr>
              <w:widowControl w:val="0"/>
              <w:jc w:val="both"/>
              <w:rPr>
                <w:sz w:val="22"/>
                <w:szCs w:val="22"/>
                <w:lang w:val="sr-Latn-ME"/>
              </w:rPr>
            </w:pPr>
            <w:r w:rsidRPr="002B09C8">
              <w:rPr>
                <w:sz w:val="22"/>
                <w:szCs w:val="22"/>
                <w:lang w:val="sr-Latn-ME"/>
              </w:rPr>
              <w:t xml:space="preserve">                              Nakon dvije godine</w:t>
            </w:r>
          </w:p>
        </w:tc>
        <w:tc>
          <w:tcPr>
            <w:tcW w:w="0" w:type="auto"/>
          </w:tcPr>
          <w:p w14:paraId="4D2F550A" w14:textId="77777777" w:rsidR="00FB74D3" w:rsidRPr="002B09C8" w:rsidRDefault="00FB74D3" w:rsidP="00C74431">
            <w:pPr>
              <w:widowControl w:val="0"/>
              <w:jc w:val="both"/>
              <w:rPr>
                <w:sz w:val="22"/>
                <w:szCs w:val="22"/>
                <w:lang w:val="sr-Latn-ME"/>
              </w:rPr>
            </w:pPr>
            <w:r w:rsidRPr="002B09C8">
              <w:rPr>
                <w:sz w:val="22"/>
                <w:szCs w:val="22"/>
                <w:lang w:val="sr-Latn-ME"/>
              </w:rPr>
              <w:t>0,733</w:t>
            </w:r>
          </w:p>
        </w:tc>
        <w:tc>
          <w:tcPr>
            <w:tcW w:w="0" w:type="auto"/>
          </w:tcPr>
          <w:p w14:paraId="2BDE4F3B" w14:textId="77777777" w:rsidR="00FB74D3" w:rsidRPr="002B09C8" w:rsidRDefault="00FB74D3" w:rsidP="00C74431">
            <w:pPr>
              <w:widowControl w:val="0"/>
              <w:jc w:val="both"/>
              <w:rPr>
                <w:sz w:val="22"/>
                <w:szCs w:val="22"/>
                <w:lang w:val="sr-Latn-ME"/>
              </w:rPr>
            </w:pPr>
            <w:r w:rsidRPr="002B09C8">
              <w:rPr>
                <w:sz w:val="22"/>
                <w:szCs w:val="22"/>
                <w:lang w:val="sr-Latn-ME"/>
              </w:rPr>
              <w:t>0,235</w:t>
            </w:r>
          </w:p>
        </w:tc>
      </w:tr>
      <w:tr w:rsidR="00FB74D3" w:rsidRPr="002B09C8" w14:paraId="69F1C3B1" w14:textId="77777777" w:rsidTr="00CF1A4D">
        <w:tc>
          <w:tcPr>
            <w:tcW w:w="0" w:type="auto"/>
          </w:tcPr>
          <w:p w14:paraId="27F35E98" w14:textId="77777777" w:rsidR="00FB74D3" w:rsidRPr="002B09C8" w:rsidRDefault="00FB74D3" w:rsidP="00C74431">
            <w:pPr>
              <w:widowControl w:val="0"/>
              <w:jc w:val="both"/>
              <w:rPr>
                <w:sz w:val="22"/>
                <w:szCs w:val="22"/>
                <w:lang w:val="sr-Latn-ME"/>
              </w:rPr>
            </w:pPr>
            <w:r w:rsidRPr="002B09C8">
              <w:rPr>
                <w:sz w:val="22"/>
                <w:szCs w:val="22"/>
                <w:lang w:val="sr-Latn-ME"/>
              </w:rPr>
              <w:t>Jedna godina</w:t>
            </w:r>
          </w:p>
        </w:tc>
        <w:tc>
          <w:tcPr>
            <w:tcW w:w="0" w:type="auto"/>
            <w:gridSpan w:val="2"/>
          </w:tcPr>
          <w:p w14:paraId="3E80B021" w14:textId="77777777" w:rsidR="00FB74D3" w:rsidRPr="002B09C8" w:rsidRDefault="00FB74D3" w:rsidP="00C74431">
            <w:pPr>
              <w:widowControl w:val="0"/>
              <w:jc w:val="both"/>
              <w:rPr>
                <w:sz w:val="22"/>
                <w:szCs w:val="22"/>
                <w:lang w:val="sr-Latn-ME"/>
              </w:rPr>
            </w:pPr>
            <w:r w:rsidRPr="002B09C8">
              <w:rPr>
                <w:sz w:val="22"/>
                <w:szCs w:val="22"/>
                <w:lang w:val="sr-Latn-ME"/>
              </w:rPr>
              <w:t xml:space="preserve">Koeficijent stope </w:t>
            </w:r>
            <w:proofErr w:type="spellStart"/>
            <w:r w:rsidRPr="002B09C8">
              <w:rPr>
                <w:sz w:val="22"/>
                <w:szCs w:val="22"/>
                <w:lang w:val="sr-Latn-ME"/>
              </w:rPr>
              <w:t>relapsa</w:t>
            </w:r>
            <w:proofErr w:type="spellEnd"/>
            <w:r w:rsidRPr="002B09C8">
              <w:rPr>
                <w:sz w:val="22"/>
                <w:szCs w:val="22"/>
                <w:lang w:val="sr-Latn-ME"/>
              </w:rPr>
              <w:t xml:space="preserve"> 0,33 CI</w:t>
            </w:r>
            <w:r w:rsidRPr="002B09C8">
              <w:rPr>
                <w:sz w:val="22"/>
                <w:szCs w:val="22"/>
                <w:vertAlign w:val="subscript"/>
                <w:lang w:val="sr-Latn-ME"/>
              </w:rPr>
              <w:t>95%</w:t>
            </w:r>
            <w:r w:rsidRPr="002B09C8">
              <w:rPr>
                <w:sz w:val="22"/>
                <w:szCs w:val="22"/>
                <w:lang w:val="sr-Latn-ME"/>
              </w:rPr>
              <w:t xml:space="preserve"> 0,26 ; 0,41</w:t>
            </w:r>
          </w:p>
        </w:tc>
      </w:tr>
      <w:tr w:rsidR="00FB74D3" w:rsidRPr="002B09C8" w14:paraId="5CAC6C2E" w14:textId="77777777" w:rsidTr="00CF1A4D">
        <w:tc>
          <w:tcPr>
            <w:tcW w:w="0" w:type="auto"/>
          </w:tcPr>
          <w:p w14:paraId="7AED581B" w14:textId="77777777" w:rsidR="00FB74D3" w:rsidRPr="002B09C8" w:rsidRDefault="00FB74D3" w:rsidP="00C74431">
            <w:pPr>
              <w:widowControl w:val="0"/>
              <w:jc w:val="both"/>
              <w:rPr>
                <w:sz w:val="22"/>
                <w:szCs w:val="22"/>
                <w:lang w:val="sr-Latn-ME"/>
              </w:rPr>
            </w:pPr>
            <w:r w:rsidRPr="002B09C8">
              <w:rPr>
                <w:sz w:val="22"/>
                <w:szCs w:val="22"/>
                <w:lang w:val="sr-Latn-ME"/>
              </w:rPr>
              <w:t>Dvije godine</w:t>
            </w:r>
          </w:p>
        </w:tc>
        <w:tc>
          <w:tcPr>
            <w:tcW w:w="0" w:type="auto"/>
            <w:gridSpan w:val="2"/>
          </w:tcPr>
          <w:p w14:paraId="7E59F8D8" w14:textId="77777777" w:rsidR="00FB74D3" w:rsidRPr="002B09C8" w:rsidRDefault="00FB74D3" w:rsidP="00C74431">
            <w:pPr>
              <w:widowControl w:val="0"/>
              <w:jc w:val="both"/>
              <w:rPr>
                <w:sz w:val="22"/>
                <w:szCs w:val="22"/>
                <w:lang w:val="sr-Latn-ME"/>
              </w:rPr>
            </w:pPr>
            <w:r w:rsidRPr="002B09C8">
              <w:rPr>
                <w:sz w:val="22"/>
                <w:szCs w:val="22"/>
                <w:lang w:val="sr-Latn-ME"/>
              </w:rPr>
              <w:t xml:space="preserve">Koeficijent stope </w:t>
            </w:r>
            <w:proofErr w:type="spellStart"/>
            <w:r w:rsidRPr="002B09C8">
              <w:rPr>
                <w:sz w:val="22"/>
                <w:szCs w:val="22"/>
                <w:lang w:val="sr-Latn-ME"/>
              </w:rPr>
              <w:t>relapsa</w:t>
            </w:r>
            <w:proofErr w:type="spellEnd"/>
            <w:r w:rsidRPr="002B09C8">
              <w:rPr>
                <w:sz w:val="22"/>
                <w:szCs w:val="22"/>
                <w:lang w:val="sr-Latn-ME"/>
              </w:rPr>
              <w:t xml:space="preserve"> 0,32 CI</w:t>
            </w:r>
            <w:r w:rsidRPr="002B09C8">
              <w:rPr>
                <w:sz w:val="22"/>
                <w:szCs w:val="22"/>
                <w:vertAlign w:val="subscript"/>
                <w:lang w:val="sr-Latn-ME"/>
              </w:rPr>
              <w:t>95%</w:t>
            </w:r>
            <w:r w:rsidRPr="002B09C8">
              <w:rPr>
                <w:sz w:val="22"/>
                <w:szCs w:val="22"/>
                <w:lang w:val="sr-Latn-ME"/>
              </w:rPr>
              <w:t xml:space="preserve"> 0,26 ; 0,40</w:t>
            </w:r>
          </w:p>
        </w:tc>
      </w:tr>
      <w:tr w:rsidR="00FB74D3" w:rsidRPr="002B09C8" w14:paraId="5BB6EDA9" w14:textId="77777777" w:rsidTr="00CF1A4D">
        <w:tc>
          <w:tcPr>
            <w:tcW w:w="0" w:type="auto"/>
          </w:tcPr>
          <w:p w14:paraId="5DBF0856" w14:textId="77777777" w:rsidR="00FB74D3" w:rsidRPr="002B09C8" w:rsidRDefault="00FB74D3" w:rsidP="00C74431">
            <w:pPr>
              <w:widowControl w:val="0"/>
              <w:jc w:val="both"/>
              <w:rPr>
                <w:sz w:val="22"/>
                <w:szCs w:val="22"/>
                <w:lang w:val="sr-Latn-ME"/>
              </w:rPr>
            </w:pPr>
            <w:r w:rsidRPr="002B09C8">
              <w:rPr>
                <w:sz w:val="22"/>
                <w:szCs w:val="22"/>
                <w:lang w:val="sr-Latn-ME"/>
              </w:rPr>
              <w:t xml:space="preserve">Bez </w:t>
            </w:r>
            <w:proofErr w:type="spellStart"/>
            <w:r w:rsidRPr="002B09C8">
              <w:rPr>
                <w:sz w:val="22"/>
                <w:szCs w:val="22"/>
                <w:lang w:val="sr-Latn-ME"/>
              </w:rPr>
              <w:t>relapsa</w:t>
            </w:r>
            <w:proofErr w:type="spellEnd"/>
          </w:p>
        </w:tc>
        <w:tc>
          <w:tcPr>
            <w:tcW w:w="0" w:type="auto"/>
          </w:tcPr>
          <w:p w14:paraId="04AFAD1A" w14:textId="77777777" w:rsidR="00FB74D3" w:rsidRPr="002B09C8" w:rsidRDefault="00FB74D3" w:rsidP="00C74431">
            <w:pPr>
              <w:widowControl w:val="0"/>
              <w:jc w:val="both"/>
              <w:rPr>
                <w:sz w:val="22"/>
                <w:szCs w:val="22"/>
                <w:lang w:val="sr-Latn-ME"/>
              </w:rPr>
            </w:pPr>
          </w:p>
        </w:tc>
        <w:tc>
          <w:tcPr>
            <w:tcW w:w="0" w:type="auto"/>
          </w:tcPr>
          <w:p w14:paraId="62907A76" w14:textId="77777777" w:rsidR="00FB74D3" w:rsidRPr="002B09C8" w:rsidRDefault="00FB74D3" w:rsidP="00C74431">
            <w:pPr>
              <w:widowControl w:val="0"/>
              <w:jc w:val="both"/>
              <w:rPr>
                <w:sz w:val="22"/>
                <w:szCs w:val="22"/>
                <w:lang w:val="sr-Latn-ME"/>
              </w:rPr>
            </w:pPr>
          </w:p>
        </w:tc>
      </w:tr>
      <w:tr w:rsidR="00FB74D3" w:rsidRPr="002B09C8" w14:paraId="48B087D3" w14:textId="77777777" w:rsidTr="00CF1A4D">
        <w:tc>
          <w:tcPr>
            <w:tcW w:w="0" w:type="auto"/>
          </w:tcPr>
          <w:p w14:paraId="13C862B6" w14:textId="77777777" w:rsidR="00FB74D3" w:rsidRPr="002B09C8" w:rsidRDefault="00FB74D3" w:rsidP="00C74431">
            <w:pPr>
              <w:widowControl w:val="0"/>
              <w:jc w:val="both"/>
              <w:rPr>
                <w:sz w:val="22"/>
                <w:szCs w:val="22"/>
                <w:lang w:val="sr-Latn-ME"/>
              </w:rPr>
            </w:pPr>
            <w:r w:rsidRPr="002B09C8">
              <w:rPr>
                <w:sz w:val="22"/>
                <w:szCs w:val="22"/>
                <w:lang w:val="sr-Latn-ME"/>
              </w:rPr>
              <w:t>Nakon jedne godine</w:t>
            </w:r>
          </w:p>
        </w:tc>
        <w:tc>
          <w:tcPr>
            <w:tcW w:w="0" w:type="auto"/>
          </w:tcPr>
          <w:p w14:paraId="097F8C54" w14:textId="77777777" w:rsidR="00FB74D3" w:rsidRPr="002B09C8" w:rsidRDefault="00FB74D3" w:rsidP="00C74431">
            <w:pPr>
              <w:widowControl w:val="0"/>
              <w:jc w:val="both"/>
              <w:rPr>
                <w:sz w:val="22"/>
                <w:szCs w:val="22"/>
                <w:lang w:val="sr-Latn-ME"/>
              </w:rPr>
            </w:pPr>
            <w:r w:rsidRPr="002B09C8">
              <w:rPr>
                <w:sz w:val="22"/>
                <w:szCs w:val="22"/>
                <w:lang w:val="sr-Latn-ME"/>
              </w:rPr>
              <w:t>53%</w:t>
            </w:r>
          </w:p>
        </w:tc>
        <w:tc>
          <w:tcPr>
            <w:tcW w:w="0" w:type="auto"/>
          </w:tcPr>
          <w:p w14:paraId="7D372C6F" w14:textId="77777777" w:rsidR="00FB74D3" w:rsidRPr="002B09C8" w:rsidRDefault="00FB74D3" w:rsidP="00C74431">
            <w:pPr>
              <w:widowControl w:val="0"/>
              <w:jc w:val="both"/>
              <w:rPr>
                <w:sz w:val="22"/>
                <w:szCs w:val="22"/>
                <w:lang w:val="sr-Latn-ME"/>
              </w:rPr>
            </w:pPr>
            <w:r w:rsidRPr="002B09C8">
              <w:rPr>
                <w:sz w:val="22"/>
                <w:szCs w:val="22"/>
                <w:lang w:val="sr-Latn-ME"/>
              </w:rPr>
              <w:t>76%</w:t>
            </w:r>
          </w:p>
        </w:tc>
      </w:tr>
      <w:tr w:rsidR="00FB74D3" w:rsidRPr="002B09C8" w14:paraId="6C4F231B" w14:textId="77777777" w:rsidTr="00CF1A4D">
        <w:tc>
          <w:tcPr>
            <w:tcW w:w="0" w:type="auto"/>
          </w:tcPr>
          <w:p w14:paraId="375779E7" w14:textId="77777777" w:rsidR="00FB74D3" w:rsidRPr="002B09C8" w:rsidRDefault="00FB74D3" w:rsidP="00C74431">
            <w:pPr>
              <w:widowControl w:val="0"/>
              <w:jc w:val="both"/>
              <w:rPr>
                <w:sz w:val="22"/>
                <w:szCs w:val="22"/>
                <w:lang w:val="sr-Latn-ME"/>
              </w:rPr>
            </w:pPr>
            <w:r w:rsidRPr="002B09C8">
              <w:rPr>
                <w:sz w:val="22"/>
                <w:szCs w:val="22"/>
                <w:lang w:val="sr-Latn-ME"/>
              </w:rPr>
              <w:t>Nakon dvije godine</w:t>
            </w:r>
          </w:p>
        </w:tc>
        <w:tc>
          <w:tcPr>
            <w:tcW w:w="0" w:type="auto"/>
          </w:tcPr>
          <w:p w14:paraId="31EC5B00" w14:textId="77777777" w:rsidR="00FB74D3" w:rsidRPr="002B09C8" w:rsidRDefault="00FB74D3" w:rsidP="00C74431">
            <w:pPr>
              <w:widowControl w:val="0"/>
              <w:jc w:val="both"/>
              <w:rPr>
                <w:sz w:val="22"/>
                <w:szCs w:val="22"/>
                <w:lang w:val="sr-Latn-ME"/>
              </w:rPr>
            </w:pPr>
            <w:r w:rsidRPr="002B09C8">
              <w:rPr>
                <w:sz w:val="22"/>
                <w:szCs w:val="22"/>
                <w:lang w:val="sr-Latn-ME"/>
              </w:rPr>
              <w:t>41%</w:t>
            </w:r>
          </w:p>
        </w:tc>
        <w:tc>
          <w:tcPr>
            <w:tcW w:w="0" w:type="auto"/>
          </w:tcPr>
          <w:p w14:paraId="536BDECC" w14:textId="77777777" w:rsidR="00FB74D3" w:rsidRPr="002B09C8" w:rsidRDefault="00FB74D3" w:rsidP="00C74431">
            <w:pPr>
              <w:widowControl w:val="0"/>
              <w:jc w:val="both"/>
              <w:rPr>
                <w:sz w:val="22"/>
                <w:szCs w:val="22"/>
                <w:lang w:val="sr-Latn-ME"/>
              </w:rPr>
            </w:pPr>
            <w:r w:rsidRPr="002B09C8">
              <w:rPr>
                <w:sz w:val="22"/>
                <w:szCs w:val="22"/>
                <w:lang w:val="sr-Latn-ME"/>
              </w:rPr>
              <w:t>67%</w:t>
            </w:r>
          </w:p>
        </w:tc>
      </w:tr>
      <w:tr w:rsidR="00FB74D3" w:rsidRPr="002B09C8" w14:paraId="3921CC7A" w14:textId="77777777" w:rsidTr="00CF1A4D">
        <w:tc>
          <w:tcPr>
            <w:tcW w:w="0" w:type="auto"/>
          </w:tcPr>
          <w:p w14:paraId="3302AB56" w14:textId="77777777" w:rsidR="00FB74D3" w:rsidRPr="002B09C8" w:rsidRDefault="00FB74D3" w:rsidP="00C74431">
            <w:pPr>
              <w:widowControl w:val="0"/>
              <w:jc w:val="both"/>
              <w:rPr>
                <w:sz w:val="22"/>
                <w:szCs w:val="22"/>
                <w:lang w:val="sr-Latn-ME"/>
              </w:rPr>
            </w:pPr>
          </w:p>
        </w:tc>
        <w:tc>
          <w:tcPr>
            <w:tcW w:w="0" w:type="auto"/>
          </w:tcPr>
          <w:p w14:paraId="0873C4B5" w14:textId="77777777" w:rsidR="00FB74D3" w:rsidRPr="002B09C8" w:rsidRDefault="00FB74D3" w:rsidP="00C74431">
            <w:pPr>
              <w:widowControl w:val="0"/>
              <w:jc w:val="both"/>
              <w:rPr>
                <w:sz w:val="22"/>
                <w:szCs w:val="22"/>
                <w:lang w:val="sr-Latn-ME"/>
              </w:rPr>
            </w:pPr>
          </w:p>
        </w:tc>
        <w:tc>
          <w:tcPr>
            <w:tcW w:w="0" w:type="auto"/>
          </w:tcPr>
          <w:p w14:paraId="5C4E0BA6" w14:textId="77777777" w:rsidR="00FB74D3" w:rsidRPr="002B09C8" w:rsidRDefault="00FB74D3" w:rsidP="00C74431">
            <w:pPr>
              <w:widowControl w:val="0"/>
              <w:jc w:val="both"/>
              <w:rPr>
                <w:sz w:val="22"/>
                <w:szCs w:val="22"/>
                <w:lang w:val="sr-Latn-ME"/>
              </w:rPr>
            </w:pPr>
          </w:p>
        </w:tc>
      </w:tr>
      <w:tr w:rsidR="00FB74D3" w:rsidRPr="002B09C8" w14:paraId="3393661B" w14:textId="77777777" w:rsidTr="00CF1A4D">
        <w:tc>
          <w:tcPr>
            <w:tcW w:w="0" w:type="auto"/>
          </w:tcPr>
          <w:p w14:paraId="60AE30BF" w14:textId="77777777" w:rsidR="00FB74D3" w:rsidRPr="002B09C8" w:rsidRDefault="00FB74D3" w:rsidP="00C74431">
            <w:pPr>
              <w:widowControl w:val="0"/>
              <w:jc w:val="both"/>
              <w:rPr>
                <w:sz w:val="22"/>
                <w:szCs w:val="22"/>
                <w:lang w:val="sr-Latn-ME"/>
              </w:rPr>
            </w:pPr>
            <w:proofErr w:type="spellStart"/>
            <w:r w:rsidRPr="002B09C8">
              <w:rPr>
                <w:sz w:val="22"/>
                <w:szCs w:val="22"/>
                <w:lang w:val="sr-Latn-ME"/>
              </w:rPr>
              <w:t>Onesposobljenost</w:t>
            </w:r>
            <w:proofErr w:type="spellEnd"/>
          </w:p>
        </w:tc>
        <w:tc>
          <w:tcPr>
            <w:tcW w:w="0" w:type="auto"/>
          </w:tcPr>
          <w:p w14:paraId="1590F3B8" w14:textId="77777777" w:rsidR="00FB74D3" w:rsidRPr="002B09C8" w:rsidRDefault="00FB74D3" w:rsidP="00C74431">
            <w:pPr>
              <w:widowControl w:val="0"/>
              <w:jc w:val="both"/>
              <w:rPr>
                <w:sz w:val="22"/>
                <w:szCs w:val="22"/>
                <w:lang w:val="sr-Latn-ME"/>
              </w:rPr>
            </w:pPr>
          </w:p>
        </w:tc>
        <w:tc>
          <w:tcPr>
            <w:tcW w:w="0" w:type="auto"/>
          </w:tcPr>
          <w:p w14:paraId="74E295A2" w14:textId="77777777" w:rsidR="00FB74D3" w:rsidRPr="002B09C8" w:rsidRDefault="00FB74D3" w:rsidP="00C74431">
            <w:pPr>
              <w:widowControl w:val="0"/>
              <w:jc w:val="both"/>
              <w:rPr>
                <w:sz w:val="22"/>
                <w:szCs w:val="22"/>
                <w:lang w:val="sr-Latn-ME"/>
              </w:rPr>
            </w:pPr>
          </w:p>
        </w:tc>
      </w:tr>
      <w:tr w:rsidR="00FB74D3" w:rsidRPr="002B09C8" w14:paraId="3A4054BD" w14:textId="77777777" w:rsidTr="00CF1A4D">
        <w:tc>
          <w:tcPr>
            <w:tcW w:w="0" w:type="auto"/>
          </w:tcPr>
          <w:p w14:paraId="38C0F632" w14:textId="77777777" w:rsidR="00FB74D3" w:rsidRPr="002B09C8" w:rsidRDefault="00FB74D3" w:rsidP="00C74431">
            <w:pPr>
              <w:widowControl w:val="0"/>
              <w:jc w:val="both"/>
              <w:rPr>
                <w:sz w:val="22"/>
                <w:szCs w:val="22"/>
                <w:lang w:val="sr-Latn-ME"/>
              </w:rPr>
            </w:pPr>
            <w:proofErr w:type="spellStart"/>
            <w:r w:rsidRPr="002B09C8">
              <w:rPr>
                <w:sz w:val="22"/>
                <w:szCs w:val="22"/>
                <w:lang w:val="sr-Latn-ME"/>
              </w:rPr>
              <w:t>Udio</w:t>
            </w:r>
            <w:proofErr w:type="spellEnd"/>
            <w:r w:rsidRPr="002B09C8">
              <w:rPr>
                <w:sz w:val="22"/>
                <w:szCs w:val="22"/>
                <w:lang w:val="sr-Latn-ME"/>
              </w:rPr>
              <w:t xml:space="preserve"> napredovanja bolesti</w:t>
            </w:r>
            <w:r w:rsidRPr="002B09C8">
              <w:rPr>
                <w:sz w:val="22"/>
                <w:szCs w:val="22"/>
                <w:vertAlign w:val="superscript"/>
                <w:lang w:val="sr-Latn-ME"/>
              </w:rPr>
              <w:t>1</w:t>
            </w:r>
            <w:r w:rsidRPr="002B09C8">
              <w:rPr>
                <w:sz w:val="22"/>
                <w:szCs w:val="22"/>
                <w:lang w:val="sr-Latn-ME"/>
              </w:rPr>
              <w:t xml:space="preserve"> (potvrđeno nakon 12 sedmica; primarni ishod)</w:t>
            </w:r>
          </w:p>
        </w:tc>
        <w:tc>
          <w:tcPr>
            <w:tcW w:w="0" w:type="auto"/>
          </w:tcPr>
          <w:p w14:paraId="5DB1B494" w14:textId="77777777" w:rsidR="00FB74D3" w:rsidRPr="002B09C8" w:rsidRDefault="00FB74D3" w:rsidP="00C74431">
            <w:pPr>
              <w:widowControl w:val="0"/>
              <w:jc w:val="both"/>
              <w:rPr>
                <w:sz w:val="22"/>
                <w:szCs w:val="22"/>
                <w:lang w:val="sr-Latn-ME"/>
              </w:rPr>
            </w:pPr>
            <w:r w:rsidRPr="002B09C8">
              <w:rPr>
                <w:sz w:val="22"/>
                <w:szCs w:val="22"/>
                <w:lang w:val="sr-Latn-ME"/>
              </w:rPr>
              <w:t>29%</w:t>
            </w:r>
          </w:p>
        </w:tc>
        <w:tc>
          <w:tcPr>
            <w:tcW w:w="0" w:type="auto"/>
          </w:tcPr>
          <w:p w14:paraId="0569787F" w14:textId="77777777" w:rsidR="00FB74D3" w:rsidRPr="002B09C8" w:rsidRDefault="00FB74D3" w:rsidP="00C74431">
            <w:pPr>
              <w:widowControl w:val="0"/>
              <w:jc w:val="both"/>
              <w:rPr>
                <w:sz w:val="22"/>
                <w:szCs w:val="22"/>
                <w:lang w:val="sr-Latn-ME"/>
              </w:rPr>
            </w:pPr>
            <w:r w:rsidRPr="002B09C8">
              <w:rPr>
                <w:sz w:val="22"/>
                <w:szCs w:val="22"/>
                <w:lang w:val="sr-Latn-ME"/>
              </w:rPr>
              <w:t>17%</w:t>
            </w:r>
          </w:p>
        </w:tc>
      </w:tr>
      <w:tr w:rsidR="00FB74D3" w:rsidRPr="002B09C8" w14:paraId="32A138B6" w14:textId="77777777" w:rsidTr="00CF1A4D">
        <w:tc>
          <w:tcPr>
            <w:tcW w:w="0" w:type="auto"/>
          </w:tcPr>
          <w:p w14:paraId="50FF9DC4" w14:textId="77777777" w:rsidR="00FB74D3" w:rsidRPr="002B09C8" w:rsidRDefault="00FB74D3" w:rsidP="00C74431">
            <w:pPr>
              <w:widowControl w:val="0"/>
              <w:jc w:val="both"/>
              <w:rPr>
                <w:sz w:val="22"/>
                <w:szCs w:val="22"/>
                <w:lang w:val="sr-Latn-ME"/>
              </w:rPr>
            </w:pPr>
          </w:p>
        </w:tc>
        <w:tc>
          <w:tcPr>
            <w:tcW w:w="0" w:type="auto"/>
            <w:gridSpan w:val="2"/>
          </w:tcPr>
          <w:p w14:paraId="79545080" w14:textId="77777777" w:rsidR="00FB74D3" w:rsidRPr="002B09C8" w:rsidRDefault="00FB74D3" w:rsidP="00C74431">
            <w:pPr>
              <w:widowControl w:val="0"/>
              <w:jc w:val="both"/>
              <w:rPr>
                <w:sz w:val="22"/>
                <w:szCs w:val="22"/>
                <w:lang w:val="sr-Latn-ME"/>
              </w:rPr>
            </w:pPr>
            <w:r w:rsidRPr="002B09C8">
              <w:rPr>
                <w:sz w:val="22"/>
                <w:szCs w:val="22"/>
                <w:lang w:val="sr-Latn-ME"/>
              </w:rPr>
              <w:t>Koeficijent rizika 0,58, CI</w:t>
            </w:r>
            <w:r w:rsidRPr="002B09C8">
              <w:rPr>
                <w:sz w:val="22"/>
                <w:szCs w:val="22"/>
                <w:vertAlign w:val="subscript"/>
                <w:lang w:val="sr-Latn-ME"/>
              </w:rPr>
              <w:t xml:space="preserve">95% </w:t>
            </w:r>
            <w:r w:rsidRPr="002B09C8">
              <w:rPr>
                <w:sz w:val="22"/>
                <w:szCs w:val="22"/>
                <w:lang w:val="sr-Latn-ME"/>
              </w:rPr>
              <w:t>0,43 ; 0,73, p&lt;0,001</w:t>
            </w:r>
          </w:p>
        </w:tc>
      </w:tr>
      <w:tr w:rsidR="00FB74D3" w:rsidRPr="002B09C8" w14:paraId="57C1AE26" w14:textId="77777777" w:rsidTr="00CF1A4D">
        <w:tc>
          <w:tcPr>
            <w:tcW w:w="0" w:type="auto"/>
          </w:tcPr>
          <w:p w14:paraId="6E095B7B" w14:textId="77777777" w:rsidR="00FB74D3" w:rsidRPr="002B09C8" w:rsidRDefault="00FB74D3" w:rsidP="00C74431">
            <w:pPr>
              <w:widowControl w:val="0"/>
              <w:jc w:val="both"/>
              <w:rPr>
                <w:sz w:val="22"/>
                <w:szCs w:val="22"/>
                <w:lang w:val="sr-Latn-ME"/>
              </w:rPr>
            </w:pPr>
            <w:proofErr w:type="spellStart"/>
            <w:r w:rsidRPr="002B09C8">
              <w:rPr>
                <w:sz w:val="22"/>
                <w:szCs w:val="22"/>
                <w:lang w:val="sr-Latn-ME"/>
              </w:rPr>
              <w:t>Udio</w:t>
            </w:r>
            <w:proofErr w:type="spellEnd"/>
            <w:r w:rsidRPr="002B09C8">
              <w:rPr>
                <w:sz w:val="22"/>
                <w:szCs w:val="22"/>
                <w:lang w:val="sr-Latn-ME"/>
              </w:rPr>
              <w:t xml:space="preserve"> napredovanja bolesti</w:t>
            </w:r>
            <w:r w:rsidRPr="002B09C8">
              <w:rPr>
                <w:sz w:val="22"/>
                <w:szCs w:val="22"/>
                <w:vertAlign w:val="superscript"/>
                <w:lang w:val="sr-Latn-ME"/>
              </w:rPr>
              <w:t xml:space="preserve">1 </w:t>
            </w:r>
            <w:r w:rsidRPr="002B09C8">
              <w:rPr>
                <w:sz w:val="22"/>
                <w:szCs w:val="22"/>
                <w:lang w:val="sr-Latn-ME"/>
              </w:rPr>
              <w:t>(potvrđeno nakon 24 sedmice)</w:t>
            </w:r>
          </w:p>
        </w:tc>
        <w:tc>
          <w:tcPr>
            <w:tcW w:w="0" w:type="auto"/>
          </w:tcPr>
          <w:p w14:paraId="780774D1" w14:textId="77777777" w:rsidR="00FB74D3" w:rsidRPr="002B09C8" w:rsidRDefault="00FB74D3" w:rsidP="00C74431">
            <w:pPr>
              <w:widowControl w:val="0"/>
              <w:jc w:val="both"/>
              <w:rPr>
                <w:sz w:val="22"/>
                <w:szCs w:val="22"/>
                <w:lang w:val="sr-Latn-ME"/>
              </w:rPr>
            </w:pPr>
            <w:r w:rsidRPr="002B09C8">
              <w:rPr>
                <w:sz w:val="22"/>
                <w:szCs w:val="22"/>
                <w:lang w:val="sr-Latn-ME"/>
              </w:rPr>
              <w:t>23%</w:t>
            </w:r>
          </w:p>
        </w:tc>
        <w:tc>
          <w:tcPr>
            <w:tcW w:w="0" w:type="auto"/>
          </w:tcPr>
          <w:p w14:paraId="51196EEF" w14:textId="77777777" w:rsidR="00FB74D3" w:rsidRPr="002B09C8" w:rsidRDefault="00FB74D3" w:rsidP="00C74431">
            <w:pPr>
              <w:widowControl w:val="0"/>
              <w:jc w:val="both"/>
              <w:rPr>
                <w:sz w:val="22"/>
                <w:szCs w:val="22"/>
                <w:lang w:val="sr-Latn-ME"/>
              </w:rPr>
            </w:pPr>
            <w:r w:rsidRPr="002B09C8">
              <w:rPr>
                <w:sz w:val="22"/>
                <w:szCs w:val="22"/>
                <w:lang w:val="sr-Latn-ME"/>
              </w:rPr>
              <w:t>11%</w:t>
            </w:r>
          </w:p>
        </w:tc>
      </w:tr>
      <w:tr w:rsidR="00FB74D3" w:rsidRPr="002B09C8" w14:paraId="0840936C" w14:textId="77777777" w:rsidTr="00CF1A4D">
        <w:tc>
          <w:tcPr>
            <w:tcW w:w="0" w:type="auto"/>
          </w:tcPr>
          <w:p w14:paraId="3C42D427" w14:textId="77777777" w:rsidR="00FB74D3" w:rsidRPr="002B09C8" w:rsidRDefault="00FB74D3" w:rsidP="00C74431">
            <w:pPr>
              <w:widowControl w:val="0"/>
              <w:jc w:val="both"/>
              <w:rPr>
                <w:sz w:val="22"/>
                <w:szCs w:val="22"/>
                <w:lang w:val="sr-Latn-ME"/>
              </w:rPr>
            </w:pPr>
          </w:p>
        </w:tc>
        <w:tc>
          <w:tcPr>
            <w:tcW w:w="0" w:type="auto"/>
            <w:gridSpan w:val="2"/>
          </w:tcPr>
          <w:p w14:paraId="6AD1A8AB" w14:textId="77777777" w:rsidR="00FB74D3" w:rsidRPr="002B09C8" w:rsidRDefault="00FB74D3" w:rsidP="00C74431">
            <w:pPr>
              <w:widowControl w:val="0"/>
              <w:jc w:val="both"/>
              <w:rPr>
                <w:sz w:val="22"/>
                <w:szCs w:val="22"/>
                <w:lang w:val="sr-Latn-ME"/>
              </w:rPr>
            </w:pPr>
            <w:r w:rsidRPr="002B09C8">
              <w:rPr>
                <w:sz w:val="22"/>
                <w:szCs w:val="22"/>
                <w:lang w:val="sr-Latn-ME"/>
              </w:rPr>
              <w:t>Koeficijent rizika 0,46, CI</w:t>
            </w:r>
            <w:r w:rsidRPr="002B09C8">
              <w:rPr>
                <w:sz w:val="22"/>
                <w:szCs w:val="22"/>
                <w:vertAlign w:val="subscript"/>
                <w:lang w:val="sr-Latn-ME"/>
              </w:rPr>
              <w:t xml:space="preserve">95% </w:t>
            </w:r>
            <w:r w:rsidRPr="002B09C8">
              <w:rPr>
                <w:sz w:val="22"/>
                <w:szCs w:val="22"/>
                <w:lang w:val="sr-Latn-ME"/>
              </w:rPr>
              <w:t>0,33 ; 0,64, p&lt;0,001</w:t>
            </w:r>
          </w:p>
        </w:tc>
      </w:tr>
      <w:tr w:rsidR="00FB74D3" w:rsidRPr="002B09C8" w14:paraId="236C6783" w14:textId="77777777" w:rsidTr="00CF1A4D">
        <w:tc>
          <w:tcPr>
            <w:tcW w:w="0" w:type="auto"/>
          </w:tcPr>
          <w:p w14:paraId="30644DE8" w14:textId="77777777" w:rsidR="00FB74D3" w:rsidRPr="002B09C8" w:rsidRDefault="00FB74D3" w:rsidP="00C74431">
            <w:pPr>
              <w:widowControl w:val="0"/>
              <w:jc w:val="both"/>
              <w:rPr>
                <w:sz w:val="22"/>
                <w:szCs w:val="22"/>
                <w:lang w:val="sr-Latn-ME"/>
              </w:rPr>
            </w:pPr>
            <w:r w:rsidRPr="002B09C8">
              <w:rPr>
                <w:sz w:val="22"/>
                <w:szCs w:val="22"/>
                <w:lang w:val="sr-Latn-ME"/>
              </w:rPr>
              <w:t>MRI (0-2 godine)</w:t>
            </w:r>
          </w:p>
        </w:tc>
        <w:tc>
          <w:tcPr>
            <w:tcW w:w="0" w:type="auto"/>
          </w:tcPr>
          <w:p w14:paraId="130D958D" w14:textId="77777777" w:rsidR="00FB74D3" w:rsidRPr="002B09C8" w:rsidRDefault="00FB74D3" w:rsidP="00C74431">
            <w:pPr>
              <w:widowControl w:val="0"/>
              <w:jc w:val="both"/>
              <w:rPr>
                <w:sz w:val="22"/>
                <w:szCs w:val="22"/>
                <w:lang w:val="sr-Latn-ME"/>
              </w:rPr>
            </w:pPr>
          </w:p>
        </w:tc>
        <w:tc>
          <w:tcPr>
            <w:tcW w:w="0" w:type="auto"/>
          </w:tcPr>
          <w:p w14:paraId="0B2EF4A7" w14:textId="77777777" w:rsidR="00FB74D3" w:rsidRPr="002B09C8" w:rsidRDefault="00FB74D3" w:rsidP="00C74431">
            <w:pPr>
              <w:widowControl w:val="0"/>
              <w:jc w:val="both"/>
              <w:rPr>
                <w:sz w:val="22"/>
                <w:szCs w:val="22"/>
                <w:lang w:val="sr-Latn-ME"/>
              </w:rPr>
            </w:pPr>
          </w:p>
        </w:tc>
      </w:tr>
      <w:tr w:rsidR="00FB74D3" w:rsidRPr="002B09C8" w14:paraId="3157371B" w14:textId="77777777" w:rsidTr="00CF1A4D">
        <w:tc>
          <w:tcPr>
            <w:tcW w:w="0" w:type="auto"/>
          </w:tcPr>
          <w:p w14:paraId="10CBD2F3" w14:textId="77777777" w:rsidR="00FB74D3" w:rsidRPr="002B09C8" w:rsidRDefault="00FB74D3" w:rsidP="00C74431">
            <w:pPr>
              <w:widowControl w:val="0"/>
              <w:jc w:val="both"/>
              <w:rPr>
                <w:sz w:val="22"/>
                <w:szCs w:val="22"/>
                <w:lang w:val="sr-Latn-ME"/>
              </w:rPr>
            </w:pPr>
            <w:proofErr w:type="spellStart"/>
            <w:r w:rsidRPr="002B09C8">
              <w:rPr>
                <w:sz w:val="22"/>
                <w:szCs w:val="22"/>
                <w:lang w:val="sr-Latn-ME"/>
              </w:rPr>
              <w:t>Medijan</w:t>
            </w:r>
            <w:proofErr w:type="spellEnd"/>
            <w:r w:rsidRPr="002B09C8">
              <w:rPr>
                <w:sz w:val="22"/>
                <w:szCs w:val="22"/>
                <w:lang w:val="sr-Latn-ME"/>
              </w:rPr>
              <w:t xml:space="preserve"> % promjene volumena </w:t>
            </w:r>
            <w:proofErr w:type="spellStart"/>
            <w:r w:rsidRPr="002B09C8">
              <w:rPr>
                <w:sz w:val="22"/>
                <w:szCs w:val="22"/>
                <w:lang w:val="sr-Latn-ME"/>
              </w:rPr>
              <w:t>hiperintenzivnih</w:t>
            </w:r>
            <w:proofErr w:type="spellEnd"/>
            <w:r w:rsidRPr="002B09C8">
              <w:rPr>
                <w:sz w:val="22"/>
                <w:szCs w:val="22"/>
                <w:lang w:val="sr-Latn-ME"/>
              </w:rPr>
              <w:t xml:space="preserve"> </w:t>
            </w:r>
            <w:proofErr w:type="spellStart"/>
            <w:r w:rsidRPr="002B09C8">
              <w:rPr>
                <w:sz w:val="22"/>
                <w:szCs w:val="22"/>
                <w:lang w:val="sr-Latn-ME"/>
              </w:rPr>
              <w:t>lezija</w:t>
            </w:r>
            <w:proofErr w:type="spellEnd"/>
            <w:r w:rsidRPr="002B09C8">
              <w:rPr>
                <w:sz w:val="22"/>
                <w:szCs w:val="22"/>
                <w:lang w:val="sr-Latn-ME"/>
              </w:rPr>
              <w:t xml:space="preserve"> T2</w:t>
            </w:r>
          </w:p>
        </w:tc>
        <w:tc>
          <w:tcPr>
            <w:tcW w:w="0" w:type="auto"/>
          </w:tcPr>
          <w:p w14:paraId="76687D41" w14:textId="77777777" w:rsidR="00FB74D3" w:rsidRPr="002B09C8" w:rsidRDefault="00FB74D3" w:rsidP="00C74431">
            <w:pPr>
              <w:widowControl w:val="0"/>
              <w:jc w:val="both"/>
              <w:rPr>
                <w:sz w:val="22"/>
                <w:szCs w:val="22"/>
                <w:lang w:val="sr-Latn-ME"/>
              </w:rPr>
            </w:pPr>
            <w:r w:rsidRPr="002B09C8">
              <w:rPr>
                <w:sz w:val="22"/>
                <w:szCs w:val="22"/>
                <w:lang w:val="sr-Latn-ME"/>
              </w:rPr>
              <w:t>+8,8%</w:t>
            </w:r>
          </w:p>
        </w:tc>
        <w:tc>
          <w:tcPr>
            <w:tcW w:w="0" w:type="auto"/>
          </w:tcPr>
          <w:p w14:paraId="219A23AC" w14:textId="77777777" w:rsidR="00FB74D3" w:rsidRPr="002B09C8" w:rsidRDefault="00FB74D3" w:rsidP="00C74431">
            <w:pPr>
              <w:widowControl w:val="0"/>
              <w:jc w:val="both"/>
              <w:rPr>
                <w:sz w:val="22"/>
                <w:szCs w:val="22"/>
                <w:lang w:val="sr-Latn-ME"/>
              </w:rPr>
            </w:pPr>
            <w:r w:rsidRPr="002B09C8">
              <w:rPr>
                <w:sz w:val="22"/>
                <w:szCs w:val="22"/>
                <w:lang w:val="sr-Latn-ME"/>
              </w:rPr>
              <w:t>-9,4% (p&lt;0,001)</w:t>
            </w:r>
          </w:p>
        </w:tc>
      </w:tr>
      <w:tr w:rsidR="00FB74D3" w:rsidRPr="002B09C8" w14:paraId="467E1DA9" w14:textId="77777777" w:rsidTr="00CF1A4D">
        <w:tc>
          <w:tcPr>
            <w:tcW w:w="0" w:type="auto"/>
          </w:tcPr>
          <w:p w14:paraId="79E9D46E" w14:textId="77777777" w:rsidR="00FB74D3" w:rsidRPr="002B09C8" w:rsidRDefault="00FB74D3" w:rsidP="00C74431">
            <w:pPr>
              <w:widowControl w:val="0"/>
              <w:jc w:val="both"/>
              <w:rPr>
                <w:sz w:val="22"/>
                <w:szCs w:val="22"/>
                <w:lang w:val="sr-Latn-ME"/>
              </w:rPr>
            </w:pPr>
            <w:r w:rsidRPr="002B09C8">
              <w:rPr>
                <w:sz w:val="22"/>
                <w:szCs w:val="22"/>
                <w:lang w:val="sr-Latn-ME"/>
              </w:rPr>
              <w:t xml:space="preserve">Srednji broj novih ili </w:t>
            </w:r>
            <w:proofErr w:type="spellStart"/>
            <w:r w:rsidRPr="002B09C8">
              <w:rPr>
                <w:sz w:val="22"/>
                <w:szCs w:val="22"/>
                <w:lang w:val="sr-Latn-ME"/>
              </w:rPr>
              <w:t>novorastućih</w:t>
            </w:r>
            <w:proofErr w:type="spellEnd"/>
            <w:r w:rsidRPr="002B09C8">
              <w:rPr>
                <w:sz w:val="22"/>
                <w:szCs w:val="22"/>
                <w:lang w:val="sr-Latn-ME"/>
              </w:rPr>
              <w:t xml:space="preserve"> </w:t>
            </w:r>
            <w:proofErr w:type="spellStart"/>
            <w:r w:rsidRPr="002B09C8">
              <w:rPr>
                <w:sz w:val="22"/>
                <w:szCs w:val="22"/>
                <w:lang w:val="sr-Latn-ME"/>
              </w:rPr>
              <w:t>hiperintenzivnih</w:t>
            </w:r>
            <w:proofErr w:type="spellEnd"/>
            <w:r w:rsidRPr="002B09C8">
              <w:rPr>
                <w:sz w:val="22"/>
                <w:szCs w:val="22"/>
                <w:lang w:val="sr-Latn-ME"/>
              </w:rPr>
              <w:t xml:space="preserve"> </w:t>
            </w:r>
            <w:proofErr w:type="spellStart"/>
            <w:r w:rsidRPr="002B09C8">
              <w:rPr>
                <w:sz w:val="22"/>
                <w:szCs w:val="22"/>
                <w:lang w:val="sr-Latn-ME"/>
              </w:rPr>
              <w:t>lezija</w:t>
            </w:r>
            <w:proofErr w:type="spellEnd"/>
            <w:r w:rsidRPr="002B09C8">
              <w:rPr>
                <w:sz w:val="22"/>
                <w:szCs w:val="22"/>
                <w:lang w:val="sr-Latn-ME"/>
              </w:rPr>
              <w:t xml:space="preserve"> T2</w:t>
            </w:r>
          </w:p>
        </w:tc>
        <w:tc>
          <w:tcPr>
            <w:tcW w:w="0" w:type="auto"/>
          </w:tcPr>
          <w:p w14:paraId="1A87870F" w14:textId="77777777" w:rsidR="00FB74D3" w:rsidRPr="002B09C8" w:rsidRDefault="00FB74D3" w:rsidP="00C74431">
            <w:pPr>
              <w:widowControl w:val="0"/>
              <w:jc w:val="both"/>
              <w:rPr>
                <w:sz w:val="22"/>
                <w:szCs w:val="22"/>
                <w:lang w:val="sr-Latn-ME"/>
              </w:rPr>
            </w:pPr>
            <w:r w:rsidRPr="002B09C8">
              <w:rPr>
                <w:sz w:val="22"/>
                <w:szCs w:val="22"/>
                <w:lang w:val="sr-Latn-ME"/>
              </w:rPr>
              <w:t>11,0</w:t>
            </w:r>
          </w:p>
        </w:tc>
        <w:tc>
          <w:tcPr>
            <w:tcW w:w="0" w:type="auto"/>
          </w:tcPr>
          <w:p w14:paraId="5C55111B" w14:textId="77777777" w:rsidR="00FB74D3" w:rsidRPr="002B09C8" w:rsidRDefault="00FB74D3" w:rsidP="00C74431">
            <w:pPr>
              <w:widowControl w:val="0"/>
              <w:jc w:val="both"/>
              <w:rPr>
                <w:sz w:val="22"/>
                <w:szCs w:val="22"/>
                <w:lang w:val="sr-Latn-ME"/>
              </w:rPr>
            </w:pPr>
            <w:r w:rsidRPr="002B09C8">
              <w:rPr>
                <w:sz w:val="22"/>
                <w:szCs w:val="22"/>
                <w:lang w:val="sr-Latn-ME"/>
              </w:rPr>
              <w:t>1.9 (p&lt;0,001)</w:t>
            </w:r>
          </w:p>
        </w:tc>
      </w:tr>
      <w:tr w:rsidR="00FB74D3" w:rsidRPr="002B09C8" w14:paraId="6CDDFD76" w14:textId="77777777" w:rsidTr="00CF1A4D">
        <w:tc>
          <w:tcPr>
            <w:tcW w:w="0" w:type="auto"/>
          </w:tcPr>
          <w:p w14:paraId="6F44C8F7" w14:textId="77777777" w:rsidR="00FB74D3" w:rsidRPr="002B09C8" w:rsidRDefault="00FB74D3" w:rsidP="00C74431">
            <w:pPr>
              <w:widowControl w:val="0"/>
              <w:jc w:val="both"/>
              <w:rPr>
                <w:sz w:val="22"/>
                <w:szCs w:val="22"/>
                <w:lang w:val="sr-Latn-ME"/>
              </w:rPr>
            </w:pPr>
            <w:r w:rsidRPr="002B09C8">
              <w:rPr>
                <w:sz w:val="22"/>
                <w:szCs w:val="22"/>
                <w:lang w:val="sr-Latn-ME"/>
              </w:rPr>
              <w:t xml:space="preserve">Srednji broj </w:t>
            </w:r>
            <w:proofErr w:type="spellStart"/>
            <w:r w:rsidRPr="002B09C8">
              <w:rPr>
                <w:sz w:val="22"/>
                <w:szCs w:val="22"/>
                <w:lang w:val="sr-Latn-ME"/>
              </w:rPr>
              <w:t>hipointenzivnih</w:t>
            </w:r>
            <w:proofErr w:type="spellEnd"/>
            <w:r w:rsidRPr="002B09C8">
              <w:rPr>
                <w:sz w:val="22"/>
                <w:szCs w:val="22"/>
                <w:lang w:val="sr-Latn-ME"/>
              </w:rPr>
              <w:t xml:space="preserve"> </w:t>
            </w:r>
            <w:proofErr w:type="spellStart"/>
            <w:r w:rsidRPr="002B09C8">
              <w:rPr>
                <w:sz w:val="22"/>
                <w:szCs w:val="22"/>
                <w:lang w:val="sr-Latn-ME"/>
              </w:rPr>
              <w:t>lezija</w:t>
            </w:r>
            <w:proofErr w:type="spellEnd"/>
            <w:r w:rsidRPr="002B09C8">
              <w:rPr>
                <w:sz w:val="22"/>
                <w:szCs w:val="22"/>
                <w:lang w:val="sr-Latn-ME"/>
              </w:rPr>
              <w:t xml:space="preserve"> T1</w:t>
            </w:r>
          </w:p>
        </w:tc>
        <w:tc>
          <w:tcPr>
            <w:tcW w:w="0" w:type="auto"/>
          </w:tcPr>
          <w:p w14:paraId="3CDE8D23" w14:textId="77777777" w:rsidR="00FB74D3" w:rsidRPr="002B09C8" w:rsidRDefault="00FB74D3" w:rsidP="00C74431">
            <w:pPr>
              <w:widowControl w:val="0"/>
              <w:jc w:val="both"/>
              <w:rPr>
                <w:sz w:val="22"/>
                <w:szCs w:val="22"/>
                <w:lang w:val="sr-Latn-ME"/>
              </w:rPr>
            </w:pPr>
            <w:r w:rsidRPr="002B09C8">
              <w:rPr>
                <w:sz w:val="22"/>
                <w:szCs w:val="22"/>
                <w:lang w:val="sr-Latn-ME"/>
              </w:rPr>
              <w:t>4,6</w:t>
            </w:r>
          </w:p>
        </w:tc>
        <w:tc>
          <w:tcPr>
            <w:tcW w:w="0" w:type="auto"/>
          </w:tcPr>
          <w:p w14:paraId="40D956A6" w14:textId="77777777" w:rsidR="00FB74D3" w:rsidRPr="002B09C8" w:rsidRDefault="00FB74D3" w:rsidP="00C74431">
            <w:pPr>
              <w:widowControl w:val="0"/>
              <w:jc w:val="both"/>
              <w:rPr>
                <w:sz w:val="22"/>
                <w:szCs w:val="22"/>
                <w:lang w:val="sr-Latn-ME"/>
              </w:rPr>
            </w:pPr>
            <w:r w:rsidRPr="002B09C8">
              <w:rPr>
                <w:sz w:val="22"/>
                <w:szCs w:val="22"/>
                <w:lang w:val="sr-Latn-ME"/>
              </w:rPr>
              <w:t>1.1 (p&lt;0,001)</w:t>
            </w:r>
          </w:p>
        </w:tc>
      </w:tr>
      <w:tr w:rsidR="00FB74D3" w:rsidRPr="002B09C8" w14:paraId="2464ECFF" w14:textId="77777777" w:rsidTr="00CF1A4D">
        <w:tc>
          <w:tcPr>
            <w:tcW w:w="0" w:type="auto"/>
          </w:tcPr>
          <w:p w14:paraId="1B518BEF" w14:textId="77777777" w:rsidR="00FB74D3" w:rsidRPr="002B09C8" w:rsidRDefault="00FB74D3" w:rsidP="00C74431">
            <w:pPr>
              <w:widowControl w:val="0"/>
              <w:jc w:val="both"/>
              <w:rPr>
                <w:sz w:val="22"/>
                <w:szCs w:val="22"/>
                <w:lang w:val="sr-Latn-ME"/>
              </w:rPr>
            </w:pPr>
            <w:r w:rsidRPr="002B09C8">
              <w:rPr>
                <w:sz w:val="22"/>
                <w:szCs w:val="22"/>
                <w:lang w:val="sr-Latn-ME"/>
              </w:rPr>
              <w:t xml:space="preserve">Srednji broj </w:t>
            </w:r>
            <w:proofErr w:type="spellStart"/>
            <w:r w:rsidRPr="002B09C8">
              <w:rPr>
                <w:sz w:val="22"/>
                <w:szCs w:val="22"/>
                <w:lang w:val="sr-Latn-ME"/>
              </w:rPr>
              <w:t>lezija</w:t>
            </w:r>
            <w:proofErr w:type="spellEnd"/>
            <w:r w:rsidRPr="002B09C8">
              <w:rPr>
                <w:sz w:val="22"/>
                <w:szCs w:val="22"/>
                <w:lang w:val="sr-Latn-ME"/>
              </w:rPr>
              <w:t xml:space="preserve"> utvrđenih gadolinijumom</w:t>
            </w:r>
          </w:p>
        </w:tc>
        <w:tc>
          <w:tcPr>
            <w:tcW w:w="0" w:type="auto"/>
          </w:tcPr>
          <w:p w14:paraId="2272113D" w14:textId="77777777" w:rsidR="00FB74D3" w:rsidRPr="002B09C8" w:rsidRDefault="00FB74D3" w:rsidP="00C74431">
            <w:pPr>
              <w:widowControl w:val="0"/>
              <w:jc w:val="both"/>
              <w:rPr>
                <w:sz w:val="22"/>
                <w:szCs w:val="22"/>
                <w:lang w:val="sr-Latn-ME"/>
              </w:rPr>
            </w:pPr>
            <w:r w:rsidRPr="002B09C8">
              <w:rPr>
                <w:sz w:val="22"/>
                <w:szCs w:val="22"/>
                <w:lang w:val="sr-Latn-ME"/>
              </w:rPr>
              <w:t>1,2</w:t>
            </w:r>
          </w:p>
        </w:tc>
        <w:tc>
          <w:tcPr>
            <w:tcW w:w="0" w:type="auto"/>
          </w:tcPr>
          <w:p w14:paraId="0D0C1A98" w14:textId="77777777" w:rsidR="00FB74D3" w:rsidRPr="002B09C8" w:rsidRDefault="00FB74D3" w:rsidP="00C74431">
            <w:pPr>
              <w:widowControl w:val="0"/>
              <w:jc w:val="both"/>
              <w:rPr>
                <w:sz w:val="22"/>
                <w:szCs w:val="22"/>
                <w:lang w:val="sr-Latn-ME"/>
              </w:rPr>
            </w:pPr>
            <w:r w:rsidRPr="002B09C8">
              <w:rPr>
                <w:sz w:val="22"/>
                <w:szCs w:val="22"/>
                <w:lang w:val="sr-Latn-ME"/>
              </w:rPr>
              <w:t>0.1 (p&lt;0,001)</w:t>
            </w:r>
          </w:p>
        </w:tc>
      </w:tr>
      <w:tr w:rsidR="00FB74D3" w:rsidRPr="002B09C8" w14:paraId="37B97632" w14:textId="77777777" w:rsidTr="00CF1A4D">
        <w:tc>
          <w:tcPr>
            <w:tcW w:w="0" w:type="auto"/>
            <w:gridSpan w:val="3"/>
          </w:tcPr>
          <w:p w14:paraId="4EE4B9D1" w14:textId="77777777" w:rsidR="00FB74D3" w:rsidRPr="002B09C8" w:rsidRDefault="00FB74D3" w:rsidP="00C74431">
            <w:pPr>
              <w:widowControl w:val="0"/>
              <w:jc w:val="both"/>
              <w:rPr>
                <w:sz w:val="22"/>
                <w:szCs w:val="22"/>
                <w:lang w:val="sr-Latn-ME"/>
              </w:rPr>
            </w:pPr>
            <w:r w:rsidRPr="002B09C8">
              <w:rPr>
                <w:sz w:val="22"/>
                <w:szCs w:val="22"/>
                <w:vertAlign w:val="superscript"/>
                <w:lang w:val="sr-Latn-ME"/>
              </w:rPr>
              <w:t>1</w:t>
            </w:r>
            <w:r w:rsidRPr="002B09C8">
              <w:rPr>
                <w:sz w:val="22"/>
                <w:szCs w:val="22"/>
                <w:lang w:val="sr-Latn-ME"/>
              </w:rPr>
              <w:t xml:space="preserve">Progresija </w:t>
            </w:r>
            <w:proofErr w:type="spellStart"/>
            <w:r w:rsidRPr="002B09C8">
              <w:rPr>
                <w:sz w:val="22"/>
                <w:szCs w:val="22"/>
                <w:lang w:val="sr-Latn-ME"/>
              </w:rPr>
              <w:t>onesposobljenosti</w:t>
            </w:r>
            <w:proofErr w:type="spellEnd"/>
            <w:r w:rsidRPr="002B09C8">
              <w:rPr>
                <w:sz w:val="22"/>
                <w:szCs w:val="22"/>
                <w:lang w:val="sr-Latn-ME"/>
              </w:rPr>
              <w:t xml:space="preserve"> određena je kao povećanje za bar 1,0 tačke na EDSS od osnovnog nivoa EDSS &gt;=1,0 održano tokom 12 ili 24 sedmice ili kao povećanje za bar 1,5 tačke na EDSS od osnovnog nivoa EDSS =0 održano tokom 12 ili 24 sedmice.</w:t>
            </w:r>
          </w:p>
        </w:tc>
      </w:tr>
    </w:tbl>
    <w:p w14:paraId="60F82BE3" w14:textId="77777777" w:rsidR="00FB74D3" w:rsidRPr="002B09C8" w:rsidRDefault="00FB74D3" w:rsidP="00C74431">
      <w:pPr>
        <w:widowControl w:val="0"/>
        <w:tabs>
          <w:tab w:val="left" w:pos="540"/>
          <w:tab w:val="left" w:pos="569"/>
        </w:tabs>
        <w:jc w:val="both"/>
        <w:rPr>
          <w:b/>
          <w:bCs/>
          <w:sz w:val="22"/>
          <w:szCs w:val="22"/>
          <w:lang w:val="sr-Latn-ME"/>
        </w:rPr>
      </w:pPr>
    </w:p>
    <w:p w14:paraId="2BB8877F" w14:textId="2D897C17" w:rsidR="00FB74D3" w:rsidRPr="002B09C8" w:rsidRDefault="00FB74D3" w:rsidP="00C74431">
      <w:pPr>
        <w:widowControl w:val="0"/>
        <w:jc w:val="both"/>
        <w:rPr>
          <w:sz w:val="22"/>
          <w:szCs w:val="22"/>
          <w:lang w:val="sr-Latn-ME"/>
        </w:rPr>
      </w:pPr>
      <w:r w:rsidRPr="002B09C8">
        <w:rPr>
          <w:sz w:val="22"/>
          <w:szCs w:val="22"/>
          <w:lang w:val="sr-Latn-ME"/>
        </w:rPr>
        <w:t xml:space="preserve">U podgrupi pacijenata kod kojih postoji indikacija za liječenje </w:t>
      </w:r>
      <w:proofErr w:type="spellStart"/>
      <w:r w:rsidRPr="002B09C8">
        <w:rPr>
          <w:sz w:val="22"/>
          <w:szCs w:val="22"/>
          <w:lang w:val="sr-Latn-ME"/>
        </w:rPr>
        <w:t>brzonapredujuće</w:t>
      </w:r>
      <w:proofErr w:type="spellEnd"/>
      <w:r w:rsidRPr="002B09C8">
        <w:rPr>
          <w:sz w:val="22"/>
          <w:szCs w:val="22"/>
          <w:lang w:val="sr-Latn-ME"/>
        </w:rPr>
        <w:t xml:space="preserve"> </w:t>
      </w:r>
      <w:r w:rsidR="002F67F6" w:rsidRPr="002B09C8">
        <w:rPr>
          <w:sz w:val="22"/>
          <w:szCs w:val="22"/>
          <w:lang w:val="sr-Latn-ME"/>
        </w:rPr>
        <w:t>RRMS</w:t>
      </w:r>
      <w:r w:rsidRPr="002B09C8">
        <w:rPr>
          <w:sz w:val="22"/>
          <w:szCs w:val="22"/>
          <w:lang w:val="sr-Latn-ME"/>
        </w:rPr>
        <w:t xml:space="preserve"> (pacijenti sa 2 ili više </w:t>
      </w:r>
      <w:proofErr w:type="spellStart"/>
      <w:r w:rsidRPr="002B09C8">
        <w:rPr>
          <w:sz w:val="22"/>
          <w:szCs w:val="22"/>
          <w:lang w:val="sr-Latn-ME"/>
        </w:rPr>
        <w:t>relapsa</w:t>
      </w:r>
      <w:proofErr w:type="spellEnd"/>
      <w:r w:rsidRPr="002B09C8">
        <w:rPr>
          <w:sz w:val="22"/>
          <w:szCs w:val="22"/>
          <w:lang w:val="sr-Latn-ME"/>
        </w:rPr>
        <w:t xml:space="preserve"> i 1 ili više </w:t>
      </w:r>
      <w:proofErr w:type="spellStart"/>
      <w:r w:rsidRPr="002B09C8">
        <w:rPr>
          <w:sz w:val="22"/>
          <w:szCs w:val="22"/>
          <w:lang w:val="sr-Latn-ME"/>
        </w:rPr>
        <w:t>lezija</w:t>
      </w:r>
      <w:proofErr w:type="spellEnd"/>
      <w:r w:rsidRPr="002B09C8">
        <w:rPr>
          <w:sz w:val="22"/>
          <w:szCs w:val="22"/>
          <w:lang w:val="sr-Latn-ME"/>
        </w:rPr>
        <w:t xml:space="preserve"> utvrđenih gadolinijumom) godišnja stopa </w:t>
      </w:r>
      <w:proofErr w:type="spellStart"/>
      <w:r w:rsidRPr="002B09C8">
        <w:rPr>
          <w:sz w:val="22"/>
          <w:szCs w:val="22"/>
          <w:lang w:val="sr-Latn-ME"/>
        </w:rPr>
        <w:t>relapsa</w:t>
      </w:r>
      <w:proofErr w:type="spellEnd"/>
      <w:r w:rsidRPr="002B09C8">
        <w:rPr>
          <w:sz w:val="22"/>
          <w:szCs w:val="22"/>
          <w:lang w:val="sr-Latn-ME"/>
        </w:rPr>
        <w:t xml:space="preserve"> bila je 0,282 u grupi liječenoj </w:t>
      </w:r>
      <w:proofErr w:type="spellStart"/>
      <w:r w:rsidR="007C3FA6" w:rsidRPr="002B09C8">
        <w:rPr>
          <w:sz w:val="22"/>
          <w:szCs w:val="22"/>
          <w:lang w:val="sr-Latn-ME"/>
        </w:rPr>
        <w:t>natalizumabom</w:t>
      </w:r>
      <w:proofErr w:type="spellEnd"/>
      <w:r w:rsidRPr="002B09C8">
        <w:rPr>
          <w:sz w:val="22"/>
          <w:szCs w:val="22"/>
          <w:lang w:val="sr-Latn-ME"/>
        </w:rPr>
        <w:t xml:space="preserve"> (n = 148) i 1,455 u </w:t>
      </w:r>
      <w:proofErr w:type="spellStart"/>
      <w:r w:rsidRPr="002B09C8">
        <w:rPr>
          <w:sz w:val="22"/>
          <w:szCs w:val="22"/>
          <w:lang w:val="sr-Latn-ME"/>
        </w:rPr>
        <w:t>placebo</w:t>
      </w:r>
      <w:proofErr w:type="spellEnd"/>
      <w:r w:rsidRPr="002B09C8">
        <w:rPr>
          <w:sz w:val="22"/>
          <w:szCs w:val="22"/>
          <w:lang w:val="sr-Latn-ME"/>
        </w:rPr>
        <w:t xml:space="preserve"> grupi (n = 61) (p&lt;0,001). Koeficijent rizika za napredovanje </w:t>
      </w:r>
      <w:proofErr w:type="spellStart"/>
      <w:r w:rsidRPr="002B09C8">
        <w:rPr>
          <w:sz w:val="22"/>
          <w:szCs w:val="22"/>
          <w:lang w:val="sr-Latn-ME"/>
        </w:rPr>
        <w:t>onesposobljenosti</w:t>
      </w:r>
      <w:proofErr w:type="spellEnd"/>
      <w:r w:rsidRPr="002B09C8">
        <w:rPr>
          <w:sz w:val="22"/>
          <w:szCs w:val="22"/>
          <w:lang w:val="sr-Latn-ME"/>
        </w:rPr>
        <w:t xml:space="preserve"> bio je 0,36 (95% CI: 0,17, 0,76) p = 0,008. Ovi rezultati su dobijeni na osnovu </w:t>
      </w:r>
      <w:r w:rsidRPr="002B09C8">
        <w:rPr>
          <w:i/>
          <w:sz w:val="22"/>
          <w:szCs w:val="22"/>
          <w:lang w:val="sr-Latn-ME"/>
        </w:rPr>
        <w:t xml:space="preserve">post </w:t>
      </w:r>
      <w:proofErr w:type="spellStart"/>
      <w:r w:rsidRPr="002B09C8">
        <w:rPr>
          <w:i/>
          <w:sz w:val="22"/>
          <w:szCs w:val="22"/>
          <w:lang w:val="sr-Latn-ME"/>
        </w:rPr>
        <w:t>hoc</w:t>
      </w:r>
      <w:proofErr w:type="spellEnd"/>
      <w:r w:rsidRPr="002B09C8">
        <w:rPr>
          <w:i/>
          <w:sz w:val="22"/>
          <w:szCs w:val="22"/>
          <w:lang w:val="sr-Latn-ME"/>
        </w:rPr>
        <w:t xml:space="preserve"> </w:t>
      </w:r>
      <w:r w:rsidRPr="002B09C8">
        <w:rPr>
          <w:sz w:val="22"/>
          <w:szCs w:val="22"/>
          <w:lang w:val="sr-Latn-ME"/>
        </w:rPr>
        <w:t xml:space="preserve">analize te ih treba oprezno tumačiti. Podaci o težini </w:t>
      </w:r>
      <w:proofErr w:type="spellStart"/>
      <w:r w:rsidRPr="002B09C8">
        <w:rPr>
          <w:sz w:val="22"/>
          <w:szCs w:val="22"/>
          <w:lang w:val="sr-Latn-ME"/>
        </w:rPr>
        <w:t>relapsa</w:t>
      </w:r>
      <w:proofErr w:type="spellEnd"/>
      <w:r w:rsidRPr="002B09C8">
        <w:rPr>
          <w:sz w:val="22"/>
          <w:szCs w:val="22"/>
          <w:lang w:val="sr-Latn-ME"/>
        </w:rPr>
        <w:t xml:space="preserve"> prije uključenja pacijenata </w:t>
      </w:r>
      <w:r w:rsidRPr="002B09C8">
        <w:rPr>
          <w:sz w:val="22"/>
          <w:szCs w:val="22"/>
          <w:lang w:val="sr-Latn-ME"/>
        </w:rPr>
        <w:lastRenderedPageBreak/>
        <w:t>u studiju nijesu dostupni.</w:t>
      </w:r>
    </w:p>
    <w:p w14:paraId="2ED7B51D" w14:textId="77777777" w:rsidR="007C3FA6" w:rsidRPr="002B09C8" w:rsidRDefault="007C3FA6" w:rsidP="00C74431">
      <w:pPr>
        <w:widowControl w:val="0"/>
        <w:jc w:val="both"/>
        <w:rPr>
          <w:sz w:val="22"/>
          <w:szCs w:val="22"/>
          <w:lang w:val="sr-Latn-ME"/>
        </w:rPr>
      </w:pPr>
    </w:p>
    <w:p w14:paraId="17A9F179" w14:textId="5ADB00D6" w:rsidR="007C3FA6" w:rsidRPr="002B09C8" w:rsidRDefault="007C3FA6" w:rsidP="00C74431">
      <w:pPr>
        <w:widowControl w:val="0"/>
        <w:jc w:val="both"/>
        <w:rPr>
          <w:sz w:val="22"/>
          <w:szCs w:val="22"/>
          <w:lang w:val="sr-Latn-ME"/>
        </w:rPr>
      </w:pPr>
      <w:proofErr w:type="spellStart"/>
      <w:r w:rsidRPr="002B09C8">
        <w:rPr>
          <w:i/>
          <w:iCs/>
          <w:sz w:val="22"/>
          <w:szCs w:val="22"/>
          <w:u w:val="single"/>
          <w:lang w:val="sr-Latn-ME"/>
        </w:rPr>
        <w:t>Tysabri</w:t>
      </w:r>
      <w:proofErr w:type="spellEnd"/>
      <w:r w:rsidRPr="002B09C8">
        <w:rPr>
          <w:i/>
          <w:iCs/>
          <w:sz w:val="22"/>
          <w:szCs w:val="22"/>
          <w:u w:val="single"/>
          <w:lang w:val="sr-Latn-ME"/>
        </w:rPr>
        <w:t xml:space="preserve"> Opservacioni program (TOP)</w:t>
      </w:r>
    </w:p>
    <w:p w14:paraId="6132D96B" w14:textId="77777777" w:rsidR="00FB74D3" w:rsidRPr="002B09C8" w:rsidRDefault="00FB74D3" w:rsidP="00C74431">
      <w:pPr>
        <w:widowControl w:val="0"/>
        <w:jc w:val="both"/>
        <w:rPr>
          <w:sz w:val="22"/>
          <w:szCs w:val="22"/>
          <w:lang w:val="sr-Latn-ME"/>
        </w:rPr>
      </w:pPr>
    </w:p>
    <w:p w14:paraId="76CBC63E" w14:textId="698203FC" w:rsidR="00FB74D3" w:rsidRPr="002B09C8" w:rsidRDefault="00FB74D3" w:rsidP="00C74431">
      <w:pPr>
        <w:widowControl w:val="0"/>
        <w:tabs>
          <w:tab w:val="left" w:pos="284"/>
        </w:tabs>
        <w:jc w:val="both"/>
        <w:rPr>
          <w:sz w:val="22"/>
          <w:szCs w:val="22"/>
          <w:lang w:val="sr-Latn-ME"/>
        </w:rPr>
      </w:pPr>
      <w:proofErr w:type="spellStart"/>
      <w:r w:rsidRPr="002B09C8">
        <w:rPr>
          <w:sz w:val="22"/>
          <w:szCs w:val="22"/>
          <w:lang w:val="sr-Latn-ME"/>
        </w:rPr>
        <w:t>Interim</w:t>
      </w:r>
      <w:proofErr w:type="spellEnd"/>
      <w:r w:rsidRPr="002B09C8">
        <w:rPr>
          <w:sz w:val="22"/>
          <w:szCs w:val="22"/>
          <w:lang w:val="sr-Latn-ME"/>
        </w:rPr>
        <w:t xml:space="preserve"> analiza rezultata (od maja 2015.) dobijenih u </w:t>
      </w:r>
      <w:proofErr w:type="spellStart"/>
      <w:r w:rsidRPr="002B09C8">
        <w:rPr>
          <w:sz w:val="22"/>
          <w:szCs w:val="22"/>
          <w:lang w:val="sr-Latn-ME"/>
        </w:rPr>
        <w:t>Tysabri</w:t>
      </w:r>
      <w:proofErr w:type="spellEnd"/>
      <w:r w:rsidRPr="002B09C8">
        <w:rPr>
          <w:sz w:val="22"/>
          <w:szCs w:val="22"/>
          <w:lang w:val="sr-Latn-ME"/>
        </w:rPr>
        <w:t xml:space="preserve"> Opservacionom Programu (TOP) koje je u toku, faza 4, </w:t>
      </w:r>
      <w:proofErr w:type="spellStart"/>
      <w:r w:rsidRPr="002B09C8">
        <w:rPr>
          <w:sz w:val="22"/>
          <w:szCs w:val="22"/>
          <w:lang w:val="sr-Latn-ME"/>
        </w:rPr>
        <w:t>multicentrično</w:t>
      </w:r>
      <w:proofErr w:type="spellEnd"/>
      <w:r w:rsidRPr="002B09C8">
        <w:rPr>
          <w:sz w:val="22"/>
          <w:szCs w:val="22"/>
          <w:lang w:val="sr-Latn-ME"/>
        </w:rPr>
        <w:t xml:space="preserve"> ispitivanje sa jednom grupom ispitanika (n = 5770) pokazala je da se kod pacijenata koji prelaze s beta </w:t>
      </w:r>
      <w:proofErr w:type="spellStart"/>
      <w:r w:rsidRPr="002B09C8">
        <w:rPr>
          <w:sz w:val="22"/>
          <w:szCs w:val="22"/>
          <w:lang w:val="sr-Latn-ME"/>
        </w:rPr>
        <w:t>interferona</w:t>
      </w:r>
      <w:proofErr w:type="spellEnd"/>
      <w:r w:rsidRPr="002B09C8">
        <w:rPr>
          <w:sz w:val="22"/>
          <w:szCs w:val="22"/>
          <w:lang w:val="sr-Latn-ME"/>
        </w:rPr>
        <w:t xml:space="preserve"> (n = 3255) ili </w:t>
      </w:r>
      <w:proofErr w:type="spellStart"/>
      <w:r w:rsidRPr="002B09C8">
        <w:rPr>
          <w:sz w:val="22"/>
          <w:szCs w:val="22"/>
          <w:lang w:val="sr-Latn-ME"/>
        </w:rPr>
        <w:t>glatiramer</w:t>
      </w:r>
      <w:proofErr w:type="spellEnd"/>
      <w:r w:rsidRPr="002B09C8">
        <w:rPr>
          <w:sz w:val="22"/>
          <w:szCs w:val="22"/>
          <w:lang w:val="sr-Latn-ME"/>
        </w:rPr>
        <w:t xml:space="preserve"> acetata (n = 1384) na lijek </w:t>
      </w:r>
      <w:proofErr w:type="spellStart"/>
      <w:r w:rsidRPr="002B09C8">
        <w:rPr>
          <w:sz w:val="22"/>
          <w:szCs w:val="22"/>
          <w:lang w:val="sr-Latn-ME"/>
        </w:rPr>
        <w:t>Tysabri</w:t>
      </w:r>
      <w:proofErr w:type="spellEnd"/>
      <w:r w:rsidRPr="002B09C8">
        <w:rPr>
          <w:sz w:val="22"/>
          <w:szCs w:val="22"/>
          <w:lang w:val="sr-Latn-ME"/>
        </w:rPr>
        <w:t xml:space="preserve">, zadržalo značajno smanjenje godišnje stope </w:t>
      </w:r>
      <w:proofErr w:type="spellStart"/>
      <w:r w:rsidRPr="002B09C8">
        <w:rPr>
          <w:sz w:val="22"/>
          <w:szCs w:val="22"/>
          <w:lang w:val="sr-Latn-ME"/>
        </w:rPr>
        <w:t>relapsa</w:t>
      </w:r>
      <w:proofErr w:type="spellEnd"/>
      <w:r w:rsidRPr="002B09C8">
        <w:rPr>
          <w:sz w:val="22"/>
          <w:szCs w:val="22"/>
          <w:lang w:val="sr-Latn-ME"/>
        </w:rPr>
        <w:t xml:space="preserve"> (p &lt; 0,0001). Srednje vrijednosti rezultata EDSS ostale su stabilne 5 godina. Skladno rezultatima efikasnosti opaženim kod pacijenata koji su na </w:t>
      </w:r>
      <w:r w:rsidR="002F67F6" w:rsidRPr="002B09C8">
        <w:rPr>
          <w:sz w:val="22"/>
          <w:szCs w:val="22"/>
          <w:lang w:val="sr-Latn-ME"/>
        </w:rPr>
        <w:t xml:space="preserve">ovaj </w:t>
      </w:r>
      <w:r w:rsidRPr="002B09C8">
        <w:rPr>
          <w:sz w:val="22"/>
          <w:szCs w:val="22"/>
          <w:lang w:val="sr-Latn-ME"/>
        </w:rPr>
        <w:t xml:space="preserve">lijek prelazili s beta </w:t>
      </w:r>
      <w:proofErr w:type="spellStart"/>
      <w:r w:rsidRPr="002B09C8">
        <w:rPr>
          <w:sz w:val="22"/>
          <w:szCs w:val="22"/>
          <w:lang w:val="sr-Latn-ME"/>
        </w:rPr>
        <w:t>interferona</w:t>
      </w:r>
      <w:proofErr w:type="spellEnd"/>
      <w:r w:rsidRPr="002B09C8">
        <w:rPr>
          <w:sz w:val="22"/>
          <w:szCs w:val="22"/>
          <w:lang w:val="sr-Latn-ME"/>
        </w:rPr>
        <w:t xml:space="preserve"> ili </w:t>
      </w:r>
      <w:proofErr w:type="spellStart"/>
      <w:r w:rsidRPr="002B09C8">
        <w:rPr>
          <w:sz w:val="22"/>
          <w:szCs w:val="22"/>
          <w:lang w:val="sr-Latn-ME"/>
        </w:rPr>
        <w:t>glatiramer</w:t>
      </w:r>
      <w:proofErr w:type="spellEnd"/>
      <w:r w:rsidRPr="002B09C8">
        <w:rPr>
          <w:sz w:val="22"/>
          <w:szCs w:val="22"/>
          <w:lang w:val="sr-Latn-ME"/>
        </w:rPr>
        <w:t xml:space="preserve"> acetata, za one kod kojih je </w:t>
      </w:r>
      <w:proofErr w:type="spellStart"/>
      <w:r w:rsidRPr="002B09C8">
        <w:rPr>
          <w:sz w:val="22"/>
          <w:szCs w:val="22"/>
          <w:lang w:val="sr-Latn-ME"/>
        </w:rPr>
        <w:t>prelaz</w:t>
      </w:r>
      <w:proofErr w:type="spellEnd"/>
      <w:r w:rsidRPr="002B09C8">
        <w:rPr>
          <w:sz w:val="22"/>
          <w:szCs w:val="22"/>
          <w:lang w:val="sr-Latn-ME"/>
        </w:rPr>
        <w:t xml:space="preserve"> bio s</w:t>
      </w:r>
      <w:r w:rsidR="00773D3F" w:rsidRPr="002B09C8">
        <w:rPr>
          <w:sz w:val="22"/>
          <w:szCs w:val="22"/>
          <w:lang w:val="sr-Latn-ME"/>
        </w:rPr>
        <w:t>a</w:t>
      </w:r>
      <w:r w:rsidRPr="002B09C8">
        <w:rPr>
          <w:sz w:val="22"/>
          <w:szCs w:val="22"/>
          <w:lang w:val="sr-Latn-ME"/>
        </w:rPr>
        <w:t xml:space="preserve"> </w:t>
      </w:r>
      <w:proofErr w:type="spellStart"/>
      <w:r w:rsidRPr="002B09C8">
        <w:rPr>
          <w:sz w:val="22"/>
          <w:szCs w:val="22"/>
          <w:lang w:val="sr-Latn-ME"/>
        </w:rPr>
        <w:t>fingolimoda</w:t>
      </w:r>
      <w:proofErr w:type="spellEnd"/>
      <w:r w:rsidRPr="002B09C8">
        <w:rPr>
          <w:sz w:val="22"/>
          <w:szCs w:val="22"/>
          <w:lang w:val="sr-Latn-ME"/>
        </w:rPr>
        <w:t xml:space="preserve"> (n = 147) na</w:t>
      </w:r>
      <w:r w:rsidR="002F67F6" w:rsidRPr="002B09C8">
        <w:rPr>
          <w:sz w:val="22"/>
          <w:szCs w:val="22"/>
          <w:lang w:val="sr-Latn-ME"/>
        </w:rPr>
        <w:t xml:space="preserve"> ovaj</w:t>
      </w:r>
      <w:r w:rsidRPr="002B09C8">
        <w:rPr>
          <w:sz w:val="22"/>
          <w:szCs w:val="22"/>
          <w:lang w:val="sr-Latn-ME"/>
        </w:rPr>
        <w:t xml:space="preserve"> lijek opaženo je značajno smanjenje godišnje stope </w:t>
      </w:r>
      <w:proofErr w:type="spellStart"/>
      <w:r w:rsidRPr="002B09C8">
        <w:rPr>
          <w:sz w:val="22"/>
          <w:szCs w:val="22"/>
          <w:lang w:val="sr-Latn-ME"/>
        </w:rPr>
        <w:t>relapsa</w:t>
      </w:r>
      <w:proofErr w:type="spellEnd"/>
      <w:r w:rsidRPr="002B09C8">
        <w:rPr>
          <w:sz w:val="22"/>
          <w:szCs w:val="22"/>
          <w:lang w:val="sr-Latn-ME"/>
        </w:rPr>
        <w:t xml:space="preserve">, što je ostalo stabilno 2 godine, a srednje vrijednosti rezultata EDSS ostale su slične od početka do 2. godine. Kod interpretacije tih rezultata u ovoj podgrupi pacijenata treba uzeti u obzir ograničenu veličinu uzorka i kraće trajanje izloženosti </w:t>
      </w:r>
      <w:proofErr w:type="spellStart"/>
      <w:r w:rsidR="002F67F6" w:rsidRPr="002B09C8">
        <w:rPr>
          <w:sz w:val="22"/>
          <w:szCs w:val="22"/>
          <w:lang w:val="sr-Latn-ME"/>
        </w:rPr>
        <w:t>natalizumabu</w:t>
      </w:r>
      <w:proofErr w:type="spellEnd"/>
      <w:r w:rsidRPr="002B09C8">
        <w:rPr>
          <w:sz w:val="22"/>
          <w:szCs w:val="22"/>
          <w:lang w:val="sr-Latn-ME"/>
        </w:rPr>
        <w:t>.</w:t>
      </w:r>
    </w:p>
    <w:p w14:paraId="4EE7D228" w14:textId="77777777" w:rsidR="007C3FA6" w:rsidRPr="002B09C8" w:rsidRDefault="007C3FA6" w:rsidP="00C74431">
      <w:pPr>
        <w:widowControl w:val="0"/>
        <w:tabs>
          <w:tab w:val="left" w:pos="284"/>
        </w:tabs>
        <w:jc w:val="both"/>
        <w:rPr>
          <w:sz w:val="22"/>
          <w:szCs w:val="22"/>
          <w:lang w:val="sr-Latn-ME"/>
        </w:rPr>
      </w:pPr>
    </w:p>
    <w:p w14:paraId="3E8D43AE" w14:textId="255B1FB9" w:rsidR="007C3FA6" w:rsidRPr="002B09C8" w:rsidRDefault="007C3FA6" w:rsidP="00C74431">
      <w:pPr>
        <w:widowControl w:val="0"/>
        <w:tabs>
          <w:tab w:val="left" w:pos="284"/>
        </w:tabs>
        <w:jc w:val="both"/>
        <w:rPr>
          <w:sz w:val="22"/>
          <w:szCs w:val="22"/>
          <w:lang w:val="sr-Latn-ME"/>
        </w:rPr>
      </w:pPr>
      <w:r w:rsidRPr="002B09C8">
        <w:rPr>
          <w:i/>
          <w:iCs/>
          <w:sz w:val="22"/>
          <w:szCs w:val="22"/>
          <w:u w:val="single"/>
          <w:lang w:val="sr-Latn-ME"/>
        </w:rPr>
        <w:t>Pedijatrijska populacija</w:t>
      </w:r>
    </w:p>
    <w:p w14:paraId="028139B4" w14:textId="77777777" w:rsidR="00FB74D3" w:rsidRPr="002B09C8" w:rsidRDefault="00FB74D3" w:rsidP="00C74431">
      <w:pPr>
        <w:widowControl w:val="0"/>
        <w:jc w:val="both"/>
        <w:rPr>
          <w:sz w:val="22"/>
          <w:szCs w:val="22"/>
          <w:lang w:val="sr-Latn-ME"/>
        </w:rPr>
      </w:pPr>
    </w:p>
    <w:p w14:paraId="328F6790" w14:textId="3CC87ECF" w:rsidR="00FB74D3" w:rsidRPr="002B09C8" w:rsidRDefault="00FB74D3" w:rsidP="00C74431">
      <w:pPr>
        <w:widowControl w:val="0"/>
        <w:tabs>
          <w:tab w:val="left" w:pos="567"/>
        </w:tabs>
        <w:jc w:val="both"/>
        <w:rPr>
          <w:snapToGrid w:val="0"/>
          <w:sz w:val="22"/>
          <w:szCs w:val="22"/>
          <w:lang w:val="sr-Latn-ME" w:eastAsia="hr-HR"/>
        </w:rPr>
      </w:pPr>
      <w:r w:rsidRPr="002B09C8">
        <w:rPr>
          <w:snapToGrid w:val="0"/>
          <w:sz w:val="22"/>
          <w:szCs w:val="22"/>
          <w:lang w:val="sr-Latn-ME" w:eastAsia="hr-HR"/>
        </w:rPr>
        <w:t>Sprovedena je meta</w:t>
      </w:r>
      <w:r w:rsidR="00773D3F" w:rsidRPr="002B09C8">
        <w:rPr>
          <w:snapToGrid w:val="0"/>
          <w:sz w:val="22"/>
          <w:szCs w:val="22"/>
          <w:lang w:val="sr-Latn-ME" w:eastAsia="hr-HR"/>
        </w:rPr>
        <w:t>-</w:t>
      </w:r>
      <w:r w:rsidRPr="002B09C8">
        <w:rPr>
          <w:snapToGrid w:val="0"/>
          <w:sz w:val="22"/>
          <w:szCs w:val="22"/>
          <w:lang w:val="sr-Latn-ME" w:eastAsia="hr-HR"/>
        </w:rPr>
        <w:t xml:space="preserve">analiza na podacima nakon stavljanja lijeka u promet za 621 pedijatrijskih pacijenata s multiplom sklerozom liječenih </w:t>
      </w:r>
      <w:proofErr w:type="spellStart"/>
      <w:r w:rsidR="007C3FA6" w:rsidRPr="002B09C8">
        <w:rPr>
          <w:snapToGrid w:val="0"/>
          <w:sz w:val="22"/>
          <w:szCs w:val="22"/>
          <w:lang w:val="sr-Latn-ME" w:eastAsia="hr-HR"/>
        </w:rPr>
        <w:t>natalizumabom</w:t>
      </w:r>
      <w:proofErr w:type="spellEnd"/>
      <w:r w:rsidRPr="002B09C8">
        <w:rPr>
          <w:snapToGrid w:val="0"/>
          <w:sz w:val="22"/>
          <w:szCs w:val="22"/>
          <w:lang w:val="sr-Latn-ME" w:eastAsia="hr-HR"/>
        </w:rPr>
        <w:t xml:space="preserve"> (</w:t>
      </w:r>
      <w:proofErr w:type="spellStart"/>
      <w:r w:rsidRPr="002B09C8">
        <w:rPr>
          <w:snapToGrid w:val="0"/>
          <w:sz w:val="22"/>
          <w:szCs w:val="22"/>
          <w:lang w:val="sr-Latn-ME" w:eastAsia="hr-HR"/>
        </w:rPr>
        <w:t>medijan</w:t>
      </w:r>
      <w:r w:rsidR="00773D3F" w:rsidRPr="002B09C8">
        <w:rPr>
          <w:snapToGrid w:val="0"/>
          <w:sz w:val="22"/>
          <w:szCs w:val="22"/>
          <w:lang w:val="sr-Latn-ME" w:eastAsia="hr-HR"/>
        </w:rPr>
        <w:t>a</w:t>
      </w:r>
      <w:proofErr w:type="spellEnd"/>
      <w:r w:rsidRPr="002B09C8">
        <w:rPr>
          <w:snapToGrid w:val="0"/>
          <w:sz w:val="22"/>
          <w:szCs w:val="22"/>
          <w:lang w:val="sr-Latn-ME" w:eastAsia="hr-HR"/>
        </w:rPr>
        <w:t xml:space="preserve"> dobi 17 godina, raspon dobi 7</w:t>
      </w:r>
      <w:r w:rsidRPr="002B09C8">
        <w:rPr>
          <w:snapToGrid w:val="0"/>
          <w:sz w:val="22"/>
          <w:szCs w:val="22"/>
          <w:lang w:val="sr-Latn-ME" w:eastAsia="hr-HR"/>
        </w:rPr>
        <w:noBreakHyphen/>
        <w:t xml:space="preserve">18 godina, 91% u dobi ≥14 godina). U toj analizi, ograničena podgrupa pacijenata s podacima dostupnim prije liječenja (158 od 621 pacijenata) pokazala je smanjenje godišnje stope </w:t>
      </w:r>
      <w:proofErr w:type="spellStart"/>
      <w:r w:rsidRPr="002B09C8">
        <w:rPr>
          <w:snapToGrid w:val="0"/>
          <w:sz w:val="22"/>
          <w:szCs w:val="22"/>
          <w:lang w:val="sr-Latn-ME" w:eastAsia="hr-HR"/>
        </w:rPr>
        <w:t>relapsa</w:t>
      </w:r>
      <w:proofErr w:type="spellEnd"/>
      <w:r w:rsidRPr="002B09C8">
        <w:rPr>
          <w:snapToGrid w:val="0"/>
          <w:sz w:val="22"/>
          <w:szCs w:val="22"/>
          <w:lang w:val="sr-Latn-ME" w:eastAsia="hr-HR"/>
        </w:rPr>
        <w:t xml:space="preserve"> od 1,466 (95% CI 1,337; 1,604)</w:t>
      </w:r>
      <w:r w:rsidRPr="002B09C8">
        <w:rPr>
          <w:snapToGrid w:val="0"/>
          <w:sz w:val="22"/>
          <w:szCs w:val="22"/>
          <w:u w:color="FF0101"/>
          <w:lang w:val="sr-Latn-ME" w:eastAsia="hr-HR"/>
        </w:rPr>
        <w:t xml:space="preserve"> </w:t>
      </w:r>
      <w:r w:rsidRPr="002B09C8">
        <w:rPr>
          <w:snapToGrid w:val="0"/>
          <w:sz w:val="22"/>
          <w:szCs w:val="22"/>
          <w:lang w:val="sr-Latn-ME" w:eastAsia="hr-HR"/>
        </w:rPr>
        <w:t>prije liječenja do 0,110 (95% CI 0,094; 0,128).</w:t>
      </w:r>
    </w:p>
    <w:p w14:paraId="2184F925" w14:textId="77777777" w:rsidR="007C3FA6" w:rsidRPr="002B09C8" w:rsidRDefault="007C3FA6" w:rsidP="00C74431">
      <w:pPr>
        <w:widowControl w:val="0"/>
        <w:tabs>
          <w:tab w:val="left" w:pos="567"/>
        </w:tabs>
        <w:jc w:val="both"/>
        <w:rPr>
          <w:snapToGrid w:val="0"/>
          <w:sz w:val="22"/>
          <w:szCs w:val="22"/>
          <w:lang w:val="sr-Latn-ME" w:eastAsia="hr-HR"/>
        </w:rPr>
      </w:pPr>
    </w:p>
    <w:p w14:paraId="03E0F9A3" w14:textId="4ACB9C72" w:rsidR="007C3FA6" w:rsidRPr="002B09C8" w:rsidRDefault="007C3FA6" w:rsidP="00C74431">
      <w:pPr>
        <w:widowControl w:val="0"/>
        <w:tabs>
          <w:tab w:val="left" w:pos="567"/>
        </w:tabs>
        <w:jc w:val="both"/>
        <w:rPr>
          <w:snapToGrid w:val="0"/>
          <w:sz w:val="22"/>
          <w:szCs w:val="22"/>
          <w:lang w:val="sr-Latn-ME" w:eastAsia="hr-HR"/>
        </w:rPr>
      </w:pPr>
      <w:r w:rsidRPr="002B09C8">
        <w:rPr>
          <w:color w:val="000000"/>
          <w:sz w:val="22"/>
          <w:szCs w:val="22"/>
          <w:u w:val="single"/>
          <w:lang w:val="sr-Latn-ME"/>
        </w:rPr>
        <w:t>Produžen period doziranja</w:t>
      </w:r>
    </w:p>
    <w:p w14:paraId="4284C97E" w14:textId="77777777" w:rsidR="00FB74D3" w:rsidRPr="002B09C8" w:rsidRDefault="00FB74D3" w:rsidP="00C74431">
      <w:pPr>
        <w:widowControl w:val="0"/>
        <w:tabs>
          <w:tab w:val="left" w:pos="540"/>
          <w:tab w:val="left" w:pos="569"/>
        </w:tabs>
        <w:jc w:val="both"/>
        <w:rPr>
          <w:b/>
          <w:bCs/>
          <w:sz w:val="22"/>
          <w:szCs w:val="22"/>
          <w:lang w:val="sr-Latn-ME"/>
        </w:rPr>
      </w:pPr>
    </w:p>
    <w:p w14:paraId="7B32D0DE" w14:textId="407CB922" w:rsidR="00FB74D3" w:rsidRPr="002B09C8" w:rsidRDefault="00FB74D3" w:rsidP="00C74431">
      <w:pPr>
        <w:widowControl w:val="0"/>
        <w:tabs>
          <w:tab w:val="left" w:pos="540"/>
          <w:tab w:val="left" w:pos="569"/>
        </w:tabs>
        <w:jc w:val="both"/>
        <w:rPr>
          <w:bCs/>
          <w:sz w:val="22"/>
          <w:szCs w:val="22"/>
          <w:lang w:val="sr-Latn-ME"/>
        </w:rPr>
      </w:pPr>
      <w:r w:rsidRPr="002B09C8">
        <w:rPr>
          <w:bCs/>
          <w:sz w:val="22"/>
          <w:szCs w:val="22"/>
          <w:lang w:val="sr-Latn-ME"/>
        </w:rPr>
        <w:t xml:space="preserve">Tokom unaprijed određene, retrospektivne analize američkih pacijenata pozitivnih na anti-JCV antitijelo koji su bili na terapiji lijekom </w:t>
      </w:r>
      <w:proofErr w:type="spellStart"/>
      <w:r w:rsidRPr="002B09C8">
        <w:rPr>
          <w:bCs/>
          <w:sz w:val="22"/>
          <w:szCs w:val="22"/>
          <w:lang w:val="sr-Latn-ME"/>
        </w:rPr>
        <w:t>Tysabri</w:t>
      </w:r>
      <w:proofErr w:type="spellEnd"/>
      <w:r w:rsidR="007C3FA6" w:rsidRPr="002B09C8">
        <w:rPr>
          <w:bCs/>
          <w:sz w:val="22"/>
          <w:szCs w:val="22"/>
          <w:lang w:val="sr-Latn-ME"/>
        </w:rPr>
        <w:t xml:space="preserve"> za </w:t>
      </w:r>
      <w:proofErr w:type="spellStart"/>
      <w:r w:rsidR="002F67F6" w:rsidRPr="002B09C8">
        <w:rPr>
          <w:bCs/>
          <w:sz w:val="22"/>
          <w:szCs w:val="22"/>
          <w:lang w:val="sr-Latn-ME"/>
        </w:rPr>
        <w:t>i</w:t>
      </w:r>
      <w:r w:rsidR="007C3FA6" w:rsidRPr="002B09C8">
        <w:rPr>
          <w:bCs/>
          <w:sz w:val="22"/>
          <w:szCs w:val="22"/>
          <w:lang w:val="sr-Latn-ME"/>
        </w:rPr>
        <w:t>ntravensku</w:t>
      </w:r>
      <w:proofErr w:type="spellEnd"/>
      <w:r w:rsidR="007C3FA6" w:rsidRPr="002B09C8">
        <w:rPr>
          <w:bCs/>
          <w:sz w:val="22"/>
          <w:szCs w:val="22"/>
          <w:lang w:val="sr-Latn-ME"/>
        </w:rPr>
        <w:t xml:space="preserve"> upotrebu</w:t>
      </w:r>
      <w:r w:rsidRPr="002B09C8">
        <w:rPr>
          <w:bCs/>
          <w:sz w:val="22"/>
          <w:szCs w:val="22"/>
          <w:lang w:val="sr-Latn-ME"/>
        </w:rPr>
        <w:t xml:space="preserve"> (TOUCH</w:t>
      </w:r>
      <w:r w:rsidR="00FE1D22" w:rsidRPr="002B09C8">
        <w:rPr>
          <w:sz w:val="22"/>
          <w:szCs w:val="22"/>
          <w:lang w:val="sr-Latn-ME"/>
        </w:rPr>
        <w:t xml:space="preserve"> </w:t>
      </w:r>
      <w:r w:rsidR="00FE1D22" w:rsidRPr="002B09C8">
        <w:rPr>
          <w:bCs/>
          <w:sz w:val="22"/>
          <w:szCs w:val="22"/>
          <w:lang w:val="sr-Latn-ME"/>
        </w:rPr>
        <w:t>Program Propisivanja</w:t>
      </w:r>
      <w:r w:rsidRPr="002B09C8">
        <w:rPr>
          <w:bCs/>
          <w:sz w:val="22"/>
          <w:szCs w:val="22"/>
          <w:lang w:val="sr-Latn-ME"/>
        </w:rPr>
        <w:t>), rizik od PML-a upoređen je između pacijenata liječenih prema odobrenom intervalu doziranja i pacijenata liječenih prema produženom intervalu doziranja kako je utvrđeno tokom posl</w:t>
      </w:r>
      <w:r w:rsidR="00773D3F" w:rsidRPr="002B09C8">
        <w:rPr>
          <w:bCs/>
          <w:sz w:val="22"/>
          <w:szCs w:val="22"/>
          <w:lang w:val="sr-Latn-ME"/>
        </w:rPr>
        <w:t>j</w:t>
      </w:r>
      <w:r w:rsidRPr="002B09C8">
        <w:rPr>
          <w:bCs/>
          <w:sz w:val="22"/>
          <w:szCs w:val="22"/>
          <w:lang w:val="sr-Latn-ME"/>
        </w:rPr>
        <w:t>ednjih 18 mjeseci izlaganja (EID, prosječni interval doziranja od otprilike 6 ned</w:t>
      </w:r>
      <w:r w:rsidR="00773D3F" w:rsidRPr="002B09C8">
        <w:rPr>
          <w:bCs/>
          <w:sz w:val="22"/>
          <w:szCs w:val="22"/>
          <w:lang w:val="sr-Latn-ME"/>
        </w:rPr>
        <w:t>j</w:t>
      </w:r>
      <w:r w:rsidRPr="002B09C8">
        <w:rPr>
          <w:bCs/>
          <w:sz w:val="22"/>
          <w:szCs w:val="22"/>
          <w:lang w:val="sr-Latn-ME"/>
        </w:rPr>
        <w:t xml:space="preserve">elja). Većina (85 %) pacijenata liječenih prema EID-u primala je odobrene doze tokom ≥ 1 godine prije prelaska na EID. </w:t>
      </w:r>
      <w:r w:rsidR="007C3FA6" w:rsidRPr="002B09C8">
        <w:rPr>
          <w:bCs/>
          <w:sz w:val="22"/>
          <w:szCs w:val="22"/>
          <w:lang w:val="sr-Latn-ME"/>
        </w:rPr>
        <w:t>A</w:t>
      </w:r>
      <w:r w:rsidRPr="002B09C8">
        <w:rPr>
          <w:bCs/>
          <w:sz w:val="22"/>
          <w:szCs w:val="22"/>
          <w:lang w:val="sr-Latn-ME"/>
        </w:rPr>
        <w:t>naliza</w:t>
      </w:r>
      <w:r w:rsidR="007C3FA6" w:rsidRPr="002B09C8">
        <w:rPr>
          <w:bCs/>
          <w:sz w:val="22"/>
          <w:szCs w:val="22"/>
          <w:lang w:val="sr-Latn-ME"/>
        </w:rPr>
        <w:t xml:space="preserve"> je</w:t>
      </w:r>
      <w:r w:rsidRPr="002B09C8">
        <w:rPr>
          <w:bCs/>
          <w:sz w:val="22"/>
          <w:szCs w:val="22"/>
          <w:lang w:val="sr-Latn-ME"/>
        </w:rPr>
        <w:t xml:space="preserve"> pokazala manji rizik od PML-a kod pacijenata liječenih prema EID-u (nivo hazarda = 0,06; 95% CI nivoa hazarda = 0,01 – 0,22).</w:t>
      </w:r>
    </w:p>
    <w:p w14:paraId="6783DCA4" w14:textId="77777777" w:rsidR="00FB74D3" w:rsidRPr="002B09C8" w:rsidRDefault="00FB74D3" w:rsidP="00C74431">
      <w:pPr>
        <w:widowControl w:val="0"/>
        <w:tabs>
          <w:tab w:val="left" w:pos="540"/>
          <w:tab w:val="left" w:pos="569"/>
        </w:tabs>
        <w:jc w:val="both"/>
        <w:rPr>
          <w:bCs/>
          <w:sz w:val="22"/>
          <w:szCs w:val="22"/>
          <w:lang w:val="sr-Latn-ME"/>
        </w:rPr>
      </w:pPr>
    </w:p>
    <w:p w14:paraId="48B4737E" w14:textId="25816D26" w:rsidR="00FB74D3" w:rsidRPr="002B09C8" w:rsidRDefault="00FB74D3" w:rsidP="00C74431">
      <w:pPr>
        <w:widowControl w:val="0"/>
        <w:tabs>
          <w:tab w:val="left" w:pos="540"/>
          <w:tab w:val="left" w:pos="569"/>
        </w:tabs>
        <w:jc w:val="both"/>
        <w:rPr>
          <w:bCs/>
          <w:sz w:val="22"/>
          <w:szCs w:val="22"/>
          <w:lang w:val="sr-Latn-ME"/>
        </w:rPr>
      </w:pPr>
      <w:r w:rsidRPr="002B09C8">
        <w:rPr>
          <w:bCs/>
          <w:sz w:val="22"/>
          <w:szCs w:val="22"/>
          <w:lang w:val="sr-Latn-ME"/>
        </w:rPr>
        <w:t>Efikasnost je prilagođena pacijentima koji pređu na duže doziranje nakon ≥1 godinu dana odobrenog doziranja</w:t>
      </w:r>
      <w:r w:rsidR="007C3FA6" w:rsidRPr="002B09C8">
        <w:rPr>
          <w:bCs/>
          <w:sz w:val="22"/>
          <w:szCs w:val="22"/>
          <w:lang w:val="sr-Latn-ME"/>
        </w:rPr>
        <w:t xml:space="preserve"> ovog</w:t>
      </w:r>
      <w:r w:rsidRPr="002B09C8">
        <w:rPr>
          <w:bCs/>
          <w:sz w:val="22"/>
          <w:szCs w:val="22"/>
          <w:lang w:val="sr-Latn-ME"/>
        </w:rPr>
        <w:t xml:space="preserve"> lijeka </w:t>
      </w:r>
      <w:r w:rsidR="007C3FA6" w:rsidRPr="002B09C8">
        <w:rPr>
          <w:bCs/>
          <w:sz w:val="22"/>
          <w:szCs w:val="22"/>
          <w:lang w:val="sr-Latn-ME"/>
        </w:rPr>
        <w:t xml:space="preserve">za </w:t>
      </w:r>
      <w:proofErr w:type="spellStart"/>
      <w:r w:rsidR="007C3FA6" w:rsidRPr="002B09C8">
        <w:rPr>
          <w:bCs/>
          <w:sz w:val="22"/>
          <w:szCs w:val="22"/>
          <w:lang w:val="sr-Latn-ME"/>
        </w:rPr>
        <w:t>intravensku</w:t>
      </w:r>
      <w:proofErr w:type="spellEnd"/>
      <w:r w:rsidR="007C3FA6" w:rsidRPr="002B09C8">
        <w:rPr>
          <w:bCs/>
          <w:sz w:val="22"/>
          <w:szCs w:val="22"/>
          <w:lang w:val="sr-Latn-ME"/>
        </w:rPr>
        <w:t xml:space="preserve"> upotrebu </w:t>
      </w:r>
      <w:r w:rsidRPr="002B09C8">
        <w:rPr>
          <w:bCs/>
          <w:sz w:val="22"/>
          <w:szCs w:val="22"/>
          <w:lang w:val="sr-Latn-ME"/>
        </w:rPr>
        <w:t xml:space="preserve">i kod kojih tokom godinu dana prije prelaska nije došlo do </w:t>
      </w:r>
      <w:proofErr w:type="spellStart"/>
      <w:r w:rsidRPr="002B09C8">
        <w:rPr>
          <w:bCs/>
          <w:sz w:val="22"/>
          <w:szCs w:val="22"/>
          <w:lang w:val="sr-Latn-ME"/>
        </w:rPr>
        <w:t>relapsa</w:t>
      </w:r>
      <w:proofErr w:type="spellEnd"/>
      <w:r w:rsidRPr="002B09C8">
        <w:rPr>
          <w:bCs/>
          <w:sz w:val="22"/>
          <w:szCs w:val="22"/>
          <w:lang w:val="sr-Latn-ME"/>
        </w:rPr>
        <w:t xml:space="preserve">. Trenutni </w:t>
      </w:r>
      <w:proofErr w:type="spellStart"/>
      <w:r w:rsidRPr="002B09C8">
        <w:rPr>
          <w:bCs/>
          <w:sz w:val="22"/>
          <w:szCs w:val="22"/>
          <w:lang w:val="sr-Latn-ME"/>
        </w:rPr>
        <w:t>farmakokinetički</w:t>
      </w:r>
      <w:proofErr w:type="spellEnd"/>
      <w:r w:rsidRPr="002B09C8">
        <w:rPr>
          <w:bCs/>
          <w:sz w:val="22"/>
          <w:szCs w:val="22"/>
          <w:lang w:val="sr-Latn-ME"/>
        </w:rPr>
        <w:t>/</w:t>
      </w:r>
      <w:proofErr w:type="spellStart"/>
      <w:r w:rsidRPr="002B09C8">
        <w:rPr>
          <w:bCs/>
          <w:sz w:val="22"/>
          <w:szCs w:val="22"/>
          <w:lang w:val="sr-Latn-ME"/>
        </w:rPr>
        <w:t>farmakodinamski</w:t>
      </w:r>
      <w:proofErr w:type="spellEnd"/>
      <w:r w:rsidRPr="002B09C8">
        <w:rPr>
          <w:bCs/>
          <w:sz w:val="22"/>
          <w:szCs w:val="22"/>
          <w:lang w:val="sr-Latn-ME"/>
        </w:rPr>
        <w:t xml:space="preserve"> statistički modeli i simulacije ukazuju na to da bi rizik od aktivnosti multiple skleroze kod pacijenata koji pređu na duži interval doziranja mogao biti veći kod pacijenata čiji je interval doziranja ≥ 7 ned</w:t>
      </w:r>
      <w:r w:rsidR="00773D3F" w:rsidRPr="002B09C8">
        <w:rPr>
          <w:bCs/>
          <w:sz w:val="22"/>
          <w:szCs w:val="22"/>
          <w:lang w:val="sr-Latn-ME"/>
        </w:rPr>
        <w:t>j</w:t>
      </w:r>
      <w:r w:rsidRPr="002B09C8">
        <w:rPr>
          <w:bCs/>
          <w:sz w:val="22"/>
          <w:szCs w:val="22"/>
          <w:lang w:val="sr-Latn-ME"/>
        </w:rPr>
        <w:t xml:space="preserve">elja. Ti rezultati nisu </w:t>
      </w:r>
      <w:proofErr w:type="spellStart"/>
      <w:r w:rsidRPr="002B09C8">
        <w:rPr>
          <w:bCs/>
          <w:sz w:val="22"/>
          <w:szCs w:val="22"/>
          <w:lang w:val="sr-Latn-ME"/>
        </w:rPr>
        <w:t>validirani</w:t>
      </w:r>
      <w:proofErr w:type="spellEnd"/>
      <w:r w:rsidRPr="002B09C8">
        <w:rPr>
          <w:bCs/>
          <w:sz w:val="22"/>
          <w:szCs w:val="22"/>
          <w:lang w:val="sr-Latn-ME"/>
        </w:rPr>
        <w:t xml:space="preserve"> prospektivnim kliničkim ispitivanjima.</w:t>
      </w:r>
    </w:p>
    <w:p w14:paraId="0190E032" w14:textId="77777777" w:rsidR="0029113E" w:rsidRPr="002B09C8" w:rsidRDefault="0029113E" w:rsidP="00C74431">
      <w:pPr>
        <w:widowControl w:val="0"/>
        <w:tabs>
          <w:tab w:val="left" w:pos="540"/>
          <w:tab w:val="left" w:pos="569"/>
        </w:tabs>
        <w:jc w:val="both"/>
        <w:rPr>
          <w:bCs/>
          <w:sz w:val="22"/>
          <w:szCs w:val="22"/>
          <w:lang w:val="sr-Latn-ME"/>
        </w:rPr>
      </w:pPr>
    </w:p>
    <w:p w14:paraId="4206D20E" w14:textId="0F9F9164" w:rsidR="0029113E" w:rsidRPr="002B09C8" w:rsidRDefault="0029113E" w:rsidP="00C74431">
      <w:pPr>
        <w:pStyle w:val="Default"/>
        <w:widowControl w:val="0"/>
        <w:jc w:val="both"/>
        <w:rPr>
          <w:sz w:val="22"/>
          <w:szCs w:val="22"/>
          <w:lang w:val="sr-Latn-ME"/>
        </w:rPr>
      </w:pPr>
      <w:r w:rsidRPr="002B09C8">
        <w:rPr>
          <w:sz w:val="22"/>
          <w:szCs w:val="22"/>
          <w:lang w:val="sr-Latn-ME"/>
        </w:rPr>
        <w:t xml:space="preserve">Efikasnost </w:t>
      </w:r>
      <w:proofErr w:type="spellStart"/>
      <w:r w:rsidRPr="002B09C8">
        <w:rPr>
          <w:sz w:val="22"/>
          <w:szCs w:val="22"/>
          <w:lang w:val="sr-Latn-ME"/>
        </w:rPr>
        <w:t>natalizumaba</w:t>
      </w:r>
      <w:proofErr w:type="spellEnd"/>
      <w:r w:rsidRPr="002B09C8">
        <w:rPr>
          <w:sz w:val="22"/>
          <w:szCs w:val="22"/>
          <w:lang w:val="sr-Latn-ME"/>
        </w:rPr>
        <w:t xml:space="preserve"> prim</w:t>
      </w:r>
      <w:r w:rsidR="00773D3F" w:rsidRPr="002B09C8">
        <w:rPr>
          <w:sz w:val="22"/>
          <w:szCs w:val="22"/>
          <w:lang w:val="sr-Latn-ME"/>
        </w:rPr>
        <w:t>ij</w:t>
      </w:r>
      <w:r w:rsidRPr="002B09C8">
        <w:rPr>
          <w:sz w:val="22"/>
          <w:szCs w:val="22"/>
          <w:lang w:val="sr-Latn-ME"/>
        </w:rPr>
        <w:t>enjenog prema EID nije utvrđena, pa je odnos koristi i rizika EID-a nepoznat (vid</w:t>
      </w:r>
      <w:r w:rsidR="00C3386D" w:rsidRPr="002B09C8">
        <w:rPr>
          <w:sz w:val="22"/>
          <w:szCs w:val="22"/>
          <w:lang w:val="sr-Latn-ME"/>
        </w:rPr>
        <w:t>j</w:t>
      </w:r>
      <w:r w:rsidRPr="002B09C8">
        <w:rPr>
          <w:sz w:val="22"/>
          <w:szCs w:val="22"/>
          <w:lang w:val="sr-Latn-ME"/>
        </w:rPr>
        <w:t xml:space="preserve">eti </w:t>
      </w:r>
      <w:r w:rsidR="00C3386D" w:rsidRPr="002B09C8">
        <w:rPr>
          <w:sz w:val="22"/>
          <w:szCs w:val="22"/>
          <w:lang w:val="sr-Latn-ME"/>
        </w:rPr>
        <w:t>dio</w:t>
      </w:r>
      <w:r w:rsidRPr="002B09C8">
        <w:rPr>
          <w:sz w:val="22"/>
          <w:szCs w:val="22"/>
          <w:lang w:val="sr-Latn-ME"/>
        </w:rPr>
        <w:t xml:space="preserve"> “</w:t>
      </w:r>
      <w:proofErr w:type="spellStart"/>
      <w:r w:rsidRPr="002B09C8">
        <w:rPr>
          <w:i/>
          <w:sz w:val="22"/>
          <w:szCs w:val="22"/>
          <w:lang w:val="sr-Latn-ME"/>
        </w:rPr>
        <w:t>Intravenska</w:t>
      </w:r>
      <w:proofErr w:type="spellEnd"/>
      <w:r w:rsidRPr="002B09C8">
        <w:rPr>
          <w:i/>
          <w:sz w:val="22"/>
          <w:szCs w:val="22"/>
          <w:lang w:val="sr-Latn-ME"/>
        </w:rPr>
        <w:t xml:space="preserve"> administracija svakih 6 ned</w:t>
      </w:r>
      <w:r w:rsidR="00773D3F" w:rsidRPr="002B09C8">
        <w:rPr>
          <w:i/>
          <w:sz w:val="22"/>
          <w:szCs w:val="22"/>
          <w:lang w:val="sr-Latn-ME"/>
        </w:rPr>
        <w:t>j</w:t>
      </w:r>
      <w:r w:rsidRPr="002B09C8">
        <w:rPr>
          <w:i/>
          <w:sz w:val="22"/>
          <w:szCs w:val="22"/>
          <w:lang w:val="sr-Latn-ME"/>
        </w:rPr>
        <w:t>elja</w:t>
      </w:r>
      <w:r w:rsidRPr="002B09C8">
        <w:rPr>
          <w:sz w:val="22"/>
          <w:szCs w:val="22"/>
          <w:lang w:val="sr-Latn-ME"/>
        </w:rPr>
        <w:t>”).</w:t>
      </w:r>
    </w:p>
    <w:p w14:paraId="1AB529E5" w14:textId="77777777" w:rsidR="0029113E" w:rsidRPr="002B09C8" w:rsidRDefault="0029113E" w:rsidP="00C74431">
      <w:pPr>
        <w:widowControl w:val="0"/>
        <w:autoSpaceDE w:val="0"/>
        <w:autoSpaceDN w:val="0"/>
        <w:adjustRightInd w:val="0"/>
        <w:jc w:val="both"/>
        <w:rPr>
          <w:color w:val="000000"/>
          <w:sz w:val="22"/>
          <w:szCs w:val="22"/>
          <w:lang w:val="sr-Latn-ME"/>
        </w:rPr>
      </w:pPr>
    </w:p>
    <w:p w14:paraId="3315029F" w14:textId="38A587D1" w:rsidR="0029113E" w:rsidRPr="002B09C8" w:rsidRDefault="0029113E" w:rsidP="00C74431">
      <w:pPr>
        <w:pStyle w:val="Default"/>
        <w:widowControl w:val="0"/>
        <w:jc w:val="both"/>
        <w:rPr>
          <w:i/>
          <w:sz w:val="22"/>
          <w:szCs w:val="22"/>
          <w:lang w:val="sr-Latn-ME"/>
        </w:rPr>
      </w:pPr>
      <w:proofErr w:type="spellStart"/>
      <w:r w:rsidRPr="002B09C8">
        <w:rPr>
          <w:i/>
          <w:sz w:val="22"/>
          <w:szCs w:val="22"/>
          <w:lang w:val="sr-Latn-ME"/>
        </w:rPr>
        <w:t>Intravenska</w:t>
      </w:r>
      <w:proofErr w:type="spellEnd"/>
      <w:r w:rsidRPr="002B09C8">
        <w:rPr>
          <w:i/>
          <w:sz w:val="22"/>
          <w:szCs w:val="22"/>
          <w:lang w:val="sr-Latn-ME"/>
        </w:rPr>
        <w:t xml:space="preserve"> administracija svakih 6 ned</w:t>
      </w:r>
      <w:r w:rsidR="00773D3F" w:rsidRPr="002B09C8">
        <w:rPr>
          <w:i/>
          <w:sz w:val="22"/>
          <w:szCs w:val="22"/>
          <w:lang w:val="sr-Latn-ME"/>
        </w:rPr>
        <w:t>j</w:t>
      </w:r>
      <w:r w:rsidRPr="002B09C8">
        <w:rPr>
          <w:i/>
          <w:sz w:val="22"/>
          <w:szCs w:val="22"/>
          <w:lang w:val="sr-Latn-ME"/>
        </w:rPr>
        <w:t>elja</w:t>
      </w:r>
    </w:p>
    <w:p w14:paraId="48124BBA" w14:textId="77777777" w:rsidR="0029113E" w:rsidRPr="002B09C8" w:rsidRDefault="0029113E" w:rsidP="00C74431">
      <w:pPr>
        <w:widowControl w:val="0"/>
        <w:tabs>
          <w:tab w:val="left" w:pos="567"/>
        </w:tabs>
        <w:jc w:val="both"/>
        <w:rPr>
          <w:b/>
          <w:bCs/>
          <w:sz w:val="22"/>
          <w:szCs w:val="22"/>
          <w:lang w:val="sr-Latn-ME"/>
        </w:rPr>
      </w:pPr>
    </w:p>
    <w:p w14:paraId="00F000BB" w14:textId="1F173A1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Efikasnos</w:t>
      </w:r>
      <w:r w:rsidR="00587D5A" w:rsidRPr="002B09C8">
        <w:rPr>
          <w:bCs/>
          <w:sz w:val="22"/>
          <w:szCs w:val="22"/>
          <w:lang w:val="sr-Latn-ME"/>
        </w:rPr>
        <w:t xml:space="preserve">t </w:t>
      </w:r>
      <w:r w:rsidRPr="002B09C8">
        <w:rPr>
          <w:bCs/>
          <w:sz w:val="22"/>
          <w:szCs w:val="22"/>
          <w:lang w:val="sr-Latn-ME"/>
        </w:rPr>
        <w:t>i bezb</w:t>
      </w:r>
      <w:r w:rsidR="00C3386D" w:rsidRPr="002B09C8">
        <w:rPr>
          <w:bCs/>
          <w:sz w:val="22"/>
          <w:szCs w:val="22"/>
          <w:lang w:val="sr-Latn-ME"/>
        </w:rPr>
        <w:t>j</w:t>
      </w:r>
      <w:r w:rsidRPr="002B09C8">
        <w:rPr>
          <w:bCs/>
          <w:sz w:val="22"/>
          <w:szCs w:val="22"/>
          <w:lang w:val="sr-Latn-ME"/>
        </w:rPr>
        <w:t>ednost su oc</w:t>
      </w:r>
      <w:r w:rsidR="00C3386D" w:rsidRPr="002B09C8">
        <w:rPr>
          <w:bCs/>
          <w:sz w:val="22"/>
          <w:szCs w:val="22"/>
          <w:lang w:val="sr-Latn-ME"/>
        </w:rPr>
        <w:t>j</w:t>
      </w:r>
      <w:r w:rsidRPr="002B09C8">
        <w:rPr>
          <w:bCs/>
          <w:sz w:val="22"/>
          <w:szCs w:val="22"/>
          <w:lang w:val="sr-Latn-ME"/>
        </w:rPr>
        <w:t xml:space="preserve">enjivane tokom prospektivne, </w:t>
      </w:r>
      <w:proofErr w:type="spellStart"/>
      <w:r w:rsidRPr="002B09C8">
        <w:rPr>
          <w:bCs/>
          <w:sz w:val="22"/>
          <w:szCs w:val="22"/>
          <w:lang w:val="sr-Latn-ME"/>
        </w:rPr>
        <w:t>randomizovane</w:t>
      </w:r>
      <w:proofErr w:type="spellEnd"/>
      <w:r w:rsidRPr="002B09C8">
        <w:rPr>
          <w:bCs/>
          <w:sz w:val="22"/>
          <w:szCs w:val="22"/>
          <w:lang w:val="sr-Latn-ME"/>
        </w:rPr>
        <w:t>, intervencijske, kontrolisane, otvorene, za oc</w:t>
      </w:r>
      <w:r w:rsidR="00773D3F" w:rsidRPr="002B09C8">
        <w:rPr>
          <w:bCs/>
          <w:sz w:val="22"/>
          <w:szCs w:val="22"/>
          <w:lang w:val="sr-Latn-ME"/>
        </w:rPr>
        <w:t>j</w:t>
      </w:r>
      <w:r w:rsidRPr="002B09C8">
        <w:rPr>
          <w:bCs/>
          <w:sz w:val="22"/>
          <w:szCs w:val="22"/>
          <w:lang w:val="sr-Latn-ME"/>
        </w:rPr>
        <w:t>enjivača sl</w:t>
      </w:r>
      <w:r w:rsidR="00C3386D" w:rsidRPr="002B09C8">
        <w:rPr>
          <w:bCs/>
          <w:sz w:val="22"/>
          <w:szCs w:val="22"/>
          <w:lang w:val="sr-Latn-ME"/>
        </w:rPr>
        <w:t>ij</w:t>
      </w:r>
      <w:r w:rsidRPr="002B09C8">
        <w:rPr>
          <w:bCs/>
          <w:sz w:val="22"/>
          <w:szCs w:val="22"/>
          <w:lang w:val="sr-Latn-ME"/>
        </w:rPr>
        <w:t xml:space="preserve">epe, internacionalne faze 3. studije (NOVA, 101MS329), koja je uključivala pacijente sa </w:t>
      </w:r>
      <w:proofErr w:type="spellStart"/>
      <w:r w:rsidRPr="002B09C8">
        <w:rPr>
          <w:bCs/>
          <w:sz w:val="22"/>
          <w:szCs w:val="22"/>
          <w:lang w:val="sr-Latn-ME"/>
        </w:rPr>
        <w:t>relapsno-remitentnom</w:t>
      </w:r>
      <w:proofErr w:type="spellEnd"/>
      <w:r w:rsidRPr="002B09C8">
        <w:rPr>
          <w:bCs/>
          <w:sz w:val="22"/>
          <w:szCs w:val="22"/>
          <w:lang w:val="sr-Latn-ME"/>
        </w:rPr>
        <w:t xml:space="preserve"> MS po </w:t>
      </w:r>
      <w:proofErr w:type="spellStart"/>
      <w:r w:rsidRPr="002B09C8">
        <w:rPr>
          <w:bCs/>
          <w:sz w:val="22"/>
          <w:szCs w:val="22"/>
          <w:lang w:val="sr-Latn-ME"/>
        </w:rPr>
        <w:t>McDonald</w:t>
      </w:r>
      <w:proofErr w:type="spellEnd"/>
      <w:r w:rsidRPr="002B09C8">
        <w:rPr>
          <w:bCs/>
          <w:sz w:val="22"/>
          <w:szCs w:val="22"/>
          <w:lang w:val="sr-Latn-ME"/>
        </w:rPr>
        <w:t xml:space="preserve"> kriterijumima iz 2017. godine, koji su </w:t>
      </w:r>
      <w:proofErr w:type="spellStart"/>
      <w:r w:rsidRPr="002B09C8">
        <w:rPr>
          <w:bCs/>
          <w:sz w:val="22"/>
          <w:szCs w:val="22"/>
          <w:lang w:val="sr-Latn-ME"/>
        </w:rPr>
        <w:t>intravenski</w:t>
      </w:r>
      <w:proofErr w:type="spellEnd"/>
      <w:r w:rsidRPr="002B09C8">
        <w:rPr>
          <w:bCs/>
          <w:sz w:val="22"/>
          <w:szCs w:val="22"/>
          <w:lang w:val="sr-Latn-ME"/>
        </w:rPr>
        <w:t xml:space="preserve"> primali </w:t>
      </w:r>
      <w:proofErr w:type="spellStart"/>
      <w:r w:rsidRPr="002B09C8">
        <w:rPr>
          <w:bCs/>
          <w:sz w:val="22"/>
          <w:szCs w:val="22"/>
          <w:lang w:val="sr-Latn-ME"/>
        </w:rPr>
        <w:t>natalizumab</w:t>
      </w:r>
      <w:proofErr w:type="spellEnd"/>
      <w:r w:rsidRPr="002B09C8">
        <w:rPr>
          <w:bCs/>
          <w:sz w:val="22"/>
          <w:szCs w:val="22"/>
          <w:lang w:val="sr-Latn-ME"/>
        </w:rPr>
        <w:t xml:space="preserve"> svakih šest ned</w:t>
      </w:r>
      <w:r w:rsidR="00773D3F" w:rsidRPr="002B09C8">
        <w:rPr>
          <w:bCs/>
          <w:sz w:val="22"/>
          <w:szCs w:val="22"/>
          <w:lang w:val="sr-Latn-ME"/>
        </w:rPr>
        <w:t>j</w:t>
      </w:r>
      <w:r w:rsidRPr="002B09C8">
        <w:rPr>
          <w:bCs/>
          <w:sz w:val="22"/>
          <w:szCs w:val="22"/>
          <w:lang w:val="sr-Latn-ME"/>
        </w:rPr>
        <w:t>elja. Studija je dizajnirana tako da utvrdi razliku u efikasnosti između režima doziranja svake 4 ned</w:t>
      </w:r>
      <w:r w:rsidR="00773D3F" w:rsidRPr="002B09C8">
        <w:rPr>
          <w:bCs/>
          <w:sz w:val="22"/>
          <w:szCs w:val="22"/>
          <w:lang w:val="sr-Latn-ME"/>
        </w:rPr>
        <w:t>j</w:t>
      </w:r>
      <w:r w:rsidRPr="002B09C8">
        <w:rPr>
          <w:bCs/>
          <w:sz w:val="22"/>
          <w:szCs w:val="22"/>
          <w:lang w:val="sr-Latn-ME"/>
        </w:rPr>
        <w:t>elje i režima doziranja svakih 6 ned</w:t>
      </w:r>
      <w:r w:rsidR="00773D3F" w:rsidRPr="002B09C8">
        <w:rPr>
          <w:bCs/>
          <w:sz w:val="22"/>
          <w:szCs w:val="22"/>
          <w:lang w:val="sr-Latn-ME"/>
        </w:rPr>
        <w:t>j</w:t>
      </w:r>
      <w:r w:rsidRPr="002B09C8">
        <w:rPr>
          <w:bCs/>
          <w:sz w:val="22"/>
          <w:szCs w:val="22"/>
          <w:lang w:val="sr-Latn-ME"/>
        </w:rPr>
        <w:t>elja.</w:t>
      </w:r>
    </w:p>
    <w:p w14:paraId="1258B777" w14:textId="77777777" w:rsidR="0029113E" w:rsidRPr="002B09C8" w:rsidRDefault="0029113E" w:rsidP="00C74431">
      <w:pPr>
        <w:widowControl w:val="0"/>
        <w:tabs>
          <w:tab w:val="left" w:pos="567"/>
        </w:tabs>
        <w:jc w:val="both"/>
        <w:rPr>
          <w:bCs/>
          <w:sz w:val="22"/>
          <w:szCs w:val="22"/>
          <w:lang w:val="sr-Latn-ME"/>
        </w:rPr>
      </w:pPr>
    </w:p>
    <w:p w14:paraId="7083062D" w14:textId="7D26FD4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 xml:space="preserve">U studiji je </w:t>
      </w:r>
      <w:proofErr w:type="spellStart"/>
      <w:r w:rsidRPr="002B09C8">
        <w:rPr>
          <w:bCs/>
          <w:sz w:val="22"/>
          <w:szCs w:val="22"/>
          <w:lang w:val="sr-Latn-ME"/>
        </w:rPr>
        <w:t>randomizovano</w:t>
      </w:r>
      <w:proofErr w:type="spellEnd"/>
      <w:r w:rsidRPr="002B09C8">
        <w:rPr>
          <w:bCs/>
          <w:sz w:val="22"/>
          <w:szCs w:val="22"/>
          <w:lang w:val="sr-Latn-ME"/>
        </w:rPr>
        <w:t xml:space="preserve"> 499 pacijenta starosti od 18 do 60 godina, sa EDSS skorom ≤5,5 na </w:t>
      </w:r>
      <w:proofErr w:type="spellStart"/>
      <w:r w:rsidRPr="002B09C8">
        <w:rPr>
          <w:bCs/>
          <w:sz w:val="22"/>
          <w:szCs w:val="22"/>
          <w:lang w:val="sr-Latn-ME"/>
        </w:rPr>
        <w:t>skriningu</w:t>
      </w:r>
      <w:proofErr w:type="spellEnd"/>
      <w:r w:rsidRPr="002B09C8">
        <w:rPr>
          <w:bCs/>
          <w:sz w:val="22"/>
          <w:szCs w:val="22"/>
          <w:lang w:val="sr-Latn-ME"/>
        </w:rPr>
        <w:t>, koji su l</w:t>
      </w:r>
      <w:r w:rsidR="00C3386D" w:rsidRPr="002B09C8">
        <w:rPr>
          <w:bCs/>
          <w:sz w:val="22"/>
          <w:szCs w:val="22"/>
          <w:lang w:val="sr-Latn-ME"/>
        </w:rPr>
        <w:t>ij</w:t>
      </w:r>
      <w:r w:rsidRPr="002B09C8">
        <w:rPr>
          <w:bCs/>
          <w:sz w:val="22"/>
          <w:szCs w:val="22"/>
          <w:lang w:val="sr-Latn-ME"/>
        </w:rPr>
        <w:t xml:space="preserve">ečeni </w:t>
      </w:r>
      <w:proofErr w:type="spellStart"/>
      <w:r w:rsidRPr="002B09C8">
        <w:rPr>
          <w:bCs/>
          <w:sz w:val="22"/>
          <w:szCs w:val="22"/>
          <w:lang w:val="sr-Latn-ME"/>
        </w:rPr>
        <w:t>natalizumabom</w:t>
      </w:r>
      <w:proofErr w:type="spellEnd"/>
      <w:r w:rsidRPr="002B09C8">
        <w:rPr>
          <w:bCs/>
          <w:sz w:val="22"/>
          <w:szCs w:val="22"/>
          <w:lang w:val="sr-Latn-ME"/>
        </w:rPr>
        <w:t xml:space="preserve"> IV minimum godinu dana svake 4 ned</w:t>
      </w:r>
      <w:r w:rsidR="00773D3F" w:rsidRPr="002B09C8">
        <w:rPr>
          <w:bCs/>
          <w:sz w:val="22"/>
          <w:szCs w:val="22"/>
          <w:lang w:val="sr-Latn-ME"/>
        </w:rPr>
        <w:t>j</w:t>
      </w:r>
      <w:r w:rsidRPr="002B09C8">
        <w:rPr>
          <w:bCs/>
          <w:sz w:val="22"/>
          <w:szCs w:val="22"/>
          <w:lang w:val="sr-Latn-ME"/>
        </w:rPr>
        <w:t xml:space="preserve">elje i koji su bili klinički stabilni (bez </w:t>
      </w:r>
      <w:proofErr w:type="spellStart"/>
      <w:r w:rsidRPr="002B09C8">
        <w:rPr>
          <w:bCs/>
          <w:sz w:val="22"/>
          <w:szCs w:val="22"/>
          <w:lang w:val="sr-Latn-ME"/>
        </w:rPr>
        <w:t>relapsa</w:t>
      </w:r>
      <w:proofErr w:type="spellEnd"/>
      <w:r w:rsidRPr="002B09C8">
        <w:rPr>
          <w:bCs/>
          <w:sz w:val="22"/>
          <w:szCs w:val="22"/>
          <w:lang w:val="sr-Latn-ME"/>
        </w:rPr>
        <w:t xml:space="preserve"> u proteklih 12 m</w:t>
      </w:r>
      <w:r w:rsidR="00773D3F" w:rsidRPr="002B09C8">
        <w:rPr>
          <w:bCs/>
          <w:sz w:val="22"/>
          <w:szCs w:val="22"/>
          <w:lang w:val="sr-Latn-ME"/>
        </w:rPr>
        <w:t>j</w:t>
      </w:r>
      <w:r w:rsidRPr="002B09C8">
        <w:rPr>
          <w:bCs/>
          <w:sz w:val="22"/>
          <w:szCs w:val="22"/>
          <w:lang w:val="sr-Latn-ME"/>
        </w:rPr>
        <w:t xml:space="preserve">eseci, bez T1 </w:t>
      </w:r>
      <w:proofErr w:type="spellStart"/>
      <w:r w:rsidRPr="002B09C8">
        <w:rPr>
          <w:bCs/>
          <w:sz w:val="22"/>
          <w:szCs w:val="22"/>
          <w:lang w:val="sr-Latn-ME"/>
        </w:rPr>
        <w:t>lezija</w:t>
      </w:r>
      <w:proofErr w:type="spellEnd"/>
      <w:r w:rsidRPr="002B09C8">
        <w:rPr>
          <w:bCs/>
          <w:sz w:val="22"/>
          <w:szCs w:val="22"/>
          <w:lang w:val="sr-Latn-ME"/>
        </w:rPr>
        <w:t xml:space="preserve"> utvrđenih gadolinijumom (</w:t>
      </w:r>
      <w:proofErr w:type="spellStart"/>
      <w:r w:rsidRPr="002B09C8">
        <w:rPr>
          <w:bCs/>
          <w:sz w:val="22"/>
          <w:szCs w:val="22"/>
          <w:lang w:val="sr-Latn-ME"/>
        </w:rPr>
        <w:t>Gd</w:t>
      </w:r>
      <w:proofErr w:type="spellEnd"/>
      <w:r w:rsidRPr="002B09C8">
        <w:rPr>
          <w:bCs/>
          <w:sz w:val="22"/>
          <w:szCs w:val="22"/>
          <w:lang w:val="sr-Latn-ME"/>
        </w:rPr>
        <w:t xml:space="preserve">) na </w:t>
      </w:r>
      <w:proofErr w:type="spellStart"/>
      <w:r w:rsidRPr="002B09C8">
        <w:rPr>
          <w:bCs/>
          <w:sz w:val="22"/>
          <w:szCs w:val="22"/>
          <w:lang w:val="sr-Latn-ME"/>
        </w:rPr>
        <w:t>skriningu</w:t>
      </w:r>
      <w:proofErr w:type="spellEnd"/>
      <w:r w:rsidRPr="002B09C8">
        <w:rPr>
          <w:bCs/>
          <w:sz w:val="22"/>
          <w:szCs w:val="22"/>
          <w:lang w:val="sr-Latn-ME"/>
        </w:rPr>
        <w:t xml:space="preserve">). U studiji, pacijenti koji su </w:t>
      </w:r>
      <w:proofErr w:type="spellStart"/>
      <w:r w:rsidRPr="002B09C8">
        <w:rPr>
          <w:bCs/>
          <w:sz w:val="22"/>
          <w:szCs w:val="22"/>
          <w:lang w:val="sr-Latn-ME"/>
        </w:rPr>
        <w:t>prešli</w:t>
      </w:r>
      <w:proofErr w:type="spellEnd"/>
      <w:r w:rsidRPr="002B09C8">
        <w:rPr>
          <w:bCs/>
          <w:sz w:val="22"/>
          <w:szCs w:val="22"/>
          <w:lang w:val="sr-Latn-ME"/>
        </w:rPr>
        <w:t xml:space="preserve"> na režim doziranja svakih 6 ned</w:t>
      </w:r>
      <w:r w:rsidR="00773D3F" w:rsidRPr="002B09C8">
        <w:rPr>
          <w:bCs/>
          <w:sz w:val="22"/>
          <w:szCs w:val="22"/>
          <w:lang w:val="sr-Latn-ME"/>
        </w:rPr>
        <w:t>j</w:t>
      </w:r>
      <w:r w:rsidRPr="002B09C8">
        <w:rPr>
          <w:bCs/>
          <w:sz w:val="22"/>
          <w:szCs w:val="22"/>
          <w:lang w:val="sr-Latn-ME"/>
        </w:rPr>
        <w:t xml:space="preserve">elja nakon najmanje godinu dana IV režima doziranja </w:t>
      </w:r>
      <w:proofErr w:type="spellStart"/>
      <w:r w:rsidRPr="002B09C8">
        <w:rPr>
          <w:bCs/>
          <w:sz w:val="22"/>
          <w:szCs w:val="22"/>
          <w:lang w:val="sr-Latn-ME"/>
        </w:rPr>
        <w:t>natalizumaba</w:t>
      </w:r>
      <w:proofErr w:type="spellEnd"/>
      <w:r w:rsidRPr="002B09C8">
        <w:rPr>
          <w:bCs/>
          <w:sz w:val="22"/>
          <w:szCs w:val="22"/>
          <w:lang w:val="sr-Latn-ME"/>
        </w:rPr>
        <w:t xml:space="preserve"> svake 4 ned</w:t>
      </w:r>
      <w:r w:rsidR="00773D3F" w:rsidRPr="002B09C8">
        <w:rPr>
          <w:bCs/>
          <w:sz w:val="22"/>
          <w:szCs w:val="22"/>
          <w:lang w:val="sr-Latn-ME"/>
        </w:rPr>
        <w:t>j</w:t>
      </w:r>
      <w:r w:rsidRPr="002B09C8">
        <w:rPr>
          <w:bCs/>
          <w:sz w:val="22"/>
          <w:szCs w:val="22"/>
          <w:lang w:val="sr-Latn-ME"/>
        </w:rPr>
        <w:t>elje su proc</w:t>
      </w:r>
      <w:r w:rsidR="00C3386D" w:rsidRPr="002B09C8">
        <w:rPr>
          <w:bCs/>
          <w:sz w:val="22"/>
          <w:szCs w:val="22"/>
          <w:lang w:val="sr-Latn-ME"/>
        </w:rPr>
        <w:t>j</w:t>
      </w:r>
      <w:r w:rsidRPr="002B09C8">
        <w:rPr>
          <w:bCs/>
          <w:sz w:val="22"/>
          <w:szCs w:val="22"/>
          <w:lang w:val="sr-Latn-ME"/>
        </w:rPr>
        <w:t xml:space="preserve">enjivani u odnosu na one pacijente koji </w:t>
      </w:r>
      <w:r w:rsidRPr="002B09C8">
        <w:rPr>
          <w:bCs/>
          <w:sz w:val="22"/>
          <w:szCs w:val="22"/>
          <w:lang w:val="sr-Latn-ME"/>
        </w:rPr>
        <w:lastRenderedPageBreak/>
        <w:t>su nastavili iv l</w:t>
      </w:r>
      <w:r w:rsidR="00C3386D" w:rsidRPr="002B09C8">
        <w:rPr>
          <w:bCs/>
          <w:sz w:val="22"/>
          <w:szCs w:val="22"/>
          <w:lang w:val="sr-Latn-ME"/>
        </w:rPr>
        <w:t>ij</w:t>
      </w:r>
      <w:r w:rsidRPr="002B09C8">
        <w:rPr>
          <w:bCs/>
          <w:sz w:val="22"/>
          <w:szCs w:val="22"/>
          <w:lang w:val="sr-Latn-ME"/>
        </w:rPr>
        <w:t>ečenje prema režimu svake 4 ned</w:t>
      </w:r>
      <w:r w:rsidR="00773D3F" w:rsidRPr="002B09C8">
        <w:rPr>
          <w:bCs/>
          <w:sz w:val="22"/>
          <w:szCs w:val="22"/>
          <w:lang w:val="sr-Latn-ME"/>
        </w:rPr>
        <w:t>j</w:t>
      </w:r>
      <w:r w:rsidRPr="002B09C8">
        <w:rPr>
          <w:bCs/>
          <w:sz w:val="22"/>
          <w:szCs w:val="22"/>
          <w:lang w:val="sr-Latn-ME"/>
        </w:rPr>
        <w:t>elje.</w:t>
      </w:r>
    </w:p>
    <w:p w14:paraId="6D90EFA8" w14:textId="77777777" w:rsidR="0029113E" w:rsidRPr="002B09C8" w:rsidRDefault="0029113E" w:rsidP="00C74431">
      <w:pPr>
        <w:widowControl w:val="0"/>
        <w:tabs>
          <w:tab w:val="left" w:pos="567"/>
        </w:tabs>
        <w:jc w:val="both"/>
        <w:rPr>
          <w:bCs/>
          <w:sz w:val="22"/>
          <w:szCs w:val="22"/>
          <w:lang w:val="sr-Latn-ME"/>
        </w:rPr>
      </w:pPr>
    </w:p>
    <w:p w14:paraId="6C46F9A3" w14:textId="07DFD9E9"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 xml:space="preserve">Osnovne demografske podgrupe po godinama, polu, </w:t>
      </w:r>
      <w:proofErr w:type="spellStart"/>
      <w:r w:rsidRPr="002B09C8">
        <w:rPr>
          <w:bCs/>
          <w:sz w:val="22"/>
          <w:szCs w:val="22"/>
          <w:lang w:val="sr-Latn-ME"/>
        </w:rPr>
        <w:t>vremenu</w:t>
      </w:r>
      <w:proofErr w:type="spellEnd"/>
      <w:r w:rsidRPr="002B09C8">
        <w:rPr>
          <w:bCs/>
          <w:sz w:val="22"/>
          <w:szCs w:val="22"/>
          <w:lang w:val="sr-Latn-ME"/>
        </w:rPr>
        <w:t xml:space="preserve"> izloženosti </w:t>
      </w:r>
      <w:proofErr w:type="spellStart"/>
      <w:r w:rsidRPr="002B09C8">
        <w:rPr>
          <w:bCs/>
          <w:sz w:val="22"/>
          <w:szCs w:val="22"/>
          <w:lang w:val="sr-Latn-ME"/>
        </w:rPr>
        <w:t>natalizumabu</w:t>
      </w:r>
      <w:proofErr w:type="spellEnd"/>
      <w:r w:rsidRPr="002B09C8">
        <w:rPr>
          <w:bCs/>
          <w:sz w:val="22"/>
          <w:szCs w:val="22"/>
          <w:lang w:val="sr-Latn-ME"/>
        </w:rPr>
        <w:t>, državi, t</w:t>
      </w:r>
      <w:r w:rsidR="00C3386D" w:rsidRPr="002B09C8">
        <w:rPr>
          <w:bCs/>
          <w:sz w:val="22"/>
          <w:szCs w:val="22"/>
          <w:lang w:val="sr-Latn-ME"/>
        </w:rPr>
        <w:t>j</w:t>
      </w:r>
      <w:r w:rsidRPr="002B09C8">
        <w:rPr>
          <w:bCs/>
          <w:sz w:val="22"/>
          <w:szCs w:val="22"/>
          <w:lang w:val="sr-Latn-ME"/>
        </w:rPr>
        <w:t xml:space="preserve">elesnoj masi, anti-JCV statusu i broju </w:t>
      </w:r>
      <w:proofErr w:type="spellStart"/>
      <w:r w:rsidRPr="002B09C8">
        <w:rPr>
          <w:bCs/>
          <w:sz w:val="22"/>
          <w:szCs w:val="22"/>
          <w:lang w:val="sr-Latn-ME"/>
        </w:rPr>
        <w:t>relapsa</w:t>
      </w:r>
      <w:proofErr w:type="spellEnd"/>
      <w:r w:rsidRPr="002B09C8">
        <w:rPr>
          <w:bCs/>
          <w:sz w:val="22"/>
          <w:szCs w:val="22"/>
          <w:lang w:val="sr-Latn-ME"/>
        </w:rPr>
        <w:t xml:space="preserve"> u prethodnoj godini do prve doze, broju </w:t>
      </w:r>
      <w:proofErr w:type="spellStart"/>
      <w:r w:rsidRPr="002B09C8">
        <w:rPr>
          <w:bCs/>
          <w:sz w:val="22"/>
          <w:szCs w:val="22"/>
          <w:lang w:val="sr-Latn-ME"/>
        </w:rPr>
        <w:t>relapsa</w:t>
      </w:r>
      <w:proofErr w:type="spellEnd"/>
      <w:r w:rsidRPr="002B09C8">
        <w:rPr>
          <w:bCs/>
          <w:sz w:val="22"/>
          <w:szCs w:val="22"/>
          <w:lang w:val="sr-Latn-ME"/>
        </w:rPr>
        <w:t xml:space="preserve"> tokom terapije </w:t>
      </w:r>
      <w:proofErr w:type="spellStart"/>
      <w:r w:rsidRPr="002B09C8">
        <w:rPr>
          <w:bCs/>
          <w:sz w:val="22"/>
          <w:szCs w:val="22"/>
          <w:lang w:val="sr-Latn-ME"/>
        </w:rPr>
        <w:t>natalizumabom</w:t>
      </w:r>
      <w:proofErr w:type="spellEnd"/>
      <w:r w:rsidRPr="002B09C8">
        <w:rPr>
          <w:bCs/>
          <w:sz w:val="22"/>
          <w:szCs w:val="22"/>
          <w:lang w:val="sr-Latn-ME"/>
        </w:rPr>
        <w:t>, broju prethodnih terapija koje modifikuju tok bolesti i tipu takvih terapija bile su slične između terapijske grupe sa režimom doziranja svake 4 ned</w:t>
      </w:r>
      <w:r w:rsidR="00773D3F" w:rsidRPr="002B09C8">
        <w:rPr>
          <w:bCs/>
          <w:sz w:val="22"/>
          <w:szCs w:val="22"/>
          <w:lang w:val="sr-Latn-ME"/>
        </w:rPr>
        <w:t>j</w:t>
      </w:r>
      <w:r w:rsidRPr="002B09C8">
        <w:rPr>
          <w:bCs/>
          <w:sz w:val="22"/>
          <w:szCs w:val="22"/>
          <w:lang w:val="sr-Latn-ME"/>
        </w:rPr>
        <w:t>elje i režimom doziranja svakih 6 ned</w:t>
      </w:r>
      <w:r w:rsidR="00C3386D" w:rsidRPr="002B09C8">
        <w:rPr>
          <w:bCs/>
          <w:sz w:val="22"/>
          <w:szCs w:val="22"/>
          <w:lang w:val="sr-Latn-ME"/>
        </w:rPr>
        <w:t>j</w:t>
      </w:r>
      <w:r w:rsidRPr="002B09C8">
        <w:rPr>
          <w:bCs/>
          <w:sz w:val="22"/>
          <w:szCs w:val="22"/>
          <w:lang w:val="sr-Latn-ME"/>
        </w:rPr>
        <w:t>elja.</w:t>
      </w:r>
    </w:p>
    <w:p w14:paraId="3552818D" w14:textId="77777777" w:rsidR="0029113E" w:rsidRPr="002B09C8" w:rsidRDefault="0029113E" w:rsidP="00C74431">
      <w:pPr>
        <w:widowControl w:val="0"/>
        <w:tabs>
          <w:tab w:val="left" w:pos="567"/>
        </w:tabs>
        <w:jc w:val="both"/>
        <w:rPr>
          <w:bCs/>
          <w:sz w:val="22"/>
          <w:szCs w:val="22"/>
          <w:lang w:val="sr-Latn-ME"/>
        </w:rPr>
      </w:pPr>
    </w:p>
    <w:tbl>
      <w:tblPr>
        <w:tblStyle w:val="TableGrid"/>
        <w:tblW w:w="5000" w:type="pct"/>
        <w:tblLook w:val="04A0" w:firstRow="1" w:lastRow="0" w:firstColumn="1" w:lastColumn="0" w:noHBand="0" w:noVBand="1"/>
      </w:tblPr>
      <w:tblGrid>
        <w:gridCol w:w="3605"/>
        <w:gridCol w:w="2698"/>
        <w:gridCol w:w="2760"/>
      </w:tblGrid>
      <w:tr w:rsidR="0029113E" w:rsidRPr="002B09C8" w14:paraId="072F352E" w14:textId="77777777" w:rsidTr="00CF1A4D">
        <w:tc>
          <w:tcPr>
            <w:tcW w:w="0" w:type="auto"/>
            <w:gridSpan w:val="3"/>
          </w:tcPr>
          <w:p w14:paraId="3940D4C4" w14:textId="77777777" w:rsidR="0029113E" w:rsidRPr="002B09C8" w:rsidRDefault="0029113E" w:rsidP="00C74431">
            <w:pPr>
              <w:widowControl w:val="0"/>
              <w:tabs>
                <w:tab w:val="left" w:pos="567"/>
              </w:tabs>
              <w:jc w:val="both"/>
              <w:rPr>
                <w:b/>
                <w:sz w:val="22"/>
                <w:szCs w:val="22"/>
                <w:lang w:val="sr-Latn-ME"/>
              </w:rPr>
            </w:pPr>
            <w:r w:rsidRPr="002B09C8">
              <w:rPr>
                <w:b/>
                <w:sz w:val="22"/>
                <w:szCs w:val="22"/>
                <w:lang w:val="sr-Latn-ME"/>
              </w:rPr>
              <w:t>Tabela 3. Studija NOVA: glavne osobine i rezultati</w:t>
            </w:r>
          </w:p>
        </w:tc>
      </w:tr>
      <w:tr w:rsidR="0029113E" w:rsidRPr="002B09C8" w14:paraId="5B8E1F86" w14:textId="77777777" w:rsidTr="00CF1A4D">
        <w:tc>
          <w:tcPr>
            <w:tcW w:w="0" w:type="auto"/>
          </w:tcPr>
          <w:p w14:paraId="3917CE3F"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Dizajn</w:t>
            </w:r>
          </w:p>
        </w:tc>
        <w:tc>
          <w:tcPr>
            <w:tcW w:w="0" w:type="auto"/>
            <w:gridSpan w:val="2"/>
          </w:tcPr>
          <w:p w14:paraId="61502AFD" w14:textId="7B8BEAC3" w:rsidR="0029113E" w:rsidRPr="002B09C8" w:rsidRDefault="0029113E" w:rsidP="00C74431">
            <w:pPr>
              <w:widowControl w:val="0"/>
              <w:tabs>
                <w:tab w:val="left" w:pos="567"/>
              </w:tabs>
              <w:jc w:val="both"/>
              <w:rPr>
                <w:bCs/>
                <w:sz w:val="22"/>
                <w:szCs w:val="22"/>
                <w:lang w:val="sr-Latn-ME" w:eastAsia="en-US"/>
              </w:rPr>
            </w:pPr>
            <w:proofErr w:type="spellStart"/>
            <w:r w:rsidRPr="002B09C8">
              <w:rPr>
                <w:bCs/>
                <w:sz w:val="22"/>
                <w:szCs w:val="22"/>
                <w:lang w:val="sr-Latn-ME"/>
              </w:rPr>
              <w:t>Monoterapija</w:t>
            </w:r>
            <w:proofErr w:type="spellEnd"/>
            <w:r w:rsidRPr="002B09C8">
              <w:rPr>
                <w:bCs/>
                <w:sz w:val="22"/>
                <w:szCs w:val="22"/>
                <w:lang w:val="sr-Latn-ME"/>
              </w:rPr>
              <w:t xml:space="preserve">: faza 3b prospektivna, </w:t>
            </w:r>
            <w:proofErr w:type="spellStart"/>
            <w:r w:rsidRPr="002B09C8">
              <w:rPr>
                <w:bCs/>
                <w:sz w:val="22"/>
                <w:szCs w:val="22"/>
                <w:lang w:val="sr-Latn-ME"/>
              </w:rPr>
              <w:t>randomizovana</w:t>
            </w:r>
            <w:proofErr w:type="spellEnd"/>
            <w:r w:rsidRPr="002B09C8">
              <w:rPr>
                <w:bCs/>
                <w:sz w:val="22"/>
                <w:szCs w:val="22"/>
                <w:lang w:val="sr-Latn-ME"/>
              </w:rPr>
              <w:t>, intervencijska, kontrolisana, otvorena, za oc</w:t>
            </w:r>
            <w:r w:rsidR="00C3386D" w:rsidRPr="002B09C8">
              <w:rPr>
                <w:bCs/>
                <w:sz w:val="22"/>
                <w:szCs w:val="22"/>
                <w:lang w:val="sr-Latn-ME"/>
              </w:rPr>
              <w:t>j</w:t>
            </w:r>
            <w:r w:rsidRPr="002B09C8">
              <w:rPr>
                <w:bCs/>
                <w:sz w:val="22"/>
                <w:szCs w:val="22"/>
                <w:lang w:val="sr-Latn-ME"/>
              </w:rPr>
              <w:t>enjivača sl</w:t>
            </w:r>
            <w:r w:rsidR="00C3386D" w:rsidRPr="002B09C8">
              <w:rPr>
                <w:bCs/>
                <w:sz w:val="22"/>
                <w:szCs w:val="22"/>
                <w:lang w:val="sr-Latn-ME"/>
              </w:rPr>
              <w:t>ij</w:t>
            </w:r>
            <w:r w:rsidRPr="002B09C8">
              <w:rPr>
                <w:bCs/>
                <w:sz w:val="22"/>
                <w:szCs w:val="22"/>
                <w:lang w:val="sr-Latn-ME"/>
              </w:rPr>
              <w:t>epa, internacionalna studija</w:t>
            </w:r>
          </w:p>
        </w:tc>
      </w:tr>
      <w:tr w:rsidR="0029113E" w:rsidRPr="002B09C8" w14:paraId="403D1E2D" w14:textId="77777777" w:rsidTr="00CF1A4D">
        <w:tc>
          <w:tcPr>
            <w:tcW w:w="0" w:type="auto"/>
          </w:tcPr>
          <w:p w14:paraId="765C3BEE"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Pacijenti</w:t>
            </w:r>
          </w:p>
        </w:tc>
        <w:tc>
          <w:tcPr>
            <w:tcW w:w="0" w:type="auto"/>
            <w:gridSpan w:val="2"/>
          </w:tcPr>
          <w:p w14:paraId="4B741B03" w14:textId="77777777" w:rsidR="0029113E" w:rsidRPr="002B09C8" w:rsidRDefault="0029113E" w:rsidP="00C74431">
            <w:pPr>
              <w:widowControl w:val="0"/>
              <w:tabs>
                <w:tab w:val="left" w:pos="567"/>
              </w:tabs>
              <w:jc w:val="both"/>
              <w:rPr>
                <w:bCs/>
                <w:sz w:val="22"/>
                <w:szCs w:val="22"/>
                <w:lang w:val="sr-Latn-ME" w:eastAsia="en-US"/>
              </w:rPr>
            </w:pPr>
            <w:r w:rsidRPr="002B09C8">
              <w:rPr>
                <w:bCs/>
                <w:sz w:val="22"/>
                <w:szCs w:val="22"/>
                <w:lang w:val="sr-Latn-ME"/>
              </w:rPr>
              <w:t>RRMS (</w:t>
            </w:r>
            <w:proofErr w:type="spellStart"/>
            <w:r w:rsidRPr="002B09C8">
              <w:rPr>
                <w:bCs/>
                <w:sz w:val="22"/>
                <w:szCs w:val="22"/>
                <w:lang w:val="sr-Latn-ME"/>
              </w:rPr>
              <w:t>McDonald</w:t>
            </w:r>
            <w:proofErr w:type="spellEnd"/>
            <w:r w:rsidRPr="002B09C8">
              <w:rPr>
                <w:bCs/>
                <w:sz w:val="22"/>
                <w:szCs w:val="22"/>
                <w:lang w:val="sr-Latn-ME"/>
              </w:rPr>
              <w:t xml:space="preserve"> kriterijum)</w:t>
            </w:r>
          </w:p>
        </w:tc>
      </w:tr>
      <w:tr w:rsidR="0029113E" w:rsidRPr="002B09C8" w14:paraId="46AB130A" w14:textId="77777777" w:rsidTr="00CF1A4D">
        <w:tc>
          <w:tcPr>
            <w:tcW w:w="0" w:type="auto"/>
          </w:tcPr>
          <w:p w14:paraId="03BB8742" w14:textId="558075AF"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Prim</w:t>
            </w:r>
            <w:r w:rsidR="00C3386D" w:rsidRPr="002B09C8">
              <w:rPr>
                <w:bCs/>
                <w:sz w:val="22"/>
                <w:szCs w:val="22"/>
                <w:lang w:val="sr-Latn-ME"/>
              </w:rPr>
              <w:t>j</w:t>
            </w:r>
            <w:r w:rsidRPr="002B09C8">
              <w:rPr>
                <w:bCs/>
                <w:sz w:val="22"/>
                <w:szCs w:val="22"/>
                <w:lang w:val="sr-Latn-ME"/>
              </w:rPr>
              <w:t>ena terapije (1. d</w:t>
            </w:r>
            <w:r w:rsidR="00773D3F" w:rsidRPr="002B09C8">
              <w:rPr>
                <w:bCs/>
                <w:sz w:val="22"/>
                <w:szCs w:val="22"/>
                <w:lang w:val="sr-Latn-ME"/>
              </w:rPr>
              <w:t>i</w:t>
            </w:r>
            <w:r w:rsidRPr="002B09C8">
              <w:rPr>
                <w:bCs/>
                <w:sz w:val="22"/>
                <w:szCs w:val="22"/>
                <w:lang w:val="sr-Latn-ME"/>
              </w:rPr>
              <w:t>o)</w:t>
            </w:r>
          </w:p>
        </w:tc>
        <w:tc>
          <w:tcPr>
            <w:tcW w:w="0" w:type="auto"/>
          </w:tcPr>
          <w:p w14:paraId="4C409976" w14:textId="14B58B5E" w:rsidR="0029113E" w:rsidRPr="002B09C8" w:rsidRDefault="0029113E" w:rsidP="00C74431">
            <w:pPr>
              <w:widowControl w:val="0"/>
              <w:tabs>
                <w:tab w:val="left" w:pos="567"/>
              </w:tabs>
              <w:jc w:val="both"/>
              <w:rPr>
                <w:bCs/>
                <w:sz w:val="22"/>
                <w:szCs w:val="22"/>
                <w:lang w:val="sr-Latn-ME"/>
              </w:rPr>
            </w:pPr>
            <w:proofErr w:type="spellStart"/>
            <w:r w:rsidRPr="002B09C8">
              <w:rPr>
                <w:bCs/>
                <w:sz w:val="22"/>
                <w:szCs w:val="22"/>
                <w:lang w:val="sr-Latn-ME"/>
              </w:rPr>
              <w:t>Natalizumab</w:t>
            </w:r>
            <w:proofErr w:type="spellEnd"/>
            <w:r w:rsidRPr="002B09C8">
              <w:rPr>
                <w:bCs/>
                <w:sz w:val="22"/>
                <w:szCs w:val="22"/>
                <w:lang w:val="sr-Latn-ME"/>
              </w:rPr>
              <w:t xml:space="preserve"> svake</w:t>
            </w:r>
            <w:r w:rsidR="00924BD4" w:rsidRPr="002B09C8">
              <w:rPr>
                <w:bCs/>
                <w:sz w:val="22"/>
                <w:szCs w:val="22"/>
                <w:lang w:val="sr-Latn-ME"/>
              </w:rPr>
              <w:t xml:space="preserve"> </w:t>
            </w:r>
          </w:p>
          <w:p w14:paraId="654C1D54" w14:textId="66BE080F"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 xml:space="preserve"> 4 ned</w:t>
            </w:r>
            <w:r w:rsidR="00773D3F" w:rsidRPr="002B09C8">
              <w:rPr>
                <w:bCs/>
                <w:sz w:val="22"/>
                <w:szCs w:val="22"/>
                <w:lang w:val="sr-Latn-ME"/>
              </w:rPr>
              <w:t>j</w:t>
            </w:r>
            <w:r w:rsidRPr="002B09C8">
              <w:rPr>
                <w:bCs/>
                <w:sz w:val="22"/>
                <w:szCs w:val="22"/>
                <w:lang w:val="sr-Latn-ME"/>
              </w:rPr>
              <w:t>elje</w:t>
            </w:r>
          </w:p>
          <w:p w14:paraId="340E1B13"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300mg I.V.</w:t>
            </w:r>
          </w:p>
        </w:tc>
        <w:tc>
          <w:tcPr>
            <w:tcW w:w="0" w:type="auto"/>
          </w:tcPr>
          <w:p w14:paraId="1C316F89" w14:textId="77777777" w:rsidR="0029113E" w:rsidRPr="002B09C8" w:rsidRDefault="0029113E" w:rsidP="00C74431">
            <w:pPr>
              <w:widowControl w:val="0"/>
              <w:tabs>
                <w:tab w:val="left" w:pos="567"/>
              </w:tabs>
              <w:jc w:val="both"/>
              <w:rPr>
                <w:bCs/>
                <w:sz w:val="22"/>
                <w:szCs w:val="22"/>
                <w:lang w:val="sr-Latn-ME"/>
              </w:rPr>
            </w:pPr>
            <w:proofErr w:type="spellStart"/>
            <w:r w:rsidRPr="002B09C8">
              <w:rPr>
                <w:bCs/>
                <w:sz w:val="22"/>
                <w:szCs w:val="22"/>
                <w:lang w:val="sr-Latn-ME"/>
              </w:rPr>
              <w:t>Natalizumab</w:t>
            </w:r>
            <w:proofErr w:type="spellEnd"/>
            <w:r w:rsidRPr="002B09C8">
              <w:rPr>
                <w:bCs/>
                <w:sz w:val="22"/>
                <w:szCs w:val="22"/>
                <w:lang w:val="sr-Latn-ME"/>
              </w:rPr>
              <w:t xml:space="preserve"> svakih</w:t>
            </w:r>
          </w:p>
          <w:p w14:paraId="2F90A71F" w14:textId="494EC22E"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6 ned</w:t>
            </w:r>
            <w:r w:rsidR="00773D3F" w:rsidRPr="002B09C8">
              <w:rPr>
                <w:bCs/>
                <w:sz w:val="22"/>
                <w:szCs w:val="22"/>
                <w:lang w:val="sr-Latn-ME"/>
              </w:rPr>
              <w:t>j</w:t>
            </w:r>
            <w:r w:rsidRPr="002B09C8">
              <w:rPr>
                <w:bCs/>
                <w:sz w:val="22"/>
                <w:szCs w:val="22"/>
                <w:lang w:val="sr-Latn-ME"/>
              </w:rPr>
              <w:t>elja</w:t>
            </w:r>
          </w:p>
          <w:p w14:paraId="5B682D9F"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300mg I.V.</w:t>
            </w:r>
          </w:p>
        </w:tc>
      </w:tr>
      <w:tr w:rsidR="0029113E" w:rsidRPr="002B09C8" w14:paraId="7E284FAD" w14:textId="77777777" w:rsidTr="00CF1A4D">
        <w:tc>
          <w:tcPr>
            <w:tcW w:w="0" w:type="auto"/>
          </w:tcPr>
          <w:p w14:paraId="2C063E27" w14:textId="77777777" w:rsidR="0029113E" w:rsidRPr="002B09C8" w:rsidRDefault="0029113E" w:rsidP="00C74431">
            <w:pPr>
              <w:widowControl w:val="0"/>
              <w:tabs>
                <w:tab w:val="left" w:pos="567"/>
              </w:tabs>
              <w:jc w:val="both"/>
              <w:rPr>
                <w:bCs/>
                <w:sz w:val="22"/>
                <w:szCs w:val="22"/>
                <w:lang w:val="sr-Latn-ME"/>
              </w:rPr>
            </w:pPr>
            <w:proofErr w:type="spellStart"/>
            <w:r w:rsidRPr="002B09C8">
              <w:rPr>
                <w:bCs/>
                <w:sz w:val="22"/>
                <w:szCs w:val="22"/>
                <w:lang w:val="sr-Latn-ME"/>
              </w:rPr>
              <w:t>Randomizovano</w:t>
            </w:r>
            <w:proofErr w:type="spellEnd"/>
          </w:p>
        </w:tc>
        <w:tc>
          <w:tcPr>
            <w:tcW w:w="0" w:type="auto"/>
          </w:tcPr>
          <w:p w14:paraId="068B17A4"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248</w:t>
            </w:r>
          </w:p>
        </w:tc>
        <w:tc>
          <w:tcPr>
            <w:tcW w:w="0" w:type="auto"/>
          </w:tcPr>
          <w:p w14:paraId="2116AE45"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251</w:t>
            </w:r>
          </w:p>
        </w:tc>
      </w:tr>
      <w:tr w:rsidR="0029113E" w:rsidRPr="002B09C8" w14:paraId="7D5A66EC" w14:textId="77777777" w:rsidTr="00CF1A4D">
        <w:tc>
          <w:tcPr>
            <w:tcW w:w="0" w:type="auto"/>
            <w:gridSpan w:val="3"/>
          </w:tcPr>
          <w:p w14:paraId="6B858C0B"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Rezultati</w:t>
            </w:r>
          </w:p>
        </w:tc>
      </w:tr>
      <w:tr w:rsidR="0029113E" w:rsidRPr="002B09C8" w14:paraId="0E5B9F44" w14:textId="77777777" w:rsidTr="00CF1A4D">
        <w:tc>
          <w:tcPr>
            <w:tcW w:w="0" w:type="auto"/>
          </w:tcPr>
          <w:p w14:paraId="102B5F5A" w14:textId="4B3CDD3B" w:rsidR="0029113E" w:rsidRPr="002B09C8" w:rsidRDefault="0029113E" w:rsidP="00C74431">
            <w:pPr>
              <w:widowControl w:val="0"/>
              <w:tabs>
                <w:tab w:val="left" w:pos="567"/>
              </w:tabs>
              <w:jc w:val="both"/>
              <w:rPr>
                <w:bCs/>
                <w:sz w:val="22"/>
                <w:szCs w:val="22"/>
                <w:lang w:val="sr-Latn-ME"/>
              </w:rPr>
            </w:pPr>
            <w:proofErr w:type="spellStart"/>
            <w:r w:rsidRPr="002B09C8">
              <w:rPr>
                <w:bCs/>
                <w:sz w:val="22"/>
                <w:szCs w:val="22"/>
                <w:lang w:val="sr-Latn-ME"/>
              </w:rPr>
              <w:t>mITT</w:t>
            </w:r>
            <w:r w:rsidRPr="002B09C8">
              <w:rPr>
                <w:color w:val="000000"/>
                <w:sz w:val="22"/>
                <w:szCs w:val="22"/>
                <w:vertAlign w:val="superscript"/>
                <w:lang w:val="sr-Latn-ME"/>
              </w:rPr>
              <w:t>a</w:t>
            </w:r>
            <w:proofErr w:type="spellEnd"/>
            <w:r w:rsidRPr="002B09C8">
              <w:rPr>
                <w:color w:val="000000"/>
                <w:sz w:val="22"/>
                <w:szCs w:val="22"/>
                <w:vertAlign w:val="superscript"/>
                <w:lang w:val="sr-Latn-ME"/>
              </w:rPr>
              <w:t xml:space="preserve"> </w:t>
            </w:r>
            <w:r w:rsidRPr="002B09C8">
              <w:rPr>
                <w:color w:val="000000"/>
                <w:sz w:val="22"/>
                <w:szCs w:val="22"/>
                <w:lang w:val="sr-Latn-ME"/>
              </w:rPr>
              <w:t>populacija u 1. d</w:t>
            </w:r>
            <w:r w:rsidR="00773D3F" w:rsidRPr="002B09C8">
              <w:rPr>
                <w:color w:val="000000"/>
                <w:sz w:val="22"/>
                <w:szCs w:val="22"/>
                <w:lang w:val="sr-Latn-ME"/>
              </w:rPr>
              <w:t>ij</w:t>
            </w:r>
            <w:r w:rsidRPr="002B09C8">
              <w:rPr>
                <w:color w:val="000000"/>
                <w:sz w:val="22"/>
                <w:szCs w:val="22"/>
                <w:lang w:val="sr-Latn-ME"/>
              </w:rPr>
              <w:t>elu u 72. ned</w:t>
            </w:r>
            <w:r w:rsidR="00C3386D" w:rsidRPr="002B09C8">
              <w:rPr>
                <w:color w:val="000000"/>
                <w:sz w:val="22"/>
                <w:szCs w:val="22"/>
                <w:lang w:val="sr-Latn-ME"/>
              </w:rPr>
              <w:t>j</w:t>
            </w:r>
            <w:r w:rsidRPr="002B09C8">
              <w:rPr>
                <w:color w:val="000000"/>
                <w:sz w:val="22"/>
                <w:szCs w:val="22"/>
                <w:lang w:val="sr-Latn-ME"/>
              </w:rPr>
              <w:t>elji</w:t>
            </w:r>
          </w:p>
        </w:tc>
        <w:tc>
          <w:tcPr>
            <w:tcW w:w="0" w:type="auto"/>
          </w:tcPr>
          <w:p w14:paraId="6AF5BDA9"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242</w:t>
            </w:r>
          </w:p>
        </w:tc>
        <w:tc>
          <w:tcPr>
            <w:tcW w:w="0" w:type="auto"/>
          </w:tcPr>
          <w:p w14:paraId="7079DE8C"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247</w:t>
            </w:r>
          </w:p>
        </w:tc>
      </w:tr>
      <w:tr w:rsidR="0029113E" w:rsidRPr="002B09C8" w14:paraId="1218B430" w14:textId="77777777" w:rsidTr="00CF1A4D">
        <w:tc>
          <w:tcPr>
            <w:tcW w:w="0" w:type="auto"/>
          </w:tcPr>
          <w:p w14:paraId="6BF9B7A9" w14:textId="53409829"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 xml:space="preserve">Nove/ </w:t>
            </w:r>
            <w:proofErr w:type="spellStart"/>
            <w:r w:rsidRPr="002B09C8">
              <w:rPr>
                <w:bCs/>
                <w:sz w:val="22"/>
                <w:szCs w:val="22"/>
                <w:lang w:val="sr-Latn-ME"/>
              </w:rPr>
              <w:t>novopovećane</w:t>
            </w:r>
            <w:proofErr w:type="spellEnd"/>
            <w:r w:rsidRPr="002B09C8">
              <w:rPr>
                <w:bCs/>
                <w:sz w:val="22"/>
                <w:szCs w:val="22"/>
                <w:lang w:val="sr-Latn-ME"/>
              </w:rPr>
              <w:t xml:space="preserve"> (N/NE) T2 </w:t>
            </w:r>
            <w:proofErr w:type="spellStart"/>
            <w:r w:rsidRPr="002B09C8">
              <w:rPr>
                <w:bCs/>
                <w:sz w:val="22"/>
                <w:szCs w:val="22"/>
                <w:lang w:val="sr-Latn-ME"/>
              </w:rPr>
              <w:t>lezije</w:t>
            </w:r>
            <w:proofErr w:type="spellEnd"/>
            <w:r w:rsidRPr="002B09C8">
              <w:rPr>
                <w:bCs/>
                <w:sz w:val="22"/>
                <w:szCs w:val="22"/>
                <w:lang w:val="sr-Latn-ME"/>
              </w:rPr>
              <w:t xml:space="preserve"> od početka do 72 ned</w:t>
            </w:r>
            <w:r w:rsidR="00773D3F" w:rsidRPr="002B09C8">
              <w:rPr>
                <w:bCs/>
                <w:sz w:val="22"/>
                <w:szCs w:val="22"/>
                <w:lang w:val="sr-Latn-ME"/>
              </w:rPr>
              <w:t>j</w:t>
            </w:r>
            <w:r w:rsidRPr="002B09C8">
              <w:rPr>
                <w:bCs/>
                <w:sz w:val="22"/>
                <w:szCs w:val="22"/>
                <w:lang w:val="sr-Latn-ME"/>
              </w:rPr>
              <w:t>elje</w:t>
            </w:r>
          </w:p>
          <w:p w14:paraId="6607C4EE"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 xml:space="preserve">Pacijenti sa brojem </w:t>
            </w:r>
            <w:proofErr w:type="spellStart"/>
            <w:r w:rsidRPr="002B09C8">
              <w:rPr>
                <w:bCs/>
                <w:sz w:val="22"/>
                <w:szCs w:val="22"/>
                <w:lang w:val="sr-Latn-ME"/>
              </w:rPr>
              <w:t>lezija</w:t>
            </w:r>
            <w:proofErr w:type="spellEnd"/>
            <w:r w:rsidRPr="002B09C8">
              <w:rPr>
                <w:bCs/>
                <w:sz w:val="22"/>
                <w:szCs w:val="22"/>
                <w:lang w:val="sr-Latn-ME"/>
              </w:rPr>
              <w:t xml:space="preserve"> = 0</w:t>
            </w:r>
          </w:p>
        </w:tc>
        <w:tc>
          <w:tcPr>
            <w:tcW w:w="0" w:type="auto"/>
          </w:tcPr>
          <w:p w14:paraId="531AC616" w14:textId="77777777" w:rsidR="0029113E" w:rsidRPr="002B09C8" w:rsidRDefault="0029113E" w:rsidP="00C74431">
            <w:pPr>
              <w:widowControl w:val="0"/>
              <w:tabs>
                <w:tab w:val="left" w:pos="567"/>
              </w:tabs>
              <w:jc w:val="both"/>
              <w:rPr>
                <w:bCs/>
                <w:sz w:val="22"/>
                <w:szCs w:val="22"/>
                <w:lang w:val="sr-Latn-ME"/>
              </w:rPr>
            </w:pPr>
          </w:p>
          <w:p w14:paraId="452E1BD9" w14:textId="77777777" w:rsidR="0029113E" w:rsidRPr="002B09C8" w:rsidRDefault="0029113E" w:rsidP="00C74431">
            <w:pPr>
              <w:widowControl w:val="0"/>
              <w:tabs>
                <w:tab w:val="left" w:pos="567"/>
              </w:tabs>
              <w:jc w:val="both"/>
              <w:rPr>
                <w:bCs/>
                <w:sz w:val="22"/>
                <w:szCs w:val="22"/>
                <w:lang w:val="sr-Latn-ME"/>
              </w:rPr>
            </w:pPr>
          </w:p>
          <w:p w14:paraId="14EF3637"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189 (78,1%)</w:t>
            </w:r>
          </w:p>
        </w:tc>
        <w:tc>
          <w:tcPr>
            <w:tcW w:w="0" w:type="auto"/>
          </w:tcPr>
          <w:p w14:paraId="37FFA26A" w14:textId="77777777" w:rsidR="0029113E" w:rsidRPr="002B09C8" w:rsidRDefault="0029113E" w:rsidP="00C74431">
            <w:pPr>
              <w:widowControl w:val="0"/>
              <w:tabs>
                <w:tab w:val="left" w:pos="567"/>
              </w:tabs>
              <w:jc w:val="both"/>
              <w:rPr>
                <w:bCs/>
                <w:sz w:val="22"/>
                <w:szCs w:val="22"/>
                <w:lang w:val="sr-Latn-ME"/>
              </w:rPr>
            </w:pPr>
          </w:p>
          <w:p w14:paraId="65068C74" w14:textId="77777777" w:rsidR="0029113E" w:rsidRPr="002B09C8" w:rsidRDefault="0029113E" w:rsidP="00C74431">
            <w:pPr>
              <w:widowControl w:val="0"/>
              <w:tabs>
                <w:tab w:val="left" w:pos="567"/>
              </w:tabs>
              <w:jc w:val="both"/>
              <w:rPr>
                <w:bCs/>
                <w:sz w:val="22"/>
                <w:szCs w:val="22"/>
                <w:lang w:val="sr-Latn-ME"/>
              </w:rPr>
            </w:pPr>
          </w:p>
          <w:p w14:paraId="47473713"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202 (81,8%)</w:t>
            </w:r>
          </w:p>
        </w:tc>
      </w:tr>
      <w:tr w:rsidR="0029113E" w:rsidRPr="002B09C8" w14:paraId="7529F28C" w14:textId="77777777" w:rsidTr="00CF1A4D">
        <w:tc>
          <w:tcPr>
            <w:tcW w:w="0" w:type="auto"/>
          </w:tcPr>
          <w:p w14:paraId="58C55892" w14:textId="77777777" w:rsidR="0029113E" w:rsidRPr="002B09C8" w:rsidRDefault="0029113E" w:rsidP="00C74431">
            <w:pPr>
              <w:widowControl w:val="0"/>
              <w:tabs>
                <w:tab w:val="left" w:pos="567"/>
              </w:tabs>
              <w:jc w:val="both"/>
              <w:rPr>
                <w:bCs/>
                <w:sz w:val="22"/>
                <w:szCs w:val="22"/>
                <w:lang w:val="sr-Latn-ME" w:eastAsia="en-US"/>
              </w:rPr>
            </w:pPr>
            <w:r w:rsidRPr="002B09C8">
              <w:rPr>
                <w:bCs/>
                <w:sz w:val="22"/>
                <w:szCs w:val="22"/>
                <w:lang w:val="sr-Latn-ME"/>
              </w:rPr>
              <w:t>=1</w:t>
            </w:r>
          </w:p>
        </w:tc>
        <w:tc>
          <w:tcPr>
            <w:tcW w:w="0" w:type="auto"/>
          </w:tcPr>
          <w:p w14:paraId="25E3CFA7"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7 (3,6%)</w:t>
            </w:r>
          </w:p>
        </w:tc>
        <w:tc>
          <w:tcPr>
            <w:tcW w:w="0" w:type="auto"/>
          </w:tcPr>
          <w:p w14:paraId="2FA201C0"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5 (2,0%)</w:t>
            </w:r>
          </w:p>
        </w:tc>
      </w:tr>
      <w:tr w:rsidR="0029113E" w:rsidRPr="002B09C8" w14:paraId="3A6B8B88" w14:textId="77777777" w:rsidTr="00CF1A4D">
        <w:tc>
          <w:tcPr>
            <w:tcW w:w="0" w:type="auto"/>
          </w:tcPr>
          <w:p w14:paraId="654ACFDB"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=2</w:t>
            </w:r>
          </w:p>
        </w:tc>
        <w:tc>
          <w:tcPr>
            <w:tcW w:w="0" w:type="auto"/>
          </w:tcPr>
          <w:p w14:paraId="0214ED16"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1 (0,5%)</w:t>
            </w:r>
          </w:p>
        </w:tc>
        <w:tc>
          <w:tcPr>
            <w:tcW w:w="0" w:type="auto"/>
          </w:tcPr>
          <w:p w14:paraId="77D82760"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2 (0,8%)</w:t>
            </w:r>
          </w:p>
        </w:tc>
      </w:tr>
      <w:tr w:rsidR="0029113E" w:rsidRPr="002B09C8" w14:paraId="57F4ECBA" w14:textId="77777777" w:rsidTr="00CF1A4D">
        <w:tc>
          <w:tcPr>
            <w:tcW w:w="0" w:type="auto"/>
          </w:tcPr>
          <w:p w14:paraId="4AD4C256"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 xml:space="preserve">=3 </w:t>
            </w:r>
          </w:p>
        </w:tc>
        <w:tc>
          <w:tcPr>
            <w:tcW w:w="0" w:type="auto"/>
          </w:tcPr>
          <w:p w14:paraId="5F304697"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w:t>
            </w:r>
          </w:p>
        </w:tc>
        <w:tc>
          <w:tcPr>
            <w:tcW w:w="0" w:type="auto"/>
          </w:tcPr>
          <w:p w14:paraId="5A10F787"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w:t>
            </w:r>
          </w:p>
        </w:tc>
      </w:tr>
      <w:tr w:rsidR="0029113E" w:rsidRPr="002B09C8" w14:paraId="03F9D959" w14:textId="77777777" w:rsidTr="00CF1A4D">
        <w:tc>
          <w:tcPr>
            <w:tcW w:w="0" w:type="auto"/>
          </w:tcPr>
          <w:p w14:paraId="6A2A90FB"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=4</w:t>
            </w:r>
          </w:p>
        </w:tc>
        <w:tc>
          <w:tcPr>
            <w:tcW w:w="0" w:type="auto"/>
          </w:tcPr>
          <w:p w14:paraId="7E08DF39"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w:t>
            </w:r>
          </w:p>
        </w:tc>
        <w:tc>
          <w:tcPr>
            <w:tcW w:w="0" w:type="auto"/>
          </w:tcPr>
          <w:p w14:paraId="35687915"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w:t>
            </w:r>
          </w:p>
        </w:tc>
      </w:tr>
      <w:tr w:rsidR="0029113E" w:rsidRPr="002B09C8" w14:paraId="1C50A118" w14:textId="77777777" w:rsidTr="00CF1A4D">
        <w:tc>
          <w:tcPr>
            <w:tcW w:w="0" w:type="auto"/>
          </w:tcPr>
          <w:p w14:paraId="2313E015"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≥5</w:t>
            </w:r>
          </w:p>
        </w:tc>
        <w:tc>
          <w:tcPr>
            <w:tcW w:w="0" w:type="auto"/>
          </w:tcPr>
          <w:p w14:paraId="4C885AAC"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w:t>
            </w:r>
          </w:p>
        </w:tc>
        <w:tc>
          <w:tcPr>
            <w:tcW w:w="0" w:type="auto"/>
          </w:tcPr>
          <w:p w14:paraId="260B588B"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2* (0,8%)</w:t>
            </w:r>
          </w:p>
        </w:tc>
      </w:tr>
      <w:tr w:rsidR="0029113E" w:rsidRPr="002B09C8" w14:paraId="66DDD114" w14:textId="77777777" w:rsidTr="00CF1A4D">
        <w:tc>
          <w:tcPr>
            <w:tcW w:w="0" w:type="auto"/>
          </w:tcPr>
          <w:p w14:paraId="5C40CBF7"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Nedostaje</w:t>
            </w:r>
          </w:p>
        </w:tc>
        <w:tc>
          <w:tcPr>
            <w:tcW w:w="0" w:type="auto"/>
          </w:tcPr>
          <w:p w14:paraId="3CDDB00D"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45 (18,6%)</w:t>
            </w:r>
          </w:p>
        </w:tc>
        <w:tc>
          <w:tcPr>
            <w:tcW w:w="0" w:type="auto"/>
          </w:tcPr>
          <w:p w14:paraId="1FB7BD17"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36 (14,6%)</w:t>
            </w:r>
          </w:p>
        </w:tc>
      </w:tr>
      <w:tr w:rsidR="0029113E" w:rsidRPr="002B09C8" w14:paraId="5EA8D297" w14:textId="77777777" w:rsidTr="00CF1A4D">
        <w:tc>
          <w:tcPr>
            <w:tcW w:w="0" w:type="auto"/>
            <w:vMerge w:val="restart"/>
          </w:tcPr>
          <w:p w14:paraId="66AACF2B" w14:textId="2E1C394F"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Prilagođena srednja vr</w:t>
            </w:r>
            <w:r w:rsidR="00C3386D" w:rsidRPr="002B09C8">
              <w:rPr>
                <w:bCs/>
                <w:sz w:val="22"/>
                <w:szCs w:val="22"/>
                <w:lang w:val="sr-Latn-ME"/>
              </w:rPr>
              <w:t>ij</w:t>
            </w:r>
            <w:r w:rsidRPr="002B09C8">
              <w:rPr>
                <w:bCs/>
                <w:sz w:val="22"/>
                <w:szCs w:val="22"/>
                <w:lang w:val="sr-Latn-ME"/>
              </w:rPr>
              <w:t xml:space="preserve">ednost N/NE T2-hiperintenzivnih </w:t>
            </w:r>
            <w:proofErr w:type="spellStart"/>
            <w:r w:rsidRPr="002B09C8">
              <w:rPr>
                <w:bCs/>
                <w:sz w:val="22"/>
                <w:szCs w:val="22"/>
                <w:lang w:val="sr-Latn-ME"/>
              </w:rPr>
              <w:t>lezija</w:t>
            </w:r>
            <w:proofErr w:type="spellEnd"/>
            <w:r w:rsidRPr="002B09C8">
              <w:rPr>
                <w:bCs/>
                <w:sz w:val="22"/>
                <w:szCs w:val="22"/>
                <w:lang w:val="sr-Latn-ME"/>
              </w:rPr>
              <w:t xml:space="preserve"> (primarni parametar praćenja)</w:t>
            </w:r>
          </w:p>
          <w:p w14:paraId="41DA9BD5"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95%</w:t>
            </w:r>
            <w:r w:rsidRPr="002B09C8">
              <w:rPr>
                <w:color w:val="000000"/>
                <w:sz w:val="22"/>
                <w:szCs w:val="22"/>
                <w:lang w:val="sr-Latn-ME"/>
              </w:rPr>
              <w:t xml:space="preserve"> </w:t>
            </w:r>
            <w:proofErr w:type="spellStart"/>
            <w:r w:rsidRPr="002B09C8">
              <w:rPr>
                <w:color w:val="000000"/>
                <w:sz w:val="22"/>
                <w:szCs w:val="22"/>
                <w:lang w:val="sr-Latn-ME"/>
              </w:rPr>
              <w:t>CI</w:t>
            </w:r>
            <w:r w:rsidRPr="002B09C8">
              <w:rPr>
                <w:color w:val="000000"/>
                <w:sz w:val="22"/>
                <w:szCs w:val="22"/>
                <w:vertAlign w:val="superscript"/>
                <w:lang w:val="sr-Latn-ME"/>
              </w:rPr>
              <w:t>b,c</w:t>
            </w:r>
            <w:proofErr w:type="spellEnd"/>
          </w:p>
        </w:tc>
        <w:tc>
          <w:tcPr>
            <w:tcW w:w="0" w:type="auto"/>
          </w:tcPr>
          <w:p w14:paraId="7A9913D7" w14:textId="77777777" w:rsidR="0029113E" w:rsidRPr="002B09C8" w:rsidRDefault="0029113E" w:rsidP="00C74431">
            <w:pPr>
              <w:widowControl w:val="0"/>
              <w:tabs>
                <w:tab w:val="left" w:pos="567"/>
              </w:tabs>
              <w:jc w:val="both"/>
              <w:rPr>
                <w:bCs/>
                <w:sz w:val="22"/>
                <w:szCs w:val="22"/>
                <w:lang w:val="sr-Latn-ME" w:eastAsia="en-US"/>
              </w:rPr>
            </w:pPr>
          </w:p>
          <w:p w14:paraId="5D9B1AA9" w14:textId="77777777" w:rsidR="0029113E" w:rsidRPr="002B09C8" w:rsidRDefault="0029113E" w:rsidP="00C74431">
            <w:pPr>
              <w:widowControl w:val="0"/>
              <w:tabs>
                <w:tab w:val="left" w:pos="567"/>
              </w:tabs>
              <w:jc w:val="both"/>
              <w:rPr>
                <w:bCs/>
                <w:sz w:val="22"/>
                <w:szCs w:val="22"/>
                <w:lang w:val="sr-Latn-ME"/>
              </w:rPr>
            </w:pPr>
          </w:p>
          <w:p w14:paraId="225AB377"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0,05</w:t>
            </w:r>
          </w:p>
          <w:p w14:paraId="0CA3AF8E" w14:textId="77777777" w:rsidR="0029113E" w:rsidRPr="002B09C8" w:rsidRDefault="0029113E" w:rsidP="00C74431">
            <w:pPr>
              <w:widowControl w:val="0"/>
              <w:tabs>
                <w:tab w:val="left" w:pos="567"/>
              </w:tabs>
              <w:jc w:val="both"/>
              <w:rPr>
                <w:bCs/>
                <w:sz w:val="22"/>
                <w:szCs w:val="22"/>
                <w:lang w:val="sr-Latn-ME" w:eastAsia="en-US"/>
              </w:rPr>
            </w:pPr>
            <w:r w:rsidRPr="002B09C8">
              <w:rPr>
                <w:bCs/>
                <w:sz w:val="22"/>
                <w:szCs w:val="22"/>
                <w:lang w:val="sr-Latn-ME"/>
              </w:rPr>
              <w:t>(0,01; 0,22)</w:t>
            </w:r>
          </w:p>
        </w:tc>
        <w:tc>
          <w:tcPr>
            <w:tcW w:w="0" w:type="auto"/>
          </w:tcPr>
          <w:p w14:paraId="7E928D75" w14:textId="77777777" w:rsidR="0029113E" w:rsidRPr="002B09C8" w:rsidRDefault="0029113E" w:rsidP="00C74431">
            <w:pPr>
              <w:widowControl w:val="0"/>
              <w:tabs>
                <w:tab w:val="left" w:pos="567"/>
              </w:tabs>
              <w:jc w:val="both"/>
              <w:rPr>
                <w:bCs/>
                <w:sz w:val="22"/>
                <w:szCs w:val="22"/>
                <w:lang w:val="sr-Latn-ME"/>
              </w:rPr>
            </w:pPr>
          </w:p>
          <w:p w14:paraId="5749CE85" w14:textId="77777777" w:rsidR="0029113E" w:rsidRPr="002B09C8" w:rsidRDefault="0029113E" w:rsidP="00C74431">
            <w:pPr>
              <w:widowControl w:val="0"/>
              <w:tabs>
                <w:tab w:val="left" w:pos="567"/>
              </w:tabs>
              <w:jc w:val="both"/>
              <w:rPr>
                <w:bCs/>
                <w:sz w:val="22"/>
                <w:szCs w:val="22"/>
                <w:lang w:val="sr-Latn-ME"/>
              </w:rPr>
            </w:pPr>
          </w:p>
          <w:p w14:paraId="45849876"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0,20</w:t>
            </w:r>
          </w:p>
          <w:p w14:paraId="0AD9C009" w14:textId="77777777" w:rsidR="0029113E" w:rsidRPr="002B09C8" w:rsidRDefault="0029113E" w:rsidP="00C74431">
            <w:pPr>
              <w:widowControl w:val="0"/>
              <w:tabs>
                <w:tab w:val="left" w:pos="567"/>
              </w:tabs>
              <w:jc w:val="both"/>
              <w:rPr>
                <w:bCs/>
                <w:sz w:val="22"/>
                <w:szCs w:val="22"/>
                <w:lang w:val="sr-Latn-ME" w:eastAsia="en-US"/>
              </w:rPr>
            </w:pPr>
            <w:r w:rsidRPr="002B09C8">
              <w:rPr>
                <w:bCs/>
                <w:sz w:val="22"/>
                <w:szCs w:val="22"/>
                <w:lang w:val="sr-Latn-ME"/>
              </w:rPr>
              <w:t>(0,07 ; 0,63)</w:t>
            </w:r>
          </w:p>
        </w:tc>
      </w:tr>
      <w:tr w:rsidR="0029113E" w:rsidRPr="002B09C8" w14:paraId="461BE325" w14:textId="77777777" w:rsidTr="00CF1A4D">
        <w:tc>
          <w:tcPr>
            <w:tcW w:w="0" w:type="auto"/>
            <w:vMerge/>
          </w:tcPr>
          <w:p w14:paraId="0DA3C2F9" w14:textId="77777777" w:rsidR="0029113E" w:rsidRPr="002B09C8" w:rsidRDefault="0029113E" w:rsidP="00C74431">
            <w:pPr>
              <w:widowControl w:val="0"/>
              <w:tabs>
                <w:tab w:val="left" w:pos="567"/>
              </w:tabs>
              <w:jc w:val="both"/>
              <w:rPr>
                <w:bCs/>
                <w:sz w:val="22"/>
                <w:szCs w:val="22"/>
                <w:lang w:val="sr-Latn-ME"/>
              </w:rPr>
            </w:pPr>
          </w:p>
        </w:tc>
        <w:tc>
          <w:tcPr>
            <w:tcW w:w="0" w:type="auto"/>
            <w:gridSpan w:val="2"/>
          </w:tcPr>
          <w:p w14:paraId="5E7B954F" w14:textId="77777777" w:rsidR="0029113E" w:rsidRPr="002B09C8" w:rsidRDefault="0029113E" w:rsidP="00C74431">
            <w:pPr>
              <w:widowControl w:val="0"/>
              <w:tabs>
                <w:tab w:val="left" w:pos="567"/>
              </w:tabs>
              <w:jc w:val="both"/>
              <w:rPr>
                <w:bCs/>
                <w:sz w:val="22"/>
                <w:szCs w:val="22"/>
                <w:lang w:val="sr-Latn-ME" w:eastAsia="en-US"/>
              </w:rPr>
            </w:pPr>
            <w:r w:rsidRPr="002B09C8">
              <w:rPr>
                <w:bCs/>
                <w:sz w:val="22"/>
                <w:szCs w:val="22"/>
                <w:lang w:val="sr-Latn-ME"/>
              </w:rPr>
              <w:t>p = 0,0755</w:t>
            </w:r>
          </w:p>
        </w:tc>
      </w:tr>
      <w:tr w:rsidR="0029113E" w:rsidRPr="002B09C8" w14:paraId="6F890304" w14:textId="77777777" w:rsidTr="00CF1A4D">
        <w:tc>
          <w:tcPr>
            <w:tcW w:w="0" w:type="auto"/>
          </w:tcPr>
          <w:p w14:paraId="36E5EE6A"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 xml:space="preserve">Proporcija pacijenata koji su razvile N/NE T2 </w:t>
            </w:r>
            <w:proofErr w:type="spellStart"/>
            <w:r w:rsidRPr="002B09C8">
              <w:rPr>
                <w:bCs/>
                <w:sz w:val="22"/>
                <w:szCs w:val="22"/>
                <w:lang w:val="sr-Latn-ME"/>
              </w:rPr>
              <w:t>lezije</w:t>
            </w:r>
            <w:proofErr w:type="spellEnd"/>
          </w:p>
        </w:tc>
        <w:tc>
          <w:tcPr>
            <w:tcW w:w="0" w:type="auto"/>
            <w:vAlign w:val="center"/>
          </w:tcPr>
          <w:p w14:paraId="2DF82888" w14:textId="77777777" w:rsidR="0029113E" w:rsidRPr="002B09C8" w:rsidRDefault="0029113E" w:rsidP="00C74431">
            <w:pPr>
              <w:widowControl w:val="0"/>
              <w:tabs>
                <w:tab w:val="left" w:pos="567"/>
              </w:tabs>
              <w:jc w:val="both"/>
              <w:rPr>
                <w:bCs/>
                <w:sz w:val="22"/>
                <w:szCs w:val="22"/>
                <w:lang w:val="sr-Latn-ME"/>
              </w:rPr>
            </w:pPr>
          </w:p>
          <w:p w14:paraId="2437C2F3"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4,1%</w:t>
            </w:r>
          </w:p>
        </w:tc>
        <w:tc>
          <w:tcPr>
            <w:tcW w:w="0" w:type="auto"/>
            <w:vAlign w:val="center"/>
          </w:tcPr>
          <w:p w14:paraId="0A3E9A14" w14:textId="77777777" w:rsidR="0029113E" w:rsidRPr="002B09C8" w:rsidRDefault="0029113E" w:rsidP="00C74431">
            <w:pPr>
              <w:widowControl w:val="0"/>
              <w:tabs>
                <w:tab w:val="left" w:pos="567"/>
              </w:tabs>
              <w:jc w:val="both"/>
              <w:rPr>
                <w:bCs/>
                <w:sz w:val="22"/>
                <w:szCs w:val="22"/>
                <w:lang w:val="sr-Latn-ME"/>
              </w:rPr>
            </w:pPr>
          </w:p>
          <w:p w14:paraId="1EA9B4C7"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4,3%</w:t>
            </w:r>
          </w:p>
        </w:tc>
      </w:tr>
      <w:tr w:rsidR="0029113E" w:rsidRPr="002B09C8" w14:paraId="004E38A6" w14:textId="77777777" w:rsidTr="00CF1A4D">
        <w:tc>
          <w:tcPr>
            <w:tcW w:w="0" w:type="auto"/>
          </w:tcPr>
          <w:p w14:paraId="7645B0A7"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 xml:space="preserve">Proporcija pacijenata koja je razvila T1-hipointenzivne </w:t>
            </w:r>
            <w:proofErr w:type="spellStart"/>
            <w:r w:rsidRPr="002B09C8">
              <w:rPr>
                <w:bCs/>
                <w:sz w:val="22"/>
                <w:szCs w:val="22"/>
                <w:lang w:val="sr-Latn-ME"/>
              </w:rPr>
              <w:t>lezije</w:t>
            </w:r>
            <w:proofErr w:type="spellEnd"/>
          </w:p>
        </w:tc>
        <w:tc>
          <w:tcPr>
            <w:tcW w:w="0" w:type="auto"/>
            <w:vAlign w:val="center"/>
          </w:tcPr>
          <w:p w14:paraId="6A96EEC7"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0,8%</w:t>
            </w:r>
          </w:p>
        </w:tc>
        <w:tc>
          <w:tcPr>
            <w:tcW w:w="0" w:type="auto"/>
            <w:vAlign w:val="center"/>
          </w:tcPr>
          <w:p w14:paraId="3B5328BA"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1,2%</w:t>
            </w:r>
          </w:p>
        </w:tc>
      </w:tr>
      <w:tr w:rsidR="0029113E" w:rsidRPr="002B09C8" w14:paraId="10CE6D6C" w14:textId="77777777" w:rsidTr="00CF1A4D">
        <w:tc>
          <w:tcPr>
            <w:tcW w:w="0" w:type="auto"/>
          </w:tcPr>
          <w:p w14:paraId="53DFD9F2" w14:textId="1DD785FC"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 xml:space="preserve">Proporcija pacijenata koja je razvila </w:t>
            </w:r>
            <w:proofErr w:type="spellStart"/>
            <w:r w:rsidRPr="002B09C8">
              <w:rPr>
                <w:bCs/>
                <w:sz w:val="22"/>
                <w:szCs w:val="22"/>
                <w:lang w:val="sr-Latn-ME"/>
              </w:rPr>
              <w:t>Gd</w:t>
            </w:r>
            <w:proofErr w:type="spellEnd"/>
            <w:r w:rsidRPr="002B09C8">
              <w:rPr>
                <w:bCs/>
                <w:sz w:val="22"/>
                <w:szCs w:val="22"/>
                <w:lang w:val="sr-Latn-ME"/>
              </w:rPr>
              <w:t>-posp</w:t>
            </w:r>
            <w:r w:rsidR="00C3386D" w:rsidRPr="002B09C8">
              <w:rPr>
                <w:bCs/>
                <w:sz w:val="22"/>
                <w:szCs w:val="22"/>
                <w:lang w:val="sr-Latn-ME"/>
              </w:rPr>
              <w:t>j</w:t>
            </w:r>
            <w:r w:rsidRPr="002B09C8">
              <w:rPr>
                <w:bCs/>
                <w:sz w:val="22"/>
                <w:szCs w:val="22"/>
                <w:lang w:val="sr-Latn-ME"/>
              </w:rPr>
              <w:t xml:space="preserve">ešene </w:t>
            </w:r>
            <w:proofErr w:type="spellStart"/>
            <w:r w:rsidRPr="002B09C8">
              <w:rPr>
                <w:bCs/>
                <w:sz w:val="22"/>
                <w:szCs w:val="22"/>
                <w:lang w:val="sr-Latn-ME"/>
              </w:rPr>
              <w:t>lezije</w:t>
            </w:r>
            <w:proofErr w:type="spellEnd"/>
          </w:p>
        </w:tc>
        <w:tc>
          <w:tcPr>
            <w:tcW w:w="0" w:type="auto"/>
            <w:vAlign w:val="center"/>
          </w:tcPr>
          <w:p w14:paraId="4DB9081C"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0,4%</w:t>
            </w:r>
          </w:p>
        </w:tc>
        <w:tc>
          <w:tcPr>
            <w:tcW w:w="0" w:type="auto"/>
            <w:vAlign w:val="center"/>
          </w:tcPr>
          <w:p w14:paraId="4E78F150"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0,4%</w:t>
            </w:r>
          </w:p>
        </w:tc>
      </w:tr>
      <w:tr w:rsidR="0029113E" w:rsidRPr="002B09C8" w14:paraId="4530A726" w14:textId="77777777" w:rsidTr="00CF1A4D">
        <w:tc>
          <w:tcPr>
            <w:tcW w:w="0" w:type="auto"/>
          </w:tcPr>
          <w:p w14:paraId="5A48762A"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 xml:space="preserve">Prilagođena godišnja stopa </w:t>
            </w:r>
            <w:proofErr w:type="spellStart"/>
            <w:r w:rsidRPr="002B09C8">
              <w:rPr>
                <w:bCs/>
                <w:sz w:val="22"/>
                <w:szCs w:val="22"/>
                <w:lang w:val="sr-Latn-ME"/>
              </w:rPr>
              <w:t>relapsa</w:t>
            </w:r>
            <w:proofErr w:type="spellEnd"/>
          </w:p>
        </w:tc>
        <w:tc>
          <w:tcPr>
            <w:tcW w:w="0" w:type="auto"/>
            <w:vAlign w:val="center"/>
          </w:tcPr>
          <w:p w14:paraId="28EA105C"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0,00010</w:t>
            </w:r>
          </w:p>
        </w:tc>
        <w:tc>
          <w:tcPr>
            <w:tcW w:w="0" w:type="auto"/>
            <w:vAlign w:val="center"/>
          </w:tcPr>
          <w:p w14:paraId="368270DD"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0,00013</w:t>
            </w:r>
          </w:p>
        </w:tc>
      </w:tr>
      <w:tr w:rsidR="0029113E" w:rsidRPr="002B09C8" w14:paraId="6E878106" w14:textId="77777777" w:rsidTr="00CF1A4D">
        <w:tc>
          <w:tcPr>
            <w:tcW w:w="0" w:type="auto"/>
          </w:tcPr>
          <w:p w14:paraId="768946FA"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 xml:space="preserve">Proporcija pacijenata bez </w:t>
            </w:r>
            <w:proofErr w:type="spellStart"/>
            <w:r w:rsidRPr="002B09C8">
              <w:rPr>
                <w:bCs/>
                <w:sz w:val="22"/>
                <w:szCs w:val="22"/>
                <w:lang w:val="sr-Latn-ME"/>
              </w:rPr>
              <w:t>relapsa</w:t>
            </w:r>
            <w:proofErr w:type="spellEnd"/>
            <w:r w:rsidRPr="002B09C8">
              <w:rPr>
                <w:bCs/>
                <w:sz w:val="22"/>
                <w:szCs w:val="22"/>
                <w:lang w:val="sr-Latn-ME"/>
              </w:rPr>
              <w:t>**</w:t>
            </w:r>
          </w:p>
        </w:tc>
        <w:tc>
          <w:tcPr>
            <w:tcW w:w="0" w:type="auto"/>
            <w:vAlign w:val="center"/>
          </w:tcPr>
          <w:p w14:paraId="0B74CD6C"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97,6%</w:t>
            </w:r>
          </w:p>
        </w:tc>
        <w:tc>
          <w:tcPr>
            <w:tcW w:w="0" w:type="auto"/>
            <w:vAlign w:val="center"/>
          </w:tcPr>
          <w:p w14:paraId="1AF97197"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96,9%</w:t>
            </w:r>
          </w:p>
        </w:tc>
      </w:tr>
      <w:tr w:rsidR="0029113E" w:rsidRPr="002B09C8" w14:paraId="042E3F12" w14:textId="77777777" w:rsidTr="00CF1A4D">
        <w:tc>
          <w:tcPr>
            <w:tcW w:w="0" w:type="auto"/>
          </w:tcPr>
          <w:p w14:paraId="5F6DB4D8" w14:textId="5CE9DA8D"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Proporcija pacijenata bez potvrđenog 24- ned</w:t>
            </w:r>
            <w:r w:rsidR="00773D3F" w:rsidRPr="002B09C8">
              <w:rPr>
                <w:bCs/>
                <w:sz w:val="22"/>
                <w:szCs w:val="22"/>
                <w:lang w:val="sr-Latn-ME"/>
              </w:rPr>
              <w:t>j</w:t>
            </w:r>
            <w:r w:rsidRPr="002B09C8">
              <w:rPr>
                <w:bCs/>
                <w:sz w:val="22"/>
                <w:szCs w:val="22"/>
                <w:lang w:val="sr-Latn-ME"/>
              </w:rPr>
              <w:t>eljnog EDSS pogoršanja</w:t>
            </w:r>
          </w:p>
        </w:tc>
        <w:tc>
          <w:tcPr>
            <w:tcW w:w="0" w:type="auto"/>
            <w:vAlign w:val="center"/>
          </w:tcPr>
          <w:p w14:paraId="0EBFB171"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92%</w:t>
            </w:r>
          </w:p>
        </w:tc>
        <w:tc>
          <w:tcPr>
            <w:tcW w:w="0" w:type="auto"/>
            <w:vAlign w:val="center"/>
          </w:tcPr>
          <w:p w14:paraId="6B06EFE6" w14:textId="77777777" w:rsidR="0029113E" w:rsidRPr="002B09C8" w:rsidRDefault="0029113E" w:rsidP="00C74431">
            <w:pPr>
              <w:widowControl w:val="0"/>
              <w:tabs>
                <w:tab w:val="left" w:pos="567"/>
              </w:tabs>
              <w:jc w:val="both"/>
              <w:rPr>
                <w:bCs/>
                <w:sz w:val="22"/>
                <w:szCs w:val="22"/>
                <w:lang w:val="sr-Latn-ME"/>
              </w:rPr>
            </w:pPr>
            <w:r w:rsidRPr="002B09C8">
              <w:rPr>
                <w:bCs/>
                <w:sz w:val="22"/>
                <w:szCs w:val="22"/>
                <w:lang w:val="sr-Latn-ME"/>
              </w:rPr>
              <w:t>90%</w:t>
            </w:r>
          </w:p>
        </w:tc>
      </w:tr>
      <w:tr w:rsidR="0029113E" w:rsidRPr="002B09C8" w14:paraId="6E39C068" w14:textId="77777777" w:rsidTr="00CF1A4D">
        <w:tc>
          <w:tcPr>
            <w:tcW w:w="0" w:type="auto"/>
            <w:gridSpan w:val="3"/>
          </w:tcPr>
          <w:p w14:paraId="7D365A65" w14:textId="0234CA5C" w:rsidR="0029113E" w:rsidRPr="002B09C8" w:rsidRDefault="0029113E" w:rsidP="00C74431">
            <w:pPr>
              <w:widowControl w:val="0"/>
              <w:tabs>
                <w:tab w:val="left" w:pos="567"/>
              </w:tabs>
              <w:jc w:val="both"/>
              <w:rPr>
                <w:color w:val="000000"/>
                <w:sz w:val="22"/>
                <w:szCs w:val="22"/>
                <w:lang w:val="sr-Latn-ME"/>
              </w:rPr>
            </w:pPr>
            <w:r w:rsidRPr="002B09C8">
              <w:rPr>
                <w:color w:val="000000"/>
                <w:sz w:val="22"/>
                <w:szCs w:val="22"/>
                <w:vertAlign w:val="superscript"/>
                <w:lang w:val="sr-Latn-ME"/>
              </w:rPr>
              <w:t>a</w:t>
            </w:r>
            <w:r w:rsidRPr="002B09C8">
              <w:rPr>
                <w:color w:val="000000"/>
                <w:sz w:val="22"/>
                <w:szCs w:val="22"/>
                <w:lang w:val="sr-Latn-ME"/>
              </w:rPr>
              <w:t xml:space="preserve"> </w:t>
            </w:r>
            <w:proofErr w:type="spellStart"/>
            <w:r w:rsidRPr="002B09C8">
              <w:rPr>
                <w:color w:val="000000"/>
                <w:sz w:val="22"/>
                <w:szCs w:val="22"/>
                <w:lang w:val="sr-Latn-ME"/>
              </w:rPr>
              <w:t>mITT</w:t>
            </w:r>
            <w:proofErr w:type="spellEnd"/>
            <w:r w:rsidRPr="002B09C8">
              <w:rPr>
                <w:color w:val="000000"/>
                <w:sz w:val="22"/>
                <w:szCs w:val="22"/>
                <w:lang w:val="sr-Latn-ME"/>
              </w:rPr>
              <w:t xml:space="preserve"> populacija, koja je uključivala sve </w:t>
            </w:r>
            <w:proofErr w:type="spellStart"/>
            <w:r w:rsidRPr="002B09C8">
              <w:rPr>
                <w:color w:val="000000"/>
                <w:sz w:val="22"/>
                <w:szCs w:val="22"/>
                <w:lang w:val="sr-Latn-ME"/>
              </w:rPr>
              <w:t>randomizovane</w:t>
            </w:r>
            <w:proofErr w:type="spellEnd"/>
            <w:r w:rsidRPr="002B09C8">
              <w:rPr>
                <w:color w:val="000000"/>
                <w:sz w:val="22"/>
                <w:szCs w:val="22"/>
                <w:lang w:val="sr-Latn-ME"/>
              </w:rPr>
              <w:t xml:space="preserve"> pacijente koji su primili najmanje jednu dozu ispitivane terapije (kraća ili duža prim</w:t>
            </w:r>
            <w:r w:rsidR="00773D3F" w:rsidRPr="002B09C8">
              <w:rPr>
                <w:color w:val="000000"/>
                <w:sz w:val="22"/>
                <w:szCs w:val="22"/>
                <w:lang w:val="sr-Latn-ME"/>
              </w:rPr>
              <w:t>j</w:t>
            </w:r>
            <w:r w:rsidRPr="002B09C8">
              <w:rPr>
                <w:color w:val="000000"/>
                <w:sz w:val="22"/>
                <w:szCs w:val="22"/>
                <w:lang w:val="sr-Latn-ME"/>
              </w:rPr>
              <w:t xml:space="preserve">ena </w:t>
            </w:r>
            <w:proofErr w:type="spellStart"/>
            <w:r w:rsidRPr="002B09C8">
              <w:rPr>
                <w:color w:val="000000"/>
                <w:sz w:val="22"/>
                <w:szCs w:val="22"/>
                <w:lang w:val="sr-Latn-ME"/>
              </w:rPr>
              <w:t>natalizumaba</w:t>
            </w:r>
            <w:proofErr w:type="spellEnd"/>
            <w:r w:rsidRPr="002B09C8">
              <w:rPr>
                <w:color w:val="000000"/>
                <w:sz w:val="22"/>
                <w:szCs w:val="22"/>
                <w:lang w:val="sr-Latn-ME"/>
              </w:rPr>
              <w:t>) i posl</w:t>
            </w:r>
            <w:r w:rsidR="00C3386D" w:rsidRPr="002B09C8">
              <w:rPr>
                <w:color w:val="000000"/>
                <w:sz w:val="22"/>
                <w:szCs w:val="22"/>
                <w:lang w:val="sr-Latn-ME"/>
              </w:rPr>
              <w:t>ij</w:t>
            </w:r>
            <w:r w:rsidRPr="002B09C8">
              <w:rPr>
                <w:color w:val="000000"/>
                <w:sz w:val="22"/>
                <w:szCs w:val="22"/>
                <w:lang w:val="sr-Latn-ME"/>
              </w:rPr>
              <w:t>e početka ispitivanja imala najmanje jedan rezultat iz sledećih proc</w:t>
            </w:r>
            <w:r w:rsidR="00C3386D" w:rsidRPr="002B09C8">
              <w:rPr>
                <w:color w:val="000000"/>
                <w:sz w:val="22"/>
                <w:szCs w:val="22"/>
                <w:lang w:val="sr-Latn-ME"/>
              </w:rPr>
              <w:t>j</w:t>
            </w:r>
            <w:r w:rsidRPr="002B09C8">
              <w:rPr>
                <w:color w:val="000000"/>
                <w:sz w:val="22"/>
                <w:szCs w:val="22"/>
                <w:lang w:val="sr-Latn-ME"/>
              </w:rPr>
              <w:t>ena kliničke efikasnosti: proc</w:t>
            </w:r>
            <w:r w:rsidR="00C3386D" w:rsidRPr="002B09C8">
              <w:rPr>
                <w:color w:val="000000"/>
                <w:sz w:val="22"/>
                <w:szCs w:val="22"/>
                <w:lang w:val="sr-Latn-ME"/>
              </w:rPr>
              <w:t>j</w:t>
            </w:r>
            <w:r w:rsidRPr="002B09C8">
              <w:rPr>
                <w:color w:val="000000"/>
                <w:sz w:val="22"/>
                <w:szCs w:val="22"/>
                <w:lang w:val="sr-Latn-ME"/>
              </w:rPr>
              <w:t xml:space="preserve">ena efikasnosti uz pomoć MRI, </w:t>
            </w:r>
            <w:proofErr w:type="spellStart"/>
            <w:r w:rsidRPr="002B09C8">
              <w:rPr>
                <w:color w:val="000000"/>
                <w:sz w:val="22"/>
                <w:szCs w:val="22"/>
                <w:lang w:val="sr-Latn-ME"/>
              </w:rPr>
              <w:t>relapsi</w:t>
            </w:r>
            <w:proofErr w:type="spellEnd"/>
            <w:r w:rsidRPr="002B09C8">
              <w:rPr>
                <w:color w:val="000000"/>
                <w:sz w:val="22"/>
                <w:szCs w:val="22"/>
                <w:lang w:val="sr-Latn-ME"/>
              </w:rPr>
              <w:t xml:space="preserve">, EDSS, test fine motorike gornjih ekstremiteta (engl. </w:t>
            </w:r>
            <w:r w:rsidRPr="002B09C8">
              <w:rPr>
                <w:i/>
                <w:color w:val="000000"/>
                <w:sz w:val="22"/>
                <w:szCs w:val="22"/>
                <w:lang w:val="sr-Latn-ME"/>
              </w:rPr>
              <w:t xml:space="preserve">Nine-Hole </w:t>
            </w:r>
            <w:proofErr w:type="spellStart"/>
            <w:r w:rsidRPr="002B09C8">
              <w:rPr>
                <w:i/>
                <w:color w:val="000000"/>
                <w:sz w:val="22"/>
                <w:szCs w:val="22"/>
                <w:lang w:val="sr-Latn-ME"/>
              </w:rPr>
              <w:t>Peg</w:t>
            </w:r>
            <w:proofErr w:type="spellEnd"/>
            <w:r w:rsidRPr="002B09C8">
              <w:rPr>
                <w:i/>
                <w:color w:val="000000"/>
                <w:sz w:val="22"/>
                <w:szCs w:val="22"/>
                <w:lang w:val="sr-Latn-ME"/>
              </w:rPr>
              <w:t xml:space="preserve"> Test</w:t>
            </w:r>
            <w:r w:rsidRPr="002B09C8">
              <w:rPr>
                <w:color w:val="000000"/>
                <w:sz w:val="22"/>
                <w:szCs w:val="22"/>
                <w:lang w:val="sr-Latn-ME"/>
              </w:rPr>
              <w:t>, 9-HPT) , test brzine hodanja (engl</w:t>
            </w:r>
            <w:r w:rsidRPr="002B09C8">
              <w:rPr>
                <w:i/>
                <w:color w:val="000000"/>
                <w:sz w:val="22"/>
                <w:szCs w:val="22"/>
                <w:lang w:val="sr-Latn-ME"/>
              </w:rPr>
              <w:t xml:space="preserve">. </w:t>
            </w:r>
            <w:proofErr w:type="spellStart"/>
            <w:r w:rsidRPr="002B09C8">
              <w:rPr>
                <w:i/>
                <w:color w:val="000000"/>
                <w:sz w:val="22"/>
                <w:szCs w:val="22"/>
                <w:lang w:val="sr-Latn-ME"/>
              </w:rPr>
              <w:t>Timed</w:t>
            </w:r>
            <w:proofErr w:type="spellEnd"/>
            <w:r w:rsidRPr="002B09C8">
              <w:rPr>
                <w:i/>
                <w:color w:val="000000"/>
                <w:sz w:val="22"/>
                <w:szCs w:val="22"/>
                <w:lang w:val="sr-Latn-ME"/>
              </w:rPr>
              <w:t xml:space="preserve"> 25-foot </w:t>
            </w:r>
            <w:proofErr w:type="spellStart"/>
            <w:r w:rsidRPr="002B09C8">
              <w:rPr>
                <w:i/>
                <w:color w:val="000000"/>
                <w:sz w:val="22"/>
                <w:szCs w:val="22"/>
                <w:lang w:val="sr-Latn-ME"/>
              </w:rPr>
              <w:t>Walk</w:t>
            </w:r>
            <w:proofErr w:type="spellEnd"/>
            <w:r w:rsidRPr="002B09C8">
              <w:rPr>
                <w:color w:val="000000"/>
                <w:sz w:val="22"/>
                <w:szCs w:val="22"/>
                <w:lang w:val="sr-Latn-ME"/>
              </w:rPr>
              <w:t xml:space="preserve">, T25FW), test analogije simbola i brojeva (engl. </w:t>
            </w:r>
            <w:proofErr w:type="spellStart"/>
            <w:r w:rsidRPr="002B09C8">
              <w:rPr>
                <w:i/>
                <w:color w:val="000000"/>
                <w:sz w:val="22"/>
                <w:szCs w:val="22"/>
                <w:lang w:val="sr-Latn-ME"/>
              </w:rPr>
              <w:t>Symbol</w:t>
            </w:r>
            <w:proofErr w:type="spellEnd"/>
            <w:r w:rsidRPr="002B09C8">
              <w:rPr>
                <w:i/>
                <w:color w:val="000000"/>
                <w:sz w:val="22"/>
                <w:szCs w:val="22"/>
                <w:lang w:val="sr-Latn-ME"/>
              </w:rPr>
              <w:t xml:space="preserve"> </w:t>
            </w:r>
            <w:proofErr w:type="spellStart"/>
            <w:r w:rsidRPr="002B09C8">
              <w:rPr>
                <w:i/>
                <w:color w:val="000000"/>
                <w:sz w:val="22"/>
                <w:szCs w:val="22"/>
                <w:lang w:val="sr-Latn-ME"/>
              </w:rPr>
              <w:t>Digit</w:t>
            </w:r>
            <w:proofErr w:type="spellEnd"/>
            <w:r w:rsidRPr="002B09C8">
              <w:rPr>
                <w:i/>
                <w:color w:val="000000"/>
                <w:sz w:val="22"/>
                <w:szCs w:val="22"/>
                <w:lang w:val="sr-Latn-ME"/>
              </w:rPr>
              <w:t xml:space="preserve"> </w:t>
            </w:r>
            <w:proofErr w:type="spellStart"/>
            <w:r w:rsidRPr="002B09C8">
              <w:rPr>
                <w:i/>
                <w:color w:val="000000"/>
                <w:sz w:val="22"/>
                <w:szCs w:val="22"/>
                <w:lang w:val="sr-Latn-ME"/>
              </w:rPr>
              <w:t>Modalities</w:t>
            </w:r>
            <w:proofErr w:type="spellEnd"/>
            <w:r w:rsidRPr="002B09C8">
              <w:rPr>
                <w:i/>
                <w:color w:val="000000"/>
                <w:sz w:val="22"/>
                <w:szCs w:val="22"/>
                <w:lang w:val="sr-Latn-ME"/>
              </w:rPr>
              <w:t xml:space="preserve"> Test</w:t>
            </w:r>
            <w:r w:rsidRPr="002B09C8">
              <w:rPr>
                <w:color w:val="000000"/>
                <w:sz w:val="22"/>
                <w:szCs w:val="22"/>
                <w:lang w:val="sr-Latn-ME"/>
              </w:rPr>
              <w:t>, SDMT), upitnik o zadovoljstvu l</w:t>
            </w:r>
            <w:r w:rsidR="00C3386D" w:rsidRPr="002B09C8">
              <w:rPr>
                <w:color w:val="000000"/>
                <w:sz w:val="22"/>
                <w:szCs w:val="22"/>
                <w:lang w:val="sr-Latn-ME"/>
              </w:rPr>
              <w:t>ij</w:t>
            </w:r>
            <w:r w:rsidRPr="002B09C8">
              <w:rPr>
                <w:color w:val="000000"/>
                <w:sz w:val="22"/>
                <w:szCs w:val="22"/>
                <w:lang w:val="sr-Latn-ME"/>
              </w:rPr>
              <w:t xml:space="preserve">ečenjem (engl. </w:t>
            </w:r>
            <w:proofErr w:type="spellStart"/>
            <w:r w:rsidRPr="002B09C8">
              <w:rPr>
                <w:i/>
                <w:color w:val="000000"/>
                <w:sz w:val="22"/>
                <w:szCs w:val="22"/>
                <w:lang w:val="sr-Latn-ME"/>
              </w:rPr>
              <w:t>Treatment</w:t>
            </w:r>
            <w:proofErr w:type="spellEnd"/>
            <w:r w:rsidRPr="002B09C8">
              <w:rPr>
                <w:i/>
                <w:color w:val="000000"/>
                <w:sz w:val="22"/>
                <w:szCs w:val="22"/>
                <w:lang w:val="sr-Latn-ME"/>
              </w:rPr>
              <w:t xml:space="preserve"> </w:t>
            </w:r>
            <w:proofErr w:type="spellStart"/>
            <w:r w:rsidRPr="002B09C8">
              <w:rPr>
                <w:i/>
                <w:color w:val="000000"/>
                <w:sz w:val="22"/>
                <w:szCs w:val="22"/>
                <w:lang w:val="sr-Latn-ME"/>
              </w:rPr>
              <w:t>Satisfaction</w:t>
            </w:r>
            <w:proofErr w:type="spellEnd"/>
            <w:r w:rsidRPr="002B09C8">
              <w:rPr>
                <w:i/>
                <w:color w:val="000000"/>
                <w:sz w:val="22"/>
                <w:szCs w:val="22"/>
                <w:lang w:val="sr-Latn-ME"/>
              </w:rPr>
              <w:t xml:space="preserve"> </w:t>
            </w:r>
            <w:proofErr w:type="spellStart"/>
            <w:r w:rsidRPr="002B09C8">
              <w:rPr>
                <w:i/>
                <w:color w:val="000000"/>
                <w:sz w:val="22"/>
                <w:szCs w:val="22"/>
                <w:lang w:val="sr-Latn-ME"/>
              </w:rPr>
              <w:t>Questionnaire</w:t>
            </w:r>
            <w:proofErr w:type="spellEnd"/>
            <w:r w:rsidRPr="002B09C8">
              <w:rPr>
                <w:i/>
                <w:color w:val="000000"/>
                <w:sz w:val="22"/>
                <w:szCs w:val="22"/>
                <w:lang w:val="sr-Latn-ME"/>
              </w:rPr>
              <w:t xml:space="preserve"> </w:t>
            </w:r>
            <w:proofErr w:type="spellStart"/>
            <w:r w:rsidRPr="002B09C8">
              <w:rPr>
                <w:i/>
                <w:color w:val="000000"/>
                <w:sz w:val="22"/>
                <w:szCs w:val="22"/>
                <w:lang w:val="sr-Latn-ME"/>
              </w:rPr>
              <w:t>for</w:t>
            </w:r>
            <w:proofErr w:type="spellEnd"/>
            <w:r w:rsidRPr="002B09C8">
              <w:rPr>
                <w:i/>
                <w:color w:val="000000"/>
                <w:sz w:val="22"/>
                <w:szCs w:val="22"/>
                <w:lang w:val="sr-Latn-ME"/>
              </w:rPr>
              <w:t xml:space="preserve"> </w:t>
            </w:r>
            <w:proofErr w:type="spellStart"/>
            <w:r w:rsidRPr="002B09C8">
              <w:rPr>
                <w:i/>
                <w:color w:val="000000"/>
                <w:sz w:val="22"/>
                <w:szCs w:val="22"/>
                <w:lang w:val="sr-Latn-ME"/>
              </w:rPr>
              <w:t>Medication</w:t>
            </w:r>
            <w:proofErr w:type="spellEnd"/>
            <w:r w:rsidRPr="002B09C8">
              <w:rPr>
                <w:color w:val="000000"/>
                <w:sz w:val="22"/>
                <w:szCs w:val="22"/>
                <w:lang w:val="sr-Latn-ME"/>
              </w:rPr>
              <w:t xml:space="preserve">, TSQM), klinički opšti utisak (engl. </w:t>
            </w:r>
            <w:proofErr w:type="spellStart"/>
            <w:r w:rsidRPr="002B09C8">
              <w:rPr>
                <w:i/>
                <w:color w:val="000000"/>
                <w:sz w:val="22"/>
                <w:szCs w:val="22"/>
                <w:lang w:val="sr-Latn-ME"/>
              </w:rPr>
              <w:t>Clinical</w:t>
            </w:r>
            <w:proofErr w:type="spellEnd"/>
            <w:r w:rsidRPr="002B09C8">
              <w:rPr>
                <w:i/>
                <w:color w:val="000000"/>
                <w:sz w:val="22"/>
                <w:szCs w:val="22"/>
                <w:lang w:val="sr-Latn-ME"/>
              </w:rPr>
              <w:t xml:space="preserve"> Global </w:t>
            </w:r>
            <w:proofErr w:type="spellStart"/>
            <w:r w:rsidRPr="002B09C8">
              <w:rPr>
                <w:i/>
                <w:color w:val="000000"/>
                <w:sz w:val="22"/>
                <w:szCs w:val="22"/>
                <w:lang w:val="sr-Latn-ME"/>
              </w:rPr>
              <w:t>Impression</w:t>
            </w:r>
            <w:proofErr w:type="spellEnd"/>
            <w:r w:rsidRPr="002B09C8">
              <w:rPr>
                <w:i/>
                <w:color w:val="000000"/>
                <w:sz w:val="22"/>
                <w:szCs w:val="22"/>
                <w:lang w:val="sr-Latn-ME"/>
              </w:rPr>
              <w:t>,</w:t>
            </w:r>
            <w:r w:rsidRPr="002B09C8">
              <w:rPr>
                <w:color w:val="000000"/>
                <w:sz w:val="22"/>
                <w:szCs w:val="22"/>
                <w:lang w:val="sr-Latn-ME"/>
              </w:rPr>
              <w:t xml:space="preserve"> CGI).</w:t>
            </w:r>
            <w:r w:rsidRPr="002B09C8" w:rsidDel="00161220">
              <w:rPr>
                <w:color w:val="000000"/>
                <w:sz w:val="22"/>
                <w:szCs w:val="22"/>
                <w:lang w:val="sr-Latn-ME"/>
              </w:rPr>
              <w:t xml:space="preserve"> </w:t>
            </w:r>
          </w:p>
          <w:p w14:paraId="2936D220" w14:textId="0A6FEFC7" w:rsidR="0029113E" w:rsidRPr="002B09C8" w:rsidRDefault="0029113E" w:rsidP="00C74431">
            <w:pPr>
              <w:widowControl w:val="0"/>
              <w:tabs>
                <w:tab w:val="left" w:pos="567"/>
              </w:tabs>
              <w:jc w:val="both"/>
              <w:rPr>
                <w:color w:val="000000"/>
                <w:sz w:val="22"/>
                <w:szCs w:val="22"/>
                <w:lang w:val="sr-Latn-ME" w:eastAsia="en-US"/>
              </w:rPr>
            </w:pPr>
            <w:r w:rsidRPr="002B09C8">
              <w:rPr>
                <w:color w:val="000000"/>
                <w:sz w:val="22"/>
                <w:szCs w:val="22"/>
                <w:vertAlign w:val="superscript"/>
                <w:lang w:val="sr-Latn-ME"/>
              </w:rPr>
              <w:t xml:space="preserve">b </w:t>
            </w:r>
            <w:r w:rsidRPr="002B09C8">
              <w:rPr>
                <w:color w:val="000000"/>
                <w:sz w:val="22"/>
                <w:szCs w:val="22"/>
                <w:lang w:val="sr-Latn-ME"/>
              </w:rPr>
              <w:t xml:space="preserve"> Proc</w:t>
            </w:r>
            <w:r w:rsidR="00C3386D" w:rsidRPr="002B09C8">
              <w:rPr>
                <w:color w:val="000000"/>
                <w:sz w:val="22"/>
                <w:szCs w:val="22"/>
                <w:lang w:val="sr-Latn-ME"/>
              </w:rPr>
              <w:t>ij</w:t>
            </w:r>
            <w:r w:rsidRPr="002B09C8">
              <w:rPr>
                <w:color w:val="000000"/>
                <w:sz w:val="22"/>
                <w:szCs w:val="22"/>
                <w:lang w:val="sr-Latn-ME"/>
              </w:rPr>
              <w:t xml:space="preserve">enjeno pomoću negativne </w:t>
            </w:r>
            <w:proofErr w:type="spellStart"/>
            <w:r w:rsidRPr="002B09C8">
              <w:rPr>
                <w:color w:val="000000"/>
                <w:sz w:val="22"/>
                <w:szCs w:val="22"/>
                <w:lang w:val="sr-Latn-ME"/>
              </w:rPr>
              <w:t>binomne</w:t>
            </w:r>
            <w:proofErr w:type="spellEnd"/>
            <w:r w:rsidRPr="002B09C8">
              <w:rPr>
                <w:color w:val="000000"/>
                <w:sz w:val="22"/>
                <w:szCs w:val="22"/>
                <w:lang w:val="sr-Latn-ME"/>
              </w:rPr>
              <w:t xml:space="preserve"> regresije sa terapijom kao klasifikacijom i početnom t</w:t>
            </w:r>
            <w:r w:rsidR="00773D3F" w:rsidRPr="002B09C8">
              <w:rPr>
                <w:color w:val="000000"/>
                <w:sz w:val="22"/>
                <w:szCs w:val="22"/>
                <w:lang w:val="sr-Latn-ME"/>
              </w:rPr>
              <w:t>j</w:t>
            </w:r>
            <w:r w:rsidRPr="002B09C8">
              <w:rPr>
                <w:color w:val="000000"/>
                <w:sz w:val="22"/>
                <w:szCs w:val="22"/>
                <w:lang w:val="sr-Latn-ME"/>
              </w:rPr>
              <w:t xml:space="preserve">elesnom masom (≤80 </w:t>
            </w:r>
            <w:proofErr w:type="spellStart"/>
            <w:r w:rsidRPr="002B09C8">
              <w:rPr>
                <w:color w:val="000000"/>
                <w:sz w:val="22"/>
                <w:szCs w:val="22"/>
                <w:lang w:val="sr-Latn-ME"/>
              </w:rPr>
              <w:t>vs</w:t>
            </w:r>
            <w:proofErr w:type="spellEnd"/>
            <w:r w:rsidRPr="002B09C8">
              <w:rPr>
                <w:color w:val="000000"/>
                <w:sz w:val="22"/>
                <w:szCs w:val="22"/>
                <w:lang w:val="sr-Latn-ME"/>
              </w:rPr>
              <w:t xml:space="preserve"> &gt;80 kg), trajanjem izloženosti </w:t>
            </w:r>
            <w:proofErr w:type="spellStart"/>
            <w:r w:rsidRPr="002B09C8">
              <w:rPr>
                <w:color w:val="000000"/>
                <w:sz w:val="22"/>
                <w:szCs w:val="22"/>
                <w:lang w:val="sr-Latn-ME"/>
              </w:rPr>
              <w:t>natalizumabu</w:t>
            </w:r>
            <w:proofErr w:type="spellEnd"/>
            <w:r w:rsidRPr="002B09C8">
              <w:rPr>
                <w:color w:val="000000"/>
                <w:sz w:val="22"/>
                <w:szCs w:val="22"/>
                <w:lang w:val="sr-Latn-ME"/>
              </w:rPr>
              <w:t xml:space="preserve"> na početku  (≤3 naspram &gt;3 godine) i regionu (Severna Amerika, Velika Britanija, Evropa i Izrael i Australija) kao </w:t>
            </w:r>
            <w:proofErr w:type="spellStart"/>
            <w:r w:rsidRPr="002B09C8">
              <w:rPr>
                <w:color w:val="000000"/>
                <w:sz w:val="22"/>
                <w:szCs w:val="22"/>
                <w:lang w:val="sr-Latn-ME"/>
              </w:rPr>
              <w:t>kovarijatama</w:t>
            </w:r>
            <w:proofErr w:type="spellEnd"/>
            <w:r w:rsidRPr="002B09C8">
              <w:rPr>
                <w:color w:val="000000"/>
                <w:sz w:val="22"/>
                <w:szCs w:val="22"/>
                <w:lang w:val="sr-Latn-ME"/>
              </w:rPr>
              <w:t>.</w:t>
            </w:r>
          </w:p>
          <w:p w14:paraId="3727CBCD" w14:textId="3311772F" w:rsidR="0029113E" w:rsidRPr="002B09C8" w:rsidRDefault="0029113E" w:rsidP="00C74431">
            <w:pPr>
              <w:widowControl w:val="0"/>
              <w:tabs>
                <w:tab w:val="left" w:pos="567"/>
              </w:tabs>
              <w:jc w:val="both"/>
              <w:rPr>
                <w:color w:val="000000"/>
                <w:sz w:val="22"/>
                <w:szCs w:val="22"/>
                <w:lang w:val="sr-Latn-ME" w:eastAsia="en-US"/>
              </w:rPr>
            </w:pPr>
            <w:r w:rsidRPr="002B09C8">
              <w:rPr>
                <w:color w:val="000000"/>
                <w:sz w:val="22"/>
                <w:szCs w:val="22"/>
                <w:vertAlign w:val="superscript"/>
                <w:lang w:val="sr-Latn-ME"/>
              </w:rPr>
              <w:t>c</w:t>
            </w:r>
            <w:r w:rsidRPr="002B09C8">
              <w:rPr>
                <w:color w:val="000000"/>
                <w:sz w:val="22"/>
                <w:szCs w:val="22"/>
                <w:lang w:val="sr-Latn-ME"/>
              </w:rPr>
              <w:t xml:space="preserve"> Prim</w:t>
            </w:r>
            <w:r w:rsidR="00C3386D" w:rsidRPr="002B09C8">
              <w:rPr>
                <w:color w:val="000000"/>
                <w:sz w:val="22"/>
                <w:szCs w:val="22"/>
                <w:lang w:val="sr-Latn-ME"/>
              </w:rPr>
              <w:t>ij</w:t>
            </w:r>
            <w:r w:rsidRPr="002B09C8">
              <w:rPr>
                <w:color w:val="000000"/>
                <w:sz w:val="22"/>
                <w:szCs w:val="22"/>
                <w:lang w:val="sr-Latn-ME"/>
              </w:rPr>
              <w:t xml:space="preserve">ećene </w:t>
            </w:r>
            <w:proofErr w:type="spellStart"/>
            <w:r w:rsidRPr="002B09C8">
              <w:rPr>
                <w:color w:val="000000"/>
                <w:sz w:val="22"/>
                <w:szCs w:val="22"/>
                <w:lang w:val="sr-Latn-ME"/>
              </w:rPr>
              <w:t>lezije</w:t>
            </w:r>
            <w:proofErr w:type="spellEnd"/>
            <w:r w:rsidRPr="002B09C8">
              <w:rPr>
                <w:color w:val="000000"/>
                <w:sz w:val="22"/>
                <w:szCs w:val="22"/>
                <w:lang w:val="sr-Latn-ME"/>
              </w:rPr>
              <w:t xml:space="preserve"> su uključene u analizu bez obzira na </w:t>
            </w:r>
            <w:proofErr w:type="spellStart"/>
            <w:r w:rsidRPr="002B09C8">
              <w:rPr>
                <w:color w:val="000000"/>
                <w:sz w:val="22"/>
                <w:szCs w:val="22"/>
                <w:lang w:val="sr-Latn-ME"/>
              </w:rPr>
              <w:t>interkurentne</w:t>
            </w:r>
            <w:proofErr w:type="spellEnd"/>
            <w:r w:rsidRPr="002B09C8">
              <w:rPr>
                <w:color w:val="000000"/>
                <w:sz w:val="22"/>
                <w:szCs w:val="22"/>
                <w:lang w:val="sr-Latn-ME"/>
              </w:rPr>
              <w:t xml:space="preserve"> događaje, a vr</w:t>
            </w:r>
            <w:r w:rsidR="00C3386D" w:rsidRPr="002B09C8">
              <w:rPr>
                <w:color w:val="000000"/>
                <w:sz w:val="22"/>
                <w:szCs w:val="22"/>
                <w:lang w:val="sr-Latn-ME"/>
              </w:rPr>
              <w:t>ij</w:t>
            </w:r>
            <w:r w:rsidRPr="002B09C8">
              <w:rPr>
                <w:color w:val="000000"/>
                <w:sz w:val="22"/>
                <w:szCs w:val="22"/>
                <w:lang w:val="sr-Latn-ME"/>
              </w:rPr>
              <w:t>ednosti koje nedostaju zbog efikasnosti ili bezb</w:t>
            </w:r>
            <w:r w:rsidR="00C3386D" w:rsidRPr="002B09C8">
              <w:rPr>
                <w:color w:val="000000"/>
                <w:sz w:val="22"/>
                <w:szCs w:val="22"/>
                <w:lang w:val="sr-Latn-ME"/>
              </w:rPr>
              <w:t>j</w:t>
            </w:r>
            <w:r w:rsidRPr="002B09C8">
              <w:rPr>
                <w:color w:val="000000"/>
                <w:sz w:val="22"/>
                <w:szCs w:val="22"/>
                <w:lang w:val="sr-Latn-ME"/>
              </w:rPr>
              <w:t>ednosti (6 pacijenata je prebačeno na režim doziranje svake 4 ned</w:t>
            </w:r>
            <w:r w:rsidR="00773D3F" w:rsidRPr="002B09C8">
              <w:rPr>
                <w:color w:val="000000"/>
                <w:sz w:val="22"/>
                <w:szCs w:val="22"/>
                <w:lang w:val="sr-Latn-ME"/>
              </w:rPr>
              <w:t>j</w:t>
            </w:r>
            <w:r w:rsidRPr="002B09C8">
              <w:rPr>
                <w:color w:val="000000"/>
                <w:sz w:val="22"/>
                <w:szCs w:val="22"/>
                <w:lang w:val="sr-Latn-ME"/>
              </w:rPr>
              <w:t>elje i po 1 pacijent na režimu doziranja svakih 6 ned</w:t>
            </w:r>
            <w:r w:rsidR="00A54362" w:rsidRPr="002B09C8">
              <w:rPr>
                <w:color w:val="000000"/>
                <w:sz w:val="22"/>
                <w:szCs w:val="22"/>
                <w:lang w:val="sr-Latn-ME"/>
              </w:rPr>
              <w:t>j</w:t>
            </w:r>
            <w:r w:rsidRPr="002B09C8">
              <w:rPr>
                <w:color w:val="000000"/>
                <w:sz w:val="22"/>
                <w:szCs w:val="22"/>
                <w:lang w:val="sr-Latn-ME"/>
              </w:rPr>
              <w:t>elja i svake 4 ned</w:t>
            </w:r>
            <w:r w:rsidR="00A54362" w:rsidRPr="002B09C8">
              <w:rPr>
                <w:color w:val="000000"/>
                <w:sz w:val="22"/>
                <w:szCs w:val="22"/>
                <w:lang w:val="sr-Latn-ME"/>
              </w:rPr>
              <w:t>j</w:t>
            </w:r>
            <w:r w:rsidRPr="002B09C8">
              <w:rPr>
                <w:color w:val="000000"/>
                <w:sz w:val="22"/>
                <w:szCs w:val="22"/>
                <w:lang w:val="sr-Latn-ME"/>
              </w:rPr>
              <w:t xml:space="preserve">elje je  obustavio terapiju) </w:t>
            </w:r>
            <w:r w:rsidRPr="002B09C8">
              <w:rPr>
                <w:color w:val="000000"/>
                <w:sz w:val="22"/>
                <w:szCs w:val="22"/>
                <w:lang w:val="sr-Latn-ME"/>
              </w:rPr>
              <w:lastRenderedPageBreak/>
              <w:t>imputirane su prema najgorem slučaju  kod pacijenata koji su primali terapiju na isti dan pos</w:t>
            </w:r>
            <w:r w:rsidR="00C3386D" w:rsidRPr="002B09C8">
              <w:rPr>
                <w:color w:val="000000"/>
                <w:sz w:val="22"/>
                <w:szCs w:val="22"/>
                <w:lang w:val="sr-Latn-ME"/>
              </w:rPr>
              <w:t>j</w:t>
            </w:r>
            <w:r w:rsidRPr="002B09C8">
              <w:rPr>
                <w:color w:val="000000"/>
                <w:sz w:val="22"/>
                <w:szCs w:val="22"/>
                <w:lang w:val="sr-Latn-ME"/>
              </w:rPr>
              <w:t>ete, u istoj terapijskoj grupi ili na drugi način višestrukom imputacijom.</w:t>
            </w:r>
          </w:p>
          <w:p w14:paraId="0CC23777" w14:textId="3C2F9F34" w:rsidR="0029113E" w:rsidRPr="002B09C8" w:rsidRDefault="0029113E" w:rsidP="00C74431">
            <w:pPr>
              <w:widowControl w:val="0"/>
              <w:tabs>
                <w:tab w:val="left" w:pos="567"/>
              </w:tabs>
              <w:jc w:val="both"/>
              <w:rPr>
                <w:color w:val="000000"/>
                <w:sz w:val="22"/>
                <w:szCs w:val="22"/>
                <w:lang w:val="sr-Latn-ME"/>
              </w:rPr>
            </w:pPr>
            <w:r w:rsidRPr="002B09C8">
              <w:rPr>
                <w:color w:val="000000"/>
                <w:sz w:val="22"/>
                <w:szCs w:val="22"/>
                <w:lang w:val="sr-Latn-ME"/>
              </w:rPr>
              <w:t xml:space="preserve">*Razlika u broju N/NR </w:t>
            </w:r>
            <w:proofErr w:type="spellStart"/>
            <w:r w:rsidRPr="002B09C8">
              <w:rPr>
                <w:color w:val="000000"/>
                <w:sz w:val="22"/>
                <w:szCs w:val="22"/>
                <w:lang w:val="sr-Latn-ME"/>
              </w:rPr>
              <w:t>lezija</w:t>
            </w:r>
            <w:proofErr w:type="spellEnd"/>
            <w:r w:rsidRPr="002B09C8">
              <w:rPr>
                <w:color w:val="000000"/>
                <w:sz w:val="22"/>
                <w:szCs w:val="22"/>
                <w:lang w:val="sr-Latn-ME"/>
              </w:rPr>
              <w:t xml:space="preserve"> uočena između dv</w:t>
            </w:r>
            <w:r w:rsidR="00A54362" w:rsidRPr="002B09C8">
              <w:rPr>
                <w:color w:val="000000"/>
                <w:sz w:val="22"/>
                <w:szCs w:val="22"/>
                <w:lang w:val="sr-Latn-ME"/>
              </w:rPr>
              <w:t>ij</w:t>
            </w:r>
            <w:r w:rsidRPr="002B09C8">
              <w:rPr>
                <w:color w:val="000000"/>
                <w:sz w:val="22"/>
                <w:szCs w:val="22"/>
                <w:lang w:val="sr-Latn-ME"/>
              </w:rPr>
              <w:t xml:space="preserve">e terapijske grupe nastala je </w:t>
            </w:r>
            <w:proofErr w:type="spellStart"/>
            <w:r w:rsidRPr="002B09C8">
              <w:rPr>
                <w:color w:val="000000"/>
                <w:sz w:val="22"/>
                <w:szCs w:val="22"/>
                <w:lang w:val="sr-Latn-ME"/>
              </w:rPr>
              <w:t>usl</w:t>
            </w:r>
            <w:r w:rsidR="00A54362" w:rsidRPr="002B09C8">
              <w:rPr>
                <w:color w:val="000000"/>
                <w:sz w:val="22"/>
                <w:szCs w:val="22"/>
                <w:lang w:val="sr-Latn-ME"/>
              </w:rPr>
              <w:t>j</w:t>
            </w:r>
            <w:r w:rsidRPr="002B09C8">
              <w:rPr>
                <w:color w:val="000000"/>
                <w:sz w:val="22"/>
                <w:szCs w:val="22"/>
                <w:lang w:val="sr-Latn-ME"/>
              </w:rPr>
              <w:t>ed</w:t>
            </w:r>
            <w:proofErr w:type="spellEnd"/>
            <w:r w:rsidRPr="002B09C8">
              <w:rPr>
                <w:color w:val="000000"/>
                <w:sz w:val="22"/>
                <w:szCs w:val="22"/>
                <w:lang w:val="sr-Latn-ME"/>
              </w:rPr>
              <w:t xml:space="preserve"> velikog broja </w:t>
            </w:r>
            <w:proofErr w:type="spellStart"/>
            <w:r w:rsidRPr="002B09C8">
              <w:rPr>
                <w:color w:val="000000"/>
                <w:sz w:val="22"/>
                <w:szCs w:val="22"/>
                <w:lang w:val="sr-Latn-ME"/>
              </w:rPr>
              <w:t>lezija</w:t>
            </w:r>
            <w:proofErr w:type="spellEnd"/>
            <w:r w:rsidRPr="002B09C8">
              <w:rPr>
                <w:color w:val="000000"/>
                <w:sz w:val="22"/>
                <w:szCs w:val="22"/>
                <w:lang w:val="sr-Latn-ME"/>
              </w:rPr>
              <w:t xml:space="preserve"> utvrđenih kod dva pacijenta u grupi koja je primala l</w:t>
            </w:r>
            <w:r w:rsidR="00C3386D" w:rsidRPr="002B09C8">
              <w:rPr>
                <w:color w:val="000000"/>
                <w:sz w:val="22"/>
                <w:szCs w:val="22"/>
                <w:lang w:val="sr-Latn-ME"/>
              </w:rPr>
              <w:t>ij</w:t>
            </w:r>
            <w:r w:rsidRPr="002B09C8">
              <w:rPr>
                <w:color w:val="000000"/>
                <w:sz w:val="22"/>
                <w:szCs w:val="22"/>
                <w:lang w:val="sr-Latn-ME"/>
              </w:rPr>
              <w:t>ek svakih 6 ned</w:t>
            </w:r>
            <w:r w:rsidR="00A54362" w:rsidRPr="002B09C8">
              <w:rPr>
                <w:color w:val="000000"/>
                <w:sz w:val="22"/>
                <w:szCs w:val="22"/>
                <w:lang w:val="sr-Latn-ME"/>
              </w:rPr>
              <w:t>j</w:t>
            </w:r>
            <w:r w:rsidRPr="002B09C8">
              <w:rPr>
                <w:color w:val="000000"/>
                <w:sz w:val="22"/>
                <w:szCs w:val="22"/>
                <w:lang w:val="sr-Latn-ME"/>
              </w:rPr>
              <w:t xml:space="preserve">elja – kod jednog pacijenta </w:t>
            </w:r>
            <w:proofErr w:type="spellStart"/>
            <w:r w:rsidRPr="002B09C8">
              <w:rPr>
                <w:color w:val="000000"/>
                <w:sz w:val="22"/>
                <w:szCs w:val="22"/>
                <w:lang w:val="sr-Latn-ME"/>
              </w:rPr>
              <w:t>lezije</w:t>
            </w:r>
            <w:proofErr w:type="spellEnd"/>
            <w:r w:rsidRPr="002B09C8">
              <w:rPr>
                <w:color w:val="000000"/>
                <w:sz w:val="22"/>
                <w:szCs w:val="22"/>
                <w:lang w:val="sr-Latn-ME"/>
              </w:rPr>
              <w:t xml:space="preserve"> su se pojavile tri m</w:t>
            </w:r>
            <w:r w:rsidR="00C3386D" w:rsidRPr="002B09C8">
              <w:rPr>
                <w:color w:val="000000"/>
                <w:sz w:val="22"/>
                <w:szCs w:val="22"/>
                <w:lang w:val="sr-Latn-ME"/>
              </w:rPr>
              <w:t>j</w:t>
            </w:r>
            <w:r w:rsidRPr="002B09C8">
              <w:rPr>
                <w:color w:val="000000"/>
                <w:sz w:val="22"/>
                <w:szCs w:val="22"/>
                <w:lang w:val="sr-Latn-ME"/>
              </w:rPr>
              <w:t>eseca nakon prestanka l</w:t>
            </w:r>
            <w:r w:rsidR="00C3386D" w:rsidRPr="002B09C8">
              <w:rPr>
                <w:color w:val="000000"/>
                <w:sz w:val="22"/>
                <w:szCs w:val="22"/>
                <w:lang w:val="sr-Latn-ME"/>
              </w:rPr>
              <w:t>ij</w:t>
            </w:r>
            <w:r w:rsidRPr="002B09C8">
              <w:rPr>
                <w:color w:val="000000"/>
                <w:sz w:val="22"/>
                <w:szCs w:val="22"/>
                <w:lang w:val="sr-Latn-ME"/>
              </w:rPr>
              <w:t xml:space="preserve">ečenja, a kod drugog je </w:t>
            </w:r>
            <w:proofErr w:type="spellStart"/>
            <w:r w:rsidRPr="002B09C8">
              <w:rPr>
                <w:color w:val="000000"/>
                <w:sz w:val="22"/>
                <w:szCs w:val="22"/>
                <w:lang w:val="sr-Latn-ME"/>
              </w:rPr>
              <w:t>dijagnostikovan</w:t>
            </w:r>
            <w:proofErr w:type="spellEnd"/>
            <w:r w:rsidRPr="002B09C8">
              <w:rPr>
                <w:color w:val="000000"/>
                <w:sz w:val="22"/>
                <w:szCs w:val="22"/>
                <w:lang w:val="sr-Latn-ME"/>
              </w:rPr>
              <w:t xml:space="preserve"> </w:t>
            </w:r>
            <w:proofErr w:type="spellStart"/>
            <w:r w:rsidRPr="002B09C8">
              <w:rPr>
                <w:color w:val="000000"/>
                <w:sz w:val="22"/>
                <w:szCs w:val="22"/>
                <w:lang w:val="sr-Latn-ME"/>
              </w:rPr>
              <w:t>asimptomatski</w:t>
            </w:r>
            <w:proofErr w:type="spellEnd"/>
            <w:r w:rsidRPr="002B09C8">
              <w:rPr>
                <w:color w:val="000000"/>
                <w:sz w:val="22"/>
                <w:szCs w:val="22"/>
                <w:lang w:val="sr-Latn-ME"/>
              </w:rPr>
              <w:t xml:space="preserve"> PML u 72. ned</w:t>
            </w:r>
            <w:r w:rsidR="00A54362" w:rsidRPr="002B09C8">
              <w:rPr>
                <w:color w:val="000000"/>
                <w:sz w:val="22"/>
                <w:szCs w:val="22"/>
                <w:lang w:val="sr-Latn-ME"/>
              </w:rPr>
              <w:t>j</w:t>
            </w:r>
            <w:r w:rsidRPr="002B09C8">
              <w:rPr>
                <w:color w:val="000000"/>
                <w:sz w:val="22"/>
                <w:szCs w:val="22"/>
                <w:lang w:val="sr-Latn-ME"/>
              </w:rPr>
              <w:t>elji.</w:t>
            </w:r>
          </w:p>
          <w:p w14:paraId="11D6885B" w14:textId="0C73E65C" w:rsidR="0029113E" w:rsidRPr="002B09C8" w:rsidRDefault="0029113E">
            <w:pPr>
              <w:widowControl w:val="0"/>
              <w:tabs>
                <w:tab w:val="left" w:pos="567"/>
              </w:tabs>
              <w:jc w:val="both"/>
              <w:rPr>
                <w:bCs/>
                <w:sz w:val="22"/>
                <w:szCs w:val="22"/>
                <w:lang w:val="sr-Latn-ME" w:eastAsia="en-US"/>
              </w:rPr>
            </w:pPr>
            <w:r w:rsidRPr="002B09C8">
              <w:rPr>
                <w:color w:val="000000"/>
                <w:sz w:val="22"/>
                <w:szCs w:val="22"/>
                <w:lang w:val="sr-Latn-ME"/>
              </w:rPr>
              <w:t>**</w:t>
            </w:r>
            <w:proofErr w:type="spellStart"/>
            <w:r w:rsidRPr="002B09C8">
              <w:rPr>
                <w:color w:val="000000"/>
                <w:sz w:val="22"/>
                <w:szCs w:val="22"/>
                <w:lang w:val="sr-Latn-ME"/>
              </w:rPr>
              <w:t>Relapsi</w:t>
            </w:r>
            <w:proofErr w:type="spellEnd"/>
            <w:r w:rsidRPr="002B09C8">
              <w:rPr>
                <w:color w:val="000000"/>
                <w:sz w:val="22"/>
                <w:szCs w:val="22"/>
                <w:lang w:val="sr-Latn-ME"/>
              </w:rPr>
              <w:t xml:space="preserve"> – klinički </w:t>
            </w:r>
            <w:proofErr w:type="spellStart"/>
            <w:r w:rsidRPr="002B09C8">
              <w:rPr>
                <w:color w:val="000000"/>
                <w:sz w:val="22"/>
                <w:szCs w:val="22"/>
                <w:lang w:val="sr-Latn-ME"/>
              </w:rPr>
              <w:t>relapsi</w:t>
            </w:r>
            <w:proofErr w:type="spellEnd"/>
            <w:r w:rsidRPr="002B09C8">
              <w:rPr>
                <w:color w:val="000000"/>
                <w:sz w:val="22"/>
                <w:szCs w:val="22"/>
                <w:lang w:val="sr-Latn-ME"/>
              </w:rPr>
              <w:t xml:space="preserve"> su proc</w:t>
            </w:r>
            <w:r w:rsidR="00C3386D" w:rsidRPr="002B09C8">
              <w:rPr>
                <w:color w:val="000000"/>
                <w:sz w:val="22"/>
                <w:szCs w:val="22"/>
                <w:lang w:val="sr-Latn-ME"/>
              </w:rPr>
              <w:t>ij</w:t>
            </w:r>
            <w:r w:rsidRPr="002B09C8">
              <w:rPr>
                <w:color w:val="000000"/>
                <w:sz w:val="22"/>
                <w:szCs w:val="22"/>
                <w:lang w:val="sr-Latn-ME"/>
              </w:rPr>
              <w:t>enjeni kao novi ili rekurentni neurološki simpto</w:t>
            </w:r>
            <w:r w:rsidR="00A54362" w:rsidRPr="002B09C8">
              <w:rPr>
                <w:color w:val="000000"/>
                <w:sz w:val="22"/>
                <w:szCs w:val="22"/>
                <w:lang w:val="sr-Latn-ME"/>
              </w:rPr>
              <w:t>m</w:t>
            </w:r>
            <w:r w:rsidRPr="002B09C8">
              <w:rPr>
                <w:color w:val="000000"/>
                <w:sz w:val="22"/>
                <w:szCs w:val="22"/>
                <w:lang w:val="sr-Latn-ME"/>
              </w:rPr>
              <w:t>i koji ni</w:t>
            </w:r>
            <w:r w:rsidR="00C3386D" w:rsidRPr="002B09C8">
              <w:rPr>
                <w:color w:val="000000"/>
                <w:sz w:val="22"/>
                <w:szCs w:val="22"/>
                <w:lang w:val="sr-Latn-ME"/>
              </w:rPr>
              <w:t>je</w:t>
            </w:r>
            <w:r w:rsidRPr="002B09C8">
              <w:rPr>
                <w:color w:val="000000"/>
                <w:sz w:val="22"/>
                <w:szCs w:val="22"/>
                <w:lang w:val="sr-Latn-ME"/>
              </w:rPr>
              <w:t>su povezani sa povišenom temperaturom ili infekcijom, a trajali su najmanje 24 časa.</w:t>
            </w:r>
          </w:p>
        </w:tc>
      </w:tr>
    </w:tbl>
    <w:p w14:paraId="4DBF8289" w14:textId="77777777" w:rsidR="002E37A5" w:rsidRPr="002B09C8" w:rsidRDefault="002E37A5" w:rsidP="00C74431">
      <w:pPr>
        <w:widowControl w:val="0"/>
        <w:tabs>
          <w:tab w:val="left" w:pos="540"/>
          <w:tab w:val="left" w:pos="569"/>
        </w:tabs>
        <w:jc w:val="both"/>
        <w:rPr>
          <w:b/>
          <w:bCs/>
          <w:sz w:val="22"/>
          <w:szCs w:val="22"/>
          <w:lang w:val="sr-Latn-ME"/>
        </w:rPr>
      </w:pPr>
    </w:p>
    <w:p w14:paraId="46FFB2D6"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5.2. </w:t>
      </w:r>
      <w:r w:rsidR="00480FB1" w:rsidRPr="002B09C8">
        <w:rPr>
          <w:b/>
          <w:bCs/>
          <w:sz w:val="22"/>
          <w:szCs w:val="22"/>
          <w:lang w:val="sr-Latn-ME"/>
        </w:rPr>
        <w:tab/>
      </w:r>
      <w:proofErr w:type="spellStart"/>
      <w:r w:rsidRPr="002B09C8">
        <w:rPr>
          <w:b/>
          <w:bCs/>
          <w:sz w:val="22"/>
          <w:szCs w:val="22"/>
          <w:lang w:val="sr-Latn-ME"/>
        </w:rPr>
        <w:t>Farmakokinetički</w:t>
      </w:r>
      <w:proofErr w:type="spellEnd"/>
      <w:r w:rsidRPr="002B09C8">
        <w:rPr>
          <w:b/>
          <w:bCs/>
          <w:sz w:val="22"/>
          <w:szCs w:val="22"/>
          <w:lang w:val="sr-Latn-ME"/>
        </w:rPr>
        <w:t xml:space="preserve"> podaci</w:t>
      </w:r>
      <w:r w:rsidR="003A7059" w:rsidRPr="002B09C8">
        <w:rPr>
          <w:b/>
          <w:bCs/>
          <w:sz w:val="22"/>
          <w:szCs w:val="22"/>
          <w:lang w:val="sr-Latn-ME"/>
        </w:rPr>
        <w:t xml:space="preserve"> </w:t>
      </w:r>
    </w:p>
    <w:p w14:paraId="5A7C9940" w14:textId="77777777" w:rsidR="0072020E" w:rsidRPr="002B09C8" w:rsidRDefault="0072020E" w:rsidP="00C74431">
      <w:pPr>
        <w:widowControl w:val="0"/>
        <w:tabs>
          <w:tab w:val="left" w:pos="540"/>
          <w:tab w:val="left" w:pos="569"/>
        </w:tabs>
        <w:jc w:val="both"/>
        <w:rPr>
          <w:bCs/>
          <w:sz w:val="22"/>
          <w:szCs w:val="22"/>
          <w:lang w:val="sr-Latn-ME"/>
        </w:rPr>
      </w:pPr>
    </w:p>
    <w:p w14:paraId="79102076" w14:textId="74A41994" w:rsidR="008D0B39" w:rsidRPr="002B09C8" w:rsidRDefault="008D0B39" w:rsidP="00C74431">
      <w:pPr>
        <w:widowControl w:val="0"/>
        <w:jc w:val="both"/>
        <w:rPr>
          <w:sz w:val="22"/>
          <w:szCs w:val="22"/>
          <w:lang w:val="sr-Latn-ME"/>
        </w:rPr>
      </w:pPr>
      <w:r w:rsidRPr="002B09C8">
        <w:rPr>
          <w:sz w:val="22"/>
          <w:szCs w:val="22"/>
          <w:lang w:val="sr-Latn-ME"/>
        </w:rPr>
        <w:t xml:space="preserve">Nakon ponovljene </w:t>
      </w:r>
      <w:proofErr w:type="spellStart"/>
      <w:r w:rsidRPr="002B09C8">
        <w:rPr>
          <w:sz w:val="22"/>
          <w:szCs w:val="22"/>
          <w:lang w:val="sr-Latn-ME"/>
        </w:rPr>
        <w:t>intravenske</w:t>
      </w:r>
      <w:proofErr w:type="spellEnd"/>
      <w:r w:rsidRPr="002B09C8">
        <w:rPr>
          <w:sz w:val="22"/>
          <w:szCs w:val="22"/>
          <w:lang w:val="sr-Latn-ME"/>
        </w:rPr>
        <w:t xml:space="preserve"> primjene doze </w:t>
      </w:r>
      <w:proofErr w:type="spellStart"/>
      <w:r w:rsidRPr="002B09C8">
        <w:rPr>
          <w:sz w:val="22"/>
          <w:szCs w:val="22"/>
          <w:lang w:val="sr-Latn-ME"/>
        </w:rPr>
        <w:t>natalizumaba</w:t>
      </w:r>
      <w:proofErr w:type="spellEnd"/>
      <w:r w:rsidRPr="002B09C8">
        <w:rPr>
          <w:sz w:val="22"/>
          <w:szCs w:val="22"/>
          <w:lang w:val="sr-Latn-ME"/>
        </w:rPr>
        <w:t xml:space="preserve"> od 300 mg kod pacijenata sa MS-om, srednja najveća primijećena koncentracija u serumu bila je 110 ± 52 </w:t>
      </w:r>
      <w:proofErr w:type="spellStart"/>
      <w:r w:rsidRPr="002B09C8">
        <w:rPr>
          <w:sz w:val="22"/>
          <w:szCs w:val="22"/>
          <w:lang w:val="sr-Latn-ME"/>
        </w:rPr>
        <w:t>μg</w:t>
      </w:r>
      <w:proofErr w:type="spellEnd"/>
      <w:r w:rsidRPr="002B09C8">
        <w:rPr>
          <w:sz w:val="22"/>
          <w:szCs w:val="22"/>
          <w:lang w:val="sr-Latn-ME"/>
        </w:rPr>
        <w:t xml:space="preserve">/ml. Srednji prosjek najniže koncentracije </w:t>
      </w:r>
      <w:proofErr w:type="spellStart"/>
      <w:r w:rsidRPr="002B09C8">
        <w:rPr>
          <w:sz w:val="22"/>
          <w:szCs w:val="22"/>
          <w:lang w:val="sr-Latn-ME"/>
        </w:rPr>
        <w:t>natalizumaba</w:t>
      </w:r>
      <w:proofErr w:type="spellEnd"/>
      <w:r w:rsidRPr="002B09C8">
        <w:rPr>
          <w:sz w:val="22"/>
          <w:szCs w:val="22"/>
          <w:lang w:val="sr-Latn-ME"/>
        </w:rPr>
        <w:t xml:space="preserve"> u stanju dinamičke ravnoteže u periodu doziranja bilo je u rasponu od 23 </w:t>
      </w:r>
      <w:proofErr w:type="spellStart"/>
      <w:r w:rsidRPr="002B09C8">
        <w:rPr>
          <w:sz w:val="22"/>
          <w:szCs w:val="22"/>
          <w:lang w:val="sr-Latn-ME"/>
        </w:rPr>
        <w:t>μg</w:t>
      </w:r>
      <w:proofErr w:type="spellEnd"/>
      <w:r w:rsidRPr="002B09C8">
        <w:rPr>
          <w:sz w:val="22"/>
          <w:szCs w:val="22"/>
          <w:lang w:val="sr-Latn-ME"/>
        </w:rPr>
        <w:t xml:space="preserve">/ml do 29 </w:t>
      </w:r>
      <w:proofErr w:type="spellStart"/>
      <w:r w:rsidRPr="002B09C8">
        <w:rPr>
          <w:sz w:val="22"/>
          <w:szCs w:val="22"/>
          <w:lang w:val="sr-Latn-ME"/>
        </w:rPr>
        <w:t>μg</w:t>
      </w:r>
      <w:proofErr w:type="spellEnd"/>
      <w:r w:rsidRPr="002B09C8">
        <w:rPr>
          <w:sz w:val="22"/>
          <w:szCs w:val="22"/>
          <w:lang w:val="sr-Latn-ME"/>
        </w:rPr>
        <w:t>/ml</w:t>
      </w:r>
      <w:r w:rsidR="00FC425D" w:rsidRPr="002B09C8">
        <w:rPr>
          <w:sz w:val="22"/>
          <w:szCs w:val="22"/>
          <w:lang w:val="sr-Latn-ME"/>
        </w:rPr>
        <w:t xml:space="preserve"> prilikom režima doziranja svake 4 ned</w:t>
      </w:r>
      <w:r w:rsidR="00A54362" w:rsidRPr="002B09C8">
        <w:rPr>
          <w:sz w:val="22"/>
          <w:szCs w:val="22"/>
          <w:lang w:val="sr-Latn-ME"/>
        </w:rPr>
        <w:t>j</w:t>
      </w:r>
      <w:r w:rsidR="00FC425D" w:rsidRPr="002B09C8">
        <w:rPr>
          <w:sz w:val="22"/>
          <w:szCs w:val="22"/>
          <w:lang w:val="sr-Latn-ME"/>
        </w:rPr>
        <w:t>elje</w:t>
      </w:r>
      <w:r w:rsidRPr="002B09C8">
        <w:rPr>
          <w:sz w:val="22"/>
          <w:szCs w:val="22"/>
          <w:lang w:val="sr-Latn-ME"/>
        </w:rPr>
        <w:t xml:space="preserve">. </w:t>
      </w:r>
      <w:r w:rsidR="00FC425D" w:rsidRPr="002B09C8">
        <w:rPr>
          <w:sz w:val="22"/>
          <w:szCs w:val="22"/>
          <w:lang w:val="sr-Latn-ME"/>
        </w:rPr>
        <w:t>U bilo kom trenutku srednja vr</w:t>
      </w:r>
      <w:r w:rsidR="00C3386D" w:rsidRPr="002B09C8">
        <w:rPr>
          <w:sz w:val="22"/>
          <w:szCs w:val="22"/>
          <w:lang w:val="sr-Latn-ME"/>
        </w:rPr>
        <w:t>ij</w:t>
      </w:r>
      <w:r w:rsidR="00FC425D" w:rsidRPr="002B09C8">
        <w:rPr>
          <w:sz w:val="22"/>
          <w:szCs w:val="22"/>
          <w:lang w:val="sr-Latn-ME"/>
        </w:rPr>
        <w:t>ednost najniže koncentracije za režim doziranja svakih 6 ned</w:t>
      </w:r>
      <w:r w:rsidR="00A54362" w:rsidRPr="002B09C8">
        <w:rPr>
          <w:sz w:val="22"/>
          <w:szCs w:val="22"/>
          <w:lang w:val="sr-Latn-ME"/>
        </w:rPr>
        <w:t>j</w:t>
      </w:r>
      <w:r w:rsidR="00FC425D" w:rsidRPr="002B09C8">
        <w:rPr>
          <w:sz w:val="22"/>
          <w:szCs w:val="22"/>
          <w:lang w:val="sr-Latn-ME"/>
        </w:rPr>
        <w:t>elja bila je približno 60 do 70% niža od one iz režima doziranja svake 4 ned</w:t>
      </w:r>
      <w:r w:rsidR="00A54362" w:rsidRPr="002B09C8">
        <w:rPr>
          <w:sz w:val="22"/>
          <w:szCs w:val="22"/>
          <w:lang w:val="sr-Latn-ME"/>
        </w:rPr>
        <w:t>j</w:t>
      </w:r>
      <w:r w:rsidR="00FC425D" w:rsidRPr="002B09C8">
        <w:rPr>
          <w:sz w:val="22"/>
          <w:szCs w:val="22"/>
          <w:lang w:val="sr-Latn-ME"/>
        </w:rPr>
        <w:t xml:space="preserve">elje. </w:t>
      </w:r>
      <w:r w:rsidRPr="002B09C8">
        <w:rPr>
          <w:sz w:val="22"/>
          <w:szCs w:val="22"/>
          <w:lang w:val="sr-Latn-ME"/>
        </w:rPr>
        <w:t>Predviđeno vrijeme potrebno za uspostavljanje stanja dinamičke ravnoteže bilo je oko 24 sedmice.</w:t>
      </w:r>
    </w:p>
    <w:p w14:paraId="7ABA4480" w14:textId="77777777" w:rsidR="008D0B39" w:rsidRPr="002B09C8" w:rsidRDefault="008D0B39" w:rsidP="00C74431">
      <w:pPr>
        <w:widowControl w:val="0"/>
        <w:jc w:val="both"/>
        <w:rPr>
          <w:sz w:val="22"/>
          <w:szCs w:val="22"/>
          <w:lang w:val="sr-Latn-ME"/>
        </w:rPr>
      </w:pPr>
    </w:p>
    <w:p w14:paraId="5A28593D" w14:textId="4EB1D30D" w:rsidR="008D0B39" w:rsidRPr="002B09C8" w:rsidRDefault="00FC425D" w:rsidP="00C74431">
      <w:pPr>
        <w:widowControl w:val="0"/>
        <w:jc w:val="both"/>
        <w:rPr>
          <w:sz w:val="22"/>
          <w:szCs w:val="22"/>
          <w:lang w:val="sr-Latn-ME"/>
        </w:rPr>
      </w:pPr>
      <w:r w:rsidRPr="002B09C8">
        <w:rPr>
          <w:sz w:val="22"/>
          <w:szCs w:val="22"/>
          <w:lang w:val="sr-Latn-ME"/>
        </w:rPr>
        <w:t>P</w:t>
      </w:r>
      <w:r w:rsidR="008D0B39" w:rsidRPr="002B09C8">
        <w:rPr>
          <w:sz w:val="22"/>
          <w:szCs w:val="22"/>
          <w:lang w:val="sr-Latn-ME"/>
        </w:rPr>
        <w:t xml:space="preserve">opulaciona </w:t>
      </w:r>
      <w:proofErr w:type="spellStart"/>
      <w:r w:rsidR="008D0B39" w:rsidRPr="002B09C8">
        <w:rPr>
          <w:sz w:val="22"/>
          <w:szCs w:val="22"/>
          <w:lang w:val="sr-Latn-ME"/>
        </w:rPr>
        <w:t>farmakokinetička</w:t>
      </w:r>
      <w:proofErr w:type="spellEnd"/>
      <w:r w:rsidR="008D0B39" w:rsidRPr="002B09C8">
        <w:rPr>
          <w:sz w:val="22"/>
          <w:szCs w:val="22"/>
          <w:lang w:val="sr-Latn-ME"/>
        </w:rPr>
        <w:t xml:space="preserve"> analiza </w:t>
      </w:r>
      <w:r w:rsidRPr="002B09C8">
        <w:rPr>
          <w:sz w:val="22"/>
          <w:szCs w:val="22"/>
          <w:lang w:val="sr-Latn-ME"/>
        </w:rPr>
        <w:t>uključivala je 12 studija i 1781 pacijenata</w:t>
      </w:r>
      <w:r w:rsidR="008D0B39" w:rsidRPr="002B09C8">
        <w:rPr>
          <w:sz w:val="22"/>
          <w:szCs w:val="22"/>
          <w:lang w:val="sr-Latn-ME"/>
        </w:rPr>
        <w:t xml:space="preserve"> koji su primali doze u rasponu od 1 do 6mg/kg i fiksne doze od 150/300 mg. </w:t>
      </w:r>
    </w:p>
    <w:p w14:paraId="58F45E03" w14:textId="77777777" w:rsidR="008D0B39" w:rsidRPr="002B09C8" w:rsidRDefault="008D0B39" w:rsidP="00C74431">
      <w:pPr>
        <w:widowControl w:val="0"/>
        <w:jc w:val="both"/>
        <w:rPr>
          <w:sz w:val="22"/>
          <w:szCs w:val="22"/>
          <w:lang w:val="sr-Latn-ME"/>
        </w:rPr>
      </w:pPr>
    </w:p>
    <w:p w14:paraId="57B3445B" w14:textId="3AC2D537" w:rsidR="00FC425D" w:rsidRPr="002B09C8" w:rsidRDefault="00FC425D" w:rsidP="00C74431">
      <w:pPr>
        <w:widowControl w:val="0"/>
        <w:jc w:val="both"/>
        <w:rPr>
          <w:sz w:val="22"/>
          <w:szCs w:val="22"/>
          <w:u w:val="single"/>
          <w:lang w:val="sr-Latn-ME"/>
        </w:rPr>
      </w:pPr>
      <w:r w:rsidRPr="002B09C8">
        <w:rPr>
          <w:sz w:val="22"/>
          <w:szCs w:val="22"/>
          <w:u w:val="single"/>
          <w:lang w:val="sr-Latn-ME"/>
        </w:rPr>
        <w:t>Distribucija</w:t>
      </w:r>
    </w:p>
    <w:p w14:paraId="5EC05251" w14:textId="77777777" w:rsidR="00A7477B" w:rsidRPr="002B09C8" w:rsidRDefault="00A7477B" w:rsidP="00C74431">
      <w:pPr>
        <w:widowControl w:val="0"/>
        <w:jc w:val="both"/>
        <w:rPr>
          <w:sz w:val="22"/>
          <w:szCs w:val="22"/>
          <w:lang w:val="sr-Latn-ME"/>
        </w:rPr>
      </w:pPr>
    </w:p>
    <w:p w14:paraId="3F27608B" w14:textId="79510743" w:rsidR="00A7477B" w:rsidRPr="002B09C8" w:rsidRDefault="00A7477B" w:rsidP="00C74431">
      <w:pPr>
        <w:widowControl w:val="0"/>
        <w:jc w:val="both"/>
        <w:rPr>
          <w:sz w:val="22"/>
          <w:szCs w:val="22"/>
          <w:lang w:val="sr-Latn-ME"/>
        </w:rPr>
      </w:pPr>
      <w:proofErr w:type="spellStart"/>
      <w:r w:rsidRPr="002B09C8">
        <w:rPr>
          <w:sz w:val="22"/>
          <w:szCs w:val="22"/>
          <w:lang w:val="sr-Latn-ME"/>
        </w:rPr>
        <w:t>Medijana</w:t>
      </w:r>
      <w:proofErr w:type="spellEnd"/>
      <w:r w:rsidRPr="002B09C8">
        <w:rPr>
          <w:sz w:val="22"/>
          <w:szCs w:val="22"/>
          <w:lang w:val="sr-Latn-ME"/>
        </w:rPr>
        <w:t xml:space="preserve"> volumena distribucije u stanju dinamičke ravnoteže bila je 5,96 </w:t>
      </w:r>
      <w:r w:rsidR="00C3386D" w:rsidRPr="002B09C8">
        <w:rPr>
          <w:sz w:val="22"/>
          <w:szCs w:val="22"/>
          <w:lang w:val="sr-Latn-ME"/>
        </w:rPr>
        <w:t>l</w:t>
      </w:r>
      <w:r w:rsidRPr="002B09C8">
        <w:rPr>
          <w:sz w:val="22"/>
          <w:szCs w:val="22"/>
          <w:lang w:val="sr-Latn-ME"/>
        </w:rPr>
        <w:t xml:space="preserve"> (</w:t>
      </w:r>
      <w:r w:rsidR="00FE1D22" w:rsidRPr="002B09C8">
        <w:rPr>
          <w:sz w:val="22"/>
          <w:szCs w:val="22"/>
          <w:lang w:val="sr-Latn-ME"/>
        </w:rPr>
        <w:t>5,59</w:t>
      </w:r>
      <w:r w:rsidRPr="002B09C8">
        <w:rPr>
          <w:sz w:val="22"/>
          <w:szCs w:val="22"/>
          <w:lang w:val="sr-Latn-ME"/>
        </w:rPr>
        <w:t>-6,38 L, 95% interval pouzdanosti).</w:t>
      </w:r>
    </w:p>
    <w:p w14:paraId="22A1FEDB" w14:textId="77777777" w:rsidR="00A7477B" w:rsidRPr="002B09C8" w:rsidRDefault="00A7477B" w:rsidP="00C74431">
      <w:pPr>
        <w:widowControl w:val="0"/>
        <w:jc w:val="both"/>
        <w:rPr>
          <w:sz w:val="22"/>
          <w:szCs w:val="22"/>
          <w:lang w:val="sr-Latn-ME"/>
        </w:rPr>
      </w:pPr>
    </w:p>
    <w:p w14:paraId="134CAE51" w14:textId="60E196C7" w:rsidR="00A7477B" w:rsidRPr="002B09C8" w:rsidRDefault="00A7477B" w:rsidP="00C74431">
      <w:pPr>
        <w:widowControl w:val="0"/>
        <w:jc w:val="both"/>
        <w:rPr>
          <w:sz w:val="22"/>
          <w:szCs w:val="22"/>
          <w:u w:val="single"/>
          <w:lang w:val="sr-Latn-ME"/>
        </w:rPr>
      </w:pPr>
      <w:r w:rsidRPr="002B09C8">
        <w:rPr>
          <w:sz w:val="22"/>
          <w:szCs w:val="22"/>
          <w:u w:val="single"/>
          <w:lang w:val="sr-Latn-ME"/>
        </w:rPr>
        <w:t>Eliminacija</w:t>
      </w:r>
    </w:p>
    <w:p w14:paraId="2E550947" w14:textId="77777777" w:rsidR="00FC425D" w:rsidRPr="002B09C8" w:rsidRDefault="00FC425D" w:rsidP="00C74431">
      <w:pPr>
        <w:widowControl w:val="0"/>
        <w:jc w:val="both"/>
        <w:rPr>
          <w:sz w:val="22"/>
          <w:szCs w:val="22"/>
          <w:lang w:val="sr-Latn-ME"/>
        </w:rPr>
      </w:pPr>
    </w:p>
    <w:p w14:paraId="1882652C" w14:textId="549C445F" w:rsidR="00A7477B" w:rsidRPr="002B09C8" w:rsidRDefault="008D0B39" w:rsidP="00C74431">
      <w:pPr>
        <w:widowControl w:val="0"/>
        <w:jc w:val="both"/>
        <w:rPr>
          <w:sz w:val="22"/>
          <w:szCs w:val="22"/>
          <w:lang w:val="sr-Latn-ME"/>
        </w:rPr>
      </w:pPr>
      <w:r w:rsidRPr="002B09C8">
        <w:rPr>
          <w:sz w:val="22"/>
          <w:szCs w:val="22"/>
          <w:lang w:val="sr-Latn-ME"/>
        </w:rPr>
        <w:t>Proc</w:t>
      </w:r>
      <w:r w:rsidR="00C3386D" w:rsidRPr="002B09C8">
        <w:rPr>
          <w:sz w:val="22"/>
          <w:szCs w:val="22"/>
          <w:lang w:val="sr-Latn-ME"/>
        </w:rPr>
        <w:t>ij</w:t>
      </w:r>
      <w:r w:rsidRPr="002B09C8">
        <w:rPr>
          <w:sz w:val="22"/>
          <w:szCs w:val="22"/>
          <w:lang w:val="sr-Latn-ME"/>
        </w:rPr>
        <w:t>en</w:t>
      </w:r>
      <w:r w:rsidR="00A7477B" w:rsidRPr="002B09C8">
        <w:rPr>
          <w:sz w:val="22"/>
          <w:szCs w:val="22"/>
          <w:lang w:val="sr-Latn-ME"/>
        </w:rPr>
        <w:t>jen</w:t>
      </w:r>
      <w:r w:rsidRPr="002B09C8">
        <w:rPr>
          <w:sz w:val="22"/>
          <w:szCs w:val="22"/>
          <w:lang w:val="sr-Latn-ME"/>
        </w:rPr>
        <w:t xml:space="preserve">a </w:t>
      </w:r>
      <w:proofErr w:type="spellStart"/>
      <w:r w:rsidRPr="002B09C8">
        <w:rPr>
          <w:sz w:val="22"/>
          <w:szCs w:val="22"/>
          <w:lang w:val="sr-Latn-ME"/>
        </w:rPr>
        <w:t>medijana</w:t>
      </w:r>
      <w:proofErr w:type="spellEnd"/>
      <w:r w:rsidRPr="002B09C8">
        <w:rPr>
          <w:sz w:val="22"/>
          <w:szCs w:val="22"/>
          <w:lang w:val="sr-Latn-ME"/>
        </w:rPr>
        <w:t xml:space="preserve"> populacije za linearni </w:t>
      </w:r>
      <w:proofErr w:type="spellStart"/>
      <w:r w:rsidRPr="002B09C8">
        <w:rPr>
          <w:sz w:val="22"/>
          <w:szCs w:val="22"/>
          <w:lang w:val="sr-Latn-ME"/>
        </w:rPr>
        <w:t>klirens</w:t>
      </w:r>
      <w:proofErr w:type="spellEnd"/>
      <w:r w:rsidRPr="002B09C8">
        <w:rPr>
          <w:sz w:val="22"/>
          <w:szCs w:val="22"/>
          <w:lang w:val="sr-Latn-ME"/>
        </w:rPr>
        <w:t xml:space="preserve"> bila je </w:t>
      </w:r>
      <w:r w:rsidR="00FE1D22" w:rsidRPr="002B09C8">
        <w:rPr>
          <w:sz w:val="22"/>
          <w:szCs w:val="22"/>
          <w:lang w:val="sr-Latn-ME"/>
        </w:rPr>
        <w:t>6,08</w:t>
      </w:r>
      <w:r w:rsidRPr="002B09C8">
        <w:rPr>
          <w:sz w:val="22"/>
          <w:szCs w:val="22"/>
          <w:lang w:val="sr-Latn-ME"/>
        </w:rPr>
        <w:t xml:space="preserve"> m</w:t>
      </w:r>
      <w:r w:rsidR="00A54362" w:rsidRPr="002B09C8">
        <w:rPr>
          <w:sz w:val="22"/>
          <w:szCs w:val="22"/>
          <w:lang w:val="sr-Latn-ME"/>
        </w:rPr>
        <w:t>l</w:t>
      </w:r>
      <w:r w:rsidRPr="002B09C8">
        <w:rPr>
          <w:sz w:val="22"/>
          <w:szCs w:val="22"/>
          <w:lang w:val="sr-Latn-ME"/>
        </w:rPr>
        <w:t>/h (5,</w:t>
      </w:r>
      <w:r w:rsidR="00A7477B" w:rsidRPr="002B09C8">
        <w:rPr>
          <w:sz w:val="22"/>
          <w:szCs w:val="22"/>
          <w:lang w:val="sr-Latn-ME"/>
        </w:rPr>
        <w:t xml:space="preserve">75 </w:t>
      </w:r>
      <w:r w:rsidRPr="002B09C8">
        <w:rPr>
          <w:sz w:val="22"/>
          <w:szCs w:val="22"/>
          <w:lang w:val="sr-Latn-ME"/>
        </w:rPr>
        <w:t>-6,</w:t>
      </w:r>
      <w:r w:rsidR="00A7477B" w:rsidRPr="002B09C8">
        <w:rPr>
          <w:sz w:val="22"/>
          <w:szCs w:val="22"/>
          <w:lang w:val="sr-Latn-ME"/>
        </w:rPr>
        <w:t xml:space="preserve">33 </w:t>
      </w:r>
      <w:r w:rsidRPr="002B09C8">
        <w:rPr>
          <w:sz w:val="22"/>
          <w:szCs w:val="22"/>
          <w:lang w:val="sr-Latn-ME"/>
        </w:rPr>
        <w:t>m</w:t>
      </w:r>
      <w:r w:rsidR="00A54362" w:rsidRPr="002B09C8">
        <w:rPr>
          <w:sz w:val="22"/>
          <w:szCs w:val="22"/>
          <w:lang w:val="sr-Latn-ME"/>
        </w:rPr>
        <w:t>l</w:t>
      </w:r>
      <w:r w:rsidRPr="002B09C8">
        <w:rPr>
          <w:sz w:val="22"/>
          <w:szCs w:val="22"/>
          <w:lang w:val="sr-Latn-ME"/>
        </w:rPr>
        <w:t>/h, 95</w:t>
      </w:r>
      <w:r w:rsidR="00A7477B" w:rsidRPr="002B09C8">
        <w:rPr>
          <w:sz w:val="22"/>
          <w:szCs w:val="22"/>
          <w:lang w:val="sr-Latn-ME"/>
        </w:rPr>
        <w:t>%</w:t>
      </w:r>
      <w:r w:rsidRPr="002B09C8">
        <w:rPr>
          <w:sz w:val="22"/>
          <w:szCs w:val="22"/>
          <w:lang w:val="sr-Latn-ME"/>
        </w:rPr>
        <w:t xml:space="preserve"> interval pouzdanosti) a proc</w:t>
      </w:r>
      <w:r w:rsidR="00C3386D" w:rsidRPr="002B09C8">
        <w:rPr>
          <w:sz w:val="22"/>
          <w:szCs w:val="22"/>
          <w:lang w:val="sr-Latn-ME"/>
        </w:rPr>
        <w:t>ij</w:t>
      </w:r>
      <w:r w:rsidRPr="002B09C8">
        <w:rPr>
          <w:sz w:val="22"/>
          <w:szCs w:val="22"/>
          <w:lang w:val="sr-Latn-ME"/>
        </w:rPr>
        <w:t>enjen</w:t>
      </w:r>
      <w:r w:rsidR="00A7477B" w:rsidRPr="002B09C8">
        <w:rPr>
          <w:sz w:val="22"/>
          <w:szCs w:val="22"/>
          <w:lang w:val="sr-Latn-ME"/>
        </w:rPr>
        <w:t>o</w:t>
      </w:r>
      <w:r w:rsidRPr="002B09C8">
        <w:rPr>
          <w:sz w:val="22"/>
          <w:szCs w:val="22"/>
          <w:lang w:val="sr-Latn-ME"/>
        </w:rPr>
        <w:t xml:space="preserve"> medija</w:t>
      </w:r>
      <w:r w:rsidR="00A7477B" w:rsidRPr="002B09C8">
        <w:rPr>
          <w:sz w:val="22"/>
          <w:szCs w:val="22"/>
          <w:lang w:val="sr-Latn-ME"/>
        </w:rPr>
        <w:t>l</w:t>
      </w:r>
      <w:r w:rsidRPr="002B09C8">
        <w:rPr>
          <w:sz w:val="22"/>
          <w:szCs w:val="22"/>
          <w:lang w:val="sr-Latn-ME"/>
        </w:rPr>
        <w:t>n</w:t>
      </w:r>
      <w:r w:rsidR="00A7477B" w:rsidRPr="002B09C8">
        <w:rPr>
          <w:sz w:val="22"/>
          <w:szCs w:val="22"/>
          <w:lang w:val="sr-Latn-ME"/>
        </w:rPr>
        <w:t>o poluvr</w:t>
      </w:r>
      <w:r w:rsidR="00C3386D" w:rsidRPr="002B09C8">
        <w:rPr>
          <w:sz w:val="22"/>
          <w:szCs w:val="22"/>
          <w:lang w:val="sr-Latn-ME"/>
        </w:rPr>
        <w:t>ij</w:t>
      </w:r>
      <w:r w:rsidR="00A7477B" w:rsidRPr="002B09C8">
        <w:rPr>
          <w:sz w:val="22"/>
          <w:szCs w:val="22"/>
          <w:lang w:val="sr-Latn-ME"/>
        </w:rPr>
        <w:t>eme eliminacije</w:t>
      </w:r>
      <w:r w:rsidRPr="002B09C8">
        <w:rPr>
          <w:sz w:val="22"/>
          <w:szCs w:val="22"/>
          <w:lang w:val="sr-Latn-ME"/>
        </w:rPr>
        <w:t xml:space="preserve"> </w:t>
      </w:r>
      <w:r w:rsidR="00A7477B" w:rsidRPr="002B09C8">
        <w:rPr>
          <w:sz w:val="22"/>
          <w:szCs w:val="22"/>
          <w:lang w:val="sr-Latn-ME"/>
        </w:rPr>
        <w:t>bilo</w:t>
      </w:r>
      <w:r w:rsidRPr="002B09C8">
        <w:rPr>
          <w:sz w:val="22"/>
          <w:szCs w:val="22"/>
          <w:lang w:val="sr-Latn-ME"/>
        </w:rPr>
        <w:t xml:space="preserve"> je </w:t>
      </w:r>
      <w:r w:rsidR="00147BF3" w:rsidRPr="002B09C8">
        <w:rPr>
          <w:sz w:val="22"/>
          <w:szCs w:val="22"/>
          <w:lang w:val="sr-Latn-ME"/>
        </w:rPr>
        <w:t>28,2</w:t>
      </w:r>
      <w:r w:rsidRPr="002B09C8">
        <w:rPr>
          <w:sz w:val="22"/>
          <w:szCs w:val="22"/>
          <w:lang w:val="sr-Latn-ME"/>
        </w:rPr>
        <w:t xml:space="preserve"> dana. </w:t>
      </w:r>
      <w:r w:rsidR="00147BF3" w:rsidRPr="002B09C8">
        <w:rPr>
          <w:sz w:val="22"/>
          <w:szCs w:val="22"/>
          <w:lang w:val="sr-Latn-ME"/>
        </w:rPr>
        <w:t>Devedes</w:t>
      </w:r>
      <w:r w:rsidR="00A54362" w:rsidRPr="002B09C8">
        <w:rPr>
          <w:sz w:val="22"/>
          <w:szCs w:val="22"/>
          <w:lang w:val="sr-Latn-ME"/>
        </w:rPr>
        <w:t>e</w:t>
      </w:r>
      <w:r w:rsidR="00147BF3" w:rsidRPr="002B09C8">
        <w:rPr>
          <w:sz w:val="22"/>
          <w:szCs w:val="22"/>
          <w:lang w:val="sr-Latn-ME"/>
        </w:rPr>
        <w:t xml:space="preserve">t peti </w:t>
      </w:r>
      <w:proofErr w:type="spellStart"/>
      <w:r w:rsidR="00147BF3" w:rsidRPr="002B09C8">
        <w:rPr>
          <w:sz w:val="22"/>
          <w:szCs w:val="22"/>
          <w:lang w:val="sr-Latn-ME"/>
        </w:rPr>
        <w:t>percentil</w:t>
      </w:r>
      <w:proofErr w:type="spellEnd"/>
      <w:r w:rsidR="00147BF3" w:rsidRPr="002B09C8">
        <w:rPr>
          <w:sz w:val="22"/>
          <w:szCs w:val="22"/>
          <w:lang w:val="sr-Latn-ME"/>
        </w:rPr>
        <w:t xml:space="preserve"> intervala terminalnog </w:t>
      </w:r>
      <w:proofErr w:type="spellStart"/>
      <w:r w:rsidR="00147BF3" w:rsidRPr="002B09C8">
        <w:rPr>
          <w:sz w:val="22"/>
          <w:szCs w:val="22"/>
          <w:lang w:val="sr-Latn-ME"/>
        </w:rPr>
        <w:t>poluvremena</w:t>
      </w:r>
      <w:proofErr w:type="spellEnd"/>
      <w:r w:rsidR="00147BF3" w:rsidRPr="002B09C8">
        <w:rPr>
          <w:sz w:val="22"/>
          <w:szCs w:val="22"/>
          <w:lang w:val="sr-Latn-ME"/>
        </w:rPr>
        <w:t xml:space="preserve"> eliminacije je od 11 do 46,2 dana.</w:t>
      </w:r>
    </w:p>
    <w:p w14:paraId="06B5761D" w14:textId="77777777" w:rsidR="00A7477B" w:rsidRPr="002B09C8" w:rsidRDefault="00A7477B" w:rsidP="00C74431">
      <w:pPr>
        <w:widowControl w:val="0"/>
        <w:jc w:val="both"/>
        <w:rPr>
          <w:sz w:val="22"/>
          <w:szCs w:val="22"/>
          <w:lang w:val="sr-Latn-ME"/>
        </w:rPr>
      </w:pPr>
    </w:p>
    <w:p w14:paraId="31C785AA" w14:textId="09F7D5AB" w:rsidR="008D0B39" w:rsidRPr="002B09C8" w:rsidRDefault="008D0B39" w:rsidP="00C74431">
      <w:pPr>
        <w:widowControl w:val="0"/>
        <w:jc w:val="both"/>
        <w:rPr>
          <w:sz w:val="22"/>
          <w:szCs w:val="22"/>
          <w:lang w:val="sr-Latn-ME"/>
        </w:rPr>
      </w:pPr>
      <w:r w:rsidRPr="002B09C8">
        <w:rPr>
          <w:sz w:val="22"/>
          <w:szCs w:val="22"/>
          <w:lang w:val="sr-Latn-ME"/>
        </w:rPr>
        <w:t>Populacionom</w:t>
      </w:r>
      <w:r w:rsidR="00A54362" w:rsidRPr="002B09C8">
        <w:rPr>
          <w:sz w:val="22"/>
          <w:szCs w:val="22"/>
          <w:lang w:val="sr-Latn-ME"/>
        </w:rPr>
        <w:t xml:space="preserve"> </w:t>
      </w:r>
      <w:r w:rsidRPr="002B09C8">
        <w:rPr>
          <w:sz w:val="22"/>
          <w:szCs w:val="22"/>
          <w:lang w:val="sr-Latn-ME"/>
        </w:rPr>
        <w:t xml:space="preserve">analizom </w:t>
      </w:r>
      <w:r w:rsidR="00147BF3" w:rsidRPr="002B09C8">
        <w:rPr>
          <w:sz w:val="22"/>
          <w:szCs w:val="22"/>
          <w:lang w:val="sr-Latn-ME"/>
        </w:rPr>
        <w:t xml:space="preserve">1781 </w:t>
      </w:r>
      <w:r w:rsidRPr="002B09C8">
        <w:rPr>
          <w:sz w:val="22"/>
          <w:szCs w:val="22"/>
          <w:lang w:val="sr-Latn-ME"/>
        </w:rPr>
        <w:t xml:space="preserve">pacijenata ispitan je uticaj odabranih </w:t>
      </w:r>
      <w:proofErr w:type="spellStart"/>
      <w:r w:rsidRPr="002B09C8">
        <w:rPr>
          <w:sz w:val="22"/>
          <w:szCs w:val="22"/>
          <w:lang w:val="sr-Latn-ME"/>
        </w:rPr>
        <w:t>kovarijabli</w:t>
      </w:r>
      <w:proofErr w:type="spellEnd"/>
      <w:r w:rsidRPr="002B09C8">
        <w:rPr>
          <w:sz w:val="22"/>
          <w:szCs w:val="22"/>
          <w:lang w:val="sr-Latn-ME"/>
        </w:rPr>
        <w:t xml:space="preserve"> uključujući tjelesnu masu, starost, pol, te prisustvo anti-</w:t>
      </w:r>
      <w:proofErr w:type="spellStart"/>
      <w:r w:rsidRPr="002B09C8">
        <w:rPr>
          <w:sz w:val="22"/>
          <w:szCs w:val="22"/>
          <w:lang w:val="sr-Latn-ME"/>
        </w:rPr>
        <w:t>natalizumab</w:t>
      </w:r>
      <w:proofErr w:type="spellEnd"/>
      <w:r w:rsidRPr="002B09C8">
        <w:rPr>
          <w:sz w:val="22"/>
          <w:szCs w:val="22"/>
          <w:lang w:val="sr-Latn-ME"/>
        </w:rPr>
        <w:t xml:space="preserve"> antitijela i formulacije na </w:t>
      </w:r>
      <w:proofErr w:type="spellStart"/>
      <w:r w:rsidRPr="002B09C8">
        <w:rPr>
          <w:sz w:val="22"/>
          <w:szCs w:val="22"/>
          <w:lang w:val="sr-Latn-ME"/>
        </w:rPr>
        <w:t>farmakokinetiku</w:t>
      </w:r>
      <w:proofErr w:type="spellEnd"/>
      <w:r w:rsidRPr="002B09C8">
        <w:rPr>
          <w:sz w:val="22"/>
          <w:szCs w:val="22"/>
          <w:lang w:val="sr-Latn-ME"/>
        </w:rPr>
        <w:t>. Utvrđeno je da samo tjelesna težina i prisustvo anti-</w:t>
      </w:r>
      <w:proofErr w:type="spellStart"/>
      <w:r w:rsidRPr="002B09C8">
        <w:rPr>
          <w:sz w:val="22"/>
          <w:szCs w:val="22"/>
          <w:lang w:val="sr-Latn-ME"/>
        </w:rPr>
        <w:t>natalizumab</w:t>
      </w:r>
      <w:proofErr w:type="spellEnd"/>
      <w:r w:rsidRPr="002B09C8">
        <w:rPr>
          <w:sz w:val="22"/>
          <w:szCs w:val="22"/>
          <w:lang w:val="sr-Latn-ME"/>
        </w:rPr>
        <w:t xml:space="preserve"> antitijela i formulacije korišćene u ispitivanjima 2. faze studije utiču na dispoziciju</w:t>
      </w:r>
      <w:r w:rsidR="00DC42C6" w:rsidRPr="002B09C8">
        <w:rPr>
          <w:sz w:val="22"/>
          <w:szCs w:val="22"/>
          <w:lang w:val="sr-Latn-ME"/>
        </w:rPr>
        <w:t xml:space="preserve"> </w:t>
      </w:r>
      <w:proofErr w:type="spellStart"/>
      <w:r w:rsidRPr="002B09C8">
        <w:rPr>
          <w:sz w:val="22"/>
          <w:szCs w:val="22"/>
          <w:lang w:val="sr-Latn-ME"/>
        </w:rPr>
        <w:t>natalizumaba</w:t>
      </w:r>
      <w:proofErr w:type="spellEnd"/>
      <w:r w:rsidRPr="002B09C8">
        <w:rPr>
          <w:sz w:val="22"/>
          <w:szCs w:val="22"/>
          <w:lang w:val="sr-Latn-ME"/>
        </w:rPr>
        <w:t xml:space="preserve">. </w:t>
      </w:r>
      <w:proofErr w:type="spellStart"/>
      <w:r w:rsidRPr="002B09C8">
        <w:rPr>
          <w:sz w:val="22"/>
          <w:szCs w:val="22"/>
          <w:lang w:val="sr-Latn-ME"/>
        </w:rPr>
        <w:t>Klirens</w:t>
      </w:r>
      <w:proofErr w:type="spellEnd"/>
      <w:r w:rsidRPr="002B09C8">
        <w:rPr>
          <w:sz w:val="22"/>
          <w:szCs w:val="22"/>
          <w:lang w:val="sr-Latn-ME"/>
        </w:rPr>
        <w:t xml:space="preserve"> </w:t>
      </w:r>
      <w:proofErr w:type="spellStart"/>
      <w:r w:rsidRPr="002B09C8">
        <w:rPr>
          <w:sz w:val="22"/>
          <w:szCs w:val="22"/>
          <w:lang w:val="sr-Latn-ME"/>
        </w:rPr>
        <w:t>natalizumaba</w:t>
      </w:r>
      <w:proofErr w:type="spellEnd"/>
      <w:r w:rsidRPr="002B09C8">
        <w:rPr>
          <w:sz w:val="22"/>
          <w:szCs w:val="22"/>
          <w:lang w:val="sr-Latn-ME"/>
        </w:rPr>
        <w:t xml:space="preserve"> povećavao se sa t</w:t>
      </w:r>
      <w:r w:rsidR="00A54362" w:rsidRPr="002B09C8">
        <w:rPr>
          <w:sz w:val="22"/>
          <w:szCs w:val="22"/>
          <w:lang w:val="sr-Latn-ME"/>
        </w:rPr>
        <w:t>j</w:t>
      </w:r>
      <w:r w:rsidRPr="002B09C8">
        <w:rPr>
          <w:sz w:val="22"/>
          <w:szCs w:val="22"/>
          <w:lang w:val="sr-Latn-ME"/>
        </w:rPr>
        <w:t xml:space="preserve">elesnom masom manje nego proporcionalno na način da je promjena tjelesne mase za +/–43% rezultirala promjenom </w:t>
      </w:r>
      <w:proofErr w:type="spellStart"/>
      <w:r w:rsidRPr="002B09C8">
        <w:rPr>
          <w:sz w:val="22"/>
          <w:szCs w:val="22"/>
          <w:lang w:val="sr-Latn-ME"/>
        </w:rPr>
        <w:t>klirensa</w:t>
      </w:r>
      <w:proofErr w:type="spellEnd"/>
      <w:r w:rsidRPr="002B09C8">
        <w:rPr>
          <w:sz w:val="22"/>
          <w:szCs w:val="22"/>
          <w:lang w:val="sr-Latn-ME"/>
        </w:rPr>
        <w:t xml:space="preserve"> za -</w:t>
      </w:r>
      <w:r w:rsidR="006D36AD" w:rsidRPr="002B09C8">
        <w:rPr>
          <w:sz w:val="22"/>
          <w:szCs w:val="22"/>
          <w:lang w:val="sr-Latn-ME"/>
        </w:rPr>
        <w:t>33</w:t>
      </w:r>
      <w:r w:rsidRPr="002B09C8">
        <w:rPr>
          <w:sz w:val="22"/>
          <w:szCs w:val="22"/>
          <w:lang w:val="sr-Latn-ME"/>
        </w:rPr>
        <w:t xml:space="preserve">% do </w:t>
      </w:r>
      <w:r w:rsidR="006D36AD" w:rsidRPr="002B09C8">
        <w:rPr>
          <w:sz w:val="22"/>
          <w:szCs w:val="22"/>
          <w:lang w:val="sr-Latn-ME"/>
        </w:rPr>
        <w:t>30</w:t>
      </w:r>
      <w:r w:rsidRPr="002B09C8">
        <w:rPr>
          <w:sz w:val="22"/>
          <w:szCs w:val="22"/>
          <w:lang w:val="sr-Latn-ME"/>
        </w:rPr>
        <w:t xml:space="preserve">%.  Prisustvo </w:t>
      </w:r>
      <w:proofErr w:type="spellStart"/>
      <w:r w:rsidRPr="002B09C8">
        <w:rPr>
          <w:sz w:val="22"/>
          <w:szCs w:val="22"/>
          <w:lang w:val="sr-Latn-ME"/>
        </w:rPr>
        <w:t>perzistentnih</w:t>
      </w:r>
      <w:proofErr w:type="spellEnd"/>
      <w:r w:rsidRPr="002B09C8">
        <w:rPr>
          <w:sz w:val="22"/>
          <w:szCs w:val="22"/>
          <w:lang w:val="sr-Latn-ME"/>
        </w:rPr>
        <w:t xml:space="preserve"> anti-</w:t>
      </w:r>
      <w:proofErr w:type="spellStart"/>
      <w:r w:rsidRPr="002B09C8">
        <w:rPr>
          <w:sz w:val="22"/>
          <w:szCs w:val="22"/>
          <w:lang w:val="sr-Latn-ME"/>
        </w:rPr>
        <w:t>natalizumab</w:t>
      </w:r>
      <w:proofErr w:type="spellEnd"/>
      <w:r w:rsidRPr="002B09C8">
        <w:rPr>
          <w:sz w:val="22"/>
          <w:szCs w:val="22"/>
          <w:lang w:val="sr-Latn-ME"/>
        </w:rPr>
        <w:t xml:space="preserve"> antitijela povećalo je </w:t>
      </w:r>
      <w:proofErr w:type="spellStart"/>
      <w:r w:rsidRPr="002B09C8">
        <w:rPr>
          <w:sz w:val="22"/>
          <w:szCs w:val="22"/>
          <w:lang w:val="sr-Latn-ME"/>
        </w:rPr>
        <w:t>klirens</w:t>
      </w:r>
      <w:proofErr w:type="spellEnd"/>
      <w:r w:rsidRPr="002B09C8">
        <w:rPr>
          <w:sz w:val="22"/>
          <w:szCs w:val="22"/>
          <w:lang w:val="sr-Latn-ME"/>
        </w:rPr>
        <w:t xml:space="preserve"> </w:t>
      </w:r>
      <w:proofErr w:type="spellStart"/>
      <w:r w:rsidRPr="002B09C8">
        <w:rPr>
          <w:sz w:val="22"/>
          <w:szCs w:val="22"/>
          <w:lang w:val="sr-Latn-ME"/>
        </w:rPr>
        <w:t>natalizumaba</w:t>
      </w:r>
      <w:proofErr w:type="spellEnd"/>
      <w:r w:rsidRPr="002B09C8">
        <w:rPr>
          <w:sz w:val="22"/>
          <w:szCs w:val="22"/>
          <w:lang w:val="sr-Latn-ME"/>
        </w:rPr>
        <w:t xml:space="preserve"> oko 2,</w:t>
      </w:r>
      <w:r w:rsidR="00B666F7" w:rsidRPr="002B09C8">
        <w:rPr>
          <w:sz w:val="22"/>
          <w:szCs w:val="22"/>
          <w:lang w:val="sr-Latn-ME"/>
        </w:rPr>
        <w:t xml:space="preserve">45 </w:t>
      </w:r>
      <w:r w:rsidRPr="002B09C8">
        <w:rPr>
          <w:sz w:val="22"/>
          <w:szCs w:val="22"/>
          <w:lang w:val="sr-Latn-ME"/>
        </w:rPr>
        <w:t xml:space="preserve">puta, što je u skladu sa smanjenim koncentracijama </w:t>
      </w:r>
      <w:proofErr w:type="spellStart"/>
      <w:r w:rsidRPr="002B09C8">
        <w:rPr>
          <w:sz w:val="22"/>
          <w:szCs w:val="22"/>
          <w:lang w:val="sr-Latn-ME"/>
        </w:rPr>
        <w:t>natalizumaba</w:t>
      </w:r>
      <w:proofErr w:type="spellEnd"/>
      <w:r w:rsidRPr="002B09C8">
        <w:rPr>
          <w:sz w:val="22"/>
          <w:szCs w:val="22"/>
          <w:lang w:val="sr-Latn-ME"/>
        </w:rPr>
        <w:t xml:space="preserve"> u serumu </w:t>
      </w:r>
      <w:proofErr w:type="spellStart"/>
      <w:r w:rsidRPr="002B09C8">
        <w:rPr>
          <w:sz w:val="22"/>
          <w:szCs w:val="22"/>
          <w:lang w:val="sr-Latn-ME"/>
        </w:rPr>
        <w:t>primijećenim</w:t>
      </w:r>
      <w:proofErr w:type="spellEnd"/>
      <w:r w:rsidRPr="002B09C8">
        <w:rPr>
          <w:sz w:val="22"/>
          <w:szCs w:val="22"/>
          <w:lang w:val="sr-Latn-ME"/>
        </w:rPr>
        <w:t xml:space="preserve"> kod pacijenata pozitivnih na </w:t>
      </w:r>
      <w:proofErr w:type="spellStart"/>
      <w:r w:rsidRPr="002B09C8">
        <w:rPr>
          <w:sz w:val="22"/>
          <w:szCs w:val="22"/>
          <w:lang w:val="sr-Latn-ME"/>
        </w:rPr>
        <w:t>perzistentna</w:t>
      </w:r>
      <w:proofErr w:type="spellEnd"/>
      <w:r w:rsidRPr="002B09C8">
        <w:rPr>
          <w:sz w:val="22"/>
          <w:szCs w:val="22"/>
          <w:lang w:val="sr-Latn-ME"/>
        </w:rPr>
        <w:t xml:space="preserve"> antitijela</w:t>
      </w:r>
      <w:r w:rsidR="00B666F7" w:rsidRPr="002B09C8">
        <w:rPr>
          <w:sz w:val="22"/>
          <w:szCs w:val="22"/>
          <w:lang w:val="sr-Latn-ME"/>
        </w:rPr>
        <w:t>.</w:t>
      </w:r>
    </w:p>
    <w:p w14:paraId="7F98A1CF" w14:textId="77777777" w:rsidR="00B666F7" w:rsidRPr="002B09C8" w:rsidRDefault="00B666F7" w:rsidP="00C74431">
      <w:pPr>
        <w:widowControl w:val="0"/>
        <w:jc w:val="both"/>
        <w:rPr>
          <w:sz w:val="22"/>
          <w:szCs w:val="22"/>
          <w:u w:val="single"/>
          <w:lang w:val="sr-Latn-ME"/>
        </w:rPr>
      </w:pPr>
    </w:p>
    <w:p w14:paraId="60C16819" w14:textId="5AEE35F3" w:rsidR="00B666F7" w:rsidRPr="002B09C8" w:rsidRDefault="00B666F7" w:rsidP="00C74431">
      <w:pPr>
        <w:widowControl w:val="0"/>
        <w:jc w:val="both"/>
        <w:rPr>
          <w:sz w:val="22"/>
          <w:szCs w:val="22"/>
          <w:u w:val="single"/>
          <w:lang w:val="sr-Latn-ME"/>
        </w:rPr>
      </w:pPr>
      <w:r w:rsidRPr="002B09C8">
        <w:rPr>
          <w:sz w:val="22"/>
          <w:szCs w:val="22"/>
          <w:u w:val="single"/>
          <w:lang w:val="sr-Latn-ME"/>
        </w:rPr>
        <w:t>Specijalne populacije</w:t>
      </w:r>
    </w:p>
    <w:p w14:paraId="76C38290" w14:textId="77777777" w:rsidR="00B666F7" w:rsidRPr="002B09C8" w:rsidRDefault="00B666F7" w:rsidP="00C74431">
      <w:pPr>
        <w:widowControl w:val="0"/>
        <w:jc w:val="both"/>
        <w:rPr>
          <w:sz w:val="22"/>
          <w:szCs w:val="22"/>
          <w:lang w:val="sr-Latn-ME"/>
        </w:rPr>
      </w:pPr>
    </w:p>
    <w:p w14:paraId="4574B557" w14:textId="77777777" w:rsidR="00B666F7" w:rsidRPr="002B09C8" w:rsidRDefault="00B666F7" w:rsidP="00C74431">
      <w:pPr>
        <w:widowControl w:val="0"/>
        <w:jc w:val="both"/>
        <w:rPr>
          <w:sz w:val="22"/>
          <w:szCs w:val="22"/>
          <w:lang w:val="sr-Latn-ME"/>
        </w:rPr>
      </w:pPr>
      <w:r w:rsidRPr="002B09C8">
        <w:rPr>
          <w:i/>
          <w:sz w:val="22"/>
          <w:szCs w:val="22"/>
          <w:lang w:val="sr-Latn-ME"/>
        </w:rPr>
        <w:t>Pedijatrijska populacija</w:t>
      </w:r>
    </w:p>
    <w:p w14:paraId="295D9B28" w14:textId="77777777" w:rsidR="00B666F7" w:rsidRPr="002B09C8" w:rsidRDefault="00B666F7" w:rsidP="00C74431">
      <w:pPr>
        <w:widowControl w:val="0"/>
        <w:jc w:val="both"/>
        <w:rPr>
          <w:sz w:val="22"/>
          <w:szCs w:val="22"/>
          <w:lang w:val="sr-Latn-ME"/>
        </w:rPr>
      </w:pPr>
      <w:proofErr w:type="spellStart"/>
      <w:r w:rsidRPr="002B09C8">
        <w:rPr>
          <w:sz w:val="22"/>
          <w:szCs w:val="22"/>
          <w:lang w:val="sr-Latn-ME"/>
        </w:rPr>
        <w:t>Farmakokinetika</w:t>
      </w:r>
      <w:proofErr w:type="spellEnd"/>
      <w:r w:rsidRPr="002B09C8">
        <w:rPr>
          <w:sz w:val="22"/>
          <w:szCs w:val="22"/>
          <w:lang w:val="sr-Latn-ME"/>
        </w:rPr>
        <w:t xml:space="preserve"> </w:t>
      </w:r>
      <w:proofErr w:type="spellStart"/>
      <w:r w:rsidRPr="002B09C8">
        <w:rPr>
          <w:sz w:val="22"/>
          <w:szCs w:val="22"/>
          <w:lang w:val="sr-Latn-ME"/>
        </w:rPr>
        <w:t>natalizumaba</w:t>
      </w:r>
      <w:proofErr w:type="spellEnd"/>
      <w:r w:rsidRPr="002B09C8">
        <w:rPr>
          <w:sz w:val="22"/>
          <w:szCs w:val="22"/>
          <w:lang w:val="sr-Latn-ME"/>
        </w:rPr>
        <w:t xml:space="preserve"> kod pedijatrijskih pacijenata sa MS nije utvrđena. </w:t>
      </w:r>
    </w:p>
    <w:p w14:paraId="07160B20" w14:textId="77777777" w:rsidR="00B666F7" w:rsidRPr="002B09C8" w:rsidRDefault="00B666F7" w:rsidP="00C74431">
      <w:pPr>
        <w:widowControl w:val="0"/>
        <w:jc w:val="both"/>
        <w:rPr>
          <w:i/>
          <w:sz w:val="22"/>
          <w:szCs w:val="22"/>
          <w:lang w:val="sr-Latn-ME"/>
        </w:rPr>
      </w:pPr>
    </w:p>
    <w:p w14:paraId="73B589F0" w14:textId="77777777" w:rsidR="00B666F7" w:rsidRPr="002B09C8" w:rsidRDefault="00B666F7" w:rsidP="00C74431">
      <w:pPr>
        <w:widowControl w:val="0"/>
        <w:jc w:val="both"/>
        <w:rPr>
          <w:i/>
          <w:sz w:val="22"/>
          <w:szCs w:val="22"/>
          <w:lang w:val="sr-Latn-ME"/>
        </w:rPr>
      </w:pPr>
      <w:r w:rsidRPr="002B09C8">
        <w:rPr>
          <w:i/>
          <w:sz w:val="22"/>
          <w:szCs w:val="22"/>
          <w:lang w:val="sr-Latn-ME"/>
        </w:rPr>
        <w:t>Oštećenje bubrega</w:t>
      </w:r>
    </w:p>
    <w:p w14:paraId="54491C03" w14:textId="77777777" w:rsidR="00B666F7" w:rsidRPr="002B09C8" w:rsidRDefault="00B666F7" w:rsidP="00C74431">
      <w:pPr>
        <w:widowControl w:val="0"/>
        <w:jc w:val="both"/>
        <w:rPr>
          <w:sz w:val="22"/>
          <w:szCs w:val="22"/>
          <w:lang w:val="sr-Latn-ME"/>
        </w:rPr>
      </w:pPr>
      <w:proofErr w:type="spellStart"/>
      <w:r w:rsidRPr="002B09C8">
        <w:rPr>
          <w:sz w:val="22"/>
          <w:szCs w:val="22"/>
          <w:lang w:val="sr-Latn-ME"/>
        </w:rPr>
        <w:t>Farmakokinetika</w:t>
      </w:r>
      <w:proofErr w:type="spellEnd"/>
      <w:r w:rsidRPr="002B09C8">
        <w:rPr>
          <w:sz w:val="22"/>
          <w:szCs w:val="22"/>
          <w:lang w:val="sr-Latn-ME"/>
        </w:rPr>
        <w:t xml:space="preserve"> </w:t>
      </w:r>
      <w:proofErr w:type="spellStart"/>
      <w:r w:rsidRPr="002B09C8">
        <w:rPr>
          <w:sz w:val="22"/>
          <w:szCs w:val="22"/>
          <w:lang w:val="sr-Latn-ME"/>
        </w:rPr>
        <w:t>natalizumaba</w:t>
      </w:r>
      <w:proofErr w:type="spellEnd"/>
      <w:r w:rsidRPr="002B09C8">
        <w:rPr>
          <w:sz w:val="22"/>
          <w:szCs w:val="22"/>
          <w:lang w:val="sr-Latn-ME"/>
        </w:rPr>
        <w:t xml:space="preserve"> kod pacijenata sa bubrežnom </w:t>
      </w:r>
      <w:proofErr w:type="spellStart"/>
      <w:r w:rsidRPr="002B09C8">
        <w:rPr>
          <w:sz w:val="22"/>
          <w:szCs w:val="22"/>
          <w:lang w:val="sr-Latn-ME"/>
        </w:rPr>
        <w:t>insuficijencijom</w:t>
      </w:r>
      <w:proofErr w:type="spellEnd"/>
      <w:r w:rsidRPr="002B09C8">
        <w:rPr>
          <w:sz w:val="22"/>
          <w:szCs w:val="22"/>
          <w:lang w:val="sr-Latn-ME"/>
        </w:rPr>
        <w:t xml:space="preserve"> nije ispitana.</w:t>
      </w:r>
    </w:p>
    <w:p w14:paraId="13C48226" w14:textId="77777777" w:rsidR="00B666F7" w:rsidRPr="002B09C8" w:rsidRDefault="00B666F7" w:rsidP="00C74431">
      <w:pPr>
        <w:widowControl w:val="0"/>
        <w:jc w:val="both"/>
        <w:rPr>
          <w:sz w:val="22"/>
          <w:szCs w:val="22"/>
          <w:lang w:val="sr-Latn-ME"/>
        </w:rPr>
      </w:pPr>
    </w:p>
    <w:p w14:paraId="74C1A439" w14:textId="77777777" w:rsidR="00B666F7" w:rsidRPr="002B09C8" w:rsidRDefault="00B666F7" w:rsidP="00C74431">
      <w:pPr>
        <w:widowControl w:val="0"/>
        <w:jc w:val="both"/>
        <w:rPr>
          <w:sz w:val="22"/>
          <w:szCs w:val="22"/>
          <w:lang w:val="sr-Latn-ME"/>
        </w:rPr>
      </w:pPr>
      <w:r w:rsidRPr="002B09C8">
        <w:rPr>
          <w:i/>
          <w:sz w:val="22"/>
          <w:szCs w:val="22"/>
          <w:lang w:val="sr-Latn-ME"/>
        </w:rPr>
        <w:t>Oštećenje jetre</w:t>
      </w:r>
    </w:p>
    <w:p w14:paraId="0D5740C2" w14:textId="21521131" w:rsidR="00B666F7" w:rsidRPr="002B09C8" w:rsidRDefault="00B666F7" w:rsidP="00C74431">
      <w:pPr>
        <w:widowControl w:val="0"/>
        <w:jc w:val="both"/>
        <w:rPr>
          <w:sz w:val="22"/>
          <w:szCs w:val="22"/>
          <w:lang w:val="sr-Latn-ME"/>
        </w:rPr>
      </w:pPr>
      <w:proofErr w:type="spellStart"/>
      <w:r w:rsidRPr="002B09C8">
        <w:rPr>
          <w:sz w:val="22"/>
          <w:szCs w:val="22"/>
          <w:lang w:val="sr-Latn-ME"/>
        </w:rPr>
        <w:t>Farmakokinetika</w:t>
      </w:r>
      <w:proofErr w:type="spellEnd"/>
      <w:r w:rsidRPr="002B09C8">
        <w:rPr>
          <w:sz w:val="22"/>
          <w:szCs w:val="22"/>
          <w:lang w:val="sr-Latn-ME"/>
        </w:rPr>
        <w:t xml:space="preserve"> </w:t>
      </w:r>
      <w:proofErr w:type="spellStart"/>
      <w:r w:rsidRPr="002B09C8">
        <w:rPr>
          <w:sz w:val="22"/>
          <w:szCs w:val="22"/>
          <w:lang w:val="sr-Latn-ME"/>
        </w:rPr>
        <w:t>natalizumaba</w:t>
      </w:r>
      <w:proofErr w:type="spellEnd"/>
      <w:r w:rsidRPr="002B09C8">
        <w:rPr>
          <w:sz w:val="22"/>
          <w:szCs w:val="22"/>
          <w:lang w:val="sr-Latn-ME"/>
        </w:rPr>
        <w:t xml:space="preserve"> kod pacijenata sa </w:t>
      </w:r>
      <w:proofErr w:type="spellStart"/>
      <w:r w:rsidRPr="002B09C8">
        <w:rPr>
          <w:sz w:val="22"/>
          <w:szCs w:val="22"/>
          <w:lang w:val="sr-Latn-ME"/>
        </w:rPr>
        <w:t>insuficijencijom</w:t>
      </w:r>
      <w:proofErr w:type="spellEnd"/>
      <w:r w:rsidRPr="002B09C8">
        <w:rPr>
          <w:sz w:val="22"/>
          <w:szCs w:val="22"/>
          <w:lang w:val="sr-Latn-ME"/>
        </w:rPr>
        <w:t xml:space="preserve"> jetre nije ispitana.</w:t>
      </w:r>
    </w:p>
    <w:p w14:paraId="2B0979F4" w14:textId="4D920D45" w:rsidR="00FB74D3" w:rsidRPr="002B09C8" w:rsidRDefault="00FB74D3" w:rsidP="00C74431">
      <w:pPr>
        <w:widowControl w:val="0"/>
        <w:tabs>
          <w:tab w:val="left" w:pos="540"/>
          <w:tab w:val="left" w:pos="569"/>
        </w:tabs>
        <w:jc w:val="both"/>
        <w:rPr>
          <w:bCs/>
          <w:sz w:val="22"/>
          <w:szCs w:val="22"/>
          <w:lang w:val="sr-Latn-ME"/>
        </w:rPr>
      </w:pPr>
    </w:p>
    <w:p w14:paraId="2598481B"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5.3. </w:t>
      </w:r>
      <w:r w:rsidR="00480FB1" w:rsidRPr="002B09C8">
        <w:rPr>
          <w:b/>
          <w:bCs/>
          <w:sz w:val="22"/>
          <w:szCs w:val="22"/>
          <w:lang w:val="sr-Latn-ME"/>
        </w:rPr>
        <w:tab/>
      </w:r>
      <w:proofErr w:type="spellStart"/>
      <w:r w:rsidRPr="002B09C8">
        <w:rPr>
          <w:b/>
          <w:bCs/>
          <w:sz w:val="22"/>
          <w:szCs w:val="22"/>
          <w:lang w:val="sr-Latn-ME"/>
        </w:rPr>
        <w:t>Pretklinički</w:t>
      </w:r>
      <w:proofErr w:type="spellEnd"/>
      <w:r w:rsidRPr="002B09C8">
        <w:rPr>
          <w:b/>
          <w:bCs/>
          <w:sz w:val="22"/>
          <w:szCs w:val="22"/>
          <w:lang w:val="sr-Latn-ME"/>
        </w:rPr>
        <w:t xml:space="preserve"> podaci o bezbjednosti </w:t>
      </w:r>
    </w:p>
    <w:p w14:paraId="5E12EBB4" w14:textId="77777777" w:rsidR="00836B35" w:rsidRPr="002B09C8" w:rsidRDefault="00836B35" w:rsidP="00C74431">
      <w:pPr>
        <w:widowControl w:val="0"/>
        <w:tabs>
          <w:tab w:val="left" w:pos="540"/>
          <w:tab w:val="left" w:pos="569"/>
        </w:tabs>
        <w:jc w:val="both"/>
        <w:rPr>
          <w:bCs/>
          <w:sz w:val="22"/>
          <w:szCs w:val="22"/>
          <w:lang w:val="sr-Latn-ME"/>
        </w:rPr>
      </w:pPr>
    </w:p>
    <w:p w14:paraId="16E94590" w14:textId="77777777" w:rsidR="00364412" w:rsidRPr="002B09C8" w:rsidRDefault="00364412" w:rsidP="00C74431">
      <w:pPr>
        <w:widowControl w:val="0"/>
        <w:jc w:val="both"/>
        <w:rPr>
          <w:sz w:val="22"/>
          <w:szCs w:val="22"/>
          <w:lang w:val="sr-Latn-ME"/>
        </w:rPr>
      </w:pPr>
      <w:proofErr w:type="spellStart"/>
      <w:r w:rsidRPr="002B09C8">
        <w:rPr>
          <w:sz w:val="22"/>
          <w:szCs w:val="22"/>
          <w:lang w:val="sr-Latn-ME"/>
        </w:rPr>
        <w:t>Pretklinički</w:t>
      </w:r>
      <w:proofErr w:type="spellEnd"/>
      <w:r w:rsidRPr="002B09C8">
        <w:rPr>
          <w:sz w:val="22"/>
          <w:szCs w:val="22"/>
          <w:lang w:val="sr-Latn-ME"/>
        </w:rPr>
        <w:t xml:space="preserve"> podaci ne otkrivaju nikakav poseban rizik za </w:t>
      </w:r>
      <w:proofErr w:type="spellStart"/>
      <w:r w:rsidRPr="002B09C8">
        <w:rPr>
          <w:sz w:val="22"/>
          <w:szCs w:val="22"/>
          <w:lang w:val="sr-Latn-ME"/>
        </w:rPr>
        <w:t>ljude</w:t>
      </w:r>
      <w:proofErr w:type="spellEnd"/>
      <w:r w:rsidRPr="002B09C8">
        <w:rPr>
          <w:sz w:val="22"/>
          <w:szCs w:val="22"/>
          <w:lang w:val="sr-Latn-ME"/>
        </w:rPr>
        <w:t xml:space="preserve"> na osnovu standardnih studija farmakološke bezbjednosti, toksičnosti ponovljenih doza i genske toksičnosti. </w:t>
      </w:r>
    </w:p>
    <w:p w14:paraId="0E1E71BE" w14:textId="77777777" w:rsidR="00364412" w:rsidRPr="002B09C8" w:rsidRDefault="00364412" w:rsidP="00C74431">
      <w:pPr>
        <w:widowControl w:val="0"/>
        <w:jc w:val="both"/>
        <w:rPr>
          <w:sz w:val="22"/>
          <w:szCs w:val="22"/>
          <w:lang w:val="sr-Latn-ME"/>
        </w:rPr>
      </w:pPr>
    </w:p>
    <w:p w14:paraId="40FE43FD" w14:textId="77777777" w:rsidR="00364412" w:rsidRPr="002B09C8" w:rsidRDefault="00364412" w:rsidP="00C74431">
      <w:pPr>
        <w:widowControl w:val="0"/>
        <w:jc w:val="both"/>
        <w:rPr>
          <w:sz w:val="22"/>
          <w:szCs w:val="22"/>
          <w:lang w:val="sr-Latn-ME"/>
        </w:rPr>
      </w:pPr>
      <w:r w:rsidRPr="002B09C8">
        <w:rPr>
          <w:sz w:val="22"/>
          <w:szCs w:val="22"/>
          <w:lang w:val="sr-Latn-ME"/>
        </w:rPr>
        <w:t xml:space="preserve">U skladu sa farmakološkim djelovanjem </w:t>
      </w:r>
      <w:proofErr w:type="spellStart"/>
      <w:r w:rsidRPr="002B09C8">
        <w:rPr>
          <w:sz w:val="22"/>
          <w:szCs w:val="22"/>
          <w:lang w:val="sr-Latn-ME"/>
        </w:rPr>
        <w:t>natalizumaba</w:t>
      </w:r>
      <w:proofErr w:type="spellEnd"/>
      <w:r w:rsidRPr="002B09C8">
        <w:rPr>
          <w:sz w:val="22"/>
          <w:szCs w:val="22"/>
          <w:lang w:val="sr-Latn-ME"/>
        </w:rPr>
        <w:t xml:space="preserve">, promijenjeno kretanje </w:t>
      </w:r>
      <w:proofErr w:type="spellStart"/>
      <w:r w:rsidRPr="002B09C8">
        <w:rPr>
          <w:sz w:val="22"/>
          <w:szCs w:val="22"/>
          <w:lang w:val="sr-Latn-ME"/>
        </w:rPr>
        <w:t>limfocita</w:t>
      </w:r>
      <w:proofErr w:type="spellEnd"/>
      <w:r w:rsidRPr="002B09C8">
        <w:rPr>
          <w:sz w:val="22"/>
          <w:szCs w:val="22"/>
          <w:lang w:val="sr-Latn-ME"/>
        </w:rPr>
        <w:t xml:space="preserve"> bilo je zapaženo kao povećanje broja bijelih krvnih ćelija kao i povećana težina slezine u većini </w:t>
      </w:r>
      <w:r w:rsidRPr="002B09C8">
        <w:rPr>
          <w:i/>
          <w:sz w:val="22"/>
          <w:szCs w:val="22"/>
          <w:lang w:val="sr-Latn-ME"/>
        </w:rPr>
        <w:t xml:space="preserve">in </w:t>
      </w:r>
      <w:proofErr w:type="spellStart"/>
      <w:r w:rsidRPr="002B09C8">
        <w:rPr>
          <w:i/>
          <w:sz w:val="22"/>
          <w:szCs w:val="22"/>
          <w:lang w:val="sr-Latn-ME"/>
        </w:rPr>
        <w:t>vivo</w:t>
      </w:r>
      <w:proofErr w:type="spellEnd"/>
      <w:r w:rsidRPr="002B09C8">
        <w:rPr>
          <w:i/>
          <w:sz w:val="22"/>
          <w:szCs w:val="22"/>
          <w:lang w:val="sr-Latn-ME"/>
        </w:rPr>
        <w:t xml:space="preserve"> </w:t>
      </w:r>
      <w:r w:rsidRPr="002B09C8">
        <w:rPr>
          <w:sz w:val="22"/>
          <w:szCs w:val="22"/>
          <w:lang w:val="sr-Latn-ME"/>
        </w:rPr>
        <w:t xml:space="preserve">studija. Ove promjene su bile </w:t>
      </w:r>
      <w:proofErr w:type="spellStart"/>
      <w:r w:rsidRPr="002B09C8">
        <w:rPr>
          <w:sz w:val="22"/>
          <w:szCs w:val="22"/>
          <w:lang w:val="sr-Latn-ME"/>
        </w:rPr>
        <w:t>reverzibilne</w:t>
      </w:r>
      <w:proofErr w:type="spellEnd"/>
      <w:r w:rsidRPr="002B09C8">
        <w:rPr>
          <w:sz w:val="22"/>
          <w:szCs w:val="22"/>
          <w:lang w:val="sr-Latn-ME"/>
        </w:rPr>
        <w:t xml:space="preserve"> i nije izgledalo da bi imale bilo kakve štetne toksične posljedice.</w:t>
      </w:r>
    </w:p>
    <w:p w14:paraId="75832310" w14:textId="77777777" w:rsidR="00364412" w:rsidRPr="002B09C8" w:rsidRDefault="00364412" w:rsidP="00C74431">
      <w:pPr>
        <w:widowControl w:val="0"/>
        <w:jc w:val="both"/>
        <w:rPr>
          <w:sz w:val="22"/>
          <w:szCs w:val="22"/>
          <w:lang w:val="sr-Latn-ME"/>
        </w:rPr>
      </w:pPr>
    </w:p>
    <w:p w14:paraId="42E51B11" w14:textId="03CCBCD8" w:rsidR="00364412" w:rsidRPr="002B09C8" w:rsidRDefault="00364412" w:rsidP="00C74431">
      <w:pPr>
        <w:widowControl w:val="0"/>
        <w:jc w:val="both"/>
        <w:rPr>
          <w:sz w:val="22"/>
          <w:szCs w:val="22"/>
          <w:lang w:val="sr-Latn-ME"/>
        </w:rPr>
      </w:pPr>
      <w:r w:rsidRPr="002B09C8">
        <w:rPr>
          <w:sz w:val="22"/>
          <w:szCs w:val="22"/>
          <w:lang w:val="sr-Latn-ME"/>
        </w:rPr>
        <w:t xml:space="preserve">U studijama sprovedenim na miševima, rast i metastaza tumorskih ćelija </w:t>
      </w:r>
      <w:proofErr w:type="spellStart"/>
      <w:r w:rsidRPr="002B09C8">
        <w:rPr>
          <w:sz w:val="22"/>
          <w:szCs w:val="22"/>
          <w:lang w:val="sr-Latn-ME"/>
        </w:rPr>
        <w:t>melanoma</w:t>
      </w:r>
      <w:proofErr w:type="spellEnd"/>
      <w:r w:rsidRPr="002B09C8">
        <w:rPr>
          <w:sz w:val="22"/>
          <w:szCs w:val="22"/>
          <w:lang w:val="sr-Latn-ME"/>
        </w:rPr>
        <w:t xml:space="preserve"> i </w:t>
      </w:r>
      <w:proofErr w:type="spellStart"/>
      <w:r w:rsidRPr="002B09C8">
        <w:rPr>
          <w:sz w:val="22"/>
          <w:szCs w:val="22"/>
          <w:lang w:val="sr-Latn-ME"/>
        </w:rPr>
        <w:t>limfoblast</w:t>
      </w:r>
      <w:r w:rsidR="00A54362" w:rsidRPr="002B09C8">
        <w:rPr>
          <w:sz w:val="22"/>
          <w:szCs w:val="22"/>
          <w:lang w:val="sr-Latn-ME"/>
        </w:rPr>
        <w:t>n</w:t>
      </w:r>
      <w:r w:rsidRPr="002B09C8">
        <w:rPr>
          <w:sz w:val="22"/>
          <w:szCs w:val="22"/>
          <w:lang w:val="sr-Latn-ME"/>
        </w:rPr>
        <w:t>e</w:t>
      </w:r>
      <w:proofErr w:type="spellEnd"/>
      <w:r w:rsidRPr="002B09C8">
        <w:rPr>
          <w:sz w:val="22"/>
          <w:szCs w:val="22"/>
          <w:lang w:val="sr-Latn-ME"/>
        </w:rPr>
        <w:t xml:space="preserve"> leukemije nijesu bili povećani primjenom </w:t>
      </w:r>
      <w:proofErr w:type="spellStart"/>
      <w:r w:rsidRPr="002B09C8">
        <w:rPr>
          <w:sz w:val="22"/>
          <w:szCs w:val="22"/>
          <w:lang w:val="sr-Latn-ME"/>
        </w:rPr>
        <w:t>natalizumaba</w:t>
      </w:r>
      <w:proofErr w:type="spellEnd"/>
      <w:r w:rsidRPr="002B09C8">
        <w:rPr>
          <w:sz w:val="22"/>
          <w:szCs w:val="22"/>
          <w:lang w:val="sr-Latn-ME"/>
        </w:rPr>
        <w:t>.</w:t>
      </w:r>
    </w:p>
    <w:p w14:paraId="6A4C378F" w14:textId="77777777" w:rsidR="00364412" w:rsidRPr="002B09C8" w:rsidRDefault="00364412" w:rsidP="00C74431">
      <w:pPr>
        <w:widowControl w:val="0"/>
        <w:jc w:val="both"/>
        <w:rPr>
          <w:sz w:val="22"/>
          <w:szCs w:val="22"/>
          <w:lang w:val="sr-Latn-ME"/>
        </w:rPr>
      </w:pPr>
    </w:p>
    <w:p w14:paraId="08FC67BB" w14:textId="77777777" w:rsidR="00364412" w:rsidRPr="002B09C8" w:rsidRDefault="00364412" w:rsidP="00C74431">
      <w:pPr>
        <w:widowControl w:val="0"/>
        <w:jc w:val="both"/>
        <w:rPr>
          <w:sz w:val="22"/>
          <w:szCs w:val="22"/>
          <w:lang w:val="sr-Latn-ME"/>
        </w:rPr>
      </w:pPr>
      <w:proofErr w:type="spellStart"/>
      <w:r w:rsidRPr="002B09C8">
        <w:rPr>
          <w:sz w:val="22"/>
          <w:szCs w:val="22"/>
          <w:lang w:val="sr-Latn-ME"/>
        </w:rPr>
        <w:t>Klastogeni</w:t>
      </w:r>
      <w:proofErr w:type="spellEnd"/>
      <w:r w:rsidRPr="002B09C8">
        <w:rPr>
          <w:sz w:val="22"/>
          <w:szCs w:val="22"/>
          <w:lang w:val="sr-Latn-ME"/>
        </w:rPr>
        <w:t xml:space="preserve"> ili </w:t>
      </w:r>
      <w:proofErr w:type="spellStart"/>
      <w:r w:rsidRPr="002B09C8">
        <w:rPr>
          <w:sz w:val="22"/>
          <w:szCs w:val="22"/>
          <w:lang w:val="sr-Latn-ME"/>
        </w:rPr>
        <w:t>mutageni</w:t>
      </w:r>
      <w:proofErr w:type="spellEnd"/>
      <w:r w:rsidRPr="002B09C8">
        <w:rPr>
          <w:sz w:val="22"/>
          <w:szCs w:val="22"/>
          <w:lang w:val="sr-Latn-ME"/>
        </w:rPr>
        <w:t xml:space="preserve"> efekti </w:t>
      </w:r>
      <w:proofErr w:type="spellStart"/>
      <w:r w:rsidRPr="002B09C8">
        <w:rPr>
          <w:sz w:val="22"/>
          <w:szCs w:val="22"/>
          <w:lang w:val="sr-Latn-ME"/>
        </w:rPr>
        <w:t>natalizumaba</w:t>
      </w:r>
      <w:proofErr w:type="spellEnd"/>
      <w:r w:rsidRPr="002B09C8">
        <w:rPr>
          <w:sz w:val="22"/>
          <w:szCs w:val="22"/>
          <w:lang w:val="sr-Latn-ME"/>
        </w:rPr>
        <w:t xml:space="preserve"> nijesu primijećeni u </w:t>
      </w:r>
      <w:proofErr w:type="spellStart"/>
      <w:r w:rsidRPr="002B09C8">
        <w:rPr>
          <w:sz w:val="22"/>
          <w:szCs w:val="22"/>
          <w:lang w:val="sr-Latn-ME"/>
        </w:rPr>
        <w:t>Ames</w:t>
      </w:r>
      <w:proofErr w:type="spellEnd"/>
      <w:r w:rsidRPr="002B09C8">
        <w:rPr>
          <w:sz w:val="22"/>
          <w:szCs w:val="22"/>
          <w:lang w:val="sr-Latn-ME"/>
        </w:rPr>
        <w:t xml:space="preserve">-ovom testu ili testovima ljudskih </w:t>
      </w:r>
      <w:proofErr w:type="spellStart"/>
      <w:r w:rsidRPr="002B09C8">
        <w:rPr>
          <w:sz w:val="22"/>
          <w:szCs w:val="22"/>
          <w:lang w:val="sr-Latn-ME"/>
        </w:rPr>
        <w:t>hromozomskih</w:t>
      </w:r>
      <w:proofErr w:type="spellEnd"/>
      <w:r w:rsidRPr="002B09C8">
        <w:rPr>
          <w:sz w:val="22"/>
          <w:szCs w:val="22"/>
          <w:lang w:val="sr-Latn-ME"/>
        </w:rPr>
        <w:t xml:space="preserve"> aberacija. </w:t>
      </w:r>
      <w:proofErr w:type="spellStart"/>
      <w:r w:rsidRPr="002B09C8">
        <w:rPr>
          <w:sz w:val="22"/>
          <w:szCs w:val="22"/>
          <w:lang w:val="sr-Latn-ME"/>
        </w:rPr>
        <w:t>Natalizumab</w:t>
      </w:r>
      <w:proofErr w:type="spellEnd"/>
      <w:r w:rsidRPr="002B09C8">
        <w:rPr>
          <w:sz w:val="22"/>
          <w:szCs w:val="22"/>
          <w:lang w:val="sr-Latn-ME"/>
        </w:rPr>
        <w:t xml:space="preserve"> nije pokazao efekte na </w:t>
      </w:r>
      <w:r w:rsidRPr="002B09C8">
        <w:rPr>
          <w:i/>
          <w:sz w:val="22"/>
          <w:szCs w:val="22"/>
          <w:lang w:val="sr-Latn-ME"/>
        </w:rPr>
        <w:t xml:space="preserve">in </w:t>
      </w:r>
      <w:proofErr w:type="spellStart"/>
      <w:r w:rsidRPr="002B09C8">
        <w:rPr>
          <w:i/>
          <w:sz w:val="22"/>
          <w:szCs w:val="22"/>
          <w:lang w:val="sr-Latn-ME"/>
        </w:rPr>
        <w:t>vitro</w:t>
      </w:r>
      <w:proofErr w:type="spellEnd"/>
      <w:r w:rsidRPr="002B09C8">
        <w:rPr>
          <w:i/>
          <w:sz w:val="22"/>
          <w:szCs w:val="22"/>
          <w:lang w:val="sr-Latn-ME"/>
        </w:rPr>
        <w:t xml:space="preserve"> </w:t>
      </w:r>
      <w:r w:rsidRPr="002B09C8">
        <w:rPr>
          <w:sz w:val="22"/>
          <w:szCs w:val="22"/>
          <w:lang w:val="sr-Latn-ME"/>
        </w:rPr>
        <w:t>testove</w:t>
      </w:r>
      <w:r w:rsidRPr="002B09C8">
        <w:rPr>
          <w:i/>
          <w:sz w:val="22"/>
          <w:szCs w:val="22"/>
          <w:lang w:val="sr-Latn-ME"/>
        </w:rPr>
        <w:t xml:space="preserve"> </w:t>
      </w:r>
      <w:proofErr w:type="spellStart"/>
      <w:r w:rsidRPr="002B09C8">
        <w:rPr>
          <w:sz w:val="22"/>
          <w:szCs w:val="22"/>
          <w:lang w:val="sr-Latn-ME"/>
        </w:rPr>
        <w:t>proliferacije</w:t>
      </w:r>
      <w:proofErr w:type="spellEnd"/>
      <w:r w:rsidRPr="002B09C8">
        <w:rPr>
          <w:sz w:val="22"/>
          <w:szCs w:val="22"/>
          <w:lang w:val="sr-Latn-ME"/>
        </w:rPr>
        <w:t xml:space="preserve"> ili </w:t>
      </w:r>
      <w:proofErr w:type="spellStart"/>
      <w:r w:rsidRPr="002B09C8">
        <w:rPr>
          <w:sz w:val="22"/>
          <w:szCs w:val="22"/>
          <w:lang w:val="sr-Latn-ME"/>
        </w:rPr>
        <w:t>citotoksičnosti</w:t>
      </w:r>
      <w:proofErr w:type="spellEnd"/>
      <w:r w:rsidRPr="002B09C8">
        <w:rPr>
          <w:sz w:val="22"/>
          <w:szCs w:val="22"/>
          <w:lang w:val="sr-Latn-ME"/>
        </w:rPr>
        <w:t xml:space="preserve"> α4-integrin-pozitivne tumorske linije.</w:t>
      </w:r>
    </w:p>
    <w:p w14:paraId="5624314C" w14:textId="77777777" w:rsidR="00364412" w:rsidRPr="002B09C8" w:rsidRDefault="00364412" w:rsidP="00C74431">
      <w:pPr>
        <w:widowControl w:val="0"/>
        <w:jc w:val="both"/>
        <w:rPr>
          <w:sz w:val="22"/>
          <w:szCs w:val="22"/>
          <w:lang w:val="sr-Latn-ME"/>
        </w:rPr>
      </w:pPr>
    </w:p>
    <w:p w14:paraId="45840B93" w14:textId="77777777" w:rsidR="00364412" w:rsidRPr="002B09C8" w:rsidRDefault="00364412" w:rsidP="00C74431">
      <w:pPr>
        <w:widowControl w:val="0"/>
        <w:jc w:val="both"/>
        <w:rPr>
          <w:sz w:val="22"/>
          <w:szCs w:val="22"/>
          <w:lang w:val="sr-Latn-ME"/>
        </w:rPr>
      </w:pPr>
      <w:r w:rsidRPr="002B09C8">
        <w:rPr>
          <w:sz w:val="22"/>
          <w:szCs w:val="22"/>
          <w:lang w:val="sr-Latn-ME"/>
        </w:rPr>
        <w:t xml:space="preserve">Smanjenja plodnosti kod ženki zamorca primijećena su u jednoj studiji kod doza većih od doze za </w:t>
      </w:r>
      <w:proofErr w:type="spellStart"/>
      <w:r w:rsidRPr="002B09C8">
        <w:rPr>
          <w:sz w:val="22"/>
          <w:szCs w:val="22"/>
          <w:lang w:val="sr-Latn-ME"/>
        </w:rPr>
        <w:t>ljude</w:t>
      </w:r>
      <w:proofErr w:type="spellEnd"/>
      <w:r w:rsidRPr="002B09C8">
        <w:rPr>
          <w:sz w:val="22"/>
          <w:szCs w:val="22"/>
          <w:lang w:val="sr-Latn-ME"/>
        </w:rPr>
        <w:t xml:space="preserve">; </w:t>
      </w:r>
      <w:proofErr w:type="spellStart"/>
      <w:r w:rsidRPr="002B09C8">
        <w:rPr>
          <w:sz w:val="22"/>
          <w:szCs w:val="22"/>
          <w:lang w:val="sr-Latn-ME"/>
        </w:rPr>
        <w:t>natalizumab</w:t>
      </w:r>
      <w:proofErr w:type="spellEnd"/>
      <w:r w:rsidRPr="002B09C8">
        <w:rPr>
          <w:sz w:val="22"/>
          <w:szCs w:val="22"/>
          <w:lang w:val="sr-Latn-ME"/>
        </w:rPr>
        <w:t xml:space="preserve"> nije uticao na plodnost mužjaka.</w:t>
      </w:r>
    </w:p>
    <w:p w14:paraId="75BCCD82" w14:textId="77777777" w:rsidR="00364412" w:rsidRPr="002B09C8" w:rsidRDefault="00364412" w:rsidP="00C74431">
      <w:pPr>
        <w:widowControl w:val="0"/>
        <w:tabs>
          <w:tab w:val="left" w:pos="540"/>
          <w:tab w:val="left" w:pos="569"/>
        </w:tabs>
        <w:jc w:val="both"/>
        <w:rPr>
          <w:sz w:val="22"/>
          <w:szCs w:val="22"/>
          <w:lang w:val="sr-Latn-ME"/>
        </w:rPr>
      </w:pPr>
    </w:p>
    <w:p w14:paraId="6724DC86" w14:textId="60755507" w:rsidR="00364412" w:rsidRPr="002B09C8" w:rsidRDefault="00364412" w:rsidP="00C74431">
      <w:pPr>
        <w:widowControl w:val="0"/>
        <w:tabs>
          <w:tab w:val="left" w:pos="540"/>
          <w:tab w:val="left" w:pos="569"/>
        </w:tabs>
        <w:jc w:val="both"/>
        <w:rPr>
          <w:bCs/>
          <w:sz w:val="22"/>
          <w:szCs w:val="22"/>
          <w:lang w:val="sr-Latn-ME"/>
        </w:rPr>
      </w:pPr>
      <w:r w:rsidRPr="002B09C8">
        <w:rPr>
          <w:sz w:val="22"/>
          <w:szCs w:val="22"/>
          <w:lang w:val="sr-Latn-ME"/>
        </w:rPr>
        <w:t xml:space="preserve">Uticaj </w:t>
      </w:r>
      <w:proofErr w:type="spellStart"/>
      <w:r w:rsidRPr="002B09C8">
        <w:rPr>
          <w:sz w:val="22"/>
          <w:szCs w:val="22"/>
          <w:lang w:val="sr-Latn-ME"/>
        </w:rPr>
        <w:t>natalizumaba</w:t>
      </w:r>
      <w:proofErr w:type="spellEnd"/>
      <w:r w:rsidRPr="002B09C8">
        <w:rPr>
          <w:sz w:val="22"/>
          <w:szCs w:val="22"/>
          <w:lang w:val="sr-Latn-ME"/>
        </w:rPr>
        <w:t xml:space="preserve"> na reprodukciju ispitan je u 5 studija, 3 na zamorcima i 2 na majmunima </w:t>
      </w:r>
      <w:proofErr w:type="spellStart"/>
      <w:r w:rsidRPr="002B09C8">
        <w:rPr>
          <w:sz w:val="22"/>
          <w:szCs w:val="22"/>
          <w:lang w:val="sr-Latn-ME"/>
        </w:rPr>
        <w:t>C</w:t>
      </w:r>
      <w:r w:rsidRPr="002B09C8">
        <w:rPr>
          <w:i/>
          <w:sz w:val="22"/>
          <w:szCs w:val="22"/>
          <w:lang w:val="sr-Latn-ME"/>
        </w:rPr>
        <w:t>ynomolgus</w:t>
      </w:r>
      <w:proofErr w:type="spellEnd"/>
      <w:r w:rsidRPr="002B09C8">
        <w:rPr>
          <w:sz w:val="22"/>
          <w:szCs w:val="22"/>
          <w:lang w:val="sr-Latn-ME"/>
        </w:rPr>
        <w:t xml:space="preserve">. Ove studije nijesu dokazale </w:t>
      </w:r>
      <w:proofErr w:type="spellStart"/>
      <w:r w:rsidRPr="002B09C8">
        <w:rPr>
          <w:sz w:val="22"/>
          <w:szCs w:val="22"/>
          <w:lang w:val="sr-Latn-ME"/>
        </w:rPr>
        <w:t>teratogene</w:t>
      </w:r>
      <w:proofErr w:type="spellEnd"/>
      <w:r w:rsidRPr="002B09C8">
        <w:rPr>
          <w:sz w:val="22"/>
          <w:szCs w:val="22"/>
          <w:lang w:val="sr-Latn-ME"/>
        </w:rPr>
        <w:t xml:space="preserve"> efekte ili uticaje na rast mladunčadi. U jednoj studiji na zamorcima zabilježeno je malo smanjenje preživljavanja mladunčadi. U studiji na majmunima broj pobačaja bio je udvostručen u grupama koje su primale 30 mg/kg </w:t>
      </w:r>
      <w:proofErr w:type="spellStart"/>
      <w:r w:rsidRPr="002B09C8">
        <w:rPr>
          <w:sz w:val="22"/>
          <w:szCs w:val="22"/>
          <w:lang w:val="sr-Latn-ME"/>
        </w:rPr>
        <w:t>natalizumaba</w:t>
      </w:r>
      <w:proofErr w:type="spellEnd"/>
      <w:r w:rsidRPr="002B09C8">
        <w:rPr>
          <w:sz w:val="22"/>
          <w:szCs w:val="22"/>
          <w:lang w:val="sr-Latn-ME"/>
        </w:rPr>
        <w:t xml:space="preserve"> u odnosu na kontrolne grupe. To je bio rezultat visoke učestalosti pobačaja u liječenim grupama u prvoj grupi majmuna koji su primali lijek, što nije primijećeno u drugoj grupi. Uticaj na stopu pobačaja nije zabilježen u nekoj drugoj studiji. Studija na skotnim ženkama majmunima </w:t>
      </w:r>
      <w:proofErr w:type="spellStart"/>
      <w:r w:rsidRPr="002B09C8">
        <w:rPr>
          <w:sz w:val="22"/>
          <w:szCs w:val="22"/>
          <w:lang w:val="sr-Latn-ME"/>
        </w:rPr>
        <w:t>C</w:t>
      </w:r>
      <w:r w:rsidRPr="002B09C8">
        <w:rPr>
          <w:i/>
          <w:sz w:val="22"/>
          <w:szCs w:val="22"/>
          <w:lang w:val="sr-Latn-ME"/>
        </w:rPr>
        <w:t>ynomolgus</w:t>
      </w:r>
      <w:proofErr w:type="spellEnd"/>
      <w:r w:rsidRPr="002B09C8">
        <w:rPr>
          <w:i/>
          <w:sz w:val="22"/>
          <w:szCs w:val="22"/>
          <w:lang w:val="sr-Latn-ME"/>
        </w:rPr>
        <w:t xml:space="preserve"> </w:t>
      </w:r>
      <w:r w:rsidRPr="002B09C8">
        <w:rPr>
          <w:sz w:val="22"/>
          <w:szCs w:val="22"/>
          <w:lang w:val="sr-Latn-ME"/>
        </w:rPr>
        <w:t xml:space="preserve">pokazala je promjene na fetusu vezane za </w:t>
      </w:r>
      <w:proofErr w:type="spellStart"/>
      <w:r w:rsidRPr="002B09C8">
        <w:rPr>
          <w:sz w:val="22"/>
          <w:szCs w:val="22"/>
          <w:lang w:val="sr-Latn-ME"/>
        </w:rPr>
        <w:t>natalizumab</w:t>
      </w:r>
      <w:proofErr w:type="spellEnd"/>
      <w:r w:rsidRPr="002B09C8">
        <w:rPr>
          <w:sz w:val="22"/>
          <w:szCs w:val="22"/>
          <w:lang w:val="sr-Latn-ME"/>
        </w:rPr>
        <w:t xml:space="preserve"> koje su uključile blagu anemiju, smanjen broj </w:t>
      </w:r>
      <w:proofErr w:type="spellStart"/>
      <w:r w:rsidRPr="002B09C8">
        <w:rPr>
          <w:sz w:val="22"/>
          <w:szCs w:val="22"/>
          <w:lang w:val="sr-Latn-ME"/>
        </w:rPr>
        <w:t>trombocita</w:t>
      </w:r>
      <w:proofErr w:type="spellEnd"/>
      <w:r w:rsidRPr="002B09C8">
        <w:rPr>
          <w:sz w:val="22"/>
          <w:szCs w:val="22"/>
          <w:lang w:val="sr-Latn-ME"/>
        </w:rPr>
        <w:t xml:space="preserve">, povećanu težinu slezine i smanjene težine jetre i </w:t>
      </w:r>
      <w:proofErr w:type="spellStart"/>
      <w:r w:rsidRPr="002B09C8">
        <w:rPr>
          <w:sz w:val="22"/>
          <w:szCs w:val="22"/>
          <w:lang w:val="sr-Latn-ME"/>
        </w:rPr>
        <w:t>timusa</w:t>
      </w:r>
      <w:proofErr w:type="spellEnd"/>
      <w:r w:rsidRPr="002B09C8">
        <w:rPr>
          <w:sz w:val="22"/>
          <w:szCs w:val="22"/>
          <w:lang w:val="sr-Latn-ME"/>
        </w:rPr>
        <w:t xml:space="preserve">. Ove promjene bile su povezane sa povećanom </w:t>
      </w:r>
      <w:proofErr w:type="spellStart"/>
      <w:r w:rsidRPr="002B09C8">
        <w:rPr>
          <w:sz w:val="22"/>
          <w:szCs w:val="22"/>
          <w:lang w:val="sr-Latn-ME"/>
        </w:rPr>
        <w:t>ekstramedularnom</w:t>
      </w:r>
      <w:proofErr w:type="spellEnd"/>
      <w:r w:rsidRPr="002B09C8">
        <w:rPr>
          <w:sz w:val="22"/>
          <w:szCs w:val="22"/>
          <w:lang w:val="sr-Latn-ME"/>
        </w:rPr>
        <w:t xml:space="preserve"> </w:t>
      </w:r>
      <w:proofErr w:type="spellStart"/>
      <w:r w:rsidRPr="002B09C8">
        <w:rPr>
          <w:sz w:val="22"/>
          <w:szCs w:val="22"/>
          <w:lang w:val="sr-Latn-ME"/>
        </w:rPr>
        <w:t>hematopoezom</w:t>
      </w:r>
      <w:proofErr w:type="spellEnd"/>
      <w:r w:rsidRPr="002B09C8">
        <w:rPr>
          <w:sz w:val="22"/>
          <w:szCs w:val="22"/>
          <w:lang w:val="sr-Latn-ME"/>
        </w:rPr>
        <w:t xml:space="preserve"> u slezini, atrofijom </w:t>
      </w:r>
      <w:proofErr w:type="spellStart"/>
      <w:r w:rsidRPr="002B09C8">
        <w:rPr>
          <w:sz w:val="22"/>
          <w:szCs w:val="22"/>
          <w:lang w:val="sr-Latn-ME"/>
        </w:rPr>
        <w:t>timusa</w:t>
      </w:r>
      <w:proofErr w:type="spellEnd"/>
      <w:r w:rsidRPr="002B09C8">
        <w:rPr>
          <w:sz w:val="22"/>
          <w:szCs w:val="22"/>
          <w:lang w:val="sr-Latn-ME"/>
        </w:rPr>
        <w:t xml:space="preserve"> i smanjenom </w:t>
      </w:r>
      <w:proofErr w:type="spellStart"/>
      <w:r w:rsidRPr="002B09C8">
        <w:rPr>
          <w:sz w:val="22"/>
          <w:szCs w:val="22"/>
          <w:lang w:val="sr-Latn-ME"/>
        </w:rPr>
        <w:t>hepatič</w:t>
      </w:r>
      <w:r w:rsidR="00A54362" w:rsidRPr="002B09C8">
        <w:rPr>
          <w:sz w:val="22"/>
          <w:szCs w:val="22"/>
          <w:lang w:val="sr-Latn-ME"/>
        </w:rPr>
        <w:t>n</w:t>
      </w:r>
      <w:r w:rsidRPr="002B09C8">
        <w:rPr>
          <w:sz w:val="22"/>
          <w:szCs w:val="22"/>
          <w:lang w:val="sr-Latn-ME"/>
        </w:rPr>
        <w:t>om</w:t>
      </w:r>
      <w:proofErr w:type="spellEnd"/>
      <w:r w:rsidRPr="002B09C8">
        <w:rPr>
          <w:sz w:val="22"/>
          <w:szCs w:val="22"/>
          <w:lang w:val="sr-Latn-ME"/>
        </w:rPr>
        <w:t xml:space="preserve"> </w:t>
      </w:r>
      <w:proofErr w:type="spellStart"/>
      <w:r w:rsidRPr="002B09C8">
        <w:rPr>
          <w:sz w:val="22"/>
          <w:szCs w:val="22"/>
          <w:lang w:val="sr-Latn-ME"/>
        </w:rPr>
        <w:t>hematopoezom</w:t>
      </w:r>
      <w:proofErr w:type="spellEnd"/>
      <w:r w:rsidRPr="002B09C8">
        <w:rPr>
          <w:sz w:val="22"/>
          <w:szCs w:val="22"/>
          <w:lang w:val="sr-Latn-ME"/>
        </w:rPr>
        <w:t xml:space="preserve">. Broj </w:t>
      </w:r>
      <w:proofErr w:type="spellStart"/>
      <w:r w:rsidRPr="002B09C8">
        <w:rPr>
          <w:sz w:val="22"/>
          <w:szCs w:val="22"/>
          <w:lang w:val="sr-Latn-ME"/>
        </w:rPr>
        <w:t>trombocita</w:t>
      </w:r>
      <w:proofErr w:type="spellEnd"/>
      <w:r w:rsidRPr="002B09C8">
        <w:rPr>
          <w:sz w:val="22"/>
          <w:szCs w:val="22"/>
          <w:lang w:val="sr-Latn-ME"/>
        </w:rPr>
        <w:t xml:space="preserve"> je takođe bio smanjen kod mladunčadi majki koje su primale </w:t>
      </w:r>
      <w:proofErr w:type="spellStart"/>
      <w:r w:rsidRPr="002B09C8">
        <w:rPr>
          <w:sz w:val="22"/>
          <w:szCs w:val="22"/>
          <w:lang w:val="sr-Latn-ME"/>
        </w:rPr>
        <w:t>natalizumab</w:t>
      </w:r>
      <w:proofErr w:type="spellEnd"/>
      <w:r w:rsidRPr="002B09C8">
        <w:rPr>
          <w:sz w:val="22"/>
          <w:szCs w:val="22"/>
          <w:lang w:val="sr-Latn-ME"/>
        </w:rPr>
        <w:t xml:space="preserve"> sve do poroda, ali ipak nije bilo dokaza anemije kod ove mladunčadi. Sve promjene su primijećene kod doza viših od doze za </w:t>
      </w:r>
      <w:proofErr w:type="spellStart"/>
      <w:r w:rsidRPr="002B09C8">
        <w:rPr>
          <w:sz w:val="22"/>
          <w:szCs w:val="22"/>
          <w:lang w:val="sr-Latn-ME"/>
        </w:rPr>
        <w:t>ljude</w:t>
      </w:r>
      <w:proofErr w:type="spellEnd"/>
      <w:r w:rsidRPr="002B09C8">
        <w:rPr>
          <w:sz w:val="22"/>
          <w:szCs w:val="22"/>
          <w:lang w:val="sr-Latn-ME"/>
        </w:rPr>
        <w:t xml:space="preserve"> te su se povukle nakon </w:t>
      </w:r>
      <w:proofErr w:type="spellStart"/>
      <w:r w:rsidRPr="002B09C8">
        <w:rPr>
          <w:sz w:val="22"/>
          <w:szCs w:val="22"/>
          <w:lang w:val="sr-Latn-ME"/>
        </w:rPr>
        <w:t>klirensa</w:t>
      </w:r>
      <w:proofErr w:type="spellEnd"/>
      <w:r w:rsidRPr="002B09C8">
        <w:rPr>
          <w:sz w:val="22"/>
          <w:szCs w:val="22"/>
          <w:lang w:val="sr-Latn-ME"/>
        </w:rPr>
        <w:t xml:space="preserve"> </w:t>
      </w:r>
      <w:proofErr w:type="spellStart"/>
      <w:r w:rsidRPr="002B09C8">
        <w:rPr>
          <w:sz w:val="22"/>
          <w:szCs w:val="22"/>
          <w:lang w:val="sr-Latn-ME"/>
        </w:rPr>
        <w:t>natalizumaba</w:t>
      </w:r>
      <w:proofErr w:type="spellEnd"/>
      <w:r w:rsidRPr="002B09C8">
        <w:rPr>
          <w:sz w:val="22"/>
          <w:szCs w:val="22"/>
          <w:lang w:val="sr-Latn-ME"/>
        </w:rPr>
        <w:t>.</w:t>
      </w:r>
    </w:p>
    <w:p w14:paraId="0C2CFAE4" w14:textId="77777777" w:rsidR="00364412" w:rsidRPr="002B09C8" w:rsidRDefault="00364412" w:rsidP="00C74431">
      <w:pPr>
        <w:widowControl w:val="0"/>
        <w:jc w:val="both"/>
        <w:rPr>
          <w:sz w:val="22"/>
          <w:szCs w:val="22"/>
          <w:lang w:val="sr-Latn-ME"/>
        </w:rPr>
      </w:pPr>
    </w:p>
    <w:p w14:paraId="34A1BA1F" w14:textId="7713E52F" w:rsidR="00364412" w:rsidRPr="002B09C8" w:rsidRDefault="00364412" w:rsidP="00C74431">
      <w:pPr>
        <w:widowControl w:val="0"/>
        <w:jc w:val="both"/>
        <w:rPr>
          <w:sz w:val="22"/>
          <w:szCs w:val="22"/>
          <w:lang w:val="sr-Latn-ME"/>
        </w:rPr>
      </w:pPr>
      <w:r w:rsidRPr="002B09C8">
        <w:rPr>
          <w:sz w:val="22"/>
          <w:szCs w:val="22"/>
          <w:lang w:val="sr-Latn-ME"/>
        </w:rPr>
        <w:t xml:space="preserve">Kod ženki majmuna </w:t>
      </w:r>
      <w:proofErr w:type="spellStart"/>
      <w:r w:rsidRPr="002B09C8">
        <w:rPr>
          <w:sz w:val="22"/>
          <w:szCs w:val="22"/>
          <w:lang w:val="sr-Latn-ME"/>
        </w:rPr>
        <w:t>C</w:t>
      </w:r>
      <w:r w:rsidRPr="002B09C8">
        <w:rPr>
          <w:i/>
          <w:sz w:val="22"/>
          <w:szCs w:val="22"/>
          <w:lang w:val="sr-Latn-ME"/>
        </w:rPr>
        <w:t>ynomolgus</w:t>
      </w:r>
      <w:proofErr w:type="spellEnd"/>
      <w:r w:rsidRPr="002B09C8">
        <w:rPr>
          <w:i/>
          <w:sz w:val="22"/>
          <w:szCs w:val="22"/>
          <w:lang w:val="sr-Latn-ME"/>
        </w:rPr>
        <w:t xml:space="preserve"> </w:t>
      </w:r>
      <w:r w:rsidRPr="002B09C8">
        <w:rPr>
          <w:sz w:val="22"/>
          <w:szCs w:val="22"/>
          <w:lang w:val="sr-Latn-ME"/>
        </w:rPr>
        <w:t xml:space="preserve">koje su primale </w:t>
      </w:r>
      <w:proofErr w:type="spellStart"/>
      <w:r w:rsidRPr="002B09C8">
        <w:rPr>
          <w:sz w:val="22"/>
          <w:szCs w:val="22"/>
          <w:lang w:val="sr-Latn-ME"/>
        </w:rPr>
        <w:t>natalizumab</w:t>
      </w:r>
      <w:proofErr w:type="spellEnd"/>
      <w:r w:rsidRPr="002B09C8">
        <w:rPr>
          <w:sz w:val="22"/>
          <w:szCs w:val="22"/>
          <w:lang w:val="sr-Latn-ME"/>
        </w:rPr>
        <w:t xml:space="preserve"> sve do poroda, </w:t>
      </w:r>
      <w:r w:rsidR="00C35CD6" w:rsidRPr="002B09C8">
        <w:rPr>
          <w:sz w:val="22"/>
          <w:szCs w:val="22"/>
          <w:lang w:val="sr-Latn-ME"/>
        </w:rPr>
        <w:t>male koncentracije</w:t>
      </w:r>
      <w:r w:rsidRPr="002B09C8">
        <w:rPr>
          <w:sz w:val="22"/>
          <w:szCs w:val="22"/>
          <w:lang w:val="sr-Latn-ME"/>
        </w:rPr>
        <w:t xml:space="preserve"> </w:t>
      </w:r>
      <w:proofErr w:type="spellStart"/>
      <w:r w:rsidRPr="002B09C8">
        <w:rPr>
          <w:sz w:val="22"/>
          <w:szCs w:val="22"/>
          <w:lang w:val="sr-Latn-ME"/>
        </w:rPr>
        <w:t>natalizumaba</w:t>
      </w:r>
      <w:proofErr w:type="spellEnd"/>
      <w:r w:rsidRPr="002B09C8">
        <w:rPr>
          <w:sz w:val="22"/>
          <w:szCs w:val="22"/>
          <w:lang w:val="sr-Latn-ME"/>
        </w:rPr>
        <w:t xml:space="preserve"> pronađeni su u majčinom mlijeku nekih životinja.</w:t>
      </w:r>
    </w:p>
    <w:p w14:paraId="3B6E0111" w14:textId="77777777" w:rsidR="00364412" w:rsidRPr="002B09C8" w:rsidRDefault="00364412" w:rsidP="00C74431">
      <w:pPr>
        <w:widowControl w:val="0"/>
        <w:jc w:val="both"/>
        <w:rPr>
          <w:sz w:val="22"/>
          <w:szCs w:val="22"/>
          <w:lang w:val="sr-Latn-ME"/>
        </w:rPr>
      </w:pPr>
    </w:p>
    <w:p w14:paraId="062BBFCC" w14:textId="77777777" w:rsidR="00396DFD" w:rsidRPr="002B09C8" w:rsidRDefault="00396DFD" w:rsidP="00C74431">
      <w:pPr>
        <w:widowControl w:val="0"/>
        <w:tabs>
          <w:tab w:val="left" w:pos="540"/>
          <w:tab w:val="left" w:pos="569"/>
        </w:tabs>
        <w:jc w:val="both"/>
        <w:rPr>
          <w:b/>
          <w:bCs/>
          <w:sz w:val="22"/>
          <w:szCs w:val="22"/>
          <w:lang w:val="sr-Latn-ME"/>
        </w:rPr>
      </w:pPr>
    </w:p>
    <w:p w14:paraId="5769A7AF"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6. </w:t>
      </w:r>
      <w:r w:rsidR="00480FB1" w:rsidRPr="002B09C8">
        <w:rPr>
          <w:b/>
          <w:bCs/>
          <w:sz w:val="22"/>
          <w:szCs w:val="22"/>
          <w:lang w:val="sr-Latn-ME"/>
        </w:rPr>
        <w:tab/>
      </w:r>
      <w:r w:rsidRPr="002B09C8">
        <w:rPr>
          <w:b/>
          <w:bCs/>
          <w:sz w:val="22"/>
          <w:szCs w:val="22"/>
          <w:lang w:val="sr-Latn-ME"/>
        </w:rPr>
        <w:t>FARMACEUTSKI PODACI</w:t>
      </w:r>
    </w:p>
    <w:p w14:paraId="0B52D5B8" w14:textId="77777777" w:rsidR="00836B35" w:rsidRPr="002B09C8" w:rsidRDefault="00836B35" w:rsidP="00C74431">
      <w:pPr>
        <w:widowControl w:val="0"/>
        <w:tabs>
          <w:tab w:val="left" w:pos="540"/>
          <w:tab w:val="left" w:pos="569"/>
        </w:tabs>
        <w:jc w:val="both"/>
        <w:rPr>
          <w:bCs/>
          <w:sz w:val="22"/>
          <w:szCs w:val="22"/>
          <w:lang w:val="sr-Latn-ME"/>
        </w:rPr>
      </w:pPr>
    </w:p>
    <w:p w14:paraId="03DDB1F7"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6.1. </w:t>
      </w:r>
      <w:r w:rsidR="00480FB1" w:rsidRPr="002B09C8">
        <w:rPr>
          <w:b/>
          <w:bCs/>
          <w:sz w:val="22"/>
          <w:szCs w:val="22"/>
          <w:lang w:val="sr-Latn-ME"/>
        </w:rPr>
        <w:tab/>
      </w:r>
      <w:r w:rsidRPr="002B09C8">
        <w:rPr>
          <w:b/>
          <w:bCs/>
          <w:sz w:val="22"/>
          <w:szCs w:val="22"/>
          <w:lang w:val="sr-Latn-ME"/>
        </w:rPr>
        <w:t>Lista pomoćnih supstanci</w:t>
      </w:r>
      <w:r w:rsidR="002E0135" w:rsidRPr="002B09C8">
        <w:rPr>
          <w:b/>
          <w:bCs/>
          <w:sz w:val="22"/>
          <w:szCs w:val="22"/>
          <w:lang w:val="sr-Latn-ME"/>
        </w:rPr>
        <w:t xml:space="preserve"> (</w:t>
      </w:r>
      <w:proofErr w:type="spellStart"/>
      <w:r w:rsidR="002E0135" w:rsidRPr="002B09C8">
        <w:rPr>
          <w:b/>
          <w:bCs/>
          <w:sz w:val="22"/>
          <w:szCs w:val="22"/>
          <w:lang w:val="sr-Latn-ME"/>
        </w:rPr>
        <w:t>ekscipijenasa</w:t>
      </w:r>
      <w:proofErr w:type="spellEnd"/>
      <w:r w:rsidR="002E0135" w:rsidRPr="002B09C8">
        <w:rPr>
          <w:b/>
          <w:bCs/>
          <w:sz w:val="22"/>
          <w:szCs w:val="22"/>
          <w:lang w:val="sr-Latn-ME"/>
        </w:rPr>
        <w:t>)</w:t>
      </w:r>
    </w:p>
    <w:p w14:paraId="6B00F418" w14:textId="77777777" w:rsidR="0072020E" w:rsidRPr="002B09C8" w:rsidRDefault="0072020E" w:rsidP="00C74431">
      <w:pPr>
        <w:widowControl w:val="0"/>
        <w:tabs>
          <w:tab w:val="left" w:pos="540"/>
          <w:tab w:val="left" w:pos="569"/>
        </w:tabs>
        <w:jc w:val="both"/>
        <w:rPr>
          <w:bCs/>
          <w:sz w:val="22"/>
          <w:szCs w:val="22"/>
          <w:lang w:val="sr-Latn-ME"/>
        </w:rPr>
      </w:pPr>
    </w:p>
    <w:p w14:paraId="1EA132BC" w14:textId="104BCDFB" w:rsidR="00364412" w:rsidRPr="002B09C8" w:rsidRDefault="00364412" w:rsidP="00C74431">
      <w:pPr>
        <w:widowControl w:val="0"/>
        <w:jc w:val="both"/>
        <w:rPr>
          <w:sz w:val="22"/>
          <w:szCs w:val="22"/>
          <w:lang w:val="sr-Latn-ME"/>
        </w:rPr>
      </w:pPr>
      <w:r w:rsidRPr="002B09C8">
        <w:rPr>
          <w:sz w:val="22"/>
          <w:szCs w:val="22"/>
          <w:lang w:val="sr-Latn-ME"/>
        </w:rPr>
        <w:t xml:space="preserve">Natrijum </w:t>
      </w:r>
      <w:proofErr w:type="spellStart"/>
      <w:r w:rsidRPr="002B09C8">
        <w:rPr>
          <w:sz w:val="22"/>
          <w:szCs w:val="22"/>
          <w:lang w:val="sr-Latn-ME"/>
        </w:rPr>
        <w:t>dihidrogen</w:t>
      </w:r>
      <w:proofErr w:type="spellEnd"/>
      <w:r w:rsidR="00A54362" w:rsidRPr="002B09C8">
        <w:rPr>
          <w:sz w:val="22"/>
          <w:szCs w:val="22"/>
          <w:lang w:val="sr-Latn-ME"/>
        </w:rPr>
        <w:t xml:space="preserve"> </w:t>
      </w:r>
      <w:r w:rsidRPr="002B09C8">
        <w:rPr>
          <w:sz w:val="22"/>
          <w:szCs w:val="22"/>
          <w:lang w:val="sr-Latn-ME"/>
        </w:rPr>
        <w:t xml:space="preserve">fosfat </w:t>
      </w:r>
      <w:proofErr w:type="spellStart"/>
      <w:r w:rsidRPr="002B09C8">
        <w:rPr>
          <w:sz w:val="22"/>
          <w:szCs w:val="22"/>
          <w:lang w:val="sr-Latn-ME"/>
        </w:rPr>
        <w:t>monohidrat</w:t>
      </w:r>
      <w:proofErr w:type="spellEnd"/>
    </w:p>
    <w:p w14:paraId="29240D12" w14:textId="4729C0E5" w:rsidR="00364412" w:rsidRPr="002B09C8" w:rsidRDefault="00364412" w:rsidP="00C74431">
      <w:pPr>
        <w:widowControl w:val="0"/>
        <w:jc w:val="both"/>
        <w:rPr>
          <w:sz w:val="22"/>
          <w:szCs w:val="22"/>
          <w:lang w:val="sr-Latn-ME"/>
        </w:rPr>
      </w:pPr>
      <w:proofErr w:type="spellStart"/>
      <w:r w:rsidRPr="002B09C8">
        <w:rPr>
          <w:sz w:val="22"/>
          <w:szCs w:val="22"/>
          <w:lang w:val="sr-Latn-ME"/>
        </w:rPr>
        <w:t>Dinatrijum</w:t>
      </w:r>
      <w:proofErr w:type="spellEnd"/>
      <w:r w:rsidRPr="002B09C8">
        <w:rPr>
          <w:sz w:val="22"/>
          <w:szCs w:val="22"/>
          <w:lang w:val="sr-Latn-ME"/>
        </w:rPr>
        <w:t xml:space="preserve"> fosfat </w:t>
      </w:r>
      <w:proofErr w:type="spellStart"/>
      <w:r w:rsidRPr="002B09C8">
        <w:rPr>
          <w:sz w:val="22"/>
          <w:szCs w:val="22"/>
          <w:lang w:val="sr-Latn-ME"/>
        </w:rPr>
        <w:t>heptahidrat</w:t>
      </w:r>
      <w:proofErr w:type="spellEnd"/>
    </w:p>
    <w:p w14:paraId="67163CE9" w14:textId="77777777" w:rsidR="00364412" w:rsidRPr="002B09C8" w:rsidRDefault="00364412" w:rsidP="00C74431">
      <w:pPr>
        <w:widowControl w:val="0"/>
        <w:jc w:val="both"/>
        <w:rPr>
          <w:sz w:val="22"/>
          <w:szCs w:val="22"/>
          <w:lang w:val="sr-Latn-ME"/>
        </w:rPr>
      </w:pPr>
      <w:r w:rsidRPr="002B09C8">
        <w:rPr>
          <w:sz w:val="22"/>
          <w:szCs w:val="22"/>
          <w:lang w:val="sr-Latn-ME"/>
        </w:rPr>
        <w:t>Natrijum hlorid</w:t>
      </w:r>
    </w:p>
    <w:p w14:paraId="5B2B9A86" w14:textId="77777777" w:rsidR="00364412" w:rsidRPr="002B09C8" w:rsidRDefault="00364412" w:rsidP="00C74431">
      <w:pPr>
        <w:widowControl w:val="0"/>
        <w:jc w:val="both"/>
        <w:rPr>
          <w:sz w:val="22"/>
          <w:szCs w:val="22"/>
          <w:lang w:val="sr-Latn-ME"/>
        </w:rPr>
      </w:pPr>
      <w:proofErr w:type="spellStart"/>
      <w:r w:rsidRPr="002B09C8">
        <w:rPr>
          <w:sz w:val="22"/>
          <w:szCs w:val="22"/>
          <w:lang w:val="sr-Latn-ME"/>
        </w:rPr>
        <w:t>Polisorbat</w:t>
      </w:r>
      <w:proofErr w:type="spellEnd"/>
      <w:r w:rsidRPr="002B09C8">
        <w:rPr>
          <w:sz w:val="22"/>
          <w:szCs w:val="22"/>
          <w:lang w:val="sr-Latn-ME"/>
        </w:rPr>
        <w:t xml:space="preserve"> 80 (E433)</w:t>
      </w:r>
    </w:p>
    <w:p w14:paraId="32D3E564" w14:textId="77777777" w:rsidR="00364412" w:rsidRPr="002B09C8" w:rsidRDefault="00364412" w:rsidP="00C74431">
      <w:pPr>
        <w:widowControl w:val="0"/>
        <w:jc w:val="both"/>
        <w:rPr>
          <w:sz w:val="22"/>
          <w:szCs w:val="22"/>
          <w:lang w:val="sr-Latn-ME"/>
        </w:rPr>
      </w:pPr>
      <w:r w:rsidRPr="002B09C8">
        <w:rPr>
          <w:sz w:val="22"/>
          <w:szCs w:val="22"/>
          <w:lang w:val="sr-Latn-ME"/>
        </w:rPr>
        <w:t>Voda za injekcije</w:t>
      </w:r>
    </w:p>
    <w:p w14:paraId="0613F796" w14:textId="77777777" w:rsidR="00364412" w:rsidRPr="002B09C8" w:rsidRDefault="00364412" w:rsidP="00C74431">
      <w:pPr>
        <w:widowControl w:val="0"/>
        <w:tabs>
          <w:tab w:val="left" w:pos="540"/>
          <w:tab w:val="left" w:pos="569"/>
        </w:tabs>
        <w:jc w:val="both"/>
        <w:rPr>
          <w:bCs/>
          <w:sz w:val="22"/>
          <w:szCs w:val="22"/>
          <w:lang w:val="sr-Latn-ME"/>
        </w:rPr>
      </w:pPr>
    </w:p>
    <w:p w14:paraId="470DE931"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6.2. </w:t>
      </w:r>
      <w:r w:rsidR="00480FB1" w:rsidRPr="002B09C8">
        <w:rPr>
          <w:b/>
          <w:bCs/>
          <w:sz w:val="22"/>
          <w:szCs w:val="22"/>
          <w:lang w:val="sr-Latn-ME"/>
        </w:rPr>
        <w:tab/>
      </w:r>
      <w:r w:rsidRPr="002B09C8">
        <w:rPr>
          <w:b/>
          <w:bCs/>
          <w:sz w:val="22"/>
          <w:szCs w:val="22"/>
          <w:lang w:val="sr-Latn-ME"/>
        </w:rPr>
        <w:t>Inkompatibilnost</w:t>
      </w:r>
      <w:r w:rsidR="002846DB" w:rsidRPr="002B09C8">
        <w:rPr>
          <w:b/>
          <w:bCs/>
          <w:sz w:val="22"/>
          <w:szCs w:val="22"/>
          <w:lang w:val="sr-Latn-ME"/>
        </w:rPr>
        <w:t>i</w:t>
      </w:r>
    </w:p>
    <w:p w14:paraId="7BB7E360" w14:textId="77777777" w:rsidR="0072020E" w:rsidRPr="002B09C8" w:rsidRDefault="0072020E" w:rsidP="00C74431">
      <w:pPr>
        <w:widowControl w:val="0"/>
        <w:tabs>
          <w:tab w:val="left" w:pos="540"/>
          <w:tab w:val="left" w:pos="569"/>
        </w:tabs>
        <w:jc w:val="both"/>
        <w:rPr>
          <w:bCs/>
          <w:sz w:val="22"/>
          <w:szCs w:val="22"/>
          <w:lang w:val="sr-Latn-ME"/>
        </w:rPr>
      </w:pPr>
    </w:p>
    <w:p w14:paraId="589ACD43" w14:textId="27D9D933" w:rsidR="00364412" w:rsidRPr="002B09C8" w:rsidRDefault="00364412" w:rsidP="00C74431">
      <w:pPr>
        <w:widowControl w:val="0"/>
        <w:jc w:val="both"/>
        <w:rPr>
          <w:sz w:val="22"/>
          <w:szCs w:val="22"/>
          <w:lang w:val="sr-Latn-ME"/>
        </w:rPr>
      </w:pPr>
      <w:r w:rsidRPr="002B09C8">
        <w:rPr>
          <w:sz w:val="22"/>
          <w:szCs w:val="22"/>
          <w:lang w:val="sr-Latn-ME"/>
        </w:rPr>
        <w:t xml:space="preserve">Lijek </w:t>
      </w:r>
      <w:proofErr w:type="spellStart"/>
      <w:r w:rsidR="008D3939" w:rsidRPr="002B09C8">
        <w:rPr>
          <w:sz w:val="22"/>
          <w:szCs w:val="22"/>
          <w:lang w:val="sr-Latn-ME"/>
        </w:rPr>
        <w:t>Tysabri</w:t>
      </w:r>
      <w:proofErr w:type="spellEnd"/>
      <w:r w:rsidR="00A54362" w:rsidRPr="002B09C8">
        <w:rPr>
          <w:sz w:val="22"/>
          <w:szCs w:val="22"/>
          <w:lang w:val="sr-Latn-ME"/>
        </w:rPr>
        <w:t>,</w:t>
      </w:r>
      <w:r w:rsidR="008D3939" w:rsidRPr="002B09C8">
        <w:rPr>
          <w:sz w:val="22"/>
          <w:szCs w:val="22"/>
          <w:lang w:val="sr-Latn-ME"/>
        </w:rPr>
        <w:t xml:space="preserve"> 300</w:t>
      </w:r>
      <w:r w:rsidR="00A54362" w:rsidRPr="002B09C8">
        <w:rPr>
          <w:sz w:val="22"/>
          <w:szCs w:val="22"/>
          <w:lang w:val="sr-Latn-ME"/>
        </w:rPr>
        <w:t xml:space="preserve"> </w:t>
      </w:r>
      <w:r w:rsidR="008D3939" w:rsidRPr="002B09C8">
        <w:rPr>
          <w:sz w:val="22"/>
          <w:szCs w:val="22"/>
          <w:lang w:val="sr-Latn-ME"/>
        </w:rPr>
        <w:t>mg/15 m</w:t>
      </w:r>
      <w:r w:rsidR="00F27E2F" w:rsidRPr="002B09C8">
        <w:rPr>
          <w:sz w:val="22"/>
          <w:szCs w:val="22"/>
          <w:lang w:val="sr-Latn-ME"/>
        </w:rPr>
        <w:t>l,</w:t>
      </w:r>
      <w:r w:rsidR="008D3939" w:rsidRPr="002B09C8">
        <w:rPr>
          <w:sz w:val="22"/>
          <w:szCs w:val="22"/>
          <w:lang w:val="sr-Latn-ME"/>
        </w:rPr>
        <w:t xml:space="preserve"> koncentrat za rastvor za infuziju</w:t>
      </w:r>
      <w:r w:rsidRPr="002B09C8">
        <w:rPr>
          <w:sz w:val="22"/>
          <w:szCs w:val="22"/>
          <w:lang w:val="sr-Latn-ME"/>
        </w:rPr>
        <w:t xml:space="preserve"> se ne smije miješati sa drugim ljekovima, osim onim navedenim u dijelu 6.6.</w:t>
      </w:r>
    </w:p>
    <w:p w14:paraId="45C1790D" w14:textId="77777777" w:rsidR="00364412" w:rsidRPr="002B09C8" w:rsidRDefault="00364412" w:rsidP="00C74431">
      <w:pPr>
        <w:widowControl w:val="0"/>
        <w:tabs>
          <w:tab w:val="left" w:pos="540"/>
          <w:tab w:val="left" w:pos="569"/>
        </w:tabs>
        <w:jc w:val="both"/>
        <w:rPr>
          <w:bCs/>
          <w:sz w:val="22"/>
          <w:szCs w:val="22"/>
          <w:lang w:val="sr-Latn-ME"/>
        </w:rPr>
      </w:pPr>
    </w:p>
    <w:p w14:paraId="2A4DCF46"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6.3.</w:t>
      </w:r>
      <w:r w:rsidR="00C05DF8" w:rsidRPr="002B09C8">
        <w:rPr>
          <w:b/>
          <w:bCs/>
          <w:sz w:val="22"/>
          <w:szCs w:val="22"/>
          <w:lang w:val="sr-Latn-ME"/>
        </w:rPr>
        <w:t xml:space="preserve"> </w:t>
      </w:r>
      <w:r w:rsidR="00480FB1" w:rsidRPr="002B09C8">
        <w:rPr>
          <w:b/>
          <w:bCs/>
          <w:sz w:val="22"/>
          <w:szCs w:val="22"/>
          <w:lang w:val="sr-Latn-ME"/>
        </w:rPr>
        <w:tab/>
      </w:r>
      <w:r w:rsidRPr="002B09C8">
        <w:rPr>
          <w:b/>
          <w:bCs/>
          <w:sz w:val="22"/>
          <w:szCs w:val="22"/>
          <w:lang w:val="sr-Latn-ME"/>
        </w:rPr>
        <w:t>Rok upotrebe</w:t>
      </w:r>
    </w:p>
    <w:p w14:paraId="06158B52" w14:textId="77777777" w:rsidR="0072020E" w:rsidRPr="002B09C8" w:rsidRDefault="0072020E" w:rsidP="00C74431">
      <w:pPr>
        <w:widowControl w:val="0"/>
        <w:tabs>
          <w:tab w:val="left" w:pos="540"/>
          <w:tab w:val="left" w:pos="569"/>
        </w:tabs>
        <w:jc w:val="both"/>
        <w:rPr>
          <w:bCs/>
          <w:sz w:val="22"/>
          <w:szCs w:val="22"/>
          <w:lang w:val="sr-Latn-ME"/>
        </w:rPr>
      </w:pPr>
    </w:p>
    <w:p w14:paraId="038E88EF" w14:textId="6B6E425B" w:rsidR="001511C1" w:rsidRPr="002B09C8" w:rsidRDefault="001511C1" w:rsidP="00C74431">
      <w:pPr>
        <w:widowControl w:val="0"/>
        <w:jc w:val="both"/>
        <w:rPr>
          <w:sz w:val="22"/>
          <w:szCs w:val="22"/>
          <w:lang w:val="sr-Latn-ME"/>
        </w:rPr>
      </w:pPr>
      <w:proofErr w:type="spellStart"/>
      <w:r w:rsidRPr="002B09C8">
        <w:rPr>
          <w:sz w:val="22"/>
          <w:szCs w:val="22"/>
          <w:u w:val="single"/>
          <w:lang w:val="sr-Latn-ME"/>
        </w:rPr>
        <w:t>Neotvorena</w:t>
      </w:r>
      <w:proofErr w:type="spellEnd"/>
      <w:r w:rsidRPr="002B09C8">
        <w:rPr>
          <w:sz w:val="22"/>
          <w:szCs w:val="22"/>
          <w:u w:val="single"/>
          <w:lang w:val="sr-Latn-ME"/>
        </w:rPr>
        <w:t xml:space="preserve"> bočica</w:t>
      </w:r>
    </w:p>
    <w:p w14:paraId="0E27D886" w14:textId="54C56B9B" w:rsidR="001511C1" w:rsidRPr="002B09C8" w:rsidRDefault="001511C1" w:rsidP="00C74431">
      <w:pPr>
        <w:widowControl w:val="0"/>
        <w:jc w:val="both"/>
        <w:rPr>
          <w:sz w:val="22"/>
          <w:szCs w:val="22"/>
          <w:lang w:val="sr-Latn-ME"/>
        </w:rPr>
      </w:pPr>
      <w:r w:rsidRPr="002B09C8">
        <w:rPr>
          <w:sz w:val="22"/>
          <w:szCs w:val="22"/>
          <w:lang w:val="sr-Latn-ME"/>
        </w:rPr>
        <w:t>4 godine</w:t>
      </w:r>
    </w:p>
    <w:p w14:paraId="29AA39CA" w14:textId="77777777" w:rsidR="001511C1" w:rsidRPr="002B09C8" w:rsidRDefault="001511C1" w:rsidP="00C74431">
      <w:pPr>
        <w:widowControl w:val="0"/>
        <w:jc w:val="both"/>
        <w:rPr>
          <w:sz w:val="22"/>
          <w:szCs w:val="22"/>
          <w:u w:val="single"/>
          <w:lang w:val="sr-Latn-ME"/>
        </w:rPr>
      </w:pPr>
    </w:p>
    <w:p w14:paraId="0277BB33" w14:textId="77777777" w:rsidR="001511C1" w:rsidRPr="002B09C8" w:rsidRDefault="001511C1" w:rsidP="00C74431">
      <w:pPr>
        <w:widowControl w:val="0"/>
        <w:jc w:val="both"/>
        <w:rPr>
          <w:sz w:val="22"/>
          <w:szCs w:val="22"/>
          <w:u w:val="single"/>
          <w:lang w:val="sr-Latn-ME"/>
        </w:rPr>
      </w:pPr>
      <w:r w:rsidRPr="002B09C8">
        <w:rPr>
          <w:sz w:val="22"/>
          <w:szCs w:val="22"/>
          <w:u w:val="single"/>
          <w:lang w:val="sr-Latn-ME"/>
        </w:rPr>
        <w:t>Razblaženi rastvor</w:t>
      </w:r>
    </w:p>
    <w:p w14:paraId="7320273E" w14:textId="63B28292" w:rsidR="00763F4F" w:rsidRPr="002B09C8" w:rsidRDefault="00763F4F" w:rsidP="00C74431">
      <w:pPr>
        <w:widowControl w:val="0"/>
        <w:jc w:val="both"/>
        <w:rPr>
          <w:sz w:val="22"/>
          <w:szCs w:val="22"/>
          <w:lang w:val="sr-Latn-ME"/>
        </w:rPr>
      </w:pPr>
      <w:r w:rsidRPr="002B09C8">
        <w:rPr>
          <w:sz w:val="22"/>
          <w:szCs w:val="22"/>
          <w:lang w:val="sr-Latn-ME"/>
        </w:rPr>
        <w:t xml:space="preserve">Hemijska i fizička stabilnost razblaženog rastvora je dokazana tokom 72 sata na </w:t>
      </w:r>
      <w:r w:rsidR="00A54362" w:rsidRPr="002B09C8">
        <w:rPr>
          <w:sz w:val="22"/>
          <w:szCs w:val="22"/>
          <w:lang w:val="sr-Latn-ME"/>
        </w:rPr>
        <w:t xml:space="preserve">temperaturi od </w:t>
      </w:r>
      <w:r w:rsidRPr="002B09C8">
        <w:rPr>
          <w:sz w:val="22"/>
          <w:szCs w:val="22"/>
          <w:lang w:val="sr-Latn-ME"/>
        </w:rPr>
        <w:t xml:space="preserve">2°C </w:t>
      </w:r>
      <w:r w:rsidR="00A54362" w:rsidRPr="002B09C8">
        <w:rPr>
          <w:sz w:val="22"/>
          <w:szCs w:val="22"/>
          <w:lang w:val="sr-Latn-ME"/>
        </w:rPr>
        <w:t>do</w:t>
      </w:r>
      <w:r w:rsidR="0063608E" w:rsidRPr="002B09C8">
        <w:rPr>
          <w:sz w:val="22"/>
          <w:szCs w:val="22"/>
          <w:lang w:val="sr-Latn-ME"/>
        </w:rPr>
        <w:t xml:space="preserve"> </w:t>
      </w:r>
      <w:r w:rsidRPr="002B09C8">
        <w:rPr>
          <w:sz w:val="22"/>
          <w:szCs w:val="22"/>
          <w:lang w:val="sr-Latn-ME"/>
        </w:rPr>
        <w:t>8°C</w:t>
      </w:r>
      <w:r w:rsidR="00A54362" w:rsidRPr="002B09C8">
        <w:rPr>
          <w:sz w:val="22"/>
          <w:szCs w:val="22"/>
          <w:lang w:val="sr-Latn-ME"/>
        </w:rPr>
        <w:t>,</w:t>
      </w:r>
      <w:r w:rsidRPr="002B09C8">
        <w:rPr>
          <w:sz w:val="22"/>
          <w:szCs w:val="22"/>
          <w:lang w:val="sr-Latn-ME"/>
        </w:rPr>
        <w:t xml:space="preserve"> kao i na temperaturi do 30°C.</w:t>
      </w:r>
    </w:p>
    <w:p w14:paraId="46554B93" w14:textId="32D7CAD9" w:rsidR="001511C1" w:rsidRPr="002B09C8" w:rsidRDefault="00763F4F" w:rsidP="00C74431">
      <w:pPr>
        <w:widowControl w:val="0"/>
        <w:jc w:val="both"/>
        <w:rPr>
          <w:sz w:val="22"/>
          <w:szCs w:val="22"/>
          <w:lang w:val="sr-Latn-ME"/>
        </w:rPr>
      </w:pPr>
      <w:r w:rsidRPr="002B09C8">
        <w:rPr>
          <w:sz w:val="22"/>
          <w:szCs w:val="22"/>
          <w:lang w:val="sr-Latn-ME"/>
        </w:rPr>
        <w:t xml:space="preserve">Sa mikrobiološke tačke gledišta, </w:t>
      </w:r>
      <w:r w:rsidR="005F2FC1" w:rsidRPr="002B09C8">
        <w:rPr>
          <w:sz w:val="22"/>
          <w:szCs w:val="22"/>
          <w:lang w:val="sr-Latn-ME"/>
        </w:rPr>
        <w:t>p</w:t>
      </w:r>
      <w:r w:rsidR="001511C1" w:rsidRPr="002B09C8">
        <w:rPr>
          <w:sz w:val="22"/>
          <w:szCs w:val="22"/>
          <w:lang w:val="sr-Latn-ME"/>
        </w:rPr>
        <w:t>reporučuje se upotreba</w:t>
      </w:r>
      <w:r w:rsidR="00CD2D51" w:rsidRPr="002B09C8">
        <w:rPr>
          <w:sz w:val="22"/>
          <w:szCs w:val="22"/>
          <w:lang w:val="sr-Latn-ME"/>
        </w:rPr>
        <w:t xml:space="preserve"> rastvora</w:t>
      </w:r>
      <w:r w:rsidR="001511C1" w:rsidRPr="002B09C8">
        <w:rPr>
          <w:sz w:val="22"/>
          <w:szCs w:val="22"/>
          <w:lang w:val="sr-Latn-ME"/>
        </w:rPr>
        <w:t xml:space="preserve"> odmah nakon razblaživanja sa </w:t>
      </w:r>
      <w:r w:rsidR="00CD2D51" w:rsidRPr="002B09C8">
        <w:rPr>
          <w:sz w:val="22"/>
          <w:szCs w:val="22"/>
          <w:lang w:val="sr-Latn-ME"/>
        </w:rPr>
        <w:lastRenderedPageBreak/>
        <w:t xml:space="preserve">rastvorom za injekciju </w:t>
      </w:r>
      <w:r w:rsidR="001511C1" w:rsidRPr="002B09C8">
        <w:rPr>
          <w:sz w:val="22"/>
          <w:szCs w:val="22"/>
          <w:lang w:val="sr-Latn-ME"/>
        </w:rPr>
        <w:t>natrijum hlorid</w:t>
      </w:r>
      <w:r w:rsidR="00CD2D51" w:rsidRPr="002B09C8">
        <w:rPr>
          <w:sz w:val="22"/>
          <w:szCs w:val="22"/>
          <w:lang w:val="sr-Latn-ME"/>
        </w:rPr>
        <w:t>a</w:t>
      </w:r>
      <w:r w:rsidR="001511C1" w:rsidRPr="002B09C8">
        <w:rPr>
          <w:sz w:val="22"/>
          <w:szCs w:val="22"/>
          <w:lang w:val="sr-Latn-ME"/>
        </w:rPr>
        <w:t xml:space="preserve"> 9 mg/m</w:t>
      </w:r>
      <w:r w:rsidR="00F27E2F" w:rsidRPr="002B09C8">
        <w:rPr>
          <w:sz w:val="22"/>
          <w:szCs w:val="22"/>
          <w:lang w:val="sr-Latn-ME"/>
        </w:rPr>
        <w:t>l</w:t>
      </w:r>
      <w:r w:rsidR="001511C1" w:rsidRPr="002B09C8">
        <w:rPr>
          <w:sz w:val="22"/>
          <w:szCs w:val="22"/>
          <w:lang w:val="sr-Latn-ME"/>
        </w:rPr>
        <w:t xml:space="preserve"> (0,9%). Ako se ne upotrijebi odmah, razblaženi rastvor se mora čuvati na </w:t>
      </w:r>
      <w:r w:rsidR="00CD2D51" w:rsidRPr="002B09C8">
        <w:rPr>
          <w:sz w:val="22"/>
          <w:szCs w:val="22"/>
          <w:lang w:val="sr-Latn-ME"/>
        </w:rPr>
        <w:t xml:space="preserve">temperaturi od </w:t>
      </w:r>
      <w:r w:rsidR="001511C1" w:rsidRPr="002B09C8">
        <w:rPr>
          <w:sz w:val="22"/>
          <w:szCs w:val="22"/>
          <w:lang w:val="sr-Latn-ME"/>
        </w:rPr>
        <w:t xml:space="preserve">2°C </w:t>
      </w:r>
      <w:r w:rsidR="00CD2D51" w:rsidRPr="002B09C8">
        <w:rPr>
          <w:sz w:val="22"/>
          <w:szCs w:val="22"/>
          <w:lang w:val="sr-Latn-ME"/>
        </w:rPr>
        <w:t>do</w:t>
      </w:r>
      <w:r w:rsidR="001511C1" w:rsidRPr="002B09C8">
        <w:rPr>
          <w:sz w:val="22"/>
          <w:szCs w:val="22"/>
          <w:lang w:val="sr-Latn-ME"/>
        </w:rPr>
        <w:t xml:space="preserve"> 8°C i </w:t>
      </w:r>
      <w:r w:rsidR="00A5491D" w:rsidRPr="002B09C8">
        <w:rPr>
          <w:sz w:val="22"/>
          <w:szCs w:val="22"/>
          <w:lang w:val="sr-Latn-ME"/>
        </w:rPr>
        <w:t xml:space="preserve">primijeniti infuzijom </w:t>
      </w:r>
      <w:r w:rsidR="001511C1" w:rsidRPr="002B09C8">
        <w:rPr>
          <w:sz w:val="22"/>
          <w:szCs w:val="22"/>
          <w:lang w:val="sr-Latn-ME"/>
        </w:rPr>
        <w:t xml:space="preserve">unutar </w:t>
      </w:r>
      <w:r w:rsidR="005F2FC1" w:rsidRPr="002B09C8">
        <w:rPr>
          <w:sz w:val="22"/>
          <w:szCs w:val="22"/>
          <w:lang w:val="sr-Latn-ME"/>
        </w:rPr>
        <w:t>24</w:t>
      </w:r>
      <w:r w:rsidR="001511C1" w:rsidRPr="002B09C8">
        <w:rPr>
          <w:sz w:val="22"/>
          <w:szCs w:val="22"/>
          <w:lang w:val="sr-Latn-ME"/>
        </w:rPr>
        <w:t xml:space="preserve"> sat</w:t>
      </w:r>
      <w:r w:rsidR="005F2FC1" w:rsidRPr="002B09C8">
        <w:rPr>
          <w:sz w:val="22"/>
          <w:szCs w:val="22"/>
          <w:lang w:val="sr-Latn-ME"/>
        </w:rPr>
        <w:t>a</w:t>
      </w:r>
      <w:r w:rsidR="001511C1" w:rsidRPr="002B09C8">
        <w:rPr>
          <w:sz w:val="22"/>
          <w:szCs w:val="22"/>
          <w:lang w:val="sr-Latn-ME"/>
        </w:rPr>
        <w:t xml:space="preserve"> od razblaživanja. Vrijeme </w:t>
      </w:r>
      <w:r w:rsidR="00CD2D51" w:rsidRPr="002B09C8">
        <w:rPr>
          <w:sz w:val="22"/>
          <w:szCs w:val="22"/>
          <w:lang w:val="sr-Latn-ME"/>
        </w:rPr>
        <w:t xml:space="preserve">i uslovi </w:t>
      </w:r>
      <w:r w:rsidR="001511C1" w:rsidRPr="002B09C8">
        <w:rPr>
          <w:sz w:val="22"/>
          <w:szCs w:val="22"/>
          <w:lang w:val="sr-Latn-ME"/>
        </w:rPr>
        <w:t>čuvanja</w:t>
      </w:r>
      <w:r w:rsidR="00CD2D51" w:rsidRPr="002B09C8">
        <w:rPr>
          <w:sz w:val="22"/>
          <w:szCs w:val="22"/>
          <w:lang w:val="sr-Latn-ME"/>
        </w:rPr>
        <w:t xml:space="preserve"> lijeka</w:t>
      </w:r>
      <w:r w:rsidR="001511C1" w:rsidRPr="002B09C8">
        <w:rPr>
          <w:sz w:val="22"/>
          <w:szCs w:val="22"/>
          <w:lang w:val="sr-Latn-ME"/>
        </w:rPr>
        <w:t xml:space="preserve"> </w:t>
      </w:r>
      <w:r w:rsidR="00CD2D51" w:rsidRPr="002B09C8">
        <w:rPr>
          <w:sz w:val="22"/>
          <w:szCs w:val="22"/>
          <w:lang w:val="sr-Latn-ME"/>
        </w:rPr>
        <w:t>prije primjene</w:t>
      </w:r>
      <w:r w:rsidR="001511C1" w:rsidRPr="002B09C8">
        <w:rPr>
          <w:sz w:val="22"/>
          <w:szCs w:val="22"/>
          <w:lang w:val="sr-Latn-ME"/>
        </w:rPr>
        <w:t xml:space="preserve"> odgovornost </w:t>
      </w:r>
      <w:r w:rsidR="00CD2D51" w:rsidRPr="002B09C8">
        <w:rPr>
          <w:sz w:val="22"/>
          <w:szCs w:val="22"/>
          <w:lang w:val="sr-Latn-ME"/>
        </w:rPr>
        <w:t xml:space="preserve">su </w:t>
      </w:r>
      <w:r w:rsidR="001511C1" w:rsidRPr="002B09C8">
        <w:rPr>
          <w:sz w:val="22"/>
          <w:szCs w:val="22"/>
          <w:lang w:val="sr-Latn-ME"/>
        </w:rPr>
        <w:t>korisnika.</w:t>
      </w:r>
    </w:p>
    <w:p w14:paraId="7CC14F91" w14:textId="77777777" w:rsidR="008D3939" w:rsidRPr="002B09C8" w:rsidRDefault="008D3939" w:rsidP="00C74431">
      <w:pPr>
        <w:widowControl w:val="0"/>
        <w:jc w:val="both"/>
        <w:rPr>
          <w:sz w:val="22"/>
          <w:szCs w:val="22"/>
          <w:lang w:val="sr-Latn-ME"/>
        </w:rPr>
      </w:pPr>
    </w:p>
    <w:p w14:paraId="51411B26"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6.4. </w:t>
      </w:r>
      <w:r w:rsidR="00480FB1" w:rsidRPr="002B09C8">
        <w:rPr>
          <w:b/>
          <w:bCs/>
          <w:sz w:val="22"/>
          <w:szCs w:val="22"/>
          <w:lang w:val="sr-Latn-ME"/>
        </w:rPr>
        <w:tab/>
      </w:r>
      <w:r w:rsidRPr="002B09C8">
        <w:rPr>
          <w:b/>
          <w:bCs/>
          <w:sz w:val="22"/>
          <w:szCs w:val="22"/>
          <w:lang w:val="sr-Latn-ME"/>
        </w:rPr>
        <w:t>Posebne mjere upozorenja pri čuvanju</w:t>
      </w:r>
      <w:r w:rsidR="00F8570A" w:rsidRPr="002B09C8">
        <w:rPr>
          <w:b/>
          <w:bCs/>
          <w:sz w:val="22"/>
          <w:szCs w:val="22"/>
          <w:lang w:val="sr-Latn-ME"/>
        </w:rPr>
        <w:t xml:space="preserve"> lijeka</w:t>
      </w:r>
    </w:p>
    <w:p w14:paraId="49BB5BFE" w14:textId="77777777" w:rsidR="00EC2532" w:rsidRPr="002B09C8" w:rsidRDefault="00EC2532" w:rsidP="00C74431">
      <w:pPr>
        <w:widowControl w:val="0"/>
        <w:tabs>
          <w:tab w:val="left" w:pos="540"/>
          <w:tab w:val="left" w:pos="569"/>
        </w:tabs>
        <w:jc w:val="both"/>
        <w:rPr>
          <w:bCs/>
          <w:sz w:val="22"/>
          <w:szCs w:val="22"/>
          <w:lang w:val="sr-Latn-ME"/>
        </w:rPr>
      </w:pPr>
    </w:p>
    <w:p w14:paraId="33C4FB49" w14:textId="2847D69B" w:rsidR="001511C1" w:rsidRPr="002B09C8" w:rsidRDefault="001511C1" w:rsidP="00C74431">
      <w:pPr>
        <w:widowControl w:val="0"/>
        <w:jc w:val="both"/>
        <w:rPr>
          <w:sz w:val="22"/>
          <w:szCs w:val="22"/>
          <w:lang w:val="sr-Latn-ME"/>
        </w:rPr>
      </w:pPr>
      <w:r w:rsidRPr="002B09C8">
        <w:rPr>
          <w:sz w:val="22"/>
          <w:szCs w:val="22"/>
          <w:lang w:val="sr-Latn-ME"/>
        </w:rPr>
        <w:t>Čuvati u frižideru (</w:t>
      </w:r>
      <w:r w:rsidR="00A5491D" w:rsidRPr="002B09C8">
        <w:rPr>
          <w:snapToGrid w:val="0"/>
          <w:sz w:val="22"/>
          <w:szCs w:val="22"/>
          <w:lang w:val="sr-Latn-ME" w:eastAsia="hr-HR"/>
        </w:rPr>
        <w:t>na temperaturi od 2°C do 8°C</w:t>
      </w:r>
      <w:r w:rsidRPr="002B09C8">
        <w:rPr>
          <w:sz w:val="22"/>
          <w:szCs w:val="22"/>
          <w:lang w:val="sr-Latn-ME"/>
        </w:rPr>
        <w:t>).</w:t>
      </w:r>
    </w:p>
    <w:p w14:paraId="26E8FB75" w14:textId="77777777" w:rsidR="001511C1" w:rsidRPr="002B09C8" w:rsidRDefault="001511C1" w:rsidP="00C74431">
      <w:pPr>
        <w:widowControl w:val="0"/>
        <w:jc w:val="both"/>
        <w:rPr>
          <w:sz w:val="22"/>
          <w:szCs w:val="22"/>
          <w:lang w:val="sr-Latn-ME"/>
        </w:rPr>
      </w:pPr>
      <w:r w:rsidRPr="002B09C8">
        <w:rPr>
          <w:sz w:val="22"/>
          <w:szCs w:val="22"/>
          <w:lang w:val="sr-Latn-ME"/>
        </w:rPr>
        <w:t>Ne zamrzavati.</w:t>
      </w:r>
    </w:p>
    <w:p w14:paraId="53038C79" w14:textId="6700C69B" w:rsidR="001511C1" w:rsidRPr="002B09C8" w:rsidRDefault="001511C1" w:rsidP="00C74431">
      <w:pPr>
        <w:widowControl w:val="0"/>
        <w:jc w:val="both"/>
        <w:rPr>
          <w:sz w:val="22"/>
          <w:szCs w:val="22"/>
          <w:lang w:val="sr-Latn-ME"/>
        </w:rPr>
      </w:pPr>
      <w:r w:rsidRPr="002B09C8">
        <w:rPr>
          <w:sz w:val="22"/>
          <w:szCs w:val="22"/>
          <w:lang w:val="sr-Latn-ME"/>
        </w:rPr>
        <w:t xml:space="preserve">Čuvati bočicu u </w:t>
      </w:r>
      <w:r w:rsidR="005C0EB5" w:rsidRPr="002B09C8">
        <w:rPr>
          <w:sz w:val="22"/>
          <w:szCs w:val="22"/>
          <w:lang w:val="sr-Latn-ME"/>
        </w:rPr>
        <w:t>spoljašnjem pakovanju</w:t>
      </w:r>
      <w:r w:rsidRPr="002B09C8">
        <w:rPr>
          <w:sz w:val="22"/>
          <w:szCs w:val="22"/>
          <w:lang w:val="sr-Latn-ME"/>
        </w:rPr>
        <w:t xml:space="preserve"> </w:t>
      </w:r>
      <w:r w:rsidR="00CD2D51" w:rsidRPr="002B09C8">
        <w:rPr>
          <w:sz w:val="22"/>
          <w:szCs w:val="22"/>
          <w:lang w:val="sr-Latn-ME"/>
        </w:rPr>
        <w:t xml:space="preserve">radi </w:t>
      </w:r>
      <w:r w:rsidRPr="002B09C8">
        <w:rPr>
          <w:sz w:val="22"/>
          <w:szCs w:val="22"/>
          <w:lang w:val="sr-Latn-ME"/>
        </w:rPr>
        <w:t>zaštite od svjetlosti.</w:t>
      </w:r>
    </w:p>
    <w:p w14:paraId="4A30D70C" w14:textId="77777777" w:rsidR="001511C1" w:rsidRPr="002B09C8" w:rsidRDefault="001511C1" w:rsidP="00C74431">
      <w:pPr>
        <w:widowControl w:val="0"/>
        <w:jc w:val="both"/>
        <w:rPr>
          <w:sz w:val="22"/>
          <w:szCs w:val="22"/>
          <w:lang w:val="sr-Latn-ME"/>
        </w:rPr>
      </w:pPr>
    </w:p>
    <w:p w14:paraId="4EB6C013" w14:textId="029DE78D" w:rsidR="001511C1" w:rsidRPr="002B09C8" w:rsidRDefault="001511C1" w:rsidP="00C74431">
      <w:pPr>
        <w:widowControl w:val="0"/>
        <w:tabs>
          <w:tab w:val="left" w:pos="540"/>
          <w:tab w:val="left" w:pos="569"/>
        </w:tabs>
        <w:jc w:val="both"/>
        <w:rPr>
          <w:sz w:val="22"/>
          <w:szCs w:val="22"/>
          <w:lang w:val="sr-Latn-ME"/>
        </w:rPr>
      </w:pPr>
      <w:r w:rsidRPr="002B09C8">
        <w:rPr>
          <w:sz w:val="22"/>
          <w:szCs w:val="22"/>
          <w:lang w:val="sr-Latn-ME"/>
        </w:rPr>
        <w:t xml:space="preserve">Za uslove čuvanja </w:t>
      </w:r>
      <w:r w:rsidR="00CD2D51" w:rsidRPr="002B09C8">
        <w:rPr>
          <w:sz w:val="22"/>
          <w:szCs w:val="22"/>
          <w:lang w:val="sr-Latn-ME"/>
        </w:rPr>
        <w:t xml:space="preserve">lijeka </w:t>
      </w:r>
      <w:r w:rsidRPr="002B09C8">
        <w:rPr>
          <w:sz w:val="22"/>
          <w:szCs w:val="22"/>
          <w:lang w:val="sr-Latn-ME"/>
        </w:rPr>
        <w:t xml:space="preserve">nakon </w:t>
      </w:r>
      <w:proofErr w:type="spellStart"/>
      <w:r w:rsidR="00CD2D51" w:rsidRPr="002B09C8">
        <w:rPr>
          <w:sz w:val="22"/>
          <w:szCs w:val="22"/>
          <w:lang w:val="sr-Latn-ME"/>
        </w:rPr>
        <w:t>razblaženja</w:t>
      </w:r>
      <w:proofErr w:type="spellEnd"/>
      <w:r w:rsidR="00CD2D51" w:rsidRPr="002B09C8">
        <w:rPr>
          <w:sz w:val="22"/>
          <w:szCs w:val="22"/>
          <w:lang w:val="sr-Latn-ME"/>
        </w:rPr>
        <w:t xml:space="preserve">, </w:t>
      </w:r>
      <w:r w:rsidRPr="002B09C8">
        <w:rPr>
          <w:sz w:val="22"/>
          <w:szCs w:val="22"/>
          <w:lang w:val="sr-Latn-ME"/>
        </w:rPr>
        <w:t>vidjeti dio 6.3.</w:t>
      </w:r>
    </w:p>
    <w:p w14:paraId="53F37523" w14:textId="77777777" w:rsidR="001511C1" w:rsidRPr="002B09C8" w:rsidRDefault="001511C1" w:rsidP="00C74431">
      <w:pPr>
        <w:widowControl w:val="0"/>
        <w:tabs>
          <w:tab w:val="left" w:pos="540"/>
          <w:tab w:val="left" w:pos="569"/>
        </w:tabs>
        <w:jc w:val="both"/>
        <w:rPr>
          <w:bCs/>
          <w:sz w:val="22"/>
          <w:szCs w:val="22"/>
          <w:lang w:val="sr-Latn-ME"/>
        </w:rPr>
      </w:pPr>
    </w:p>
    <w:p w14:paraId="3DE1B08F"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6.5. </w:t>
      </w:r>
      <w:r w:rsidR="00480FB1" w:rsidRPr="002B09C8">
        <w:rPr>
          <w:b/>
          <w:bCs/>
          <w:sz w:val="22"/>
          <w:szCs w:val="22"/>
          <w:lang w:val="sr-Latn-ME"/>
        </w:rPr>
        <w:tab/>
      </w:r>
      <w:r w:rsidR="002846DB" w:rsidRPr="002B09C8">
        <w:rPr>
          <w:b/>
          <w:bCs/>
          <w:sz w:val="22"/>
          <w:szCs w:val="22"/>
          <w:lang w:val="sr-Latn-ME"/>
        </w:rPr>
        <w:t xml:space="preserve">Vrsta i sadržaj </w:t>
      </w:r>
      <w:r w:rsidR="00F8570A" w:rsidRPr="002B09C8">
        <w:rPr>
          <w:b/>
          <w:bCs/>
          <w:sz w:val="22"/>
          <w:szCs w:val="22"/>
          <w:lang w:val="sr-Latn-ME"/>
        </w:rPr>
        <w:t>pakovanja</w:t>
      </w:r>
      <w:r w:rsidR="00C06864" w:rsidRPr="002B09C8">
        <w:rPr>
          <w:b/>
          <w:bCs/>
          <w:sz w:val="22"/>
          <w:szCs w:val="22"/>
          <w:lang w:val="sr-Latn-ME"/>
        </w:rPr>
        <w:t xml:space="preserve"> </w:t>
      </w:r>
    </w:p>
    <w:p w14:paraId="163F268F" w14:textId="77777777" w:rsidR="0072020E" w:rsidRPr="002B09C8" w:rsidRDefault="0072020E" w:rsidP="00C74431">
      <w:pPr>
        <w:widowControl w:val="0"/>
        <w:tabs>
          <w:tab w:val="left" w:pos="540"/>
          <w:tab w:val="left" w:pos="569"/>
        </w:tabs>
        <w:jc w:val="both"/>
        <w:rPr>
          <w:bCs/>
          <w:sz w:val="22"/>
          <w:szCs w:val="22"/>
          <w:lang w:val="sr-Latn-ME"/>
        </w:rPr>
      </w:pPr>
    </w:p>
    <w:p w14:paraId="0FB6EFCE" w14:textId="6AC196FA" w:rsidR="001511C1" w:rsidRPr="002B09C8" w:rsidRDefault="00CD2D51" w:rsidP="00C74431">
      <w:pPr>
        <w:widowControl w:val="0"/>
        <w:jc w:val="both"/>
        <w:rPr>
          <w:sz w:val="22"/>
          <w:szCs w:val="22"/>
          <w:lang w:val="sr-Latn-ME"/>
        </w:rPr>
      </w:pPr>
      <w:r w:rsidRPr="002B09C8">
        <w:rPr>
          <w:sz w:val="22"/>
          <w:szCs w:val="22"/>
          <w:lang w:val="sr-Latn-ME"/>
        </w:rPr>
        <w:t>Unutrašnje pakovanje lijeka je</w:t>
      </w:r>
      <w:r w:rsidR="001511C1" w:rsidRPr="002B09C8">
        <w:rPr>
          <w:sz w:val="22"/>
          <w:szCs w:val="22"/>
          <w:lang w:val="sr-Latn-ME"/>
        </w:rPr>
        <w:t xml:space="preserve"> bočic</w:t>
      </w:r>
      <w:r w:rsidRPr="002B09C8">
        <w:rPr>
          <w:sz w:val="22"/>
          <w:szCs w:val="22"/>
          <w:lang w:val="sr-Latn-ME"/>
        </w:rPr>
        <w:t xml:space="preserve">a od </w:t>
      </w:r>
      <w:r w:rsidR="001511C1" w:rsidRPr="002B09C8">
        <w:rPr>
          <w:sz w:val="22"/>
          <w:szCs w:val="22"/>
          <w:lang w:val="sr-Latn-ME"/>
        </w:rPr>
        <w:t>stakl</w:t>
      </w:r>
      <w:r w:rsidRPr="002B09C8">
        <w:rPr>
          <w:sz w:val="22"/>
          <w:szCs w:val="22"/>
          <w:lang w:val="sr-Latn-ME"/>
        </w:rPr>
        <w:t>a</w:t>
      </w:r>
      <w:r w:rsidR="001511C1" w:rsidRPr="002B09C8">
        <w:rPr>
          <w:sz w:val="22"/>
          <w:szCs w:val="22"/>
          <w:lang w:val="sr-Latn-ME"/>
        </w:rPr>
        <w:t xml:space="preserve"> </w:t>
      </w:r>
      <w:r w:rsidRPr="002B09C8">
        <w:rPr>
          <w:sz w:val="22"/>
          <w:szCs w:val="22"/>
          <w:lang w:val="sr-Latn-ME"/>
        </w:rPr>
        <w:t>(</w:t>
      </w:r>
      <w:r w:rsidR="001511C1" w:rsidRPr="002B09C8">
        <w:rPr>
          <w:sz w:val="22"/>
          <w:szCs w:val="22"/>
          <w:lang w:val="sr-Latn-ME"/>
        </w:rPr>
        <w:t xml:space="preserve">tip I) </w:t>
      </w:r>
      <w:r w:rsidRPr="002B09C8">
        <w:rPr>
          <w:sz w:val="22"/>
          <w:szCs w:val="22"/>
          <w:lang w:val="sr-Latn-ME"/>
        </w:rPr>
        <w:t>zatvorena</w:t>
      </w:r>
      <w:r w:rsidR="001511C1" w:rsidRPr="002B09C8">
        <w:rPr>
          <w:sz w:val="22"/>
          <w:szCs w:val="22"/>
          <w:lang w:val="sr-Latn-ME"/>
        </w:rPr>
        <w:t xml:space="preserve"> čepom od </w:t>
      </w:r>
      <w:proofErr w:type="spellStart"/>
      <w:r w:rsidR="001511C1" w:rsidRPr="002B09C8">
        <w:rPr>
          <w:sz w:val="22"/>
          <w:szCs w:val="22"/>
          <w:lang w:val="sr-Latn-ME"/>
        </w:rPr>
        <w:t>hlorobutilne</w:t>
      </w:r>
      <w:proofErr w:type="spellEnd"/>
      <w:r w:rsidR="001511C1" w:rsidRPr="002B09C8">
        <w:rPr>
          <w:sz w:val="22"/>
          <w:szCs w:val="22"/>
          <w:lang w:val="sr-Latn-ME"/>
        </w:rPr>
        <w:t xml:space="preserve"> gume i </w:t>
      </w:r>
      <w:r w:rsidRPr="002B09C8">
        <w:rPr>
          <w:sz w:val="22"/>
          <w:szCs w:val="22"/>
          <w:lang w:val="sr-Latn-ME"/>
        </w:rPr>
        <w:t xml:space="preserve"> aluminijumskim zatvaračem sa plastičnim </w:t>
      </w:r>
      <w:proofErr w:type="spellStart"/>
      <w:r w:rsidRPr="002B09C8">
        <w:rPr>
          <w:i/>
          <w:sz w:val="22"/>
          <w:szCs w:val="22"/>
          <w:lang w:val="sr-Latn-ME"/>
        </w:rPr>
        <w:t>flip-off</w:t>
      </w:r>
      <w:proofErr w:type="spellEnd"/>
      <w:r w:rsidRPr="002B09C8">
        <w:rPr>
          <w:i/>
          <w:sz w:val="22"/>
          <w:szCs w:val="22"/>
          <w:lang w:val="sr-Latn-ME"/>
        </w:rPr>
        <w:t xml:space="preserve"> </w:t>
      </w:r>
      <w:r w:rsidRPr="002B09C8">
        <w:rPr>
          <w:sz w:val="22"/>
          <w:szCs w:val="22"/>
          <w:lang w:val="sr-Latn-ME"/>
        </w:rPr>
        <w:t>kapicom, koja sadrži 15 ml koncentrata za rastvor za infuziju.</w:t>
      </w:r>
    </w:p>
    <w:p w14:paraId="00C5AA2A" w14:textId="77777777" w:rsidR="00CD2D51" w:rsidRPr="002B09C8" w:rsidRDefault="00CD2D51" w:rsidP="00C74431">
      <w:pPr>
        <w:widowControl w:val="0"/>
        <w:jc w:val="both"/>
        <w:rPr>
          <w:sz w:val="22"/>
          <w:szCs w:val="22"/>
          <w:lang w:val="sr-Latn-ME"/>
        </w:rPr>
      </w:pPr>
    </w:p>
    <w:p w14:paraId="781A599F" w14:textId="17A5B3DB" w:rsidR="001511C1" w:rsidRPr="002B09C8" w:rsidRDefault="00CD2D51" w:rsidP="00CD2D51">
      <w:pPr>
        <w:widowControl w:val="0"/>
        <w:tabs>
          <w:tab w:val="left" w:pos="540"/>
          <w:tab w:val="left" w:pos="569"/>
        </w:tabs>
        <w:jc w:val="both"/>
        <w:rPr>
          <w:sz w:val="22"/>
          <w:szCs w:val="22"/>
          <w:lang w:val="sr-Latn-ME"/>
        </w:rPr>
      </w:pPr>
      <w:r w:rsidRPr="002B09C8">
        <w:rPr>
          <w:sz w:val="22"/>
          <w:szCs w:val="22"/>
          <w:lang w:val="sr-Latn-ME"/>
        </w:rPr>
        <w:t xml:space="preserve">Spoljašnje </w:t>
      </w:r>
      <w:r w:rsidR="001511C1" w:rsidRPr="002B09C8">
        <w:rPr>
          <w:sz w:val="22"/>
          <w:szCs w:val="22"/>
          <w:lang w:val="sr-Latn-ME"/>
        </w:rPr>
        <w:t>pakovanj</w:t>
      </w:r>
      <w:r w:rsidRPr="002B09C8">
        <w:rPr>
          <w:sz w:val="22"/>
          <w:szCs w:val="22"/>
          <w:lang w:val="sr-Latn-ME"/>
        </w:rPr>
        <w:t>e lijeka</w:t>
      </w:r>
      <w:r w:rsidR="001511C1" w:rsidRPr="002B09C8">
        <w:rPr>
          <w:sz w:val="22"/>
          <w:szCs w:val="22"/>
          <w:lang w:val="sr-Latn-ME"/>
        </w:rPr>
        <w:t xml:space="preserve"> je</w:t>
      </w:r>
      <w:r w:rsidRPr="002B09C8">
        <w:rPr>
          <w:sz w:val="22"/>
          <w:szCs w:val="22"/>
          <w:lang w:val="sr-Latn-ME"/>
        </w:rPr>
        <w:t xml:space="preserve"> </w:t>
      </w:r>
      <w:proofErr w:type="spellStart"/>
      <w:r w:rsidRPr="002B09C8">
        <w:rPr>
          <w:sz w:val="22"/>
          <w:szCs w:val="22"/>
          <w:lang w:val="sr-Latn-ME"/>
        </w:rPr>
        <w:t>složiva</w:t>
      </w:r>
      <w:proofErr w:type="spellEnd"/>
      <w:r w:rsidRPr="002B09C8">
        <w:rPr>
          <w:sz w:val="22"/>
          <w:szCs w:val="22"/>
          <w:lang w:val="sr-Latn-ME"/>
        </w:rPr>
        <w:t xml:space="preserve"> kartonska kutija u kojoj se nalazi</w:t>
      </w:r>
      <w:r w:rsidR="001511C1" w:rsidRPr="002B09C8">
        <w:rPr>
          <w:sz w:val="22"/>
          <w:szCs w:val="22"/>
          <w:lang w:val="sr-Latn-ME"/>
        </w:rPr>
        <w:t xml:space="preserve"> jedna bočica </w:t>
      </w:r>
      <w:r w:rsidRPr="002B09C8">
        <w:rPr>
          <w:sz w:val="22"/>
          <w:szCs w:val="22"/>
          <w:lang w:val="sr-Latn-ME"/>
        </w:rPr>
        <w:t>i  Uputstvo za lijek</w:t>
      </w:r>
      <w:r w:rsidR="001511C1" w:rsidRPr="002B09C8">
        <w:rPr>
          <w:sz w:val="22"/>
          <w:szCs w:val="22"/>
          <w:lang w:val="sr-Latn-ME"/>
        </w:rPr>
        <w:t>.</w:t>
      </w:r>
    </w:p>
    <w:p w14:paraId="25ED13E9" w14:textId="77777777" w:rsidR="001511C1" w:rsidRPr="002B09C8" w:rsidRDefault="001511C1" w:rsidP="00C74431">
      <w:pPr>
        <w:widowControl w:val="0"/>
        <w:tabs>
          <w:tab w:val="left" w:pos="540"/>
          <w:tab w:val="left" w:pos="569"/>
        </w:tabs>
        <w:jc w:val="both"/>
        <w:rPr>
          <w:bCs/>
          <w:sz w:val="22"/>
          <w:szCs w:val="22"/>
          <w:lang w:val="sr-Latn-ME"/>
        </w:rPr>
      </w:pPr>
    </w:p>
    <w:p w14:paraId="1321A1E5" w14:textId="77777777" w:rsidR="002846DB"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6.6. </w:t>
      </w:r>
      <w:r w:rsidR="00480FB1" w:rsidRPr="002B09C8">
        <w:rPr>
          <w:b/>
          <w:bCs/>
          <w:sz w:val="22"/>
          <w:szCs w:val="22"/>
          <w:lang w:val="sr-Latn-ME"/>
        </w:rPr>
        <w:tab/>
      </w:r>
      <w:r w:rsidRPr="002B09C8">
        <w:rPr>
          <w:b/>
          <w:bCs/>
          <w:color w:val="000000"/>
          <w:sz w:val="22"/>
          <w:szCs w:val="22"/>
          <w:lang w:val="sr-Latn-ME"/>
        </w:rPr>
        <w:t>Posebne mjere opreza pri odlaganju materijala koji treba odbaciti nakon primjene lijeka</w:t>
      </w:r>
      <w:r w:rsidRPr="002B09C8">
        <w:rPr>
          <w:b/>
          <w:bCs/>
          <w:sz w:val="22"/>
          <w:szCs w:val="22"/>
          <w:lang w:val="sr-Latn-ME"/>
        </w:rPr>
        <w:t xml:space="preserve"> </w:t>
      </w:r>
      <w:r w:rsidR="00310F03" w:rsidRPr="002B09C8">
        <w:rPr>
          <w:b/>
          <w:bCs/>
          <w:sz w:val="22"/>
          <w:szCs w:val="22"/>
          <w:lang w:val="sr-Latn-ME"/>
        </w:rPr>
        <w:t>(i druga uputs</w:t>
      </w:r>
      <w:r w:rsidR="004109FA" w:rsidRPr="002B09C8">
        <w:rPr>
          <w:b/>
          <w:bCs/>
          <w:sz w:val="22"/>
          <w:szCs w:val="22"/>
          <w:lang w:val="sr-Latn-ME"/>
        </w:rPr>
        <w:t>t</w:t>
      </w:r>
      <w:r w:rsidR="00310F03" w:rsidRPr="002B09C8">
        <w:rPr>
          <w:b/>
          <w:bCs/>
          <w:sz w:val="22"/>
          <w:szCs w:val="22"/>
          <w:lang w:val="sr-Latn-ME"/>
        </w:rPr>
        <w:t xml:space="preserve">va za rukovanje lijekom) </w:t>
      </w:r>
    </w:p>
    <w:p w14:paraId="0C4C9647" w14:textId="77777777" w:rsidR="00B66A70" w:rsidRPr="002B09C8" w:rsidRDefault="00B66A70" w:rsidP="00C74431">
      <w:pPr>
        <w:widowControl w:val="0"/>
        <w:tabs>
          <w:tab w:val="left" w:pos="540"/>
          <w:tab w:val="left" w:pos="569"/>
        </w:tabs>
        <w:jc w:val="both"/>
        <w:rPr>
          <w:b/>
          <w:bCs/>
          <w:sz w:val="22"/>
          <w:szCs w:val="22"/>
          <w:lang w:val="sr-Latn-ME"/>
        </w:rPr>
      </w:pPr>
    </w:p>
    <w:p w14:paraId="712DCB3A" w14:textId="4AF189C9" w:rsidR="001511C1" w:rsidRPr="002B09C8" w:rsidRDefault="001511C1" w:rsidP="00C74431">
      <w:pPr>
        <w:widowControl w:val="0"/>
        <w:jc w:val="both"/>
        <w:rPr>
          <w:sz w:val="22"/>
          <w:szCs w:val="22"/>
          <w:lang w:val="sr-Latn-ME"/>
        </w:rPr>
      </w:pPr>
      <w:r w:rsidRPr="002B09C8">
        <w:rPr>
          <w:sz w:val="22"/>
          <w:szCs w:val="22"/>
          <w:lang w:val="sr-Latn-ME"/>
        </w:rPr>
        <w:t>Uputstv</w:t>
      </w:r>
      <w:r w:rsidR="00CD2D51" w:rsidRPr="002B09C8">
        <w:rPr>
          <w:sz w:val="22"/>
          <w:szCs w:val="22"/>
          <w:lang w:val="sr-Latn-ME"/>
        </w:rPr>
        <w:t>o</w:t>
      </w:r>
      <w:r w:rsidRPr="002B09C8">
        <w:rPr>
          <w:sz w:val="22"/>
          <w:szCs w:val="22"/>
          <w:lang w:val="sr-Latn-ME"/>
        </w:rPr>
        <w:t xml:space="preserve"> za upotrebu:</w:t>
      </w:r>
    </w:p>
    <w:p w14:paraId="04DA5B12" w14:textId="77777777" w:rsidR="001511C1" w:rsidRPr="002B09C8" w:rsidRDefault="001511C1" w:rsidP="00C74431">
      <w:pPr>
        <w:widowControl w:val="0"/>
        <w:jc w:val="both"/>
        <w:rPr>
          <w:sz w:val="22"/>
          <w:szCs w:val="22"/>
          <w:lang w:val="sr-Latn-ME"/>
        </w:rPr>
      </w:pPr>
    </w:p>
    <w:p w14:paraId="47E483B3" w14:textId="2F3FCAD3" w:rsidR="001511C1" w:rsidRPr="002B09C8" w:rsidRDefault="001511C1" w:rsidP="00C74431">
      <w:pPr>
        <w:widowControl w:val="0"/>
        <w:numPr>
          <w:ilvl w:val="0"/>
          <w:numId w:val="16"/>
        </w:numPr>
        <w:tabs>
          <w:tab w:val="left" w:pos="0"/>
        </w:tabs>
        <w:ind w:left="426" w:hanging="426"/>
        <w:jc w:val="both"/>
        <w:rPr>
          <w:sz w:val="22"/>
          <w:szCs w:val="22"/>
          <w:lang w:val="sr-Latn-ME"/>
        </w:rPr>
      </w:pPr>
      <w:r w:rsidRPr="002B09C8">
        <w:rPr>
          <w:sz w:val="22"/>
          <w:szCs w:val="22"/>
          <w:lang w:val="sr-Latn-ME"/>
        </w:rPr>
        <w:t xml:space="preserve">Provjerite da li bočica lijeka </w:t>
      </w:r>
      <w:proofErr w:type="spellStart"/>
      <w:r w:rsidR="00232FED" w:rsidRPr="002B09C8">
        <w:rPr>
          <w:snapToGrid w:val="0"/>
          <w:sz w:val="22"/>
          <w:szCs w:val="22"/>
          <w:lang w:val="sr-Latn-ME" w:eastAsia="hr-HR"/>
        </w:rPr>
        <w:t>Tysabri</w:t>
      </w:r>
      <w:proofErr w:type="spellEnd"/>
      <w:r w:rsidR="00232FED" w:rsidRPr="002B09C8">
        <w:rPr>
          <w:sz w:val="22"/>
          <w:szCs w:val="22"/>
          <w:lang w:val="sr-Latn-ME"/>
        </w:rPr>
        <w:t xml:space="preserve"> </w:t>
      </w:r>
      <w:r w:rsidRPr="002B09C8">
        <w:rPr>
          <w:sz w:val="22"/>
          <w:szCs w:val="22"/>
          <w:lang w:val="sr-Latn-ME"/>
        </w:rPr>
        <w:t xml:space="preserve">sadrži čestice prije razblaživanja i primjene. Ako primijetite čestice i/ili ako tečnost u bočici nije bezbojna i bistra do blago </w:t>
      </w:r>
      <w:proofErr w:type="spellStart"/>
      <w:r w:rsidR="00CD2D51" w:rsidRPr="002B09C8">
        <w:rPr>
          <w:sz w:val="22"/>
          <w:szCs w:val="22"/>
          <w:lang w:val="sr-Latn-ME"/>
        </w:rPr>
        <w:t>opalescentna</w:t>
      </w:r>
      <w:proofErr w:type="spellEnd"/>
      <w:r w:rsidRPr="002B09C8">
        <w:rPr>
          <w:sz w:val="22"/>
          <w:szCs w:val="22"/>
          <w:lang w:val="sr-Latn-ME"/>
        </w:rPr>
        <w:t>, bočicu ne smijete upotrijebiti.</w:t>
      </w:r>
    </w:p>
    <w:p w14:paraId="249D52C7" w14:textId="77777777" w:rsidR="001511C1" w:rsidRPr="002B09C8" w:rsidRDefault="001511C1" w:rsidP="00C74431">
      <w:pPr>
        <w:widowControl w:val="0"/>
        <w:jc w:val="both"/>
        <w:rPr>
          <w:sz w:val="22"/>
          <w:szCs w:val="22"/>
          <w:lang w:val="sr-Latn-ME"/>
        </w:rPr>
      </w:pPr>
    </w:p>
    <w:p w14:paraId="427D7396" w14:textId="15A603FB" w:rsidR="001511C1" w:rsidRPr="002B09C8" w:rsidRDefault="00CD2D51" w:rsidP="00C74431">
      <w:pPr>
        <w:widowControl w:val="0"/>
        <w:numPr>
          <w:ilvl w:val="0"/>
          <w:numId w:val="16"/>
        </w:numPr>
        <w:tabs>
          <w:tab w:val="left" w:pos="426"/>
        </w:tabs>
        <w:ind w:left="426" w:hanging="426"/>
        <w:jc w:val="both"/>
        <w:rPr>
          <w:sz w:val="22"/>
          <w:szCs w:val="22"/>
          <w:lang w:val="sr-Latn-ME"/>
        </w:rPr>
      </w:pPr>
      <w:r w:rsidRPr="002B09C8">
        <w:rPr>
          <w:sz w:val="22"/>
          <w:szCs w:val="22"/>
          <w:lang w:val="sr-Latn-ME"/>
        </w:rPr>
        <w:t>Pridržavajte se aseptičnih mjera</w:t>
      </w:r>
      <w:r w:rsidRPr="002B09C8" w:rsidDel="00CD2D51">
        <w:rPr>
          <w:sz w:val="22"/>
          <w:szCs w:val="22"/>
          <w:lang w:val="sr-Latn-ME"/>
        </w:rPr>
        <w:t xml:space="preserve"> </w:t>
      </w:r>
      <w:r w:rsidRPr="002B09C8">
        <w:rPr>
          <w:sz w:val="22"/>
          <w:szCs w:val="22"/>
          <w:lang w:val="sr-Latn-ME"/>
        </w:rPr>
        <w:t>tokom pripreme</w:t>
      </w:r>
      <w:r w:rsidR="001511C1" w:rsidRPr="002B09C8">
        <w:rPr>
          <w:sz w:val="22"/>
          <w:szCs w:val="22"/>
          <w:lang w:val="sr-Latn-ME"/>
        </w:rPr>
        <w:t xml:space="preserve"> rastvor</w:t>
      </w:r>
      <w:r w:rsidRPr="002B09C8">
        <w:rPr>
          <w:sz w:val="22"/>
          <w:szCs w:val="22"/>
          <w:lang w:val="sr-Latn-ME"/>
        </w:rPr>
        <w:t>a</w:t>
      </w:r>
      <w:r w:rsidR="001511C1" w:rsidRPr="002B09C8">
        <w:rPr>
          <w:sz w:val="22"/>
          <w:szCs w:val="22"/>
          <w:lang w:val="sr-Latn-ME"/>
        </w:rPr>
        <w:t xml:space="preserve"> lijeka za </w:t>
      </w:r>
      <w:proofErr w:type="spellStart"/>
      <w:r w:rsidR="001511C1" w:rsidRPr="002B09C8">
        <w:rPr>
          <w:sz w:val="22"/>
          <w:szCs w:val="22"/>
          <w:lang w:val="sr-Latn-ME"/>
        </w:rPr>
        <w:t>intravensku</w:t>
      </w:r>
      <w:proofErr w:type="spellEnd"/>
      <w:r w:rsidR="001511C1" w:rsidRPr="002B09C8">
        <w:rPr>
          <w:sz w:val="22"/>
          <w:szCs w:val="22"/>
          <w:lang w:val="sr-Latn-ME"/>
        </w:rPr>
        <w:t xml:space="preserve"> (</w:t>
      </w:r>
      <w:proofErr w:type="spellStart"/>
      <w:r w:rsidR="001511C1" w:rsidRPr="002B09C8">
        <w:rPr>
          <w:sz w:val="22"/>
          <w:szCs w:val="22"/>
          <w:lang w:val="sr-Latn-ME"/>
        </w:rPr>
        <w:t>i.v</w:t>
      </w:r>
      <w:proofErr w:type="spellEnd"/>
      <w:r w:rsidR="001511C1" w:rsidRPr="002B09C8">
        <w:rPr>
          <w:sz w:val="22"/>
          <w:szCs w:val="22"/>
          <w:lang w:val="sr-Latn-ME"/>
        </w:rPr>
        <w:t xml:space="preserve">.) infuziju. </w:t>
      </w:r>
      <w:r w:rsidRPr="002B09C8">
        <w:rPr>
          <w:sz w:val="22"/>
          <w:szCs w:val="22"/>
          <w:lang w:val="sr-Latn-ME"/>
        </w:rPr>
        <w:t xml:space="preserve">Skinite </w:t>
      </w:r>
      <w:proofErr w:type="spellStart"/>
      <w:r w:rsidR="001511C1" w:rsidRPr="002B09C8">
        <w:rPr>
          <w:i/>
          <w:sz w:val="22"/>
          <w:szCs w:val="22"/>
          <w:lang w:val="sr-Latn-ME"/>
        </w:rPr>
        <w:t>flip-off</w:t>
      </w:r>
      <w:proofErr w:type="spellEnd"/>
      <w:r w:rsidR="001511C1" w:rsidRPr="002B09C8">
        <w:rPr>
          <w:i/>
          <w:sz w:val="22"/>
          <w:szCs w:val="22"/>
          <w:lang w:val="sr-Latn-ME"/>
        </w:rPr>
        <w:t xml:space="preserve"> </w:t>
      </w:r>
      <w:r w:rsidR="001511C1" w:rsidRPr="002B09C8">
        <w:rPr>
          <w:sz w:val="22"/>
          <w:szCs w:val="22"/>
          <w:lang w:val="sr-Latn-ME"/>
        </w:rPr>
        <w:t>kapicu s</w:t>
      </w:r>
      <w:r w:rsidRPr="002B09C8">
        <w:rPr>
          <w:sz w:val="22"/>
          <w:szCs w:val="22"/>
          <w:lang w:val="sr-Latn-ME"/>
        </w:rPr>
        <w:t>a</w:t>
      </w:r>
      <w:r w:rsidR="001511C1" w:rsidRPr="002B09C8">
        <w:rPr>
          <w:sz w:val="22"/>
          <w:szCs w:val="22"/>
          <w:lang w:val="sr-Latn-ME"/>
        </w:rPr>
        <w:t xml:space="preserve"> bočice. Ubodite iglu šprica u bočicu kroz sred</w:t>
      </w:r>
      <w:r w:rsidRPr="002B09C8">
        <w:rPr>
          <w:sz w:val="22"/>
          <w:szCs w:val="22"/>
          <w:lang w:val="sr-Latn-ME"/>
        </w:rPr>
        <w:t>iš</w:t>
      </w:r>
      <w:r w:rsidR="001511C1" w:rsidRPr="002B09C8">
        <w:rPr>
          <w:sz w:val="22"/>
          <w:szCs w:val="22"/>
          <w:lang w:val="sr-Latn-ME"/>
        </w:rPr>
        <w:t>nji dio gumenog čepa i uvucite 15</w:t>
      </w:r>
      <w:r w:rsidR="00EB5CED" w:rsidRPr="002B09C8">
        <w:rPr>
          <w:sz w:val="22"/>
          <w:szCs w:val="22"/>
          <w:lang w:val="sr-Latn-ME"/>
        </w:rPr>
        <w:t xml:space="preserve"> </w:t>
      </w:r>
      <w:r w:rsidR="001511C1" w:rsidRPr="002B09C8">
        <w:rPr>
          <w:sz w:val="22"/>
          <w:szCs w:val="22"/>
          <w:lang w:val="sr-Latn-ME"/>
        </w:rPr>
        <w:t>m</w:t>
      </w:r>
      <w:r w:rsidR="00F27E2F" w:rsidRPr="002B09C8">
        <w:rPr>
          <w:sz w:val="22"/>
          <w:szCs w:val="22"/>
          <w:lang w:val="sr-Latn-ME"/>
        </w:rPr>
        <w:t>l</w:t>
      </w:r>
      <w:r w:rsidR="001511C1" w:rsidRPr="002B09C8">
        <w:rPr>
          <w:sz w:val="22"/>
          <w:szCs w:val="22"/>
          <w:lang w:val="sr-Latn-ME"/>
        </w:rPr>
        <w:t xml:space="preserve"> koncentrata za rastvor za infuziju.</w:t>
      </w:r>
    </w:p>
    <w:p w14:paraId="61C80C6B" w14:textId="77777777" w:rsidR="001511C1" w:rsidRPr="002B09C8" w:rsidRDefault="001511C1" w:rsidP="00C74431">
      <w:pPr>
        <w:widowControl w:val="0"/>
        <w:ind w:left="360" w:hanging="360"/>
        <w:jc w:val="both"/>
        <w:rPr>
          <w:sz w:val="22"/>
          <w:szCs w:val="22"/>
          <w:lang w:val="sr-Latn-ME"/>
        </w:rPr>
      </w:pPr>
    </w:p>
    <w:p w14:paraId="52915749" w14:textId="1CF35E39" w:rsidR="001511C1" w:rsidRPr="002B09C8" w:rsidRDefault="001511C1" w:rsidP="00C74431">
      <w:pPr>
        <w:widowControl w:val="0"/>
        <w:numPr>
          <w:ilvl w:val="0"/>
          <w:numId w:val="16"/>
        </w:numPr>
        <w:ind w:left="426" w:hanging="426"/>
        <w:jc w:val="both"/>
        <w:rPr>
          <w:sz w:val="22"/>
          <w:szCs w:val="22"/>
          <w:lang w:val="sr-Latn-ME"/>
        </w:rPr>
      </w:pPr>
      <w:r w:rsidRPr="002B09C8">
        <w:rPr>
          <w:sz w:val="22"/>
          <w:szCs w:val="22"/>
          <w:lang w:val="sr-Latn-ME"/>
        </w:rPr>
        <w:t>Dodajte 15 m</w:t>
      </w:r>
      <w:r w:rsidR="00F27E2F" w:rsidRPr="002B09C8">
        <w:rPr>
          <w:sz w:val="22"/>
          <w:szCs w:val="22"/>
          <w:lang w:val="sr-Latn-ME"/>
        </w:rPr>
        <w:t>l</w:t>
      </w:r>
      <w:r w:rsidRPr="002B09C8">
        <w:rPr>
          <w:sz w:val="22"/>
          <w:szCs w:val="22"/>
          <w:lang w:val="sr-Latn-ME"/>
        </w:rPr>
        <w:t xml:space="preserve"> koncentrata za rastvor za infuziju u 100 m</w:t>
      </w:r>
      <w:r w:rsidR="00F27E2F" w:rsidRPr="002B09C8">
        <w:rPr>
          <w:sz w:val="22"/>
          <w:szCs w:val="22"/>
          <w:lang w:val="sr-Latn-ME"/>
        </w:rPr>
        <w:t>l</w:t>
      </w:r>
      <w:r w:rsidRPr="002B09C8">
        <w:rPr>
          <w:sz w:val="22"/>
          <w:szCs w:val="22"/>
          <w:lang w:val="sr-Latn-ME"/>
        </w:rPr>
        <w:t xml:space="preserve"> 0,9 % (9 mg/m</w:t>
      </w:r>
      <w:r w:rsidR="00F27E2F" w:rsidRPr="002B09C8">
        <w:rPr>
          <w:sz w:val="22"/>
          <w:szCs w:val="22"/>
          <w:lang w:val="sr-Latn-ME"/>
        </w:rPr>
        <w:t>l</w:t>
      </w:r>
      <w:r w:rsidRPr="002B09C8">
        <w:rPr>
          <w:sz w:val="22"/>
          <w:szCs w:val="22"/>
          <w:lang w:val="sr-Latn-ME"/>
        </w:rPr>
        <w:t>) rastvora</w:t>
      </w:r>
      <w:r w:rsidR="00CD2D51" w:rsidRPr="002B09C8">
        <w:rPr>
          <w:sz w:val="22"/>
          <w:szCs w:val="22"/>
          <w:lang w:val="sr-Latn-ME"/>
        </w:rPr>
        <w:t xml:space="preserve"> za injekciju</w:t>
      </w:r>
      <w:r w:rsidRPr="002B09C8">
        <w:rPr>
          <w:sz w:val="22"/>
          <w:szCs w:val="22"/>
          <w:lang w:val="sr-Latn-ME"/>
        </w:rPr>
        <w:t xml:space="preserve"> natrijum hlorida. </w:t>
      </w:r>
      <w:proofErr w:type="spellStart"/>
      <w:r w:rsidRPr="002B09C8">
        <w:rPr>
          <w:sz w:val="22"/>
          <w:szCs w:val="22"/>
          <w:lang w:val="sr-Latn-ME"/>
        </w:rPr>
        <w:t>Nježno</w:t>
      </w:r>
      <w:proofErr w:type="spellEnd"/>
      <w:r w:rsidRPr="002B09C8">
        <w:rPr>
          <w:sz w:val="22"/>
          <w:szCs w:val="22"/>
          <w:lang w:val="sr-Latn-ME"/>
        </w:rPr>
        <w:t xml:space="preserve"> okrenite rastvor lijeka</w:t>
      </w:r>
      <w:r w:rsidR="00232FED" w:rsidRPr="002B09C8">
        <w:rPr>
          <w:snapToGrid w:val="0"/>
          <w:sz w:val="22"/>
          <w:szCs w:val="22"/>
          <w:lang w:val="sr-Latn-ME" w:eastAsia="hr-HR"/>
        </w:rPr>
        <w:t xml:space="preserve"> </w:t>
      </w:r>
      <w:proofErr w:type="spellStart"/>
      <w:r w:rsidR="00232FED" w:rsidRPr="002B09C8">
        <w:rPr>
          <w:snapToGrid w:val="0"/>
          <w:sz w:val="22"/>
          <w:szCs w:val="22"/>
          <w:lang w:val="sr-Latn-ME" w:eastAsia="hr-HR"/>
        </w:rPr>
        <w:t>Tysabri</w:t>
      </w:r>
      <w:proofErr w:type="spellEnd"/>
      <w:r w:rsidRPr="002B09C8">
        <w:rPr>
          <w:sz w:val="22"/>
          <w:szCs w:val="22"/>
          <w:lang w:val="sr-Latn-ME"/>
        </w:rPr>
        <w:t xml:space="preserve"> da se potpuno izmiješa. Ne mućkajte.</w:t>
      </w:r>
    </w:p>
    <w:p w14:paraId="2CCE735F" w14:textId="77777777" w:rsidR="001511C1" w:rsidRPr="002B09C8" w:rsidRDefault="001511C1" w:rsidP="00C74431">
      <w:pPr>
        <w:pStyle w:val="ListParagraph"/>
        <w:widowControl w:val="0"/>
        <w:jc w:val="both"/>
        <w:rPr>
          <w:noProof w:val="0"/>
          <w:sz w:val="22"/>
          <w:szCs w:val="22"/>
          <w:lang w:val="sr-Latn-ME"/>
        </w:rPr>
      </w:pPr>
    </w:p>
    <w:p w14:paraId="072CD3EA" w14:textId="21E79758" w:rsidR="001511C1" w:rsidRPr="002B09C8" w:rsidRDefault="00232FED" w:rsidP="00C74431">
      <w:pPr>
        <w:widowControl w:val="0"/>
        <w:numPr>
          <w:ilvl w:val="0"/>
          <w:numId w:val="16"/>
        </w:numPr>
        <w:ind w:left="426" w:hanging="426"/>
        <w:jc w:val="both"/>
        <w:rPr>
          <w:sz w:val="22"/>
          <w:szCs w:val="22"/>
          <w:lang w:val="sr-Latn-ME"/>
        </w:rPr>
      </w:pPr>
      <w:r w:rsidRPr="002B09C8">
        <w:rPr>
          <w:snapToGrid w:val="0"/>
          <w:sz w:val="22"/>
          <w:szCs w:val="22"/>
          <w:lang w:val="sr-Latn-ME" w:eastAsia="hr-HR"/>
        </w:rPr>
        <w:t xml:space="preserve">Lijek </w:t>
      </w:r>
      <w:proofErr w:type="spellStart"/>
      <w:r w:rsidRPr="002B09C8">
        <w:rPr>
          <w:snapToGrid w:val="0"/>
          <w:sz w:val="22"/>
          <w:szCs w:val="22"/>
          <w:lang w:val="sr-Latn-ME" w:eastAsia="hr-HR"/>
        </w:rPr>
        <w:t>Tysabri</w:t>
      </w:r>
      <w:proofErr w:type="spellEnd"/>
      <w:r w:rsidRPr="002B09C8">
        <w:rPr>
          <w:snapToGrid w:val="0"/>
          <w:sz w:val="22"/>
          <w:szCs w:val="22"/>
          <w:lang w:val="sr-Latn-ME" w:eastAsia="hr-HR"/>
        </w:rPr>
        <w:t xml:space="preserve"> </w:t>
      </w:r>
      <w:r w:rsidR="001511C1" w:rsidRPr="002B09C8">
        <w:rPr>
          <w:sz w:val="22"/>
          <w:szCs w:val="22"/>
          <w:lang w:val="sr-Latn-ME"/>
        </w:rPr>
        <w:t>se ne smije miješati s</w:t>
      </w:r>
      <w:r w:rsidR="00CD2D51" w:rsidRPr="002B09C8">
        <w:rPr>
          <w:sz w:val="22"/>
          <w:szCs w:val="22"/>
          <w:lang w:val="sr-Latn-ME"/>
        </w:rPr>
        <w:t>a</w:t>
      </w:r>
      <w:r w:rsidR="001511C1" w:rsidRPr="002B09C8">
        <w:rPr>
          <w:sz w:val="22"/>
          <w:szCs w:val="22"/>
          <w:lang w:val="sr-Latn-ME"/>
        </w:rPr>
        <w:t xml:space="preserve"> drugim ljekovima ili rastvaračima.</w:t>
      </w:r>
    </w:p>
    <w:p w14:paraId="5DCA67A9" w14:textId="77777777" w:rsidR="001511C1" w:rsidRPr="002B09C8" w:rsidRDefault="001511C1" w:rsidP="00C74431">
      <w:pPr>
        <w:widowControl w:val="0"/>
        <w:ind w:left="360" w:hanging="360"/>
        <w:jc w:val="both"/>
        <w:rPr>
          <w:sz w:val="22"/>
          <w:szCs w:val="22"/>
          <w:lang w:val="sr-Latn-ME"/>
        </w:rPr>
      </w:pPr>
    </w:p>
    <w:p w14:paraId="38F7AC51" w14:textId="1036EE2E" w:rsidR="001511C1" w:rsidRPr="002B09C8" w:rsidRDefault="00CD2D51" w:rsidP="00C74431">
      <w:pPr>
        <w:widowControl w:val="0"/>
        <w:numPr>
          <w:ilvl w:val="0"/>
          <w:numId w:val="16"/>
        </w:numPr>
        <w:ind w:left="426" w:hanging="426"/>
        <w:jc w:val="both"/>
        <w:rPr>
          <w:sz w:val="22"/>
          <w:szCs w:val="22"/>
          <w:lang w:val="sr-Latn-ME"/>
        </w:rPr>
      </w:pPr>
      <w:r w:rsidRPr="002B09C8">
        <w:rPr>
          <w:sz w:val="22"/>
          <w:szCs w:val="22"/>
          <w:lang w:val="sr-Latn-ME"/>
        </w:rPr>
        <w:t>Prije primjene v</w:t>
      </w:r>
      <w:r w:rsidR="001511C1" w:rsidRPr="002B09C8">
        <w:rPr>
          <w:sz w:val="22"/>
          <w:szCs w:val="22"/>
          <w:lang w:val="sr-Latn-ME"/>
        </w:rPr>
        <w:t>izu</w:t>
      </w:r>
      <w:r w:rsidR="00F27E2F" w:rsidRPr="002B09C8">
        <w:rPr>
          <w:sz w:val="22"/>
          <w:szCs w:val="22"/>
          <w:lang w:val="sr-Latn-ME"/>
        </w:rPr>
        <w:t>e</w:t>
      </w:r>
      <w:r w:rsidR="001511C1" w:rsidRPr="002B09C8">
        <w:rPr>
          <w:sz w:val="22"/>
          <w:szCs w:val="22"/>
          <w:lang w:val="sr-Latn-ME"/>
        </w:rPr>
        <w:t>lno provjerite da li razblaženi lijek sadrži čestice ili je promijenio boju. Nemojte ga upotrijebiti ako je obojen ili ako su vidljive strane čestice.</w:t>
      </w:r>
    </w:p>
    <w:p w14:paraId="109A64D0" w14:textId="77777777" w:rsidR="001511C1" w:rsidRPr="002B09C8" w:rsidRDefault="001511C1" w:rsidP="00C74431">
      <w:pPr>
        <w:widowControl w:val="0"/>
        <w:ind w:left="360" w:hanging="360"/>
        <w:jc w:val="both"/>
        <w:rPr>
          <w:sz w:val="22"/>
          <w:szCs w:val="22"/>
          <w:lang w:val="sr-Latn-ME"/>
        </w:rPr>
      </w:pPr>
    </w:p>
    <w:p w14:paraId="0E1A3AAF" w14:textId="4AADB8F5" w:rsidR="001511C1" w:rsidRPr="002B09C8" w:rsidRDefault="001511C1" w:rsidP="00C74431">
      <w:pPr>
        <w:widowControl w:val="0"/>
        <w:numPr>
          <w:ilvl w:val="0"/>
          <w:numId w:val="16"/>
        </w:numPr>
        <w:ind w:left="426" w:hanging="426"/>
        <w:jc w:val="both"/>
        <w:rPr>
          <w:sz w:val="22"/>
          <w:szCs w:val="22"/>
          <w:lang w:val="sr-Latn-ME"/>
        </w:rPr>
      </w:pPr>
      <w:r w:rsidRPr="002B09C8">
        <w:rPr>
          <w:sz w:val="22"/>
          <w:szCs w:val="22"/>
          <w:lang w:val="sr-Latn-ME"/>
        </w:rPr>
        <w:t xml:space="preserve">Razblaženi lijek treba upotrijebiti što je prije moguće i unutar </w:t>
      </w:r>
      <w:r w:rsidR="00AF49F6" w:rsidRPr="002B09C8">
        <w:rPr>
          <w:sz w:val="22"/>
          <w:szCs w:val="22"/>
          <w:lang w:val="sr-Latn-ME"/>
        </w:rPr>
        <w:t>24</w:t>
      </w:r>
      <w:r w:rsidRPr="002B09C8">
        <w:rPr>
          <w:sz w:val="22"/>
          <w:szCs w:val="22"/>
          <w:lang w:val="sr-Latn-ME"/>
        </w:rPr>
        <w:t xml:space="preserve"> sat</w:t>
      </w:r>
      <w:r w:rsidR="00AF49F6" w:rsidRPr="002B09C8">
        <w:rPr>
          <w:sz w:val="22"/>
          <w:szCs w:val="22"/>
          <w:lang w:val="sr-Latn-ME"/>
        </w:rPr>
        <w:t>a</w:t>
      </w:r>
      <w:r w:rsidRPr="002B09C8">
        <w:rPr>
          <w:sz w:val="22"/>
          <w:szCs w:val="22"/>
          <w:lang w:val="sr-Latn-ME"/>
        </w:rPr>
        <w:t xml:space="preserve"> od razblaživanja. Ako je razblaženi lijek čuvan na </w:t>
      </w:r>
      <w:r w:rsidR="00597DDA" w:rsidRPr="002B09C8">
        <w:rPr>
          <w:sz w:val="22"/>
          <w:szCs w:val="22"/>
          <w:lang w:val="sr-Latn-ME"/>
        </w:rPr>
        <w:t xml:space="preserve">temperaturi od </w:t>
      </w:r>
      <w:r w:rsidRPr="002B09C8">
        <w:rPr>
          <w:sz w:val="22"/>
          <w:szCs w:val="22"/>
          <w:lang w:val="sr-Latn-ME"/>
        </w:rPr>
        <w:t xml:space="preserve">2°C </w:t>
      </w:r>
      <w:r w:rsidR="00597DDA" w:rsidRPr="002B09C8">
        <w:rPr>
          <w:sz w:val="22"/>
          <w:szCs w:val="22"/>
          <w:lang w:val="sr-Latn-ME"/>
        </w:rPr>
        <w:t>do</w:t>
      </w:r>
      <w:r w:rsidRPr="002B09C8">
        <w:rPr>
          <w:sz w:val="22"/>
          <w:szCs w:val="22"/>
          <w:lang w:val="sr-Latn-ME"/>
        </w:rPr>
        <w:t xml:space="preserve"> 8°C (ne zamrzavati), ostavite rastvor da se </w:t>
      </w:r>
      <w:proofErr w:type="spellStart"/>
      <w:r w:rsidRPr="002B09C8">
        <w:rPr>
          <w:sz w:val="22"/>
          <w:szCs w:val="22"/>
          <w:lang w:val="sr-Latn-ME"/>
        </w:rPr>
        <w:t>zagrije</w:t>
      </w:r>
      <w:proofErr w:type="spellEnd"/>
      <w:r w:rsidRPr="002B09C8">
        <w:rPr>
          <w:sz w:val="22"/>
          <w:szCs w:val="22"/>
          <w:lang w:val="sr-Latn-ME"/>
        </w:rPr>
        <w:t xml:space="preserve"> do sobne temperature prije </w:t>
      </w:r>
      <w:r w:rsidR="00597DDA" w:rsidRPr="002B09C8">
        <w:rPr>
          <w:sz w:val="22"/>
          <w:szCs w:val="22"/>
          <w:lang w:val="sr-Latn-ME"/>
        </w:rPr>
        <w:t>primjene</w:t>
      </w:r>
      <w:r w:rsidRPr="002B09C8">
        <w:rPr>
          <w:sz w:val="22"/>
          <w:szCs w:val="22"/>
          <w:lang w:val="sr-Latn-ME"/>
        </w:rPr>
        <w:t>.</w:t>
      </w:r>
    </w:p>
    <w:p w14:paraId="1F4A0B1E" w14:textId="77777777" w:rsidR="001511C1" w:rsidRPr="002B09C8" w:rsidRDefault="001511C1" w:rsidP="00C74431">
      <w:pPr>
        <w:widowControl w:val="0"/>
        <w:ind w:left="360" w:hanging="360"/>
        <w:jc w:val="both"/>
        <w:rPr>
          <w:sz w:val="22"/>
          <w:szCs w:val="22"/>
          <w:lang w:val="sr-Latn-ME"/>
        </w:rPr>
      </w:pPr>
    </w:p>
    <w:p w14:paraId="76993292" w14:textId="5E0DCD57" w:rsidR="001511C1" w:rsidRPr="002B09C8" w:rsidRDefault="001511C1" w:rsidP="00C74431">
      <w:pPr>
        <w:widowControl w:val="0"/>
        <w:numPr>
          <w:ilvl w:val="0"/>
          <w:numId w:val="16"/>
        </w:numPr>
        <w:ind w:left="426" w:hanging="426"/>
        <w:jc w:val="both"/>
        <w:rPr>
          <w:sz w:val="22"/>
          <w:szCs w:val="22"/>
          <w:lang w:val="sr-Latn-ME"/>
        </w:rPr>
      </w:pPr>
      <w:r w:rsidRPr="002B09C8">
        <w:rPr>
          <w:sz w:val="22"/>
          <w:szCs w:val="22"/>
          <w:lang w:val="sr-Latn-ME"/>
        </w:rPr>
        <w:t xml:space="preserve">Razblaženi rastvor se primjenjuje putem </w:t>
      </w:r>
      <w:proofErr w:type="spellStart"/>
      <w:r w:rsidRPr="002B09C8">
        <w:rPr>
          <w:sz w:val="22"/>
          <w:szCs w:val="22"/>
          <w:lang w:val="sr-Latn-ME"/>
        </w:rPr>
        <w:t>intravenske</w:t>
      </w:r>
      <w:proofErr w:type="spellEnd"/>
      <w:r w:rsidRPr="002B09C8">
        <w:rPr>
          <w:sz w:val="22"/>
          <w:szCs w:val="22"/>
          <w:lang w:val="sr-Latn-ME"/>
        </w:rPr>
        <w:t xml:space="preserve"> infuzije tokom 1 sata brzinom od oko 2 m</w:t>
      </w:r>
      <w:r w:rsidR="00F27E2F" w:rsidRPr="002B09C8">
        <w:rPr>
          <w:sz w:val="22"/>
          <w:szCs w:val="22"/>
          <w:lang w:val="sr-Latn-ME"/>
        </w:rPr>
        <w:t>l/</w:t>
      </w:r>
      <w:r w:rsidRPr="002B09C8">
        <w:rPr>
          <w:sz w:val="22"/>
          <w:szCs w:val="22"/>
          <w:lang w:val="sr-Latn-ME"/>
        </w:rPr>
        <w:t>min.</w:t>
      </w:r>
    </w:p>
    <w:p w14:paraId="6E35FF7A" w14:textId="77777777" w:rsidR="001511C1" w:rsidRPr="002B09C8" w:rsidRDefault="001511C1" w:rsidP="00C74431">
      <w:pPr>
        <w:widowControl w:val="0"/>
        <w:ind w:left="360" w:hanging="360"/>
        <w:jc w:val="both"/>
        <w:rPr>
          <w:sz w:val="22"/>
          <w:szCs w:val="22"/>
          <w:lang w:val="sr-Latn-ME"/>
        </w:rPr>
      </w:pPr>
    </w:p>
    <w:p w14:paraId="2896CFA7" w14:textId="059D7330" w:rsidR="001511C1" w:rsidRPr="002B09C8" w:rsidRDefault="001511C1" w:rsidP="00C74431">
      <w:pPr>
        <w:widowControl w:val="0"/>
        <w:numPr>
          <w:ilvl w:val="0"/>
          <w:numId w:val="16"/>
        </w:numPr>
        <w:ind w:left="426" w:hanging="426"/>
        <w:jc w:val="both"/>
        <w:rPr>
          <w:sz w:val="22"/>
          <w:szCs w:val="22"/>
          <w:lang w:val="sr-Latn-ME"/>
        </w:rPr>
      </w:pPr>
      <w:r w:rsidRPr="002B09C8">
        <w:rPr>
          <w:sz w:val="22"/>
          <w:szCs w:val="22"/>
          <w:lang w:val="sr-Latn-ME"/>
        </w:rPr>
        <w:t xml:space="preserve">Po završetku infuzije isperite </w:t>
      </w:r>
      <w:proofErr w:type="spellStart"/>
      <w:r w:rsidRPr="002B09C8">
        <w:rPr>
          <w:sz w:val="22"/>
          <w:szCs w:val="22"/>
          <w:lang w:val="sr-Latn-ME"/>
        </w:rPr>
        <w:t>intravensku</w:t>
      </w:r>
      <w:proofErr w:type="spellEnd"/>
      <w:r w:rsidRPr="002B09C8">
        <w:rPr>
          <w:sz w:val="22"/>
          <w:szCs w:val="22"/>
          <w:lang w:val="sr-Latn-ME"/>
        </w:rPr>
        <w:t xml:space="preserve"> liniju 0,9 % (9 mg/m</w:t>
      </w:r>
      <w:r w:rsidR="00F27E2F" w:rsidRPr="002B09C8">
        <w:rPr>
          <w:sz w:val="22"/>
          <w:szCs w:val="22"/>
          <w:lang w:val="sr-Latn-ME"/>
        </w:rPr>
        <w:t>l</w:t>
      </w:r>
      <w:r w:rsidRPr="002B09C8">
        <w:rPr>
          <w:sz w:val="22"/>
          <w:szCs w:val="22"/>
          <w:lang w:val="sr-Latn-ME"/>
        </w:rPr>
        <w:t xml:space="preserve">) rastvorom </w:t>
      </w:r>
      <w:r w:rsidR="00597DDA" w:rsidRPr="002B09C8">
        <w:rPr>
          <w:sz w:val="22"/>
          <w:szCs w:val="22"/>
          <w:lang w:val="sr-Latn-ME"/>
        </w:rPr>
        <w:t xml:space="preserve">za injekciju </w:t>
      </w:r>
      <w:r w:rsidRPr="002B09C8">
        <w:rPr>
          <w:sz w:val="22"/>
          <w:szCs w:val="22"/>
          <w:lang w:val="sr-Latn-ME"/>
        </w:rPr>
        <w:t>natrijum hlorida.</w:t>
      </w:r>
    </w:p>
    <w:p w14:paraId="3CA8F589" w14:textId="77777777" w:rsidR="001511C1" w:rsidRPr="002B09C8" w:rsidRDefault="001511C1" w:rsidP="00C74431">
      <w:pPr>
        <w:widowControl w:val="0"/>
        <w:ind w:left="360" w:hanging="360"/>
        <w:jc w:val="both"/>
        <w:rPr>
          <w:sz w:val="22"/>
          <w:szCs w:val="22"/>
          <w:lang w:val="sr-Latn-ME"/>
        </w:rPr>
      </w:pPr>
    </w:p>
    <w:p w14:paraId="38E067A1" w14:textId="6F5BDF7C" w:rsidR="001511C1" w:rsidRPr="002B09C8" w:rsidRDefault="001511C1" w:rsidP="00C74431">
      <w:pPr>
        <w:widowControl w:val="0"/>
        <w:numPr>
          <w:ilvl w:val="0"/>
          <w:numId w:val="16"/>
        </w:numPr>
        <w:ind w:left="426" w:hanging="426"/>
        <w:jc w:val="both"/>
        <w:rPr>
          <w:sz w:val="22"/>
          <w:szCs w:val="22"/>
          <w:lang w:val="sr-Latn-ME"/>
        </w:rPr>
      </w:pPr>
      <w:r w:rsidRPr="002B09C8">
        <w:rPr>
          <w:sz w:val="22"/>
          <w:szCs w:val="22"/>
          <w:lang w:val="sr-Latn-ME"/>
        </w:rPr>
        <w:t xml:space="preserve">Svaka bočica je </w:t>
      </w:r>
      <w:r w:rsidR="00597DDA" w:rsidRPr="002B09C8">
        <w:rPr>
          <w:sz w:val="22"/>
          <w:szCs w:val="22"/>
          <w:lang w:val="sr-Latn-ME"/>
        </w:rPr>
        <w:t xml:space="preserve">namijenjena </w:t>
      </w:r>
      <w:r w:rsidRPr="002B09C8">
        <w:rPr>
          <w:sz w:val="22"/>
          <w:szCs w:val="22"/>
          <w:lang w:val="sr-Latn-ME"/>
        </w:rPr>
        <w:t>isključivo za jednokratnu upotrebu.</w:t>
      </w:r>
    </w:p>
    <w:p w14:paraId="13F463AF" w14:textId="77777777" w:rsidR="001511C1" w:rsidRPr="002B09C8" w:rsidRDefault="001511C1" w:rsidP="00C74431">
      <w:pPr>
        <w:widowControl w:val="0"/>
        <w:ind w:left="360" w:hanging="360"/>
        <w:jc w:val="both"/>
        <w:rPr>
          <w:sz w:val="22"/>
          <w:szCs w:val="22"/>
          <w:lang w:val="sr-Latn-ME"/>
        </w:rPr>
      </w:pPr>
    </w:p>
    <w:p w14:paraId="21A0DC09" w14:textId="3D5443CD" w:rsidR="0072020E" w:rsidRPr="002B09C8" w:rsidRDefault="00597DDA" w:rsidP="00C74431">
      <w:pPr>
        <w:pStyle w:val="ListParagraph"/>
        <w:widowControl w:val="0"/>
        <w:numPr>
          <w:ilvl w:val="0"/>
          <w:numId w:val="16"/>
        </w:numPr>
        <w:ind w:left="426" w:hanging="426"/>
        <w:jc w:val="both"/>
        <w:rPr>
          <w:noProof w:val="0"/>
          <w:sz w:val="22"/>
          <w:szCs w:val="22"/>
          <w:lang w:val="sr-Latn-ME"/>
        </w:rPr>
      </w:pPr>
      <w:r w:rsidRPr="002B09C8">
        <w:rPr>
          <w:sz w:val="22"/>
          <w:szCs w:val="22"/>
          <w:lang w:val="sr-Latn-ME"/>
        </w:rPr>
        <w:t>Svu neiskorišćenu količinu lijeka ili otpadnog materijala nakon njegove upotrebe treba ukloniti, u skladu sa važećim propisima.</w:t>
      </w:r>
    </w:p>
    <w:p w14:paraId="18350CB3" w14:textId="77777777" w:rsidR="00F27E2F" w:rsidRPr="002B09C8" w:rsidRDefault="00F27E2F" w:rsidP="00C74431">
      <w:pPr>
        <w:widowControl w:val="0"/>
        <w:tabs>
          <w:tab w:val="left" w:pos="540"/>
          <w:tab w:val="left" w:pos="569"/>
        </w:tabs>
        <w:jc w:val="both"/>
        <w:rPr>
          <w:bCs/>
          <w:sz w:val="22"/>
          <w:szCs w:val="22"/>
          <w:lang w:val="sr-Latn-ME"/>
        </w:rPr>
      </w:pPr>
    </w:p>
    <w:p w14:paraId="31E0AA0D" w14:textId="77777777" w:rsidR="001511C1" w:rsidRPr="002B09C8" w:rsidRDefault="001511C1" w:rsidP="00C74431">
      <w:pPr>
        <w:widowControl w:val="0"/>
        <w:tabs>
          <w:tab w:val="left" w:pos="540"/>
          <w:tab w:val="left" w:pos="569"/>
        </w:tabs>
        <w:jc w:val="both"/>
        <w:rPr>
          <w:bCs/>
          <w:sz w:val="22"/>
          <w:szCs w:val="22"/>
          <w:lang w:val="sr-Latn-ME"/>
        </w:rPr>
      </w:pPr>
    </w:p>
    <w:p w14:paraId="12E88CFE" w14:textId="77777777" w:rsidR="00F8570A"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lastRenderedPageBreak/>
        <w:t xml:space="preserve">7. </w:t>
      </w:r>
      <w:r w:rsidR="00480FB1" w:rsidRPr="002B09C8">
        <w:rPr>
          <w:b/>
          <w:bCs/>
          <w:sz w:val="22"/>
          <w:szCs w:val="22"/>
          <w:lang w:val="sr-Latn-ME"/>
        </w:rPr>
        <w:tab/>
      </w:r>
      <w:r w:rsidRPr="002B09C8">
        <w:rPr>
          <w:b/>
          <w:bCs/>
          <w:sz w:val="22"/>
          <w:szCs w:val="22"/>
          <w:lang w:val="sr-Latn-ME"/>
        </w:rPr>
        <w:t>NOSILAC DOZVOLE</w:t>
      </w:r>
      <w:r w:rsidR="00483928" w:rsidRPr="002B09C8">
        <w:rPr>
          <w:b/>
          <w:bCs/>
          <w:sz w:val="22"/>
          <w:szCs w:val="22"/>
          <w:lang w:val="sr-Latn-ME"/>
        </w:rPr>
        <w:t xml:space="preserve"> </w:t>
      </w:r>
    </w:p>
    <w:p w14:paraId="7E759EB2" w14:textId="77777777" w:rsidR="00C61BE0" w:rsidRPr="002B09C8" w:rsidRDefault="00C61BE0" w:rsidP="00C74431">
      <w:pPr>
        <w:widowControl w:val="0"/>
        <w:tabs>
          <w:tab w:val="left" w:pos="540"/>
          <w:tab w:val="left" w:pos="569"/>
        </w:tabs>
        <w:jc w:val="both"/>
        <w:rPr>
          <w:bCs/>
          <w:sz w:val="22"/>
          <w:szCs w:val="22"/>
          <w:lang w:val="sr-Latn-ME"/>
        </w:rPr>
      </w:pPr>
    </w:p>
    <w:p w14:paraId="565B51C6" w14:textId="64B9E7F6" w:rsidR="00597DDA" w:rsidRPr="002B09C8" w:rsidRDefault="001511C1" w:rsidP="00C74431">
      <w:pPr>
        <w:widowControl w:val="0"/>
        <w:tabs>
          <w:tab w:val="left" w:pos="540"/>
          <w:tab w:val="left" w:pos="569"/>
        </w:tabs>
        <w:jc w:val="both"/>
        <w:rPr>
          <w:sz w:val="22"/>
          <w:szCs w:val="22"/>
          <w:lang w:val="sr-Latn-ME"/>
        </w:rPr>
      </w:pPr>
      <w:r w:rsidRPr="002B09C8">
        <w:rPr>
          <w:sz w:val="22"/>
          <w:szCs w:val="22"/>
          <w:lang w:val="sr-Latn-ME"/>
        </w:rPr>
        <w:t xml:space="preserve">Glosarij </w:t>
      </w:r>
      <w:proofErr w:type="spellStart"/>
      <w:r w:rsidRPr="002B09C8">
        <w:rPr>
          <w:sz w:val="22"/>
          <w:szCs w:val="22"/>
          <w:lang w:val="sr-Latn-ME"/>
        </w:rPr>
        <w:t>d.o.o</w:t>
      </w:r>
      <w:proofErr w:type="spellEnd"/>
      <w:r w:rsidRPr="002B09C8">
        <w:rPr>
          <w:sz w:val="22"/>
          <w:szCs w:val="22"/>
          <w:lang w:val="sr-Latn-ME"/>
        </w:rPr>
        <w:t xml:space="preserve">., </w:t>
      </w:r>
    </w:p>
    <w:p w14:paraId="01561C3D" w14:textId="54B24704" w:rsidR="00C37FD7" w:rsidRPr="002B09C8" w:rsidRDefault="001511C1" w:rsidP="00C74431">
      <w:pPr>
        <w:widowControl w:val="0"/>
        <w:tabs>
          <w:tab w:val="left" w:pos="540"/>
          <w:tab w:val="left" w:pos="569"/>
        </w:tabs>
        <w:jc w:val="both"/>
        <w:rPr>
          <w:sz w:val="22"/>
          <w:szCs w:val="22"/>
          <w:lang w:val="sr-Latn-ME"/>
        </w:rPr>
      </w:pPr>
      <w:proofErr w:type="spellStart"/>
      <w:r w:rsidRPr="002B09C8">
        <w:rPr>
          <w:sz w:val="22"/>
          <w:szCs w:val="22"/>
          <w:lang w:val="sr-Latn-ME"/>
        </w:rPr>
        <w:t>Vojislavljevića</w:t>
      </w:r>
      <w:proofErr w:type="spellEnd"/>
      <w:r w:rsidRPr="002B09C8">
        <w:rPr>
          <w:sz w:val="22"/>
          <w:szCs w:val="22"/>
          <w:lang w:val="sr-Latn-ME"/>
        </w:rPr>
        <w:t xml:space="preserve"> 76, Podgorica, Crna Gora</w:t>
      </w:r>
    </w:p>
    <w:p w14:paraId="12E6DB25" w14:textId="2C095889" w:rsidR="00EB5CED" w:rsidRPr="002B09C8" w:rsidRDefault="00EB5CED" w:rsidP="00C74431">
      <w:pPr>
        <w:widowControl w:val="0"/>
        <w:tabs>
          <w:tab w:val="left" w:pos="540"/>
          <w:tab w:val="left" w:pos="569"/>
        </w:tabs>
        <w:jc w:val="both"/>
        <w:rPr>
          <w:bCs/>
          <w:sz w:val="22"/>
          <w:szCs w:val="22"/>
          <w:lang w:val="sr-Latn-ME"/>
        </w:rPr>
      </w:pPr>
    </w:p>
    <w:p w14:paraId="7D963C03" w14:textId="77777777" w:rsidR="00F27E2F" w:rsidRPr="002B09C8" w:rsidRDefault="00F27E2F" w:rsidP="00C74431">
      <w:pPr>
        <w:widowControl w:val="0"/>
        <w:tabs>
          <w:tab w:val="left" w:pos="540"/>
          <w:tab w:val="left" w:pos="569"/>
        </w:tabs>
        <w:jc w:val="both"/>
        <w:rPr>
          <w:bCs/>
          <w:sz w:val="22"/>
          <w:szCs w:val="22"/>
          <w:lang w:val="sr-Latn-ME"/>
        </w:rPr>
      </w:pPr>
    </w:p>
    <w:p w14:paraId="5F85F027"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8. </w:t>
      </w:r>
      <w:r w:rsidR="00480FB1" w:rsidRPr="002B09C8">
        <w:rPr>
          <w:b/>
          <w:bCs/>
          <w:sz w:val="22"/>
          <w:szCs w:val="22"/>
          <w:lang w:val="sr-Latn-ME"/>
        </w:rPr>
        <w:tab/>
      </w:r>
      <w:r w:rsidRPr="002B09C8">
        <w:rPr>
          <w:b/>
          <w:bCs/>
          <w:sz w:val="22"/>
          <w:szCs w:val="22"/>
          <w:lang w:val="sr-Latn-ME"/>
        </w:rPr>
        <w:t>BROJ DOZVOLE</w:t>
      </w:r>
      <w:r w:rsidR="008A6D43" w:rsidRPr="002B09C8">
        <w:rPr>
          <w:b/>
          <w:bCs/>
          <w:sz w:val="22"/>
          <w:szCs w:val="22"/>
          <w:lang w:val="sr-Latn-ME"/>
        </w:rPr>
        <w:t xml:space="preserve"> ZA STAVLJANJE LIJEKA U PROMET</w:t>
      </w:r>
    </w:p>
    <w:p w14:paraId="305AF784" w14:textId="77777777" w:rsidR="0072020E" w:rsidRPr="002B09C8" w:rsidRDefault="0072020E" w:rsidP="00C74431">
      <w:pPr>
        <w:widowControl w:val="0"/>
        <w:tabs>
          <w:tab w:val="left" w:pos="540"/>
          <w:tab w:val="left" w:pos="569"/>
        </w:tabs>
        <w:jc w:val="both"/>
        <w:rPr>
          <w:bCs/>
          <w:sz w:val="22"/>
          <w:szCs w:val="22"/>
          <w:lang w:val="sr-Latn-ME"/>
        </w:rPr>
      </w:pPr>
      <w:bookmarkStart w:id="0" w:name="_GoBack"/>
      <w:bookmarkEnd w:id="0"/>
    </w:p>
    <w:p w14:paraId="3231FD47" w14:textId="0C34A314" w:rsidR="00F45F77" w:rsidRPr="002B09C8" w:rsidRDefault="002B09C8" w:rsidP="00C74431">
      <w:pPr>
        <w:widowControl w:val="0"/>
        <w:tabs>
          <w:tab w:val="left" w:pos="540"/>
          <w:tab w:val="left" w:pos="569"/>
        </w:tabs>
        <w:jc w:val="both"/>
        <w:rPr>
          <w:bCs/>
          <w:sz w:val="22"/>
          <w:szCs w:val="22"/>
          <w:lang w:val="sr-Latn-ME"/>
        </w:rPr>
      </w:pPr>
      <w:r w:rsidRPr="002B09C8">
        <w:rPr>
          <w:bCs/>
          <w:sz w:val="22"/>
          <w:szCs w:val="22"/>
          <w:lang w:val="sr-Latn-ME"/>
        </w:rPr>
        <w:t xml:space="preserve">2030/25/2325 – 3680 </w:t>
      </w:r>
    </w:p>
    <w:p w14:paraId="1662BE52" w14:textId="77777777" w:rsidR="00597DDA" w:rsidRPr="002B09C8" w:rsidRDefault="00597DDA" w:rsidP="00C74431">
      <w:pPr>
        <w:widowControl w:val="0"/>
        <w:tabs>
          <w:tab w:val="left" w:pos="540"/>
          <w:tab w:val="left" w:pos="569"/>
        </w:tabs>
        <w:jc w:val="both"/>
        <w:rPr>
          <w:bCs/>
          <w:sz w:val="22"/>
          <w:szCs w:val="22"/>
          <w:lang w:val="sr-Latn-ME"/>
        </w:rPr>
      </w:pPr>
    </w:p>
    <w:p w14:paraId="241984EC" w14:textId="77777777" w:rsidR="00F27E2F" w:rsidRPr="002B09C8" w:rsidRDefault="00F27E2F" w:rsidP="00C74431">
      <w:pPr>
        <w:widowControl w:val="0"/>
        <w:tabs>
          <w:tab w:val="left" w:pos="540"/>
          <w:tab w:val="left" w:pos="569"/>
        </w:tabs>
        <w:jc w:val="both"/>
        <w:rPr>
          <w:bCs/>
          <w:sz w:val="22"/>
          <w:szCs w:val="22"/>
          <w:lang w:val="sr-Latn-ME"/>
        </w:rPr>
      </w:pPr>
    </w:p>
    <w:p w14:paraId="42CE691B" w14:textId="77777777" w:rsidR="0072020E" w:rsidRPr="002B09C8" w:rsidRDefault="0072020E" w:rsidP="00C74431">
      <w:pPr>
        <w:widowControl w:val="0"/>
        <w:tabs>
          <w:tab w:val="left" w:pos="540"/>
          <w:tab w:val="left" w:pos="569"/>
        </w:tabs>
        <w:jc w:val="both"/>
        <w:rPr>
          <w:b/>
          <w:bCs/>
          <w:sz w:val="22"/>
          <w:szCs w:val="22"/>
          <w:lang w:val="sr-Latn-ME"/>
        </w:rPr>
      </w:pPr>
      <w:r w:rsidRPr="002B09C8">
        <w:rPr>
          <w:b/>
          <w:bCs/>
          <w:sz w:val="22"/>
          <w:szCs w:val="22"/>
          <w:lang w:val="sr-Latn-ME"/>
        </w:rPr>
        <w:t xml:space="preserve">9. </w:t>
      </w:r>
      <w:r w:rsidR="00480FB1" w:rsidRPr="002B09C8">
        <w:rPr>
          <w:b/>
          <w:bCs/>
          <w:sz w:val="22"/>
          <w:szCs w:val="22"/>
          <w:lang w:val="sr-Latn-ME"/>
        </w:rPr>
        <w:tab/>
      </w:r>
      <w:r w:rsidRPr="002B09C8">
        <w:rPr>
          <w:b/>
          <w:bCs/>
          <w:sz w:val="22"/>
          <w:szCs w:val="22"/>
          <w:lang w:val="sr-Latn-ME"/>
        </w:rPr>
        <w:t xml:space="preserve">DATUM </w:t>
      </w:r>
      <w:r w:rsidR="00C05DF8" w:rsidRPr="002B09C8">
        <w:rPr>
          <w:b/>
          <w:bCs/>
          <w:sz w:val="22"/>
          <w:szCs w:val="22"/>
          <w:lang w:val="sr-Latn-ME"/>
        </w:rPr>
        <w:t xml:space="preserve">PRVE </w:t>
      </w:r>
      <w:r w:rsidR="008A6D43" w:rsidRPr="002B09C8">
        <w:rPr>
          <w:b/>
          <w:bCs/>
          <w:sz w:val="22"/>
          <w:szCs w:val="22"/>
          <w:lang w:val="sr-Latn-ME"/>
        </w:rPr>
        <w:t>DOZVOLE</w:t>
      </w:r>
      <w:r w:rsidR="00C05DF8" w:rsidRPr="002B09C8">
        <w:rPr>
          <w:b/>
          <w:bCs/>
          <w:sz w:val="22"/>
          <w:szCs w:val="22"/>
          <w:lang w:val="sr-Latn-ME"/>
        </w:rPr>
        <w:t>/OBNOVE DOZVOLE</w:t>
      </w:r>
      <w:r w:rsidR="008A6D43" w:rsidRPr="002B09C8">
        <w:rPr>
          <w:b/>
          <w:bCs/>
          <w:sz w:val="22"/>
          <w:szCs w:val="22"/>
          <w:lang w:val="sr-Latn-ME"/>
        </w:rPr>
        <w:t xml:space="preserve"> ZA STAVLJANJE LIJEKA U PROMET</w:t>
      </w:r>
    </w:p>
    <w:p w14:paraId="03A30242" w14:textId="77777777" w:rsidR="0072020E" w:rsidRPr="002B09C8" w:rsidRDefault="0072020E" w:rsidP="00C74431">
      <w:pPr>
        <w:widowControl w:val="0"/>
        <w:tabs>
          <w:tab w:val="left" w:pos="540"/>
          <w:tab w:val="left" w:pos="569"/>
        </w:tabs>
        <w:jc w:val="both"/>
        <w:rPr>
          <w:bCs/>
          <w:sz w:val="22"/>
          <w:szCs w:val="22"/>
          <w:lang w:val="sr-Latn-ME"/>
        </w:rPr>
      </w:pPr>
    </w:p>
    <w:p w14:paraId="1F9A6277" w14:textId="5B3421D7" w:rsidR="001511C1" w:rsidRPr="002B09C8" w:rsidRDefault="00597DDA" w:rsidP="00C74431">
      <w:pPr>
        <w:widowControl w:val="0"/>
        <w:tabs>
          <w:tab w:val="left" w:pos="540"/>
          <w:tab w:val="left" w:pos="569"/>
        </w:tabs>
        <w:jc w:val="both"/>
        <w:rPr>
          <w:bCs/>
          <w:sz w:val="22"/>
          <w:szCs w:val="22"/>
          <w:lang w:val="sr-Latn-ME"/>
        </w:rPr>
      </w:pPr>
      <w:r w:rsidRPr="002B09C8">
        <w:rPr>
          <w:bCs/>
          <w:sz w:val="22"/>
          <w:szCs w:val="22"/>
          <w:lang w:val="sr-Latn-ME"/>
        </w:rPr>
        <w:t xml:space="preserve">Datum prve dozvole: </w:t>
      </w:r>
      <w:r w:rsidR="001511C1" w:rsidRPr="002B09C8">
        <w:rPr>
          <w:bCs/>
          <w:sz w:val="22"/>
          <w:szCs w:val="22"/>
          <w:lang w:val="sr-Latn-ME"/>
        </w:rPr>
        <w:t>03.12.2015. godine</w:t>
      </w:r>
    </w:p>
    <w:p w14:paraId="3082F817" w14:textId="2B74585B" w:rsidR="002B09C8" w:rsidRPr="002B09C8" w:rsidRDefault="00597DDA" w:rsidP="002B09C8">
      <w:pPr>
        <w:widowControl w:val="0"/>
        <w:tabs>
          <w:tab w:val="left" w:pos="540"/>
          <w:tab w:val="left" w:pos="569"/>
        </w:tabs>
        <w:jc w:val="both"/>
        <w:rPr>
          <w:bCs/>
          <w:sz w:val="22"/>
          <w:szCs w:val="22"/>
          <w:lang w:val="sr-Latn-ME"/>
        </w:rPr>
      </w:pPr>
      <w:r w:rsidRPr="002B09C8">
        <w:rPr>
          <w:bCs/>
          <w:sz w:val="22"/>
          <w:szCs w:val="22"/>
          <w:lang w:val="sr-Latn-ME"/>
        </w:rPr>
        <w:t>Datum posljednje obnove dozvole:</w:t>
      </w:r>
      <w:r w:rsidR="002B09C8" w:rsidRPr="002B09C8">
        <w:rPr>
          <w:bCs/>
          <w:sz w:val="22"/>
          <w:szCs w:val="22"/>
          <w:lang w:val="sr-Latn-ME"/>
        </w:rPr>
        <w:t xml:space="preserve"> 11.06.2025. godine</w:t>
      </w:r>
    </w:p>
    <w:p w14:paraId="62195FDE" w14:textId="77777777" w:rsidR="00597DDA" w:rsidRPr="002B09C8" w:rsidRDefault="00597DDA" w:rsidP="00C74431">
      <w:pPr>
        <w:widowControl w:val="0"/>
        <w:tabs>
          <w:tab w:val="left" w:pos="540"/>
          <w:tab w:val="left" w:pos="569"/>
        </w:tabs>
        <w:jc w:val="both"/>
        <w:rPr>
          <w:bCs/>
          <w:sz w:val="22"/>
          <w:szCs w:val="22"/>
          <w:lang w:val="sr-Latn-ME"/>
        </w:rPr>
      </w:pPr>
    </w:p>
    <w:p w14:paraId="5018EDFF" w14:textId="77777777" w:rsidR="008C3C2A" w:rsidRPr="002B09C8" w:rsidRDefault="008C3C2A" w:rsidP="00C74431">
      <w:pPr>
        <w:widowControl w:val="0"/>
        <w:tabs>
          <w:tab w:val="left" w:pos="540"/>
          <w:tab w:val="left" w:pos="569"/>
        </w:tabs>
        <w:jc w:val="both"/>
        <w:rPr>
          <w:bCs/>
          <w:sz w:val="22"/>
          <w:szCs w:val="22"/>
          <w:lang w:val="sr-Latn-ME"/>
        </w:rPr>
      </w:pPr>
    </w:p>
    <w:p w14:paraId="661D0A21" w14:textId="5681E64E" w:rsidR="003F6A59" w:rsidRPr="002B09C8" w:rsidRDefault="0072020E" w:rsidP="00C74431">
      <w:pPr>
        <w:widowControl w:val="0"/>
        <w:tabs>
          <w:tab w:val="left" w:pos="540"/>
          <w:tab w:val="left" w:pos="569"/>
        </w:tabs>
        <w:ind w:left="540" w:hanging="540"/>
        <w:jc w:val="both"/>
        <w:rPr>
          <w:b/>
          <w:bCs/>
          <w:sz w:val="22"/>
          <w:szCs w:val="22"/>
          <w:lang w:val="sr-Latn-ME"/>
        </w:rPr>
      </w:pPr>
      <w:r w:rsidRPr="002B09C8">
        <w:rPr>
          <w:b/>
          <w:bCs/>
          <w:sz w:val="22"/>
          <w:szCs w:val="22"/>
          <w:lang w:val="sr-Latn-ME"/>
        </w:rPr>
        <w:t xml:space="preserve">10. </w:t>
      </w:r>
      <w:r w:rsidR="00480FB1" w:rsidRPr="002B09C8">
        <w:rPr>
          <w:b/>
          <w:bCs/>
          <w:sz w:val="22"/>
          <w:szCs w:val="22"/>
          <w:lang w:val="sr-Latn-ME"/>
        </w:rPr>
        <w:tab/>
      </w:r>
      <w:r w:rsidR="002846DB" w:rsidRPr="002B09C8">
        <w:rPr>
          <w:b/>
          <w:bCs/>
          <w:sz w:val="22"/>
          <w:szCs w:val="22"/>
          <w:lang w:val="sr-Latn-ME"/>
        </w:rPr>
        <w:t>D</w:t>
      </w:r>
      <w:r w:rsidR="00EC2532" w:rsidRPr="002B09C8">
        <w:rPr>
          <w:b/>
          <w:bCs/>
          <w:sz w:val="22"/>
          <w:szCs w:val="22"/>
          <w:lang w:val="sr-Latn-ME"/>
        </w:rPr>
        <w:t xml:space="preserve">ATUM REVIZIJE TEKSTA </w:t>
      </w:r>
    </w:p>
    <w:p w14:paraId="47E2AF30" w14:textId="51470B77" w:rsidR="008C3C2A" w:rsidRPr="002B09C8" w:rsidRDefault="008C3C2A" w:rsidP="00C74431">
      <w:pPr>
        <w:widowControl w:val="0"/>
        <w:tabs>
          <w:tab w:val="left" w:pos="540"/>
          <w:tab w:val="left" w:pos="569"/>
        </w:tabs>
        <w:ind w:left="540" w:hanging="540"/>
        <w:jc w:val="both"/>
        <w:rPr>
          <w:bCs/>
          <w:sz w:val="22"/>
          <w:szCs w:val="22"/>
          <w:lang w:val="sr-Latn-ME"/>
        </w:rPr>
      </w:pPr>
    </w:p>
    <w:p w14:paraId="70D2FFE8" w14:textId="3C9C4788" w:rsidR="003F6A59" w:rsidRPr="002B09C8" w:rsidRDefault="002B09C8" w:rsidP="00C74431">
      <w:pPr>
        <w:widowControl w:val="0"/>
        <w:jc w:val="both"/>
        <w:rPr>
          <w:sz w:val="22"/>
          <w:szCs w:val="22"/>
          <w:lang w:val="sr-Latn-ME"/>
        </w:rPr>
      </w:pPr>
      <w:r w:rsidRPr="002B09C8">
        <w:rPr>
          <w:sz w:val="22"/>
          <w:szCs w:val="22"/>
          <w:lang w:val="sr-Latn-ME"/>
        </w:rPr>
        <w:t>Jun, 2025. godine</w:t>
      </w:r>
    </w:p>
    <w:sectPr w:rsidR="003F6A59" w:rsidRPr="002B09C8"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A4C43" w14:textId="77777777" w:rsidR="00B803EB" w:rsidRDefault="00B803EB">
      <w:r>
        <w:separator/>
      </w:r>
    </w:p>
  </w:endnote>
  <w:endnote w:type="continuationSeparator" w:id="0">
    <w:p w14:paraId="72DE6624" w14:textId="77777777" w:rsidR="00B803EB" w:rsidRDefault="00B8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4525B" w14:textId="589F1115" w:rsidR="002B09C8" w:rsidRPr="00B23F69" w:rsidRDefault="002B09C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C3733">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C3733">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6D42E" w14:textId="77777777" w:rsidR="00B803EB" w:rsidRDefault="00B803EB">
      <w:r>
        <w:separator/>
      </w:r>
    </w:p>
  </w:footnote>
  <w:footnote w:type="continuationSeparator" w:id="0">
    <w:p w14:paraId="3E787DA8" w14:textId="77777777" w:rsidR="00B803EB" w:rsidRDefault="00B80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mso-wrap-style:square" o:bullet="t">
        <v:imagedata r:id="rId1" o:title=""/>
      </v:shape>
    </w:pict>
  </w:numPicBullet>
  <w:abstractNum w:abstractNumId="0" w15:restartNumberingAfterBreak="0">
    <w:nsid w:val="0ABD32D7"/>
    <w:multiLevelType w:val="hybridMultilevel"/>
    <w:tmpl w:val="BD6ECB3C"/>
    <w:lvl w:ilvl="0" w:tplc="C55E4D30">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B7F03A7"/>
    <w:multiLevelType w:val="hybridMultilevel"/>
    <w:tmpl w:val="81900D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87EC4"/>
    <w:multiLevelType w:val="hybridMultilevel"/>
    <w:tmpl w:val="F9F4C9C4"/>
    <w:lvl w:ilvl="0" w:tplc="4054376A">
      <w:start w:val="1"/>
      <w:numFmt w:val="bullet"/>
      <w:lvlText w:val=""/>
      <w:lvlJc w:val="left"/>
      <w:pPr>
        <w:tabs>
          <w:tab w:val="num" w:pos="567"/>
        </w:tabs>
        <w:ind w:left="567" w:hanging="56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2214106"/>
    <w:multiLevelType w:val="hybridMultilevel"/>
    <w:tmpl w:val="5DCE11D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72248C"/>
    <w:multiLevelType w:val="hybridMultilevel"/>
    <w:tmpl w:val="63C4C67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12"/>
  </w:num>
  <w:num w:numId="5">
    <w:abstractNumId w:val="6"/>
  </w:num>
  <w:num w:numId="6">
    <w:abstractNumId w:val="2"/>
  </w:num>
  <w:num w:numId="7">
    <w:abstractNumId w:val="11"/>
  </w:num>
  <w:num w:numId="8">
    <w:abstractNumId w:val="5"/>
  </w:num>
  <w:num w:numId="9">
    <w:abstractNumId w:val="9"/>
  </w:num>
  <w:num w:numId="10">
    <w:abstractNumId w:val="15"/>
  </w:num>
  <w:num w:numId="11">
    <w:abstractNumId w:val="7"/>
  </w:num>
  <w:num w:numId="12">
    <w:abstractNumId w:val="14"/>
  </w:num>
  <w:num w:numId="13">
    <w:abstractNumId w:val="8"/>
  </w:num>
  <w:num w:numId="14">
    <w:abstractNumId w:val="3"/>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8A3"/>
    <w:rsid w:val="00005943"/>
    <w:rsid w:val="000065AD"/>
    <w:rsid w:val="000176CA"/>
    <w:rsid w:val="00025D2A"/>
    <w:rsid w:val="00036FA0"/>
    <w:rsid w:val="0003703A"/>
    <w:rsid w:val="0003793F"/>
    <w:rsid w:val="000414E0"/>
    <w:rsid w:val="00057E35"/>
    <w:rsid w:val="000610DB"/>
    <w:rsid w:val="00062977"/>
    <w:rsid w:val="00076726"/>
    <w:rsid w:val="00080303"/>
    <w:rsid w:val="00095C38"/>
    <w:rsid w:val="000A3F58"/>
    <w:rsid w:val="000A66D1"/>
    <w:rsid w:val="000C4E61"/>
    <w:rsid w:val="000D0A74"/>
    <w:rsid w:val="000D2343"/>
    <w:rsid w:val="000D3449"/>
    <w:rsid w:val="000D425A"/>
    <w:rsid w:val="000D60CC"/>
    <w:rsid w:val="000E2084"/>
    <w:rsid w:val="000E6F55"/>
    <w:rsid w:val="000F77FA"/>
    <w:rsid w:val="00107BF7"/>
    <w:rsid w:val="00113F67"/>
    <w:rsid w:val="00126F53"/>
    <w:rsid w:val="00131618"/>
    <w:rsid w:val="0013397F"/>
    <w:rsid w:val="0013401E"/>
    <w:rsid w:val="00135A70"/>
    <w:rsid w:val="0014766D"/>
    <w:rsid w:val="00147BF3"/>
    <w:rsid w:val="001511C1"/>
    <w:rsid w:val="001536CC"/>
    <w:rsid w:val="00154B1D"/>
    <w:rsid w:val="001801B9"/>
    <w:rsid w:val="001A3FBA"/>
    <w:rsid w:val="001A5518"/>
    <w:rsid w:val="001B1C6A"/>
    <w:rsid w:val="001C1263"/>
    <w:rsid w:val="001C1417"/>
    <w:rsid w:val="001C76FD"/>
    <w:rsid w:val="001D3ED7"/>
    <w:rsid w:val="001E390B"/>
    <w:rsid w:val="001F42FB"/>
    <w:rsid w:val="001F719A"/>
    <w:rsid w:val="002031B3"/>
    <w:rsid w:val="0020495A"/>
    <w:rsid w:val="00215931"/>
    <w:rsid w:val="00224C91"/>
    <w:rsid w:val="00227477"/>
    <w:rsid w:val="00227BDB"/>
    <w:rsid w:val="00231FF0"/>
    <w:rsid w:val="00232FED"/>
    <w:rsid w:val="00234CB1"/>
    <w:rsid w:val="00234E57"/>
    <w:rsid w:val="002352F8"/>
    <w:rsid w:val="002510A5"/>
    <w:rsid w:val="00254A0A"/>
    <w:rsid w:val="00266046"/>
    <w:rsid w:val="0026761E"/>
    <w:rsid w:val="002846DB"/>
    <w:rsid w:val="00284CCD"/>
    <w:rsid w:val="0029113E"/>
    <w:rsid w:val="0029429E"/>
    <w:rsid w:val="00294F59"/>
    <w:rsid w:val="002B09C8"/>
    <w:rsid w:val="002B6556"/>
    <w:rsid w:val="002C6637"/>
    <w:rsid w:val="002E0135"/>
    <w:rsid w:val="002E37A5"/>
    <w:rsid w:val="002E4D1B"/>
    <w:rsid w:val="002F0926"/>
    <w:rsid w:val="002F28FA"/>
    <w:rsid w:val="002F564B"/>
    <w:rsid w:val="002F67F6"/>
    <w:rsid w:val="00306080"/>
    <w:rsid w:val="00310F03"/>
    <w:rsid w:val="003247D2"/>
    <w:rsid w:val="00340D82"/>
    <w:rsid w:val="003445C1"/>
    <w:rsid w:val="00346F63"/>
    <w:rsid w:val="00355B61"/>
    <w:rsid w:val="00362686"/>
    <w:rsid w:val="00364412"/>
    <w:rsid w:val="00371510"/>
    <w:rsid w:val="00380AD6"/>
    <w:rsid w:val="00395633"/>
    <w:rsid w:val="00396DFD"/>
    <w:rsid w:val="003A7059"/>
    <w:rsid w:val="003B7A36"/>
    <w:rsid w:val="003C17AB"/>
    <w:rsid w:val="003C41BB"/>
    <w:rsid w:val="003C7823"/>
    <w:rsid w:val="003E1DCC"/>
    <w:rsid w:val="003F11A1"/>
    <w:rsid w:val="003F4F54"/>
    <w:rsid w:val="003F6541"/>
    <w:rsid w:val="003F6A59"/>
    <w:rsid w:val="004065C8"/>
    <w:rsid w:val="004109FA"/>
    <w:rsid w:val="00411B4B"/>
    <w:rsid w:val="00415BEE"/>
    <w:rsid w:val="00427F85"/>
    <w:rsid w:val="00436F42"/>
    <w:rsid w:val="004378B4"/>
    <w:rsid w:val="00451314"/>
    <w:rsid w:val="00452E9D"/>
    <w:rsid w:val="004534C7"/>
    <w:rsid w:val="00455256"/>
    <w:rsid w:val="004626AF"/>
    <w:rsid w:val="004647EA"/>
    <w:rsid w:val="004671AA"/>
    <w:rsid w:val="00480FB1"/>
    <w:rsid w:val="00483928"/>
    <w:rsid w:val="00485E80"/>
    <w:rsid w:val="004A470E"/>
    <w:rsid w:val="004B5BFA"/>
    <w:rsid w:val="004C331F"/>
    <w:rsid w:val="004D6103"/>
    <w:rsid w:val="004E3BCE"/>
    <w:rsid w:val="004E70AD"/>
    <w:rsid w:val="004F0E97"/>
    <w:rsid w:val="00501DD1"/>
    <w:rsid w:val="00515C21"/>
    <w:rsid w:val="00523EEB"/>
    <w:rsid w:val="00530BD7"/>
    <w:rsid w:val="00541AD7"/>
    <w:rsid w:val="00545CD2"/>
    <w:rsid w:val="0054647B"/>
    <w:rsid w:val="005476F3"/>
    <w:rsid w:val="00572527"/>
    <w:rsid w:val="00573E40"/>
    <w:rsid w:val="00576348"/>
    <w:rsid w:val="005855F6"/>
    <w:rsid w:val="00585FC1"/>
    <w:rsid w:val="00587D5A"/>
    <w:rsid w:val="0059126F"/>
    <w:rsid w:val="0059673A"/>
    <w:rsid w:val="00597DDA"/>
    <w:rsid w:val="005A0B2E"/>
    <w:rsid w:val="005A23D2"/>
    <w:rsid w:val="005A36CB"/>
    <w:rsid w:val="005B49B8"/>
    <w:rsid w:val="005C0741"/>
    <w:rsid w:val="005C082D"/>
    <w:rsid w:val="005C0EB5"/>
    <w:rsid w:val="005C3733"/>
    <w:rsid w:val="005C5EF4"/>
    <w:rsid w:val="005E0139"/>
    <w:rsid w:val="005E2E0B"/>
    <w:rsid w:val="005E7A7D"/>
    <w:rsid w:val="005F2FC1"/>
    <w:rsid w:val="005F3852"/>
    <w:rsid w:val="00602457"/>
    <w:rsid w:val="00611982"/>
    <w:rsid w:val="0063608E"/>
    <w:rsid w:val="00644FC3"/>
    <w:rsid w:val="00646BD1"/>
    <w:rsid w:val="006561C2"/>
    <w:rsid w:val="0066626B"/>
    <w:rsid w:val="00671CB3"/>
    <w:rsid w:val="00674BAF"/>
    <w:rsid w:val="00680BF9"/>
    <w:rsid w:val="00682200"/>
    <w:rsid w:val="00692BF6"/>
    <w:rsid w:val="00695B6C"/>
    <w:rsid w:val="00696628"/>
    <w:rsid w:val="006A1497"/>
    <w:rsid w:val="006B0BD1"/>
    <w:rsid w:val="006B20B4"/>
    <w:rsid w:val="006B5404"/>
    <w:rsid w:val="006D20A5"/>
    <w:rsid w:val="006D36AD"/>
    <w:rsid w:val="006D37BF"/>
    <w:rsid w:val="006D7FFD"/>
    <w:rsid w:val="00702E22"/>
    <w:rsid w:val="0072020E"/>
    <w:rsid w:val="00754C6E"/>
    <w:rsid w:val="007567B4"/>
    <w:rsid w:val="00757420"/>
    <w:rsid w:val="00763F4F"/>
    <w:rsid w:val="007678A2"/>
    <w:rsid w:val="00773D3F"/>
    <w:rsid w:val="00786071"/>
    <w:rsid w:val="00794B51"/>
    <w:rsid w:val="007A3ECB"/>
    <w:rsid w:val="007C1678"/>
    <w:rsid w:val="007C3FA6"/>
    <w:rsid w:val="007D7BB3"/>
    <w:rsid w:val="007F4E53"/>
    <w:rsid w:val="00824AB9"/>
    <w:rsid w:val="0083389E"/>
    <w:rsid w:val="00836B35"/>
    <w:rsid w:val="00843BDE"/>
    <w:rsid w:val="0087588C"/>
    <w:rsid w:val="00881BF2"/>
    <w:rsid w:val="008821A4"/>
    <w:rsid w:val="0089705C"/>
    <w:rsid w:val="008A6D43"/>
    <w:rsid w:val="008B491E"/>
    <w:rsid w:val="008C1A28"/>
    <w:rsid w:val="008C2E98"/>
    <w:rsid w:val="008C3C2A"/>
    <w:rsid w:val="008D0B39"/>
    <w:rsid w:val="008D3939"/>
    <w:rsid w:val="008E49BD"/>
    <w:rsid w:val="008E53E9"/>
    <w:rsid w:val="008E5771"/>
    <w:rsid w:val="008F4ACF"/>
    <w:rsid w:val="008F70B6"/>
    <w:rsid w:val="00912514"/>
    <w:rsid w:val="00912CAA"/>
    <w:rsid w:val="00917999"/>
    <w:rsid w:val="00924166"/>
    <w:rsid w:val="00924BD4"/>
    <w:rsid w:val="00940B9B"/>
    <w:rsid w:val="0095676E"/>
    <w:rsid w:val="00956983"/>
    <w:rsid w:val="00963CF0"/>
    <w:rsid w:val="00964BB1"/>
    <w:rsid w:val="009758F4"/>
    <w:rsid w:val="009773F3"/>
    <w:rsid w:val="009775D9"/>
    <w:rsid w:val="009936CF"/>
    <w:rsid w:val="009949CD"/>
    <w:rsid w:val="00997175"/>
    <w:rsid w:val="009A1847"/>
    <w:rsid w:val="009A3116"/>
    <w:rsid w:val="009A5661"/>
    <w:rsid w:val="009B062A"/>
    <w:rsid w:val="009B4FF8"/>
    <w:rsid w:val="009C75F0"/>
    <w:rsid w:val="009E7C6F"/>
    <w:rsid w:val="009F1793"/>
    <w:rsid w:val="009F2D23"/>
    <w:rsid w:val="00A01D69"/>
    <w:rsid w:val="00A02335"/>
    <w:rsid w:val="00A247EE"/>
    <w:rsid w:val="00A33CDD"/>
    <w:rsid w:val="00A46C9A"/>
    <w:rsid w:val="00A54362"/>
    <w:rsid w:val="00A5491D"/>
    <w:rsid w:val="00A619F3"/>
    <w:rsid w:val="00A62A73"/>
    <w:rsid w:val="00A7477B"/>
    <w:rsid w:val="00A87FF6"/>
    <w:rsid w:val="00AA0A3B"/>
    <w:rsid w:val="00AA2763"/>
    <w:rsid w:val="00AA33B6"/>
    <w:rsid w:val="00AB50CA"/>
    <w:rsid w:val="00AB6D64"/>
    <w:rsid w:val="00AC40C2"/>
    <w:rsid w:val="00AC53CE"/>
    <w:rsid w:val="00AD2193"/>
    <w:rsid w:val="00AF21E6"/>
    <w:rsid w:val="00AF2AC7"/>
    <w:rsid w:val="00AF49F6"/>
    <w:rsid w:val="00AF67F0"/>
    <w:rsid w:val="00AF74CE"/>
    <w:rsid w:val="00B208DB"/>
    <w:rsid w:val="00B23F69"/>
    <w:rsid w:val="00B60619"/>
    <w:rsid w:val="00B666F7"/>
    <w:rsid w:val="00B66A70"/>
    <w:rsid w:val="00B67366"/>
    <w:rsid w:val="00B803EB"/>
    <w:rsid w:val="00B80EE1"/>
    <w:rsid w:val="00B84135"/>
    <w:rsid w:val="00BC5C46"/>
    <w:rsid w:val="00BD7BED"/>
    <w:rsid w:val="00BE526E"/>
    <w:rsid w:val="00BF55AC"/>
    <w:rsid w:val="00C03D2D"/>
    <w:rsid w:val="00C04D34"/>
    <w:rsid w:val="00C05DF8"/>
    <w:rsid w:val="00C06864"/>
    <w:rsid w:val="00C10F54"/>
    <w:rsid w:val="00C23D8D"/>
    <w:rsid w:val="00C31F99"/>
    <w:rsid w:val="00C3386D"/>
    <w:rsid w:val="00C34E4F"/>
    <w:rsid w:val="00C35CD6"/>
    <w:rsid w:val="00C37AA3"/>
    <w:rsid w:val="00C37FD7"/>
    <w:rsid w:val="00C43419"/>
    <w:rsid w:val="00C44C1E"/>
    <w:rsid w:val="00C44CF3"/>
    <w:rsid w:val="00C61BE0"/>
    <w:rsid w:val="00C636DD"/>
    <w:rsid w:val="00C6707E"/>
    <w:rsid w:val="00C70B0E"/>
    <w:rsid w:val="00C74431"/>
    <w:rsid w:val="00C773CA"/>
    <w:rsid w:val="00C83785"/>
    <w:rsid w:val="00C83F14"/>
    <w:rsid w:val="00C8402F"/>
    <w:rsid w:val="00C85197"/>
    <w:rsid w:val="00C86319"/>
    <w:rsid w:val="00C94C0D"/>
    <w:rsid w:val="00CA1FEB"/>
    <w:rsid w:val="00CC14B2"/>
    <w:rsid w:val="00CD2D51"/>
    <w:rsid w:val="00CD4F85"/>
    <w:rsid w:val="00CD6F02"/>
    <w:rsid w:val="00CE246D"/>
    <w:rsid w:val="00CF07A0"/>
    <w:rsid w:val="00CF1A4D"/>
    <w:rsid w:val="00CF3E03"/>
    <w:rsid w:val="00D0082A"/>
    <w:rsid w:val="00D21455"/>
    <w:rsid w:val="00D34B64"/>
    <w:rsid w:val="00D47634"/>
    <w:rsid w:val="00D5104E"/>
    <w:rsid w:val="00D709B3"/>
    <w:rsid w:val="00D76F5E"/>
    <w:rsid w:val="00D85EAD"/>
    <w:rsid w:val="00DA2ED6"/>
    <w:rsid w:val="00DB76B8"/>
    <w:rsid w:val="00DC0125"/>
    <w:rsid w:val="00DC2EA1"/>
    <w:rsid w:val="00DC42C6"/>
    <w:rsid w:val="00DD6AAF"/>
    <w:rsid w:val="00DE3F5C"/>
    <w:rsid w:val="00DF1D20"/>
    <w:rsid w:val="00E008D7"/>
    <w:rsid w:val="00E105EA"/>
    <w:rsid w:val="00E21324"/>
    <w:rsid w:val="00E246B9"/>
    <w:rsid w:val="00E31E6A"/>
    <w:rsid w:val="00E31FEA"/>
    <w:rsid w:val="00E44242"/>
    <w:rsid w:val="00E45169"/>
    <w:rsid w:val="00E47787"/>
    <w:rsid w:val="00E51C30"/>
    <w:rsid w:val="00E64180"/>
    <w:rsid w:val="00E74AEE"/>
    <w:rsid w:val="00E80B75"/>
    <w:rsid w:val="00E81AA1"/>
    <w:rsid w:val="00E868E5"/>
    <w:rsid w:val="00E9237A"/>
    <w:rsid w:val="00E939FA"/>
    <w:rsid w:val="00EA1FBE"/>
    <w:rsid w:val="00EA5765"/>
    <w:rsid w:val="00EB5CED"/>
    <w:rsid w:val="00EC2532"/>
    <w:rsid w:val="00ED7812"/>
    <w:rsid w:val="00EF3B86"/>
    <w:rsid w:val="00EF505A"/>
    <w:rsid w:val="00F27E2F"/>
    <w:rsid w:val="00F317E9"/>
    <w:rsid w:val="00F34554"/>
    <w:rsid w:val="00F45F77"/>
    <w:rsid w:val="00F5167F"/>
    <w:rsid w:val="00F52258"/>
    <w:rsid w:val="00F8509C"/>
    <w:rsid w:val="00F8570A"/>
    <w:rsid w:val="00F91C7B"/>
    <w:rsid w:val="00F970D0"/>
    <w:rsid w:val="00FB74D3"/>
    <w:rsid w:val="00FC425D"/>
    <w:rsid w:val="00FE1D22"/>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157FB60"/>
  <w15:docId w15:val="{EF9428D7-1D8E-48BE-AF42-09033BED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541"/>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uiPriority w:val="99"/>
    <w:rsid w:val="005A0B2E"/>
    <w:rPr>
      <w:sz w:val="16"/>
      <w:szCs w:val="16"/>
    </w:rPr>
  </w:style>
  <w:style w:type="paragraph" w:styleId="CommentText">
    <w:name w:val="annotation text"/>
    <w:basedOn w:val="Normal"/>
    <w:link w:val="CommentTextChar"/>
    <w:uiPriority w:val="99"/>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uiPriority w:val="99"/>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1511C1"/>
    <w:pPr>
      <w:ind w:left="708"/>
    </w:pPr>
    <w:rPr>
      <w:noProof/>
    </w:rPr>
  </w:style>
  <w:style w:type="paragraph" w:styleId="Revision">
    <w:name w:val="Revision"/>
    <w:hidden/>
    <w:uiPriority w:val="99"/>
    <w:semiHidden/>
    <w:rsid w:val="0013397F"/>
    <w:rPr>
      <w:sz w:val="24"/>
      <w:szCs w:val="24"/>
    </w:rPr>
  </w:style>
  <w:style w:type="table" w:styleId="TableGrid">
    <w:name w:val="Table Grid"/>
    <w:basedOn w:val="TableNormal"/>
    <w:rsid w:val="0029113E"/>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113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767</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410F-6654-49F0-A782-5D7BF06B551B}">
  <ds:schemaRefs>
    <ds:schemaRef ds:uri="http://schemas.microsoft.com/sharepoint/v3/contenttype/forms"/>
  </ds:schemaRefs>
</ds:datastoreItem>
</file>

<file path=customXml/itemProps2.xml><?xml version="1.0" encoding="utf-8"?>
<ds:datastoreItem xmlns:ds="http://schemas.openxmlformats.org/officeDocument/2006/customXml" ds:itemID="{CAC18649-6B94-4D86-9841-231B68E51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B0DC1-2046-4126-BE08-CC85EAF8B9E7}">
  <ds:schemaRefs>
    <ds:schemaRef ds:uri="http://schemas.microsoft.com/office/2006/metadata/properties"/>
    <ds:schemaRef ds:uri="http://schemas.microsoft.com/office/infopath/2007/PartnerControls"/>
    <ds:schemaRef ds:uri="b952dd15-0cc3-46e3-907b-6b87426d7430"/>
  </ds:schemaRefs>
</ds:datastoreItem>
</file>

<file path=customXml/itemProps4.xml><?xml version="1.0" encoding="utf-8"?>
<ds:datastoreItem xmlns:ds="http://schemas.openxmlformats.org/officeDocument/2006/customXml" ds:itemID="{8555CA37-35F8-4C60-A832-7CC15B32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21</Pages>
  <Words>9144</Words>
  <Characters>52121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61143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23</cp:revision>
  <dcterms:created xsi:type="dcterms:W3CDTF">2025-03-05T09:39:00Z</dcterms:created>
  <dcterms:modified xsi:type="dcterms:W3CDTF">2025-06-11T07:27:00Z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989daef41b9495a8fbce00462fa7651">
    <vt:lpwstr/>
  </property>
  <property fmtid="{D5CDD505-2E9C-101B-9397-08002B2CF9AE}" pid="4" name="Market">
    <vt:lpwstr/>
  </property>
  <property fmtid="{D5CDD505-2E9C-101B-9397-08002B2CF9AE}" pid="5" name="Product">
    <vt:lpwstr/>
  </property>
  <property fmtid="{D5CDD505-2E9C-101B-9397-08002B2CF9AE}" pid="6" name="ContentTypeId">
    <vt:lpwstr>0x010100F194190549BEED489CAEEBE10B944C4E</vt:lpwstr>
  </property>
  <property fmtid="{D5CDD505-2E9C-101B-9397-08002B2CF9AE}" pid="7" name="nfa878bc9a6d4a39b45b19238f9d72ba">
    <vt:lpwstr>2021|bdef83c5-aafc-43a4-ab85-d37a464e3076</vt:lpwstr>
  </property>
  <property fmtid="{D5CDD505-2E9C-101B-9397-08002B2CF9AE}" pid="8" name="k10395a1545d42c9a28bb8ddc503f409">
    <vt:lpwstr/>
  </property>
  <property fmtid="{D5CDD505-2E9C-101B-9397-08002B2CF9AE}" pid="9" name="Year">
    <vt:lpwstr>767;#2021|bdef83c5-aafc-43a4-ab85-d37a464e3076</vt:lpwstr>
  </property>
  <property fmtid="{D5CDD505-2E9C-101B-9397-08002B2CF9AE}" pid="10" name="Doc type Approved">
    <vt:lpwstr/>
  </property>
</Properties>
</file>