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FD6B7" w14:textId="77777777" w:rsidR="002510A5" w:rsidRPr="009B3C93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9B3C93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13D090B" w14:textId="77777777" w:rsidR="002510A5" w:rsidRPr="009B3C93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D90A750" w14:textId="77777777" w:rsidR="003C17AB" w:rsidRPr="009B3C93" w:rsidRDefault="003C17AB" w:rsidP="00CA1FEB">
      <w:pPr>
        <w:rPr>
          <w:sz w:val="22"/>
          <w:szCs w:val="22"/>
          <w:lang w:val="sr-Latn-ME"/>
        </w:rPr>
      </w:pPr>
    </w:p>
    <w:p w14:paraId="716F8A5E" w14:textId="45CD29D8" w:rsidR="00C37FD7" w:rsidRPr="009B3C93" w:rsidRDefault="005C5EF4" w:rsidP="00C05DF8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9B3C93">
        <w:rPr>
          <w:noProof/>
          <w:sz w:val="22"/>
          <w:szCs w:val="22"/>
        </w:rPr>
        <w:drawing>
          <wp:inline distT="0" distB="0" distL="0" distR="0" wp14:anchorId="60D4DCC6" wp14:editId="6F1F314C">
            <wp:extent cx="172085" cy="144780"/>
            <wp:effectExtent l="0" t="0" r="0" b="7620"/>
            <wp:docPr id="1" name="Picture 3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7AB" w:rsidRPr="009B3C93">
        <w:rPr>
          <w:noProof/>
          <w:sz w:val="22"/>
          <w:szCs w:val="22"/>
          <w:lang w:val="sr-Latn-ME"/>
        </w:rPr>
        <w:t xml:space="preserve"> Ovaj lijek je pod dodatnim praćenjem.</w:t>
      </w:r>
      <w:r w:rsidR="003C17AB" w:rsidRPr="009B3C93">
        <w:rPr>
          <w:sz w:val="22"/>
          <w:szCs w:val="22"/>
          <w:lang w:val="sr-Latn-ME"/>
        </w:rPr>
        <w:t xml:space="preserve"> </w:t>
      </w:r>
      <w:r w:rsidR="003C17AB" w:rsidRPr="009B3C93">
        <w:rPr>
          <w:noProof/>
          <w:sz w:val="22"/>
          <w:szCs w:val="22"/>
          <w:lang w:val="sr-Latn-ME"/>
        </w:rPr>
        <w:t>Time se omogućava brzo otkrivanje novih bezbjednosnih informacija. Zdravstveni radnici treba da prijave svaku sumnju na neželjeno dejstvo ovog lijeka.</w:t>
      </w:r>
      <w:r w:rsidR="003C17AB" w:rsidRPr="009B3C93">
        <w:rPr>
          <w:sz w:val="22"/>
          <w:szCs w:val="22"/>
          <w:lang w:val="sr-Latn-ME"/>
        </w:rPr>
        <w:t xml:space="preserve"> Za način prijavljivanja neželjenih dejstava vidjeti </w:t>
      </w:r>
      <w:r w:rsidR="007A3ECB" w:rsidRPr="009B3C93">
        <w:rPr>
          <w:sz w:val="22"/>
          <w:szCs w:val="22"/>
          <w:lang w:val="sr-Latn-ME"/>
        </w:rPr>
        <w:t xml:space="preserve">dio </w:t>
      </w:r>
      <w:r w:rsidR="003C17AB" w:rsidRPr="009B3C93">
        <w:rPr>
          <w:sz w:val="22"/>
          <w:szCs w:val="22"/>
          <w:lang w:val="sr-Latn-ME"/>
        </w:rPr>
        <w:t>4.8</w:t>
      </w:r>
      <w:r w:rsidR="003C17AB" w:rsidRPr="009B3C93">
        <w:rPr>
          <w:noProof/>
          <w:sz w:val="22"/>
          <w:szCs w:val="22"/>
          <w:lang w:val="sr-Latn-ME"/>
        </w:rPr>
        <w:t>.</w:t>
      </w:r>
      <w:r w:rsidR="00107BF7" w:rsidRPr="009B3C93">
        <w:rPr>
          <w:noProof/>
          <w:sz w:val="22"/>
          <w:szCs w:val="22"/>
          <w:lang w:val="sr-Latn-ME"/>
        </w:rPr>
        <w:t xml:space="preserve"> </w:t>
      </w:r>
    </w:p>
    <w:p w14:paraId="5F1C1DF9" w14:textId="77777777" w:rsidR="003C17AB" w:rsidRPr="009B3C93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54B6D3F7" w14:textId="77777777" w:rsidR="00C37FD7" w:rsidRPr="009B3C93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4EE83E6" w14:textId="77777777" w:rsidR="00411B4B" w:rsidRPr="009B3C9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>1.</w:t>
      </w:r>
      <w:r w:rsidR="00F5167F" w:rsidRPr="009B3C93">
        <w:rPr>
          <w:b/>
          <w:bCs/>
          <w:sz w:val="22"/>
          <w:szCs w:val="22"/>
          <w:lang w:val="sr-Latn-ME"/>
        </w:rPr>
        <w:tab/>
      </w:r>
      <w:r w:rsidR="002846DB" w:rsidRPr="009B3C93">
        <w:rPr>
          <w:b/>
          <w:bCs/>
          <w:sz w:val="22"/>
          <w:szCs w:val="22"/>
          <w:lang w:val="sr-Latn-ME"/>
        </w:rPr>
        <w:t xml:space="preserve">NAZIV </w:t>
      </w:r>
      <w:r w:rsidRPr="009B3C93">
        <w:rPr>
          <w:b/>
          <w:bCs/>
          <w:sz w:val="22"/>
          <w:szCs w:val="22"/>
          <w:lang w:val="sr-Latn-ME"/>
        </w:rPr>
        <w:t>LIJEKA</w:t>
      </w:r>
    </w:p>
    <w:p w14:paraId="4D46C7E0" w14:textId="77777777" w:rsidR="00EC2532" w:rsidRPr="009B3C93" w:rsidRDefault="00EC2532">
      <w:pPr>
        <w:rPr>
          <w:sz w:val="22"/>
          <w:szCs w:val="22"/>
          <w:lang w:val="sr-Latn-ME"/>
        </w:rPr>
      </w:pPr>
    </w:p>
    <w:p w14:paraId="4B71F4B4" w14:textId="1EB531C2" w:rsidR="00BD480A" w:rsidRPr="009B3C93" w:rsidRDefault="00BD480A" w:rsidP="00BD480A">
      <w:pPr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Winrevair, 45 mg, prašak i rastvarač za rastvor za injekciju</w:t>
      </w:r>
    </w:p>
    <w:p w14:paraId="6DC5876A" w14:textId="77777777" w:rsidR="00BD480A" w:rsidRPr="009B3C93" w:rsidRDefault="00BD480A" w:rsidP="00BD480A">
      <w:pPr>
        <w:rPr>
          <w:sz w:val="22"/>
          <w:szCs w:val="22"/>
          <w:lang w:val="sr-Latn-ME"/>
        </w:rPr>
      </w:pPr>
    </w:p>
    <w:p w14:paraId="4DE8D3A2" w14:textId="1D573FF5" w:rsidR="00BD480A" w:rsidRPr="009B3C93" w:rsidRDefault="00BD480A" w:rsidP="00BD480A">
      <w:pPr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Winrevair, 60 mg, prašak i rastvarač za rastvor za injekciju</w:t>
      </w:r>
    </w:p>
    <w:p w14:paraId="450F10A0" w14:textId="77777777" w:rsidR="000D425A" w:rsidRPr="009B3C93" w:rsidRDefault="000D425A">
      <w:pPr>
        <w:rPr>
          <w:bCs/>
          <w:sz w:val="22"/>
          <w:szCs w:val="22"/>
          <w:lang w:val="sr-Latn-ME"/>
        </w:rPr>
      </w:pPr>
    </w:p>
    <w:p w14:paraId="6DFDB592" w14:textId="6C258628" w:rsidR="006D20A5" w:rsidRPr="009B3C93" w:rsidRDefault="006D20A5" w:rsidP="006D20A5">
      <w:pPr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INN:</w:t>
      </w:r>
      <w:r w:rsidR="00BD480A" w:rsidRPr="009B3C93">
        <w:rPr>
          <w:sz w:val="22"/>
          <w:szCs w:val="22"/>
          <w:lang w:val="sr-Latn-ME"/>
        </w:rPr>
        <w:t xml:space="preserve"> sotatercept</w:t>
      </w:r>
    </w:p>
    <w:p w14:paraId="56F3D930" w14:textId="0A7BA47D" w:rsidR="00530BD7" w:rsidRPr="009B3C93" w:rsidRDefault="00530BD7">
      <w:pPr>
        <w:rPr>
          <w:bCs/>
          <w:sz w:val="22"/>
          <w:szCs w:val="22"/>
          <w:lang w:val="sr-Latn-ME"/>
        </w:rPr>
      </w:pPr>
    </w:p>
    <w:p w14:paraId="44620AFA" w14:textId="77777777" w:rsidR="00E52E41" w:rsidRPr="009B3C93" w:rsidRDefault="00E52E41">
      <w:pPr>
        <w:rPr>
          <w:bCs/>
          <w:sz w:val="22"/>
          <w:szCs w:val="22"/>
          <w:lang w:val="sr-Latn-ME"/>
        </w:rPr>
      </w:pPr>
    </w:p>
    <w:p w14:paraId="63DFE6F1" w14:textId="77777777" w:rsidR="00411B4B" w:rsidRPr="009B3C9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2. </w:t>
      </w:r>
      <w:r w:rsidR="00F5167F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KVALITATIVNI I KVANTITATIVNI SASTAV</w:t>
      </w:r>
    </w:p>
    <w:p w14:paraId="1FABA9F5" w14:textId="77777777" w:rsidR="005A0B2E" w:rsidRPr="009B3C93" w:rsidRDefault="005A0B2E">
      <w:pPr>
        <w:rPr>
          <w:sz w:val="22"/>
          <w:szCs w:val="22"/>
          <w:lang w:val="sr-Latn-ME"/>
        </w:rPr>
      </w:pPr>
    </w:p>
    <w:p w14:paraId="3B314C40" w14:textId="5D314781" w:rsidR="00BD480A" w:rsidRPr="009B3C93" w:rsidRDefault="00BD480A" w:rsidP="00BD480A">
      <w:pPr>
        <w:rPr>
          <w:sz w:val="22"/>
          <w:szCs w:val="22"/>
          <w:u w:val="single"/>
          <w:lang w:val="sr-Latn-ME"/>
        </w:rPr>
      </w:pPr>
      <w:r w:rsidRPr="009B3C93">
        <w:rPr>
          <w:sz w:val="22"/>
          <w:szCs w:val="22"/>
          <w:u w:val="single"/>
          <w:lang w:val="sr-Latn-ME"/>
        </w:rPr>
        <w:t>Winrevair</w:t>
      </w:r>
      <w:r w:rsidR="00C1717B" w:rsidRPr="009B3C93">
        <w:rPr>
          <w:sz w:val="22"/>
          <w:szCs w:val="22"/>
          <w:u w:val="single"/>
          <w:lang w:val="sr-Latn-ME"/>
        </w:rPr>
        <w:t>,</w:t>
      </w:r>
      <w:r w:rsidRPr="009B3C93">
        <w:rPr>
          <w:sz w:val="22"/>
          <w:szCs w:val="22"/>
          <w:u w:val="single"/>
          <w:lang w:val="sr-Latn-ME"/>
        </w:rPr>
        <w:t xml:space="preserve"> 45 mg</w:t>
      </w:r>
      <w:r w:rsidR="00C1717B" w:rsidRPr="009B3C93">
        <w:rPr>
          <w:sz w:val="22"/>
          <w:szCs w:val="22"/>
          <w:u w:val="single"/>
          <w:lang w:val="sr-Latn-ME"/>
        </w:rPr>
        <w:t>,</w:t>
      </w:r>
      <w:r w:rsidRPr="009B3C93">
        <w:rPr>
          <w:sz w:val="22"/>
          <w:szCs w:val="22"/>
          <w:u w:val="single"/>
          <w:lang w:val="sr-Latn-ME"/>
        </w:rPr>
        <w:t xml:space="preserve"> prašak i rastvarač za rastvor za injekciju</w:t>
      </w:r>
    </w:p>
    <w:p w14:paraId="6D46F9E8" w14:textId="77777777" w:rsidR="00BD480A" w:rsidRPr="009B3C93" w:rsidRDefault="00BD480A" w:rsidP="00BD480A">
      <w:pPr>
        <w:rPr>
          <w:sz w:val="22"/>
          <w:szCs w:val="22"/>
          <w:u w:val="single"/>
          <w:lang w:val="sr-Latn-ME"/>
        </w:rPr>
      </w:pPr>
    </w:p>
    <w:p w14:paraId="56EE1E22" w14:textId="0181430F" w:rsidR="00BD480A" w:rsidRPr="009B3C93" w:rsidRDefault="00BD480A" w:rsidP="00BD480A">
      <w:pPr>
        <w:rPr>
          <w:sz w:val="22"/>
          <w:szCs w:val="22"/>
          <w:lang w:val="sr-Latn-ME"/>
        </w:rPr>
      </w:pPr>
      <w:bookmarkStart w:id="0" w:name="_Hlk176419226"/>
      <w:r w:rsidRPr="009B3C93">
        <w:rPr>
          <w:sz w:val="22"/>
          <w:szCs w:val="22"/>
          <w:lang w:val="sr-Latn-ME"/>
        </w:rPr>
        <w:t xml:space="preserve">Jedna </w:t>
      </w:r>
      <w:bookmarkEnd w:id="0"/>
      <w:r w:rsidRPr="009B3C93">
        <w:rPr>
          <w:sz w:val="22"/>
          <w:szCs w:val="22"/>
          <w:lang w:val="sr-Latn-ME"/>
        </w:rPr>
        <w:t>bočica sadrži 45 mg sotatercepta. Nakon rekonstituisanja, jedan m</w:t>
      </w:r>
      <w:r w:rsidR="00C1717B" w:rsidRPr="009B3C93">
        <w:rPr>
          <w:sz w:val="22"/>
          <w:szCs w:val="22"/>
          <w:lang w:val="sr-Latn-ME"/>
        </w:rPr>
        <w:t>l</w:t>
      </w:r>
      <w:r w:rsidRPr="009B3C93">
        <w:rPr>
          <w:sz w:val="22"/>
          <w:szCs w:val="22"/>
          <w:lang w:val="sr-Latn-ME"/>
        </w:rPr>
        <w:t xml:space="preserve"> rastvora sadrži 50 mg sotatercepta.</w:t>
      </w:r>
    </w:p>
    <w:p w14:paraId="0806EB14" w14:textId="77777777" w:rsidR="00BD480A" w:rsidRPr="009B3C93" w:rsidRDefault="00BD480A" w:rsidP="00BD480A">
      <w:pPr>
        <w:rPr>
          <w:sz w:val="22"/>
          <w:szCs w:val="22"/>
          <w:lang w:val="sr-Latn-ME"/>
        </w:rPr>
      </w:pPr>
    </w:p>
    <w:p w14:paraId="0C7500E3" w14:textId="46C79206" w:rsidR="00BD480A" w:rsidRPr="009B3C93" w:rsidRDefault="00BD480A" w:rsidP="00BD480A">
      <w:pPr>
        <w:rPr>
          <w:sz w:val="22"/>
          <w:szCs w:val="22"/>
          <w:u w:val="single"/>
          <w:lang w:val="sr-Latn-ME"/>
        </w:rPr>
      </w:pPr>
      <w:r w:rsidRPr="009B3C93">
        <w:rPr>
          <w:sz w:val="22"/>
          <w:szCs w:val="22"/>
          <w:u w:val="single"/>
          <w:lang w:val="sr-Latn-ME"/>
        </w:rPr>
        <w:t>Winrevair</w:t>
      </w:r>
      <w:r w:rsidR="00C1717B" w:rsidRPr="009B3C93">
        <w:rPr>
          <w:sz w:val="22"/>
          <w:szCs w:val="22"/>
          <w:u w:val="single"/>
          <w:lang w:val="sr-Latn-ME"/>
        </w:rPr>
        <w:t>,</w:t>
      </w:r>
      <w:r w:rsidRPr="009B3C93">
        <w:rPr>
          <w:sz w:val="22"/>
          <w:szCs w:val="22"/>
          <w:u w:val="single"/>
          <w:lang w:val="sr-Latn-ME"/>
        </w:rPr>
        <w:t xml:space="preserve"> 60 mg</w:t>
      </w:r>
      <w:r w:rsidR="00C1717B" w:rsidRPr="009B3C93">
        <w:rPr>
          <w:sz w:val="22"/>
          <w:szCs w:val="22"/>
          <w:u w:val="single"/>
          <w:lang w:val="sr-Latn-ME"/>
        </w:rPr>
        <w:t>,</w:t>
      </w:r>
      <w:r w:rsidRPr="009B3C93">
        <w:rPr>
          <w:sz w:val="22"/>
          <w:szCs w:val="22"/>
          <w:u w:val="single"/>
          <w:lang w:val="sr-Latn-ME"/>
        </w:rPr>
        <w:t xml:space="preserve"> prašak i rastvarač za rastvor za injekciju</w:t>
      </w:r>
    </w:p>
    <w:p w14:paraId="7FAFB4CA" w14:textId="77777777" w:rsidR="00BD480A" w:rsidRPr="009B3C93" w:rsidRDefault="00BD480A" w:rsidP="00BD480A">
      <w:pPr>
        <w:rPr>
          <w:sz w:val="22"/>
          <w:szCs w:val="22"/>
          <w:lang w:val="sr-Latn-ME"/>
        </w:rPr>
      </w:pPr>
    </w:p>
    <w:p w14:paraId="12B7AFA8" w14:textId="40F2011C" w:rsidR="00BD480A" w:rsidRPr="009B3C93" w:rsidRDefault="00BD480A" w:rsidP="00BD480A">
      <w:pPr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Jedna bočica sadrži 60 mg sotatercepta. Nakon rekonstituisanja, jedan m</w:t>
      </w:r>
      <w:r w:rsidR="00C1717B" w:rsidRPr="009B3C93">
        <w:rPr>
          <w:sz w:val="22"/>
          <w:szCs w:val="22"/>
          <w:lang w:val="sr-Latn-ME"/>
        </w:rPr>
        <w:t>l</w:t>
      </w:r>
      <w:r w:rsidRPr="009B3C93">
        <w:rPr>
          <w:sz w:val="22"/>
          <w:szCs w:val="22"/>
          <w:lang w:val="sr-Latn-ME"/>
        </w:rPr>
        <w:t xml:space="preserve"> rastvora sadrži 50 mg sotatercepta.</w:t>
      </w:r>
    </w:p>
    <w:p w14:paraId="2BDA86B1" w14:textId="77777777" w:rsidR="00BD480A" w:rsidRPr="009B3C93" w:rsidRDefault="00BD480A" w:rsidP="00BD480A">
      <w:pPr>
        <w:rPr>
          <w:sz w:val="22"/>
          <w:szCs w:val="22"/>
          <w:lang w:val="sr-Latn-ME"/>
        </w:rPr>
      </w:pPr>
    </w:p>
    <w:p w14:paraId="413074FC" w14:textId="7571C3C3" w:rsidR="00BD480A" w:rsidRPr="009B3C93" w:rsidRDefault="00BD480A" w:rsidP="00C308D7">
      <w:pPr>
        <w:jc w:val="both"/>
        <w:rPr>
          <w:sz w:val="22"/>
          <w:szCs w:val="22"/>
          <w:lang w:val="sr-Latn-ME"/>
        </w:rPr>
      </w:pPr>
      <w:bookmarkStart w:id="1" w:name="_Hlk155175156"/>
      <w:r w:rsidRPr="009B3C93">
        <w:rPr>
          <w:sz w:val="22"/>
          <w:szCs w:val="22"/>
          <w:lang w:val="sr-Latn-ME"/>
        </w:rPr>
        <w:t>Sotatercept je rekombinantni homodimerni fuzioni protein, koji se sastoji od ekstracelularnog domena ljudskog receptora aktivina tipa IIA (ActRIIA), povezanog sa Fc domenom ljudskog IgG1, koji se proizvodi u ćelijama jajnika kineskog hrčka (</w:t>
      </w:r>
      <w:r w:rsidR="00E52E41" w:rsidRPr="009B3C93">
        <w:rPr>
          <w:sz w:val="22"/>
          <w:szCs w:val="22"/>
          <w:lang w:val="sr-Latn-ME"/>
        </w:rPr>
        <w:t xml:space="preserve">engl. </w:t>
      </w:r>
      <w:r w:rsidR="00E52E41" w:rsidRPr="009B3C93">
        <w:rPr>
          <w:i/>
          <w:sz w:val="22"/>
          <w:szCs w:val="22"/>
          <w:lang w:val="sr-Latn-ME"/>
        </w:rPr>
        <w:t>Chinese Hamster Ovary</w:t>
      </w:r>
      <w:r w:rsidR="00E52E41" w:rsidRPr="009B3C93">
        <w:rPr>
          <w:sz w:val="22"/>
          <w:szCs w:val="22"/>
          <w:lang w:val="sr-Latn-ME"/>
        </w:rPr>
        <w:t>,</w:t>
      </w:r>
      <w:r w:rsidR="00205E6A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CHO), tehnologijom rekombinantne DNK.</w:t>
      </w:r>
      <w:bookmarkEnd w:id="1"/>
    </w:p>
    <w:p w14:paraId="7EAFD953" w14:textId="77777777" w:rsidR="00BD480A" w:rsidRPr="009B3C93" w:rsidRDefault="00BD480A">
      <w:pPr>
        <w:rPr>
          <w:sz w:val="22"/>
          <w:szCs w:val="22"/>
          <w:lang w:val="sr-Latn-ME"/>
        </w:rPr>
      </w:pPr>
    </w:p>
    <w:p w14:paraId="17A3DFE4" w14:textId="77777777" w:rsidR="0003793F" w:rsidRPr="009B3C93" w:rsidRDefault="0003793F">
      <w:pPr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Za spisak svih ekscipijenasa, pogledati dio 6.1.</w:t>
      </w:r>
    </w:p>
    <w:p w14:paraId="5FA1D980" w14:textId="42AC7F42" w:rsidR="00C37FD7" w:rsidRPr="009B3C93" w:rsidRDefault="00C37FD7">
      <w:pPr>
        <w:rPr>
          <w:sz w:val="22"/>
          <w:szCs w:val="22"/>
          <w:lang w:val="sr-Latn-ME"/>
        </w:rPr>
      </w:pPr>
    </w:p>
    <w:p w14:paraId="6E9AD2E0" w14:textId="77777777" w:rsidR="00E52E41" w:rsidRPr="009B3C93" w:rsidRDefault="00E52E41">
      <w:pPr>
        <w:rPr>
          <w:sz w:val="22"/>
          <w:szCs w:val="22"/>
          <w:lang w:val="sr-Latn-ME"/>
        </w:rPr>
      </w:pPr>
    </w:p>
    <w:p w14:paraId="5F21FD68" w14:textId="77777777" w:rsidR="00411B4B" w:rsidRPr="009B3C9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3. </w:t>
      </w:r>
      <w:r w:rsidR="00F5167F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FARMACEUTSKI OBLIK</w:t>
      </w:r>
      <w:r w:rsidR="009F2D23" w:rsidRPr="009B3C93">
        <w:rPr>
          <w:b/>
          <w:bCs/>
          <w:sz w:val="22"/>
          <w:szCs w:val="22"/>
          <w:lang w:val="sr-Latn-ME"/>
        </w:rPr>
        <w:t xml:space="preserve"> </w:t>
      </w:r>
    </w:p>
    <w:p w14:paraId="36036CED" w14:textId="77777777" w:rsidR="00411B4B" w:rsidRPr="009B3C93" w:rsidRDefault="00411B4B">
      <w:pPr>
        <w:rPr>
          <w:bCs/>
          <w:sz w:val="22"/>
          <w:szCs w:val="22"/>
          <w:lang w:val="sr-Latn-ME"/>
        </w:rPr>
      </w:pPr>
    </w:p>
    <w:p w14:paraId="5E1779F1" w14:textId="77777777" w:rsidR="00BD480A" w:rsidRPr="009B3C93" w:rsidRDefault="00BD480A" w:rsidP="00BD480A">
      <w:pPr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Prašak i rastvarač za rastvor za injekciju (prašak za injekciju).</w:t>
      </w:r>
    </w:p>
    <w:p w14:paraId="45AE04F8" w14:textId="77777777" w:rsidR="00BD480A" w:rsidRPr="009B3C93" w:rsidRDefault="00BD480A" w:rsidP="00BD480A">
      <w:pPr>
        <w:rPr>
          <w:bCs/>
          <w:sz w:val="22"/>
          <w:szCs w:val="22"/>
          <w:lang w:val="sr-Latn-ME"/>
        </w:rPr>
      </w:pPr>
    </w:p>
    <w:p w14:paraId="40016B0C" w14:textId="307DD144" w:rsidR="00BD480A" w:rsidRPr="009B3C93" w:rsidRDefault="00BD480A" w:rsidP="00BD480A">
      <w:pPr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Prašak: b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eli do gotovo b</w:t>
      </w:r>
      <w:r w:rsidR="00C1717B" w:rsidRPr="009B3C93">
        <w:rPr>
          <w:bCs/>
          <w:sz w:val="22"/>
          <w:szCs w:val="22"/>
          <w:lang w:val="sr-Latn-ME"/>
        </w:rPr>
        <w:t>ijeli</w:t>
      </w:r>
      <w:r w:rsidRPr="009B3C93">
        <w:rPr>
          <w:bCs/>
          <w:sz w:val="22"/>
          <w:szCs w:val="22"/>
          <w:lang w:val="sr-Latn-ME"/>
        </w:rPr>
        <w:t xml:space="preserve"> prašak.</w:t>
      </w:r>
    </w:p>
    <w:p w14:paraId="117473BE" w14:textId="77777777" w:rsidR="00BD480A" w:rsidRPr="009B3C93" w:rsidRDefault="00BD480A" w:rsidP="00BD480A">
      <w:pPr>
        <w:rPr>
          <w:bCs/>
          <w:sz w:val="22"/>
          <w:szCs w:val="22"/>
          <w:lang w:val="sr-Latn-ME"/>
        </w:rPr>
      </w:pPr>
    </w:p>
    <w:p w14:paraId="3C769A63" w14:textId="24C0E6D2" w:rsidR="00EC2532" w:rsidRPr="009B3C93" w:rsidRDefault="00BD480A">
      <w:pPr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 xml:space="preserve">Rastvarač: bistra bezbojna voda za injekcije. </w:t>
      </w:r>
    </w:p>
    <w:p w14:paraId="00D3F2D5" w14:textId="18657C7E" w:rsidR="00BD480A" w:rsidRPr="009B3C93" w:rsidRDefault="00BD480A">
      <w:pPr>
        <w:rPr>
          <w:bCs/>
          <w:sz w:val="22"/>
          <w:szCs w:val="22"/>
          <w:lang w:val="sr-Latn-ME"/>
        </w:rPr>
      </w:pPr>
    </w:p>
    <w:p w14:paraId="0865B748" w14:textId="77777777" w:rsidR="00E52E41" w:rsidRPr="009B3C93" w:rsidRDefault="00E52E41">
      <w:pPr>
        <w:rPr>
          <w:bCs/>
          <w:sz w:val="22"/>
          <w:szCs w:val="22"/>
          <w:lang w:val="sr-Latn-ME"/>
        </w:rPr>
      </w:pPr>
    </w:p>
    <w:p w14:paraId="2D0D9D16" w14:textId="77777777" w:rsidR="00411B4B" w:rsidRPr="009B3C93" w:rsidRDefault="00411B4B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4.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KLINIČKI PODACI</w:t>
      </w:r>
    </w:p>
    <w:p w14:paraId="7E5015A7" w14:textId="77777777" w:rsidR="00CD6F02" w:rsidRPr="009B3C93" w:rsidRDefault="00CD6F02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5B9E81" w14:textId="77777777" w:rsidR="00411B4B" w:rsidRPr="009B3C93" w:rsidRDefault="00411B4B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4.1.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Terapijske indikacije</w:t>
      </w:r>
    </w:p>
    <w:p w14:paraId="12DC9801" w14:textId="77777777" w:rsidR="00411B4B" w:rsidRPr="009B3C93" w:rsidRDefault="00411B4B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F647FB" w14:textId="2F91B2DC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2" w:name="_Hlk125403418"/>
      <w:bookmarkStart w:id="3" w:name="_Hlk124948840"/>
      <w:r w:rsidRPr="009B3C93">
        <w:rPr>
          <w:bCs/>
          <w:sz w:val="22"/>
          <w:szCs w:val="22"/>
          <w:lang w:val="sr-Latn-ME"/>
        </w:rPr>
        <w:t>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 Winrevair je, u kombinaciji sa drugim terapijama za plućnu arterijsku hipertenziju (PAH), indikovan za 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ečenje odraslih pacijenata sa PAH funkcionalne klase II i III prema kriterijumima Sv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etske zdravstvene organizacije (SZO), </w:t>
      </w:r>
      <w:r w:rsidR="000F4284" w:rsidRPr="009B3C93">
        <w:rPr>
          <w:bCs/>
          <w:sz w:val="22"/>
          <w:szCs w:val="22"/>
          <w:lang w:val="sr-Latn-ME"/>
        </w:rPr>
        <w:t>za poboljšanje tolerancije napora</w:t>
      </w:r>
      <w:r w:rsidRPr="009B3C93">
        <w:rPr>
          <w:bCs/>
          <w:sz w:val="22"/>
          <w:szCs w:val="22"/>
          <w:lang w:val="sr-Latn-ME"/>
        </w:rPr>
        <w:t xml:space="preserve"> (vid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eti </w:t>
      </w:r>
      <w:r w:rsidR="00C1717B" w:rsidRPr="009B3C93">
        <w:rPr>
          <w:bCs/>
          <w:sz w:val="22"/>
          <w:szCs w:val="22"/>
          <w:lang w:val="sr-Latn-ME"/>
        </w:rPr>
        <w:t>dio</w:t>
      </w:r>
      <w:r w:rsidRPr="009B3C93">
        <w:rPr>
          <w:bCs/>
          <w:sz w:val="22"/>
          <w:szCs w:val="22"/>
          <w:lang w:val="sr-Latn-ME"/>
        </w:rPr>
        <w:t> 5.1).</w:t>
      </w:r>
      <w:bookmarkEnd w:id="2"/>
      <w:bookmarkEnd w:id="3"/>
    </w:p>
    <w:p w14:paraId="019ACF1C" w14:textId="56973F7E" w:rsidR="009B3C93" w:rsidRDefault="009B3C93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6BB4CC" w14:textId="5FC1D5F2" w:rsidR="009B3C93" w:rsidRDefault="009B3C93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399A41" w14:textId="20691D43" w:rsidR="009B3C93" w:rsidRDefault="009B3C93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946023" w14:textId="77777777" w:rsidR="009B3C93" w:rsidRPr="009B3C93" w:rsidRDefault="009B3C93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C00960" w14:textId="77777777" w:rsidR="00411B4B" w:rsidRPr="009B3C93" w:rsidRDefault="00411B4B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lastRenderedPageBreak/>
        <w:t xml:space="preserve">4.2.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Doziranje i način primjene</w:t>
      </w:r>
    </w:p>
    <w:p w14:paraId="69346564" w14:textId="77777777" w:rsidR="0072020E" w:rsidRPr="009B3C93" w:rsidRDefault="0072020E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382A77" w14:textId="19AB866E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ečenje 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ekom Winrevair treba da započne i kontroliše samo l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ekar koji ima iskustvo u dijagnostikovanju i 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ečenju </w:t>
      </w:r>
      <w:r w:rsidR="003F602E" w:rsidRPr="009B3C93">
        <w:rPr>
          <w:bCs/>
          <w:sz w:val="22"/>
          <w:szCs w:val="22"/>
          <w:lang w:val="sr-Latn-ME"/>
        </w:rPr>
        <w:t>PAH.</w:t>
      </w:r>
    </w:p>
    <w:p w14:paraId="169F4859" w14:textId="77777777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228C0A" w14:textId="77777777" w:rsidR="00452E9D" w:rsidRPr="009B3C93" w:rsidRDefault="00452E9D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>Doziranje</w:t>
      </w:r>
    </w:p>
    <w:p w14:paraId="3A6325E3" w14:textId="77777777" w:rsidR="00452E9D" w:rsidRPr="009B3C93" w:rsidRDefault="00452E9D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5F12867" w14:textId="0955EA07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 Winrevair se prim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enjuje jednom u 3 ned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elje kao </w:t>
      </w:r>
      <w:bookmarkStart w:id="4" w:name="_Hlk176420662"/>
      <w:r w:rsidRPr="009B3C93">
        <w:rPr>
          <w:bCs/>
          <w:sz w:val="22"/>
          <w:szCs w:val="22"/>
          <w:lang w:val="sr-Latn-ME"/>
        </w:rPr>
        <w:t>pojedinačn</w:t>
      </w:r>
      <w:bookmarkEnd w:id="4"/>
      <w:r w:rsidRPr="009B3C93">
        <w:rPr>
          <w:bCs/>
          <w:sz w:val="22"/>
          <w:szCs w:val="22"/>
          <w:lang w:val="sr-Latn-ME"/>
        </w:rPr>
        <w:t>a su</w:t>
      </w:r>
      <w:r w:rsidR="007E401C" w:rsidRPr="009B3C93">
        <w:rPr>
          <w:bCs/>
          <w:sz w:val="22"/>
          <w:szCs w:val="22"/>
          <w:lang w:val="sr-Latn-ME"/>
        </w:rPr>
        <w:t>b</w:t>
      </w:r>
      <w:r w:rsidRPr="009B3C93">
        <w:rPr>
          <w:bCs/>
          <w:sz w:val="22"/>
          <w:szCs w:val="22"/>
          <w:lang w:val="sr-Latn-ME"/>
        </w:rPr>
        <w:t>kutana injekcija, prema t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elesnoj masi pacijenta.</w:t>
      </w:r>
    </w:p>
    <w:p w14:paraId="4FA7D993" w14:textId="77777777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552B44A" w14:textId="77777777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9B3C93">
        <w:rPr>
          <w:bCs/>
          <w:i/>
          <w:iCs/>
          <w:sz w:val="22"/>
          <w:szCs w:val="22"/>
          <w:lang w:val="sr-Latn-ME"/>
        </w:rPr>
        <w:t>Preporučena početna doza</w:t>
      </w:r>
    </w:p>
    <w:p w14:paraId="00DB7D90" w14:textId="2DDC1794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Pr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 prim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prve doze potrebno je odrediti vr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ednosti hemoglobina (Hgb) i broj trombocita (vid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eti </w:t>
      </w:r>
      <w:r w:rsidR="00C1717B" w:rsidRPr="009B3C93">
        <w:rPr>
          <w:bCs/>
          <w:sz w:val="22"/>
          <w:szCs w:val="22"/>
          <w:lang w:val="sr-Latn-ME"/>
        </w:rPr>
        <w:t>dio</w:t>
      </w:r>
      <w:r w:rsidRPr="009B3C93">
        <w:rPr>
          <w:bCs/>
          <w:sz w:val="22"/>
          <w:szCs w:val="22"/>
          <w:lang w:val="sr-Latn-ME"/>
        </w:rPr>
        <w:t> 4.4). Početak 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ečenja je kontraindikovan ako je broj trombocita konzistentno &lt;</w:t>
      </w:r>
      <w:r w:rsidR="003F602E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50 x 10</w:t>
      </w:r>
      <w:r w:rsidRPr="009B3C93">
        <w:rPr>
          <w:bCs/>
          <w:sz w:val="22"/>
          <w:szCs w:val="22"/>
          <w:vertAlign w:val="superscript"/>
          <w:lang w:val="sr-Latn-ME"/>
        </w:rPr>
        <w:t>9</w:t>
      </w:r>
      <w:r w:rsidRPr="009B3C93">
        <w:rPr>
          <w:bCs/>
          <w:sz w:val="22"/>
          <w:szCs w:val="22"/>
          <w:lang w:val="sr-Latn-ME"/>
        </w:rPr>
        <w:t>/</w:t>
      </w:r>
      <w:r w:rsidR="00C1717B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 xml:space="preserve"> (vid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eti </w:t>
      </w:r>
      <w:r w:rsidR="00C1717B" w:rsidRPr="009B3C93">
        <w:rPr>
          <w:bCs/>
          <w:sz w:val="22"/>
          <w:szCs w:val="22"/>
          <w:lang w:val="sr-Latn-ME"/>
        </w:rPr>
        <w:t>dio</w:t>
      </w:r>
      <w:r w:rsidRPr="009B3C93">
        <w:rPr>
          <w:bCs/>
          <w:sz w:val="22"/>
          <w:szCs w:val="22"/>
          <w:lang w:val="sr-Latn-ME"/>
        </w:rPr>
        <w:t> 4.3).</w:t>
      </w:r>
    </w:p>
    <w:p w14:paraId="7F6CA865" w14:textId="77777777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CB5A74" w14:textId="2EEEB398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ečenje se započinje pojedinačnom dozom od 0,3 mg/kg (vid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eti tabelu 1).</w:t>
      </w:r>
    </w:p>
    <w:p w14:paraId="373A749F" w14:textId="77777777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98BEB8" w14:textId="77777777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>Tabela 1: Zapremina injekcije za dozu od 0,3 mg/kg</w:t>
      </w:r>
    </w:p>
    <w:p w14:paraId="76D97334" w14:textId="77777777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980"/>
        <w:gridCol w:w="2335"/>
      </w:tblGrid>
      <w:tr w:rsidR="00BD480A" w:rsidRPr="009B3C93" w14:paraId="570BA60B" w14:textId="77777777" w:rsidTr="003F602E">
        <w:trPr>
          <w:tblHeader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259458" w14:textId="166C9D32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B3C93">
              <w:rPr>
                <w:b/>
                <w:bCs/>
                <w:sz w:val="22"/>
                <w:szCs w:val="22"/>
                <w:lang w:val="sr-Latn-ME"/>
              </w:rPr>
              <w:t>Raspon t</w:t>
            </w:r>
            <w:r w:rsidR="00C1717B" w:rsidRPr="009B3C93">
              <w:rPr>
                <w:b/>
                <w:bCs/>
                <w:sz w:val="22"/>
                <w:szCs w:val="22"/>
                <w:lang w:val="sr-Latn-ME"/>
              </w:rPr>
              <w:t>j</w:t>
            </w:r>
            <w:r w:rsidRPr="009B3C93">
              <w:rPr>
                <w:b/>
                <w:bCs/>
                <w:sz w:val="22"/>
                <w:szCs w:val="22"/>
                <w:lang w:val="sr-Latn-ME"/>
              </w:rPr>
              <w:t>elesne mase pacijenata (kg)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B8B096" w14:textId="61869981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B3C93">
              <w:rPr>
                <w:b/>
                <w:bCs/>
                <w:sz w:val="22"/>
                <w:szCs w:val="22"/>
                <w:lang w:val="sr-Latn-ME"/>
              </w:rPr>
              <w:t>Zapremina injekcije (m</w:t>
            </w:r>
            <w:r w:rsidR="00C1717B" w:rsidRPr="009B3C93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9B3C93">
              <w:rPr>
                <w:b/>
                <w:bCs/>
                <w:sz w:val="22"/>
                <w:szCs w:val="22"/>
                <w:lang w:val="sr-Latn-ME"/>
              </w:rPr>
              <w:t>)*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5B424F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B3C93">
              <w:rPr>
                <w:b/>
                <w:bCs/>
                <w:sz w:val="22"/>
                <w:szCs w:val="22"/>
                <w:lang w:val="sr-Latn-ME"/>
              </w:rPr>
              <w:t>Tip kompleta</w:t>
            </w:r>
          </w:p>
        </w:tc>
      </w:tr>
      <w:tr w:rsidR="00BD480A" w:rsidRPr="009B3C93" w14:paraId="6E80EA44" w14:textId="77777777" w:rsidTr="003F602E">
        <w:trPr>
          <w:tblHeader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C990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30,0–40,8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83C9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0,2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E9434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Komplet koji sadrži</w:t>
            </w:r>
          </w:p>
          <w:p w14:paraId="5B087517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 bočicu od 45 mg</w:t>
            </w:r>
          </w:p>
        </w:tc>
      </w:tr>
      <w:tr w:rsidR="00BD480A" w:rsidRPr="009B3C93" w14:paraId="019E3179" w14:textId="77777777" w:rsidTr="003F602E">
        <w:trPr>
          <w:tblHeader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16A8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40,9–57,4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10DB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0,3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59BFF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633F06E2" w14:textId="77777777" w:rsidTr="003F602E">
        <w:trPr>
          <w:tblHeader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AC66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57,5–74,1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9CCC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0,4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217FD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4DFC817A" w14:textId="77777777" w:rsidTr="003F602E">
        <w:trPr>
          <w:tblHeader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F69E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74,2–90,8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B369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0,5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B9CD6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7E56944D" w14:textId="77777777" w:rsidTr="003F602E">
        <w:trPr>
          <w:tblHeader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06F3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90,9–107,4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8C1D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0,6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72DD8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388633BC" w14:textId="77777777" w:rsidTr="003F602E">
        <w:trPr>
          <w:tblHeader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5032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107,5–124,1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82AE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0,7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311FE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4A878788" w14:textId="77777777" w:rsidTr="003F602E">
        <w:trPr>
          <w:tblHeader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93E2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124,2–140,8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FDC0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0,8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76E83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563BF9C3" w14:textId="77777777" w:rsidTr="003F602E">
        <w:trPr>
          <w:tblHeader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54A2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140,9–157,4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97BB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0,9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7A258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70D95319" w14:textId="77777777" w:rsidTr="003F602E">
        <w:trPr>
          <w:tblHeader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7FA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157,5–174,1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6F5D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1,0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7320F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Komplet koji sadrži</w:t>
            </w:r>
          </w:p>
          <w:p w14:paraId="7F5812E2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 bočicu od 60 mg</w:t>
            </w:r>
          </w:p>
        </w:tc>
      </w:tr>
      <w:tr w:rsidR="00BD480A" w:rsidRPr="009B3C93" w14:paraId="56022CD7" w14:textId="77777777" w:rsidTr="003F602E">
        <w:trPr>
          <w:tblHeader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CE9B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174,2–180,0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F922" w14:textId="77777777" w:rsidR="00BD480A" w:rsidRPr="009B3C93" w:rsidRDefault="00BD480A" w:rsidP="00C308D7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1,1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6B9C" w14:textId="77777777" w:rsidR="00BD480A" w:rsidRPr="009B3C93" w:rsidRDefault="00BD480A" w:rsidP="006F64A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</w:tbl>
    <w:p w14:paraId="2C7F26E6" w14:textId="705B7B10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Cs/>
          <w:sz w:val="20"/>
          <w:szCs w:val="20"/>
          <w:lang w:val="sr-Latn-ME"/>
        </w:rPr>
      </w:pPr>
      <w:r w:rsidRPr="009B3C93">
        <w:rPr>
          <w:bCs/>
          <w:sz w:val="20"/>
          <w:szCs w:val="20"/>
          <w:lang w:val="sr-Latn-ME"/>
        </w:rPr>
        <w:t>*Koncentracija rekonstituisanog rastvora je 50 mg/m</w:t>
      </w:r>
      <w:r w:rsidR="00C1717B" w:rsidRPr="009B3C93">
        <w:rPr>
          <w:bCs/>
          <w:sz w:val="20"/>
          <w:szCs w:val="20"/>
          <w:lang w:val="sr-Latn-ME"/>
        </w:rPr>
        <w:t>l</w:t>
      </w:r>
      <w:r w:rsidRPr="009B3C93">
        <w:rPr>
          <w:bCs/>
          <w:sz w:val="20"/>
          <w:szCs w:val="20"/>
          <w:lang w:val="sr-Latn-ME"/>
        </w:rPr>
        <w:t xml:space="preserve"> (vid</w:t>
      </w:r>
      <w:r w:rsidR="00C1717B" w:rsidRPr="009B3C93">
        <w:rPr>
          <w:bCs/>
          <w:sz w:val="20"/>
          <w:szCs w:val="20"/>
          <w:lang w:val="sr-Latn-ME"/>
        </w:rPr>
        <w:t>j</w:t>
      </w:r>
      <w:r w:rsidRPr="009B3C93">
        <w:rPr>
          <w:bCs/>
          <w:sz w:val="20"/>
          <w:szCs w:val="20"/>
          <w:lang w:val="sr-Latn-ME"/>
        </w:rPr>
        <w:t xml:space="preserve">eti </w:t>
      </w:r>
      <w:r w:rsidR="00C1717B" w:rsidRPr="009B3C93">
        <w:rPr>
          <w:bCs/>
          <w:sz w:val="20"/>
          <w:szCs w:val="20"/>
          <w:lang w:val="sr-Latn-ME"/>
        </w:rPr>
        <w:t>dio</w:t>
      </w:r>
      <w:r w:rsidRPr="009B3C93">
        <w:rPr>
          <w:bCs/>
          <w:sz w:val="20"/>
          <w:szCs w:val="20"/>
          <w:lang w:val="sr-Latn-ME"/>
        </w:rPr>
        <w:t xml:space="preserve"> 6.6)</w:t>
      </w:r>
    </w:p>
    <w:p w14:paraId="25040386" w14:textId="77777777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07E779" w14:textId="77777777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bookmarkStart w:id="5" w:name="_Hlk165828737"/>
      <w:r w:rsidRPr="009B3C93">
        <w:rPr>
          <w:bCs/>
          <w:i/>
          <w:iCs/>
          <w:sz w:val="22"/>
          <w:szCs w:val="22"/>
          <w:lang w:val="sr-Latn-ME"/>
        </w:rPr>
        <w:t>Preporučena ciljna doza</w:t>
      </w:r>
    </w:p>
    <w:p w14:paraId="1847E4DA" w14:textId="278FFF90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Tri ned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elje nakon prim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pojedinačne</w:t>
      </w:r>
      <w:r w:rsidRPr="009B3C93" w:rsidDel="00405161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početne doze od 0,3 mg/kg, doza bi trebalo da se poveća do preporučene ciljne doze od 0,7 mg/kg nakon prov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ere prihvatljive vr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ednosti Hgb i broja trombocita (vid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eti </w:t>
      </w:r>
      <w:r w:rsidR="00C1717B" w:rsidRPr="009B3C93">
        <w:rPr>
          <w:bCs/>
          <w:sz w:val="22"/>
          <w:szCs w:val="22"/>
          <w:lang w:val="sr-Latn-ME"/>
        </w:rPr>
        <w:t>dio</w:t>
      </w:r>
      <w:r w:rsidRPr="009B3C93">
        <w:rPr>
          <w:bCs/>
          <w:sz w:val="22"/>
          <w:szCs w:val="22"/>
          <w:lang w:val="sr-Latn-ME"/>
        </w:rPr>
        <w:t xml:space="preserve"> 4.2 </w:t>
      </w:r>
      <w:r w:rsidRPr="009B3C93">
        <w:rPr>
          <w:bCs/>
          <w:i/>
          <w:iCs/>
          <w:sz w:val="22"/>
          <w:szCs w:val="22"/>
          <w:lang w:val="sr-Latn-ME"/>
        </w:rPr>
        <w:t>„Prilagođavanja doze zbog povećane vr</w:t>
      </w:r>
      <w:r w:rsidR="00C1717B" w:rsidRPr="009B3C93">
        <w:rPr>
          <w:bCs/>
          <w:i/>
          <w:iCs/>
          <w:sz w:val="22"/>
          <w:szCs w:val="22"/>
          <w:lang w:val="sr-Latn-ME"/>
        </w:rPr>
        <w:t>ij</w:t>
      </w:r>
      <w:r w:rsidRPr="009B3C93">
        <w:rPr>
          <w:bCs/>
          <w:i/>
          <w:iCs/>
          <w:sz w:val="22"/>
          <w:szCs w:val="22"/>
          <w:lang w:val="sr-Latn-ME"/>
        </w:rPr>
        <w:t>ednosti</w:t>
      </w:r>
      <w:r w:rsidRPr="009B3C93" w:rsidDel="005F1C81">
        <w:rPr>
          <w:bCs/>
          <w:i/>
          <w:iCs/>
          <w:sz w:val="22"/>
          <w:szCs w:val="22"/>
          <w:lang w:val="sr-Latn-ME"/>
        </w:rPr>
        <w:t xml:space="preserve"> </w:t>
      </w:r>
      <w:r w:rsidRPr="009B3C93">
        <w:rPr>
          <w:bCs/>
          <w:i/>
          <w:iCs/>
          <w:sz w:val="22"/>
          <w:szCs w:val="22"/>
          <w:lang w:val="sr-Latn-ME"/>
        </w:rPr>
        <w:t>hemoglobina ili smanjenog broja trombocita“</w:t>
      </w:r>
      <w:r w:rsidRPr="009B3C93">
        <w:rPr>
          <w:bCs/>
          <w:sz w:val="22"/>
          <w:szCs w:val="22"/>
          <w:lang w:val="sr-Latn-ME"/>
        </w:rPr>
        <w:t>). 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ečenje treba nastaviti dozom od</w:t>
      </w:r>
      <w:r w:rsidRPr="009B3C93" w:rsidDel="00283982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0,7 mg/kg svake 3 ned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elje ukoliko prilagođavanje doze nije potrebno.</w:t>
      </w:r>
    </w:p>
    <w:bookmarkEnd w:id="5"/>
    <w:p w14:paraId="76D617F1" w14:textId="77777777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34EEC2A" w14:textId="77777777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992B711" w14:textId="77777777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434C7D8" w14:textId="77777777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5F2F112" w14:textId="77777777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C16FD7" w14:textId="77777777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106A6B3" w14:textId="77777777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0F884C1" w14:textId="77777777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F0017B2" w14:textId="77777777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10F5DF3" w14:textId="77777777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D92C144" w14:textId="77777777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9EE72A4" w14:textId="33A81956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2E0C139" w14:textId="6219AA1C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D9FE9D0" w14:textId="36620885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9EDA058" w14:textId="11538FE7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DC43DF3" w14:textId="626774A7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F30D0D" w14:textId="77777777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23AE3D3" w14:textId="77777777" w:rsidR="009B3C93" w:rsidRDefault="009B3C93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B48C31" w14:textId="0C3AAE3C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lastRenderedPageBreak/>
        <w:t>Tabela 2: Zapremina injekcije za dozu od 0,7 mg/kg</w:t>
      </w:r>
    </w:p>
    <w:p w14:paraId="50731907" w14:textId="77777777" w:rsidR="00BD480A" w:rsidRPr="009B3C93" w:rsidRDefault="00BD480A" w:rsidP="00C308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1440"/>
        <w:gridCol w:w="2335"/>
      </w:tblGrid>
      <w:tr w:rsidR="00BD480A" w:rsidRPr="009B3C93" w14:paraId="6EBF4DAC" w14:textId="77777777" w:rsidTr="003F602E">
        <w:trPr>
          <w:trHeight w:val="557"/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940A97" w14:textId="2E947CE6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B3C93">
              <w:rPr>
                <w:b/>
                <w:bCs/>
                <w:sz w:val="22"/>
                <w:szCs w:val="22"/>
                <w:lang w:val="sr-Latn-ME"/>
              </w:rPr>
              <w:t>Raspon t</w:t>
            </w:r>
            <w:r w:rsidR="00C1717B" w:rsidRPr="009B3C93">
              <w:rPr>
                <w:b/>
                <w:bCs/>
                <w:sz w:val="22"/>
                <w:szCs w:val="22"/>
                <w:lang w:val="sr-Latn-ME"/>
              </w:rPr>
              <w:t>j</w:t>
            </w:r>
            <w:r w:rsidRPr="009B3C93">
              <w:rPr>
                <w:b/>
                <w:bCs/>
                <w:sz w:val="22"/>
                <w:szCs w:val="22"/>
                <w:lang w:val="sr-Latn-ME"/>
              </w:rPr>
              <w:t>elesne mase</w:t>
            </w:r>
            <w:r w:rsidRPr="009B3C93" w:rsidDel="00283982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9B3C93">
              <w:rPr>
                <w:b/>
                <w:bCs/>
                <w:sz w:val="22"/>
                <w:szCs w:val="22"/>
                <w:lang w:val="sr-Latn-ME"/>
              </w:rPr>
              <w:t>pacijenata (kg)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673605" w14:textId="35DE6F99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B3C93">
              <w:rPr>
                <w:b/>
                <w:bCs/>
                <w:sz w:val="22"/>
                <w:szCs w:val="22"/>
                <w:lang w:val="sr-Latn-ME"/>
              </w:rPr>
              <w:t>Zapremina injekcije (m</w:t>
            </w:r>
            <w:r w:rsidR="00C1717B" w:rsidRPr="009B3C93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9B3C93">
              <w:rPr>
                <w:b/>
                <w:bCs/>
                <w:sz w:val="22"/>
                <w:szCs w:val="22"/>
                <w:lang w:val="sr-Latn-ME"/>
              </w:rPr>
              <w:t>)*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903EA0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B3C93">
              <w:rPr>
                <w:b/>
                <w:bCs/>
                <w:sz w:val="22"/>
                <w:szCs w:val="22"/>
                <w:lang w:val="sr-Latn-ME"/>
              </w:rPr>
              <w:t>Tip kompleta</w:t>
            </w:r>
          </w:p>
        </w:tc>
      </w:tr>
      <w:tr w:rsidR="00BD480A" w:rsidRPr="009B3C93" w14:paraId="6C8B666B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BF9D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30,0–31,7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B4E3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0,4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53EA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Komplet koji sadrži</w:t>
            </w:r>
          </w:p>
          <w:p w14:paraId="07A1FD9F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 bočicu od 45 mg</w:t>
            </w:r>
          </w:p>
        </w:tc>
      </w:tr>
      <w:tr w:rsidR="00BD480A" w:rsidRPr="009B3C93" w14:paraId="406BB00D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16C6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31,8–38,9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862C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0,5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2EA1A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47549D59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C86F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39,0–46,0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4D74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0,6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B09D3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17F7CB58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33EE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46,1–53,2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E7B5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0,7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6F812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234650F9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ABBD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53,3–60,3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310E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0,8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B8CD2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1FF67139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1D86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60,4–67,4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78F1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0,9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9887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2232BBBA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6D0D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67,5–74,6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614A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1,0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73E5C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Komplet koji sadrži</w:t>
            </w:r>
          </w:p>
          <w:p w14:paraId="1D50073F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 bočicu od 60 mg</w:t>
            </w:r>
          </w:p>
        </w:tc>
      </w:tr>
      <w:tr w:rsidR="00BD480A" w:rsidRPr="009B3C93" w14:paraId="080EB483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9F1F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74,7–81,7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25DA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1,1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201E0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2216A28E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B9AA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81,8–88,9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91D0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1,2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B759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1004AE80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F787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89,0–96,0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DCFE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1,3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4EC24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Komplet koji sadrži</w:t>
            </w:r>
          </w:p>
          <w:p w14:paraId="34F40230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2 bočice od 45 mg</w:t>
            </w:r>
          </w:p>
        </w:tc>
      </w:tr>
      <w:tr w:rsidR="00BD480A" w:rsidRPr="009B3C93" w14:paraId="34F92E7D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2DC8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96,1–103,2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1DDD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1,4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A5058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47DCDB89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482D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103,3–110,3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CD3A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1,5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7EC9C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790A643D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FFD1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110,4–117,4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FF18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1,6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F1377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661106E6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7837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117,5–124,6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99CB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1,7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CC2FB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0BA4768D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9F2A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124,7–131,7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E088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1,8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85D1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0853B53A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A79C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131,8–138,9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E1D8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1,9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ACA9A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Komplet koji sadrži</w:t>
            </w:r>
          </w:p>
          <w:p w14:paraId="042B3317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2 bočice od 60 mg</w:t>
            </w:r>
          </w:p>
        </w:tc>
      </w:tr>
      <w:tr w:rsidR="00BD480A" w:rsidRPr="009B3C93" w14:paraId="7AAC54EB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2A92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139,0–146,0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D4DF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2,0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C81A78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351210A7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B32F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146,1–153,2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D6A2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2,1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6E669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3005063C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AD97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153,3–160,3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1F2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2,2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FFB36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15CC6E12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E770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160,4–167,4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A402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2,3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B9EEC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57C2B533" w14:textId="77777777" w:rsidTr="003F602E">
        <w:trPr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411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167,5 i iznad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49D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2,4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F37" w14:textId="77777777" w:rsidR="00BD480A" w:rsidRPr="009B3C93" w:rsidRDefault="00BD480A" w:rsidP="00B36575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</w:tbl>
    <w:p w14:paraId="63AE45A9" w14:textId="346F88D2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0"/>
          <w:szCs w:val="20"/>
          <w:lang w:val="sr-Latn-ME"/>
        </w:rPr>
      </w:pPr>
      <w:r w:rsidRPr="009B3C93">
        <w:rPr>
          <w:bCs/>
          <w:sz w:val="20"/>
          <w:szCs w:val="20"/>
          <w:lang w:val="sr-Latn-ME"/>
        </w:rPr>
        <w:t>*Koncentracija rekonstituisanog rastvora je 50 mg/m</w:t>
      </w:r>
      <w:r w:rsidR="00C1717B" w:rsidRPr="009B3C93">
        <w:rPr>
          <w:bCs/>
          <w:sz w:val="20"/>
          <w:szCs w:val="20"/>
          <w:lang w:val="sr-Latn-ME"/>
        </w:rPr>
        <w:t>l</w:t>
      </w:r>
      <w:r w:rsidRPr="009B3C93">
        <w:rPr>
          <w:bCs/>
          <w:sz w:val="20"/>
          <w:szCs w:val="20"/>
          <w:lang w:val="sr-Latn-ME"/>
        </w:rPr>
        <w:t xml:space="preserve"> (vid</w:t>
      </w:r>
      <w:r w:rsidR="00C1717B" w:rsidRPr="009B3C93">
        <w:rPr>
          <w:bCs/>
          <w:sz w:val="20"/>
          <w:szCs w:val="20"/>
          <w:lang w:val="sr-Latn-ME"/>
        </w:rPr>
        <w:t>j</w:t>
      </w:r>
      <w:r w:rsidRPr="009B3C93">
        <w:rPr>
          <w:bCs/>
          <w:sz w:val="20"/>
          <w:szCs w:val="20"/>
          <w:lang w:val="sr-Latn-ME"/>
        </w:rPr>
        <w:t xml:space="preserve">eti </w:t>
      </w:r>
      <w:r w:rsidR="00C1717B" w:rsidRPr="009B3C93">
        <w:rPr>
          <w:bCs/>
          <w:sz w:val="20"/>
          <w:szCs w:val="20"/>
          <w:lang w:val="sr-Latn-ME"/>
        </w:rPr>
        <w:t>dio</w:t>
      </w:r>
      <w:r w:rsidRPr="009B3C93">
        <w:rPr>
          <w:bCs/>
          <w:sz w:val="20"/>
          <w:szCs w:val="20"/>
          <w:lang w:val="sr-Latn-ME"/>
        </w:rPr>
        <w:t xml:space="preserve"> 6.6)</w:t>
      </w:r>
      <w:r w:rsidR="00B21B0C" w:rsidRPr="009B3C93">
        <w:rPr>
          <w:bCs/>
          <w:sz w:val="20"/>
          <w:szCs w:val="20"/>
          <w:lang w:val="sr-Latn-ME"/>
        </w:rPr>
        <w:t>.</w:t>
      </w:r>
    </w:p>
    <w:p w14:paraId="2FB33FF5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AA9727F" w14:textId="17D599F9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bookmarkStart w:id="6" w:name="_Hlk165828767"/>
      <w:r w:rsidRPr="009B3C93">
        <w:rPr>
          <w:bCs/>
          <w:i/>
          <w:iCs/>
          <w:sz w:val="22"/>
          <w:szCs w:val="22"/>
          <w:lang w:val="sr-Latn-ME"/>
        </w:rPr>
        <w:t>Prilagođavanja doze zbog povećane vr</w:t>
      </w:r>
      <w:r w:rsidR="00C1717B" w:rsidRPr="009B3C93">
        <w:rPr>
          <w:bCs/>
          <w:i/>
          <w:iCs/>
          <w:sz w:val="22"/>
          <w:szCs w:val="22"/>
          <w:lang w:val="sr-Latn-ME"/>
        </w:rPr>
        <w:t>ij</w:t>
      </w:r>
      <w:r w:rsidRPr="009B3C93">
        <w:rPr>
          <w:bCs/>
          <w:i/>
          <w:iCs/>
          <w:sz w:val="22"/>
          <w:szCs w:val="22"/>
          <w:lang w:val="sr-Latn-ME"/>
        </w:rPr>
        <w:t>ednosti</w:t>
      </w:r>
      <w:r w:rsidRPr="009B3C93" w:rsidDel="005F1C81">
        <w:rPr>
          <w:bCs/>
          <w:i/>
          <w:iCs/>
          <w:sz w:val="22"/>
          <w:szCs w:val="22"/>
          <w:lang w:val="sr-Latn-ME"/>
        </w:rPr>
        <w:t xml:space="preserve"> </w:t>
      </w:r>
      <w:r w:rsidRPr="009B3C93">
        <w:rPr>
          <w:bCs/>
          <w:i/>
          <w:iCs/>
          <w:sz w:val="22"/>
          <w:szCs w:val="22"/>
          <w:lang w:val="sr-Latn-ME"/>
        </w:rPr>
        <w:t>hemoglobina ili smanjenog broja trombocita</w:t>
      </w:r>
    </w:p>
    <w:p w14:paraId="219A3978" w14:textId="55965B39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Vr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 hemoglobina (Hgb) i broj trombocita treba pratiti tokom prvih 5 doza ili duže ako su vr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ednosti nestabilne. Nakon toga treba prov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eravati vr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ednosti hemoglobina (Hgb) i broj trombocita na svakih 3 do 6 m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eseci i ako je potrebno prilagoditi dozu (vid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eti </w:t>
      </w:r>
      <w:r w:rsidR="00C1717B" w:rsidRPr="009B3C93">
        <w:rPr>
          <w:bCs/>
          <w:sz w:val="22"/>
          <w:szCs w:val="22"/>
          <w:lang w:val="sr-Latn-ME"/>
        </w:rPr>
        <w:t>djelove</w:t>
      </w:r>
      <w:r w:rsidRPr="009B3C93">
        <w:rPr>
          <w:bCs/>
          <w:sz w:val="22"/>
          <w:szCs w:val="22"/>
          <w:lang w:val="sr-Latn-ME"/>
        </w:rPr>
        <w:t xml:space="preserve"> 4.4 i 4.8). </w:t>
      </w:r>
    </w:p>
    <w:bookmarkEnd w:id="6"/>
    <w:p w14:paraId="349B8770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A79B2B" w14:textId="018EAC8A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ečenje treba </w:t>
      </w:r>
      <w:bookmarkStart w:id="7" w:name="_Hlk177372045"/>
      <w:r w:rsidRPr="009B3C93">
        <w:rPr>
          <w:bCs/>
          <w:sz w:val="22"/>
          <w:szCs w:val="22"/>
          <w:lang w:val="sr-Latn-ME"/>
        </w:rPr>
        <w:t xml:space="preserve">odložiti </w:t>
      </w:r>
      <w:bookmarkEnd w:id="7"/>
      <w:r w:rsidRPr="009B3C93">
        <w:rPr>
          <w:bCs/>
          <w:sz w:val="22"/>
          <w:szCs w:val="22"/>
          <w:lang w:val="sr-Latn-ME"/>
        </w:rPr>
        <w:t>za 3 ned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elje (tj. </w:t>
      </w:r>
      <w:r w:rsidR="00B21B0C" w:rsidRPr="009B3C93">
        <w:rPr>
          <w:bCs/>
          <w:sz w:val="22"/>
          <w:szCs w:val="22"/>
          <w:lang w:val="sr-Latn-ME"/>
        </w:rPr>
        <w:t xml:space="preserve">treba </w:t>
      </w:r>
      <w:r w:rsidRPr="009B3C93">
        <w:rPr>
          <w:bCs/>
          <w:sz w:val="22"/>
          <w:szCs w:val="22"/>
          <w:lang w:val="sr-Latn-ME"/>
        </w:rPr>
        <w:t>odložiti prim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enu jedne doze) ako se desi nešto od sl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edećeg:</w:t>
      </w:r>
    </w:p>
    <w:p w14:paraId="31F8A567" w14:textId="0151E6C5" w:rsidR="00BD480A" w:rsidRPr="009B3C93" w:rsidRDefault="00B21B0C" w:rsidP="00B36575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8" w:name="_Hlk176422771"/>
      <w:r w:rsidRPr="009B3C93">
        <w:rPr>
          <w:bCs/>
          <w:sz w:val="22"/>
          <w:szCs w:val="22"/>
          <w:lang w:val="sr-Latn-ME"/>
        </w:rPr>
        <w:t>v</w:t>
      </w:r>
      <w:r w:rsidR="00BD480A" w:rsidRPr="009B3C93">
        <w:rPr>
          <w:bCs/>
          <w:sz w:val="22"/>
          <w:szCs w:val="22"/>
          <w:lang w:val="sr-Latn-ME"/>
        </w:rPr>
        <w:t>r</w:t>
      </w:r>
      <w:r w:rsidR="00C1717B" w:rsidRPr="009B3C93">
        <w:rPr>
          <w:bCs/>
          <w:sz w:val="22"/>
          <w:szCs w:val="22"/>
          <w:lang w:val="sr-Latn-ME"/>
        </w:rPr>
        <w:t>ij</w:t>
      </w:r>
      <w:r w:rsidR="00BD480A" w:rsidRPr="009B3C93">
        <w:rPr>
          <w:bCs/>
          <w:sz w:val="22"/>
          <w:szCs w:val="22"/>
          <w:lang w:val="sr-Latn-ME"/>
        </w:rPr>
        <w:t xml:space="preserve">ednost </w:t>
      </w:r>
      <w:bookmarkEnd w:id="8"/>
      <w:r w:rsidR="00BD480A" w:rsidRPr="009B3C93">
        <w:rPr>
          <w:bCs/>
          <w:sz w:val="22"/>
          <w:szCs w:val="22"/>
          <w:lang w:val="sr-Latn-ME"/>
        </w:rPr>
        <w:t>hemoglobin</w:t>
      </w:r>
      <w:r w:rsidRPr="009B3C93">
        <w:rPr>
          <w:bCs/>
          <w:sz w:val="22"/>
          <w:szCs w:val="22"/>
          <w:lang w:val="sr-Latn-ME"/>
        </w:rPr>
        <w:t>a</w:t>
      </w:r>
      <w:r w:rsidR="00BD480A" w:rsidRPr="009B3C93">
        <w:rPr>
          <w:bCs/>
          <w:sz w:val="22"/>
          <w:szCs w:val="22"/>
          <w:lang w:val="sr-Latn-ME"/>
        </w:rPr>
        <w:t xml:space="preserve"> (Hgb) se poveća</w:t>
      </w:r>
      <w:r w:rsidRPr="009B3C93">
        <w:rPr>
          <w:bCs/>
          <w:sz w:val="22"/>
          <w:szCs w:val="22"/>
          <w:lang w:val="sr-Latn-ME"/>
        </w:rPr>
        <w:t xml:space="preserve"> za</w:t>
      </w:r>
      <w:r w:rsidR="00BD480A" w:rsidRPr="009B3C93">
        <w:rPr>
          <w:bCs/>
          <w:sz w:val="22"/>
          <w:szCs w:val="22"/>
          <w:lang w:val="sr-Latn-ME"/>
        </w:rPr>
        <w:t xml:space="preserve"> &gt;</w:t>
      </w:r>
      <w:r w:rsidRPr="009B3C93">
        <w:rPr>
          <w:bCs/>
          <w:sz w:val="22"/>
          <w:szCs w:val="22"/>
          <w:lang w:val="sr-Latn-ME"/>
        </w:rPr>
        <w:t xml:space="preserve"> </w:t>
      </w:r>
      <w:r w:rsidR="00BD480A" w:rsidRPr="009B3C93">
        <w:rPr>
          <w:bCs/>
          <w:sz w:val="22"/>
          <w:szCs w:val="22"/>
          <w:lang w:val="sr-Latn-ME"/>
        </w:rPr>
        <w:t>1,24 mmol/</w:t>
      </w:r>
      <w:r w:rsidR="00C1717B" w:rsidRPr="009B3C93">
        <w:rPr>
          <w:bCs/>
          <w:sz w:val="22"/>
          <w:szCs w:val="22"/>
          <w:lang w:val="sr-Latn-ME"/>
        </w:rPr>
        <w:t>l</w:t>
      </w:r>
      <w:r w:rsidR="00BD480A" w:rsidRPr="009B3C93">
        <w:rPr>
          <w:bCs/>
          <w:sz w:val="22"/>
          <w:szCs w:val="22"/>
          <w:lang w:val="sr-Latn-ME"/>
        </w:rPr>
        <w:t xml:space="preserve"> (2 g/d</w:t>
      </w:r>
      <w:r w:rsidR="00C1717B" w:rsidRPr="009B3C93">
        <w:rPr>
          <w:bCs/>
          <w:sz w:val="22"/>
          <w:szCs w:val="22"/>
          <w:lang w:val="sr-Latn-ME"/>
        </w:rPr>
        <w:t>l</w:t>
      </w:r>
      <w:r w:rsidR="00BD480A" w:rsidRPr="009B3C93">
        <w:rPr>
          <w:bCs/>
          <w:sz w:val="22"/>
          <w:szCs w:val="22"/>
          <w:lang w:val="sr-Latn-ME"/>
        </w:rPr>
        <w:t>) u odnosu na prethodnu dozu i nalazi se iznad gornje granice normalnih vr</w:t>
      </w:r>
      <w:r w:rsidR="00C1717B" w:rsidRPr="009B3C93">
        <w:rPr>
          <w:bCs/>
          <w:sz w:val="22"/>
          <w:szCs w:val="22"/>
          <w:lang w:val="sr-Latn-ME"/>
        </w:rPr>
        <w:t>ij</w:t>
      </w:r>
      <w:r w:rsidR="00BD480A" w:rsidRPr="009B3C93">
        <w:rPr>
          <w:bCs/>
          <w:sz w:val="22"/>
          <w:szCs w:val="22"/>
          <w:lang w:val="sr-Latn-ME"/>
        </w:rPr>
        <w:t>ednosti (GGN)</w:t>
      </w:r>
    </w:p>
    <w:p w14:paraId="2AEE1FA9" w14:textId="58749F8E" w:rsidR="00BD480A" w:rsidRPr="009B3C93" w:rsidRDefault="00B21B0C" w:rsidP="00B36575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v</w:t>
      </w:r>
      <w:r w:rsidR="00BD480A" w:rsidRPr="009B3C93">
        <w:rPr>
          <w:bCs/>
          <w:sz w:val="22"/>
          <w:szCs w:val="22"/>
          <w:lang w:val="sr-Latn-ME"/>
        </w:rPr>
        <w:t>r</w:t>
      </w:r>
      <w:r w:rsidR="00C1717B" w:rsidRPr="009B3C93">
        <w:rPr>
          <w:bCs/>
          <w:sz w:val="22"/>
          <w:szCs w:val="22"/>
          <w:lang w:val="sr-Latn-ME"/>
        </w:rPr>
        <w:t>ij</w:t>
      </w:r>
      <w:r w:rsidR="00BD480A" w:rsidRPr="009B3C93">
        <w:rPr>
          <w:bCs/>
          <w:sz w:val="22"/>
          <w:szCs w:val="22"/>
          <w:lang w:val="sr-Latn-ME"/>
        </w:rPr>
        <w:t>ednost hemoglobin</w:t>
      </w:r>
      <w:r w:rsidRPr="009B3C93">
        <w:rPr>
          <w:bCs/>
          <w:sz w:val="22"/>
          <w:szCs w:val="22"/>
          <w:lang w:val="sr-Latn-ME"/>
        </w:rPr>
        <w:t>a</w:t>
      </w:r>
      <w:r w:rsidR="00BD480A" w:rsidRPr="009B3C93">
        <w:rPr>
          <w:bCs/>
          <w:sz w:val="22"/>
          <w:szCs w:val="22"/>
          <w:lang w:val="sr-Latn-ME"/>
        </w:rPr>
        <w:t xml:space="preserve"> (Hgb) se poveća </w:t>
      </w:r>
      <w:r w:rsidRPr="009B3C93">
        <w:rPr>
          <w:bCs/>
          <w:sz w:val="22"/>
          <w:szCs w:val="22"/>
          <w:lang w:val="sr-Latn-ME"/>
        </w:rPr>
        <w:t xml:space="preserve">za </w:t>
      </w:r>
      <w:r w:rsidR="00BD480A" w:rsidRPr="009B3C93">
        <w:rPr>
          <w:bCs/>
          <w:sz w:val="22"/>
          <w:szCs w:val="22"/>
          <w:lang w:val="sr-Latn-ME"/>
        </w:rPr>
        <w:t>&gt;</w:t>
      </w:r>
      <w:r w:rsidRPr="009B3C93">
        <w:rPr>
          <w:bCs/>
          <w:sz w:val="22"/>
          <w:szCs w:val="22"/>
          <w:lang w:val="sr-Latn-ME"/>
        </w:rPr>
        <w:t xml:space="preserve"> </w:t>
      </w:r>
      <w:r w:rsidR="00BD480A" w:rsidRPr="009B3C93">
        <w:rPr>
          <w:bCs/>
          <w:sz w:val="22"/>
          <w:szCs w:val="22"/>
          <w:lang w:val="sr-Latn-ME"/>
        </w:rPr>
        <w:t>2,48 mmol/</w:t>
      </w:r>
      <w:r w:rsidR="00C1717B" w:rsidRPr="009B3C93">
        <w:rPr>
          <w:bCs/>
          <w:sz w:val="22"/>
          <w:szCs w:val="22"/>
          <w:lang w:val="sr-Latn-ME"/>
        </w:rPr>
        <w:t>l</w:t>
      </w:r>
      <w:r w:rsidR="00BD480A" w:rsidRPr="009B3C93">
        <w:rPr>
          <w:bCs/>
          <w:sz w:val="22"/>
          <w:szCs w:val="22"/>
          <w:lang w:val="sr-Latn-ME"/>
        </w:rPr>
        <w:t xml:space="preserve"> (4 g/d</w:t>
      </w:r>
      <w:r w:rsidR="00C1717B" w:rsidRPr="009B3C93">
        <w:rPr>
          <w:bCs/>
          <w:sz w:val="22"/>
          <w:szCs w:val="22"/>
          <w:lang w:val="sr-Latn-ME"/>
        </w:rPr>
        <w:t>l</w:t>
      </w:r>
      <w:r w:rsidR="00BD480A" w:rsidRPr="009B3C93">
        <w:rPr>
          <w:bCs/>
          <w:sz w:val="22"/>
          <w:szCs w:val="22"/>
          <w:lang w:val="sr-Latn-ME"/>
        </w:rPr>
        <w:t>) u odnosu na početnu vr</w:t>
      </w:r>
      <w:r w:rsidR="00C1717B" w:rsidRPr="009B3C93">
        <w:rPr>
          <w:bCs/>
          <w:sz w:val="22"/>
          <w:szCs w:val="22"/>
          <w:lang w:val="sr-Latn-ME"/>
        </w:rPr>
        <w:t>ij</w:t>
      </w:r>
      <w:r w:rsidR="00BD480A" w:rsidRPr="009B3C93">
        <w:rPr>
          <w:bCs/>
          <w:sz w:val="22"/>
          <w:szCs w:val="22"/>
          <w:lang w:val="sr-Latn-ME"/>
        </w:rPr>
        <w:t>ednost</w:t>
      </w:r>
    </w:p>
    <w:p w14:paraId="0C415590" w14:textId="0B3BB172" w:rsidR="00BD480A" w:rsidRPr="009B3C93" w:rsidRDefault="00B21B0C" w:rsidP="00B36575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v</w:t>
      </w:r>
      <w:r w:rsidR="00BD480A" w:rsidRPr="009B3C93">
        <w:rPr>
          <w:bCs/>
          <w:sz w:val="22"/>
          <w:szCs w:val="22"/>
          <w:lang w:val="sr-Latn-ME"/>
        </w:rPr>
        <w:t>r</w:t>
      </w:r>
      <w:r w:rsidR="00C1717B" w:rsidRPr="009B3C93">
        <w:rPr>
          <w:bCs/>
          <w:sz w:val="22"/>
          <w:szCs w:val="22"/>
          <w:lang w:val="sr-Latn-ME"/>
        </w:rPr>
        <w:t>ij</w:t>
      </w:r>
      <w:r w:rsidR="00BD480A" w:rsidRPr="009B3C93">
        <w:rPr>
          <w:bCs/>
          <w:sz w:val="22"/>
          <w:szCs w:val="22"/>
          <w:lang w:val="sr-Latn-ME"/>
        </w:rPr>
        <w:t>ednost hemoglobina (Hgb) se poveća</w:t>
      </w:r>
      <w:r w:rsidRPr="009B3C93">
        <w:rPr>
          <w:bCs/>
          <w:sz w:val="22"/>
          <w:szCs w:val="22"/>
          <w:lang w:val="sr-Latn-ME"/>
        </w:rPr>
        <w:t xml:space="preserve"> za</w:t>
      </w:r>
      <w:r w:rsidR="00BD480A" w:rsidRPr="009B3C93">
        <w:rPr>
          <w:bCs/>
          <w:sz w:val="22"/>
          <w:szCs w:val="22"/>
          <w:lang w:val="sr-Latn-ME"/>
        </w:rPr>
        <w:t xml:space="preserve"> &gt;</w:t>
      </w:r>
      <w:r w:rsidRPr="009B3C93">
        <w:rPr>
          <w:bCs/>
          <w:sz w:val="22"/>
          <w:szCs w:val="22"/>
          <w:lang w:val="sr-Latn-ME"/>
        </w:rPr>
        <w:t xml:space="preserve"> </w:t>
      </w:r>
      <w:r w:rsidR="00BD480A" w:rsidRPr="009B3C93">
        <w:rPr>
          <w:bCs/>
          <w:sz w:val="22"/>
          <w:szCs w:val="22"/>
          <w:lang w:val="sr-Latn-ME"/>
        </w:rPr>
        <w:t>1,24 mmol/</w:t>
      </w:r>
      <w:r w:rsidR="00C1717B" w:rsidRPr="009B3C93">
        <w:rPr>
          <w:bCs/>
          <w:sz w:val="22"/>
          <w:szCs w:val="22"/>
          <w:lang w:val="sr-Latn-ME"/>
        </w:rPr>
        <w:t>l</w:t>
      </w:r>
      <w:r w:rsidR="00BD480A" w:rsidRPr="009B3C93">
        <w:rPr>
          <w:bCs/>
          <w:sz w:val="22"/>
          <w:szCs w:val="22"/>
          <w:lang w:val="sr-Latn-ME"/>
        </w:rPr>
        <w:t xml:space="preserve"> (2 g/d</w:t>
      </w:r>
      <w:r w:rsidR="00C1717B" w:rsidRPr="009B3C93">
        <w:rPr>
          <w:bCs/>
          <w:sz w:val="22"/>
          <w:szCs w:val="22"/>
          <w:lang w:val="sr-Latn-ME"/>
        </w:rPr>
        <w:t>l</w:t>
      </w:r>
      <w:r w:rsidR="00BD480A" w:rsidRPr="009B3C93">
        <w:rPr>
          <w:bCs/>
          <w:sz w:val="22"/>
          <w:szCs w:val="22"/>
          <w:lang w:val="sr-Latn-ME"/>
        </w:rPr>
        <w:t>) iznad GGN</w:t>
      </w:r>
    </w:p>
    <w:p w14:paraId="417C2D82" w14:textId="35BF229F" w:rsidR="00BD480A" w:rsidRPr="009B3C93" w:rsidRDefault="00B21B0C" w:rsidP="00B36575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b</w:t>
      </w:r>
      <w:r w:rsidR="00BD480A" w:rsidRPr="009B3C93">
        <w:rPr>
          <w:bCs/>
          <w:sz w:val="22"/>
          <w:szCs w:val="22"/>
          <w:lang w:val="sr-Latn-ME"/>
        </w:rPr>
        <w:t xml:space="preserve">roj trombocita se smanji </w:t>
      </w:r>
      <w:r w:rsidRPr="009B3C93">
        <w:rPr>
          <w:bCs/>
          <w:sz w:val="22"/>
          <w:szCs w:val="22"/>
          <w:lang w:val="sr-Latn-ME"/>
        </w:rPr>
        <w:t xml:space="preserve">na </w:t>
      </w:r>
      <w:r w:rsidR="00BD480A" w:rsidRPr="009B3C93">
        <w:rPr>
          <w:bCs/>
          <w:sz w:val="22"/>
          <w:szCs w:val="22"/>
          <w:lang w:val="sr-Latn-ME"/>
        </w:rPr>
        <w:t>&lt;</w:t>
      </w:r>
      <w:r w:rsidRPr="009B3C93">
        <w:rPr>
          <w:bCs/>
          <w:sz w:val="22"/>
          <w:szCs w:val="22"/>
          <w:lang w:val="sr-Latn-ME"/>
        </w:rPr>
        <w:t xml:space="preserve"> </w:t>
      </w:r>
      <w:r w:rsidR="00BD480A" w:rsidRPr="009B3C93">
        <w:rPr>
          <w:bCs/>
          <w:sz w:val="22"/>
          <w:szCs w:val="22"/>
          <w:lang w:val="sr-Latn-ME"/>
        </w:rPr>
        <w:t>50 x 10</w:t>
      </w:r>
      <w:r w:rsidR="00BD480A" w:rsidRPr="009B3C93">
        <w:rPr>
          <w:bCs/>
          <w:sz w:val="22"/>
          <w:szCs w:val="22"/>
          <w:vertAlign w:val="superscript"/>
          <w:lang w:val="sr-Latn-ME"/>
        </w:rPr>
        <w:t>9</w:t>
      </w:r>
      <w:r w:rsidR="00BD480A" w:rsidRPr="009B3C93">
        <w:rPr>
          <w:bCs/>
          <w:sz w:val="22"/>
          <w:szCs w:val="22"/>
          <w:lang w:val="sr-Latn-ME"/>
        </w:rPr>
        <w:t>/</w:t>
      </w:r>
      <w:r w:rsidR="00C1717B" w:rsidRPr="009B3C93">
        <w:rPr>
          <w:bCs/>
          <w:sz w:val="22"/>
          <w:szCs w:val="22"/>
          <w:lang w:val="sr-Latn-ME"/>
        </w:rPr>
        <w:t>l</w:t>
      </w:r>
      <w:r w:rsidR="00BD480A" w:rsidRPr="009B3C93">
        <w:rPr>
          <w:bCs/>
          <w:sz w:val="22"/>
          <w:szCs w:val="22"/>
          <w:lang w:val="sr-Latn-ME"/>
        </w:rPr>
        <w:t>.</w:t>
      </w:r>
    </w:p>
    <w:p w14:paraId="53EAB6E8" w14:textId="36AE1143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Vr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 hemoglobina (Hgb) i broj trombocita treba ponovo odrediti pr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 </w:t>
      </w:r>
      <w:r w:rsidR="000F48EF" w:rsidRPr="009B3C93">
        <w:rPr>
          <w:bCs/>
          <w:sz w:val="22"/>
          <w:szCs w:val="22"/>
          <w:lang w:val="sr-Latn-ME"/>
        </w:rPr>
        <w:t xml:space="preserve">ponovnog započinjanja </w:t>
      </w:r>
      <w:r w:rsidRPr="009B3C93">
        <w:rPr>
          <w:bCs/>
          <w:sz w:val="22"/>
          <w:szCs w:val="22"/>
          <w:lang w:val="sr-Latn-ME"/>
        </w:rPr>
        <w:t>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ečenja.</w:t>
      </w:r>
    </w:p>
    <w:p w14:paraId="6E77C496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BD9453" w14:textId="0D115C40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Za odlaganja 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ečenja koja traju &gt; 9 ned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elja, 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ečenje treba ponovo započeti sa dozom od 0,3 mg/kg, a doza bi trebalo da se poveća na 0,7 mg/kg nakon prov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ere prihvatljive vr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ednosti hemoglobina i broja trombocita.</w:t>
      </w:r>
    </w:p>
    <w:p w14:paraId="1AEFE1F0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BB66FC" w14:textId="431614F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 xml:space="preserve">Za odlaganja </w:t>
      </w:r>
      <w:bookmarkStart w:id="9" w:name="_Hlk176423437"/>
      <w:r w:rsidRPr="009B3C93">
        <w:rPr>
          <w:bCs/>
          <w:sz w:val="22"/>
          <w:szCs w:val="22"/>
          <w:lang w:val="sr-Latn-ME"/>
        </w:rPr>
        <w:t>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ečenja</w:t>
      </w:r>
      <w:bookmarkEnd w:id="9"/>
      <w:r w:rsidRPr="009B3C93">
        <w:rPr>
          <w:bCs/>
          <w:sz w:val="22"/>
          <w:szCs w:val="22"/>
          <w:lang w:val="sr-Latn-ME"/>
        </w:rPr>
        <w:t xml:space="preserve"> koje traju &gt;</w:t>
      </w:r>
      <w:r w:rsidR="007E401C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9 ned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elja zbog broja trombocita koji je </w:t>
      </w:r>
      <w:bookmarkStart w:id="10" w:name="_Hlk176423542"/>
      <w:r w:rsidRPr="009B3C93">
        <w:rPr>
          <w:bCs/>
          <w:sz w:val="22"/>
          <w:szCs w:val="22"/>
          <w:lang w:val="sr-Latn-ME"/>
        </w:rPr>
        <w:t>konzistentno</w:t>
      </w:r>
      <w:r w:rsidRPr="009B3C93" w:rsidDel="005B6B4C">
        <w:rPr>
          <w:bCs/>
          <w:sz w:val="22"/>
          <w:szCs w:val="22"/>
          <w:lang w:val="sr-Latn-ME"/>
        </w:rPr>
        <w:t xml:space="preserve"> </w:t>
      </w:r>
      <w:bookmarkEnd w:id="10"/>
      <w:r w:rsidRPr="009B3C93">
        <w:rPr>
          <w:bCs/>
          <w:sz w:val="22"/>
          <w:szCs w:val="22"/>
          <w:lang w:val="sr-Latn-ME"/>
        </w:rPr>
        <w:t>&lt;</w:t>
      </w:r>
      <w:r w:rsidR="00B21B0C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50 x 10</w:t>
      </w:r>
      <w:r w:rsidRPr="009B3C93">
        <w:rPr>
          <w:bCs/>
          <w:sz w:val="22"/>
          <w:szCs w:val="22"/>
          <w:vertAlign w:val="superscript"/>
          <w:lang w:val="sr-Latn-ME"/>
        </w:rPr>
        <w:t>9</w:t>
      </w:r>
      <w:r w:rsidRPr="009B3C93">
        <w:rPr>
          <w:bCs/>
          <w:sz w:val="22"/>
          <w:szCs w:val="22"/>
          <w:lang w:val="sr-Latn-ME"/>
        </w:rPr>
        <w:t>/</w:t>
      </w:r>
      <w:r w:rsidR="00C1717B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>, l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ekar treba da ponovo proc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eni odnos koristi i rizika za pacijenta pr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 ponovnog </w:t>
      </w:r>
      <w:bookmarkStart w:id="11" w:name="_Hlk176423235"/>
      <w:r w:rsidRPr="009B3C93">
        <w:rPr>
          <w:bCs/>
          <w:sz w:val="22"/>
          <w:szCs w:val="22"/>
          <w:lang w:val="sr-Latn-ME"/>
        </w:rPr>
        <w:t xml:space="preserve">započinjanja </w:t>
      </w:r>
      <w:bookmarkEnd w:id="11"/>
      <w:r w:rsidRPr="009B3C93">
        <w:rPr>
          <w:bCs/>
          <w:sz w:val="22"/>
          <w:szCs w:val="22"/>
          <w:lang w:val="sr-Latn-ME"/>
        </w:rPr>
        <w:t>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ečenja.</w:t>
      </w:r>
    </w:p>
    <w:p w14:paraId="536AD798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44DDBA69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9B3C93">
        <w:rPr>
          <w:bCs/>
          <w:i/>
          <w:iCs/>
          <w:sz w:val="22"/>
          <w:szCs w:val="22"/>
          <w:lang w:val="sr-Latn-ME"/>
        </w:rPr>
        <w:t>Propuštena doza</w:t>
      </w:r>
    </w:p>
    <w:p w14:paraId="09451FF8" w14:textId="34C83FD0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 xml:space="preserve">Ukoliko </w:t>
      </w:r>
      <w:bookmarkStart w:id="12" w:name="_Hlk176423724"/>
      <w:r w:rsidRPr="009B3C93">
        <w:rPr>
          <w:bCs/>
          <w:sz w:val="22"/>
          <w:szCs w:val="22"/>
          <w:lang w:val="sr-Latn-ME"/>
        </w:rPr>
        <w:t>je propuštena doza 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eka, treba je prim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eniti </w:t>
      </w:r>
      <w:bookmarkEnd w:id="12"/>
      <w:r w:rsidRPr="009B3C93">
        <w:rPr>
          <w:bCs/>
          <w:sz w:val="22"/>
          <w:szCs w:val="22"/>
          <w:lang w:val="sr-Latn-ME"/>
        </w:rPr>
        <w:t>što je pr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 moguće. Ako se propuštena doza ne može prim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eniti u roku od 3 dana od planiranog datuma, podesite raspored tako da održava intervale prim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doze od 3 ned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elje.</w:t>
      </w:r>
    </w:p>
    <w:p w14:paraId="3BE82E0F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D17C40" w14:textId="77777777" w:rsidR="009B3C93" w:rsidRDefault="009B3C93" w:rsidP="00B36575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bookmarkStart w:id="13" w:name="_Hlk124406258"/>
    </w:p>
    <w:p w14:paraId="553BBB6E" w14:textId="331E41DD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9B3C93">
        <w:rPr>
          <w:bCs/>
          <w:i/>
          <w:sz w:val="22"/>
          <w:szCs w:val="22"/>
          <w:lang w:val="sr-Latn-ME"/>
        </w:rPr>
        <w:lastRenderedPageBreak/>
        <w:t>Stariji pacijenti</w:t>
      </w:r>
    </w:p>
    <w:p w14:paraId="6F925DD3" w14:textId="4668867C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Kod starijih pacijenata starosti ≥</w:t>
      </w:r>
      <w:r w:rsidR="00B21B0C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65 godina nije potrebno prilagođavanje doze (vid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eti </w:t>
      </w:r>
      <w:r w:rsidR="00C1717B" w:rsidRPr="009B3C93">
        <w:rPr>
          <w:bCs/>
          <w:sz w:val="22"/>
          <w:szCs w:val="22"/>
          <w:lang w:val="sr-Latn-ME"/>
        </w:rPr>
        <w:t>dio</w:t>
      </w:r>
      <w:r w:rsidRPr="009B3C93">
        <w:rPr>
          <w:bCs/>
          <w:sz w:val="22"/>
          <w:szCs w:val="22"/>
          <w:lang w:val="sr-Latn-ME"/>
        </w:rPr>
        <w:t xml:space="preserve"> 5.2).</w:t>
      </w:r>
    </w:p>
    <w:bookmarkEnd w:id="13"/>
    <w:p w14:paraId="5D2652F3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491251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bookmarkStart w:id="14" w:name="_Hlk158037845"/>
      <w:r w:rsidRPr="009B3C93">
        <w:rPr>
          <w:bCs/>
          <w:i/>
          <w:iCs/>
          <w:sz w:val="22"/>
          <w:szCs w:val="22"/>
          <w:lang w:val="sr-Latn-ME"/>
        </w:rPr>
        <w:t>Oštećenje funkcije bubrega</w:t>
      </w:r>
    </w:p>
    <w:p w14:paraId="68505F53" w14:textId="4FC26520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Prilagođavanje doze nije potrebno kod pacijenata sa oštećenjem funkcije bubrega (vid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eti </w:t>
      </w:r>
      <w:r w:rsidR="00C1717B" w:rsidRPr="009B3C93">
        <w:rPr>
          <w:bCs/>
          <w:sz w:val="22"/>
          <w:szCs w:val="22"/>
          <w:lang w:val="sr-Latn-ME"/>
        </w:rPr>
        <w:t>dio</w:t>
      </w:r>
      <w:r w:rsidRPr="009B3C93">
        <w:rPr>
          <w:bCs/>
          <w:sz w:val="22"/>
          <w:szCs w:val="22"/>
          <w:lang w:val="sr-Latn-ME"/>
        </w:rPr>
        <w:t> 5.2). Sotatercept nije ispitivan kod pacijenata sa PAH koji imaju teško oštećenje funkcije bubrega (proc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enjena brzina glomerularne filtracije (engl. </w:t>
      </w:r>
      <w:r w:rsidRPr="009B3C93">
        <w:rPr>
          <w:bCs/>
          <w:i/>
          <w:iCs/>
          <w:sz w:val="22"/>
          <w:szCs w:val="22"/>
          <w:lang w:val="sr-Latn-ME"/>
        </w:rPr>
        <w:t xml:space="preserve">estimated glomerular filtration rate, </w:t>
      </w:r>
      <w:r w:rsidRPr="009B3C93">
        <w:rPr>
          <w:bCs/>
          <w:sz w:val="22"/>
          <w:szCs w:val="22"/>
          <w:lang w:val="sr-Latn-ME"/>
        </w:rPr>
        <w:t>eGFR) &lt;</w:t>
      </w:r>
      <w:r w:rsidR="00B21B0C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30 m</w:t>
      </w:r>
      <w:r w:rsidR="00C1717B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>/min/1,73 m</w:t>
      </w:r>
      <w:r w:rsidRPr="009B3C93">
        <w:rPr>
          <w:bCs/>
          <w:sz w:val="22"/>
          <w:szCs w:val="22"/>
          <w:vertAlign w:val="superscript"/>
          <w:lang w:val="sr-Latn-ME"/>
        </w:rPr>
        <w:t>2</w:t>
      </w:r>
      <w:r w:rsidRPr="009B3C93">
        <w:rPr>
          <w:bCs/>
          <w:sz w:val="22"/>
          <w:szCs w:val="22"/>
          <w:lang w:val="sr-Latn-ME"/>
        </w:rPr>
        <w:t>).</w:t>
      </w:r>
    </w:p>
    <w:bookmarkEnd w:id="14"/>
    <w:p w14:paraId="6E65F24E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580D7D8A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bookmarkStart w:id="15" w:name="_Hlk158019796"/>
      <w:r w:rsidRPr="009B3C93">
        <w:rPr>
          <w:bCs/>
          <w:i/>
          <w:iCs/>
          <w:sz w:val="22"/>
          <w:szCs w:val="22"/>
          <w:lang w:val="sr-Latn-ME"/>
        </w:rPr>
        <w:t>Oštećenje funkcije jetre</w:t>
      </w:r>
    </w:p>
    <w:p w14:paraId="189603DB" w14:textId="0640ABE9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Prilagođavanje doze nije potrebno kod pacijenata sa oštećenjem funkcije jetre (Child-Pugh klasa od A do C). Sotatercept nije ispitivan kod pacijenata sa oštećenjem funkcije jetre (vid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eti </w:t>
      </w:r>
      <w:r w:rsidR="00C1717B" w:rsidRPr="009B3C93">
        <w:rPr>
          <w:bCs/>
          <w:sz w:val="22"/>
          <w:szCs w:val="22"/>
          <w:lang w:val="sr-Latn-ME"/>
        </w:rPr>
        <w:t>dio</w:t>
      </w:r>
      <w:r w:rsidRPr="009B3C93">
        <w:rPr>
          <w:bCs/>
          <w:sz w:val="22"/>
          <w:szCs w:val="22"/>
          <w:lang w:val="sr-Latn-ME"/>
        </w:rPr>
        <w:t xml:space="preserve"> 5.2).</w:t>
      </w:r>
    </w:p>
    <w:bookmarkEnd w:id="15"/>
    <w:p w14:paraId="4E1EB18A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0A8DD1D4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9B3C93">
        <w:rPr>
          <w:bCs/>
          <w:i/>
          <w:iCs/>
          <w:sz w:val="22"/>
          <w:szCs w:val="22"/>
          <w:lang w:val="sr-Latn-ME"/>
        </w:rPr>
        <w:t>Pedijatrijska populacija</w:t>
      </w:r>
    </w:p>
    <w:p w14:paraId="7DB76B8F" w14:textId="346845FF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Bezb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ednost i efikasnost 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eka Winrevair kod 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ece i adolescenata mlađih od 18 godina još uv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 nije ustanovljena. Nema dostupnih podataka (vid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eti </w:t>
      </w:r>
      <w:r w:rsidR="00C1717B" w:rsidRPr="009B3C93">
        <w:rPr>
          <w:bCs/>
          <w:sz w:val="22"/>
          <w:szCs w:val="22"/>
          <w:lang w:val="sr-Latn-ME"/>
        </w:rPr>
        <w:t>dio</w:t>
      </w:r>
      <w:r w:rsidRPr="009B3C93">
        <w:rPr>
          <w:bCs/>
          <w:sz w:val="22"/>
          <w:szCs w:val="22"/>
          <w:lang w:val="sr-Latn-ME"/>
        </w:rPr>
        <w:t xml:space="preserve"> 5.3).</w:t>
      </w:r>
    </w:p>
    <w:p w14:paraId="05605C81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8B14F88" w14:textId="77777777" w:rsidR="00452E9D" w:rsidRPr="009B3C93" w:rsidRDefault="00452E9D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>Način primjene</w:t>
      </w:r>
    </w:p>
    <w:p w14:paraId="3DA13765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811905B" w14:textId="04879449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 Winrevair je samo za jednokratnu upotrebu.</w:t>
      </w:r>
    </w:p>
    <w:p w14:paraId="14DBB91F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59875E" w14:textId="0BF7813E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Treba ga rekonstituisati pr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 upotrebe. Rekonstituisan 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 je bistar do opalescentan i bezbojan do blago braonkasto-žut rastvor.</w:t>
      </w:r>
    </w:p>
    <w:p w14:paraId="21AB0854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6B3690" w14:textId="4F0C17C1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L</w:t>
      </w:r>
      <w:r w:rsidR="00C1717B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 Winrevair treba dati kao su</w:t>
      </w:r>
      <w:r w:rsidR="00B21B0C" w:rsidRPr="009B3C93">
        <w:rPr>
          <w:bCs/>
          <w:sz w:val="22"/>
          <w:szCs w:val="22"/>
          <w:lang w:val="sr-Latn-ME"/>
        </w:rPr>
        <w:t>b</w:t>
      </w:r>
      <w:r w:rsidRPr="009B3C93">
        <w:rPr>
          <w:bCs/>
          <w:sz w:val="22"/>
          <w:szCs w:val="22"/>
          <w:lang w:val="sr-Latn-ME"/>
        </w:rPr>
        <w:t>kutanu injekciju u abdomen (najmanje 5 cm od pupka), nadlakticu ili gornji d</w:t>
      </w:r>
      <w:r w:rsidR="00C1717B" w:rsidRPr="009B3C93">
        <w:rPr>
          <w:bCs/>
          <w:sz w:val="22"/>
          <w:szCs w:val="22"/>
          <w:lang w:val="sr-Latn-ME"/>
        </w:rPr>
        <w:t>i</w:t>
      </w:r>
      <w:r w:rsidRPr="009B3C93">
        <w:rPr>
          <w:bCs/>
          <w:sz w:val="22"/>
          <w:szCs w:val="22"/>
          <w:lang w:val="sr-Latn-ME"/>
        </w:rPr>
        <w:t>o butine. Ne bi trebalo da se ubrizgava u m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esta na kojima postoje ožiljci, os</w:t>
      </w:r>
      <w:r w:rsidR="00C1717B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etljivost na dodir</w:t>
      </w:r>
      <w:r w:rsidRPr="009B3C93" w:rsidDel="00E5614E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ili modrice. Isto m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esto ubrizgavanja ne bi trebalo koristiti za dv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 uzastopne injekcije.</w:t>
      </w:r>
    </w:p>
    <w:p w14:paraId="6119070E" w14:textId="72348E3E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308EA3" w14:textId="217C9234" w:rsidR="00BD480A" w:rsidRPr="009B3C93" w:rsidRDefault="00B21B0C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 xml:space="preserve">Lijek </w:t>
      </w:r>
      <w:r w:rsidR="00BD480A" w:rsidRPr="009B3C93">
        <w:rPr>
          <w:bCs/>
          <w:sz w:val="22"/>
          <w:szCs w:val="22"/>
          <w:lang w:val="sr-Latn-ME"/>
        </w:rPr>
        <w:t>Winrevair</w:t>
      </w:r>
      <w:r w:rsidRPr="009B3C93">
        <w:rPr>
          <w:bCs/>
          <w:sz w:val="22"/>
          <w:szCs w:val="22"/>
          <w:lang w:val="sr-Latn-ME"/>
        </w:rPr>
        <w:t>,</w:t>
      </w:r>
      <w:r w:rsidR="00BD480A" w:rsidRPr="009B3C93">
        <w:rPr>
          <w:bCs/>
          <w:sz w:val="22"/>
          <w:szCs w:val="22"/>
          <w:lang w:val="sr-Latn-ME"/>
        </w:rPr>
        <w:t xml:space="preserve"> prašak i rastvarač za rastvor za injekciju</w:t>
      </w:r>
      <w:r w:rsidRPr="009B3C93">
        <w:rPr>
          <w:bCs/>
          <w:sz w:val="22"/>
          <w:szCs w:val="22"/>
          <w:lang w:val="sr-Latn-ME"/>
        </w:rPr>
        <w:t>,</w:t>
      </w:r>
      <w:r w:rsidR="00BD480A" w:rsidRPr="009B3C93">
        <w:rPr>
          <w:bCs/>
          <w:sz w:val="22"/>
          <w:szCs w:val="22"/>
          <w:lang w:val="sr-Latn-ME"/>
        </w:rPr>
        <w:t xml:space="preserve"> nam</w:t>
      </w:r>
      <w:r w:rsidR="008E03C8" w:rsidRPr="009B3C93">
        <w:rPr>
          <w:bCs/>
          <w:sz w:val="22"/>
          <w:szCs w:val="22"/>
          <w:lang w:val="sr-Latn-ME"/>
        </w:rPr>
        <w:t>ij</w:t>
      </w:r>
      <w:r w:rsidR="00BD480A" w:rsidRPr="009B3C93">
        <w:rPr>
          <w:bCs/>
          <w:sz w:val="22"/>
          <w:szCs w:val="22"/>
          <w:lang w:val="sr-Latn-ME"/>
        </w:rPr>
        <w:t>enjen je za upotrebu u skladu sa uputstvom zdravstvenog radnika. Pacijenti i n</w:t>
      </w:r>
      <w:r w:rsidR="00421C05" w:rsidRPr="009B3C93">
        <w:rPr>
          <w:bCs/>
          <w:sz w:val="22"/>
          <w:szCs w:val="22"/>
          <w:lang w:val="sr-Latn-ME"/>
        </w:rPr>
        <w:t>j</w:t>
      </w:r>
      <w:r w:rsidR="00BD480A" w:rsidRPr="009B3C93">
        <w:rPr>
          <w:bCs/>
          <w:sz w:val="22"/>
          <w:szCs w:val="22"/>
          <w:lang w:val="sr-Latn-ME"/>
        </w:rPr>
        <w:t>egovatelji mogu da prim</w:t>
      </w:r>
      <w:r w:rsidR="008E03C8" w:rsidRPr="009B3C93">
        <w:rPr>
          <w:bCs/>
          <w:sz w:val="22"/>
          <w:szCs w:val="22"/>
          <w:lang w:val="sr-Latn-ME"/>
        </w:rPr>
        <w:t>ij</w:t>
      </w:r>
      <w:r w:rsidR="00BD480A" w:rsidRPr="009B3C93">
        <w:rPr>
          <w:bCs/>
          <w:sz w:val="22"/>
          <w:szCs w:val="22"/>
          <w:lang w:val="sr-Latn-ME"/>
        </w:rPr>
        <w:t>ene l</w:t>
      </w:r>
      <w:r w:rsidR="008E03C8" w:rsidRPr="009B3C93">
        <w:rPr>
          <w:bCs/>
          <w:sz w:val="22"/>
          <w:szCs w:val="22"/>
          <w:lang w:val="sr-Latn-ME"/>
        </w:rPr>
        <w:t>ij</w:t>
      </w:r>
      <w:r w:rsidR="00BD480A" w:rsidRPr="009B3C93">
        <w:rPr>
          <w:bCs/>
          <w:sz w:val="22"/>
          <w:szCs w:val="22"/>
          <w:lang w:val="sr-Latn-ME"/>
        </w:rPr>
        <w:t>ek kada se to smatra odgovarajućim i kada prođu obuku sa zdravstvenim radnikom za rekonstituisanje, pripremu, m</w:t>
      </w:r>
      <w:r w:rsidR="008E03C8" w:rsidRPr="009B3C93">
        <w:rPr>
          <w:bCs/>
          <w:sz w:val="22"/>
          <w:szCs w:val="22"/>
          <w:lang w:val="sr-Latn-ME"/>
        </w:rPr>
        <w:t>j</w:t>
      </w:r>
      <w:r w:rsidR="00BD480A" w:rsidRPr="009B3C93">
        <w:rPr>
          <w:bCs/>
          <w:sz w:val="22"/>
          <w:szCs w:val="22"/>
          <w:lang w:val="sr-Latn-ME"/>
        </w:rPr>
        <w:t xml:space="preserve">erenje i ubrizgavanje </w:t>
      </w:r>
      <w:r w:rsidRPr="009B3C93">
        <w:rPr>
          <w:bCs/>
          <w:sz w:val="22"/>
          <w:szCs w:val="22"/>
          <w:lang w:val="sr-Latn-ME"/>
        </w:rPr>
        <w:t xml:space="preserve">lijeka </w:t>
      </w:r>
      <w:r w:rsidR="00BD480A" w:rsidRPr="009B3C93">
        <w:rPr>
          <w:bCs/>
          <w:sz w:val="22"/>
          <w:szCs w:val="22"/>
          <w:lang w:val="sr-Latn-ME"/>
        </w:rPr>
        <w:t>Winrevair</w:t>
      </w:r>
      <w:r w:rsidRPr="009B3C93">
        <w:rPr>
          <w:bCs/>
          <w:sz w:val="22"/>
          <w:szCs w:val="22"/>
          <w:lang w:val="sr-Latn-ME"/>
        </w:rPr>
        <w:t>,</w:t>
      </w:r>
      <w:r w:rsidR="00BD480A" w:rsidRPr="009B3C93">
        <w:rPr>
          <w:bCs/>
          <w:sz w:val="22"/>
          <w:szCs w:val="22"/>
          <w:lang w:val="sr-Latn-ME"/>
        </w:rPr>
        <w:t xml:space="preserve"> praška i rastvarača za rastvor za injekciju. Zdravstveni radnik bi trebalo tokom naredne pos</w:t>
      </w:r>
      <w:r w:rsidR="008E03C8" w:rsidRPr="009B3C93">
        <w:rPr>
          <w:bCs/>
          <w:sz w:val="22"/>
          <w:szCs w:val="22"/>
          <w:lang w:val="sr-Latn-ME"/>
        </w:rPr>
        <w:t>j</w:t>
      </w:r>
      <w:r w:rsidR="00BD480A" w:rsidRPr="009B3C93">
        <w:rPr>
          <w:bCs/>
          <w:sz w:val="22"/>
          <w:szCs w:val="22"/>
          <w:lang w:val="sr-Latn-ME"/>
        </w:rPr>
        <w:t>ete, neposredno nakon obuke, da potvrdi da pacijent ili n</w:t>
      </w:r>
      <w:r w:rsidR="008E03C8" w:rsidRPr="009B3C93">
        <w:rPr>
          <w:bCs/>
          <w:sz w:val="22"/>
          <w:szCs w:val="22"/>
          <w:lang w:val="sr-Latn-ME"/>
        </w:rPr>
        <w:t>j</w:t>
      </w:r>
      <w:r w:rsidR="00BD480A" w:rsidRPr="009B3C93">
        <w:rPr>
          <w:bCs/>
          <w:sz w:val="22"/>
          <w:szCs w:val="22"/>
          <w:lang w:val="sr-Latn-ME"/>
        </w:rPr>
        <w:t>egovatelj mogu pravilno da obave ove korake. Zdravstveni radnik bi takođe trebalo da razmotri ponovnu prov</w:t>
      </w:r>
      <w:r w:rsidR="008E03C8" w:rsidRPr="009B3C93">
        <w:rPr>
          <w:bCs/>
          <w:sz w:val="22"/>
          <w:szCs w:val="22"/>
          <w:lang w:val="sr-Latn-ME"/>
        </w:rPr>
        <w:t>j</w:t>
      </w:r>
      <w:r w:rsidR="00BD480A" w:rsidRPr="009B3C93">
        <w:rPr>
          <w:bCs/>
          <w:sz w:val="22"/>
          <w:szCs w:val="22"/>
          <w:lang w:val="sr-Latn-ME"/>
        </w:rPr>
        <w:t>eru tehnike prim</w:t>
      </w:r>
      <w:r w:rsidR="008E03C8" w:rsidRPr="009B3C93">
        <w:rPr>
          <w:bCs/>
          <w:sz w:val="22"/>
          <w:szCs w:val="22"/>
          <w:lang w:val="sr-Latn-ME"/>
        </w:rPr>
        <w:t>j</w:t>
      </w:r>
      <w:r w:rsidR="00BD480A" w:rsidRPr="009B3C93">
        <w:rPr>
          <w:bCs/>
          <w:sz w:val="22"/>
          <w:szCs w:val="22"/>
          <w:lang w:val="sr-Latn-ME"/>
        </w:rPr>
        <w:t>ene pacijenta ili n</w:t>
      </w:r>
      <w:r w:rsidR="008E03C8" w:rsidRPr="009B3C93">
        <w:rPr>
          <w:bCs/>
          <w:sz w:val="22"/>
          <w:szCs w:val="22"/>
          <w:lang w:val="sr-Latn-ME"/>
        </w:rPr>
        <w:t>j</w:t>
      </w:r>
      <w:r w:rsidR="00BD480A" w:rsidRPr="009B3C93">
        <w:rPr>
          <w:bCs/>
          <w:sz w:val="22"/>
          <w:szCs w:val="22"/>
          <w:lang w:val="sr-Latn-ME"/>
        </w:rPr>
        <w:t>egovatelja ako je doza prilagođena, ako pacijent zaht</w:t>
      </w:r>
      <w:r w:rsidR="008E03C8" w:rsidRPr="009B3C93">
        <w:rPr>
          <w:bCs/>
          <w:sz w:val="22"/>
          <w:szCs w:val="22"/>
          <w:lang w:val="sr-Latn-ME"/>
        </w:rPr>
        <w:t>ij</w:t>
      </w:r>
      <w:r w:rsidR="00BD480A" w:rsidRPr="009B3C93">
        <w:rPr>
          <w:bCs/>
          <w:sz w:val="22"/>
          <w:szCs w:val="22"/>
          <w:lang w:val="sr-Latn-ME"/>
        </w:rPr>
        <w:t>eva drugačiji komplet, ako se kod pacijenta javi eritrocitoza (vid</w:t>
      </w:r>
      <w:r w:rsidR="008E03C8" w:rsidRPr="009B3C93">
        <w:rPr>
          <w:bCs/>
          <w:sz w:val="22"/>
          <w:szCs w:val="22"/>
          <w:lang w:val="sr-Latn-ME"/>
        </w:rPr>
        <w:t>j</w:t>
      </w:r>
      <w:r w:rsidR="00BD480A" w:rsidRPr="009B3C93">
        <w:rPr>
          <w:bCs/>
          <w:sz w:val="22"/>
          <w:szCs w:val="22"/>
          <w:lang w:val="sr-Latn-ME"/>
        </w:rPr>
        <w:t xml:space="preserve">eti </w:t>
      </w:r>
      <w:r w:rsidR="008E03C8" w:rsidRPr="009B3C93">
        <w:rPr>
          <w:bCs/>
          <w:sz w:val="22"/>
          <w:szCs w:val="22"/>
          <w:lang w:val="sr-Latn-ME"/>
        </w:rPr>
        <w:t>dio</w:t>
      </w:r>
      <w:r w:rsidR="00BD480A" w:rsidRPr="009B3C93">
        <w:rPr>
          <w:bCs/>
          <w:sz w:val="22"/>
          <w:szCs w:val="22"/>
          <w:lang w:val="sr-Latn-ME"/>
        </w:rPr>
        <w:t xml:space="preserve"> 4.4), ili u bilo kom trenutku po nahođenju zdravstvenog radnika.</w:t>
      </w:r>
    </w:p>
    <w:p w14:paraId="19DCC1EF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A12813" w14:textId="74353469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Za detaljna uputstva za pravilnu pripremu i prim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enu l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eka Winrevair </w:t>
      </w:r>
      <w:r w:rsidR="008E03C8" w:rsidRPr="009B3C93">
        <w:rPr>
          <w:bCs/>
          <w:sz w:val="22"/>
          <w:szCs w:val="22"/>
          <w:lang w:val="sr-Latn-ME"/>
        </w:rPr>
        <w:t xml:space="preserve">vidjeti dio </w:t>
      </w:r>
      <w:r w:rsidRPr="009B3C93">
        <w:rPr>
          <w:bCs/>
          <w:sz w:val="22"/>
          <w:szCs w:val="22"/>
          <w:lang w:val="sr-Latn-ME"/>
        </w:rPr>
        <w:t>6.6.</w:t>
      </w:r>
    </w:p>
    <w:p w14:paraId="1544D49F" w14:textId="77777777" w:rsidR="00452E9D" w:rsidRPr="009B3C93" w:rsidRDefault="00452E9D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9DA4CB" w14:textId="77777777" w:rsidR="00411B4B" w:rsidRPr="009B3C93" w:rsidRDefault="00411B4B" w:rsidP="00B3657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4.3.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Kontraindikacije</w:t>
      </w:r>
    </w:p>
    <w:p w14:paraId="16C7A8BC" w14:textId="77777777" w:rsidR="0072020E" w:rsidRPr="009B3C93" w:rsidRDefault="0072020E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9A32AC" w14:textId="1BB938FF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Preos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etljivost na aktivnu supstancu ili na bilo koju od pomoćnih supstanci</w:t>
      </w:r>
      <w:r w:rsidRPr="009B3C93" w:rsidDel="00770521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 xml:space="preserve">navedenih u </w:t>
      </w:r>
      <w:r w:rsidR="008E03C8" w:rsidRPr="009B3C93">
        <w:rPr>
          <w:bCs/>
          <w:sz w:val="22"/>
          <w:szCs w:val="22"/>
          <w:lang w:val="sr-Latn-ME"/>
        </w:rPr>
        <w:t>dijelu</w:t>
      </w:r>
      <w:r w:rsidRPr="009B3C93">
        <w:rPr>
          <w:bCs/>
          <w:sz w:val="22"/>
          <w:szCs w:val="22"/>
          <w:lang w:val="sr-Latn-ME"/>
        </w:rPr>
        <w:t xml:space="preserve"> 6.1.</w:t>
      </w:r>
    </w:p>
    <w:p w14:paraId="1696ED8B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37CB7D5" w14:textId="6D2BC08D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Pacijenti čiji je broj trombocita konzistentno &lt;</w:t>
      </w:r>
      <w:r w:rsidR="00B21B0C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50 x 10</w:t>
      </w:r>
      <w:r w:rsidRPr="009B3C93">
        <w:rPr>
          <w:bCs/>
          <w:sz w:val="22"/>
          <w:szCs w:val="22"/>
          <w:vertAlign w:val="superscript"/>
          <w:lang w:val="sr-Latn-ME"/>
        </w:rPr>
        <w:t>9</w:t>
      </w:r>
      <w:r w:rsidRPr="009B3C93">
        <w:rPr>
          <w:bCs/>
          <w:sz w:val="22"/>
          <w:szCs w:val="22"/>
          <w:lang w:val="sr-Latn-ME"/>
        </w:rPr>
        <w:t>/</w:t>
      </w:r>
      <w:r w:rsidR="008E03C8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 xml:space="preserve"> pr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 početka l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ečenja.</w:t>
      </w:r>
    </w:p>
    <w:p w14:paraId="14BAE2C4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A0F57D" w14:textId="77777777" w:rsidR="00411B4B" w:rsidRPr="009B3C93" w:rsidRDefault="00411B4B" w:rsidP="00B3657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4.4.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DF670F0" w14:textId="77777777" w:rsidR="0072020E" w:rsidRPr="009B3C93" w:rsidRDefault="0072020E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2D6705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>Sledljivost</w:t>
      </w:r>
    </w:p>
    <w:p w14:paraId="29D5F572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35ECF6" w14:textId="565EC49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Kako bi se poboljšala sledljivost bioloških l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ekova, potrebno je jasno evidentirati naziv i broj serije prim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enjenog l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eka.</w:t>
      </w:r>
    </w:p>
    <w:p w14:paraId="7FD044F9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F2F9B8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bookmarkStart w:id="16" w:name="_Hlk158910035"/>
      <w:r w:rsidRPr="009B3C93">
        <w:rPr>
          <w:bCs/>
          <w:sz w:val="22"/>
          <w:szCs w:val="22"/>
          <w:u w:val="single"/>
          <w:lang w:val="sr-Latn-ME"/>
        </w:rPr>
        <w:t>Eritrocitoza</w:t>
      </w:r>
    </w:p>
    <w:p w14:paraId="4B62EC06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D05767A" w14:textId="52A9D082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Prim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ećeno je povećanje vr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ednosti </w:t>
      </w:r>
      <w:bookmarkStart w:id="17" w:name="_Hlk176425902"/>
      <w:r w:rsidRPr="009B3C93">
        <w:rPr>
          <w:bCs/>
          <w:sz w:val="22"/>
          <w:szCs w:val="22"/>
          <w:lang w:val="sr-Latn-ME"/>
        </w:rPr>
        <w:t xml:space="preserve">hemoglobina </w:t>
      </w:r>
      <w:bookmarkEnd w:id="17"/>
      <w:r w:rsidRPr="009B3C93">
        <w:rPr>
          <w:bCs/>
          <w:sz w:val="22"/>
          <w:szCs w:val="22"/>
          <w:lang w:val="sr-Latn-ME"/>
        </w:rPr>
        <w:t>kod pacijenata tokom l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ečenja sotaterceptom. Teška eritrocitoza može povećati rizik od tromboembolijskih događaja i sindroma hiperviskoznosti. Potreban </w:t>
      </w:r>
      <w:r w:rsidRPr="009B3C93">
        <w:rPr>
          <w:bCs/>
          <w:sz w:val="22"/>
          <w:szCs w:val="22"/>
          <w:lang w:val="sr-Latn-ME"/>
        </w:rPr>
        <w:lastRenderedPageBreak/>
        <w:t>je oprez kod pacijenata sa eritrocitozom koji imaju povećan rizik od tromboembolijskih događaja. Vr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 hemoglobina treba pratiti pr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 prim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svake doze tokom prvih 5 doza ili duže ako su vr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ednosti nestabilne, a svakih 3 do 6 m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eseci nakon toga da bi se utvrdilo da li su potrebna prilagođavanja doze (vid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eti </w:t>
      </w:r>
      <w:r w:rsidR="008E03C8" w:rsidRPr="009B3C93">
        <w:rPr>
          <w:bCs/>
          <w:sz w:val="22"/>
          <w:szCs w:val="22"/>
          <w:lang w:val="sr-Latn-ME"/>
        </w:rPr>
        <w:t>djelove</w:t>
      </w:r>
      <w:r w:rsidRPr="009B3C93">
        <w:rPr>
          <w:bCs/>
          <w:sz w:val="22"/>
          <w:szCs w:val="22"/>
          <w:lang w:val="sr-Latn-ME"/>
        </w:rPr>
        <w:t xml:space="preserve"> 4.2 i 4.8). Ako se kod pacijenta javi eritrocitoza, zdravstveni radnik bi trebalo da razmotri ponovnu proc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enu tehnike prim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pacijenta ili n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egovatelja.</w:t>
      </w:r>
    </w:p>
    <w:bookmarkEnd w:id="16"/>
    <w:p w14:paraId="459EE70F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/>
          <w:bCs/>
          <w:sz w:val="22"/>
          <w:szCs w:val="22"/>
          <w:lang w:val="sr-Latn-ME"/>
        </w:rPr>
      </w:pPr>
    </w:p>
    <w:p w14:paraId="7C1301E3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>Teška trombocitopenija</w:t>
      </w:r>
    </w:p>
    <w:p w14:paraId="003C60B3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275650A0" w14:textId="5E61FBAB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bookmarkStart w:id="18" w:name="_Hlk158020057"/>
      <w:r w:rsidRPr="009B3C93">
        <w:rPr>
          <w:bCs/>
          <w:sz w:val="22"/>
          <w:szCs w:val="22"/>
          <w:lang w:val="sr-Latn-ME"/>
        </w:rPr>
        <w:t>Smanjeni broj trombocita prim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ećen je kod nekih pacijenata koji primaju sotatercept, uključujući tešku trombocitopeniju (broj trombocita &lt;</w:t>
      </w:r>
      <w:r w:rsidR="0022304C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50 x 10</w:t>
      </w:r>
      <w:r w:rsidRPr="009B3C93">
        <w:rPr>
          <w:bCs/>
          <w:sz w:val="22"/>
          <w:szCs w:val="22"/>
          <w:vertAlign w:val="superscript"/>
          <w:lang w:val="sr-Latn-ME"/>
        </w:rPr>
        <w:t>9</w:t>
      </w:r>
      <w:r w:rsidRPr="009B3C93">
        <w:rPr>
          <w:bCs/>
          <w:sz w:val="22"/>
          <w:szCs w:val="22"/>
          <w:lang w:val="sr-Latn-ME"/>
        </w:rPr>
        <w:t>/</w:t>
      </w:r>
      <w:r w:rsidR="008E03C8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>). Trombocitopenija je češće prijavljivana kod pacijenata koji takođe primaju infuziju prostaciklina (21,5%) u poređenju sa pacijentima koji ne primaju infuziju prostaciklina (3,1%) (vid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eti </w:t>
      </w:r>
      <w:r w:rsidR="008E03C8" w:rsidRPr="009B3C93">
        <w:rPr>
          <w:bCs/>
          <w:sz w:val="22"/>
          <w:szCs w:val="22"/>
          <w:lang w:val="sr-Latn-ME"/>
        </w:rPr>
        <w:t>dio</w:t>
      </w:r>
      <w:r w:rsidRPr="009B3C93">
        <w:rPr>
          <w:bCs/>
          <w:sz w:val="22"/>
          <w:szCs w:val="22"/>
          <w:lang w:val="sr-Latn-ME"/>
        </w:rPr>
        <w:t xml:space="preserve"> 4.8). Teška trombocitopenija može povećati rizik od krvarenja</w:t>
      </w:r>
      <w:r w:rsidRPr="009B3C93">
        <w:rPr>
          <w:bCs/>
          <w:i/>
          <w:sz w:val="22"/>
          <w:szCs w:val="22"/>
          <w:lang w:val="sr-Latn-ME"/>
        </w:rPr>
        <w:t>.</w:t>
      </w:r>
      <w:r w:rsidRPr="009B3C93">
        <w:rPr>
          <w:bCs/>
          <w:sz w:val="22"/>
          <w:szCs w:val="22"/>
          <w:lang w:val="sr-Latn-ME"/>
        </w:rPr>
        <w:t xml:space="preserve"> Broj trombocita treba pratiti pr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 prim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svake doze tokom prvih 5 doza ili duže ako su vr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ednosti nestabilne, a svakih 3 do 6 m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eseci nakon toga da bi se utvrdilo da li su potrebna prilagođavanja doze (vid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eti </w:t>
      </w:r>
      <w:r w:rsidR="008E03C8" w:rsidRPr="009B3C93">
        <w:rPr>
          <w:bCs/>
          <w:sz w:val="22"/>
          <w:szCs w:val="22"/>
          <w:lang w:val="sr-Latn-ME"/>
        </w:rPr>
        <w:t>dio</w:t>
      </w:r>
      <w:r w:rsidRPr="009B3C93">
        <w:rPr>
          <w:bCs/>
          <w:sz w:val="22"/>
          <w:szCs w:val="22"/>
          <w:lang w:val="sr-Latn-ME"/>
        </w:rPr>
        <w:t xml:space="preserve"> 4.2).</w:t>
      </w:r>
    </w:p>
    <w:p w14:paraId="355FDA4D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39468B79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>Ozbiljno krvarenje</w:t>
      </w:r>
    </w:p>
    <w:p w14:paraId="62617014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F15A846" w14:textId="1C03AA6C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U kliničkim studijama prim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ećeni su događaji </w:t>
      </w:r>
      <w:bookmarkStart w:id="19" w:name="_Hlk176426516"/>
      <w:r w:rsidRPr="009B3C93">
        <w:rPr>
          <w:bCs/>
          <w:sz w:val="22"/>
          <w:szCs w:val="22"/>
          <w:lang w:val="sr-Latn-ME"/>
        </w:rPr>
        <w:t>ozbiljnog krvarenja</w:t>
      </w:r>
      <w:bookmarkEnd w:id="19"/>
      <w:r w:rsidRPr="009B3C93">
        <w:rPr>
          <w:bCs/>
          <w:sz w:val="22"/>
          <w:szCs w:val="22"/>
          <w:lang w:val="sr-Latn-ME"/>
        </w:rPr>
        <w:t xml:space="preserve"> (uključujući gastrointestinalno, intrakranijalno krvarenje) kod 4,3% pacijenata tokom l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ečenja sotaterceptom (vid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eti </w:t>
      </w:r>
      <w:r w:rsidR="008E03C8" w:rsidRPr="009B3C93">
        <w:rPr>
          <w:bCs/>
          <w:sz w:val="22"/>
          <w:szCs w:val="22"/>
          <w:lang w:val="sr-Latn-ME"/>
        </w:rPr>
        <w:t>dio</w:t>
      </w:r>
      <w:r w:rsidRPr="009B3C93">
        <w:rPr>
          <w:bCs/>
          <w:sz w:val="22"/>
          <w:szCs w:val="22"/>
          <w:lang w:val="sr-Latn-ME"/>
        </w:rPr>
        <w:t xml:space="preserve"> 4.8). Pacijenti sa događajima ozbiljnog krvarenja su češće bili na pratećoj terapiji prostaciklinom i/ili antitromboticima, imali nizak broj trombocita ili imali 65 godina ili više. Pacijente treba informisati o svim znacima i simptomima gubitka krvi. L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ekar treba da proc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eni i l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eči događaje krvarenja na odgovarajući način. Sotatercept ne sm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 da se prim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eni ako se kod pacijenta javi događaj ozbiljnog krvarenja.</w:t>
      </w:r>
    </w:p>
    <w:p w14:paraId="0CE56CAF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58873496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bookmarkStart w:id="20" w:name="_Hlk165829258"/>
      <w:bookmarkEnd w:id="18"/>
      <w:r w:rsidRPr="009B3C93">
        <w:rPr>
          <w:bCs/>
          <w:sz w:val="22"/>
          <w:szCs w:val="22"/>
          <w:u w:val="single"/>
          <w:lang w:val="sr-Latn-ME"/>
        </w:rPr>
        <w:t>Ograničenje kliničkih podataka</w:t>
      </w:r>
    </w:p>
    <w:p w14:paraId="55F9557A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51143E" w14:textId="0BD24008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Kliničke studije ni</w:t>
      </w:r>
      <w:r w:rsidR="0022304C" w:rsidRPr="009B3C93">
        <w:rPr>
          <w:bCs/>
          <w:sz w:val="22"/>
          <w:szCs w:val="22"/>
          <w:lang w:val="sr-Latn-ME"/>
        </w:rPr>
        <w:t>je</w:t>
      </w:r>
      <w:r w:rsidRPr="009B3C93">
        <w:rPr>
          <w:bCs/>
          <w:sz w:val="22"/>
          <w:szCs w:val="22"/>
          <w:lang w:val="sr-Latn-ME"/>
        </w:rPr>
        <w:t>su uključivale učesnike sa PAH-om povezanim sa virusom humane imunodeficijencije (HIV), hipertenzijom portalne vene, šistosomijazom ili</w:t>
      </w:r>
      <w:bookmarkStart w:id="21" w:name="_Hlk176506324"/>
      <w:r w:rsidRPr="009B3C93">
        <w:rPr>
          <w:bCs/>
          <w:sz w:val="22"/>
          <w:szCs w:val="22"/>
          <w:lang w:val="sr-Latn-ME"/>
        </w:rPr>
        <w:t xml:space="preserve"> vensko-okluzivnom bolešću pluća (eng. </w:t>
      </w:r>
      <w:r w:rsidRPr="009B3C93">
        <w:rPr>
          <w:bCs/>
          <w:i/>
          <w:iCs/>
          <w:sz w:val="22"/>
          <w:szCs w:val="22"/>
          <w:lang w:val="sr-Latn-ME"/>
        </w:rPr>
        <w:t>pulmonary veno occlusive disease</w:t>
      </w:r>
      <w:r w:rsidRPr="009B3C93">
        <w:rPr>
          <w:bCs/>
          <w:sz w:val="22"/>
          <w:szCs w:val="22"/>
          <w:lang w:val="sr-Latn-ME"/>
        </w:rPr>
        <w:t>,</w:t>
      </w:r>
      <w:r w:rsidR="0022304C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PVOD)</w:t>
      </w:r>
      <w:bookmarkEnd w:id="21"/>
      <w:r w:rsidRPr="009B3C93">
        <w:rPr>
          <w:bCs/>
          <w:sz w:val="22"/>
          <w:szCs w:val="22"/>
          <w:lang w:val="sr-Latn-ME"/>
        </w:rPr>
        <w:t>.</w:t>
      </w:r>
    </w:p>
    <w:p w14:paraId="16827015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/>
          <w:bCs/>
          <w:sz w:val="22"/>
          <w:szCs w:val="22"/>
          <w:lang w:val="sr-Latn-ME"/>
        </w:rPr>
      </w:pPr>
    </w:p>
    <w:bookmarkEnd w:id="20"/>
    <w:p w14:paraId="25129C23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>Pomoćne supstance sa poznatim dejstvom</w:t>
      </w:r>
    </w:p>
    <w:p w14:paraId="55FCC1A1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C9D324D" w14:textId="4838846B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 xml:space="preserve">Ovaj </w:t>
      </w:r>
      <w:bookmarkStart w:id="22" w:name="_Hlk176430906"/>
      <w:r w:rsidRPr="009B3C93">
        <w:rPr>
          <w:bCs/>
          <w:sz w:val="22"/>
          <w:szCs w:val="22"/>
          <w:lang w:val="sr-Latn-ME"/>
        </w:rPr>
        <w:t>l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ek </w:t>
      </w:r>
      <w:bookmarkEnd w:id="22"/>
      <w:r w:rsidRPr="009B3C93">
        <w:rPr>
          <w:bCs/>
          <w:sz w:val="22"/>
          <w:szCs w:val="22"/>
          <w:lang w:val="sr-Latn-ME"/>
        </w:rPr>
        <w:t>sadrži manje od 1 mmol natrijuma (23 </w:t>
      </w:r>
      <w:bookmarkStart w:id="23" w:name="_Hlk176430925"/>
      <w:r w:rsidRPr="009B3C93">
        <w:rPr>
          <w:bCs/>
          <w:sz w:val="22"/>
          <w:szCs w:val="22"/>
          <w:lang w:val="sr-Latn-ME"/>
        </w:rPr>
        <w:t>miligrama</w:t>
      </w:r>
      <w:bookmarkEnd w:id="23"/>
      <w:r w:rsidRPr="009B3C93">
        <w:rPr>
          <w:bCs/>
          <w:sz w:val="22"/>
          <w:szCs w:val="22"/>
          <w:lang w:val="sr-Latn-ME"/>
        </w:rPr>
        <w:t>) po dozi, odnosno suštinski je bez natrijuma.</w:t>
      </w:r>
    </w:p>
    <w:p w14:paraId="159F94A2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2615CA78" w14:textId="3BE5D08E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Ovaj l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 sadrži 0,20 miligrama polisorbata 80 u jednom m</w:t>
      </w:r>
      <w:r w:rsidR="008E03C8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 xml:space="preserve"> rekonstituisanog rastvora. Polisorbati mogu izazvati alergijske reakcije.</w:t>
      </w:r>
    </w:p>
    <w:p w14:paraId="4E23C793" w14:textId="77777777" w:rsidR="00057E35" w:rsidRPr="009B3C93" w:rsidRDefault="00057E35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AC25DF" w14:textId="77777777" w:rsidR="00411B4B" w:rsidRPr="009B3C93" w:rsidRDefault="00411B4B" w:rsidP="00B3657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>4.5.</w:t>
      </w:r>
      <w:r w:rsidR="000D60CC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035C330" w14:textId="77777777" w:rsidR="0072020E" w:rsidRPr="009B3C93" w:rsidRDefault="0072020E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6DE22A" w14:textId="68FA3946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Ni</w:t>
      </w:r>
      <w:r w:rsidR="0022304C" w:rsidRPr="009B3C93">
        <w:rPr>
          <w:bCs/>
          <w:sz w:val="22"/>
          <w:szCs w:val="22"/>
          <w:lang w:val="sr-Latn-ME"/>
        </w:rPr>
        <w:t>je</w:t>
      </w:r>
      <w:r w:rsidRPr="009B3C93">
        <w:rPr>
          <w:bCs/>
          <w:sz w:val="22"/>
          <w:szCs w:val="22"/>
          <w:lang w:val="sr-Latn-ME"/>
        </w:rPr>
        <w:t>su sprovedene studije kojima se ispituju interakcije.</w:t>
      </w:r>
    </w:p>
    <w:p w14:paraId="1B876317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8DE6DA" w14:textId="77777777" w:rsidR="0072020E" w:rsidRPr="009B3C93" w:rsidRDefault="0072020E" w:rsidP="00B36575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4.6.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="006D20A5" w:rsidRPr="009B3C93">
        <w:rPr>
          <w:b/>
          <w:sz w:val="22"/>
          <w:szCs w:val="22"/>
          <w:lang w:val="sr-Latn-ME"/>
        </w:rPr>
        <w:t>Plodnost, trudnoća i dojenje</w:t>
      </w:r>
    </w:p>
    <w:p w14:paraId="23DDE794" w14:textId="77777777" w:rsidR="002031B3" w:rsidRPr="009B3C93" w:rsidRDefault="002031B3" w:rsidP="00B3657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AB0231B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sz w:val="22"/>
          <w:szCs w:val="22"/>
          <w:u w:val="single"/>
          <w:lang w:val="sr-Latn-ME"/>
        </w:rPr>
      </w:pPr>
      <w:r w:rsidRPr="009B3C93">
        <w:rPr>
          <w:sz w:val="22"/>
          <w:szCs w:val="22"/>
          <w:u w:val="single"/>
          <w:lang w:val="sr-Latn-ME"/>
        </w:rPr>
        <w:t>Žene u reproduktivnom periodu</w:t>
      </w:r>
    </w:p>
    <w:p w14:paraId="023FAAAA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1A551F1" w14:textId="51BD42CB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Testiranje na trudnoću se preporučuje ženama u reproduktivnom periodu pr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 početka l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ečenja. Žene u reproduktivnom periodu treba da koriste efikasnu kontracepciju tokom l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ečenja i najmanje 4 m</w:t>
      </w:r>
      <w:r w:rsidR="008E03C8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eseca nakon prim</w:t>
      </w:r>
      <w:r w:rsidR="008E03C8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ene posl</w:t>
      </w:r>
      <w:r w:rsidR="0022304C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ednje doze ako je l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ečenje prekinuto (vid</w:t>
      </w:r>
      <w:r w:rsidR="008E03C8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 xml:space="preserve">eti </w:t>
      </w:r>
      <w:r w:rsidR="008E03C8" w:rsidRPr="009B3C93">
        <w:rPr>
          <w:sz w:val="22"/>
          <w:szCs w:val="22"/>
          <w:lang w:val="sr-Latn-ME"/>
        </w:rPr>
        <w:t>dio</w:t>
      </w:r>
      <w:r w:rsidRPr="009B3C93">
        <w:rPr>
          <w:sz w:val="22"/>
          <w:szCs w:val="22"/>
          <w:lang w:val="sr-Latn-ME"/>
        </w:rPr>
        <w:t xml:space="preserve"> 5.3).</w:t>
      </w:r>
    </w:p>
    <w:p w14:paraId="46C76666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309DCF4" w14:textId="77777777" w:rsidR="002031B3" w:rsidRPr="009B3C93" w:rsidRDefault="002031B3" w:rsidP="00B3657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B3C93">
        <w:rPr>
          <w:sz w:val="22"/>
          <w:szCs w:val="22"/>
          <w:u w:val="single"/>
          <w:lang w:val="sr-Latn-ME"/>
        </w:rPr>
        <w:t>Plodnost</w:t>
      </w:r>
    </w:p>
    <w:p w14:paraId="46DC94A0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D74C086" w14:textId="5DB82B5A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Na osnovu nalaza kod životinja, sotatercept može negativno uticati na žensku i mušku plodnost (vid</w:t>
      </w:r>
      <w:r w:rsidR="008E03C8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 xml:space="preserve">eti </w:t>
      </w:r>
      <w:r w:rsidR="008E03C8" w:rsidRPr="009B3C93">
        <w:rPr>
          <w:sz w:val="22"/>
          <w:szCs w:val="22"/>
          <w:lang w:val="sr-Latn-ME"/>
        </w:rPr>
        <w:t>dio</w:t>
      </w:r>
      <w:r w:rsidRPr="009B3C93">
        <w:rPr>
          <w:sz w:val="22"/>
          <w:szCs w:val="22"/>
          <w:lang w:val="sr-Latn-ME"/>
        </w:rPr>
        <w:t xml:space="preserve"> 5.3).</w:t>
      </w:r>
    </w:p>
    <w:p w14:paraId="72D8B9EE" w14:textId="77777777" w:rsidR="001E53BD" w:rsidRPr="009B3C93" w:rsidRDefault="001E53BD" w:rsidP="00B3657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5471D6A" w14:textId="77777777" w:rsidR="009B3C93" w:rsidRDefault="009B3C93" w:rsidP="00B3657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6895ACE" w14:textId="77777777" w:rsidR="009B3C93" w:rsidRDefault="009B3C93" w:rsidP="00B3657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BE7ED2C" w14:textId="3CF28D21" w:rsidR="007A3ECB" w:rsidRDefault="007A3ECB" w:rsidP="00B3657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B3C93">
        <w:rPr>
          <w:sz w:val="22"/>
          <w:szCs w:val="22"/>
          <w:u w:val="single"/>
          <w:lang w:val="sr-Latn-ME"/>
        </w:rPr>
        <w:lastRenderedPageBreak/>
        <w:t>Trudnoća</w:t>
      </w:r>
    </w:p>
    <w:p w14:paraId="401CEF79" w14:textId="77777777" w:rsidR="009B3C93" w:rsidRPr="009B3C93" w:rsidRDefault="009B3C93" w:rsidP="00B3657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BA1A5F8" w14:textId="0D225136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bookmarkStart w:id="24" w:name="_Hlk117776335"/>
      <w:r w:rsidRPr="009B3C93">
        <w:rPr>
          <w:sz w:val="22"/>
          <w:szCs w:val="22"/>
          <w:lang w:val="sr-Latn-ME"/>
        </w:rPr>
        <w:t>Nema podataka o upotrebi sotatercepta kod trudnica. Studije kod životinja pokazale su reproduktivnu toksičnost (povećanje gubitaka fetusa posl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 oplodnje, smanjenje t</w:t>
      </w:r>
      <w:r w:rsidR="008E03C8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elesne mase fetusa i kašnjenje u osifikaciji) (vid</w:t>
      </w:r>
      <w:r w:rsidR="008E03C8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 xml:space="preserve">eti </w:t>
      </w:r>
      <w:r w:rsidR="008E03C8" w:rsidRPr="009B3C93">
        <w:rPr>
          <w:sz w:val="22"/>
          <w:szCs w:val="22"/>
          <w:lang w:val="sr-Latn-ME"/>
        </w:rPr>
        <w:t>dio</w:t>
      </w:r>
      <w:r w:rsidRPr="009B3C93">
        <w:rPr>
          <w:sz w:val="22"/>
          <w:szCs w:val="22"/>
          <w:lang w:val="sr-Latn-ME"/>
        </w:rPr>
        <w:t xml:space="preserve"> 5.3).</w:t>
      </w:r>
    </w:p>
    <w:p w14:paraId="56787A7D" w14:textId="3DAF8D93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L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ek Winrevair se ne preporučuje tokom trudnoće i kod žena u reproduktivnom periodu koje ne koriste kontracepciju.</w:t>
      </w:r>
      <w:bookmarkEnd w:id="24"/>
    </w:p>
    <w:p w14:paraId="0473BB9D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EC3BE30" w14:textId="77777777" w:rsidR="00BD480A" w:rsidRPr="009B3C93" w:rsidRDefault="007A3ECB" w:rsidP="00B3657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sz w:val="22"/>
          <w:szCs w:val="22"/>
          <w:u w:val="single"/>
          <w:lang w:val="sr-Latn-ME"/>
        </w:rPr>
        <w:t xml:space="preserve">Dojenje </w:t>
      </w:r>
    </w:p>
    <w:p w14:paraId="552BE2AA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B008B1B" w14:textId="6055F6DC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Nije poznato da li se sotatercept/metaboliti izlučuju u majčino ml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eko. Rizik za novorođenčad/odojčad se ne može isključiti.</w:t>
      </w:r>
    </w:p>
    <w:p w14:paraId="4EE56433" w14:textId="77777777" w:rsidR="00BD480A" w:rsidRPr="009B3C93" w:rsidRDefault="00BD480A" w:rsidP="00B36575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</w:p>
    <w:p w14:paraId="7EBA23F2" w14:textId="1BEEADF4" w:rsidR="00BD480A" w:rsidRPr="009B3C93" w:rsidRDefault="00BD480A" w:rsidP="00B36575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Dojenje treba prekinuti tokom l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ečenja i još 4 m</w:t>
      </w:r>
      <w:r w:rsidR="008E03C8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eseca nakon prim</w:t>
      </w:r>
      <w:r w:rsidR="008E03C8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ene posl</w:t>
      </w:r>
      <w:r w:rsidR="008E03C8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ednje doze.</w:t>
      </w:r>
    </w:p>
    <w:p w14:paraId="55563C48" w14:textId="77777777" w:rsidR="00BD480A" w:rsidRPr="009B3C93" w:rsidRDefault="00BD480A" w:rsidP="00B36575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</w:p>
    <w:p w14:paraId="39097C7C" w14:textId="77777777" w:rsidR="0072020E" w:rsidRPr="009B3C93" w:rsidRDefault="0072020E" w:rsidP="00B36575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4.7.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 xml:space="preserve">Uticaj na </w:t>
      </w:r>
      <w:r w:rsidR="002031B3" w:rsidRPr="009B3C93">
        <w:rPr>
          <w:b/>
          <w:bCs/>
          <w:sz w:val="22"/>
          <w:szCs w:val="22"/>
          <w:lang w:val="sr-Latn-ME"/>
        </w:rPr>
        <w:t xml:space="preserve">sposobnost </w:t>
      </w:r>
      <w:r w:rsidR="00F34554" w:rsidRPr="009B3C93">
        <w:rPr>
          <w:b/>
          <w:bCs/>
          <w:sz w:val="22"/>
          <w:szCs w:val="22"/>
          <w:lang w:val="sr-Latn-ME"/>
        </w:rPr>
        <w:t>upravljanja vozili</w:t>
      </w:r>
      <w:r w:rsidRPr="009B3C93">
        <w:rPr>
          <w:b/>
          <w:bCs/>
          <w:sz w:val="22"/>
          <w:szCs w:val="22"/>
          <w:lang w:val="sr-Latn-ME"/>
        </w:rPr>
        <w:t>m</w:t>
      </w:r>
      <w:r w:rsidR="00F34554" w:rsidRPr="009B3C93">
        <w:rPr>
          <w:b/>
          <w:bCs/>
          <w:sz w:val="22"/>
          <w:szCs w:val="22"/>
          <w:lang w:val="sr-Latn-ME"/>
        </w:rPr>
        <w:t>a</w:t>
      </w:r>
      <w:r w:rsidRPr="009B3C93">
        <w:rPr>
          <w:b/>
          <w:bCs/>
          <w:sz w:val="22"/>
          <w:szCs w:val="22"/>
          <w:lang w:val="sr-Latn-ME"/>
        </w:rPr>
        <w:t xml:space="preserve"> i </w:t>
      </w:r>
      <w:r w:rsidR="000D3449" w:rsidRPr="009B3C93">
        <w:rPr>
          <w:b/>
          <w:bCs/>
          <w:sz w:val="22"/>
          <w:szCs w:val="22"/>
          <w:lang w:val="sr-Latn-ME"/>
        </w:rPr>
        <w:t xml:space="preserve">rukovanje </w:t>
      </w:r>
      <w:r w:rsidRPr="009B3C93">
        <w:rPr>
          <w:b/>
          <w:bCs/>
          <w:sz w:val="22"/>
          <w:szCs w:val="22"/>
          <w:lang w:val="sr-Latn-ME"/>
        </w:rPr>
        <w:t>mašinama</w:t>
      </w:r>
    </w:p>
    <w:p w14:paraId="4E6F2947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83C33BA" w14:textId="437F9CCE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bookmarkStart w:id="25" w:name="_Hlk126051722"/>
      <w:r w:rsidRPr="009B3C93">
        <w:rPr>
          <w:sz w:val="22"/>
          <w:szCs w:val="22"/>
          <w:lang w:val="sr-Latn-ME"/>
        </w:rPr>
        <w:t>Sotatercept nema nikakav ili ima zanemarljiv uticaj na sposobnost upravljanja vozilima i rukovanja mašinama.</w:t>
      </w:r>
      <w:bookmarkEnd w:id="25"/>
    </w:p>
    <w:p w14:paraId="4ECC59D4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E9B54BC" w14:textId="77777777" w:rsidR="0072020E" w:rsidRPr="009B3C93" w:rsidRDefault="0072020E" w:rsidP="00B3657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4.8.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Neželjena dejstva</w:t>
      </w:r>
    </w:p>
    <w:p w14:paraId="23BF5D3C" w14:textId="77777777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09844C3" w14:textId="2E9434A5" w:rsidR="00BD480A" w:rsidRPr="009B3C93" w:rsidRDefault="00BD480A" w:rsidP="00B36575">
      <w:pPr>
        <w:tabs>
          <w:tab w:val="left" w:pos="540"/>
          <w:tab w:val="left" w:pos="569"/>
        </w:tabs>
        <w:jc w:val="both"/>
        <w:rPr>
          <w:iCs/>
          <w:sz w:val="22"/>
          <w:szCs w:val="22"/>
          <w:lang w:val="sr-Latn-ME"/>
        </w:rPr>
      </w:pPr>
      <w:bookmarkStart w:id="26" w:name="_Hlk124406179"/>
      <w:r w:rsidRPr="009B3C93">
        <w:rPr>
          <w:iCs/>
          <w:sz w:val="22"/>
          <w:szCs w:val="22"/>
          <w:u w:val="single"/>
          <w:lang w:val="sr-Latn-ME"/>
        </w:rPr>
        <w:t>Sažetak bezb</w:t>
      </w:r>
      <w:r w:rsidR="008E03C8" w:rsidRPr="009B3C93">
        <w:rPr>
          <w:iCs/>
          <w:sz w:val="22"/>
          <w:szCs w:val="22"/>
          <w:u w:val="single"/>
          <w:lang w:val="sr-Latn-ME"/>
        </w:rPr>
        <w:t>j</w:t>
      </w:r>
      <w:r w:rsidRPr="009B3C93">
        <w:rPr>
          <w:iCs/>
          <w:sz w:val="22"/>
          <w:szCs w:val="22"/>
          <w:u w:val="single"/>
          <w:lang w:val="sr-Latn-ME"/>
        </w:rPr>
        <w:t>ednosnog profila</w:t>
      </w:r>
    </w:p>
    <w:p w14:paraId="2C92D2BE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i/>
          <w:iCs/>
          <w:sz w:val="22"/>
          <w:szCs w:val="22"/>
          <w:lang w:val="sr-Latn-ME"/>
        </w:rPr>
      </w:pPr>
    </w:p>
    <w:p w14:paraId="17AB9E10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Najčešće prijavljene neželjene reakcije bile su glavobolja (24,5%), epistaksa (22,1%), telangiektazija (16,6%), dijareja (15,3%), vrtoglavica (14,7%), osip (12,3%) i trombocitopenija (10,4%).</w:t>
      </w:r>
    </w:p>
    <w:p w14:paraId="2DDB99E4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5CAB7DA4" w14:textId="419AFBBE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Najčešće prijavljene ozbiljne neželjene reakcije bile su trombocitopenija (&lt;</w:t>
      </w:r>
      <w:r w:rsidR="0022304C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1%) i epistaksa (&lt;</w:t>
      </w:r>
      <w:r w:rsidR="0022304C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1%).</w:t>
      </w:r>
    </w:p>
    <w:bookmarkEnd w:id="26"/>
    <w:p w14:paraId="39FFF729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2BB9C007" w14:textId="535E7119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Najčešće neželjene reakcije koje su dovele do prekida l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ečenja bile su epistaksa i telangiektazija.</w:t>
      </w:r>
    </w:p>
    <w:p w14:paraId="1008A81C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3725EC4D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sz w:val="22"/>
          <w:szCs w:val="22"/>
          <w:u w:val="single"/>
          <w:lang w:val="sr-Latn-ME"/>
        </w:rPr>
      </w:pPr>
      <w:r w:rsidRPr="009B3C93">
        <w:rPr>
          <w:sz w:val="22"/>
          <w:szCs w:val="22"/>
          <w:u w:val="single"/>
          <w:lang w:val="sr-Latn-ME"/>
        </w:rPr>
        <w:t>Tabelirani prikaz neželjenih reakcija</w:t>
      </w:r>
    </w:p>
    <w:p w14:paraId="44E70D4E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/>
          <w:sz w:val="22"/>
          <w:szCs w:val="22"/>
          <w:lang w:val="sr-Latn-ME"/>
        </w:rPr>
      </w:pPr>
    </w:p>
    <w:p w14:paraId="6EF6402D" w14:textId="6F4B8FFE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i/>
          <w:iCs/>
          <w:sz w:val="22"/>
          <w:szCs w:val="22"/>
          <w:lang w:val="sr-Latn-ME"/>
        </w:rPr>
      </w:pPr>
      <w:bookmarkStart w:id="27" w:name="_Hlk77173483"/>
      <w:bookmarkStart w:id="28" w:name="_Hlk45711071"/>
      <w:r w:rsidRPr="009B3C93">
        <w:rPr>
          <w:sz w:val="22"/>
          <w:szCs w:val="22"/>
          <w:lang w:val="sr-Latn-ME"/>
        </w:rPr>
        <w:t>Bezb</w:t>
      </w:r>
      <w:r w:rsidR="008E03C8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ednost sotatercepta proc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enjena je u pivotalnoj, placebom kontrolisanoj studiji STELLAR u kojoj su 163 pacijenta sa PAH l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ečena sotaterceptom (vid</w:t>
      </w:r>
      <w:r w:rsidR="008E03C8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 xml:space="preserve">eti </w:t>
      </w:r>
      <w:r w:rsidR="008E03C8" w:rsidRPr="009B3C93">
        <w:rPr>
          <w:sz w:val="22"/>
          <w:szCs w:val="22"/>
          <w:lang w:val="sr-Latn-ME"/>
        </w:rPr>
        <w:t>dio</w:t>
      </w:r>
      <w:r w:rsidRPr="009B3C93">
        <w:rPr>
          <w:sz w:val="22"/>
          <w:szCs w:val="22"/>
          <w:lang w:val="sr-Latn-ME"/>
        </w:rPr>
        <w:t xml:space="preserve"> 5.1). Medijana trajanja l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ečenja sotaterceptom bila je 313 dana</w:t>
      </w:r>
      <w:r w:rsidRPr="009B3C93">
        <w:rPr>
          <w:i/>
          <w:sz w:val="22"/>
          <w:szCs w:val="22"/>
          <w:lang w:val="sr-Latn-ME"/>
        </w:rPr>
        <w:t>.</w:t>
      </w:r>
    </w:p>
    <w:p w14:paraId="7808EC30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0959F8BC" w14:textId="74EDA618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Neželjene reakcije prijavljene za sotatercept navedene su u tabeli u nastavku prema MedDRA klasi sistema organa i po učestalosti. Učestalosti se definišu kao veoma često (≥</w:t>
      </w:r>
      <w:r w:rsidR="0022304C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1/10), često (≥</w:t>
      </w:r>
      <w:r w:rsidR="0022304C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1/100 do &lt;</w:t>
      </w:r>
      <w:r w:rsidR="0022304C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1/10), povremeno (≥</w:t>
      </w:r>
      <w:r w:rsidR="0022304C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1/1000 do &lt;</w:t>
      </w:r>
      <w:r w:rsidR="0022304C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1/100), r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etko (≥</w:t>
      </w:r>
      <w:r w:rsidR="0022304C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1/10.000 do &lt;</w:t>
      </w:r>
      <w:r w:rsidR="0022304C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1/1000) i veoma r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etko (&lt;</w:t>
      </w:r>
      <w:r w:rsidR="0022304C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1/10.000).</w:t>
      </w:r>
    </w:p>
    <w:p w14:paraId="5BA7EB2F" w14:textId="3295847B" w:rsidR="00BD480A" w:rsidRDefault="00BD480A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2D08357B" w14:textId="3F88FFA0" w:rsidR="009B3C93" w:rsidRDefault="009B3C93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05C383B5" w14:textId="657EA995" w:rsidR="009B3C93" w:rsidRDefault="009B3C93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473CA447" w14:textId="7D3763DA" w:rsidR="009B3C93" w:rsidRDefault="009B3C93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50FEB009" w14:textId="1F067DA6" w:rsidR="009B3C93" w:rsidRDefault="009B3C93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570F0D43" w14:textId="35F6C378" w:rsidR="009B3C93" w:rsidRDefault="009B3C93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56B5A9F6" w14:textId="1B717BDB" w:rsidR="009B3C93" w:rsidRDefault="009B3C93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6BA949FC" w14:textId="52B260DE" w:rsidR="009B3C93" w:rsidRDefault="009B3C93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203B05AF" w14:textId="632C71BE" w:rsidR="009B3C93" w:rsidRDefault="009B3C93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3B14816E" w14:textId="7DCA16AF" w:rsidR="009B3C93" w:rsidRDefault="009B3C93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4CD53A06" w14:textId="0695792E" w:rsidR="009B3C93" w:rsidRDefault="009B3C93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2F567D74" w14:textId="02E90818" w:rsidR="009B3C93" w:rsidRDefault="009B3C93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40E8317F" w14:textId="6CC7C50F" w:rsidR="009B3C93" w:rsidRDefault="009B3C93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46DFC197" w14:textId="28AE146D" w:rsidR="009B3C93" w:rsidRDefault="009B3C93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39526DD1" w14:textId="76196490" w:rsidR="009B3C93" w:rsidRDefault="009B3C93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4733E584" w14:textId="250D5334" w:rsidR="009B3C93" w:rsidRDefault="009B3C93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0B3DC032" w14:textId="77777777" w:rsidR="009B3C93" w:rsidRPr="009B3C93" w:rsidRDefault="009B3C93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53F64E54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b/>
          <w:sz w:val="22"/>
          <w:szCs w:val="22"/>
          <w:lang w:val="sr-Latn-ME"/>
        </w:rPr>
      </w:pPr>
      <w:bookmarkStart w:id="29" w:name="_Hlk44942083"/>
      <w:bookmarkEnd w:id="27"/>
      <w:bookmarkEnd w:id="28"/>
      <w:r w:rsidRPr="009B3C93">
        <w:rPr>
          <w:b/>
          <w:sz w:val="22"/>
          <w:szCs w:val="22"/>
          <w:lang w:val="sr-Latn-ME"/>
        </w:rPr>
        <w:lastRenderedPageBreak/>
        <w:t xml:space="preserve">Tabela 3: Neželjene reakcije </w:t>
      </w:r>
    </w:p>
    <w:p w14:paraId="2B27C7B4" w14:textId="77777777" w:rsidR="00BD480A" w:rsidRPr="009B3C93" w:rsidRDefault="00BD480A" w:rsidP="00B3657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bookmarkStart w:id="30" w:name="_Hlk158022592"/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3505"/>
        <w:gridCol w:w="2520"/>
        <w:gridCol w:w="3036"/>
      </w:tblGrid>
      <w:tr w:rsidR="00BD480A" w:rsidRPr="009B3C93" w14:paraId="54CB00A2" w14:textId="77777777" w:rsidTr="003F602E">
        <w:trPr>
          <w:cantSplit/>
          <w:tblHeader/>
        </w:trPr>
        <w:tc>
          <w:tcPr>
            <w:tcW w:w="3505" w:type="dxa"/>
          </w:tcPr>
          <w:p w14:paraId="30252067" w14:textId="77777777" w:rsidR="00BD480A" w:rsidRPr="009B3C93" w:rsidRDefault="00BD480A" w:rsidP="00B36575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bookmarkStart w:id="31" w:name="_Hlk54782205"/>
            <w:r w:rsidRPr="009B3C93">
              <w:rPr>
                <w:b/>
                <w:bCs/>
                <w:sz w:val="22"/>
                <w:szCs w:val="22"/>
                <w:lang w:val="sr-Latn-ME"/>
              </w:rPr>
              <w:t>Klasa sistema organa</w:t>
            </w:r>
            <w:r w:rsidRPr="009B3C93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520" w:type="dxa"/>
          </w:tcPr>
          <w:p w14:paraId="1B58EB5C" w14:textId="77777777" w:rsidR="00BD480A" w:rsidRPr="009B3C93" w:rsidRDefault="00BD480A" w:rsidP="00B36575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b/>
                <w:bCs/>
                <w:sz w:val="22"/>
                <w:szCs w:val="22"/>
                <w:lang w:val="sr-Latn-ME"/>
              </w:rPr>
              <w:t>Učestalost</w:t>
            </w:r>
          </w:p>
        </w:tc>
        <w:tc>
          <w:tcPr>
            <w:tcW w:w="3036" w:type="dxa"/>
          </w:tcPr>
          <w:p w14:paraId="3D49D707" w14:textId="77777777" w:rsidR="00BD480A" w:rsidRPr="009B3C93" w:rsidRDefault="00BD480A" w:rsidP="00B36575">
            <w:pPr>
              <w:tabs>
                <w:tab w:val="left" w:pos="540"/>
                <w:tab w:val="left" w:pos="567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9B3C93">
              <w:rPr>
                <w:b/>
                <w:bCs/>
                <w:sz w:val="22"/>
                <w:szCs w:val="22"/>
                <w:lang w:val="sr-Latn-ME"/>
              </w:rPr>
              <w:t>Neželjene reakcije</w:t>
            </w:r>
          </w:p>
        </w:tc>
      </w:tr>
      <w:tr w:rsidR="00BD480A" w:rsidRPr="009B3C93" w14:paraId="70F35768" w14:textId="77777777" w:rsidTr="003F602E">
        <w:trPr>
          <w:cantSplit/>
          <w:tblHeader/>
        </w:trPr>
        <w:tc>
          <w:tcPr>
            <w:tcW w:w="3505" w:type="dxa"/>
          </w:tcPr>
          <w:p w14:paraId="0AE41F92" w14:textId="77777777" w:rsidR="00BD480A" w:rsidRPr="009B3C93" w:rsidRDefault="00BD480A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Poremećaji krvi</w:t>
            </w:r>
            <w:r w:rsidRPr="009B3C93" w:rsidDel="0052251D">
              <w:rPr>
                <w:sz w:val="22"/>
                <w:szCs w:val="22"/>
                <w:lang w:val="sr-Latn-ME"/>
              </w:rPr>
              <w:t xml:space="preserve"> </w:t>
            </w:r>
            <w:r w:rsidRPr="009B3C93">
              <w:rPr>
                <w:sz w:val="22"/>
                <w:szCs w:val="22"/>
                <w:lang w:val="sr-Latn-ME"/>
              </w:rPr>
              <w:t>i limfnog sistema</w:t>
            </w:r>
          </w:p>
        </w:tc>
        <w:tc>
          <w:tcPr>
            <w:tcW w:w="2520" w:type="dxa"/>
          </w:tcPr>
          <w:p w14:paraId="6C9BD9E9" w14:textId="0CC42EBC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v</w:t>
            </w:r>
            <w:r w:rsidR="00BD480A" w:rsidRPr="009B3C93">
              <w:rPr>
                <w:sz w:val="22"/>
                <w:szCs w:val="22"/>
                <w:lang w:val="sr-Latn-ME"/>
              </w:rPr>
              <w:t>eoma često</w:t>
            </w:r>
          </w:p>
        </w:tc>
        <w:tc>
          <w:tcPr>
            <w:tcW w:w="3036" w:type="dxa"/>
          </w:tcPr>
          <w:p w14:paraId="3203B07D" w14:textId="54B52FB8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vertAlign w:val="superscript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t</w:t>
            </w:r>
            <w:r w:rsidR="00BD480A" w:rsidRPr="009B3C93">
              <w:rPr>
                <w:sz w:val="22"/>
                <w:szCs w:val="22"/>
                <w:lang w:val="sr-Latn-ME"/>
              </w:rPr>
              <w:t>rombocitopenija</w:t>
            </w:r>
            <w:r w:rsidR="00BD480A" w:rsidRPr="009B3C93">
              <w:rPr>
                <w:sz w:val="22"/>
                <w:szCs w:val="22"/>
                <w:vertAlign w:val="superscript"/>
                <w:lang w:val="sr-Latn-ME"/>
              </w:rPr>
              <w:t>1,2</w:t>
            </w:r>
          </w:p>
          <w:p w14:paraId="5296742A" w14:textId="7A895913" w:rsidR="00BD480A" w:rsidRPr="009B3C93" w:rsidRDefault="0022304C" w:rsidP="00C02C74">
            <w:pPr>
              <w:tabs>
                <w:tab w:val="left" w:pos="540"/>
                <w:tab w:val="left" w:pos="567"/>
              </w:tabs>
              <w:rPr>
                <w:sz w:val="22"/>
                <w:szCs w:val="22"/>
                <w:lang w:val="sr-Latn-ME"/>
              </w:rPr>
            </w:pPr>
            <w:bookmarkStart w:id="32" w:name="_Hlk176433802"/>
            <w:bookmarkStart w:id="33" w:name="_Hlk176433981"/>
            <w:r w:rsidRPr="009B3C93">
              <w:rPr>
                <w:sz w:val="22"/>
                <w:szCs w:val="22"/>
                <w:lang w:val="sr-Latn-ME"/>
              </w:rPr>
              <w:t>p</w:t>
            </w:r>
            <w:r w:rsidR="00BD480A" w:rsidRPr="009B3C93">
              <w:rPr>
                <w:sz w:val="22"/>
                <w:szCs w:val="22"/>
                <w:lang w:val="sr-Latn-ME"/>
              </w:rPr>
              <w:t>ovećana vr</w:t>
            </w:r>
            <w:r w:rsidR="008E03C8" w:rsidRPr="009B3C93">
              <w:rPr>
                <w:sz w:val="22"/>
                <w:szCs w:val="22"/>
                <w:lang w:val="sr-Latn-ME"/>
              </w:rPr>
              <w:t>ij</w:t>
            </w:r>
            <w:r w:rsidR="00BD480A" w:rsidRPr="009B3C93">
              <w:rPr>
                <w:sz w:val="22"/>
                <w:szCs w:val="22"/>
                <w:lang w:val="sr-Latn-ME"/>
              </w:rPr>
              <w:t>ednost</w:t>
            </w:r>
            <w:r w:rsidR="00BD480A" w:rsidRPr="009B3C93" w:rsidDel="00233895">
              <w:rPr>
                <w:sz w:val="22"/>
                <w:szCs w:val="22"/>
                <w:lang w:val="sr-Latn-ME"/>
              </w:rPr>
              <w:t xml:space="preserve"> </w:t>
            </w:r>
            <w:bookmarkEnd w:id="32"/>
            <w:r w:rsidR="00BD480A" w:rsidRPr="009B3C93">
              <w:rPr>
                <w:sz w:val="22"/>
                <w:szCs w:val="22"/>
                <w:lang w:val="sr-Latn-ME"/>
              </w:rPr>
              <w:t>hemoglobina</w:t>
            </w:r>
            <w:bookmarkEnd w:id="33"/>
            <w:r w:rsidR="00BD480A" w:rsidRPr="009B3C93">
              <w:rPr>
                <w:sz w:val="22"/>
                <w:szCs w:val="22"/>
                <w:vertAlign w:val="superscript"/>
                <w:lang w:val="sr-Latn-ME"/>
              </w:rPr>
              <w:t>1</w:t>
            </w:r>
          </w:p>
        </w:tc>
      </w:tr>
      <w:tr w:rsidR="00BD480A" w:rsidRPr="009B3C93" w14:paraId="27DB388F" w14:textId="77777777" w:rsidTr="003F602E">
        <w:trPr>
          <w:cantSplit/>
          <w:tblHeader/>
        </w:trPr>
        <w:tc>
          <w:tcPr>
            <w:tcW w:w="3505" w:type="dxa"/>
          </w:tcPr>
          <w:p w14:paraId="426D1D0E" w14:textId="77777777" w:rsidR="00BD480A" w:rsidRPr="009B3C93" w:rsidRDefault="00BD480A" w:rsidP="00C02C74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2520" w:type="dxa"/>
          </w:tcPr>
          <w:p w14:paraId="6F0067B1" w14:textId="2FB63194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v</w:t>
            </w:r>
            <w:r w:rsidR="00BD480A" w:rsidRPr="009B3C93">
              <w:rPr>
                <w:sz w:val="22"/>
                <w:szCs w:val="22"/>
                <w:lang w:val="sr-Latn-ME"/>
              </w:rPr>
              <w:t>eoma često</w:t>
            </w:r>
          </w:p>
        </w:tc>
        <w:tc>
          <w:tcPr>
            <w:tcW w:w="3036" w:type="dxa"/>
          </w:tcPr>
          <w:p w14:paraId="7D96E7AF" w14:textId="3897DFFD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v</w:t>
            </w:r>
            <w:r w:rsidR="00BD480A" w:rsidRPr="009B3C93">
              <w:rPr>
                <w:sz w:val="22"/>
                <w:szCs w:val="22"/>
                <w:lang w:val="sr-Latn-ME"/>
              </w:rPr>
              <w:t>rtoglavica</w:t>
            </w:r>
          </w:p>
          <w:p w14:paraId="2143247B" w14:textId="4C87DE0F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g</w:t>
            </w:r>
            <w:r w:rsidR="00BD480A" w:rsidRPr="009B3C93">
              <w:rPr>
                <w:sz w:val="22"/>
                <w:szCs w:val="22"/>
                <w:lang w:val="sr-Latn-ME"/>
              </w:rPr>
              <w:t>lavobolja</w:t>
            </w:r>
          </w:p>
        </w:tc>
      </w:tr>
      <w:tr w:rsidR="00BD480A" w:rsidRPr="009B3C93" w14:paraId="62D0F0FA" w14:textId="77777777" w:rsidTr="003F602E">
        <w:trPr>
          <w:cantSplit/>
          <w:tblHeader/>
        </w:trPr>
        <w:tc>
          <w:tcPr>
            <w:tcW w:w="3505" w:type="dxa"/>
          </w:tcPr>
          <w:p w14:paraId="2015906E" w14:textId="77777777" w:rsidR="00BD480A" w:rsidRPr="009B3C93" w:rsidRDefault="00BD480A" w:rsidP="00C02C7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2520" w:type="dxa"/>
          </w:tcPr>
          <w:p w14:paraId="76529490" w14:textId="09CE5499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v</w:t>
            </w:r>
            <w:r w:rsidR="00BD480A" w:rsidRPr="009B3C93">
              <w:rPr>
                <w:sz w:val="22"/>
                <w:szCs w:val="22"/>
                <w:lang w:val="sr-Latn-ME"/>
              </w:rPr>
              <w:t>eoma često</w:t>
            </w:r>
          </w:p>
        </w:tc>
        <w:tc>
          <w:tcPr>
            <w:tcW w:w="3036" w:type="dxa"/>
          </w:tcPr>
          <w:p w14:paraId="591A58E3" w14:textId="46999AD3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e</w:t>
            </w:r>
            <w:r w:rsidR="00BD480A" w:rsidRPr="009B3C93">
              <w:rPr>
                <w:sz w:val="22"/>
                <w:szCs w:val="22"/>
                <w:lang w:val="sr-Latn-ME"/>
              </w:rPr>
              <w:t>pistaksa</w:t>
            </w:r>
          </w:p>
        </w:tc>
      </w:tr>
      <w:tr w:rsidR="00BD480A" w:rsidRPr="009B3C93" w14:paraId="4B7825BD" w14:textId="77777777" w:rsidTr="003F602E">
        <w:trPr>
          <w:cantSplit/>
          <w:tblHeader/>
        </w:trPr>
        <w:tc>
          <w:tcPr>
            <w:tcW w:w="3505" w:type="dxa"/>
            <w:vMerge w:val="restart"/>
          </w:tcPr>
          <w:p w14:paraId="04B991F9" w14:textId="77777777" w:rsidR="00BD480A" w:rsidRPr="009B3C93" w:rsidRDefault="00BD480A" w:rsidP="00C02C74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2520" w:type="dxa"/>
          </w:tcPr>
          <w:p w14:paraId="5E21A731" w14:textId="381B48F2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v</w:t>
            </w:r>
            <w:r w:rsidR="00BD480A" w:rsidRPr="009B3C93">
              <w:rPr>
                <w:sz w:val="22"/>
                <w:szCs w:val="22"/>
                <w:lang w:val="sr-Latn-ME"/>
              </w:rPr>
              <w:t>eoma često</w:t>
            </w:r>
          </w:p>
        </w:tc>
        <w:tc>
          <w:tcPr>
            <w:tcW w:w="3036" w:type="dxa"/>
          </w:tcPr>
          <w:p w14:paraId="4C17E34F" w14:textId="5A610337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d</w:t>
            </w:r>
            <w:r w:rsidR="00BD480A" w:rsidRPr="009B3C93">
              <w:rPr>
                <w:sz w:val="22"/>
                <w:szCs w:val="22"/>
                <w:lang w:val="sr-Latn-ME"/>
              </w:rPr>
              <w:t xml:space="preserve">ijareja </w:t>
            </w:r>
          </w:p>
        </w:tc>
      </w:tr>
      <w:tr w:rsidR="00BD480A" w:rsidRPr="009B3C93" w14:paraId="1C80EB82" w14:textId="77777777" w:rsidTr="003F602E">
        <w:trPr>
          <w:cantSplit/>
          <w:tblHeader/>
        </w:trPr>
        <w:tc>
          <w:tcPr>
            <w:tcW w:w="3505" w:type="dxa"/>
            <w:vMerge/>
          </w:tcPr>
          <w:p w14:paraId="5B4CADE8" w14:textId="77777777" w:rsidR="00BD480A" w:rsidRPr="009B3C93" w:rsidRDefault="00BD480A" w:rsidP="00C02C74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520" w:type="dxa"/>
          </w:tcPr>
          <w:p w14:paraId="27B88CDA" w14:textId="33D36F70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č</w:t>
            </w:r>
            <w:r w:rsidR="00BD480A" w:rsidRPr="009B3C93">
              <w:rPr>
                <w:sz w:val="22"/>
                <w:szCs w:val="22"/>
                <w:lang w:val="sr-Latn-ME"/>
              </w:rPr>
              <w:t>esto</w:t>
            </w:r>
          </w:p>
        </w:tc>
        <w:tc>
          <w:tcPr>
            <w:tcW w:w="3036" w:type="dxa"/>
          </w:tcPr>
          <w:p w14:paraId="6E004C6D" w14:textId="0A44A29D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k</w:t>
            </w:r>
            <w:r w:rsidR="00BD480A" w:rsidRPr="009B3C93">
              <w:rPr>
                <w:sz w:val="22"/>
                <w:szCs w:val="22"/>
                <w:lang w:val="sr-Latn-ME"/>
              </w:rPr>
              <w:t>rvarenje desni</w:t>
            </w:r>
          </w:p>
        </w:tc>
      </w:tr>
      <w:tr w:rsidR="00BD480A" w:rsidRPr="009B3C93" w14:paraId="1DB73F05" w14:textId="77777777" w:rsidTr="003F602E">
        <w:trPr>
          <w:cantSplit/>
          <w:trHeight w:val="54"/>
          <w:tblHeader/>
        </w:trPr>
        <w:tc>
          <w:tcPr>
            <w:tcW w:w="3505" w:type="dxa"/>
            <w:vMerge w:val="restart"/>
          </w:tcPr>
          <w:p w14:paraId="18D7A216" w14:textId="77777777" w:rsidR="00BD480A" w:rsidRPr="009B3C93" w:rsidRDefault="00BD480A" w:rsidP="00C02C74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2520" w:type="dxa"/>
          </w:tcPr>
          <w:p w14:paraId="2371E0E3" w14:textId="7C34361C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v</w:t>
            </w:r>
            <w:r w:rsidR="00BD480A" w:rsidRPr="009B3C93">
              <w:rPr>
                <w:sz w:val="22"/>
                <w:szCs w:val="22"/>
                <w:lang w:val="sr-Latn-ME"/>
              </w:rPr>
              <w:t>eoma često</w:t>
            </w:r>
          </w:p>
        </w:tc>
        <w:tc>
          <w:tcPr>
            <w:tcW w:w="3036" w:type="dxa"/>
          </w:tcPr>
          <w:p w14:paraId="62CD3576" w14:textId="5D9984F6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vertAlign w:val="superscript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t</w:t>
            </w:r>
            <w:r w:rsidR="00BD480A" w:rsidRPr="009B3C93">
              <w:rPr>
                <w:sz w:val="22"/>
                <w:szCs w:val="22"/>
                <w:lang w:val="sr-Latn-ME"/>
              </w:rPr>
              <w:t>elangiektazija</w:t>
            </w:r>
            <w:r w:rsidR="00BD480A" w:rsidRPr="009B3C93">
              <w:rPr>
                <w:sz w:val="22"/>
                <w:szCs w:val="22"/>
                <w:vertAlign w:val="superscript"/>
                <w:lang w:val="sr-Latn-ME"/>
              </w:rPr>
              <w:t>1</w:t>
            </w:r>
          </w:p>
          <w:p w14:paraId="7588D744" w14:textId="5643A859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o</w:t>
            </w:r>
            <w:r w:rsidR="00BD480A" w:rsidRPr="009B3C93">
              <w:rPr>
                <w:sz w:val="22"/>
                <w:szCs w:val="22"/>
                <w:lang w:val="sr-Latn-ME"/>
              </w:rPr>
              <w:t>sip</w:t>
            </w:r>
          </w:p>
        </w:tc>
      </w:tr>
      <w:tr w:rsidR="00BD480A" w:rsidRPr="009B3C93" w14:paraId="62BF3BD6" w14:textId="77777777" w:rsidTr="003F602E">
        <w:trPr>
          <w:cantSplit/>
          <w:trHeight w:val="54"/>
          <w:tblHeader/>
        </w:trPr>
        <w:tc>
          <w:tcPr>
            <w:tcW w:w="3505" w:type="dxa"/>
            <w:vMerge/>
          </w:tcPr>
          <w:p w14:paraId="19F96B46" w14:textId="77777777" w:rsidR="00BD480A" w:rsidRPr="009B3C93" w:rsidRDefault="00BD480A" w:rsidP="00C02C74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520" w:type="dxa"/>
          </w:tcPr>
          <w:p w14:paraId="109528B6" w14:textId="0ED9766D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č</w:t>
            </w:r>
            <w:r w:rsidR="00BD480A" w:rsidRPr="009B3C93">
              <w:rPr>
                <w:sz w:val="22"/>
                <w:szCs w:val="22"/>
                <w:lang w:val="sr-Latn-ME"/>
              </w:rPr>
              <w:t>esto</w:t>
            </w:r>
          </w:p>
        </w:tc>
        <w:tc>
          <w:tcPr>
            <w:tcW w:w="3036" w:type="dxa"/>
          </w:tcPr>
          <w:p w14:paraId="45477E25" w14:textId="74B9DB06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e</w:t>
            </w:r>
            <w:r w:rsidR="00BD480A" w:rsidRPr="009B3C93">
              <w:rPr>
                <w:sz w:val="22"/>
                <w:szCs w:val="22"/>
                <w:lang w:val="sr-Latn-ME"/>
              </w:rPr>
              <w:t>ritem</w:t>
            </w:r>
          </w:p>
        </w:tc>
      </w:tr>
      <w:tr w:rsidR="00BD480A" w:rsidRPr="009B3C93" w14:paraId="2EAA8907" w14:textId="77777777" w:rsidTr="003F602E">
        <w:trPr>
          <w:cantSplit/>
          <w:trHeight w:val="54"/>
          <w:tblHeader/>
        </w:trPr>
        <w:tc>
          <w:tcPr>
            <w:tcW w:w="3505" w:type="dxa"/>
          </w:tcPr>
          <w:p w14:paraId="5D677E3F" w14:textId="6E9F05E2" w:rsidR="00BD480A" w:rsidRPr="009B3C93" w:rsidRDefault="00BD480A" w:rsidP="00C02C74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Opšti poremećaji i reakcije</w:t>
            </w:r>
            <w:r w:rsidRPr="009B3C93" w:rsidDel="0052251D">
              <w:rPr>
                <w:sz w:val="22"/>
                <w:szCs w:val="22"/>
                <w:lang w:val="sr-Latn-ME"/>
              </w:rPr>
              <w:t xml:space="preserve"> </w:t>
            </w:r>
            <w:r w:rsidRPr="009B3C93">
              <w:rPr>
                <w:sz w:val="22"/>
                <w:szCs w:val="22"/>
                <w:lang w:val="sr-Latn-ME"/>
              </w:rPr>
              <w:t>na m</w:t>
            </w:r>
            <w:r w:rsidR="008E03C8" w:rsidRPr="009B3C93">
              <w:rPr>
                <w:sz w:val="22"/>
                <w:szCs w:val="22"/>
                <w:lang w:val="sr-Latn-ME"/>
              </w:rPr>
              <w:t>j</w:t>
            </w:r>
            <w:r w:rsidRPr="009B3C93">
              <w:rPr>
                <w:sz w:val="22"/>
                <w:szCs w:val="22"/>
                <w:lang w:val="sr-Latn-ME"/>
              </w:rPr>
              <w:t>estu prim</w:t>
            </w:r>
            <w:r w:rsidR="008E03C8" w:rsidRPr="009B3C93">
              <w:rPr>
                <w:sz w:val="22"/>
                <w:szCs w:val="22"/>
                <w:lang w:val="sr-Latn-ME"/>
              </w:rPr>
              <w:t>j</w:t>
            </w:r>
            <w:r w:rsidRPr="009B3C93">
              <w:rPr>
                <w:sz w:val="22"/>
                <w:szCs w:val="22"/>
                <w:lang w:val="sr-Latn-ME"/>
              </w:rPr>
              <w:t>ene</w:t>
            </w:r>
          </w:p>
        </w:tc>
        <w:tc>
          <w:tcPr>
            <w:tcW w:w="2520" w:type="dxa"/>
          </w:tcPr>
          <w:p w14:paraId="66631A3D" w14:textId="573F219F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č</w:t>
            </w:r>
            <w:r w:rsidR="00BD480A" w:rsidRPr="009B3C93">
              <w:rPr>
                <w:sz w:val="22"/>
                <w:szCs w:val="22"/>
                <w:lang w:val="sr-Latn-ME"/>
              </w:rPr>
              <w:t>esto</w:t>
            </w:r>
          </w:p>
        </w:tc>
        <w:tc>
          <w:tcPr>
            <w:tcW w:w="3036" w:type="dxa"/>
          </w:tcPr>
          <w:p w14:paraId="02F290D2" w14:textId="1D1335F0" w:rsidR="00BD480A" w:rsidRPr="009B3C93" w:rsidRDefault="0022304C" w:rsidP="00C02C74">
            <w:pPr>
              <w:tabs>
                <w:tab w:val="left" w:pos="540"/>
                <w:tab w:val="left" w:pos="567"/>
              </w:tabs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p</w:t>
            </w:r>
            <w:r w:rsidR="00BD480A" w:rsidRPr="009B3C93">
              <w:rPr>
                <w:sz w:val="22"/>
                <w:szCs w:val="22"/>
                <w:lang w:val="sr-Latn-ME"/>
              </w:rPr>
              <w:t>ruritus na m</w:t>
            </w:r>
            <w:r w:rsidR="008E03C8" w:rsidRPr="009B3C93">
              <w:rPr>
                <w:sz w:val="22"/>
                <w:szCs w:val="22"/>
                <w:lang w:val="sr-Latn-ME"/>
              </w:rPr>
              <w:t>j</w:t>
            </w:r>
            <w:r w:rsidR="00BD480A" w:rsidRPr="009B3C93">
              <w:rPr>
                <w:sz w:val="22"/>
                <w:szCs w:val="22"/>
                <w:lang w:val="sr-Latn-ME"/>
              </w:rPr>
              <w:t>estu prim</w:t>
            </w:r>
            <w:r w:rsidR="008E03C8" w:rsidRPr="009B3C93">
              <w:rPr>
                <w:sz w:val="22"/>
                <w:szCs w:val="22"/>
                <w:lang w:val="sr-Latn-ME"/>
              </w:rPr>
              <w:t>j</w:t>
            </w:r>
            <w:r w:rsidR="00BD480A" w:rsidRPr="009B3C93">
              <w:rPr>
                <w:sz w:val="22"/>
                <w:szCs w:val="22"/>
                <w:lang w:val="sr-Latn-ME"/>
              </w:rPr>
              <w:t>ene injekcije</w:t>
            </w:r>
          </w:p>
        </w:tc>
      </w:tr>
      <w:tr w:rsidR="00BD480A" w:rsidRPr="009B3C93" w14:paraId="5F751A75" w14:textId="77777777" w:rsidTr="003F602E">
        <w:trPr>
          <w:cantSplit/>
          <w:trHeight w:val="54"/>
          <w:tblHeader/>
        </w:trPr>
        <w:tc>
          <w:tcPr>
            <w:tcW w:w="3505" w:type="dxa"/>
          </w:tcPr>
          <w:p w14:paraId="5F57A8FC" w14:textId="77777777" w:rsidR="00BD480A" w:rsidRPr="009B3C93" w:rsidRDefault="00BD480A" w:rsidP="00C02C74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Ispitivanja</w:t>
            </w:r>
          </w:p>
        </w:tc>
        <w:tc>
          <w:tcPr>
            <w:tcW w:w="2520" w:type="dxa"/>
          </w:tcPr>
          <w:p w14:paraId="40FABB6A" w14:textId="6ACF6584" w:rsidR="00BD480A" w:rsidRPr="009B3C93" w:rsidRDefault="0022304C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9B3C93">
              <w:rPr>
                <w:sz w:val="22"/>
                <w:szCs w:val="22"/>
                <w:lang w:val="sr-Latn-ME"/>
              </w:rPr>
              <w:t>č</w:t>
            </w:r>
            <w:r w:rsidR="00BD480A" w:rsidRPr="009B3C93">
              <w:rPr>
                <w:sz w:val="22"/>
                <w:szCs w:val="22"/>
                <w:lang w:val="sr-Latn-ME"/>
              </w:rPr>
              <w:t>esto</w:t>
            </w:r>
          </w:p>
        </w:tc>
        <w:tc>
          <w:tcPr>
            <w:tcW w:w="3036" w:type="dxa"/>
          </w:tcPr>
          <w:p w14:paraId="6DF4B29D" w14:textId="77777777" w:rsidR="00BD480A" w:rsidRPr="009B3C93" w:rsidRDefault="00BD480A" w:rsidP="00C02C74">
            <w:pPr>
              <w:tabs>
                <w:tab w:val="left" w:pos="540"/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bookmarkStart w:id="34" w:name="_Hlk176434297"/>
            <w:r w:rsidRPr="009B3C93">
              <w:rPr>
                <w:sz w:val="22"/>
                <w:szCs w:val="22"/>
                <w:lang w:val="sr-Latn-ME"/>
              </w:rPr>
              <w:t xml:space="preserve">Povišen </w:t>
            </w:r>
            <w:bookmarkEnd w:id="34"/>
            <w:r w:rsidRPr="009B3C93">
              <w:rPr>
                <w:sz w:val="22"/>
                <w:szCs w:val="22"/>
                <w:lang w:val="sr-Latn-ME"/>
              </w:rPr>
              <w:t>krvni pritisak</w:t>
            </w:r>
            <w:r w:rsidRPr="009B3C93">
              <w:rPr>
                <w:sz w:val="22"/>
                <w:szCs w:val="22"/>
                <w:vertAlign w:val="superscript"/>
                <w:lang w:val="sr-Latn-ME"/>
              </w:rPr>
              <w:t>1,3</w:t>
            </w:r>
          </w:p>
        </w:tc>
      </w:tr>
    </w:tbl>
    <w:bookmarkEnd w:id="30"/>
    <w:bookmarkEnd w:id="31"/>
    <w:p w14:paraId="2A84EA39" w14:textId="77777777" w:rsidR="00BD480A" w:rsidRPr="009B3C93" w:rsidRDefault="00BD480A" w:rsidP="001B0E0B">
      <w:pPr>
        <w:tabs>
          <w:tab w:val="left" w:pos="540"/>
          <w:tab w:val="left" w:pos="569"/>
        </w:tabs>
        <w:jc w:val="both"/>
        <w:rPr>
          <w:sz w:val="20"/>
          <w:szCs w:val="20"/>
          <w:lang w:val="sr-Latn-ME"/>
        </w:rPr>
      </w:pPr>
      <w:r w:rsidRPr="009B3C93">
        <w:rPr>
          <w:sz w:val="20"/>
          <w:szCs w:val="20"/>
          <w:vertAlign w:val="superscript"/>
          <w:lang w:val="sr-Latn-ME"/>
        </w:rPr>
        <w:t xml:space="preserve">1 </w:t>
      </w:r>
      <w:r w:rsidRPr="009B3C93">
        <w:rPr>
          <w:sz w:val="20"/>
          <w:szCs w:val="20"/>
          <w:lang w:val="sr-Latn-ME"/>
        </w:rPr>
        <w:t>Videti opis odabranih neželjenih reakcija</w:t>
      </w:r>
    </w:p>
    <w:p w14:paraId="481A5FE1" w14:textId="77777777" w:rsidR="00BD480A" w:rsidRPr="009B3C93" w:rsidRDefault="00BD480A" w:rsidP="001B0E0B">
      <w:pPr>
        <w:tabs>
          <w:tab w:val="left" w:pos="540"/>
          <w:tab w:val="left" w:pos="569"/>
        </w:tabs>
        <w:jc w:val="both"/>
        <w:rPr>
          <w:sz w:val="20"/>
          <w:szCs w:val="20"/>
          <w:lang w:val="sr-Latn-ME"/>
        </w:rPr>
      </w:pPr>
      <w:r w:rsidRPr="009B3C93">
        <w:rPr>
          <w:sz w:val="20"/>
          <w:szCs w:val="20"/>
          <w:vertAlign w:val="superscript"/>
          <w:lang w:val="sr-Latn-ME"/>
        </w:rPr>
        <w:t xml:space="preserve">2 </w:t>
      </w:r>
      <w:r w:rsidRPr="009B3C93">
        <w:rPr>
          <w:sz w:val="20"/>
          <w:szCs w:val="20"/>
          <w:lang w:val="sr-Latn-ME"/>
        </w:rPr>
        <w:t>Uključuje „trombocitopeniju“ i „smanjen broj trombocita“</w:t>
      </w:r>
    </w:p>
    <w:p w14:paraId="583D9C87" w14:textId="287C5FE2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sz w:val="20"/>
          <w:szCs w:val="20"/>
          <w:u w:val="single"/>
          <w:lang w:val="sr-Latn-ME"/>
        </w:rPr>
      </w:pPr>
      <w:r w:rsidRPr="009B3C93">
        <w:rPr>
          <w:sz w:val="20"/>
          <w:szCs w:val="20"/>
          <w:vertAlign w:val="superscript"/>
          <w:lang w:val="sr-Latn-ME"/>
        </w:rPr>
        <w:t xml:space="preserve">3 </w:t>
      </w:r>
      <w:r w:rsidRPr="009B3C93">
        <w:rPr>
          <w:sz w:val="20"/>
          <w:szCs w:val="20"/>
          <w:lang w:val="sr-Latn-ME"/>
        </w:rPr>
        <w:t>Uključuje „</w:t>
      </w:r>
      <w:r w:rsidRPr="009B3C93">
        <w:rPr>
          <w:bCs/>
          <w:sz w:val="20"/>
          <w:szCs w:val="20"/>
          <w:lang w:val="sr-Latn-ME"/>
        </w:rPr>
        <w:t>hipertenziju“, „povišen dijastolni krvni pritisak“ i „povišen krvni pritisak“</w:t>
      </w:r>
    </w:p>
    <w:p w14:paraId="4EAABA4A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sz w:val="22"/>
          <w:szCs w:val="22"/>
          <w:u w:val="single"/>
          <w:lang w:val="sr-Latn-ME"/>
        </w:rPr>
      </w:pPr>
      <w:r w:rsidRPr="009B3C93">
        <w:rPr>
          <w:sz w:val="22"/>
          <w:szCs w:val="22"/>
          <w:u w:val="single"/>
          <w:lang w:val="sr-Latn-ME"/>
        </w:rPr>
        <w:t>Opis odabranih neželjenih reakcija</w:t>
      </w:r>
      <w:bookmarkEnd w:id="29"/>
    </w:p>
    <w:p w14:paraId="06B97B28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14B671F2" w14:textId="19B2496B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i/>
          <w:iCs/>
          <w:sz w:val="22"/>
          <w:szCs w:val="22"/>
          <w:lang w:val="sr-Latn-ME"/>
        </w:rPr>
      </w:pPr>
      <w:bookmarkStart w:id="35" w:name="_Hlk158022609"/>
      <w:bookmarkStart w:id="36" w:name="_Hlk124406200"/>
      <w:r w:rsidRPr="009B3C93">
        <w:rPr>
          <w:i/>
          <w:iCs/>
          <w:sz w:val="22"/>
          <w:szCs w:val="22"/>
          <w:lang w:val="sr-Latn-ME"/>
        </w:rPr>
        <w:t>Povećana vr</w:t>
      </w:r>
      <w:r w:rsidR="008E03C8" w:rsidRPr="009B3C93">
        <w:rPr>
          <w:i/>
          <w:iCs/>
          <w:sz w:val="22"/>
          <w:szCs w:val="22"/>
          <w:lang w:val="sr-Latn-ME"/>
        </w:rPr>
        <w:t>ij</w:t>
      </w:r>
      <w:r w:rsidRPr="009B3C93">
        <w:rPr>
          <w:i/>
          <w:iCs/>
          <w:sz w:val="22"/>
          <w:szCs w:val="22"/>
          <w:lang w:val="sr-Latn-ME"/>
        </w:rPr>
        <w:t>ednost hemoglobina</w:t>
      </w:r>
    </w:p>
    <w:bookmarkEnd w:id="35"/>
    <w:p w14:paraId="363DFE2C" w14:textId="6777DAD3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U studiji STELLAR su zab</w:t>
      </w:r>
      <w:r w:rsidR="008E03C8" w:rsidRPr="009B3C93">
        <w:rPr>
          <w:sz w:val="22"/>
          <w:szCs w:val="22"/>
          <w:lang w:val="sr-Latn-ME"/>
        </w:rPr>
        <w:t>ilj</w:t>
      </w:r>
      <w:r w:rsidRPr="009B3C93">
        <w:rPr>
          <w:sz w:val="22"/>
          <w:szCs w:val="22"/>
          <w:lang w:val="sr-Latn-ME"/>
        </w:rPr>
        <w:t>ežene neželjene reakcije povećane vr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 xml:space="preserve">ednosti </w:t>
      </w:r>
      <w:bookmarkStart w:id="37" w:name="_Hlk176434045"/>
      <w:r w:rsidRPr="009B3C93">
        <w:rPr>
          <w:sz w:val="22"/>
          <w:szCs w:val="22"/>
          <w:lang w:val="sr-Latn-ME"/>
        </w:rPr>
        <w:t>hemoglobina</w:t>
      </w:r>
      <w:r w:rsidRPr="009B3C93" w:rsidDel="004A24BA">
        <w:rPr>
          <w:sz w:val="22"/>
          <w:szCs w:val="22"/>
          <w:lang w:val="sr-Latn-ME"/>
        </w:rPr>
        <w:t xml:space="preserve"> </w:t>
      </w:r>
      <w:bookmarkEnd w:id="37"/>
      <w:r w:rsidRPr="009B3C93">
        <w:rPr>
          <w:sz w:val="22"/>
          <w:szCs w:val="22"/>
          <w:lang w:val="sr-Latn-ME"/>
        </w:rPr>
        <w:t>(„povećane vr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ednosti hemoglobina“ i „policitemija“) kod 8,6% pacijenata koji primaju sotatercept. Na osnovu laboratorijskih podataka, um</w:t>
      </w:r>
      <w:r w:rsidR="008E03C8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ereni porasti vr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ednosti hemoglobina (&gt;</w:t>
      </w:r>
      <w:r w:rsidR="00597B19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1,24 mmol/</w:t>
      </w:r>
      <w:r w:rsidR="008E03C8" w:rsidRPr="009B3C93">
        <w:rPr>
          <w:sz w:val="22"/>
          <w:szCs w:val="22"/>
          <w:lang w:val="sr-Latn-ME"/>
        </w:rPr>
        <w:t>l</w:t>
      </w:r>
      <w:r w:rsidRPr="009B3C93">
        <w:rPr>
          <w:sz w:val="22"/>
          <w:szCs w:val="22"/>
          <w:lang w:val="sr-Latn-ME"/>
        </w:rPr>
        <w:t xml:space="preserve"> (2 g/d</w:t>
      </w:r>
      <w:r w:rsidR="008E03C8" w:rsidRPr="009B3C93">
        <w:rPr>
          <w:sz w:val="22"/>
          <w:szCs w:val="22"/>
          <w:lang w:val="sr-Latn-ME"/>
        </w:rPr>
        <w:t>l</w:t>
      </w:r>
      <w:r w:rsidRPr="009B3C93">
        <w:rPr>
          <w:sz w:val="22"/>
          <w:szCs w:val="22"/>
          <w:lang w:val="sr-Latn-ME"/>
        </w:rPr>
        <w:t>) iznad GGN) javili su se kod 15,3% pacijenata koji su primali sotatercept. Povećanja vr</w:t>
      </w:r>
      <w:r w:rsidR="008E03C8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ednosti hemoglobina zbrinjavala su se prilagođavanjima doza (vid</w:t>
      </w:r>
      <w:r w:rsidR="008E03C8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 xml:space="preserve">eti </w:t>
      </w:r>
      <w:r w:rsidR="008E03C8" w:rsidRPr="009B3C93">
        <w:rPr>
          <w:sz w:val="22"/>
          <w:szCs w:val="22"/>
          <w:lang w:val="sr-Latn-ME"/>
        </w:rPr>
        <w:t>djelove</w:t>
      </w:r>
      <w:r w:rsidRPr="009B3C93">
        <w:rPr>
          <w:sz w:val="22"/>
          <w:szCs w:val="22"/>
          <w:lang w:val="sr-Latn-ME"/>
        </w:rPr>
        <w:t xml:space="preserve"> 4.2 i 4.4).</w:t>
      </w:r>
    </w:p>
    <w:p w14:paraId="034CACBD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2F8B7E77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i/>
          <w:iCs/>
          <w:sz w:val="22"/>
          <w:szCs w:val="22"/>
          <w:lang w:val="sr-Latn-ME"/>
        </w:rPr>
      </w:pPr>
      <w:bookmarkStart w:id="38" w:name="_Hlk158022625"/>
      <w:r w:rsidRPr="009B3C93">
        <w:rPr>
          <w:i/>
          <w:iCs/>
          <w:sz w:val="22"/>
          <w:szCs w:val="22"/>
          <w:lang w:val="sr-Latn-ME"/>
        </w:rPr>
        <w:t>Trombocitopenija</w:t>
      </w:r>
    </w:p>
    <w:bookmarkEnd w:id="36"/>
    <w:bookmarkEnd w:id="38"/>
    <w:p w14:paraId="157F70BB" w14:textId="2658B70E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Trombocitopenija („trombocitopenija“ i „smanjeni broj trombocita“) zab</w:t>
      </w:r>
      <w:r w:rsidR="008E03C8" w:rsidRPr="009B3C93">
        <w:rPr>
          <w:sz w:val="22"/>
          <w:szCs w:val="22"/>
          <w:lang w:val="sr-Latn-ME"/>
        </w:rPr>
        <w:t>ilj</w:t>
      </w:r>
      <w:r w:rsidRPr="009B3C93">
        <w:rPr>
          <w:sz w:val="22"/>
          <w:szCs w:val="22"/>
          <w:lang w:val="sr-Latn-ME"/>
        </w:rPr>
        <w:t xml:space="preserve">ežena je kod 10,4% pacijenata koji su primala sotatercept. </w:t>
      </w:r>
      <w:r w:rsidRPr="009B3C93">
        <w:rPr>
          <w:bCs/>
          <w:sz w:val="22"/>
          <w:szCs w:val="22"/>
          <w:lang w:val="sr-Latn-ME"/>
        </w:rPr>
        <w:t>Ozbiljno smanjenje broja trombocita &lt;</w:t>
      </w:r>
      <w:r w:rsidR="00597B19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50 x 10</w:t>
      </w:r>
      <w:r w:rsidRPr="009B3C93">
        <w:rPr>
          <w:bCs/>
          <w:sz w:val="22"/>
          <w:szCs w:val="22"/>
          <w:vertAlign w:val="superscript"/>
          <w:lang w:val="sr-Latn-ME"/>
        </w:rPr>
        <w:t>9</w:t>
      </w:r>
      <w:r w:rsidRPr="009B3C93">
        <w:rPr>
          <w:bCs/>
          <w:sz w:val="22"/>
          <w:szCs w:val="22"/>
          <w:lang w:val="sr-Latn-ME"/>
        </w:rPr>
        <w:t>/</w:t>
      </w:r>
      <w:r w:rsidR="008E03C8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 xml:space="preserve"> javilo se kod 2,5% pacijenata koji su uzimali sotatercept. </w:t>
      </w:r>
      <w:r w:rsidRPr="009B3C93">
        <w:rPr>
          <w:sz w:val="22"/>
          <w:szCs w:val="22"/>
          <w:lang w:val="sr-Latn-ME"/>
        </w:rPr>
        <w:t>Trombocitopenija je češće prijavljena kod pacijenata koji takođe primaju infuziju prostaciklina (21,5%) u poređenju sa pacijentima koji ne primaju infuziju prostaciklina (3,1%).</w:t>
      </w:r>
      <w:r w:rsidRPr="009B3C93">
        <w:rPr>
          <w:bCs/>
          <w:sz w:val="22"/>
          <w:szCs w:val="22"/>
          <w:lang w:val="sr-Latn-ME"/>
        </w:rPr>
        <w:t xml:space="preserve"> </w:t>
      </w:r>
      <w:r w:rsidR="00597B19" w:rsidRPr="009B3C93">
        <w:rPr>
          <w:sz w:val="22"/>
          <w:szCs w:val="22"/>
          <w:lang w:val="sr-Latn-ME"/>
        </w:rPr>
        <w:t>Trombocitopenija se zbrinjavala prilagođavanjem doze</w:t>
      </w:r>
      <w:r w:rsidR="000F48EF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(vid</w:t>
      </w:r>
      <w:r w:rsidR="008E03C8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 xml:space="preserve">eti </w:t>
      </w:r>
      <w:r w:rsidR="008E03C8" w:rsidRPr="009B3C93">
        <w:rPr>
          <w:sz w:val="22"/>
          <w:szCs w:val="22"/>
          <w:lang w:val="sr-Latn-ME"/>
        </w:rPr>
        <w:t>djelove</w:t>
      </w:r>
      <w:r w:rsidRPr="009B3C93">
        <w:rPr>
          <w:sz w:val="22"/>
          <w:szCs w:val="22"/>
          <w:lang w:val="sr-Latn-ME"/>
        </w:rPr>
        <w:t> 4.2 i 4.4).</w:t>
      </w:r>
    </w:p>
    <w:p w14:paraId="551463B7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0A423CA6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i/>
          <w:iCs/>
          <w:sz w:val="22"/>
          <w:szCs w:val="22"/>
          <w:lang w:val="sr-Latn-ME"/>
        </w:rPr>
      </w:pPr>
      <w:bookmarkStart w:id="39" w:name="_Hlk156325797"/>
      <w:r w:rsidRPr="009B3C93">
        <w:rPr>
          <w:bCs/>
          <w:i/>
          <w:iCs/>
          <w:sz w:val="22"/>
          <w:szCs w:val="22"/>
          <w:lang w:val="sr-Latn-ME"/>
        </w:rPr>
        <w:t>Telangiektazija</w:t>
      </w:r>
    </w:p>
    <w:p w14:paraId="2A1D65A0" w14:textId="07D96288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Telangiektazija je prim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ećena kod 16,6% pacijenata koji uzimaju </w:t>
      </w:r>
      <w:r w:rsidRPr="009B3C93">
        <w:rPr>
          <w:sz w:val="22"/>
          <w:szCs w:val="22"/>
          <w:lang w:val="sr-Latn-ME"/>
        </w:rPr>
        <w:t>sotatercept</w:t>
      </w:r>
      <w:r w:rsidRPr="009B3C93">
        <w:rPr>
          <w:bCs/>
          <w:sz w:val="22"/>
          <w:szCs w:val="22"/>
          <w:lang w:val="sr-Latn-ME"/>
        </w:rPr>
        <w:t>. Srednje vr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eme do pojave simptoma je bilo 18,6 ned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elja. Prekidi l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ečenja zbog telangiektazije bili su 1% u grupi koja je dobijala sotatercept.</w:t>
      </w:r>
    </w:p>
    <w:bookmarkEnd w:id="39"/>
    <w:p w14:paraId="44D0833E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i/>
          <w:iCs/>
          <w:sz w:val="22"/>
          <w:szCs w:val="22"/>
          <w:lang w:val="sr-Latn-ME"/>
        </w:rPr>
      </w:pPr>
    </w:p>
    <w:p w14:paraId="0E47AC61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i/>
          <w:iCs/>
          <w:sz w:val="22"/>
          <w:szCs w:val="22"/>
          <w:lang w:val="sr-Latn-ME"/>
        </w:rPr>
      </w:pPr>
      <w:r w:rsidRPr="009B3C93">
        <w:rPr>
          <w:i/>
          <w:iCs/>
          <w:sz w:val="22"/>
          <w:szCs w:val="22"/>
          <w:lang w:val="sr-Latn-ME"/>
        </w:rPr>
        <w:t>Povišen krvni pritisak</w:t>
      </w:r>
    </w:p>
    <w:p w14:paraId="6EACCA52" w14:textId="0BE269A3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Povišen krvni pritisak zab</w:t>
      </w:r>
      <w:r w:rsidR="008E03C8" w:rsidRPr="009B3C93">
        <w:rPr>
          <w:bCs/>
          <w:sz w:val="22"/>
          <w:szCs w:val="22"/>
          <w:lang w:val="sr-Latn-ME"/>
        </w:rPr>
        <w:t>ilj</w:t>
      </w:r>
      <w:r w:rsidRPr="009B3C93">
        <w:rPr>
          <w:bCs/>
          <w:sz w:val="22"/>
          <w:szCs w:val="22"/>
          <w:lang w:val="sr-Latn-ME"/>
        </w:rPr>
        <w:t>ežen je kod 4,3% pacijenata koji primaju sotatercept. Kod pacijenata koji primaju sotatercept, srednji sistolni krvni pritisak je povećan sa početne vr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ednosti za 2,2 mmHg, a dijastolni krvni pritisak povećan za 4,9 mmHg u 24. ned</w:t>
      </w:r>
      <w:r w:rsidR="008E03C8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elji.</w:t>
      </w:r>
    </w:p>
    <w:p w14:paraId="75DA97C2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5DFCE3F0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sz w:val="22"/>
          <w:szCs w:val="22"/>
          <w:u w:val="single"/>
          <w:lang w:val="sr-Latn-ME"/>
        </w:rPr>
      </w:pPr>
      <w:r w:rsidRPr="009B3C93">
        <w:rPr>
          <w:sz w:val="22"/>
          <w:szCs w:val="22"/>
          <w:u w:val="single"/>
          <w:lang w:val="sr-Latn-ME"/>
        </w:rPr>
        <w:t>Stariji pacijenti</w:t>
      </w:r>
    </w:p>
    <w:p w14:paraId="49C14EC5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sz w:val="22"/>
          <w:szCs w:val="22"/>
          <w:u w:val="single"/>
          <w:lang w:val="sr-Latn-ME"/>
        </w:rPr>
      </w:pPr>
    </w:p>
    <w:p w14:paraId="17F7BA94" w14:textId="1FDC9899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Sa izuzetkom događaja krvarenja (kolektivna grupa neželjenih događaja od kliničkog interesa), nije bilo razlika u bezb</w:t>
      </w:r>
      <w:r w:rsidR="008E03C8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 xml:space="preserve">ednosti između podgrupa </w:t>
      </w:r>
      <w:bookmarkStart w:id="40" w:name="_Hlk176435096"/>
      <w:r w:rsidRPr="009B3C93">
        <w:rPr>
          <w:sz w:val="22"/>
          <w:szCs w:val="22"/>
          <w:lang w:val="sr-Latn-ME"/>
        </w:rPr>
        <w:t xml:space="preserve">starosti </w:t>
      </w:r>
      <w:bookmarkEnd w:id="40"/>
      <w:r w:rsidRPr="009B3C93">
        <w:rPr>
          <w:sz w:val="22"/>
          <w:szCs w:val="22"/>
          <w:lang w:val="sr-Latn-ME"/>
        </w:rPr>
        <w:t>&lt;</w:t>
      </w:r>
      <w:r w:rsidR="00597B19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65 godina i starosti ≥</w:t>
      </w:r>
      <w:r w:rsidR="00597B19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 xml:space="preserve">65 godina. Krvarenje se češće javljalo u starijoj podgrupi koja je primala sotatercept (52% </w:t>
      </w:r>
      <w:r w:rsidR="00597B19" w:rsidRPr="009B3C93">
        <w:rPr>
          <w:sz w:val="22"/>
          <w:szCs w:val="22"/>
          <w:lang w:val="sr-Latn-ME"/>
        </w:rPr>
        <w:t>na</w:t>
      </w:r>
      <w:r w:rsidRPr="009B3C93">
        <w:rPr>
          <w:sz w:val="22"/>
          <w:szCs w:val="22"/>
          <w:lang w:val="sr-Latn-ME"/>
        </w:rPr>
        <w:t>spram 31,9% kod pacijenata starosti &lt;</w:t>
      </w:r>
      <w:r w:rsidR="00597B19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65 godina); međutim, nije bilo zapaženog disbalansa između starosnih kategorija za bilo koju specifičnu pojavu krvarenja. Ozbiljno krvarenje se javilo kod 3,6% pacijenata starosti &lt;</w:t>
      </w:r>
      <w:r w:rsidR="00597B19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65 i kod 8,0% pacijenata starosti ≥</w:t>
      </w:r>
      <w:r w:rsidR="00597B19" w:rsidRPr="009B3C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65 koji su primali sotatercept.</w:t>
      </w:r>
    </w:p>
    <w:p w14:paraId="64FA1AAD" w14:textId="3F29C3A1" w:rsidR="001E53BD" w:rsidRDefault="001E53BD" w:rsidP="001B0E0B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4042D23A" w14:textId="77777777" w:rsidR="009B3C93" w:rsidRPr="009B3C93" w:rsidRDefault="009B3C93" w:rsidP="001B0E0B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21D24DFD" w14:textId="2AD0F6B8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lastRenderedPageBreak/>
        <w:t>Dugoročni podaci o bezb</w:t>
      </w:r>
      <w:r w:rsidR="008E03C8" w:rsidRPr="009B3C93">
        <w:rPr>
          <w:bCs/>
          <w:sz w:val="22"/>
          <w:szCs w:val="22"/>
          <w:u w:val="single"/>
          <w:lang w:val="sr-Latn-ME"/>
        </w:rPr>
        <w:t>j</w:t>
      </w:r>
      <w:r w:rsidRPr="009B3C93">
        <w:rPr>
          <w:bCs/>
          <w:sz w:val="22"/>
          <w:szCs w:val="22"/>
          <w:u w:val="single"/>
          <w:lang w:val="sr-Latn-ME"/>
        </w:rPr>
        <w:t>ednos</w:t>
      </w:r>
      <w:r w:rsidR="008E03C8" w:rsidRPr="009B3C93">
        <w:rPr>
          <w:bCs/>
          <w:sz w:val="22"/>
          <w:szCs w:val="22"/>
          <w:u w:val="single"/>
          <w:lang w:val="sr-Latn-ME"/>
        </w:rPr>
        <w:t>t</w:t>
      </w:r>
      <w:r w:rsidRPr="009B3C93">
        <w:rPr>
          <w:bCs/>
          <w:sz w:val="22"/>
          <w:szCs w:val="22"/>
          <w:u w:val="single"/>
          <w:lang w:val="sr-Latn-ME"/>
        </w:rPr>
        <w:t>i l</w:t>
      </w:r>
      <w:r w:rsidR="008E03C8" w:rsidRPr="009B3C93">
        <w:rPr>
          <w:bCs/>
          <w:sz w:val="22"/>
          <w:szCs w:val="22"/>
          <w:u w:val="single"/>
          <w:lang w:val="sr-Latn-ME"/>
        </w:rPr>
        <w:t>ij</w:t>
      </w:r>
      <w:r w:rsidRPr="009B3C93">
        <w:rPr>
          <w:bCs/>
          <w:sz w:val="22"/>
          <w:szCs w:val="22"/>
          <w:u w:val="single"/>
          <w:lang w:val="sr-Latn-ME"/>
        </w:rPr>
        <w:t>eka</w:t>
      </w:r>
    </w:p>
    <w:p w14:paraId="1C06A4A0" w14:textId="77777777" w:rsidR="00BD480A" w:rsidRPr="009B3C93" w:rsidRDefault="00BD480A" w:rsidP="00BD480A">
      <w:pPr>
        <w:tabs>
          <w:tab w:val="left" w:pos="540"/>
          <w:tab w:val="left" w:pos="567"/>
        </w:tabs>
        <w:rPr>
          <w:sz w:val="22"/>
          <w:szCs w:val="22"/>
          <w:lang w:val="sr-Latn-ME"/>
        </w:rPr>
      </w:pPr>
    </w:p>
    <w:p w14:paraId="45E64D11" w14:textId="04F22B71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bookmarkStart w:id="41" w:name="_Hlk165829483"/>
      <w:r w:rsidRPr="009B3C93">
        <w:rPr>
          <w:bCs/>
          <w:sz w:val="22"/>
          <w:szCs w:val="22"/>
          <w:lang w:val="sr-Latn-ME"/>
        </w:rPr>
        <w:t>Dugoročni podaci o bezb</w:t>
      </w:r>
      <w:r w:rsidR="00597B19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ednos</w:t>
      </w:r>
      <w:r w:rsidR="008E03C8" w:rsidRPr="009B3C93">
        <w:rPr>
          <w:bCs/>
          <w:sz w:val="22"/>
          <w:szCs w:val="22"/>
          <w:lang w:val="sr-Latn-ME"/>
        </w:rPr>
        <w:t>t</w:t>
      </w:r>
      <w:r w:rsidRPr="009B3C93">
        <w:rPr>
          <w:bCs/>
          <w:sz w:val="22"/>
          <w:szCs w:val="22"/>
          <w:lang w:val="sr-Latn-ME"/>
        </w:rPr>
        <w:t>i l</w:t>
      </w:r>
      <w:r w:rsidR="008E03C8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eka dostupni su iz objedinjenih</w:t>
      </w:r>
      <w:r w:rsidRPr="009B3C93" w:rsidDel="00A6696C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kliničkih studija faze 2 i faze 3 (n</w:t>
      </w:r>
      <w:r w:rsidR="00597B19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=</w:t>
      </w:r>
      <w:r w:rsidR="00597B19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431). Medijana</w:t>
      </w:r>
      <w:r w:rsidRPr="009B3C93" w:rsidDel="00A6696C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trajanja izloženosti</w:t>
      </w:r>
      <w:r w:rsidRPr="009B3C93" w:rsidDel="00A6696C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bila je 657 dana. Bezb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ednosni profil je uopšteno bio sličan onom koji je prim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ećen u pivotalnoj STELLAR studiji.</w:t>
      </w:r>
      <w:bookmarkEnd w:id="41"/>
    </w:p>
    <w:p w14:paraId="580EABB4" w14:textId="77777777" w:rsidR="004E70AD" w:rsidRPr="009B3C93" w:rsidRDefault="004E70AD" w:rsidP="001B0E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DDF886" w14:textId="77777777" w:rsidR="005A23D2" w:rsidRPr="009B3C93" w:rsidRDefault="005A23D2" w:rsidP="001B0E0B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9B3C93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6F94083D" w14:textId="77777777" w:rsidR="005A23D2" w:rsidRPr="009B3C93" w:rsidRDefault="005A23D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9B3C93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9B3C93">
        <w:rPr>
          <w:rFonts w:eastAsia="Calibri"/>
          <w:sz w:val="22"/>
          <w:szCs w:val="22"/>
          <w:lang w:val="sr-Latn-ME"/>
        </w:rPr>
        <w:t>inuirano praćenje odnosa korist</w:t>
      </w:r>
      <w:r w:rsidRPr="009B3C93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9B3C93">
        <w:rPr>
          <w:rFonts w:eastAsia="Calibri"/>
          <w:sz w:val="22"/>
          <w:szCs w:val="22"/>
          <w:lang w:val="sr-Latn-ME"/>
        </w:rPr>
        <w:t xml:space="preserve"> </w:t>
      </w:r>
      <w:r w:rsidRPr="009B3C93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9B3C93">
        <w:rPr>
          <w:rFonts w:eastAsia="Calibri"/>
          <w:sz w:val="22"/>
          <w:szCs w:val="22"/>
          <w:lang w:val="sr-Latn-ME"/>
        </w:rPr>
        <w:t>Institutu</w:t>
      </w:r>
      <w:r w:rsidRPr="009B3C93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9B3C93">
        <w:rPr>
          <w:rFonts w:eastAsia="Calibri"/>
          <w:sz w:val="22"/>
          <w:szCs w:val="22"/>
          <w:lang w:val="sr-Latn-ME"/>
        </w:rPr>
        <w:t xml:space="preserve"> </w:t>
      </w:r>
      <w:r w:rsidRPr="009B3C93">
        <w:rPr>
          <w:rFonts w:eastAsia="Calibri"/>
          <w:sz w:val="22"/>
          <w:szCs w:val="22"/>
          <w:lang w:val="sr-Latn-ME"/>
        </w:rPr>
        <w:t>(</w:t>
      </w:r>
      <w:r w:rsidR="004E70AD" w:rsidRPr="009B3C93">
        <w:rPr>
          <w:rFonts w:eastAsia="Calibri"/>
          <w:sz w:val="22"/>
          <w:szCs w:val="22"/>
          <w:lang w:val="sr-Latn-ME"/>
        </w:rPr>
        <w:t>CInMED</w:t>
      </w:r>
      <w:r w:rsidRPr="009B3C93">
        <w:rPr>
          <w:rFonts w:eastAsia="Calibri"/>
          <w:sz w:val="22"/>
          <w:szCs w:val="22"/>
          <w:lang w:val="sr-Latn-ME"/>
        </w:rPr>
        <w:t>):</w:t>
      </w:r>
    </w:p>
    <w:p w14:paraId="1D0D0B04" w14:textId="77777777" w:rsidR="005A23D2" w:rsidRPr="009B3C93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B3C93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9B3C93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186C5FDD" w14:textId="77777777" w:rsidR="005A23D2" w:rsidRPr="009B3C93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B3C93">
        <w:rPr>
          <w:rFonts w:eastAsia="Calibri"/>
          <w:sz w:val="22"/>
          <w:szCs w:val="22"/>
          <w:lang w:val="sr-Latn-ME"/>
        </w:rPr>
        <w:t>Odjeljenje za farmakovigilancu</w:t>
      </w:r>
    </w:p>
    <w:p w14:paraId="10A658BC" w14:textId="77777777" w:rsidR="00EA5765" w:rsidRPr="009B3C93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B3C93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8A6E7A8" w14:textId="77777777" w:rsidR="00EA5765" w:rsidRPr="009B3C93" w:rsidRDefault="00EA5765" w:rsidP="001B0E0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611FD30" w14:textId="77777777" w:rsidR="005A23D2" w:rsidRPr="009B3C93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B3C93">
        <w:rPr>
          <w:rFonts w:eastAsia="Calibri"/>
          <w:sz w:val="22"/>
          <w:szCs w:val="22"/>
          <w:lang w:val="sr-Latn-ME"/>
        </w:rPr>
        <w:t>tel: +382 (0) 20 310 280</w:t>
      </w:r>
    </w:p>
    <w:p w14:paraId="4B2AD628" w14:textId="77777777" w:rsidR="00EA5765" w:rsidRPr="009B3C93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9B3C93">
        <w:rPr>
          <w:rFonts w:eastAsia="Calibri"/>
          <w:sz w:val="22"/>
          <w:szCs w:val="22"/>
          <w:lang w:val="sr-Latn-ME"/>
        </w:rPr>
        <w:t>fax:</w:t>
      </w:r>
      <w:r w:rsidR="00EA5765" w:rsidRPr="009B3C93">
        <w:rPr>
          <w:rFonts w:eastAsia="Calibri"/>
          <w:sz w:val="22"/>
          <w:szCs w:val="22"/>
          <w:lang w:val="sr-Latn-ME"/>
        </w:rPr>
        <w:t xml:space="preserve"> </w:t>
      </w:r>
      <w:r w:rsidRPr="009B3C93">
        <w:rPr>
          <w:rFonts w:eastAsia="Calibri"/>
          <w:sz w:val="22"/>
          <w:szCs w:val="22"/>
          <w:lang w:val="sr-Latn-ME"/>
        </w:rPr>
        <w:t>+382 (0) 20 310 581</w:t>
      </w:r>
      <w:r w:rsidR="00FF3EDF" w:rsidRPr="009B3C93">
        <w:rPr>
          <w:rFonts w:eastAsia="Calibri"/>
          <w:sz w:val="22"/>
          <w:szCs w:val="22"/>
          <w:lang w:val="sr-Latn-ME"/>
        </w:rPr>
        <w:tab/>
      </w:r>
    </w:p>
    <w:p w14:paraId="45668D74" w14:textId="77777777" w:rsidR="005A23D2" w:rsidRPr="009B3C93" w:rsidRDefault="00AB1D3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9" w:history="1">
        <w:r w:rsidR="004E70AD" w:rsidRPr="009B3C93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A4D7B94" w14:textId="77777777" w:rsidR="00EA5765" w:rsidRPr="009B3C93" w:rsidRDefault="00AB1D30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0" w:history="1">
        <w:r w:rsidR="004E70AD" w:rsidRPr="009B3C93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98A8779" w14:textId="77777777" w:rsidR="005A23D2" w:rsidRPr="009B3C93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B3C93">
        <w:rPr>
          <w:rFonts w:eastAsia="Calibri"/>
          <w:sz w:val="22"/>
          <w:szCs w:val="22"/>
          <w:lang w:val="sr-Latn-ME"/>
        </w:rPr>
        <w:t>putem IS zdravstvene zaštite</w:t>
      </w:r>
    </w:p>
    <w:p w14:paraId="327C1B54" w14:textId="77777777" w:rsidR="007E31E9" w:rsidRPr="009B3C93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B3C93">
        <w:rPr>
          <w:rFonts w:eastAsia="Calibri"/>
          <w:sz w:val="22"/>
          <w:szCs w:val="22"/>
          <w:lang w:val="sr-Latn-ME"/>
        </w:rPr>
        <w:t>QR kod za online prijavu</w:t>
      </w:r>
      <w:r w:rsidR="00D74CD2" w:rsidRPr="009B3C93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9B3C93">
        <w:rPr>
          <w:rFonts w:eastAsia="Calibri"/>
          <w:sz w:val="22"/>
          <w:szCs w:val="22"/>
          <w:lang w:val="sr-Latn-ME"/>
        </w:rPr>
        <w:t>:</w:t>
      </w:r>
    </w:p>
    <w:p w14:paraId="5E312E58" w14:textId="77777777" w:rsidR="004F17E2" w:rsidRPr="009B3C93" w:rsidRDefault="004F17E2" w:rsidP="001B0E0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FCBD517" w14:textId="77777777" w:rsidR="00836B35" w:rsidRPr="009B3C93" w:rsidRDefault="007F661E" w:rsidP="001B0E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noProof/>
          <w:sz w:val="22"/>
          <w:szCs w:val="22"/>
        </w:rPr>
        <w:drawing>
          <wp:inline distT="0" distB="0" distL="0" distR="0" wp14:anchorId="1BB09B30" wp14:editId="59C82ACF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A9524" w14:textId="77777777" w:rsidR="007F661E" w:rsidRPr="009B3C93" w:rsidRDefault="007F661E" w:rsidP="001B0E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F8725A" w14:textId="77777777" w:rsidR="00CD6F02" w:rsidRPr="009B3C93" w:rsidRDefault="0072020E" w:rsidP="001B0E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4.9.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Predoziranje</w:t>
      </w:r>
      <w:r w:rsidR="002846DB" w:rsidRPr="009B3C93">
        <w:rPr>
          <w:b/>
          <w:bCs/>
          <w:sz w:val="22"/>
          <w:szCs w:val="22"/>
          <w:lang w:val="sr-Latn-ME"/>
        </w:rPr>
        <w:t xml:space="preserve"> </w:t>
      </w:r>
    </w:p>
    <w:p w14:paraId="1747AC3B" w14:textId="77777777" w:rsidR="00CD6F02" w:rsidRPr="009B3C93" w:rsidRDefault="00CD6F02" w:rsidP="001B0E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1244217" w14:textId="18258316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U studiji faze 1 sa zdravim dobrovoljcima,, kod jednog učesnika koji je dobijao dozu od 1 mg/kg sotatercepta zab</w:t>
      </w:r>
      <w:r w:rsidR="00F92656" w:rsidRPr="009B3C93">
        <w:rPr>
          <w:sz w:val="22"/>
          <w:szCs w:val="22"/>
          <w:lang w:val="sr-Latn-ME"/>
        </w:rPr>
        <w:t>ilj</w:t>
      </w:r>
      <w:r w:rsidRPr="009B3C93">
        <w:rPr>
          <w:sz w:val="22"/>
          <w:szCs w:val="22"/>
          <w:lang w:val="sr-Latn-ME"/>
        </w:rPr>
        <w:t>ežen je porast vr</w:t>
      </w:r>
      <w:r w:rsidR="00F92656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 xml:space="preserve">ednosti </w:t>
      </w:r>
      <w:bookmarkStart w:id="42" w:name="_Hlk176439752"/>
      <w:r w:rsidRPr="009B3C93">
        <w:rPr>
          <w:sz w:val="22"/>
          <w:szCs w:val="22"/>
          <w:lang w:val="sr-Latn-ME"/>
        </w:rPr>
        <w:t xml:space="preserve">hemoglobina </w:t>
      </w:r>
      <w:bookmarkEnd w:id="42"/>
      <w:r w:rsidRPr="009B3C93">
        <w:rPr>
          <w:sz w:val="22"/>
          <w:szCs w:val="22"/>
          <w:lang w:val="sr-Latn-ME"/>
        </w:rPr>
        <w:t>povezan sa simptomatskom hipertenzijom, što se poboljšalo flebotomijom.</w:t>
      </w:r>
    </w:p>
    <w:p w14:paraId="57082B85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3422B2A4" w14:textId="1699C16C" w:rsidR="00BD480A" w:rsidRPr="009B3C93" w:rsidRDefault="00BD480A" w:rsidP="001B0E0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U slučaju predoziranja kod pacijenta sa PAH, treba pažljivo pratiti povećanje vr</w:t>
      </w:r>
      <w:r w:rsidR="00F92656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ednosti hemoglobina i krvnog pritiska, a po potrebi treba omogućiti i dodatnu n</w:t>
      </w:r>
      <w:r w:rsidR="00F92656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egu (vid</w:t>
      </w:r>
      <w:r w:rsidR="00F92656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 xml:space="preserve">eti </w:t>
      </w:r>
      <w:r w:rsidR="00F92656" w:rsidRPr="009B3C93">
        <w:rPr>
          <w:sz w:val="22"/>
          <w:szCs w:val="22"/>
          <w:lang w:val="sr-Latn-ME"/>
        </w:rPr>
        <w:t>djelove</w:t>
      </w:r>
      <w:r w:rsidRPr="009B3C93">
        <w:rPr>
          <w:sz w:val="22"/>
          <w:szCs w:val="22"/>
          <w:lang w:val="sr-Latn-ME"/>
        </w:rPr>
        <w:t xml:space="preserve"> 4.2 i 4.4). Sotatercept nije dijalizabilan tokom hemodijalize.</w:t>
      </w:r>
    </w:p>
    <w:p w14:paraId="33A71C7D" w14:textId="7FABDB05" w:rsidR="00227BDB" w:rsidRPr="009B3C93" w:rsidRDefault="00227BDB" w:rsidP="001B0E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FE59CE" w14:textId="77777777" w:rsidR="00E52E41" w:rsidRPr="009B3C93" w:rsidRDefault="00E52E41" w:rsidP="001B0E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CFCC512" w14:textId="77777777" w:rsidR="0072020E" w:rsidRPr="009B3C93" w:rsidRDefault="0072020E" w:rsidP="001B0E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5.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FARMAKOLOŠK</w:t>
      </w:r>
      <w:r w:rsidR="000D425A" w:rsidRPr="009B3C93">
        <w:rPr>
          <w:b/>
          <w:bCs/>
          <w:sz w:val="22"/>
          <w:szCs w:val="22"/>
          <w:lang w:val="sr-Latn-ME"/>
        </w:rPr>
        <w:t>I</w:t>
      </w:r>
      <w:r w:rsidRPr="009B3C93">
        <w:rPr>
          <w:b/>
          <w:bCs/>
          <w:sz w:val="22"/>
          <w:szCs w:val="22"/>
          <w:lang w:val="sr-Latn-ME"/>
        </w:rPr>
        <w:t xml:space="preserve"> PODACI</w:t>
      </w:r>
    </w:p>
    <w:p w14:paraId="78211F53" w14:textId="77777777" w:rsidR="0072020E" w:rsidRPr="009B3C93" w:rsidRDefault="0072020E" w:rsidP="001B0E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9BBA08D" w14:textId="77777777" w:rsidR="0072020E" w:rsidRPr="009B3C93" w:rsidRDefault="0072020E" w:rsidP="001B0E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5.1.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Farmakodinamski podaci</w:t>
      </w:r>
      <w:r w:rsidR="003A7059" w:rsidRPr="009B3C93">
        <w:rPr>
          <w:b/>
          <w:bCs/>
          <w:sz w:val="22"/>
          <w:szCs w:val="22"/>
          <w:lang w:val="sr-Latn-ME"/>
        </w:rPr>
        <w:t xml:space="preserve"> </w:t>
      </w:r>
    </w:p>
    <w:p w14:paraId="1E0AFC32" w14:textId="77777777" w:rsidR="00F45F77" w:rsidRPr="009B3C93" w:rsidRDefault="00F45F77" w:rsidP="001B0E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679BBC5" w14:textId="2FE9571F" w:rsidR="0072020E" w:rsidRPr="009B3C93" w:rsidRDefault="0072020E" w:rsidP="001B0E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Farmakoterapijska grupa:</w:t>
      </w:r>
      <w:r w:rsidR="00BD480A" w:rsidRPr="009B3C93">
        <w:rPr>
          <w:sz w:val="22"/>
          <w:szCs w:val="22"/>
          <w:lang w:val="sr-Latn-ME" w:eastAsia="en-IN"/>
        </w:rPr>
        <w:t xml:space="preserve"> </w:t>
      </w:r>
      <w:r w:rsidR="00BD480A" w:rsidRPr="009B3C93">
        <w:rPr>
          <w:bCs/>
          <w:sz w:val="22"/>
          <w:szCs w:val="22"/>
          <w:lang w:val="sr-Latn-ME"/>
        </w:rPr>
        <w:t>antihipertenzivi, antihipertenzivi za plućnu arterijsku hipertenziju.</w:t>
      </w:r>
    </w:p>
    <w:p w14:paraId="2725317C" w14:textId="77777777" w:rsidR="0072020E" w:rsidRPr="009B3C93" w:rsidRDefault="0072020E" w:rsidP="001B0E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E82F5F" w14:textId="4496B3DD" w:rsidR="0072020E" w:rsidRPr="009B3C93" w:rsidRDefault="0072020E" w:rsidP="001B0E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ATC kod:</w:t>
      </w:r>
      <w:r w:rsidR="00BD480A" w:rsidRPr="009B3C93">
        <w:rPr>
          <w:sz w:val="22"/>
          <w:szCs w:val="20"/>
          <w:lang w:val="sr-Latn-ME" w:eastAsia="en-IN"/>
        </w:rPr>
        <w:t xml:space="preserve"> </w:t>
      </w:r>
      <w:r w:rsidR="00BD480A" w:rsidRPr="009B3C93">
        <w:rPr>
          <w:bCs/>
          <w:sz w:val="22"/>
          <w:szCs w:val="22"/>
          <w:lang w:val="sr-Latn-ME"/>
        </w:rPr>
        <w:t>C02KX06</w:t>
      </w:r>
    </w:p>
    <w:p w14:paraId="6FFA67CA" w14:textId="77777777" w:rsidR="00BD480A" w:rsidRPr="009B3C93" w:rsidRDefault="00BD480A" w:rsidP="001B0E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87A994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>Mehanizam dejstva</w:t>
      </w:r>
    </w:p>
    <w:p w14:paraId="668170CC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0ED140BE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 xml:space="preserve">Sotatercept je inhibitor signalizacije aktivina sa visokom selektivnošću za aktivin A, dimerni glikoprotein koji pripada superfamiliji liganda transformišućeg faktora rasta β (engl. </w:t>
      </w:r>
      <w:r w:rsidRPr="009B3C93">
        <w:rPr>
          <w:bCs/>
          <w:i/>
          <w:iCs/>
          <w:sz w:val="22"/>
          <w:szCs w:val="22"/>
          <w:lang w:val="sr-Latn-ME"/>
        </w:rPr>
        <w:t>transforming growth factor-β</w:t>
      </w:r>
      <w:r w:rsidRPr="009B3C93">
        <w:rPr>
          <w:bCs/>
          <w:sz w:val="22"/>
          <w:szCs w:val="22"/>
          <w:lang w:val="sr-Latn-ME"/>
        </w:rPr>
        <w:t>, TGF-β). Aktivin A se vezuje za receptor aktivina tipа IIA (ActRIIA) i tako reguliše ključnu signalizaciju za upalu, proliferaciju ćelija, apoptozu i homeostazu tkiva.</w:t>
      </w:r>
    </w:p>
    <w:p w14:paraId="0CAD6B74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73FFFDFB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lastRenderedPageBreak/>
        <w:t xml:space="preserve">Nivoi aktivina A su povećani kod pacijenata koji imaju PAH. Vezivanje aktivina za ActRIIA promoviše proliferativnu </w:t>
      </w:r>
      <w:bookmarkStart w:id="43" w:name="_Hlk176444165"/>
      <w:bookmarkStart w:id="44" w:name="_Hlk176441111"/>
      <w:r w:rsidRPr="009B3C93">
        <w:rPr>
          <w:bCs/>
          <w:sz w:val="22"/>
          <w:szCs w:val="22"/>
          <w:lang w:val="sr-Latn-ME"/>
        </w:rPr>
        <w:t>signalizaciju</w:t>
      </w:r>
      <w:bookmarkEnd w:id="43"/>
      <w:bookmarkEnd w:id="44"/>
      <w:r w:rsidRPr="009B3C93">
        <w:rPr>
          <w:bCs/>
          <w:sz w:val="22"/>
          <w:szCs w:val="22"/>
          <w:lang w:val="sr-Latn-ME"/>
        </w:rPr>
        <w:t>, dolazi do smanjenja anti-proliferativne signalizacije</w:t>
      </w:r>
      <w:r w:rsidRPr="009B3C93" w:rsidDel="00732990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 xml:space="preserve">putem receptora tipa II koštanog morfogenetskog proteina (engl. </w:t>
      </w:r>
      <w:r w:rsidRPr="009B3C93">
        <w:rPr>
          <w:bCs/>
          <w:i/>
          <w:iCs/>
          <w:sz w:val="22"/>
          <w:szCs w:val="22"/>
          <w:lang w:val="sr-Latn-ME"/>
        </w:rPr>
        <w:t>bone morphogenetic protein receptor type II</w:t>
      </w:r>
      <w:r w:rsidRPr="009B3C93">
        <w:rPr>
          <w:bCs/>
          <w:sz w:val="22"/>
          <w:szCs w:val="22"/>
          <w:lang w:val="sr-Latn-ME"/>
        </w:rPr>
        <w:t>, BMPRII). Neuravnotežena signalizacija putem ActRIIA-BMPRII, koja je u osnovi PAH-a, dovodi do hiperproliferacije vaskularnih ćelija, što uzrokuje patološko preoblikovanje zida plućne arterije, sužavanja lumena arterije i povećanje plućnog vaskularnog otpora, i dovodi do povećanja plućnog arterijskog pritiska i disfunkcije desne komore.</w:t>
      </w:r>
    </w:p>
    <w:p w14:paraId="3EBF72E8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51A7F756" w14:textId="23E41C98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Sotatercept se sastoji od rekombinantnog homodimerskog fuzionog proteina koji sadrži aktivinski receptor tipa IIA-Fc (ActRIIA-Fc), koji d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eluje kao zamka za ligande koja prikuplja višak aktivina A i drugih liganada za ActRIIA kako bi se inhibiralo signaliziranje putem aktivina. Kao rezultat toga, sotatercept ponovo uspostavlja ravnotežu između pro-proliferativne (posredovanu ActRIIA/Smad2/3) i anti-proliferativne (posredovanu BMPRII/Smad1/5/8) signalizacije</w:t>
      </w:r>
      <w:r w:rsidRPr="009B3C93" w:rsidDel="00C915EC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radi modulacije vaskularne proliferacije.</w:t>
      </w:r>
    </w:p>
    <w:p w14:paraId="33C87BE7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2D4628B5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>Farmakodinamski efekti</w:t>
      </w:r>
    </w:p>
    <w:p w14:paraId="77946EC8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146AF65B" w14:textId="45AAA245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Klinička studija faze 2 (PULSAR) proc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enila je plućnu vaskularnu rezistenciju (engl. </w:t>
      </w:r>
      <w:r w:rsidRPr="009B3C93">
        <w:rPr>
          <w:bCs/>
          <w:i/>
          <w:iCs/>
          <w:sz w:val="22"/>
          <w:szCs w:val="22"/>
          <w:lang w:val="sr-Latn-ME"/>
        </w:rPr>
        <w:t>pulmonary vascular resistance</w:t>
      </w:r>
      <w:r w:rsidRPr="009B3C93">
        <w:rPr>
          <w:bCs/>
          <w:sz w:val="22"/>
          <w:szCs w:val="22"/>
          <w:lang w:val="sr-Latn-ME"/>
        </w:rPr>
        <w:t>, PVR) kod pacijenata koji imaju PAH nakon 24 ned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elje l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ečenja sotaterceptom. Smanjenje PVR u odnosu na početnu vr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ednost bilo je znatno veće u grupama koje su primale sotatercept </w:t>
      </w:r>
      <w:bookmarkStart w:id="45" w:name="_Hlk176445081"/>
      <w:r w:rsidRPr="009B3C93">
        <w:rPr>
          <w:bCs/>
          <w:sz w:val="22"/>
          <w:szCs w:val="22"/>
          <w:lang w:val="sr-Latn-ME"/>
        </w:rPr>
        <w:t>u dozi od</w:t>
      </w:r>
      <w:bookmarkEnd w:id="45"/>
      <w:r w:rsidRPr="009B3C93">
        <w:rPr>
          <w:bCs/>
          <w:sz w:val="22"/>
          <w:szCs w:val="22"/>
          <w:lang w:val="sr-Latn-ME"/>
        </w:rPr>
        <w:t xml:space="preserve"> 0,7 mg/kg i 0,3 mg/kg u poređenju sa grupom koja je primala placebo. Srednja vr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ednost razlike od početka ispitivanja prilagođena za placebo i izračunata metodom najmanjih kvadrata (engl. </w:t>
      </w:r>
      <w:r w:rsidRPr="009B3C93">
        <w:rPr>
          <w:bCs/>
          <w:i/>
          <w:iCs/>
          <w:sz w:val="22"/>
          <w:szCs w:val="22"/>
          <w:lang w:val="sr-Latn-ME"/>
        </w:rPr>
        <w:t xml:space="preserve">least squares mean, </w:t>
      </w:r>
      <w:r w:rsidRPr="009B3C93">
        <w:rPr>
          <w:bCs/>
          <w:sz w:val="22"/>
          <w:szCs w:val="22"/>
          <w:lang w:val="sr-Latn-ME"/>
        </w:rPr>
        <w:t>LS) iznosila je -269,4 dyn*sec/cm</w:t>
      </w:r>
      <w:r w:rsidRPr="009B3C93">
        <w:rPr>
          <w:bCs/>
          <w:sz w:val="22"/>
          <w:szCs w:val="22"/>
          <w:vertAlign w:val="superscript"/>
          <w:lang w:val="sr-Latn-ME"/>
        </w:rPr>
        <w:t>5</w:t>
      </w:r>
      <w:r w:rsidRPr="009B3C93">
        <w:rPr>
          <w:bCs/>
          <w:sz w:val="22"/>
          <w:szCs w:val="22"/>
          <w:lang w:val="sr-Latn-ME"/>
        </w:rPr>
        <w:t xml:space="preserve"> (95% CI: -365,8, -173,0) za grupu koja je primala sotatercept u dozi od 0,7 mg/kg i -151,1 dyn*sec/cm</w:t>
      </w:r>
      <w:r w:rsidRPr="009B3C93">
        <w:rPr>
          <w:bCs/>
          <w:sz w:val="22"/>
          <w:szCs w:val="22"/>
          <w:vertAlign w:val="superscript"/>
          <w:lang w:val="sr-Latn-ME"/>
        </w:rPr>
        <w:t>5</w:t>
      </w:r>
      <w:r w:rsidRPr="009B3C93">
        <w:rPr>
          <w:bCs/>
          <w:sz w:val="22"/>
          <w:szCs w:val="22"/>
          <w:lang w:val="sr-Latn-ME"/>
        </w:rPr>
        <w:t xml:space="preserve"> (95% CI: -249,6, -52,6) za grupu koja je primala sotatercept u dozi od 0,3 mg/kg.</w:t>
      </w:r>
    </w:p>
    <w:p w14:paraId="6679B2BC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65CAC08B" w14:textId="5A4385E8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U modelima PAH kod pacova, analog sotatercepta je smanjio ekspresiju proinflamatornih markera u zidu plućne arterije, smanjio privlačenje leukocita, inhibirao proliferaciju endotelnih i ćelija glatkih mišića i posp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ešio je apoptozu u obol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eloj vaskulaturi. Ove ćelijske prom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bile su povezane sa tanjim zidovima krvnih sudova, reverzijom preoblikovanja arterija i desne komore i poboljšanom hemodinamikom.</w:t>
      </w:r>
    </w:p>
    <w:p w14:paraId="2E498411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555C4569" w14:textId="6B750C7D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bookmarkStart w:id="46" w:name="_Hlk124406306"/>
      <w:bookmarkStart w:id="47" w:name="_Hlk146316141"/>
      <w:r w:rsidRPr="009B3C93">
        <w:rPr>
          <w:bCs/>
          <w:sz w:val="22"/>
          <w:szCs w:val="22"/>
          <w:u w:val="single"/>
          <w:lang w:val="sr-Latn-ME"/>
        </w:rPr>
        <w:t>Klinička efikasnost i bezb</w:t>
      </w:r>
      <w:r w:rsidR="00F92656" w:rsidRPr="009B3C93">
        <w:rPr>
          <w:bCs/>
          <w:sz w:val="22"/>
          <w:szCs w:val="22"/>
          <w:u w:val="single"/>
          <w:lang w:val="sr-Latn-ME"/>
        </w:rPr>
        <w:t>j</w:t>
      </w:r>
      <w:r w:rsidRPr="009B3C93">
        <w:rPr>
          <w:bCs/>
          <w:sz w:val="22"/>
          <w:szCs w:val="22"/>
          <w:u w:val="single"/>
          <w:lang w:val="sr-Latn-ME"/>
        </w:rPr>
        <w:t>ednost</w:t>
      </w:r>
    </w:p>
    <w:p w14:paraId="4FDFA0B0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51246E15" w14:textId="484A150B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Efikasnost sotatercepta je proc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enjena kod odraslih pacijenata koji imaju PAH u pivotalnoj STELLAR studiji. STELLAR je bila dvostruko sl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epa, placebom kontrolisana, multicentrična klinička studija sa paralelnim grupama u kojoj su 323 pacijenta sa PAH (funkcionalne klase II ili III grupe 1 prema klasifikaciji SZO) randomizovani u odnosu 1:1 za primanje sotatercepta (početna doza od 0,3 mg/kg povećana do ciljne doze od 0,7 mg/kg) (n=163) ili placeba (n=160) prim</w:t>
      </w:r>
      <w:r w:rsidR="00B76923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enjenih</w:t>
      </w:r>
      <w:r w:rsidRPr="009B3C93" w:rsidDel="00845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su</w:t>
      </w:r>
      <w:r w:rsidR="00B76923" w:rsidRPr="009B3C93">
        <w:rPr>
          <w:bCs/>
          <w:sz w:val="22"/>
          <w:szCs w:val="22"/>
          <w:lang w:val="sr-Latn-ME"/>
        </w:rPr>
        <w:t>b</w:t>
      </w:r>
      <w:r w:rsidRPr="009B3C93">
        <w:rPr>
          <w:bCs/>
          <w:sz w:val="22"/>
          <w:szCs w:val="22"/>
          <w:lang w:val="sr-Latn-ME"/>
        </w:rPr>
        <w:t>kutano jednom na svake 3 ned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elje. Pacijenti su nastavili sa terapijom tokom dugoročnog</w:t>
      </w:r>
      <w:r w:rsidR="00B76923" w:rsidRPr="009B3C93">
        <w:rPr>
          <w:bCs/>
          <w:sz w:val="22"/>
          <w:szCs w:val="22"/>
          <w:lang w:val="sr-Latn-ME"/>
        </w:rPr>
        <w:t>,</w:t>
      </w:r>
      <w:r w:rsidRPr="009B3C93">
        <w:rPr>
          <w:bCs/>
          <w:sz w:val="22"/>
          <w:szCs w:val="22"/>
          <w:lang w:val="sr-Latn-ME"/>
        </w:rPr>
        <w:t xml:space="preserve"> dvostruko sl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epog perioda l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ečenja dok svi pacijenti ni</w:t>
      </w:r>
      <w:r w:rsidR="00B76923" w:rsidRPr="009B3C93">
        <w:rPr>
          <w:bCs/>
          <w:sz w:val="22"/>
          <w:szCs w:val="22"/>
          <w:lang w:val="sr-Latn-ME"/>
        </w:rPr>
        <w:t>je</w:t>
      </w:r>
      <w:r w:rsidRPr="009B3C93">
        <w:rPr>
          <w:bCs/>
          <w:sz w:val="22"/>
          <w:szCs w:val="22"/>
          <w:lang w:val="sr-Latn-ME"/>
        </w:rPr>
        <w:t>su završili 24. ned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elju ispitivanja.</w:t>
      </w:r>
    </w:p>
    <w:p w14:paraId="7D9FF5EA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bookmarkStart w:id="48" w:name="_Hlk124406329"/>
      <w:bookmarkEnd w:id="46"/>
    </w:p>
    <w:p w14:paraId="7CAA0D7C" w14:textId="5B87051C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Učesnici ove studije bili su odrasli pacijenti sa medijanom starosti od 48,0 godina (opseg: od 18 do 82 godine), od čega je 16,7% bilo starosti ≥</w:t>
      </w:r>
      <w:r w:rsidR="00B76923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65 godina. Medijana t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elesne mase je bila 68,2 kg (opseg: od 38,0 do 141,3 kg); 89,2% učesnika su bili b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ele rase, a 79,3% nije bilo hispanoameričkog ili latinoameričkog porekla; a 79,3% su bile žene. Najčešće etiologije PAH bile su idiopatska PAH (58,5%), nasl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edna PAH (18,3%) i PAH povezana sa bolestima vezivnog tkiva (14,9%), PAH povezana sa jednostavnim urođenim srčanim oboljenjem sa popravljenim sistemskim plućnim šantovima (5%), ili PAH izazvana l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ekom ili toksinom (3,4%). Srednja vr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 vremena</w:t>
      </w:r>
      <w:r w:rsidRPr="009B3C93" w:rsidDel="005D7F3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od dijagnoze PAH do skrininga iznosila</w:t>
      </w:r>
      <w:r w:rsidRPr="009B3C93" w:rsidDel="005D7F3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je 8,76 godina.</w:t>
      </w:r>
    </w:p>
    <w:p w14:paraId="22D45B70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5E76E9C0" w14:textId="5C8596D2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Većina učesnika primala je ili trostruku (61,3%) ili dvostruku (34,7%) osnovnu</w:t>
      </w:r>
      <w:r w:rsidRPr="009B3C93" w:rsidDel="005D7F3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terapiju za PAH, a više od jedne trećine (39,9%) primalo</w:t>
      </w:r>
      <w:r w:rsidRPr="009B3C93" w:rsidDel="005D7F3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je infuzije prostaciklina. Ud</w:t>
      </w:r>
      <w:r w:rsidR="00F92656" w:rsidRPr="009B3C93">
        <w:rPr>
          <w:bCs/>
          <w:sz w:val="22"/>
          <w:szCs w:val="22"/>
          <w:lang w:val="sr-Latn-ME"/>
        </w:rPr>
        <w:t>i</w:t>
      </w:r>
      <w:r w:rsidRPr="009B3C93">
        <w:rPr>
          <w:bCs/>
          <w:sz w:val="22"/>
          <w:szCs w:val="22"/>
          <w:lang w:val="sr-Latn-ME"/>
        </w:rPr>
        <w:t xml:space="preserve">o učesnika sa bolešću funkcionalne klase II </w:t>
      </w:r>
      <w:bookmarkStart w:id="49" w:name="_Hlk176506081"/>
      <w:r w:rsidRPr="009B3C93">
        <w:rPr>
          <w:bCs/>
          <w:sz w:val="22"/>
          <w:szCs w:val="22"/>
          <w:lang w:val="sr-Latn-ME"/>
        </w:rPr>
        <w:t>prema SZO</w:t>
      </w:r>
      <w:bookmarkEnd w:id="49"/>
      <w:r w:rsidRPr="009B3C93">
        <w:rPr>
          <w:bCs/>
          <w:sz w:val="22"/>
          <w:szCs w:val="22"/>
          <w:lang w:val="sr-Latn-ME"/>
        </w:rPr>
        <w:t xml:space="preserve"> bio je 48,6%, dok je njih 51,4% imalo bolest funkcionalne klase III prema SZO. Studija STELLAR isključila je pacijente kojima je dijagnostikovana PAH povezana sa HIV, PAH povezana sa hipertenzijom portalne vene, PAH povezan sa šistozomijazom i vensko-okluzivnom bolešću pluća (PVOD).</w:t>
      </w:r>
    </w:p>
    <w:bookmarkEnd w:id="48"/>
    <w:p w14:paraId="12F2506E" w14:textId="42740D53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lastRenderedPageBreak/>
        <w:t>Primarna mera ishoda efikasnosti bila je prom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ena u posmatranom rastojanju koje se p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ešačenjem prelazi za 6 minuta (engl. </w:t>
      </w:r>
      <w:r w:rsidRPr="009B3C93">
        <w:rPr>
          <w:bCs/>
          <w:i/>
          <w:iCs/>
          <w:sz w:val="22"/>
          <w:szCs w:val="22"/>
          <w:lang w:val="sr-Latn-ME"/>
        </w:rPr>
        <w:t>6-Minute Walk Distance</w:t>
      </w:r>
      <w:r w:rsidRPr="009B3C93">
        <w:rPr>
          <w:bCs/>
          <w:sz w:val="22"/>
          <w:szCs w:val="22"/>
          <w:lang w:val="sr-Latn-ME"/>
        </w:rPr>
        <w:t>, 6MWD) u 24. ned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elji u odnosu </w:t>
      </w:r>
      <w:bookmarkStart w:id="50" w:name="_Hlk177376328"/>
      <w:r w:rsidRPr="009B3C93">
        <w:rPr>
          <w:bCs/>
          <w:sz w:val="22"/>
          <w:szCs w:val="22"/>
          <w:lang w:val="sr-Latn-ME"/>
        </w:rPr>
        <w:t>na onu na početku ispitivanja</w:t>
      </w:r>
      <w:bookmarkEnd w:id="50"/>
      <w:r w:rsidRPr="009B3C93">
        <w:rPr>
          <w:bCs/>
          <w:sz w:val="22"/>
          <w:szCs w:val="22"/>
          <w:lang w:val="sr-Latn-ME"/>
        </w:rPr>
        <w:t>. U grupi koja je primala sotatercept kao terapiju, medijana prom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u vr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ednosti 6MWD prilagođene za placebo u 24. ned</w:t>
      </w:r>
      <w:r w:rsidR="00B76923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elji</w:t>
      </w:r>
      <w:r w:rsidRPr="009B3C93" w:rsidDel="00346E95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u odnosu na onu na početku ispitivanja bila je 40,8 metara (95% CI: 27,5, 54,1; p &lt;</w:t>
      </w:r>
      <w:r w:rsidR="00B76923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0,001). Medijana prom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u vr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ednosti za 6MWD prilagođene za placebo u 24. ned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elji takođe je proc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enjena u podgrupama. Efekat l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ečenja je bio dosl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edan u različitim </w:t>
      </w:r>
      <w:bookmarkStart w:id="51" w:name="_Hlk176507485"/>
      <w:r w:rsidRPr="009B3C93">
        <w:rPr>
          <w:bCs/>
          <w:sz w:val="22"/>
          <w:szCs w:val="22"/>
          <w:lang w:val="sr-Latn-ME"/>
        </w:rPr>
        <w:t>podgrupama</w:t>
      </w:r>
      <w:bookmarkEnd w:id="51"/>
      <w:r w:rsidRPr="009B3C93">
        <w:rPr>
          <w:bCs/>
          <w:sz w:val="22"/>
          <w:szCs w:val="22"/>
          <w:lang w:val="sr-Latn-ME"/>
        </w:rPr>
        <w:t>, uključujući pol, grupu sa dijagnozom PAH, osnovnu terapiju na početku ispitivanja, terapiju infuzijom prostaciklinom na početku ispitivanja, funkcionalne klase prema SZO i početnom PVR.</w:t>
      </w:r>
    </w:p>
    <w:p w14:paraId="75045217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41CE3D28" w14:textId="20747A03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bookmarkStart w:id="52" w:name="_MON_1753511834"/>
      <w:bookmarkEnd w:id="52"/>
      <w:r w:rsidRPr="009B3C93">
        <w:rPr>
          <w:bCs/>
          <w:sz w:val="22"/>
          <w:szCs w:val="22"/>
          <w:lang w:val="sr-Latn-ME"/>
        </w:rPr>
        <w:t>Sekundarne m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ere ishoda uključivale su multikomponentno poboljšanje (engl. </w:t>
      </w:r>
      <w:r w:rsidRPr="009B3C93">
        <w:rPr>
          <w:bCs/>
          <w:i/>
          <w:iCs/>
          <w:sz w:val="22"/>
          <w:szCs w:val="22"/>
          <w:lang w:val="sr-Latn-ME"/>
        </w:rPr>
        <w:t>multicomponent improvement</w:t>
      </w:r>
      <w:r w:rsidRPr="009B3C93">
        <w:rPr>
          <w:bCs/>
          <w:sz w:val="22"/>
          <w:szCs w:val="22"/>
          <w:lang w:val="sr-Latn-ME"/>
        </w:rPr>
        <w:t>, MCI), poboljšanja PVR, vr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ednosti N-terminalnog fragmenta prohormona moždanog natriuretskog peptida (engl. </w:t>
      </w:r>
      <w:r w:rsidRPr="009B3C93">
        <w:rPr>
          <w:bCs/>
          <w:i/>
          <w:iCs/>
          <w:sz w:val="22"/>
          <w:szCs w:val="22"/>
          <w:lang w:val="sr-Latn-ME"/>
        </w:rPr>
        <w:t>N-terminal probrain natriuremic peptide</w:t>
      </w:r>
      <w:r w:rsidRPr="009B3C93">
        <w:rPr>
          <w:bCs/>
          <w:sz w:val="22"/>
          <w:szCs w:val="22"/>
          <w:lang w:val="sr-Latn-ME"/>
        </w:rPr>
        <w:t>, NT-proBNP), funkcionalne klase prema SZO i vremena do smrtnog ishoda ili prve pojave događaja kliničkog pogoršanja.</w:t>
      </w:r>
    </w:p>
    <w:p w14:paraId="200D0AAA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2F5EDB26" w14:textId="6CE7885E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MCI je bio unapr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 definisana m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era ishoda m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erena ud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elom pacijenata koji postižu sva tri od sl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edećih kriterijuma u 24. ned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elji u odnosu na početak ispitivanja: poboljšanje u vr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ednosti 6MWD (povećanje ≥</w:t>
      </w:r>
      <w:r w:rsidR="00B76923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30 m), poboljšanje u vr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ednosti NT-proBNP (smanjenje NT-proBNP ≥</w:t>
      </w:r>
      <w:r w:rsidR="00B76923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30% ili održavanje/postizanje nivoa NT-proBNP &lt;</w:t>
      </w:r>
      <w:r w:rsidR="00B76923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300 ng/</w:t>
      </w:r>
      <w:r w:rsidR="00F92656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>) i poboljšanje u funkcionalnoj klasi prema SZO ili održavanje funkcionalne klase II prema SZO.</w:t>
      </w:r>
    </w:p>
    <w:p w14:paraId="650A0DE7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4DC45399" w14:textId="0C344CB2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Progresija bolesti m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erena je vremenom do smrtnog ishoda ili prve pojave događaja kliničkog pogoršanja. Događaji kliničkog pogoršanja uključivali su stavljanje na listu za transplantaciju pluća i/ili srca zbog pogoršanja stanja, potrebu da se pokrene terapija oporavka odobrenom osnovnom</w:t>
      </w:r>
      <w:r w:rsidRPr="009B3C93" w:rsidDel="00E507D7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terapijom za PAH ili potrebu da se poveća doza infuzionog prostaciklina za ≥</w:t>
      </w:r>
      <w:r w:rsidR="00B76923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10%, potrebu za atrijalnom septostomijom, hospitalizaciju zbog pogoršanja PAH (≥</w:t>
      </w:r>
      <w:r w:rsidR="00B76923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24 sata) ili pogoršanje PAH (pogoršana funkcionalna klasa prema SZO i smanjenje vr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ednosti 6MWD ≥</w:t>
      </w:r>
      <w:r w:rsidR="00B76923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15%, pri čemu se oba događaja odvijaju istovremeno ili u različito vr</w:t>
      </w:r>
      <w:r w:rsidR="00F92656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eme). Događaji kliničkog pogoršanja i smrtni ishod su zab</w:t>
      </w:r>
      <w:r w:rsidR="00F92656" w:rsidRPr="009B3C93">
        <w:rPr>
          <w:bCs/>
          <w:sz w:val="22"/>
          <w:szCs w:val="22"/>
          <w:lang w:val="sr-Latn-ME"/>
        </w:rPr>
        <w:t>ilj</w:t>
      </w:r>
      <w:r w:rsidRPr="009B3C93">
        <w:rPr>
          <w:bCs/>
          <w:sz w:val="22"/>
          <w:szCs w:val="22"/>
          <w:lang w:val="sr-Latn-ME"/>
        </w:rPr>
        <w:t>eženi dok posl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ednji pacijent nije završio pos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etu u 24. ned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elji (podaci do završnog datuma prikupljanja podataka; medijana trajanja izloženosti 33,6 ned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elja).</w:t>
      </w:r>
    </w:p>
    <w:p w14:paraId="7FC7F802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3582665A" w14:textId="016ABD89" w:rsidR="00BD480A" w:rsidRPr="009B3C93" w:rsidRDefault="00BD480A" w:rsidP="001B0E0B">
      <w:pPr>
        <w:tabs>
          <w:tab w:val="left" w:pos="53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U 24. ned</w:t>
      </w:r>
      <w:r w:rsidR="00F92656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elji, 38,9% pacijenata 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ečenih sotaterceptom pokazalo je poboljšanje MCI u odnosu na 10,1% u grupi koja je primala placebo (p &lt;</w:t>
      </w:r>
      <w:r w:rsidR="00B76923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 xml:space="preserve">0,001). </w:t>
      </w:r>
      <w:bookmarkStart w:id="53" w:name="_Hlk176510492"/>
      <w:r w:rsidRPr="009B3C93">
        <w:rPr>
          <w:bCs/>
          <w:sz w:val="22"/>
          <w:szCs w:val="22"/>
          <w:lang w:val="sr-Latn-ME"/>
        </w:rPr>
        <w:t xml:space="preserve">Medijana </w:t>
      </w:r>
      <w:bookmarkEnd w:id="53"/>
      <w:r w:rsidRPr="009B3C93">
        <w:rPr>
          <w:bCs/>
          <w:sz w:val="22"/>
          <w:szCs w:val="22"/>
          <w:lang w:val="sr-Latn-ME"/>
        </w:rPr>
        <w:t>razlike u 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ečenju </w:t>
      </w:r>
      <w:bookmarkStart w:id="54" w:name="_Hlk177376742"/>
      <w:r w:rsidRPr="009B3C93">
        <w:rPr>
          <w:bCs/>
          <w:sz w:val="22"/>
          <w:szCs w:val="22"/>
          <w:lang w:val="sr-Latn-ME"/>
        </w:rPr>
        <w:t>u odnosu na</w:t>
      </w:r>
      <w:bookmarkEnd w:id="54"/>
      <w:r w:rsidRPr="009B3C93">
        <w:rPr>
          <w:bCs/>
          <w:sz w:val="22"/>
          <w:szCs w:val="22"/>
          <w:lang w:val="sr-Latn-ME"/>
        </w:rPr>
        <w:t xml:space="preserve"> PVR između grupe koja je primala sotatercept i grupe koja je primala placebo bila je -234,6 dyn*sec/cm</w:t>
      </w:r>
      <w:r w:rsidRPr="009B3C93">
        <w:rPr>
          <w:bCs/>
          <w:sz w:val="22"/>
          <w:szCs w:val="22"/>
          <w:vertAlign w:val="superscript"/>
          <w:lang w:val="sr-Latn-ME"/>
        </w:rPr>
        <w:t>5</w:t>
      </w:r>
      <w:r w:rsidRPr="009B3C93">
        <w:rPr>
          <w:bCs/>
          <w:sz w:val="22"/>
          <w:szCs w:val="22"/>
          <w:lang w:val="sr-Latn-ME"/>
        </w:rPr>
        <w:t xml:space="preserve"> (95% CI: -288,4, -180,8; p &lt;</w:t>
      </w:r>
      <w:r w:rsidR="00B76923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0,001). Medijana razlike u 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ečenju u odnosu na</w:t>
      </w:r>
      <w:r w:rsidRPr="009B3C93" w:rsidDel="0081048F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NT-proBNP između grupe koja je primala sotatercept i grupe koja je primala placebo bila je -441,6 pg/m</w:t>
      </w:r>
      <w:r w:rsidR="009C731A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 xml:space="preserve"> (95% CI: -573,5, -309,6; p &lt;</w:t>
      </w:r>
      <w:r w:rsidR="00B76923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0,001). Poboljšanje funkcionalne klase prema SZO u odnosu na početak ispitivanja javilo se kod 29% pacijenata koji su primali sotatercept u odnosu na 13,8% onih koji su primali sa placebo (p &lt;</w:t>
      </w:r>
      <w:r w:rsidR="00B76923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0,001).</w:t>
      </w:r>
    </w:p>
    <w:p w14:paraId="669D6DD3" w14:textId="77777777" w:rsidR="00BD480A" w:rsidRPr="009B3C93" w:rsidRDefault="00BD480A" w:rsidP="001B0E0B">
      <w:pPr>
        <w:tabs>
          <w:tab w:val="left" w:pos="53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8B1D68" w14:textId="4EE8FAD9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ečenje sotaterceptom dovelo je do smanjenja od 82% (HR 0,182, 95% CI: 0,075, 0,441; p&lt;0,001) </w:t>
      </w:r>
      <w:bookmarkStart w:id="55" w:name="_Hlk176510821"/>
      <w:r w:rsidRPr="009B3C93">
        <w:rPr>
          <w:bCs/>
          <w:sz w:val="22"/>
          <w:szCs w:val="22"/>
          <w:lang w:val="sr-Latn-ME"/>
        </w:rPr>
        <w:t>slučajeva sa smrtnim ishodom</w:t>
      </w:r>
      <w:bookmarkEnd w:id="55"/>
      <w:r w:rsidRPr="009B3C93">
        <w:rPr>
          <w:bCs/>
          <w:sz w:val="22"/>
          <w:szCs w:val="22"/>
          <w:lang w:val="sr-Latn-ME"/>
        </w:rPr>
        <w:t xml:space="preserve"> ili događaja kliničkog pogoršanja u odnosu na grupu koja je primala placebo (vid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eti tabelu 4). </w:t>
      </w:r>
      <w:bookmarkStart w:id="56" w:name="_Hlk166780759"/>
      <w:r w:rsidRPr="009B3C93">
        <w:rPr>
          <w:bCs/>
          <w:sz w:val="22"/>
          <w:szCs w:val="22"/>
          <w:lang w:val="sr-Latn-ME"/>
        </w:rPr>
        <w:t>Efekat 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ečenja sotaterceptom u odnosu na terapiju placebom počeo je da se ispoljava do 10. ned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elje i nastavio se tokom trajanja studije</w:t>
      </w:r>
      <w:bookmarkEnd w:id="56"/>
      <w:r w:rsidRPr="009B3C93">
        <w:rPr>
          <w:bCs/>
          <w:sz w:val="22"/>
          <w:szCs w:val="22"/>
          <w:lang w:val="sr-Latn-ME"/>
        </w:rPr>
        <w:t>.</w:t>
      </w:r>
    </w:p>
    <w:p w14:paraId="33F3EBE2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2FAD136C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/>
          <w:bCs/>
          <w:sz w:val="22"/>
          <w:szCs w:val="22"/>
          <w:lang w:val="sr-Latn-ME"/>
        </w:rPr>
      </w:pPr>
      <w:bookmarkStart w:id="57" w:name="_Hlk158024091"/>
      <w:r w:rsidRPr="009B3C93">
        <w:rPr>
          <w:b/>
          <w:bCs/>
          <w:sz w:val="22"/>
          <w:szCs w:val="22"/>
          <w:lang w:val="sr-Latn-ME"/>
        </w:rPr>
        <w:t xml:space="preserve">Tabela 4: Slučajevi sa smrtnim ishodom ili događaji kliničkog pogoršanja </w:t>
      </w:r>
    </w:p>
    <w:p w14:paraId="1DCED34E" w14:textId="77777777" w:rsidR="00BD480A" w:rsidRPr="009B3C93" w:rsidRDefault="00BD480A" w:rsidP="001B0E0B">
      <w:pPr>
        <w:tabs>
          <w:tab w:val="left" w:pos="540"/>
          <w:tab w:val="left" w:pos="567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W w:w="9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9"/>
        <w:gridCol w:w="2007"/>
        <w:gridCol w:w="2011"/>
      </w:tblGrid>
      <w:tr w:rsidR="00BD480A" w:rsidRPr="009B3C93" w14:paraId="76D6AEC9" w14:textId="77777777" w:rsidTr="003F602E">
        <w:trPr>
          <w:cantSplit/>
          <w:trHeight w:val="552"/>
          <w:tblHeader/>
        </w:trPr>
        <w:tc>
          <w:tcPr>
            <w:tcW w:w="5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28D0C3D" w14:textId="77777777" w:rsidR="00BD480A" w:rsidRPr="009B3C93" w:rsidRDefault="00BD480A" w:rsidP="001B0E0B">
            <w:pPr>
              <w:tabs>
                <w:tab w:val="left" w:pos="540"/>
                <w:tab w:val="left" w:pos="567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81B3CC8" w14:textId="09D26021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B3C93">
              <w:rPr>
                <w:b/>
                <w:bCs/>
                <w:sz w:val="22"/>
                <w:szCs w:val="22"/>
                <w:lang w:val="sr-Latn-ME"/>
              </w:rPr>
              <w:t>Placebo</w:t>
            </w:r>
          </w:p>
          <w:p w14:paraId="67F7761B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B3C93">
              <w:rPr>
                <w:b/>
                <w:bCs/>
                <w:sz w:val="22"/>
                <w:szCs w:val="22"/>
                <w:lang w:val="sr-Latn-ME"/>
              </w:rPr>
              <w:t>(N=160)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B7AE585" w14:textId="66BE7D12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B3C93">
              <w:rPr>
                <w:b/>
                <w:bCs/>
                <w:sz w:val="22"/>
                <w:szCs w:val="22"/>
                <w:lang w:val="sr-Latn-ME"/>
              </w:rPr>
              <w:t>Sotatercept</w:t>
            </w:r>
          </w:p>
          <w:p w14:paraId="54C3CE85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B3C93">
              <w:rPr>
                <w:b/>
                <w:bCs/>
                <w:sz w:val="22"/>
                <w:szCs w:val="22"/>
                <w:lang w:val="sr-Latn-ME"/>
              </w:rPr>
              <w:t>(N=163)</w:t>
            </w:r>
          </w:p>
        </w:tc>
      </w:tr>
      <w:tr w:rsidR="00BD480A" w:rsidRPr="009B3C93" w14:paraId="57A84945" w14:textId="77777777" w:rsidTr="003F602E">
        <w:trPr>
          <w:cantSplit/>
          <w:trHeight w:val="562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97F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Ukupan broj ispitanika</w:t>
            </w:r>
            <w:r w:rsidRPr="009B3C93" w:rsidDel="00627E75">
              <w:rPr>
                <w:bCs/>
                <w:sz w:val="22"/>
                <w:szCs w:val="22"/>
                <w:lang w:val="sr-Latn-ME"/>
              </w:rPr>
              <w:t xml:space="preserve"> </w:t>
            </w:r>
            <w:r w:rsidRPr="009B3C93">
              <w:rPr>
                <w:bCs/>
                <w:sz w:val="22"/>
                <w:szCs w:val="22"/>
                <w:lang w:val="sr-Latn-ME"/>
              </w:rPr>
              <w:t>kod kojih je došlo do smrtnog ishoda ili bar jednog događaja kliničkog pogoršanja, n (%)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1603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29 (18,1)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F65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7 (4,3)</w:t>
            </w:r>
          </w:p>
        </w:tc>
      </w:tr>
      <w:tr w:rsidR="00BD480A" w:rsidRPr="009B3C93" w14:paraId="1713384A" w14:textId="77777777" w:rsidTr="003F602E">
        <w:trPr>
          <w:cantSplit/>
          <w:trHeight w:val="552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D320" w14:textId="5AEC238F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Proc</w:t>
            </w:r>
            <w:r w:rsidR="009C731A" w:rsidRPr="009B3C93">
              <w:rPr>
                <w:bCs/>
                <w:sz w:val="22"/>
                <w:szCs w:val="22"/>
                <w:lang w:val="sr-Latn-ME"/>
              </w:rPr>
              <w:t>j</w:t>
            </w:r>
            <w:r w:rsidRPr="009B3C93">
              <w:rPr>
                <w:bCs/>
                <w:sz w:val="22"/>
                <w:szCs w:val="22"/>
                <w:lang w:val="sr-Latn-ME"/>
              </w:rPr>
              <w:t xml:space="preserve">ena smrtnog ishoda ili prvo javljanje događaja kliničkih pogoršanja*, n (%)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483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F964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BD480A" w:rsidRPr="009B3C93" w14:paraId="36DEF8D1" w14:textId="77777777" w:rsidTr="003F602E">
        <w:trPr>
          <w:cantSplit/>
          <w:trHeight w:val="287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22E2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ab/>
              <w:t>Smrtni ishod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431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6 (3,8)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5859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2 (1,2)</w:t>
            </w:r>
          </w:p>
        </w:tc>
      </w:tr>
      <w:tr w:rsidR="00BD480A" w:rsidRPr="009B3C93" w14:paraId="141A1D6B" w14:textId="77777777" w:rsidTr="003F602E">
        <w:trPr>
          <w:cantSplit/>
          <w:trHeight w:val="287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4364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ind w:left="540"/>
              <w:jc w:val="both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Stavljanje na listu za transplantaciju pluća i/ili srca zbog pogoršanja stanja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2886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 (0,6)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450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 (0,6)</w:t>
            </w:r>
          </w:p>
        </w:tc>
      </w:tr>
      <w:tr w:rsidR="00BD480A" w:rsidRPr="009B3C93" w14:paraId="603CD7DE" w14:textId="77777777" w:rsidTr="003F602E">
        <w:trPr>
          <w:cantSplit/>
          <w:trHeight w:val="27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48DE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ab/>
              <w:t>Potreba za atrijalnom septostomijom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2EC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 (0,0)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259E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 (0,0)</w:t>
            </w:r>
          </w:p>
        </w:tc>
      </w:tr>
      <w:tr w:rsidR="00BD480A" w:rsidRPr="009B3C93" w14:paraId="68B01417" w14:textId="77777777" w:rsidTr="003F602E">
        <w:trPr>
          <w:cantSplit/>
          <w:trHeight w:val="287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45B4" w14:textId="5B874063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lastRenderedPageBreak/>
              <w:tab/>
              <w:t>Hospitalizacija specifična za PAH (≥</w:t>
            </w:r>
            <w:r w:rsidR="00796F25" w:rsidRPr="009B3C93">
              <w:rPr>
                <w:bCs/>
                <w:sz w:val="22"/>
                <w:szCs w:val="22"/>
                <w:lang w:val="sr-Latn-ME"/>
              </w:rPr>
              <w:t xml:space="preserve"> </w:t>
            </w:r>
            <w:r w:rsidRPr="009B3C93">
              <w:rPr>
                <w:bCs/>
                <w:sz w:val="22"/>
                <w:szCs w:val="22"/>
                <w:lang w:val="sr-Latn-ME"/>
              </w:rPr>
              <w:t>24 sata)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CD01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8 (5,0)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532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0 (0,0)</w:t>
            </w:r>
          </w:p>
        </w:tc>
      </w:tr>
      <w:tr w:rsidR="00BD480A" w:rsidRPr="009B3C93" w14:paraId="7947921F" w14:textId="77777777" w:rsidTr="003F602E">
        <w:trPr>
          <w:cantSplit/>
          <w:trHeight w:val="287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FFA9E5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ab/>
              <w:t>Pogoršanje PAH</w:t>
            </w:r>
            <w:r w:rsidRPr="009B3C93">
              <w:rPr>
                <w:bCs/>
                <w:sz w:val="22"/>
                <w:szCs w:val="22"/>
                <w:vertAlign w:val="superscript"/>
                <w:lang w:val="sr-Latn-ME"/>
              </w:rPr>
              <w:t>†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259379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15 (9,4)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78EA1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B3C93">
              <w:rPr>
                <w:bCs/>
                <w:sz w:val="22"/>
                <w:szCs w:val="22"/>
                <w:lang w:val="sr-Latn-ME"/>
              </w:rPr>
              <w:t>4 (2,5)</w:t>
            </w:r>
          </w:p>
        </w:tc>
      </w:tr>
      <w:tr w:rsidR="00BD480A" w:rsidRPr="009B3C93" w14:paraId="51BDF1D9" w14:textId="77777777" w:rsidTr="003F602E">
        <w:trPr>
          <w:cantSplit/>
          <w:trHeight w:val="562"/>
        </w:trPr>
        <w:tc>
          <w:tcPr>
            <w:tcW w:w="956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D8D05B" w14:textId="7DCEDC66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9B3C93">
              <w:rPr>
                <w:bCs/>
                <w:sz w:val="20"/>
                <w:szCs w:val="20"/>
                <w:lang w:val="sr-Latn-ME"/>
              </w:rPr>
              <w:t>* Ispitanik može da ima više od jedne zab</w:t>
            </w:r>
            <w:r w:rsidR="009C731A" w:rsidRPr="009B3C93">
              <w:rPr>
                <w:bCs/>
                <w:sz w:val="20"/>
                <w:szCs w:val="20"/>
                <w:lang w:val="sr-Latn-ME"/>
              </w:rPr>
              <w:t>ilj</w:t>
            </w:r>
            <w:r w:rsidRPr="009B3C93">
              <w:rPr>
                <w:bCs/>
                <w:sz w:val="20"/>
                <w:szCs w:val="20"/>
                <w:lang w:val="sr-Latn-ME"/>
              </w:rPr>
              <w:t>ežene proc</w:t>
            </w:r>
            <w:r w:rsidR="009C731A" w:rsidRPr="009B3C93">
              <w:rPr>
                <w:bCs/>
                <w:sz w:val="20"/>
                <w:szCs w:val="20"/>
                <w:lang w:val="sr-Latn-ME"/>
              </w:rPr>
              <w:t>j</w:t>
            </w:r>
            <w:r w:rsidRPr="009B3C93">
              <w:rPr>
                <w:bCs/>
                <w:sz w:val="20"/>
                <w:szCs w:val="20"/>
                <w:lang w:val="sr-Latn-ME"/>
              </w:rPr>
              <w:t>ene za svoje prvo kliničko pogoršanje. Bilo je 2 učesnika koji su primali placebo i nijedan učesnik koji je primao sotatercept i koji su imali više od jedne zab</w:t>
            </w:r>
            <w:r w:rsidR="009C731A" w:rsidRPr="009B3C93">
              <w:rPr>
                <w:bCs/>
                <w:sz w:val="20"/>
                <w:szCs w:val="20"/>
                <w:lang w:val="sr-Latn-ME"/>
              </w:rPr>
              <w:t>ilj</w:t>
            </w:r>
            <w:r w:rsidRPr="009B3C93">
              <w:rPr>
                <w:bCs/>
                <w:sz w:val="20"/>
                <w:szCs w:val="20"/>
                <w:lang w:val="sr-Latn-ME"/>
              </w:rPr>
              <w:t>ežene proc</w:t>
            </w:r>
            <w:r w:rsidR="009C731A" w:rsidRPr="009B3C93">
              <w:rPr>
                <w:bCs/>
                <w:sz w:val="20"/>
                <w:szCs w:val="20"/>
                <w:lang w:val="sr-Latn-ME"/>
              </w:rPr>
              <w:t>j</w:t>
            </w:r>
            <w:r w:rsidRPr="009B3C93">
              <w:rPr>
                <w:bCs/>
                <w:sz w:val="20"/>
                <w:szCs w:val="20"/>
                <w:lang w:val="sr-Latn-ME"/>
              </w:rPr>
              <w:t>ene za svoje prvo kliničko pogoršanje. Ova analiza je isključila komponentu „potrebno je pokrenuti terapiju oporavka odobrenom terapijom za PAH ili je potrebno povećati dozu infuzije prostaciklinom za 10% ili više“.</w:t>
            </w:r>
          </w:p>
        </w:tc>
      </w:tr>
      <w:tr w:rsidR="00BD480A" w:rsidRPr="009B3C93" w14:paraId="2BEC12E5" w14:textId="77777777" w:rsidTr="003F602E">
        <w:trPr>
          <w:cantSplit/>
          <w:trHeight w:val="827"/>
        </w:trPr>
        <w:tc>
          <w:tcPr>
            <w:tcW w:w="9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F3F3E9" w14:textId="4EF349F9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9B3C93">
              <w:rPr>
                <w:bCs/>
                <w:sz w:val="20"/>
                <w:szCs w:val="20"/>
                <w:vertAlign w:val="superscript"/>
                <w:lang w:val="sr-Latn-ME"/>
              </w:rPr>
              <w:t>†</w:t>
            </w:r>
            <w:r w:rsidRPr="009B3C93">
              <w:rPr>
                <w:bCs/>
                <w:sz w:val="20"/>
                <w:szCs w:val="20"/>
                <w:lang w:val="sr-Latn-ME"/>
              </w:rPr>
              <w:t xml:space="preserve"> Pogoršanje stanja PAH definisano je na osnovu oba sl</w:t>
            </w:r>
            <w:r w:rsidR="009C731A" w:rsidRPr="009B3C93">
              <w:rPr>
                <w:bCs/>
                <w:sz w:val="20"/>
                <w:szCs w:val="20"/>
                <w:lang w:val="sr-Latn-ME"/>
              </w:rPr>
              <w:t>j</w:t>
            </w:r>
            <w:r w:rsidRPr="009B3C93">
              <w:rPr>
                <w:bCs/>
                <w:sz w:val="20"/>
                <w:szCs w:val="20"/>
                <w:lang w:val="sr-Latn-ME"/>
              </w:rPr>
              <w:t>edeća događaja koja se dešavaju u bilo kom trenutku, čak i ako su počela u različito vr</w:t>
            </w:r>
            <w:r w:rsidR="009C731A" w:rsidRPr="009B3C93">
              <w:rPr>
                <w:bCs/>
                <w:sz w:val="20"/>
                <w:szCs w:val="20"/>
                <w:lang w:val="sr-Latn-ME"/>
              </w:rPr>
              <w:t>ij</w:t>
            </w:r>
            <w:r w:rsidRPr="009B3C93">
              <w:rPr>
                <w:bCs/>
                <w:sz w:val="20"/>
                <w:szCs w:val="20"/>
                <w:lang w:val="sr-Latn-ME"/>
              </w:rPr>
              <w:t>eme, u poređenju sa njihovim vr</w:t>
            </w:r>
            <w:r w:rsidR="009C731A" w:rsidRPr="009B3C93">
              <w:rPr>
                <w:bCs/>
                <w:sz w:val="20"/>
                <w:szCs w:val="20"/>
                <w:lang w:val="sr-Latn-ME"/>
              </w:rPr>
              <w:t>ij</w:t>
            </w:r>
            <w:r w:rsidRPr="009B3C93">
              <w:rPr>
                <w:bCs/>
                <w:sz w:val="20"/>
                <w:szCs w:val="20"/>
                <w:lang w:val="sr-Latn-ME"/>
              </w:rPr>
              <w:t xml:space="preserve">ednostima na početku ispitivanja: (a) </w:t>
            </w:r>
            <w:r w:rsidR="00796F25" w:rsidRPr="009B3C93">
              <w:rPr>
                <w:bCs/>
                <w:sz w:val="20"/>
                <w:szCs w:val="20"/>
                <w:lang w:val="sr-Latn-ME"/>
              </w:rPr>
              <w:t>p</w:t>
            </w:r>
            <w:r w:rsidRPr="009B3C93">
              <w:rPr>
                <w:bCs/>
                <w:sz w:val="20"/>
                <w:szCs w:val="20"/>
                <w:lang w:val="sr-Latn-ME"/>
              </w:rPr>
              <w:t xml:space="preserve">ogoršana funkcionalna klasa prema SZO (II u III, III u IV, II u IV itd); i (b) </w:t>
            </w:r>
            <w:r w:rsidR="00796F25" w:rsidRPr="009B3C93">
              <w:rPr>
                <w:bCs/>
                <w:sz w:val="20"/>
                <w:szCs w:val="20"/>
                <w:lang w:val="sr-Latn-ME"/>
              </w:rPr>
              <w:t>s</w:t>
            </w:r>
            <w:r w:rsidRPr="009B3C93">
              <w:rPr>
                <w:bCs/>
                <w:sz w:val="20"/>
                <w:szCs w:val="20"/>
                <w:lang w:val="sr-Latn-ME"/>
              </w:rPr>
              <w:t>manjenje vr</w:t>
            </w:r>
            <w:r w:rsidR="009C731A" w:rsidRPr="009B3C93">
              <w:rPr>
                <w:bCs/>
                <w:sz w:val="20"/>
                <w:szCs w:val="20"/>
                <w:lang w:val="sr-Latn-ME"/>
              </w:rPr>
              <w:t>ij</w:t>
            </w:r>
            <w:r w:rsidRPr="009B3C93">
              <w:rPr>
                <w:bCs/>
                <w:sz w:val="20"/>
                <w:szCs w:val="20"/>
                <w:lang w:val="sr-Latn-ME"/>
              </w:rPr>
              <w:t>ednosti 6MWD za ≥</w:t>
            </w:r>
            <w:r w:rsidR="00796F25" w:rsidRPr="009B3C93">
              <w:rPr>
                <w:bCs/>
                <w:sz w:val="20"/>
                <w:szCs w:val="20"/>
                <w:lang w:val="sr-Latn-ME"/>
              </w:rPr>
              <w:t xml:space="preserve"> </w:t>
            </w:r>
            <w:r w:rsidRPr="009B3C93">
              <w:rPr>
                <w:bCs/>
                <w:sz w:val="20"/>
                <w:szCs w:val="20"/>
                <w:lang w:val="sr-Latn-ME"/>
              </w:rPr>
              <w:t>15% (potvrđeno dv</w:t>
            </w:r>
            <w:r w:rsidR="009C731A" w:rsidRPr="009B3C93">
              <w:rPr>
                <w:bCs/>
                <w:sz w:val="20"/>
                <w:szCs w:val="20"/>
                <w:lang w:val="sr-Latn-ME"/>
              </w:rPr>
              <w:t>ij</w:t>
            </w:r>
            <w:r w:rsidRPr="009B3C93">
              <w:rPr>
                <w:bCs/>
                <w:sz w:val="20"/>
                <w:szCs w:val="20"/>
                <w:lang w:val="sr-Latn-ME"/>
              </w:rPr>
              <w:t>ema vr</w:t>
            </w:r>
            <w:r w:rsidR="009C731A" w:rsidRPr="009B3C93">
              <w:rPr>
                <w:bCs/>
                <w:sz w:val="20"/>
                <w:szCs w:val="20"/>
                <w:lang w:val="sr-Latn-ME"/>
              </w:rPr>
              <w:t>ij</w:t>
            </w:r>
            <w:r w:rsidRPr="009B3C93">
              <w:rPr>
                <w:bCs/>
                <w:sz w:val="20"/>
                <w:szCs w:val="20"/>
                <w:lang w:val="sr-Latn-ME"/>
              </w:rPr>
              <w:t>ednostima 6MWT u najmanje 4 sata razmaka, ali ne više od ned</w:t>
            </w:r>
            <w:r w:rsidR="009C731A" w:rsidRPr="009B3C93">
              <w:rPr>
                <w:bCs/>
                <w:sz w:val="20"/>
                <w:szCs w:val="20"/>
                <w:lang w:val="sr-Latn-ME"/>
              </w:rPr>
              <w:t>j</w:t>
            </w:r>
            <w:r w:rsidRPr="009B3C93">
              <w:rPr>
                <w:bCs/>
                <w:sz w:val="20"/>
                <w:szCs w:val="20"/>
                <w:lang w:val="sr-Latn-ME"/>
              </w:rPr>
              <w:t>elju dana).</w:t>
            </w:r>
          </w:p>
          <w:p w14:paraId="6FE128EE" w14:textId="77777777" w:rsidR="00BD480A" w:rsidRPr="009B3C93" w:rsidRDefault="00BD480A" w:rsidP="00EE6FCB">
            <w:pPr>
              <w:tabs>
                <w:tab w:val="left" w:pos="540"/>
                <w:tab w:val="left" w:pos="567"/>
              </w:tabs>
              <w:jc w:val="both"/>
              <w:rPr>
                <w:bCs/>
                <w:sz w:val="20"/>
                <w:szCs w:val="20"/>
                <w:lang w:val="sr-Latn-ME"/>
              </w:rPr>
            </w:pPr>
            <w:r w:rsidRPr="009B3C93">
              <w:rPr>
                <w:bCs/>
                <w:sz w:val="20"/>
                <w:szCs w:val="20"/>
                <w:lang w:val="sr-Latn-ME"/>
              </w:rPr>
              <w:t>N = broj ispitanika u populaciji za analizu svih podataka; n = broj ispitanika u kategoriji. Procenti se izračunavaju kao (n/N)*100.</w:t>
            </w:r>
          </w:p>
        </w:tc>
      </w:tr>
    </w:tbl>
    <w:p w14:paraId="1A9DAC57" w14:textId="77777777" w:rsidR="00BD480A" w:rsidRPr="009B3C93" w:rsidRDefault="00BD480A" w:rsidP="00EE6FC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bookmarkStart w:id="58" w:name="_Hlk146316371"/>
      <w:bookmarkEnd w:id="47"/>
      <w:bookmarkEnd w:id="57"/>
    </w:p>
    <w:p w14:paraId="2DE95495" w14:textId="77777777" w:rsidR="00BD480A" w:rsidRPr="009B3C93" w:rsidRDefault="00BD480A" w:rsidP="00EE6FC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>Imunogenost</w:t>
      </w:r>
    </w:p>
    <w:p w14:paraId="6B5E9CD6" w14:textId="77777777" w:rsidR="00BD480A" w:rsidRPr="009B3C93" w:rsidRDefault="00BD480A" w:rsidP="00EE6FC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7B3AD3D" w14:textId="04F554EB" w:rsidR="00BD480A" w:rsidRPr="009B3C93" w:rsidRDefault="00BD480A" w:rsidP="00EE6F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U 24. ned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elji studije STELLAR, </w:t>
      </w:r>
      <w:bookmarkStart w:id="59" w:name="_Hlk176511958"/>
      <w:r w:rsidRPr="009B3C93">
        <w:rPr>
          <w:bCs/>
          <w:sz w:val="22"/>
          <w:szCs w:val="22"/>
          <w:lang w:val="sr-Latn-ME"/>
        </w:rPr>
        <w:t>antit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ela na 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ek </w:t>
      </w:r>
      <w:bookmarkEnd w:id="59"/>
      <w:r w:rsidRPr="009B3C93">
        <w:rPr>
          <w:bCs/>
          <w:sz w:val="22"/>
          <w:szCs w:val="22"/>
          <w:lang w:val="sr-Latn-ME"/>
        </w:rPr>
        <w:t>otkrivena su kod 44/163 (27%) pacijenata koji primaju sotatercept. Među ova 44 pacijenta, 12 je bilo pozitivno na neutrališuća antit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ela na sotatercept. Ni</w:t>
      </w:r>
      <w:r w:rsidR="00796F25" w:rsidRPr="009B3C93">
        <w:rPr>
          <w:bCs/>
          <w:sz w:val="22"/>
          <w:szCs w:val="22"/>
          <w:lang w:val="sr-Latn-ME"/>
        </w:rPr>
        <w:t>je</w:t>
      </w:r>
      <w:r w:rsidRPr="009B3C93">
        <w:rPr>
          <w:bCs/>
          <w:sz w:val="22"/>
          <w:szCs w:val="22"/>
          <w:lang w:val="sr-Latn-ME"/>
        </w:rPr>
        <w:t>su prim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ećeni dokazi o uticaju antit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ela na 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 na farmakokinetiku, efikasnost niti bezb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ednost.</w:t>
      </w:r>
    </w:p>
    <w:bookmarkEnd w:id="58"/>
    <w:p w14:paraId="3309BB6D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iCs/>
          <w:sz w:val="22"/>
          <w:szCs w:val="22"/>
          <w:u w:val="single"/>
          <w:lang w:val="sr-Latn-ME"/>
        </w:rPr>
      </w:pPr>
    </w:p>
    <w:p w14:paraId="17681C44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iCs/>
          <w:sz w:val="22"/>
          <w:szCs w:val="22"/>
          <w:lang w:val="sr-Latn-ME"/>
        </w:rPr>
      </w:pPr>
      <w:r w:rsidRPr="009B3C93">
        <w:rPr>
          <w:bCs/>
          <w:iCs/>
          <w:sz w:val="22"/>
          <w:szCs w:val="22"/>
          <w:u w:val="single"/>
          <w:lang w:val="sr-Latn-ME"/>
        </w:rPr>
        <w:t>Pedijatrijska populacija</w:t>
      </w:r>
    </w:p>
    <w:p w14:paraId="1011241D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iCs/>
          <w:sz w:val="22"/>
          <w:szCs w:val="22"/>
          <w:lang w:val="sr-Latn-ME"/>
        </w:rPr>
      </w:pPr>
    </w:p>
    <w:p w14:paraId="0954B585" w14:textId="0988B3C0" w:rsidR="00BD480A" w:rsidRPr="009B3C93" w:rsidRDefault="00BD480A" w:rsidP="00EE6F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Evropska agencija za l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ekove odložila je obavezu dostavljanja rezultata studija u kojima se ispituje 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 Winrevair za jednu ili više podgrupa pedijatrijske populacije za 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ečenje plućne arterijske hipertenzije (vid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eti </w:t>
      </w:r>
      <w:r w:rsidR="009C731A" w:rsidRPr="009B3C93">
        <w:rPr>
          <w:bCs/>
          <w:sz w:val="22"/>
          <w:szCs w:val="22"/>
          <w:lang w:val="sr-Latn-ME"/>
        </w:rPr>
        <w:t>dio</w:t>
      </w:r>
      <w:r w:rsidRPr="009B3C93">
        <w:rPr>
          <w:bCs/>
          <w:sz w:val="22"/>
          <w:szCs w:val="22"/>
          <w:lang w:val="sr-Latn-ME"/>
        </w:rPr>
        <w:t xml:space="preserve"> 4.2 za podatke o upotrebi kod pedijatrijske populacije).</w:t>
      </w:r>
    </w:p>
    <w:p w14:paraId="5E6E3ABC" w14:textId="77777777" w:rsidR="002E37A5" w:rsidRPr="009B3C93" w:rsidRDefault="002E37A5" w:rsidP="00EE6F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D0155D" w14:textId="77777777" w:rsidR="0072020E" w:rsidRPr="009B3C93" w:rsidRDefault="0072020E" w:rsidP="00EE6F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5.2.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Farmakokinetički podaci</w:t>
      </w:r>
      <w:r w:rsidR="003A7059" w:rsidRPr="009B3C93">
        <w:rPr>
          <w:b/>
          <w:bCs/>
          <w:sz w:val="22"/>
          <w:szCs w:val="22"/>
          <w:lang w:val="sr-Latn-ME"/>
        </w:rPr>
        <w:t xml:space="preserve"> </w:t>
      </w:r>
    </w:p>
    <w:p w14:paraId="5AD06D2C" w14:textId="77777777" w:rsidR="0072020E" w:rsidRPr="009B3C93" w:rsidRDefault="0072020E" w:rsidP="00EE6F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54281E" w14:textId="360444E3" w:rsidR="00BD480A" w:rsidRPr="009B3C93" w:rsidRDefault="00BD480A" w:rsidP="00EE6F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Kod prim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doze od 0,7 mg/kg svake 3 ned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elje kod pacijenata sa PAH geometrijska srednja vr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ednost (% koeficijenta varijacije [engl. </w:t>
      </w:r>
      <w:r w:rsidRPr="009B3C93">
        <w:rPr>
          <w:bCs/>
          <w:i/>
          <w:iCs/>
          <w:sz w:val="22"/>
          <w:szCs w:val="22"/>
          <w:lang w:val="sr-Latn-ME"/>
        </w:rPr>
        <w:t>% coefficient of variation</w:t>
      </w:r>
      <w:r w:rsidRPr="009B3C93">
        <w:rPr>
          <w:bCs/>
          <w:sz w:val="22"/>
          <w:szCs w:val="22"/>
          <w:lang w:val="sr-Latn-ME"/>
        </w:rPr>
        <w:t>, CV%]) PIK u stanju dinamičke ravnoteže iznosila je 171,3 μg×d/m</w:t>
      </w:r>
      <w:r w:rsidR="009C731A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 xml:space="preserve"> (34,2%), a vršne koncentracije (C</w:t>
      </w:r>
      <w:r w:rsidRPr="009B3C93">
        <w:rPr>
          <w:bCs/>
          <w:sz w:val="22"/>
          <w:szCs w:val="22"/>
          <w:vertAlign w:val="subscript"/>
          <w:lang w:val="sr-Latn-ME"/>
        </w:rPr>
        <w:t>max</w:t>
      </w:r>
      <w:r w:rsidRPr="009B3C93">
        <w:rPr>
          <w:bCs/>
          <w:sz w:val="22"/>
          <w:szCs w:val="22"/>
          <w:lang w:val="sr-Latn-ME"/>
        </w:rPr>
        <w:t>) u stanju dinamičke ravnoteže 9,7 μg/m</w:t>
      </w:r>
      <w:r w:rsidR="009C731A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 xml:space="preserve"> (30%). PIK i C</w:t>
      </w:r>
      <w:r w:rsidRPr="009B3C93">
        <w:rPr>
          <w:bCs/>
          <w:sz w:val="22"/>
          <w:szCs w:val="22"/>
          <w:vertAlign w:val="subscript"/>
          <w:lang w:val="sr-Latn-ME"/>
        </w:rPr>
        <w:t>max</w:t>
      </w:r>
      <w:r w:rsidRPr="009B3C93">
        <w:rPr>
          <w:bCs/>
          <w:sz w:val="22"/>
          <w:szCs w:val="22"/>
          <w:lang w:val="sr-Latn-ME"/>
        </w:rPr>
        <w:t xml:space="preserve"> sotatercepta povećavaju se proporcionalno dozi. Stanje dinamičke ravnoteže postiže se nakon približno 15 ned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elja 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ečenja. Odnos akumulacije PIK sotatercepta iznosio je približno 2,2.</w:t>
      </w:r>
    </w:p>
    <w:p w14:paraId="5693CC35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7F0DE7C4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>Apsorpcija</w:t>
      </w:r>
    </w:p>
    <w:p w14:paraId="5381343A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EBD6FD0" w14:textId="47A29442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Formulacija za su</w:t>
      </w:r>
      <w:r w:rsidR="00796F25" w:rsidRPr="009B3C93">
        <w:rPr>
          <w:bCs/>
          <w:sz w:val="22"/>
          <w:szCs w:val="22"/>
          <w:lang w:val="sr-Latn-ME"/>
        </w:rPr>
        <w:t>b</w:t>
      </w:r>
      <w:r w:rsidRPr="009B3C93">
        <w:rPr>
          <w:bCs/>
          <w:sz w:val="22"/>
          <w:szCs w:val="22"/>
          <w:lang w:val="sr-Latn-ME"/>
        </w:rPr>
        <w:t>kutanu prim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enu ima apsolutnu bioraspoloživost od približno 66% na osnovu populacijske farmakokinetičke analize. Maksimalna koncentracija sotatercepta postiže se uz medijanu vremena do vršne koncentracije 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eka (T</w:t>
      </w:r>
      <w:r w:rsidRPr="009B3C93">
        <w:rPr>
          <w:bCs/>
          <w:sz w:val="22"/>
          <w:szCs w:val="22"/>
          <w:vertAlign w:val="subscript"/>
          <w:lang w:val="sr-Latn-ME"/>
        </w:rPr>
        <w:t>max</w:t>
      </w:r>
      <w:r w:rsidRPr="009B3C93">
        <w:rPr>
          <w:bCs/>
          <w:sz w:val="22"/>
          <w:szCs w:val="22"/>
          <w:lang w:val="sr-Latn-ME"/>
        </w:rPr>
        <w:t>) od približno 7 dana (raspon: 2 do 8 dana) nakon višestruke prim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svake 4 ned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elje.</w:t>
      </w:r>
    </w:p>
    <w:p w14:paraId="647730C3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4B969D81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>Distribucija</w:t>
      </w:r>
    </w:p>
    <w:p w14:paraId="6C253095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9C5B259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bookmarkStart w:id="60" w:name="_Hlk176514619"/>
      <w:r w:rsidRPr="009B3C93">
        <w:rPr>
          <w:bCs/>
          <w:sz w:val="22"/>
          <w:szCs w:val="22"/>
          <w:lang w:val="sr-Latn-ME"/>
        </w:rPr>
        <w:t>Centralni volumen distribucije</w:t>
      </w:r>
      <w:bookmarkEnd w:id="60"/>
      <w:r w:rsidRPr="009B3C93">
        <w:rPr>
          <w:bCs/>
          <w:sz w:val="22"/>
          <w:szCs w:val="22"/>
          <w:lang w:val="sr-Latn-ME"/>
        </w:rPr>
        <w:t xml:space="preserve"> (CV%) sotatercepta je približno 3,6 l (24,7%). Periferni volumen distribucije (CV%) je približno 1,7 l (73,3%).</w:t>
      </w:r>
    </w:p>
    <w:p w14:paraId="6057E1AA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26790EBA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>Biotransformacija</w:t>
      </w:r>
    </w:p>
    <w:p w14:paraId="0D36B27E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66A32BD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Sotatercept je katabolizovan opštim procesima degradacije proteina.</w:t>
      </w:r>
    </w:p>
    <w:p w14:paraId="33294185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0C36262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>Eliminacija</w:t>
      </w:r>
    </w:p>
    <w:p w14:paraId="72A225FC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1983353" w14:textId="074AB476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Klirens sotatercepta iznosi približno 0,18 </w:t>
      </w:r>
      <w:r w:rsidR="009C731A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>/dan. Geometrijska srednja vr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 terminalnog poluvremena eliminacije (CV%) je približno 21 dan (33,8%).</w:t>
      </w:r>
    </w:p>
    <w:p w14:paraId="56F5DDE1" w14:textId="227AE750" w:rsidR="00BD480A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6008A92C" w14:textId="77777777" w:rsidR="009B3C93" w:rsidRPr="009B3C93" w:rsidRDefault="009B3C93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314DDBB4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lastRenderedPageBreak/>
        <w:t>Specifične populacije</w:t>
      </w:r>
    </w:p>
    <w:p w14:paraId="12F24F80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74E0A36F" w14:textId="26547775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i/>
          <w:iCs/>
          <w:sz w:val="22"/>
          <w:szCs w:val="22"/>
          <w:lang w:val="sr-Latn-ME"/>
        </w:rPr>
      </w:pPr>
      <w:r w:rsidRPr="009B3C93">
        <w:rPr>
          <w:bCs/>
          <w:i/>
          <w:iCs/>
          <w:sz w:val="22"/>
          <w:szCs w:val="22"/>
          <w:lang w:val="sr-Latn-ME"/>
        </w:rPr>
        <w:t>Starost, pol, i etničko por</w:t>
      </w:r>
      <w:r w:rsidR="009C731A" w:rsidRPr="009B3C93">
        <w:rPr>
          <w:bCs/>
          <w:i/>
          <w:iCs/>
          <w:sz w:val="22"/>
          <w:szCs w:val="22"/>
          <w:lang w:val="sr-Latn-ME"/>
        </w:rPr>
        <w:t>ij</w:t>
      </w:r>
      <w:r w:rsidRPr="009B3C93">
        <w:rPr>
          <w:bCs/>
          <w:i/>
          <w:iCs/>
          <w:sz w:val="22"/>
          <w:szCs w:val="22"/>
          <w:lang w:val="sr-Latn-ME"/>
        </w:rPr>
        <w:t>eklo</w:t>
      </w:r>
    </w:p>
    <w:p w14:paraId="68EAD388" w14:textId="69B7D91A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Ni</w:t>
      </w:r>
      <w:r w:rsidR="00796F25" w:rsidRPr="009B3C93">
        <w:rPr>
          <w:bCs/>
          <w:sz w:val="22"/>
          <w:szCs w:val="22"/>
          <w:lang w:val="sr-Latn-ME"/>
        </w:rPr>
        <w:t>je</w:t>
      </w:r>
      <w:r w:rsidRPr="009B3C93">
        <w:rPr>
          <w:bCs/>
          <w:sz w:val="22"/>
          <w:szCs w:val="22"/>
          <w:lang w:val="sr-Latn-ME"/>
        </w:rPr>
        <w:t>su prim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ećene klinički značajne razlike u farmakokinetici sotartecepta u odnosu na starost (18 do 81 godine), pol ili etničko por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eklo (82,9% b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ele rase, 3,1% crne rase, 7,1% azijatske rase i 6,9% drugih rasa).</w:t>
      </w:r>
    </w:p>
    <w:p w14:paraId="13C1EC24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118CCB7E" w14:textId="50B92040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i/>
          <w:iCs/>
          <w:sz w:val="22"/>
          <w:szCs w:val="22"/>
          <w:lang w:val="sr-Latn-ME"/>
        </w:rPr>
      </w:pPr>
      <w:r w:rsidRPr="009B3C93">
        <w:rPr>
          <w:bCs/>
          <w:i/>
          <w:iCs/>
          <w:sz w:val="22"/>
          <w:szCs w:val="22"/>
          <w:lang w:val="sr-Latn-ME"/>
        </w:rPr>
        <w:t>T</w:t>
      </w:r>
      <w:r w:rsidR="009C731A" w:rsidRPr="009B3C93">
        <w:rPr>
          <w:bCs/>
          <w:i/>
          <w:iCs/>
          <w:sz w:val="22"/>
          <w:szCs w:val="22"/>
          <w:lang w:val="sr-Latn-ME"/>
        </w:rPr>
        <w:t>j</w:t>
      </w:r>
      <w:r w:rsidRPr="009B3C93">
        <w:rPr>
          <w:bCs/>
          <w:i/>
          <w:iCs/>
          <w:sz w:val="22"/>
          <w:szCs w:val="22"/>
          <w:lang w:val="sr-Latn-ME"/>
        </w:rPr>
        <w:t>elesna masa</w:t>
      </w:r>
    </w:p>
    <w:p w14:paraId="61674CE8" w14:textId="79A81DEC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Klirens i centralni volumen distribucije sotatercepta se povećavaju sa povećanjem t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elesne mase. Preporučeni režim doziranja zasnovan na t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elesnoj masi dovodi do dosl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ednog izlaganja sotaterceptu.</w:t>
      </w:r>
    </w:p>
    <w:p w14:paraId="52FE3998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7DF469D6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i/>
          <w:iCs/>
          <w:sz w:val="22"/>
          <w:szCs w:val="22"/>
          <w:lang w:val="sr-Latn-ME"/>
        </w:rPr>
      </w:pPr>
      <w:r w:rsidRPr="009B3C93">
        <w:rPr>
          <w:bCs/>
          <w:i/>
          <w:iCs/>
          <w:sz w:val="22"/>
          <w:szCs w:val="22"/>
          <w:lang w:val="sr-Latn-ME"/>
        </w:rPr>
        <w:t>Oštećenje funkcije bubrega</w:t>
      </w:r>
    </w:p>
    <w:p w14:paraId="248D2CFB" w14:textId="6370FC5C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Farmakokinetika sotatercepta je mogla da se uporedi između pacijenata koji imaju PAH sa blagim do um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erenim oštećenjem funkcije bubrega (eGFR u rasponu od 30 do 89 m</w:t>
      </w:r>
      <w:r w:rsidR="009C731A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>/min/1,73 m</w:t>
      </w:r>
      <w:r w:rsidRPr="009B3C93">
        <w:rPr>
          <w:bCs/>
          <w:sz w:val="22"/>
          <w:szCs w:val="22"/>
          <w:vertAlign w:val="superscript"/>
          <w:lang w:val="sr-Latn-ME"/>
        </w:rPr>
        <w:t>2</w:t>
      </w:r>
      <w:r w:rsidRPr="009B3C93">
        <w:rPr>
          <w:bCs/>
          <w:sz w:val="22"/>
          <w:szCs w:val="22"/>
          <w:lang w:val="sr-Latn-ME"/>
        </w:rPr>
        <w:t>) i onih sa normalnom funkcijom bubrega (eGFR ≥</w:t>
      </w:r>
      <w:r w:rsidR="00796F25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90 m</w:t>
      </w:r>
      <w:r w:rsidR="009C731A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>/min/1,73 m</w:t>
      </w:r>
      <w:r w:rsidRPr="009B3C93">
        <w:rPr>
          <w:bCs/>
          <w:sz w:val="22"/>
          <w:szCs w:val="22"/>
          <w:vertAlign w:val="superscript"/>
          <w:lang w:val="sr-Latn-ME"/>
        </w:rPr>
        <w:t>2</w:t>
      </w:r>
      <w:r w:rsidRPr="009B3C93">
        <w:rPr>
          <w:bCs/>
          <w:sz w:val="22"/>
          <w:szCs w:val="22"/>
          <w:lang w:val="sr-Latn-ME"/>
        </w:rPr>
        <w:t>). Pored toga, farmakokinetika sotatercepta može da se uporedi između pacijenata koji nemaju PAH, a u posl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ednjem su stadijuma bubrežnog oboljenja i pacijenata sa normalnom funkcijom bubrega. Sotatercept se ne može ukloniti hemodijalizom. Sotatercept nije ispitivan kod pacijenata koji imaju PAH sa teškim oštećenjem funkcije bubrega (eGFR &lt;</w:t>
      </w:r>
      <w:r w:rsidR="00796F25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30 m</w:t>
      </w:r>
      <w:r w:rsidR="009C731A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>/min/1,73 m</w:t>
      </w:r>
      <w:r w:rsidRPr="009B3C93">
        <w:rPr>
          <w:bCs/>
          <w:sz w:val="22"/>
          <w:szCs w:val="22"/>
          <w:vertAlign w:val="superscript"/>
          <w:lang w:val="sr-Latn-ME"/>
        </w:rPr>
        <w:t>2</w:t>
      </w:r>
      <w:r w:rsidRPr="009B3C93">
        <w:rPr>
          <w:bCs/>
          <w:sz w:val="22"/>
          <w:szCs w:val="22"/>
          <w:lang w:val="sr-Latn-ME"/>
        </w:rPr>
        <w:t>).</w:t>
      </w:r>
    </w:p>
    <w:p w14:paraId="570364EF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iCs/>
          <w:sz w:val="22"/>
          <w:szCs w:val="22"/>
          <w:lang w:val="sr-Latn-ME"/>
        </w:rPr>
      </w:pPr>
    </w:p>
    <w:p w14:paraId="3844172A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i/>
          <w:sz w:val="22"/>
          <w:szCs w:val="22"/>
          <w:lang w:val="sr-Latn-ME"/>
        </w:rPr>
      </w:pPr>
      <w:r w:rsidRPr="009B3C93">
        <w:rPr>
          <w:bCs/>
          <w:i/>
          <w:sz w:val="22"/>
          <w:szCs w:val="22"/>
          <w:lang w:val="sr-Latn-ME"/>
        </w:rPr>
        <w:t>Oštećenje funkcije jetre</w:t>
      </w:r>
    </w:p>
    <w:p w14:paraId="1529DE94" w14:textId="77777777" w:rsidR="009B3C93" w:rsidRDefault="00BD480A" w:rsidP="00EE6F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Sotatercept nije ispitivan kod pacijenata koji imaju PAH i oštećenje funkcije jetre (Child-Pugh klasa A do C). Ne očekuje se da će oštećenje funkcije jetre uticati na metabolisanje sotatercepta jer se sotatercept metaboliše putem ćelijskog katabolizma.</w:t>
      </w:r>
    </w:p>
    <w:p w14:paraId="4A2FEAEB" w14:textId="3D558707" w:rsidR="00BD480A" w:rsidRPr="009B3C93" w:rsidRDefault="00BD480A" w:rsidP="00EE6F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 xml:space="preserve"> </w:t>
      </w:r>
    </w:p>
    <w:p w14:paraId="08F90967" w14:textId="77777777" w:rsidR="0072020E" w:rsidRPr="009B3C93" w:rsidRDefault="0072020E" w:rsidP="00EE6F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5.3.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54EA74C8" w14:textId="77777777" w:rsidR="00836B35" w:rsidRPr="009B3C93" w:rsidRDefault="00836B35" w:rsidP="00EE6F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2446B49" w14:textId="15F9EB1B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Ni</w:t>
      </w:r>
      <w:r w:rsidR="00796F25" w:rsidRPr="009B3C93">
        <w:rPr>
          <w:bCs/>
          <w:sz w:val="22"/>
          <w:szCs w:val="22"/>
          <w:lang w:val="sr-Latn-ME"/>
        </w:rPr>
        <w:t>jesu sprovedene studije</w:t>
      </w:r>
      <w:r w:rsidRPr="009B3C93">
        <w:rPr>
          <w:bCs/>
          <w:sz w:val="22"/>
          <w:szCs w:val="22"/>
          <w:lang w:val="sr-Latn-ME"/>
        </w:rPr>
        <w:t xml:space="preserve"> kancerogenosti niti mutagenosti za sotatercept.</w:t>
      </w:r>
    </w:p>
    <w:p w14:paraId="25D4BDAB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D7CFD0B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 xml:space="preserve">Toksičnost ponovljenih doza </w:t>
      </w:r>
    </w:p>
    <w:p w14:paraId="6F048A7A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C415159" w14:textId="1B044FAC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Kod pacova i majmuna, najduže studije su</w:t>
      </w:r>
      <w:r w:rsidR="00796F25" w:rsidRPr="009B3C93">
        <w:rPr>
          <w:bCs/>
          <w:sz w:val="22"/>
          <w:szCs w:val="22"/>
          <w:lang w:val="sr-Latn-ME"/>
        </w:rPr>
        <w:t>b</w:t>
      </w:r>
      <w:r w:rsidRPr="009B3C93">
        <w:rPr>
          <w:bCs/>
          <w:sz w:val="22"/>
          <w:szCs w:val="22"/>
          <w:lang w:val="sr-Latn-ME"/>
        </w:rPr>
        <w:t>kutane toksičnosti bile su u trajanju od 3 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eseca, odnosno 9 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eseci. Kod pacova, nepovoljni nalazi su uključivali degeneraciju </w:t>
      </w:r>
      <w:bookmarkStart w:id="61" w:name="_Hlk177378725"/>
      <w:r w:rsidRPr="009B3C93">
        <w:rPr>
          <w:bCs/>
          <w:sz w:val="22"/>
          <w:szCs w:val="22"/>
          <w:lang w:val="sr-Latn-ME"/>
        </w:rPr>
        <w:t>s</w:t>
      </w:r>
      <w:r w:rsidR="00796F25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emevoda</w:t>
      </w:r>
      <w:bookmarkEnd w:id="61"/>
      <w:r w:rsidRPr="009B3C93">
        <w:rPr>
          <w:bCs/>
          <w:sz w:val="22"/>
          <w:szCs w:val="22"/>
          <w:lang w:val="sr-Latn-ME"/>
        </w:rPr>
        <w:t>/testisa, kongestiju/nekrozu nadbubrežne žl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ezde i membranoproliferativni glomerulonefritis i tubulointersticijalni nefritis u bubrezima. Prom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bubrega ni</w:t>
      </w:r>
      <w:r w:rsidR="00796F25" w:rsidRPr="009B3C93">
        <w:rPr>
          <w:bCs/>
          <w:sz w:val="22"/>
          <w:szCs w:val="22"/>
          <w:lang w:val="sr-Latn-ME"/>
        </w:rPr>
        <w:t>je</w:t>
      </w:r>
      <w:r w:rsidRPr="009B3C93">
        <w:rPr>
          <w:bCs/>
          <w:sz w:val="22"/>
          <w:szCs w:val="22"/>
          <w:lang w:val="sr-Latn-ME"/>
        </w:rPr>
        <w:t>su bile reverzibilne posle 1-m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esečnog perioda oporavka. Kod majmuna, nepovoljne prom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uključivale su povećani matriks intersticijuma na kortikomedularnom spoju, smanjenu veličinu kapilara glomerula, glomerulonefritis i tubulointersticijalni nefritis u bubregu. Prom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bubrega kod majmuna su se d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elimično povukle posl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 3-m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esečnog perioda oporavka. Na nivou izloženosti na kojoj nije uočen nepovoljni efekat (engl. </w:t>
      </w:r>
      <w:r w:rsidRPr="009B3C93">
        <w:rPr>
          <w:bCs/>
          <w:i/>
          <w:iCs/>
          <w:sz w:val="22"/>
          <w:szCs w:val="22"/>
          <w:lang w:val="sr-Latn-ME"/>
        </w:rPr>
        <w:t xml:space="preserve">no observed adverse effect level, </w:t>
      </w:r>
      <w:r w:rsidRPr="009B3C93">
        <w:rPr>
          <w:bCs/>
          <w:sz w:val="22"/>
          <w:szCs w:val="22"/>
          <w:lang w:val="sr-Latn-ME"/>
        </w:rPr>
        <w:t>NOAEL) kod pacova i majmuna, izloženost sotaterceptu bila je ≤</w:t>
      </w:r>
      <w:r w:rsidR="007F17B7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2 puta veća od kliničke izloženosti koja se postiže maksimalnom preporučenom dozom za ljude. Drugi nalazi koji su zab</w:t>
      </w:r>
      <w:r w:rsidR="009C731A" w:rsidRPr="009B3C93">
        <w:rPr>
          <w:bCs/>
          <w:sz w:val="22"/>
          <w:szCs w:val="22"/>
          <w:lang w:val="sr-Latn-ME"/>
        </w:rPr>
        <w:t>ilj</w:t>
      </w:r>
      <w:r w:rsidRPr="009B3C93">
        <w:rPr>
          <w:bCs/>
          <w:sz w:val="22"/>
          <w:szCs w:val="22"/>
          <w:lang w:val="sr-Latn-ME"/>
        </w:rPr>
        <w:t>eženi kod majmuna pri graničnim vr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ednostima kliničke izloženosti uključivali su inflamatorne infiltracije jetre, limfoidnu depleciju</w:t>
      </w:r>
      <w:r w:rsidRPr="009B3C93" w:rsidDel="00FF0AE4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u slezini i inflamatorne infiltrate u horoidnom pleksusu.</w:t>
      </w:r>
    </w:p>
    <w:p w14:paraId="10DA93E2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C6802B2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>Reproduktivna toksičnost</w:t>
      </w:r>
    </w:p>
    <w:p w14:paraId="2D3C25FB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7789D450" w14:textId="1DF6A24F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U studiji plodnosti kod ženki, trajanje ciklusa ovulacije je povećano, stope trudnoće su smanjene, povećan gubitak embriona i fetusa pr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 oplodnje i posl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 oplodnje i smanjenje broja živorođenog okota. Na nivou NOAEL za 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ere ishoda za plodnost kod ženki, izloženost sotaterceptu je bila 2 puta veća od kliničkog PIK kod prim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maksimalne preporučene doze za ljude.</w:t>
      </w:r>
    </w:p>
    <w:p w14:paraId="7DA301DC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0AB1EE57" w14:textId="3D427632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Kod mužjaka je bilo ireverzibilnih histoloških prom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ena u s</w:t>
      </w:r>
      <w:r w:rsidR="007F17B7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emevodima, testisima i epidimidima. Histomorfološke prom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u testisima pacova povezane su sa smanjenim indeksom plodnosti što se povuklo tokom 13-ned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eljnog perioda bez prim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terapije. NOAEL za histološke prom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testisa nije utvrđen i NOAEL za funkcionalne prom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u plodnosti mužjaka odgovara sistemskoj izloženosti koja je 2 puta veća od kliničke izloženosti koja se postiže maksimalnom preporučenom dozom za ljude.</w:t>
      </w:r>
    </w:p>
    <w:p w14:paraId="67112D62" w14:textId="159E9D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lastRenderedPageBreak/>
        <w:t>U studijama embriofetalne razvojne toksičnost, efekti kod pacova i zečeva uključivali su smanjenje broja živih fetusa i t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elesnih masa fetusa, kašnjenje u osifikaciji i povećanje resorpcija i gubitaka posl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 oplodnje. Samo kod pacova je bilo i skeletnih varijacija (povećan broj prekobrojnih rebara i prom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ena u broju torakalnih ili lumbalnih pršljenova). Pri NOAEL kod pacova i zečeva, izloženost sotaterceptu bila je 2 puta, odnosno 0,4 puta veća od kliničkog nivoa izloženosti koji se postiže maksimalnom preporučenom dozom za ljude.</w:t>
      </w:r>
    </w:p>
    <w:p w14:paraId="19070822" w14:textId="77777777" w:rsidR="00BD480A" w:rsidRPr="009B3C93" w:rsidRDefault="00BD480A" w:rsidP="00EE6FCB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4E313ED6" w14:textId="4AB6D470" w:rsidR="00BD480A" w:rsidRPr="009B3C93" w:rsidRDefault="00BD480A" w:rsidP="00EE6F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U studiji pr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 natalnog i postnatalnog razvoja kod pacova, ni</w:t>
      </w:r>
      <w:r w:rsidR="007F17B7" w:rsidRPr="009B3C93">
        <w:rPr>
          <w:bCs/>
          <w:sz w:val="22"/>
          <w:szCs w:val="22"/>
          <w:lang w:val="sr-Latn-ME"/>
        </w:rPr>
        <w:t>je</w:t>
      </w:r>
      <w:r w:rsidRPr="009B3C93">
        <w:rPr>
          <w:bCs/>
          <w:sz w:val="22"/>
          <w:szCs w:val="22"/>
          <w:lang w:val="sr-Latn-ME"/>
        </w:rPr>
        <w:t>su prim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ećeni neželjeni efekti sotatercepta u prvoj generaciji (F1) mladunčadi</w:t>
      </w:r>
      <w:r w:rsidRPr="009B3C93" w:rsidDel="004C2C15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od ženki doziranih tokom gestacije pri proc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enjenim nivoima izloženosti do 2 puta većim od one koja se postiže maksimalnom preporučenom dozom za ljude. Kod F1 mladunčadi</w:t>
      </w:r>
      <w:r w:rsidRPr="009B3C93" w:rsidDel="004C2C15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od ženki koje su dobijale dozu tokom laktacije, smanjuje se t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elesna masa mladih u korelaciji sa kašnjenjem seksualnog sazr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evanja. NOAEL za efekte na rast i sazr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evanje kod mladunčadi</w:t>
      </w:r>
      <w:r w:rsidRPr="009B3C93" w:rsidDel="004C2C15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odgovara sistemskoj izloženosti od 0,6 puta kliničkog nivoa izloženosti koja se postiže maksimalnom preporučenom dozom za ljude.</w:t>
      </w:r>
    </w:p>
    <w:p w14:paraId="418EF79F" w14:textId="395105B5" w:rsidR="00396DFD" w:rsidRPr="009B3C93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454C1C0" w14:textId="77777777" w:rsidR="00E52E41" w:rsidRPr="009B3C93" w:rsidRDefault="00E52E4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4BE55DF" w14:textId="77777777" w:rsidR="0072020E" w:rsidRPr="009B3C9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6.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FARMACEUTSKI PODACI</w:t>
      </w:r>
    </w:p>
    <w:p w14:paraId="34F10DF3" w14:textId="77777777" w:rsidR="00836B35" w:rsidRPr="009B3C93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EB0F720" w14:textId="77777777" w:rsidR="0072020E" w:rsidRPr="009B3C9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6.1.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Lista pomoćnih supstanci</w:t>
      </w:r>
      <w:r w:rsidR="002E0135" w:rsidRPr="009B3C93">
        <w:rPr>
          <w:b/>
          <w:bCs/>
          <w:sz w:val="22"/>
          <w:szCs w:val="22"/>
          <w:lang w:val="sr-Latn-ME"/>
        </w:rPr>
        <w:t xml:space="preserve"> (ekscipijenasa)</w:t>
      </w:r>
    </w:p>
    <w:p w14:paraId="060543EC" w14:textId="77777777" w:rsidR="0072020E" w:rsidRPr="009B3C9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D77EEA4" w14:textId="77777777" w:rsidR="00BD480A" w:rsidRPr="009B3C93" w:rsidRDefault="00BD480A" w:rsidP="00BD480A">
      <w:pPr>
        <w:tabs>
          <w:tab w:val="left" w:pos="540"/>
          <w:tab w:val="left" w:pos="567"/>
        </w:tabs>
        <w:rPr>
          <w:bCs/>
          <w:iCs/>
          <w:sz w:val="22"/>
          <w:szCs w:val="22"/>
          <w:u w:val="single"/>
          <w:lang w:val="sr-Latn-ME"/>
        </w:rPr>
      </w:pPr>
      <w:r w:rsidRPr="009B3C93">
        <w:rPr>
          <w:bCs/>
          <w:iCs/>
          <w:sz w:val="22"/>
          <w:szCs w:val="22"/>
          <w:u w:val="single"/>
          <w:lang w:val="sr-Latn-ME"/>
        </w:rPr>
        <w:t>Prašak</w:t>
      </w:r>
    </w:p>
    <w:p w14:paraId="1D0ADC74" w14:textId="77777777" w:rsidR="00BD480A" w:rsidRPr="009B3C93" w:rsidRDefault="00BD480A" w:rsidP="00BD480A">
      <w:pPr>
        <w:tabs>
          <w:tab w:val="left" w:pos="540"/>
          <w:tab w:val="left" w:pos="567"/>
        </w:tabs>
        <w:rPr>
          <w:bCs/>
          <w:iCs/>
          <w:sz w:val="22"/>
          <w:szCs w:val="22"/>
          <w:u w:val="single"/>
          <w:lang w:val="sr-Latn-ME"/>
        </w:rPr>
      </w:pPr>
    </w:p>
    <w:p w14:paraId="44B7FD92" w14:textId="3AD3CE33" w:rsidR="00BD480A" w:rsidRPr="009B3C93" w:rsidRDefault="00BD480A" w:rsidP="00BD480A">
      <w:pPr>
        <w:tabs>
          <w:tab w:val="left" w:pos="540"/>
          <w:tab w:val="left" w:pos="567"/>
        </w:tabs>
        <w:rPr>
          <w:bCs/>
          <w:iCs/>
          <w:sz w:val="22"/>
          <w:szCs w:val="22"/>
          <w:lang w:val="sr-Latn-ME"/>
        </w:rPr>
      </w:pPr>
      <w:r w:rsidRPr="009B3C93">
        <w:rPr>
          <w:bCs/>
          <w:iCs/>
          <w:sz w:val="22"/>
          <w:szCs w:val="22"/>
          <w:lang w:val="sr-Latn-ME"/>
        </w:rPr>
        <w:t>Limunska kiselina monohidrat (E330)</w:t>
      </w:r>
    </w:p>
    <w:p w14:paraId="6187A30D" w14:textId="77777777" w:rsidR="00BD480A" w:rsidRPr="009B3C93" w:rsidRDefault="00BD480A" w:rsidP="00BD480A">
      <w:pPr>
        <w:tabs>
          <w:tab w:val="left" w:pos="540"/>
          <w:tab w:val="left" w:pos="567"/>
        </w:tabs>
        <w:rPr>
          <w:bCs/>
          <w:iCs/>
          <w:sz w:val="22"/>
          <w:szCs w:val="22"/>
          <w:lang w:val="sr-Latn-ME"/>
        </w:rPr>
      </w:pPr>
      <w:r w:rsidRPr="009B3C93">
        <w:rPr>
          <w:bCs/>
          <w:iCs/>
          <w:sz w:val="22"/>
          <w:szCs w:val="22"/>
          <w:lang w:val="sr-Latn-ME"/>
        </w:rPr>
        <w:t>Natrijum citrat (E331)</w:t>
      </w:r>
    </w:p>
    <w:p w14:paraId="2B8721D6" w14:textId="77777777" w:rsidR="00BD480A" w:rsidRPr="009B3C93" w:rsidRDefault="00BD480A" w:rsidP="00BD480A">
      <w:pPr>
        <w:tabs>
          <w:tab w:val="left" w:pos="540"/>
          <w:tab w:val="left" w:pos="567"/>
        </w:tabs>
        <w:rPr>
          <w:bCs/>
          <w:iCs/>
          <w:sz w:val="22"/>
          <w:szCs w:val="22"/>
          <w:lang w:val="sr-Latn-ME"/>
        </w:rPr>
      </w:pPr>
      <w:r w:rsidRPr="009B3C93">
        <w:rPr>
          <w:bCs/>
          <w:iCs/>
          <w:sz w:val="22"/>
          <w:szCs w:val="22"/>
          <w:lang w:val="sr-Latn-ME"/>
        </w:rPr>
        <w:t>Polisorbat 80 (E433)</w:t>
      </w:r>
    </w:p>
    <w:p w14:paraId="7A29C8BC" w14:textId="77777777" w:rsidR="00BD480A" w:rsidRPr="009B3C93" w:rsidRDefault="00BD480A" w:rsidP="00BD480A">
      <w:pPr>
        <w:tabs>
          <w:tab w:val="left" w:pos="540"/>
          <w:tab w:val="left" w:pos="567"/>
        </w:tabs>
        <w:rPr>
          <w:bCs/>
          <w:iCs/>
          <w:sz w:val="22"/>
          <w:szCs w:val="22"/>
          <w:lang w:val="sr-Latn-ME"/>
        </w:rPr>
      </w:pPr>
      <w:r w:rsidRPr="009B3C93">
        <w:rPr>
          <w:bCs/>
          <w:iCs/>
          <w:sz w:val="22"/>
          <w:szCs w:val="22"/>
          <w:lang w:val="sr-Latn-ME"/>
        </w:rPr>
        <w:t>Saharoza</w:t>
      </w:r>
    </w:p>
    <w:p w14:paraId="3006C4C4" w14:textId="77777777" w:rsidR="00BD480A" w:rsidRPr="009B3C93" w:rsidRDefault="00BD480A" w:rsidP="00BD480A">
      <w:pPr>
        <w:tabs>
          <w:tab w:val="left" w:pos="540"/>
          <w:tab w:val="left" w:pos="567"/>
        </w:tabs>
        <w:rPr>
          <w:bCs/>
          <w:i/>
          <w:sz w:val="22"/>
          <w:szCs w:val="22"/>
          <w:lang w:val="sr-Latn-ME"/>
        </w:rPr>
      </w:pPr>
    </w:p>
    <w:p w14:paraId="0EB75F69" w14:textId="77777777" w:rsidR="00BD480A" w:rsidRPr="009B3C93" w:rsidRDefault="00BD480A" w:rsidP="00BD480A">
      <w:pPr>
        <w:tabs>
          <w:tab w:val="left" w:pos="540"/>
          <w:tab w:val="left" w:pos="567"/>
        </w:tabs>
        <w:rPr>
          <w:bCs/>
          <w:iCs/>
          <w:sz w:val="22"/>
          <w:szCs w:val="22"/>
          <w:u w:val="single"/>
          <w:lang w:val="sr-Latn-ME"/>
        </w:rPr>
      </w:pPr>
      <w:r w:rsidRPr="009B3C93">
        <w:rPr>
          <w:bCs/>
          <w:iCs/>
          <w:sz w:val="22"/>
          <w:szCs w:val="22"/>
          <w:u w:val="single"/>
          <w:lang w:val="sr-Latn-ME"/>
        </w:rPr>
        <w:t>Rastvarač</w:t>
      </w:r>
    </w:p>
    <w:p w14:paraId="2BD3E835" w14:textId="77777777" w:rsidR="00BD480A" w:rsidRPr="009B3C93" w:rsidRDefault="00BD480A" w:rsidP="00BD480A">
      <w:pPr>
        <w:tabs>
          <w:tab w:val="left" w:pos="540"/>
          <w:tab w:val="left" w:pos="567"/>
        </w:tabs>
        <w:rPr>
          <w:bCs/>
          <w:iCs/>
          <w:sz w:val="22"/>
          <w:szCs w:val="22"/>
          <w:u w:val="single"/>
          <w:lang w:val="sr-Latn-ME"/>
        </w:rPr>
      </w:pPr>
    </w:p>
    <w:p w14:paraId="10CD3B07" w14:textId="7C61CA81" w:rsidR="00BD480A" w:rsidRPr="009B3C93" w:rsidRDefault="00BD480A" w:rsidP="00480FB1">
      <w:pPr>
        <w:tabs>
          <w:tab w:val="left" w:pos="540"/>
          <w:tab w:val="left" w:pos="569"/>
        </w:tabs>
        <w:rPr>
          <w:bCs/>
          <w:iCs/>
          <w:sz w:val="22"/>
          <w:szCs w:val="22"/>
          <w:lang w:val="sr-Latn-ME"/>
        </w:rPr>
      </w:pPr>
      <w:r w:rsidRPr="009B3C93">
        <w:rPr>
          <w:bCs/>
          <w:iCs/>
          <w:sz w:val="22"/>
          <w:szCs w:val="22"/>
          <w:lang w:val="sr-Latn-ME"/>
        </w:rPr>
        <w:t>Voda za injekcije</w:t>
      </w:r>
    </w:p>
    <w:p w14:paraId="333BF021" w14:textId="77777777" w:rsidR="00BD480A" w:rsidRPr="009B3C93" w:rsidRDefault="00BD480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30B582E" w14:textId="77777777" w:rsidR="0072020E" w:rsidRPr="009B3C9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6.2.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Inkompatibilnost</w:t>
      </w:r>
      <w:r w:rsidR="002846DB" w:rsidRPr="009B3C93">
        <w:rPr>
          <w:b/>
          <w:bCs/>
          <w:sz w:val="22"/>
          <w:szCs w:val="22"/>
          <w:lang w:val="sr-Latn-ME"/>
        </w:rPr>
        <w:t>i</w:t>
      </w:r>
    </w:p>
    <w:p w14:paraId="35428CF7" w14:textId="6FFA7FD3" w:rsidR="0072020E" w:rsidRPr="009B3C93" w:rsidRDefault="0072020E" w:rsidP="00BD480A">
      <w:pPr>
        <w:tabs>
          <w:tab w:val="left" w:pos="1544"/>
        </w:tabs>
        <w:rPr>
          <w:bCs/>
          <w:sz w:val="22"/>
          <w:szCs w:val="22"/>
          <w:lang w:val="sr-Latn-ME"/>
        </w:rPr>
      </w:pPr>
    </w:p>
    <w:p w14:paraId="33C99D04" w14:textId="3DE2571B" w:rsidR="00BD480A" w:rsidRPr="009B3C93" w:rsidRDefault="00BD480A" w:rsidP="00BD480A">
      <w:pPr>
        <w:tabs>
          <w:tab w:val="left" w:pos="1544"/>
        </w:tabs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ek </w:t>
      </w:r>
      <w:r w:rsidR="00205E6A" w:rsidRPr="009B3C93">
        <w:rPr>
          <w:bCs/>
          <w:sz w:val="22"/>
          <w:szCs w:val="22"/>
          <w:lang w:val="sr-Latn-ME"/>
        </w:rPr>
        <w:t xml:space="preserve">se </w:t>
      </w:r>
      <w:r w:rsidRPr="009B3C93">
        <w:rPr>
          <w:bCs/>
          <w:sz w:val="22"/>
          <w:szCs w:val="22"/>
          <w:lang w:val="sr-Latn-ME"/>
        </w:rPr>
        <w:t>ne sm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 m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eša</w:t>
      </w:r>
      <w:r w:rsidR="00205E6A" w:rsidRPr="009B3C93">
        <w:rPr>
          <w:bCs/>
          <w:sz w:val="22"/>
          <w:szCs w:val="22"/>
          <w:lang w:val="sr-Latn-ME"/>
        </w:rPr>
        <w:t>ti</w:t>
      </w:r>
      <w:r w:rsidRPr="009B3C93">
        <w:rPr>
          <w:bCs/>
          <w:sz w:val="22"/>
          <w:szCs w:val="22"/>
          <w:lang w:val="sr-Latn-ME"/>
        </w:rPr>
        <w:t xml:space="preserve"> sa drugim l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ekovima osim onih navedenih u </w:t>
      </w:r>
      <w:r w:rsidR="009C731A" w:rsidRPr="009B3C93">
        <w:rPr>
          <w:bCs/>
          <w:sz w:val="22"/>
          <w:szCs w:val="22"/>
          <w:lang w:val="sr-Latn-ME"/>
        </w:rPr>
        <w:t>dijelu</w:t>
      </w:r>
      <w:r w:rsidRPr="009B3C93">
        <w:rPr>
          <w:bCs/>
          <w:sz w:val="22"/>
          <w:szCs w:val="22"/>
          <w:lang w:val="sr-Latn-ME"/>
        </w:rPr>
        <w:t xml:space="preserve"> 6.6.</w:t>
      </w:r>
      <w:r w:rsidRPr="009B3C93" w:rsidDel="004C2C15">
        <w:rPr>
          <w:bCs/>
          <w:sz w:val="22"/>
          <w:szCs w:val="22"/>
          <w:lang w:val="sr-Latn-ME"/>
        </w:rPr>
        <w:t xml:space="preserve"> </w:t>
      </w:r>
    </w:p>
    <w:p w14:paraId="135ED9A1" w14:textId="77777777" w:rsidR="00BD480A" w:rsidRPr="009B3C93" w:rsidRDefault="00BD480A" w:rsidP="00BD480A">
      <w:pPr>
        <w:tabs>
          <w:tab w:val="left" w:pos="1544"/>
        </w:tabs>
        <w:rPr>
          <w:bCs/>
          <w:sz w:val="22"/>
          <w:szCs w:val="22"/>
          <w:lang w:val="sr-Latn-ME"/>
        </w:rPr>
      </w:pPr>
    </w:p>
    <w:p w14:paraId="5526B8AB" w14:textId="77777777" w:rsidR="0072020E" w:rsidRPr="009B3C9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>6.3.</w:t>
      </w:r>
      <w:r w:rsidR="00C05DF8" w:rsidRPr="009B3C93">
        <w:rPr>
          <w:b/>
          <w:bCs/>
          <w:sz w:val="22"/>
          <w:szCs w:val="22"/>
          <w:lang w:val="sr-Latn-ME"/>
        </w:rPr>
        <w:t xml:space="preserve">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Rok upotrebe</w:t>
      </w:r>
    </w:p>
    <w:p w14:paraId="49876943" w14:textId="77777777" w:rsidR="0072020E" w:rsidRPr="009B3C9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A9215A6" w14:textId="77777777" w:rsidR="00BD480A" w:rsidRPr="009B3C93" w:rsidRDefault="00BD480A" w:rsidP="00BD480A">
      <w:pPr>
        <w:tabs>
          <w:tab w:val="left" w:pos="540"/>
          <w:tab w:val="left" w:pos="567"/>
        </w:tabs>
        <w:rPr>
          <w:bCs/>
          <w:sz w:val="22"/>
          <w:szCs w:val="22"/>
          <w:u w:val="single"/>
          <w:lang w:val="sr-Latn-ME"/>
        </w:rPr>
      </w:pPr>
      <w:bookmarkStart w:id="62" w:name="_Hlk181616234"/>
      <w:r w:rsidRPr="009B3C93">
        <w:rPr>
          <w:bCs/>
          <w:sz w:val="22"/>
          <w:szCs w:val="22"/>
          <w:u w:val="single"/>
          <w:lang w:val="sr-Latn-ME"/>
        </w:rPr>
        <w:t>Neotvorena bočica</w:t>
      </w:r>
    </w:p>
    <w:p w14:paraId="415539A7" w14:textId="77777777" w:rsidR="00BD480A" w:rsidRPr="009B3C93" w:rsidRDefault="00BD480A" w:rsidP="00BD480A">
      <w:pPr>
        <w:tabs>
          <w:tab w:val="left" w:pos="540"/>
          <w:tab w:val="left" w:pos="567"/>
        </w:tabs>
        <w:rPr>
          <w:bCs/>
          <w:sz w:val="22"/>
          <w:szCs w:val="22"/>
          <w:u w:val="single"/>
          <w:lang w:val="sr-Latn-ME"/>
        </w:rPr>
      </w:pPr>
    </w:p>
    <w:p w14:paraId="7D9185EB" w14:textId="77777777" w:rsidR="00BD480A" w:rsidRPr="009B3C93" w:rsidRDefault="00BD480A" w:rsidP="00BD480A">
      <w:pPr>
        <w:tabs>
          <w:tab w:val="left" w:pos="540"/>
          <w:tab w:val="left" w:pos="567"/>
        </w:tabs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3 godine</w:t>
      </w:r>
    </w:p>
    <w:p w14:paraId="52CB88CC" w14:textId="77777777" w:rsidR="00BD480A" w:rsidRPr="009B3C93" w:rsidRDefault="00BD480A" w:rsidP="00BD480A">
      <w:pPr>
        <w:tabs>
          <w:tab w:val="left" w:pos="540"/>
          <w:tab w:val="left" w:pos="567"/>
        </w:tabs>
        <w:rPr>
          <w:bCs/>
          <w:sz w:val="22"/>
          <w:szCs w:val="22"/>
          <w:lang w:val="sr-Latn-ME"/>
        </w:rPr>
      </w:pPr>
    </w:p>
    <w:p w14:paraId="654BE0D6" w14:textId="6CA1DDC2" w:rsidR="00BD480A" w:rsidRPr="009B3C93" w:rsidRDefault="00BD480A" w:rsidP="00BD480A">
      <w:pPr>
        <w:tabs>
          <w:tab w:val="left" w:pos="540"/>
          <w:tab w:val="left" w:pos="567"/>
        </w:tabs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 xml:space="preserve">Nakon </w:t>
      </w:r>
      <w:r w:rsidR="00205E6A" w:rsidRPr="009B3C93">
        <w:rPr>
          <w:bCs/>
          <w:sz w:val="22"/>
          <w:szCs w:val="22"/>
          <w:u w:val="single"/>
          <w:lang w:val="sr-Latn-ME"/>
        </w:rPr>
        <w:t>rekonstitucije</w:t>
      </w:r>
    </w:p>
    <w:p w14:paraId="2AFD4CB5" w14:textId="77777777" w:rsidR="00BD480A" w:rsidRPr="009B3C93" w:rsidRDefault="00BD480A" w:rsidP="00BD480A">
      <w:pPr>
        <w:tabs>
          <w:tab w:val="left" w:pos="540"/>
          <w:tab w:val="left" w:pos="567"/>
        </w:tabs>
        <w:rPr>
          <w:bCs/>
          <w:sz w:val="22"/>
          <w:szCs w:val="22"/>
          <w:u w:val="single"/>
          <w:lang w:val="sr-Latn-ME"/>
        </w:rPr>
      </w:pPr>
    </w:p>
    <w:p w14:paraId="527482DC" w14:textId="178B65AC" w:rsidR="00BD480A" w:rsidRPr="009B3C93" w:rsidRDefault="00BD480A" w:rsidP="0099117A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bookmarkStart w:id="63" w:name="_Hlk176518214"/>
      <w:r w:rsidRPr="009B3C93">
        <w:rPr>
          <w:bCs/>
          <w:sz w:val="22"/>
          <w:szCs w:val="22"/>
          <w:lang w:val="sr-Latn-ME"/>
        </w:rPr>
        <w:t>Dokazana je biohemijska i biofizička stabilnost pripremljenog 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eka tokom 4 sata na temperaturi od</w:t>
      </w:r>
      <w:r w:rsidR="0099117A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30°C</w:t>
      </w:r>
      <w:r w:rsidR="004A04C6" w:rsidRPr="009B3C93">
        <w:rPr>
          <w:bCs/>
          <w:sz w:val="22"/>
          <w:szCs w:val="22"/>
          <w:lang w:val="sr-Latn-ME"/>
        </w:rPr>
        <w:t>.</w:t>
      </w:r>
      <w:r w:rsidRPr="009B3C93" w:rsidDel="00365257">
        <w:rPr>
          <w:bCs/>
          <w:sz w:val="22"/>
          <w:szCs w:val="22"/>
          <w:lang w:val="sr-Latn-ME"/>
        </w:rPr>
        <w:t xml:space="preserve"> </w:t>
      </w:r>
      <w:bookmarkEnd w:id="63"/>
    </w:p>
    <w:p w14:paraId="5ACD1A39" w14:textId="77777777" w:rsidR="00BD480A" w:rsidRPr="009B3C93" w:rsidRDefault="00BD480A" w:rsidP="00BD480A">
      <w:pPr>
        <w:tabs>
          <w:tab w:val="left" w:pos="540"/>
          <w:tab w:val="left" w:pos="567"/>
        </w:tabs>
        <w:rPr>
          <w:bCs/>
          <w:sz w:val="22"/>
          <w:szCs w:val="22"/>
          <w:u w:val="single"/>
          <w:lang w:val="sr-Latn-ME"/>
        </w:rPr>
      </w:pPr>
    </w:p>
    <w:p w14:paraId="0973D08E" w14:textId="179E6BEB" w:rsidR="00BD480A" w:rsidRPr="009B3C93" w:rsidRDefault="00BD480A" w:rsidP="0099117A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Sa mikrobiološkog stanovišta, 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 se mora prim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eniti odmah ili najkasnije 4 sata od </w:t>
      </w:r>
      <w:bookmarkStart w:id="64" w:name="_Hlk177379540"/>
      <w:r w:rsidRPr="009B3C93">
        <w:rPr>
          <w:bCs/>
          <w:sz w:val="22"/>
          <w:szCs w:val="22"/>
          <w:lang w:val="sr-Latn-ME"/>
        </w:rPr>
        <w:t>rekonstitucije</w:t>
      </w:r>
      <w:bookmarkEnd w:id="64"/>
      <w:r w:rsidRPr="009B3C93">
        <w:rPr>
          <w:bCs/>
          <w:sz w:val="22"/>
          <w:szCs w:val="22"/>
          <w:lang w:val="sr-Latn-ME"/>
        </w:rPr>
        <w:t>.</w:t>
      </w:r>
    </w:p>
    <w:p w14:paraId="3B1494E1" w14:textId="77777777" w:rsidR="00BD480A" w:rsidRPr="009B3C93" w:rsidRDefault="00BD480A" w:rsidP="0099117A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1FA0458C" w14:textId="285B927C" w:rsidR="00BD480A" w:rsidRPr="009B3C93" w:rsidRDefault="00BD480A" w:rsidP="0099117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Ako se ne prim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eni odmah, trajanje i uslovi čuvanja do prim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ene 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eka su odgovornost korisnika</w:t>
      </w:r>
      <w:r w:rsidR="009C731A" w:rsidRPr="009B3C93">
        <w:rPr>
          <w:bCs/>
          <w:sz w:val="22"/>
          <w:szCs w:val="22"/>
          <w:lang w:val="sr-Latn-ME"/>
        </w:rPr>
        <w:t>.</w:t>
      </w:r>
    </w:p>
    <w:bookmarkEnd w:id="62"/>
    <w:p w14:paraId="249B5F5E" w14:textId="77777777" w:rsidR="00BD480A" w:rsidRPr="009B3C93" w:rsidRDefault="00BD480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ADE13D1" w14:textId="77777777" w:rsidR="0072020E" w:rsidRPr="009B3C9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6.4.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9B3C93">
        <w:rPr>
          <w:b/>
          <w:bCs/>
          <w:sz w:val="22"/>
          <w:szCs w:val="22"/>
          <w:lang w:val="sr-Latn-ME"/>
        </w:rPr>
        <w:t xml:space="preserve"> lijeka</w:t>
      </w:r>
    </w:p>
    <w:p w14:paraId="64AB2904" w14:textId="77777777" w:rsidR="00EC2532" w:rsidRPr="009B3C93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3257D3E" w14:textId="77777777" w:rsidR="00BD480A" w:rsidRPr="009B3C93" w:rsidRDefault="00BD480A" w:rsidP="0099117A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Čuvati u frižideru (2 °C – 8 °C). Ne zamrzavati.</w:t>
      </w:r>
    </w:p>
    <w:p w14:paraId="3042A75D" w14:textId="701B9741" w:rsidR="00BD480A" w:rsidRPr="009B3C93" w:rsidRDefault="00205E6A" w:rsidP="0099117A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 xml:space="preserve">Čuvati </w:t>
      </w:r>
      <w:r w:rsidR="00BD480A" w:rsidRPr="009B3C93">
        <w:rPr>
          <w:bCs/>
          <w:sz w:val="22"/>
          <w:szCs w:val="22"/>
          <w:lang w:val="sr-Latn-ME"/>
        </w:rPr>
        <w:t>u originalnom pakovanju</w:t>
      </w:r>
      <w:r w:rsidRPr="009B3C93">
        <w:rPr>
          <w:bCs/>
          <w:sz w:val="22"/>
          <w:szCs w:val="22"/>
          <w:lang w:val="sr-Latn-ME"/>
        </w:rPr>
        <w:t>,</w:t>
      </w:r>
      <w:r w:rsidR="00BD480A" w:rsidRPr="009B3C93">
        <w:rPr>
          <w:bCs/>
          <w:sz w:val="22"/>
          <w:szCs w:val="22"/>
          <w:lang w:val="sr-Latn-ME"/>
        </w:rPr>
        <w:t xml:space="preserve"> radi zaštite od sv</w:t>
      </w:r>
      <w:r w:rsidR="009C731A" w:rsidRPr="009B3C93">
        <w:rPr>
          <w:bCs/>
          <w:sz w:val="22"/>
          <w:szCs w:val="22"/>
          <w:lang w:val="sr-Latn-ME"/>
        </w:rPr>
        <w:t>j</w:t>
      </w:r>
      <w:r w:rsidR="00BD480A" w:rsidRPr="009B3C93">
        <w:rPr>
          <w:bCs/>
          <w:sz w:val="22"/>
          <w:szCs w:val="22"/>
          <w:lang w:val="sr-Latn-ME"/>
        </w:rPr>
        <w:t>etlosti.</w:t>
      </w:r>
    </w:p>
    <w:p w14:paraId="081B6D96" w14:textId="77777777" w:rsidR="00BD480A" w:rsidRPr="009B3C93" w:rsidRDefault="00BD480A" w:rsidP="00BD480A">
      <w:pPr>
        <w:tabs>
          <w:tab w:val="left" w:pos="540"/>
          <w:tab w:val="left" w:pos="567"/>
        </w:tabs>
        <w:rPr>
          <w:bCs/>
          <w:sz w:val="22"/>
          <w:szCs w:val="22"/>
          <w:lang w:val="sr-Latn-ME"/>
        </w:rPr>
      </w:pPr>
    </w:p>
    <w:p w14:paraId="1F47BBF5" w14:textId="5C0D5519" w:rsidR="00BD480A" w:rsidRPr="009B3C93" w:rsidRDefault="00BD480A" w:rsidP="0099117A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Za uslove čuvanja l</w:t>
      </w:r>
      <w:r w:rsidR="009C731A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eka nakon </w:t>
      </w:r>
      <w:bookmarkStart w:id="65" w:name="_Hlk177379738"/>
      <w:r w:rsidRPr="009B3C93">
        <w:rPr>
          <w:bCs/>
          <w:sz w:val="22"/>
          <w:szCs w:val="22"/>
          <w:lang w:val="sr-Latn-ME"/>
        </w:rPr>
        <w:t>rekonstitucije</w:t>
      </w:r>
      <w:r w:rsidRPr="009B3C93" w:rsidDel="001F3F3F">
        <w:rPr>
          <w:bCs/>
          <w:sz w:val="22"/>
          <w:szCs w:val="22"/>
          <w:lang w:val="sr-Latn-ME"/>
        </w:rPr>
        <w:t xml:space="preserve"> </w:t>
      </w:r>
      <w:bookmarkEnd w:id="65"/>
      <w:r w:rsidRPr="009B3C93">
        <w:rPr>
          <w:bCs/>
          <w:sz w:val="22"/>
          <w:szCs w:val="22"/>
          <w:lang w:val="sr-Latn-ME"/>
        </w:rPr>
        <w:t>vid</w:t>
      </w:r>
      <w:r w:rsidR="009C731A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eti </w:t>
      </w:r>
      <w:r w:rsidR="009C731A" w:rsidRPr="009B3C93">
        <w:rPr>
          <w:bCs/>
          <w:sz w:val="22"/>
          <w:szCs w:val="22"/>
          <w:lang w:val="sr-Latn-ME"/>
        </w:rPr>
        <w:t>dio</w:t>
      </w:r>
      <w:r w:rsidRPr="009B3C93">
        <w:rPr>
          <w:bCs/>
          <w:sz w:val="22"/>
          <w:szCs w:val="22"/>
          <w:lang w:val="sr-Latn-ME"/>
        </w:rPr>
        <w:t xml:space="preserve"> 6.3.</w:t>
      </w:r>
    </w:p>
    <w:p w14:paraId="69E07641" w14:textId="77777777" w:rsidR="00BD480A" w:rsidRPr="009B3C93" w:rsidRDefault="00BD480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5517478" w14:textId="77777777" w:rsidR="0072020E" w:rsidRPr="009B3C9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lastRenderedPageBreak/>
        <w:t xml:space="preserve">6.5.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="002846DB" w:rsidRPr="009B3C93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9B3C93">
        <w:rPr>
          <w:b/>
          <w:bCs/>
          <w:sz w:val="22"/>
          <w:szCs w:val="22"/>
          <w:lang w:val="sr-Latn-ME"/>
        </w:rPr>
        <w:t>pakovanja</w:t>
      </w:r>
      <w:r w:rsidR="00C06864" w:rsidRPr="009B3C93">
        <w:rPr>
          <w:b/>
          <w:bCs/>
          <w:sz w:val="22"/>
          <w:szCs w:val="22"/>
          <w:lang w:val="sr-Latn-ME"/>
        </w:rPr>
        <w:t xml:space="preserve"> </w:t>
      </w:r>
    </w:p>
    <w:p w14:paraId="70EDD64A" w14:textId="77777777" w:rsidR="0072020E" w:rsidRPr="009B3C9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DDEABE" w14:textId="26A32A70" w:rsidR="00BD480A" w:rsidRPr="009B3C93" w:rsidRDefault="00F02906" w:rsidP="00433213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 xml:space="preserve">Lijek </w:t>
      </w:r>
      <w:r w:rsidR="00BD480A" w:rsidRPr="009B3C93">
        <w:rPr>
          <w:bCs/>
          <w:sz w:val="22"/>
          <w:szCs w:val="22"/>
          <w:u w:val="single"/>
          <w:lang w:val="sr-Latn-ME"/>
        </w:rPr>
        <w:t>Winrevair</w:t>
      </w:r>
      <w:r w:rsidR="009C731A" w:rsidRPr="009B3C93">
        <w:rPr>
          <w:bCs/>
          <w:sz w:val="22"/>
          <w:szCs w:val="22"/>
          <w:u w:val="single"/>
          <w:lang w:val="sr-Latn-ME"/>
        </w:rPr>
        <w:t>,</w:t>
      </w:r>
      <w:r w:rsidR="00BD480A" w:rsidRPr="009B3C93">
        <w:rPr>
          <w:bCs/>
          <w:sz w:val="22"/>
          <w:szCs w:val="22"/>
          <w:u w:val="single"/>
          <w:lang w:val="sr-Latn-ME"/>
        </w:rPr>
        <w:t xml:space="preserve"> 45 mg</w:t>
      </w:r>
      <w:r w:rsidR="009C731A" w:rsidRPr="009B3C93">
        <w:rPr>
          <w:bCs/>
          <w:sz w:val="22"/>
          <w:szCs w:val="22"/>
          <w:u w:val="single"/>
          <w:lang w:val="sr-Latn-ME"/>
        </w:rPr>
        <w:t>,</w:t>
      </w:r>
      <w:r w:rsidR="00BD480A" w:rsidRPr="009B3C93">
        <w:rPr>
          <w:bCs/>
          <w:sz w:val="22"/>
          <w:szCs w:val="22"/>
          <w:u w:val="single"/>
          <w:lang w:val="sr-Latn-ME"/>
        </w:rPr>
        <w:t xml:space="preserve"> prašak i rastvarač za rastvor za injekciju</w:t>
      </w:r>
    </w:p>
    <w:p w14:paraId="388323A3" w14:textId="77777777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9FAE8ED" w14:textId="6EFD775B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 xml:space="preserve">Staklena bočica (staklo tipa I) </w:t>
      </w:r>
      <w:r w:rsidR="00E52E41" w:rsidRPr="009B3C93">
        <w:rPr>
          <w:bCs/>
          <w:sz w:val="22"/>
          <w:szCs w:val="22"/>
          <w:lang w:val="sr-Latn-ME"/>
        </w:rPr>
        <w:t xml:space="preserve">zapremine </w:t>
      </w:r>
      <w:r w:rsidRPr="009B3C93">
        <w:rPr>
          <w:bCs/>
          <w:sz w:val="22"/>
          <w:szCs w:val="22"/>
          <w:lang w:val="sr-Latn-ME"/>
        </w:rPr>
        <w:t>2 m</w:t>
      </w:r>
      <w:r w:rsidR="009C731A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>, zatvorena čepom od bromobutilne gume sa premazom od polimera i aluminijskim zaštitnim zatvaračem sa sv</w:t>
      </w:r>
      <w:r w:rsidR="002A3659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 xml:space="preserve">etlozelenim polipropilenskim </w:t>
      </w:r>
      <w:r w:rsidRPr="009B3C93">
        <w:rPr>
          <w:bCs/>
          <w:i/>
          <w:iCs/>
          <w:sz w:val="22"/>
          <w:szCs w:val="22"/>
          <w:lang w:val="sr-Latn-ME"/>
        </w:rPr>
        <w:t xml:space="preserve">flip-off </w:t>
      </w:r>
      <w:r w:rsidRPr="009B3C93">
        <w:rPr>
          <w:bCs/>
          <w:sz w:val="22"/>
          <w:szCs w:val="22"/>
          <w:lang w:val="sr-Latn-ME"/>
        </w:rPr>
        <w:t>poklopcem, koja sadrži 45 mg sotatercepta.</w:t>
      </w:r>
      <w:r w:rsidRPr="009B3C93" w:rsidDel="00365257">
        <w:rPr>
          <w:bCs/>
          <w:sz w:val="22"/>
          <w:szCs w:val="22"/>
          <w:lang w:val="sr-Latn-ME"/>
        </w:rPr>
        <w:t xml:space="preserve"> </w:t>
      </w:r>
    </w:p>
    <w:p w14:paraId="49C6953A" w14:textId="77777777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257B6B2" w14:textId="1A828443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lang w:val="sr-Latn-ME"/>
        </w:rPr>
        <w:t>Napunjeni injekcioni špric (uložak od stakla tipa I zatvoren čepom od bromobutilne gume) sa 1 m</w:t>
      </w:r>
      <w:r w:rsidR="002A3659" w:rsidRPr="009B3C93">
        <w:rPr>
          <w:bCs/>
          <w:sz w:val="22"/>
          <w:szCs w:val="22"/>
          <w:lang w:val="sr-Latn-ME"/>
        </w:rPr>
        <w:t xml:space="preserve">l </w:t>
      </w:r>
      <w:r w:rsidRPr="009B3C93">
        <w:rPr>
          <w:bCs/>
          <w:sz w:val="22"/>
          <w:szCs w:val="22"/>
          <w:lang w:val="sr-Latn-ME"/>
        </w:rPr>
        <w:t>rastvarača.</w:t>
      </w:r>
    </w:p>
    <w:p w14:paraId="5A08C8B1" w14:textId="77777777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E081C13" w14:textId="2E33F75F" w:rsidR="00BD480A" w:rsidRPr="009B3C93" w:rsidRDefault="00F02906" w:rsidP="00433213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 xml:space="preserve">Lijek </w:t>
      </w:r>
      <w:r w:rsidR="00BD480A" w:rsidRPr="009B3C93">
        <w:rPr>
          <w:bCs/>
          <w:sz w:val="22"/>
          <w:szCs w:val="22"/>
          <w:u w:val="single"/>
          <w:lang w:val="sr-Latn-ME"/>
        </w:rPr>
        <w:t>Winrevair</w:t>
      </w:r>
      <w:r w:rsidR="009C731A" w:rsidRPr="009B3C93">
        <w:rPr>
          <w:bCs/>
          <w:sz w:val="22"/>
          <w:szCs w:val="22"/>
          <w:u w:val="single"/>
          <w:lang w:val="sr-Latn-ME"/>
        </w:rPr>
        <w:t>,</w:t>
      </w:r>
      <w:r w:rsidR="00BD480A" w:rsidRPr="009B3C93">
        <w:rPr>
          <w:bCs/>
          <w:sz w:val="22"/>
          <w:szCs w:val="22"/>
          <w:u w:val="single"/>
          <w:lang w:val="sr-Latn-ME"/>
        </w:rPr>
        <w:t xml:space="preserve"> 60 mg</w:t>
      </w:r>
      <w:r w:rsidR="009C731A" w:rsidRPr="009B3C93">
        <w:rPr>
          <w:bCs/>
          <w:sz w:val="22"/>
          <w:szCs w:val="22"/>
          <w:u w:val="single"/>
          <w:lang w:val="sr-Latn-ME"/>
        </w:rPr>
        <w:t>,</w:t>
      </w:r>
      <w:r w:rsidR="00BD480A" w:rsidRPr="009B3C93">
        <w:rPr>
          <w:bCs/>
          <w:sz w:val="22"/>
          <w:szCs w:val="22"/>
          <w:u w:val="single"/>
          <w:lang w:val="sr-Latn-ME"/>
        </w:rPr>
        <w:t xml:space="preserve"> prašak i rastvarač za rastvor za injekciju</w:t>
      </w:r>
    </w:p>
    <w:p w14:paraId="3829BC5A" w14:textId="77777777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42B8C0F" w14:textId="258DE5B4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 xml:space="preserve">Staklena bočica (staklo tipa I) </w:t>
      </w:r>
      <w:r w:rsidR="00E52E41" w:rsidRPr="009B3C93">
        <w:rPr>
          <w:bCs/>
          <w:sz w:val="22"/>
          <w:szCs w:val="22"/>
          <w:lang w:val="sr-Latn-ME"/>
        </w:rPr>
        <w:t xml:space="preserve">zapremine </w:t>
      </w:r>
      <w:r w:rsidRPr="009B3C93">
        <w:rPr>
          <w:bCs/>
          <w:sz w:val="22"/>
          <w:szCs w:val="22"/>
          <w:lang w:val="sr-Latn-ME"/>
        </w:rPr>
        <w:t xml:space="preserve">2 ml, zatvorena čepom od bromobutilne gume sa premazom od polimera i aluminijskim zaštitnim zatvaračem sa tamnocrvenim polipropilenskim </w:t>
      </w:r>
      <w:r w:rsidRPr="009B3C93">
        <w:rPr>
          <w:bCs/>
          <w:i/>
          <w:iCs/>
          <w:sz w:val="22"/>
          <w:szCs w:val="22"/>
          <w:lang w:val="sr-Latn-ME"/>
        </w:rPr>
        <w:t>flip-off</w:t>
      </w:r>
      <w:r w:rsidRPr="009B3C93">
        <w:rPr>
          <w:bCs/>
          <w:sz w:val="22"/>
          <w:szCs w:val="22"/>
          <w:lang w:val="sr-Latn-ME"/>
        </w:rPr>
        <w:t xml:space="preserve"> </w:t>
      </w:r>
      <w:r w:rsidR="00E52E41" w:rsidRPr="009B3C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poklopcem, koja sadrži 60 mg sotatercepta.</w:t>
      </w:r>
      <w:r w:rsidRPr="009B3C93" w:rsidDel="00365257">
        <w:rPr>
          <w:bCs/>
          <w:sz w:val="22"/>
          <w:szCs w:val="22"/>
          <w:lang w:val="sr-Latn-ME"/>
        </w:rPr>
        <w:t xml:space="preserve"> </w:t>
      </w:r>
    </w:p>
    <w:p w14:paraId="05A8DA3E" w14:textId="77777777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39C9383E" w14:textId="77777777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Napunjeni injekcioni špric (uložak od stakla tipa I zatvoren čepom od bromobutilne gume</w:t>
      </w:r>
      <w:r w:rsidRPr="009B3C93" w:rsidDel="00365257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) sa 1,3 ml rastvarača.</w:t>
      </w:r>
    </w:p>
    <w:p w14:paraId="777F7371" w14:textId="77777777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6F7CBCD8" w14:textId="7A0E74BC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>Winrevair</w:t>
      </w:r>
      <w:r w:rsidR="002A3659" w:rsidRPr="009B3C93">
        <w:rPr>
          <w:bCs/>
          <w:sz w:val="22"/>
          <w:szCs w:val="22"/>
          <w:u w:val="single"/>
          <w:lang w:val="sr-Latn-ME"/>
        </w:rPr>
        <w:t>,</w:t>
      </w:r>
      <w:r w:rsidRPr="009B3C93">
        <w:rPr>
          <w:bCs/>
          <w:sz w:val="22"/>
          <w:szCs w:val="22"/>
          <w:u w:val="single"/>
          <w:lang w:val="sr-Latn-ME"/>
        </w:rPr>
        <w:t xml:space="preserve"> prašak i rastvarač za rastvor za injekciju dostupni su u sl</w:t>
      </w:r>
      <w:r w:rsidR="002A3659" w:rsidRPr="009B3C93">
        <w:rPr>
          <w:bCs/>
          <w:sz w:val="22"/>
          <w:szCs w:val="22"/>
          <w:u w:val="single"/>
          <w:lang w:val="sr-Latn-ME"/>
        </w:rPr>
        <w:t>j</w:t>
      </w:r>
      <w:r w:rsidRPr="009B3C93">
        <w:rPr>
          <w:bCs/>
          <w:sz w:val="22"/>
          <w:szCs w:val="22"/>
          <w:u w:val="single"/>
          <w:lang w:val="sr-Latn-ME"/>
        </w:rPr>
        <w:t>edećim veličinama pakovanja:</w:t>
      </w:r>
    </w:p>
    <w:p w14:paraId="1F65A1FB" w14:textId="77777777" w:rsidR="00BD480A" w:rsidRPr="009B3C93" w:rsidRDefault="00BD480A" w:rsidP="00BD480A">
      <w:pPr>
        <w:tabs>
          <w:tab w:val="left" w:pos="540"/>
          <w:tab w:val="left" w:pos="567"/>
        </w:tabs>
        <w:rPr>
          <w:bCs/>
          <w:sz w:val="22"/>
          <w:szCs w:val="22"/>
          <w:u w:val="single"/>
          <w:lang w:val="sr-Latn-ME"/>
        </w:rPr>
      </w:pPr>
    </w:p>
    <w:p w14:paraId="1903E93C" w14:textId="477B6B94" w:rsidR="00BD480A" w:rsidRPr="009B3C93" w:rsidRDefault="00BD480A" w:rsidP="00433213">
      <w:pPr>
        <w:numPr>
          <w:ilvl w:val="0"/>
          <w:numId w:val="13"/>
        </w:numPr>
        <w:ind w:left="567" w:hanging="207"/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Kompleti koji sadrže 1 bočicu sa 45 mg praška, 1 napunjeni injekcioni špric sa 1,0 m</w:t>
      </w:r>
      <w:r w:rsidR="002A3659" w:rsidRPr="009B3C93">
        <w:rPr>
          <w:bCs/>
          <w:sz w:val="22"/>
          <w:szCs w:val="22"/>
          <w:lang w:val="sr-Latn-ME"/>
        </w:rPr>
        <w:t xml:space="preserve">l </w:t>
      </w:r>
      <w:r w:rsidRPr="009B3C93">
        <w:rPr>
          <w:bCs/>
          <w:sz w:val="22"/>
          <w:szCs w:val="22"/>
          <w:lang w:val="sr-Latn-ME"/>
        </w:rPr>
        <w:t>rastvarača, 1 špric za doziranje sa pod</w:t>
      </w:r>
      <w:r w:rsidR="002A3659" w:rsidRPr="009B3C93">
        <w:rPr>
          <w:bCs/>
          <w:sz w:val="22"/>
          <w:szCs w:val="22"/>
          <w:lang w:val="sr-Latn-ME"/>
        </w:rPr>
        <w:t>i</w:t>
      </w:r>
      <w:r w:rsidRPr="009B3C93">
        <w:rPr>
          <w:bCs/>
          <w:sz w:val="22"/>
          <w:szCs w:val="22"/>
          <w:lang w:val="sr-Latn-ME"/>
        </w:rPr>
        <w:t>ocima od 0,1 m</w:t>
      </w:r>
      <w:r w:rsidR="002A3659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 xml:space="preserve">, 1 adapter za bočicu (13 mm), 1 iglu za injekciju i 4 alkoholna </w:t>
      </w:r>
      <w:bookmarkStart w:id="66" w:name="_Hlk176518752"/>
      <w:r w:rsidRPr="009B3C93">
        <w:rPr>
          <w:bCs/>
          <w:sz w:val="22"/>
          <w:szCs w:val="22"/>
          <w:lang w:val="sr-Latn-ME"/>
        </w:rPr>
        <w:t>tupfera</w:t>
      </w:r>
      <w:bookmarkEnd w:id="66"/>
      <w:r w:rsidRPr="009B3C93">
        <w:rPr>
          <w:bCs/>
          <w:sz w:val="22"/>
          <w:szCs w:val="22"/>
          <w:lang w:val="sr-Latn-ME"/>
        </w:rPr>
        <w:t>.</w:t>
      </w:r>
    </w:p>
    <w:p w14:paraId="46176E79" w14:textId="3F711B97" w:rsidR="00BD480A" w:rsidRPr="009B3C93" w:rsidRDefault="00BD480A" w:rsidP="00433213">
      <w:pPr>
        <w:numPr>
          <w:ilvl w:val="0"/>
          <w:numId w:val="13"/>
        </w:numPr>
        <w:tabs>
          <w:tab w:val="left" w:pos="567"/>
        </w:tabs>
        <w:ind w:left="567" w:hanging="218"/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Kompleti koji sadrže 2 bočice sa 45 mg praška, 2 napunjena injekciona šprica sa 1,0 m</w:t>
      </w:r>
      <w:r w:rsidR="002A3659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 xml:space="preserve"> rastvarača, 1 špric za doziranje sa pod</w:t>
      </w:r>
      <w:r w:rsidR="002A3659" w:rsidRPr="009B3C93">
        <w:rPr>
          <w:bCs/>
          <w:sz w:val="22"/>
          <w:szCs w:val="22"/>
          <w:lang w:val="sr-Latn-ME"/>
        </w:rPr>
        <w:t>i</w:t>
      </w:r>
      <w:r w:rsidRPr="009B3C93">
        <w:rPr>
          <w:bCs/>
          <w:sz w:val="22"/>
          <w:szCs w:val="22"/>
          <w:lang w:val="sr-Latn-ME"/>
        </w:rPr>
        <w:t>ocima od 0,1 m</w:t>
      </w:r>
      <w:r w:rsidR="002A3659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 xml:space="preserve">, 2 adaptera za bočicu (13 mm), 1 iglu za injekciju i 8 alkoholnih </w:t>
      </w:r>
      <w:bookmarkStart w:id="67" w:name="_Hlk176519280"/>
      <w:r w:rsidRPr="009B3C93">
        <w:rPr>
          <w:bCs/>
          <w:sz w:val="22"/>
          <w:szCs w:val="22"/>
          <w:lang w:val="sr-Latn-ME"/>
        </w:rPr>
        <w:t>tupfera</w:t>
      </w:r>
      <w:bookmarkEnd w:id="67"/>
      <w:r w:rsidRPr="009B3C93">
        <w:rPr>
          <w:bCs/>
          <w:sz w:val="22"/>
          <w:szCs w:val="22"/>
          <w:lang w:val="sr-Latn-ME"/>
        </w:rPr>
        <w:t>.</w:t>
      </w:r>
    </w:p>
    <w:p w14:paraId="0BF60355" w14:textId="383EFA41" w:rsidR="00BD480A" w:rsidRPr="009B3C93" w:rsidRDefault="00BD480A" w:rsidP="00433213">
      <w:pPr>
        <w:numPr>
          <w:ilvl w:val="0"/>
          <w:numId w:val="13"/>
        </w:numPr>
        <w:tabs>
          <w:tab w:val="left" w:pos="567"/>
        </w:tabs>
        <w:ind w:left="567" w:hanging="207"/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 xml:space="preserve">Kompleti koji sadrže 1 bočicu sa 60 mg praška, 1 napunjeni injekcioni špric sa </w:t>
      </w:r>
      <w:bookmarkStart w:id="68" w:name="_Hlk176518812"/>
      <w:r w:rsidRPr="009B3C93">
        <w:rPr>
          <w:bCs/>
          <w:sz w:val="22"/>
          <w:szCs w:val="22"/>
          <w:lang w:val="sr-Latn-ME"/>
        </w:rPr>
        <w:t>1,3 m</w:t>
      </w:r>
      <w:r w:rsidR="002A3659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 xml:space="preserve"> rastvarača</w:t>
      </w:r>
      <w:bookmarkEnd w:id="68"/>
      <w:r w:rsidRPr="009B3C93">
        <w:rPr>
          <w:bCs/>
          <w:sz w:val="22"/>
          <w:szCs w:val="22"/>
          <w:lang w:val="sr-Latn-ME"/>
        </w:rPr>
        <w:t>, 1 špric za doziranje sa pod</w:t>
      </w:r>
      <w:r w:rsidR="002A3659" w:rsidRPr="009B3C93">
        <w:rPr>
          <w:bCs/>
          <w:sz w:val="22"/>
          <w:szCs w:val="22"/>
          <w:lang w:val="sr-Latn-ME"/>
        </w:rPr>
        <w:t>i</w:t>
      </w:r>
      <w:r w:rsidRPr="009B3C93">
        <w:rPr>
          <w:bCs/>
          <w:sz w:val="22"/>
          <w:szCs w:val="22"/>
          <w:lang w:val="sr-Latn-ME"/>
        </w:rPr>
        <w:t>ocima od 0,1 ml, 1 adapter za bočicu (13 mm), 1 iglu za injekciju i 4 alkoholna tupfera.</w:t>
      </w:r>
    </w:p>
    <w:p w14:paraId="77EA9284" w14:textId="480C0B4F" w:rsidR="00BD480A" w:rsidRPr="009B3C93" w:rsidRDefault="00BD480A" w:rsidP="00433213">
      <w:pPr>
        <w:numPr>
          <w:ilvl w:val="0"/>
          <w:numId w:val="13"/>
        </w:numPr>
        <w:tabs>
          <w:tab w:val="left" w:pos="567"/>
        </w:tabs>
        <w:ind w:left="567" w:hanging="207"/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Kompleti koji sadrže 2 bočice sa 60 mg praška, 2 napunjena injekciona šprica sa 1,3 m</w:t>
      </w:r>
      <w:r w:rsidR="002A3659" w:rsidRPr="009B3C93">
        <w:rPr>
          <w:bCs/>
          <w:sz w:val="22"/>
          <w:szCs w:val="22"/>
          <w:lang w:val="sr-Latn-ME"/>
        </w:rPr>
        <w:t>l</w:t>
      </w:r>
      <w:r w:rsidRPr="009B3C93">
        <w:rPr>
          <w:bCs/>
          <w:sz w:val="22"/>
          <w:szCs w:val="22"/>
          <w:lang w:val="sr-Latn-ME"/>
        </w:rPr>
        <w:t xml:space="preserve"> rastvarača, 1 špric za doziranje sa pod</w:t>
      </w:r>
      <w:r w:rsidR="002A3659" w:rsidRPr="009B3C93">
        <w:rPr>
          <w:bCs/>
          <w:sz w:val="22"/>
          <w:szCs w:val="22"/>
          <w:lang w:val="sr-Latn-ME"/>
        </w:rPr>
        <w:t>i</w:t>
      </w:r>
      <w:r w:rsidRPr="009B3C93">
        <w:rPr>
          <w:bCs/>
          <w:sz w:val="22"/>
          <w:szCs w:val="22"/>
          <w:lang w:val="sr-Latn-ME"/>
        </w:rPr>
        <w:t>ocima od 0,1 ml, 2 adaptera za bočicu (13 mm), 1 iglu za injekciju i 8 alkoholnih tupfera.</w:t>
      </w:r>
    </w:p>
    <w:p w14:paraId="7D03CC75" w14:textId="77777777" w:rsidR="00BD480A" w:rsidRPr="009B3C93" w:rsidRDefault="00BD480A" w:rsidP="0099117A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62EBD882" w14:textId="7ECE4C1B" w:rsidR="00BD480A" w:rsidRPr="009B3C93" w:rsidRDefault="00BD480A" w:rsidP="0099117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Na tržištu se ne moraju nalaziti sve veličine pakovanja.</w:t>
      </w:r>
    </w:p>
    <w:p w14:paraId="06473074" w14:textId="77777777" w:rsidR="00C02C74" w:rsidRPr="009B3C93" w:rsidRDefault="00C02C74" w:rsidP="0099117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42C5A6" w14:textId="77777777" w:rsidR="002846DB" w:rsidRPr="009B3C9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6.6.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9B3C93">
        <w:rPr>
          <w:b/>
          <w:bCs/>
          <w:sz w:val="22"/>
          <w:szCs w:val="22"/>
          <w:lang w:val="sr-Latn-ME"/>
        </w:rPr>
        <w:t xml:space="preserve"> </w:t>
      </w:r>
      <w:r w:rsidR="00310F03" w:rsidRPr="009B3C93">
        <w:rPr>
          <w:b/>
          <w:bCs/>
          <w:sz w:val="22"/>
          <w:szCs w:val="22"/>
          <w:lang w:val="sr-Latn-ME"/>
        </w:rPr>
        <w:t>(i druga uputs</w:t>
      </w:r>
      <w:r w:rsidR="004109FA" w:rsidRPr="009B3C93">
        <w:rPr>
          <w:b/>
          <w:bCs/>
          <w:sz w:val="22"/>
          <w:szCs w:val="22"/>
          <w:lang w:val="sr-Latn-ME"/>
        </w:rPr>
        <w:t>t</w:t>
      </w:r>
      <w:r w:rsidR="00310F03" w:rsidRPr="009B3C93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FA55961" w14:textId="77777777" w:rsidR="00B66A70" w:rsidRPr="009B3C93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409AC78" w14:textId="77777777" w:rsidR="00BD480A" w:rsidRPr="009B3C93" w:rsidRDefault="00BD480A" w:rsidP="00BD480A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9B3C93">
        <w:rPr>
          <w:bCs/>
          <w:sz w:val="22"/>
          <w:szCs w:val="22"/>
          <w:u w:val="single"/>
          <w:lang w:val="sr-Latn-ME"/>
        </w:rPr>
        <w:t>Izbor odgovarajućeg kompleta</w:t>
      </w:r>
    </w:p>
    <w:p w14:paraId="722A3675" w14:textId="77777777" w:rsidR="00BD480A" w:rsidRPr="009B3C93" w:rsidRDefault="00BD480A" w:rsidP="00BD480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8780F8D" w14:textId="5F8F44D7" w:rsidR="00BD480A" w:rsidRPr="009B3C93" w:rsidRDefault="00BD480A" w:rsidP="00BD480A">
      <w:pPr>
        <w:tabs>
          <w:tab w:val="left" w:pos="540"/>
          <w:tab w:val="left" w:pos="567"/>
        </w:tabs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Ako t</w:t>
      </w:r>
      <w:r w:rsidR="002A3659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elesna masa pacijenta zaht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eva upotrebu dv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 bočice od 45 mg ili dv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 bočice od 60 mg, um</w:t>
      </w:r>
      <w:r w:rsidR="002A3659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esto dva kompleta sa 1 bočicom treba koristiti komplet koji sadrži 2 bočice da bi se eliminisala potreba za prim</w:t>
      </w:r>
      <w:r w:rsidR="002A3659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enu više injekcija (vid</w:t>
      </w:r>
      <w:r w:rsidR="002A3659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 xml:space="preserve">eti </w:t>
      </w:r>
      <w:r w:rsidR="002A3659" w:rsidRPr="009B3C93">
        <w:rPr>
          <w:sz w:val="22"/>
          <w:szCs w:val="22"/>
          <w:lang w:val="sr-Latn-ME"/>
        </w:rPr>
        <w:t>dio</w:t>
      </w:r>
      <w:r w:rsidRPr="009B3C93">
        <w:rPr>
          <w:sz w:val="22"/>
          <w:szCs w:val="22"/>
          <w:lang w:val="sr-Latn-ME"/>
        </w:rPr>
        <w:t xml:space="preserve"> 6.5).</w:t>
      </w:r>
    </w:p>
    <w:p w14:paraId="10F9878A" w14:textId="77777777" w:rsidR="00BD480A" w:rsidRPr="009B3C93" w:rsidRDefault="00BD480A" w:rsidP="00BD480A">
      <w:pPr>
        <w:tabs>
          <w:tab w:val="left" w:pos="540"/>
          <w:tab w:val="left" w:pos="567"/>
        </w:tabs>
        <w:rPr>
          <w:sz w:val="22"/>
          <w:szCs w:val="22"/>
          <w:u w:val="single"/>
          <w:lang w:val="sr-Latn-ME"/>
        </w:rPr>
      </w:pPr>
    </w:p>
    <w:p w14:paraId="4FD18183" w14:textId="40BE670E" w:rsidR="00BD480A" w:rsidRPr="009B3C93" w:rsidRDefault="00BD480A" w:rsidP="00BD480A">
      <w:pPr>
        <w:tabs>
          <w:tab w:val="left" w:pos="540"/>
          <w:tab w:val="left" w:pos="567"/>
        </w:tabs>
        <w:rPr>
          <w:sz w:val="22"/>
          <w:szCs w:val="22"/>
          <w:u w:val="single"/>
          <w:lang w:val="sr-Latn-ME"/>
        </w:rPr>
      </w:pPr>
      <w:r w:rsidRPr="009B3C93">
        <w:rPr>
          <w:sz w:val="22"/>
          <w:szCs w:val="22"/>
          <w:u w:val="single"/>
          <w:lang w:val="sr-Latn-ME"/>
        </w:rPr>
        <w:t xml:space="preserve">Uputstvo za </w:t>
      </w:r>
      <w:r w:rsidR="00EE4F17" w:rsidRPr="009B3C93">
        <w:rPr>
          <w:sz w:val="22"/>
          <w:szCs w:val="22"/>
          <w:u w:val="single"/>
          <w:lang w:val="sr-Latn-ME"/>
        </w:rPr>
        <w:t xml:space="preserve">rekonstituciju </w:t>
      </w:r>
      <w:r w:rsidRPr="009B3C93">
        <w:rPr>
          <w:sz w:val="22"/>
          <w:szCs w:val="22"/>
          <w:u w:val="single"/>
          <w:lang w:val="sr-Latn-ME"/>
        </w:rPr>
        <w:t>i prim</w:t>
      </w:r>
      <w:r w:rsidR="002A3659" w:rsidRPr="009B3C93">
        <w:rPr>
          <w:sz w:val="22"/>
          <w:szCs w:val="22"/>
          <w:u w:val="single"/>
          <w:lang w:val="sr-Latn-ME"/>
        </w:rPr>
        <w:t>j</w:t>
      </w:r>
      <w:r w:rsidRPr="009B3C93">
        <w:rPr>
          <w:sz w:val="22"/>
          <w:szCs w:val="22"/>
          <w:u w:val="single"/>
          <w:lang w:val="sr-Latn-ME"/>
        </w:rPr>
        <w:t>enu</w:t>
      </w:r>
    </w:p>
    <w:p w14:paraId="33626A43" w14:textId="77777777" w:rsidR="00BD480A" w:rsidRPr="009B3C93" w:rsidRDefault="00BD480A" w:rsidP="00BD480A">
      <w:pPr>
        <w:tabs>
          <w:tab w:val="left" w:pos="540"/>
          <w:tab w:val="left" w:pos="567"/>
        </w:tabs>
        <w:rPr>
          <w:sz w:val="22"/>
          <w:szCs w:val="22"/>
          <w:u w:val="single"/>
          <w:lang w:val="sr-Latn-ME"/>
        </w:rPr>
      </w:pPr>
    </w:p>
    <w:p w14:paraId="619366DA" w14:textId="16FB5B74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Winrevair prašak i rastvarač za rastvor za injekciju treba rekonstituisati pr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 upotrebe i prim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eniti kao pojedinačnu injekciju prema t</w:t>
      </w:r>
      <w:r w:rsidR="002A3659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elesnoj masi pacijenta (vid</w:t>
      </w:r>
      <w:r w:rsidR="002A3659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 xml:space="preserve">eti </w:t>
      </w:r>
      <w:r w:rsidR="002A3659" w:rsidRPr="009B3C93">
        <w:rPr>
          <w:sz w:val="22"/>
          <w:szCs w:val="22"/>
          <w:lang w:val="sr-Latn-ME"/>
        </w:rPr>
        <w:t>dio</w:t>
      </w:r>
      <w:r w:rsidRPr="009B3C93">
        <w:rPr>
          <w:sz w:val="22"/>
          <w:szCs w:val="22"/>
          <w:lang w:val="sr-Latn-ME"/>
        </w:rPr>
        <w:t xml:space="preserve"> 4.2).</w:t>
      </w:r>
    </w:p>
    <w:p w14:paraId="6EDDA337" w14:textId="77777777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47CB7602" w14:textId="5C4F32AD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Detaljna uputstva za pripremu i prim</w:t>
      </w:r>
      <w:r w:rsidR="002A3659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enu l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eka korak po korak vid</w:t>
      </w:r>
      <w:r w:rsidR="002A3659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eti u zasebnoj brošuri „Uputstvo za</w:t>
      </w:r>
    </w:p>
    <w:p w14:paraId="637AFC79" w14:textId="65580D62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upotrebu“, priloženoj u kompletu. U nastavku je dat sažet pregled uputstava za rekonstituciju i prim</w:t>
      </w:r>
      <w:r w:rsidR="002A3659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enu.</w:t>
      </w:r>
    </w:p>
    <w:p w14:paraId="00348E52" w14:textId="77777777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7B448387" w14:textId="77777777" w:rsidR="00BD480A" w:rsidRPr="009B3C93" w:rsidRDefault="00BD480A" w:rsidP="00BD480A">
      <w:pPr>
        <w:tabs>
          <w:tab w:val="left" w:pos="540"/>
          <w:tab w:val="left" w:pos="567"/>
        </w:tabs>
        <w:rPr>
          <w:sz w:val="22"/>
          <w:szCs w:val="22"/>
          <w:u w:val="single"/>
          <w:lang w:val="sr-Latn-ME"/>
        </w:rPr>
      </w:pPr>
      <w:r w:rsidRPr="009B3C93">
        <w:rPr>
          <w:i/>
          <w:sz w:val="22"/>
          <w:szCs w:val="22"/>
          <w:lang w:val="sr-Latn-ME"/>
        </w:rPr>
        <w:t>Rekonstitucija</w:t>
      </w:r>
    </w:p>
    <w:p w14:paraId="0E76C48A" w14:textId="1798D4B7" w:rsidR="00BD480A" w:rsidRPr="009B3C93" w:rsidRDefault="00BD480A" w:rsidP="006F64AF">
      <w:pPr>
        <w:numPr>
          <w:ilvl w:val="0"/>
          <w:numId w:val="13"/>
        </w:numPr>
        <w:tabs>
          <w:tab w:val="left" w:pos="360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Izvadite komplet iz frižidera i sačekajte 15 minuta da napunjen(i) injekcioni špric(evi) i l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ek dostignu sobnu temperaturu pr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 xml:space="preserve">e pripreme. </w:t>
      </w:r>
    </w:p>
    <w:p w14:paraId="7D5E929C" w14:textId="22347D2B" w:rsidR="00BD480A" w:rsidRPr="009B3C93" w:rsidRDefault="00BD480A" w:rsidP="006F64AF">
      <w:pPr>
        <w:numPr>
          <w:ilvl w:val="0"/>
          <w:numId w:val="13"/>
        </w:numPr>
        <w:tabs>
          <w:tab w:val="left" w:pos="360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lastRenderedPageBreak/>
        <w:t>Pogledajte nal</w:t>
      </w:r>
      <w:r w:rsidR="002A3659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epnicu na bočici da biste bili sigurni da rok upotrebe l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 xml:space="preserve">eka nije istekao. Prašak treba da bude </w:t>
      </w:r>
      <w:r w:rsidR="002A3659" w:rsidRPr="009B3C93">
        <w:rPr>
          <w:sz w:val="22"/>
          <w:szCs w:val="22"/>
          <w:lang w:val="sr-Latn-ME"/>
        </w:rPr>
        <w:t>bijeli</w:t>
      </w:r>
      <w:r w:rsidRPr="009B3C93">
        <w:rPr>
          <w:sz w:val="22"/>
          <w:szCs w:val="22"/>
          <w:lang w:val="sr-Latn-ME"/>
        </w:rPr>
        <w:t xml:space="preserve">, do gotovo </w:t>
      </w:r>
      <w:r w:rsidR="002A3659" w:rsidRPr="009B3C93">
        <w:rPr>
          <w:sz w:val="22"/>
          <w:szCs w:val="22"/>
          <w:lang w:val="sr-Latn-ME"/>
        </w:rPr>
        <w:t>bijeli</w:t>
      </w:r>
      <w:r w:rsidRPr="009B3C93">
        <w:rPr>
          <w:sz w:val="22"/>
          <w:szCs w:val="22"/>
          <w:lang w:val="sr-Latn-ME"/>
        </w:rPr>
        <w:t xml:space="preserve">, i može izgledati kao </w:t>
      </w:r>
      <w:r w:rsidR="002A3659" w:rsidRPr="009B3C93">
        <w:rPr>
          <w:sz w:val="22"/>
          <w:szCs w:val="22"/>
          <w:lang w:val="sr-Latn-ME"/>
        </w:rPr>
        <w:t>cijeli</w:t>
      </w:r>
      <w:r w:rsidRPr="009B3C93">
        <w:rPr>
          <w:sz w:val="22"/>
          <w:szCs w:val="22"/>
          <w:lang w:val="sr-Latn-ME"/>
        </w:rPr>
        <w:t xml:space="preserve"> ili izlomljen kolač.</w:t>
      </w:r>
    </w:p>
    <w:p w14:paraId="302B5885" w14:textId="77777777" w:rsidR="00BD480A" w:rsidRPr="009B3C93" w:rsidRDefault="00BD480A" w:rsidP="006F64AF">
      <w:pPr>
        <w:numPr>
          <w:ilvl w:val="0"/>
          <w:numId w:val="13"/>
        </w:numPr>
        <w:tabs>
          <w:tab w:val="left" w:pos="360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Skinite poklopac sa bočice koja sadrži prašak i obrišite gumeni čep alkoholnim tupferom.</w:t>
      </w:r>
    </w:p>
    <w:p w14:paraId="09EFA4E3" w14:textId="77777777" w:rsidR="00BD480A" w:rsidRPr="009B3C93" w:rsidRDefault="00BD480A" w:rsidP="006F64AF">
      <w:pPr>
        <w:numPr>
          <w:ilvl w:val="0"/>
          <w:numId w:val="13"/>
        </w:numPr>
        <w:tabs>
          <w:tab w:val="left" w:pos="360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Pričvrstite adapter za bočicu na bočicu.</w:t>
      </w:r>
    </w:p>
    <w:p w14:paraId="49953F47" w14:textId="52B2AF70" w:rsidR="00BD480A" w:rsidRPr="009B3C93" w:rsidRDefault="00BD480A" w:rsidP="006F64AF">
      <w:pPr>
        <w:numPr>
          <w:ilvl w:val="0"/>
          <w:numId w:val="13"/>
        </w:numPr>
        <w:tabs>
          <w:tab w:val="left" w:pos="360"/>
          <w:tab w:val="left" w:pos="426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Vizuelno pregledajte napunjeni injekcioni špric da biste utvrdili da li ima oštećenja ili curenja i sterilnu vodu koja se nalazi unutra kako biste se uv</w:t>
      </w:r>
      <w:r w:rsidR="002A3659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erili da nema vidljivih čestica.</w:t>
      </w:r>
    </w:p>
    <w:p w14:paraId="7DA96413" w14:textId="77777777" w:rsidR="00BD480A" w:rsidRPr="009B3C93" w:rsidRDefault="00BD480A" w:rsidP="006F64AF">
      <w:pPr>
        <w:numPr>
          <w:ilvl w:val="0"/>
          <w:numId w:val="13"/>
        </w:numPr>
        <w:tabs>
          <w:tab w:val="left" w:pos="360"/>
          <w:tab w:val="left" w:pos="709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 xml:space="preserve">Odlomite zatvarač sa napunjenog injekcionog šprica i pričvrstite špric na adapter za bočicu. </w:t>
      </w:r>
    </w:p>
    <w:p w14:paraId="66713293" w14:textId="77777777" w:rsidR="00BD480A" w:rsidRPr="009B3C93" w:rsidRDefault="00BD480A" w:rsidP="006F64AF">
      <w:pPr>
        <w:numPr>
          <w:ilvl w:val="0"/>
          <w:numId w:val="13"/>
        </w:numPr>
        <w:tabs>
          <w:tab w:val="left" w:pos="360"/>
        </w:tabs>
        <w:ind w:left="284" w:hanging="284"/>
        <w:jc w:val="both"/>
        <w:rPr>
          <w:sz w:val="22"/>
          <w:szCs w:val="22"/>
          <w:lang w:val="sr-Latn-ME"/>
        </w:rPr>
      </w:pPr>
      <w:bookmarkStart w:id="69" w:name="_Hlk157699746"/>
      <w:r w:rsidRPr="009B3C93">
        <w:rPr>
          <w:sz w:val="22"/>
          <w:szCs w:val="22"/>
          <w:lang w:val="sr-Latn-ME"/>
        </w:rPr>
        <w:t>Ubrizgajte svu sterilnu vodu iz pričvršćenog</w:t>
      </w:r>
      <w:r w:rsidRPr="009B3C93" w:rsidDel="00900AA8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šprica u bočicu sa praškom:</w:t>
      </w:r>
    </w:p>
    <w:p w14:paraId="1FAE0D0B" w14:textId="0BB01402" w:rsidR="00BD480A" w:rsidRPr="009B3C93" w:rsidRDefault="00BD480A" w:rsidP="006F64AF">
      <w:pPr>
        <w:numPr>
          <w:ilvl w:val="1"/>
          <w:numId w:val="16"/>
        </w:numPr>
        <w:tabs>
          <w:tab w:val="left" w:pos="851"/>
        </w:tabs>
        <w:ind w:left="709" w:hanging="283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Napunjeni injekcioni špric priložen uz bočicu od 45 mg sadrži 1,0 m</w:t>
      </w:r>
      <w:r w:rsidR="002A3659" w:rsidRPr="009B3C93">
        <w:rPr>
          <w:sz w:val="22"/>
          <w:szCs w:val="22"/>
          <w:lang w:val="sr-Latn-ME"/>
        </w:rPr>
        <w:t>l</w:t>
      </w:r>
      <w:r w:rsidRPr="009B3C93">
        <w:rPr>
          <w:sz w:val="22"/>
          <w:szCs w:val="22"/>
          <w:lang w:val="sr-Latn-ME"/>
        </w:rPr>
        <w:t xml:space="preserve"> </w:t>
      </w:r>
      <w:r w:rsidR="000C2024" w:rsidRPr="009B3C93">
        <w:rPr>
          <w:sz w:val="22"/>
          <w:szCs w:val="22"/>
          <w:lang w:val="sr-Latn-ME"/>
        </w:rPr>
        <w:t>vode za injekcije</w:t>
      </w:r>
      <w:r w:rsidRPr="009B3C93">
        <w:rPr>
          <w:sz w:val="22"/>
          <w:szCs w:val="22"/>
          <w:lang w:val="sr-Latn-ME"/>
        </w:rPr>
        <w:t>.</w:t>
      </w:r>
    </w:p>
    <w:p w14:paraId="73371817" w14:textId="688203A5" w:rsidR="00BD480A" w:rsidRPr="009B3C93" w:rsidRDefault="00BD480A" w:rsidP="006F64AF">
      <w:pPr>
        <w:numPr>
          <w:ilvl w:val="1"/>
          <w:numId w:val="16"/>
        </w:numPr>
        <w:tabs>
          <w:tab w:val="left" w:pos="851"/>
        </w:tabs>
        <w:ind w:left="709" w:hanging="283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Napunjeni injekcioni špric priložen uz bočicu od 60 mg sadrži 1,3 m</w:t>
      </w:r>
      <w:r w:rsidR="002A3659" w:rsidRPr="009B3C93">
        <w:rPr>
          <w:sz w:val="22"/>
          <w:szCs w:val="22"/>
          <w:lang w:val="sr-Latn-ME"/>
        </w:rPr>
        <w:t>l</w:t>
      </w:r>
      <w:r w:rsidRPr="009B3C93">
        <w:rPr>
          <w:sz w:val="22"/>
          <w:szCs w:val="22"/>
          <w:lang w:val="sr-Latn-ME"/>
        </w:rPr>
        <w:t xml:space="preserve"> </w:t>
      </w:r>
      <w:r w:rsidR="000C2024" w:rsidRPr="009B3C93">
        <w:rPr>
          <w:sz w:val="22"/>
          <w:szCs w:val="22"/>
          <w:lang w:val="sr-Latn-ME"/>
        </w:rPr>
        <w:t>vode za injekcije</w:t>
      </w:r>
      <w:r w:rsidRPr="009B3C93">
        <w:rPr>
          <w:sz w:val="22"/>
          <w:szCs w:val="22"/>
          <w:lang w:val="sr-Latn-ME"/>
        </w:rPr>
        <w:t>.</w:t>
      </w:r>
    </w:p>
    <w:p w14:paraId="23A413EE" w14:textId="4817E38E" w:rsidR="00BD480A" w:rsidRPr="009B3C93" w:rsidRDefault="00BD480A" w:rsidP="006F64AF">
      <w:pPr>
        <w:tabs>
          <w:tab w:val="left" w:pos="360"/>
          <w:tab w:val="left" w:pos="540"/>
        </w:tabs>
        <w:ind w:left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 xml:space="preserve">Nakon </w:t>
      </w:r>
      <w:bookmarkStart w:id="70" w:name="_Hlk177379926"/>
      <w:r w:rsidRPr="009B3C93">
        <w:rPr>
          <w:sz w:val="22"/>
          <w:szCs w:val="22"/>
          <w:lang w:val="sr-Latn-ME"/>
        </w:rPr>
        <w:t>rekonstitucije</w:t>
      </w:r>
      <w:bookmarkEnd w:id="70"/>
      <w:r w:rsidRPr="009B3C93">
        <w:rPr>
          <w:sz w:val="22"/>
          <w:szCs w:val="22"/>
          <w:lang w:val="sr-Latn-ME"/>
        </w:rPr>
        <w:t>, bočica od 45 mg može da obezb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edi samo dozu od 0,9 </w:t>
      </w:r>
      <w:bookmarkStart w:id="71" w:name="_Hlk176521305"/>
      <w:r w:rsidRPr="009B3C93">
        <w:rPr>
          <w:sz w:val="22"/>
          <w:szCs w:val="22"/>
          <w:lang w:val="sr-Latn-ME"/>
        </w:rPr>
        <w:t>m</w:t>
      </w:r>
      <w:r w:rsidR="002A3659" w:rsidRPr="009B3C93">
        <w:rPr>
          <w:sz w:val="22"/>
          <w:szCs w:val="22"/>
          <w:lang w:val="sr-Latn-ME"/>
        </w:rPr>
        <w:t>l</w:t>
      </w:r>
      <w:r w:rsidRPr="009B3C93">
        <w:rPr>
          <w:sz w:val="22"/>
          <w:szCs w:val="22"/>
          <w:lang w:val="sr-Latn-ME"/>
        </w:rPr>
        <w:t xml:space="preserve"> l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eka</w:t>
      </w:r>
      <w:bookmarkEnd w:id="71"/>
      <w:r w:rsidRPr="009B3C93">
        <w:rPr>
          <w:sz w:val="22"/>
          <w:szCs w:val="22"/>
          <w:lang w:val="sr-Latn-ME"/>
        </w:rPr>
        <w:t>, a bočica od 60 mg može da obezb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edi samo dozu od 1,2 m</w:t>
      </w:r>
      <w:r w:rsidR="002A3659" w:rsidRPr="009B3C93">
        <w:rPr>
          <w:sz w:val="22"/>
          <w:szCs w:val="22"/>
          <w:lang w:val="sr-Latn-ME"/>
        </w:rPr>
        <w:t>l</w:t>
      </w:r>
      <w:r w:rsidRPr="009B3C93">
        <w:rPr>
          <w:sz w:val="22"/>
          <w:szCs w:val="22"/>
          <w:lang w:val="sr-Latn-ME"/>
        </w:rPr>
        <w:t xml:space="preserve"> l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eka. Konačna koncentracija l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eka nakon rekonstitucije je 50 mg/m</w:t>
      </w:r>
      <w:r w:rsidR="002A3659" w:rsidRPr="009B3C93">
        <w:rPr>
          <w:sz w:val="22"/>
          <w:szCs w:val="22"/>
          <w:lang w:val="sr-Latn-ME"/>
        </w:rPr>
        <w:t>l</w:t>
      </w:r>
      <w:r w:rsidRPr="009B3C93">
        <w:rPr>
          <w:sz w:val="22"/>
          <w:szCs w:val="22"/>
          <w:lang w:val="sr-Latn-ME"/>
        </w:rPr>
        <w:t>.</w:t>
      </w:r>
    </w:p>
    <w:bookmarkEnd w:id="69"/>
    <w:p w14:paraId="689D68C0" w14:textId="04B7CB54" w:rsidR="00BD480A" w:rsidRPr="009B3C93" w:rsidRDefault="00BD480A" w:rsidP="006F64AF">
      <w:pPr>
        <w:numPr>
          <w:ilvl w:val="0"/>
          <w:numId w:val="13"/>
        </w:numPr>
        <w:tabs>
          <w:tab w:val="left" w:pos="360"/>
          <w:tab w:val="left" w:pos="540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N</w:t>
      </w:r>
      <w:r w:rsidR="002A3659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ežno okrećite bočicu da biste rekonstituisali l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ek. Nemojte tresti niti snažno m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ešati l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 xml:space="preserve">ek. </w:t>
      </w:r>
    </w:p>
    <w:p w14:paraId="79C87F0A" w14:textId="6EB60D7D" w:rsidR="00BD480A" w:rsidRPr="009B3C93" w:rsidRDefault="00BD480A" w:rsidP="006F64AF">
      <w:pPr>
        <w:numPr>
          <w:ilvl w:val="0"/>
          <w:numId w:val="13"/>
        </w:numPr>
        <w:tabs>
          <w:tab w:val="left" w:pos="360"/>
          <w:tab w:val="left" w:pos="540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Ostavite bočicu da odstoji do 3 minuta da bi m</w:t>
      </w:r>
      <w:r w:rsidR="000C2024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 xml:space="preserve">ehurići nestali. </w:t>
      </w:r>
    </w:p>
    <w:p w14:paraId="1BBE950D" w14:textId="28EF52E9" w:rsidR="00BD480A" w:rsidRPr="009B3C93" w:rsidRDefault="00BD480A" w:rsidP="006F64AF">
      <w:pPr>
        <w:numPr>
          <w:ilvl w:val="0"/>
          <w:numId w:val="13"/>
        </w:numPr>
        <w:tabs>
          <w:tab w:val="left" w:pos="360"/>
          <w:tab w:val="left" w:pos="540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Vizuelno pregledajte rekonstituisani rastvor. Kada se pravilno izm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 xml:space="preserve">eša, rekonstituisani rastvor treba da bude bistar do opalescentan, bezbojan do blago braonkasto-žute boje i </w:t>
      </w:r>
      <w:bookmarkStart w:id="72" w:name="_Hlk176525368"/>
      <w:r w:rsidRPr="009B3C93">
        <w:rPr>
          <w:sz w:val="22"/>
          <w:szCs w:val="22"/>
          <w:lang w:val="sr-Latn-ME"/>
        </w:rPr>
        <w:t>ne sm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 da sadrži</w:t>
      </w:r>
      <w:bookmarkEnd w:id="72"/>
      <w:r w:rsidRPr="009B3C93">
        <w:rPr>
          <w:sz w:val="22"/>
          <w:szCs w:val="22"/>
          <w:lang w:val="sr-Latn-ME"/>
        </w:rPr>
        <w:t xml:space="preserve"> grudvice niti prašak.</w:t>
      </w:r>
    </w:p>
    <w:p w14:paraId="7968D548" w14:textId="77777777" w:rsidR="00BD480A" w:rsidRPr="009B3C93" w:rsidRDefault="00BD480A" w:rsidP="006F64AF">
      <w:pPr>
        <w:numPr>
          <w:ilvl w:val="0"/>
          <w:numId w:val="13"/>
        </w:numPr>
        <w:tabs>
          <w:tab w:val="left" w:pos="360"/>
          <w:tab w:val="left" w:pos="540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Odvijte špric sa adaptera za bočicu i bacite ispražnjeni špric u kontejner za oštre predmete.</w:t>
      </w:r>
    </w:p>
    <w:p w14:paraId="45CB28E3" w14:textId="3EBE4552" w:rsidR="00BD480A" w:rsidRPr="009B3C93" w:rsidRDefault="00BD480A" w:rsidP="006F64AF">
      <w:pPr>
        <w:numPr>
          <w:ilvl w:val="0"/>
          <w:numId w:val="13"/>
        </w:numPr>
        <w:tabs>
          <w:tab w:val="left" w:pos="360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 xml:space="preserve">Ako vam je propisan komplet sa 2 bočice, ponovite korake iz ovog </w:t>
      </w:r>
      <w:r w:rsidR="002A3659" w:rsidRPr="009B3C93">
        <w:rPr>
          <w:sz w:val="22"/>
          <w:szCs w:val="22"/>
          <w:lang w:val="sr-Latn-ME"/>
        </w:rPr>
        <w:t>dijela</w:t>
      </w:r>
      <w:r w:rsidRPr="009B3C93">
        <w:rPr>
          <w:sz w:val="22"/>
          <w:szCs w:val="22"/>
          <w:lang w:val="sr-Latn-ME"/>
        </w:rPr>
        <w:t xml:space="preserve"> da biste pripremili drugu bočicu.</w:t>
      </w:r>
    </w:p>
    <w:p w14:paraId="1DEC5E84" w14:textId="270A3E85" w:rsidR="00BD480A" w:rsidRPr="009B3C93" w:rsidRDefault="00BD480A" w:rsidP="006F64AF">
      <w:pPr>
        <w:numPr>
          <w:ilvl w:val="0"/>
          <w:numId w:val="13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Koristite rekonstituisani rastvor što je pr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 moguće, a najkasnije</w:t>
      </w:r>
      <w:r w:rsidR="000C2024" w:rsidRPr="009B3C93">
        <w:rPr>
          <w:sz w:val="22"/>
          <w:szCs w:val="22"/>
          <w:lang w:val="sr-Latn-ME"/>
        </w:rPr>
        <w:t xml:space="preserve"> u roku od</w:t>
      </w:r>
      <w:r w:rsidRPr="009B3C93">
        <w:rPr>
          <w:sz w:val="22"/>
          <w:szCs w:val="22"/>
          <w:lang w:val="sr-Latn-ME"/>
        </w:rPr>
        <w:t xml:space="preserve"> 4 sata nakon rekonstitucije.</w:t>
      </w:r>
    </w:p>
    <w:p w14:paraId="0FF29D76" w14:textId="77777777" w:rsidR="00BD480A" w:rsidRPr="009B3C93" w:rsidRDefault="00BD480A" w:rsidP="006F64AF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698F717C" w14:textId="77777777" w:rsidR="00BD480A" w:rsidRPr="009B3C93" w:rsidRDefault="00BD480A" w:rsidP="006F64AF">
      <w:pPr>
        <w:tabs>
          <w:tab w:val="left" w:pos="540"/>
          <w:tab w:val="left" w:pos="567"/>
        </w:tabs>
        <w:jc w:val="both"/>
        <w:rPr>
          <w:i/>
          <w:sz w:val="22"/>
          <w:szCs w:val="22"/>
          <w:lang w:val="sr-Latn-ME"/>
        </w:rPr>
      </w:pPr>
      <w:r w:rsidRPr="009B3C93">
        <w:rPr>
          <w:i/>
          <w:sz w:val="22"/>
          <w:szCs w:val="22"/>
          <w:lang w:val="sr-Latn-ME"/>
        </w:rPr>
        <w:t>Priprema šprica za doziranje</w:t>
      </w:r>
    </w:p>
    <w:p w14:paraId="3F019609" w14:textId="031274BF" w:rsidR="00BD480A" w:rsidRPr="009B3C93" w:rsidRDefault="00BD480A" w:rsidP="006F64AF">
      <w:pPr>
        <w:numPr>
          <w:ilvl w:val="0"/>
          <w:numId w:val="13"/>
        </w:numPr>
        <w:tabs>
          <w:tab w:val="left" w:pos="540"/>
          <w:tab w:val="left" w:pos="567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Pr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 nego što pripremite špric za doziranje, vizuelno pregledajte rekonstituisani rastvor. Rekonstituisan rastvor treba da bude bistar do opalescentan, bezbojan do blago braonkasto-žute boje i ne sm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 da sadrži grudvice niti prašak.</w:t>
      </w:r>
    </w:p>
    <w:p w14:paraId="3AE5B801" w14:textId="77777777" w:rsidR="00BD480A" w:rsidRPr="009B3C93" w:rsidRDefault="00BD480A" w:rsidP="006F64AF">
      <w:pPr>
        <w:numPr>
          <w:ilvl w:val="0"/>
          <w:numId w:val="13"/>
        </w:numPr>
        <w:tabs>
          <w:tab w:val="left" w:pos="540"/>
          <w:tab w:val="left" w:pos="567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Obrišite adapter za bočicu alkoholnim tupferom.</w:t>
      </w:r>
    </w:p>
    <w:p w14:paraId="19D0C4F3" w14:textId="77777777" w:rsidR="00BD480A" w:rsidRPr="009B3C93" w:rsidRDefault="00BD480A" w:rsidP="006F64AF">
      <w:pPr>
        <w:numPr>
          <w:ilvl w:val="0"/>
          <w:numId w:val="13"/>
        </w:numPr>
        <w:tabs>
          <w:tab w:val="left" w:pos="540"/>
          <w:tab w:val="left" w:pos="567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 xml:space="preserve">Izvadite </w:t>
      </w:r>
      <w:bookmarkStart w:id="73" w:name="_Hlk176525415"/>
      <w:r w:rsidRPr="009B3C93">
        <w:rPr>
          <w:sz w:val="22"/>
          <w:szCs w:val="22"/>
          <w:lang w:val="sr-Latn-ME"/>
        </w:rPr>
        <w:t xml:space="preserve">špric </w:t>
      </w:r>
      <w:bookmarkEnd w:id="73"/>
      <w:r w:rsidRPr="009B3C93">
        <w:rPr>
          <w:sz w:val="22"/>
          <w:szCs w:val="22"/>
          <w:lang w:val="sr-Latn-ME"/>
        </w:rPr>
        <w:t xml:space="preserve">za doziranje iz pakovanja i pričvrstite špric na adapter za bočicu. </w:t>
      </w:r>
    </w:p>
    <w:p w14:paraId="792055CC" w14:textId="76156554" w:rsidR="00BD480A" w:rsidRPr="009B3C93" w:rsidRDefault="00BD480A" w:rsidP="006F64AF">
      <w:pPr>
        <w:numPr>
          <w:ilvl w:val="0"/>
          <w:numId w:val="13"/>
        </w:numPr>
        <w:tabs>
          <w:tab w:val="left" w:pos="540"/>
          <w:tab w:val="left" w:pos="567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Okrenite špric i bočicu naopako i izvucite odgovarajuću zapreminu za injekciju, na osnovu t</w:t>
      </w:r>
      <w:r w:rsidR="002A3659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elesne mase pacijenta.</w:t>
      </w:r>
    </w:p>
    <w:p w14:paraId="688863CD" w14:textId="327A2F4B" w:rsidR="00BD480A" w:rsidRPr="009B3C93" w:rsidRDefault="00BD480A" w:rsidP="006F64AF">
      <w:pPr>
        <w:numPr>
          <w:ilvl w:val="1"/>
          <w:numId w:val="16"/>
        </w:numPr>
        <w:tabs>
          <w:tab w:val="left" w:pos="851"/>
        </w:tabs>
        <w:ind w:left="709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Ako doza zaht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eva upotrebu dv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 bočice, izvucite</w:t>
      </w:r>
      <w:r w:rsidRPr="009B3C93" w:rsidDel="00C065DD">
        <w:rPr>
          <w:sz w:val="22"/>
          <w:szCs w:val="22"/>
          <w:lang w:val="sr-Latn-ME"/>
        </w:rPr>
        <w:t xml:space="preserve"> </w:t>
      </w:r>
      <w:r w:rsidR="002A3659" w:rsidRPr="009B3C93">
        <w:rPr>
          <w:sz w:val="22"/>
          <w:szCs w:val="22"/>
          <w:lang w:val="sr-Latn-ME"/>
        </w:rPr>
        <w:t>cijeli</w:t>
      </w:r>
      <w:r w:rsidRPr="009B3C93">
        <w:rPr>
          <w:sz w:val="22"/>
          <w:szCs w:val="22"/>
          <w:lang w:val="sr-Latn-ME"/>
        </w:rPr>
        <w:t xml:space="preserve"> sadržaj iz prve bočice i polako prenesite </w:t>
      </w:r>
      <w:r w:rsidR="002A3659" w:rsidRPr="009B3C93">
        <w:rPr>
          <w:sz w:val="22"/>
          <w:szCs w:val="22"/>
          <w:lang w:val="sr-Latn-ME"/>
        </w:rPr>
        <w:t>cijeli</w:t>
      </w:r>
      <w:r w:rsidRPr="009B3C93">
        <w:rPr>
          <w:sz w:val="22"/>
          <w:szCs w:val="22"/>
          <w:lang w:val="sr-Latn-ME"/>
        </w:rPr>
        <w:t xml:space="preserve"> sadržaj u drugu bočicu da biste obezb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 xml:space="preserve">edili tačnost doze. </w:t>
      </w:r>
    </w:p>
    <w:p w14:paraId="53699081" w14:textId="6A7B2697" w:rsidR="00BD480A" w:rsidRPr="009B3C93" w:rsidRDefault="00BD480A" w:rsidP="006F64AF">
      <w:pPr>
        <w:numPr>
          <w:ilvl w:val="1"/>
          <w:numId w:val="16"/>
        </w:numPr>
        <w:tabs>
          <w:tab w:val="left" w:pos="851"/>
        </w:tabs>
        <w:ind w:left="709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Okrenite špric i bočicu naopako i izvucite odgovarajuću količinu l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eka.</w:t>
      </w:r>
    </w:p>
    <w:p w14:paraId="13D98752" w14:textId="69736888" w:rsidR="00BD480A" w:rsidRPr="009B3C93" w:rsidRDefault="00BD480A" w:rsidP="006F64AF">
      <w:pPr>
        <w:numPr>
          <w:ilvl w:val="0"/>
          <w:numId w:val="13"/>
        </w:numPr>
        <w:tabs>
          <w:tab w:val="left" w:pos="540"/>
          <w:tab w:val="left" w:pos="567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Ako je potrebno, gurnite klip da biste uklonili višak l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 xml:space="preserve">eka ili vazduha iz šprica. </w:t>
      </w:r>
    </w:p>
    <w:p w14:paraId="1B292231" w14:textId="77777777" w:rsidR="00BD480A" w:rsidRPr="009B3C93" w:rsidRDefault="00BD480A" w:rsidP="006F64AF">
      <w:pPr>
        <w:numPr>
          <w:ilvl w:val="0"/>
          <w:numId w:val="13"/>
        </w:numPr>
        <w:tabs>
          <w:tab w:val="left" w:pos="540"/>
          <w:tab w:val="left" w:pos="567"/>
        </w:tabs>
        <w:ind w:left="284" w:hanging="284"/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Skinite</w:t>
      </w:r>
      <w:r w:rsidRPr="009B3C93" w:rsidDel="00925D93">
        <w:rPr>
          <w:sz w:val="22"/>
          <w:szCs w:val="22"/>
          <w:lang w:val="sr-Latn-ME"/>
        </w:rPr>
        <w:t xml:space="preserve"> </w:t>
      </w:r>
      <w:r w:rsidRPr="009B3C93">
        <w:rPr>
          <w:sz w:val="22"/>
          <w:szCs w:val="22"/>
          <w:lang w:val="sr-Latn-ME"/>
        </w:rPr>
        <w:t>špric sa adaptera za bočicu i pričvrstite iglu.</w:t>
      </w:r>
    </w:p>
    <w:p w14:paraId="14117DA2" w14:textId="77777777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7E0D5C6E" w14:textId="47DDFB5D" w:rsidR="00BD480A" w:rsidRPr="009B3C93" w:rsidRDefault="00BD480A" w:rsidP="00433213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9B3C93">
        <w:rPr>
          <w:i/>
          <w:sz w:val="22"/>
          <w:szCs w:val="22"/>
          <w:lang w:val="sr-Latn-ME"/>
        </w:rPr>
        <w:t>Prim</w:t>
      </w:r>
      <w:r w:rsidR="000C2024" w:rsidRPr="009B3C93">
        <w:rPr>
          <w:i/>
          <w:sz w:val="22"/>
          <w:szCs w:val="22"/>
          <w:lang w:val="sr-Latn-ME"/>
        </w:rPr>
        <w:t>j</w:t>
      </w:r>
      <w:r w:rsidRPr="009B3C93">
        <w:rPr>
          <w:i/>
          <w:sz w:val="22"/>
          <w:szCs w:val="22"/>
          <w:lang w:val="sr-Latn-ME"/>
        </w:rPr>
        <w:t xml:space="preserve">ena </w:t>
      </w:r>
    </w:p>
    <w:p w14:paraId="619FEB15" w14:textId="274692A7" w:rsidR="00BD480A" w:rsidRPr="009B3C93" w:rsidRDefault="00BD480A" w:rsidP="0043321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L</w:t>
      </w:r>
      <w:r w:rsidR="002A3659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ek Winrevair se prim</w:t>
      </w:r>
      <w:r w:rsidR="002A3659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enjuje kao jedna su</w:t>
      </w:r>
      <w:r w:rsidR="00E926B4" w:rsidRPr="009B3C93">
        <w:rPr>
          <w:bCs/>
          <w:sz w:val="22"/>
          <w:szCs w:val="22"/>
          <w:lang w:val="sr-Latn-ME"/>
        </w:rPr>
        <w:t>b</w:t>
      </w:r>
      <w:r w:rsidRPr="009B3C93">
        <w:rPr>
          <w:bCs/>
          <w:sz w:val="22"/>
          <w:szCs w:val="22"/>
          <w:lang w:val="sr-Latn-ME"/>
        </w:rPr>
        <w:t>kutana (SC) injekcija.</w:t>
      </w:r>
    </w:p>
    <w:p w14:paraId="4F0A8009" w14:textId="7447C329" w:rsidR="00BD480A" w:rsidRPr="009B3C93" w:rsidRDefault="00BD480A" w:rsidP="00433213">
      <w:pPr>
        <w:numPr>
          <w:ilvl w:val="0"/>
          <w:numId w:val="14"/>
        </w:numPr>
        <w:tabs>
          <w:tab w:val="left" w:pos="540"/>
          <w:tab w:val="left" w:pos="567"/>
          <w:tab w:val="num" w:pos="720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Izaberite m</w:t>
      </w:r>
      <w:r w:rsidR="002A3659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esto za injekciju na stomaku (najmanje 5 cm od pupka), gornjem d</w:t>
      </w:r>
      <w:r w:rsidR="002A3659" w:rsidRPr="009B3C93">
        <w:rPr>
          <w:bCs/>
          <w:sz w:val="22"/>
          <w:szCs w:val="22"/>
          <w:lang w:val="sr-Latn-ME"/>
        </w:rPr>
        <w:t>ij</w:t>
      </w:r>
      <w:r w:rsidRPr="009B3C93">
        <w:rPr>
          <w:bCs/>
          <w:sz w:val="22"/>
          <w:szCs w:val="22"/>
          <w:lang w:val="sr-Latn-ME"/>
        </w:rPr>
        <w:t>elu butine ili nadlaktici i obrišite ga alkoholnim tupferom. Za svaku injekciju izaberite novo m</w:t>
      </w:r>
      <w:r w:rsidR="002A3659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esto bez ožiljaka, os</w:t>
      </w:r>
      <w:r w:rsidR="002A3659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etljivosti na dodir</w:t>
      </w:r>
      <w:r w:rsidRPr="009B3C93" w:rsidDel="00925D93">
        <w:rPr>
          <w:bCs/>
          <w:sz w:val="22"/>
          <w:szCs w:val="22"/>
          <w:lang w:val="sr-Latn-ME"/>
        </w:rPr>
        <w:t xml:space="preserve"> </w:t>
      </w:r>
      <w:r w:rsidRPr="009B3C93">
        <w:rPr>
          <w:bCs/>
          <w:sz w:val="22"/>
          <w:szCs w:val="22"/>
          <w:lang w:val="sr-Latn-ME"/>
        </w:rPr>
        <w:t>ili modrica.</w:t>
      </w:r>
    </w:p>
    <w:p w14:paraId="60DEB953" w14:textId="4992A3EC" w:rsidR="00BD480A" w:rsidRPr="009B3C93" w:rsidRDefault="00BD480A" w:rsidP="00433213">
      <w:pPr>
        <w:numPr>
          <w:ilvl w:val="0"/>
          <w:numId w:val="15"/>
        </w:num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Za prim</w:t>
      </w:r>
      <w:r w:rsidR="002A3659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enu od strane pacijenta ili n</w:t>
      </w:r>
      <w:r w:rsidR="002A3659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>egovatelja, obučite ih da ubrizgavaju samo u stomak ili gornji d</w:t>
      </w:r>
      <w:r w:rsidR="002A3659" w:rsidRPr="009B3C93">
        <w:rPr>
          <w:bCs/>
          <w:sz w:val="22"/>
          <w:szCs w:val="22"/>
          <w:lang w:val="sr-Latn-ME"/>
        </w:rPr>
        <w:t>i</w:t>
      </w:r>
      <w:r w:rsidRPr="009B3C93">
        <w:rPr>
          <w:bCs/>
          <w:sz w:val="22"/>
          <w:szCs w:val="22"/>
          <w:lang w:val="sr-Latn-ME"/>
        </w:rPr>
        <w:t>o butine (vid</w:t>
      </w:r>
      <w:r w:rsidR="002A3659" w:rsidRPr="009B3C93">
        <w:rPr>
          <w:bCs/>
          <w:sz w:val="22"/>
          <w:szCs w:val="22"/>
          <w:lang w:val="sr-Latn-ME"/>
        </w:rPr>
        <w:t>j</w:t>
      </w:r>
      <w:r w:rsidRPr="009B3C93">
        <w:rPr>
          <w:bCs/>
          <w:sz w:val="22"/>
          <w:szCs w:val="22"/>
          <w:lang w:val="sr-Latn-ME"/>
        </w:rPr>
        <w:t xml:space="preserve">eti </w:t>
      </w:r>
      <w:r w:rsidR="002A3659" w:rsidRPr="009B3C93">
        <w:rPr>
          <w:bCs/>
          <w:sz w:val="22"/>
          <w:szCs w:val="22"/>
          <w:lang w:val="sr-Latn-ME"/>
        </w:rPr>
        <w:t>dio</w:t>
      </w:r>
      <w:r w:rsidRPr="009B3C93">
        <w:rPr>
          <w:bCs/>
          <w:sz w:val="22"/>
          <w:szCs w:val="22"/>
          <w:lang w:val="sr-Latn-ME"/>
        </w:rPr>
        <w:t xml:space="preserve"> u brošuri</w:t>
      </w:r>
      <w:r w:rsidRPr="009B3C93">
        <w:rPr>
          <w:bCs/>
          <w:i/>
          <w:iCs/>
          <w:sz w:val="22"/>
          <w:szCs w:val="22"/>
          <w:lang w:val="sr-Latn-ME"/>
        </w:rPr>
        <w:t xml:space="preserve"> </w:t>
      </w:r>
      <w:r w:rsidRPr="009B3C93">
        <w:rPr>
          <w:b/>
          <w:bCs/>
          <w:sz w:val="22"/>
          <w:szCs w:val="22"/>
          <w:lang w:val="sr-Latn-ME"/>
        </w:rPr>
        <w:t>„Uputstvo za upotrebu“</w:t>
      </w:r>
      <w:r w:rsidRPr="009B3C93">
        <w:rPr>
          <w:bCs/>
          <w:sz w:val="22"/>
          <w:szCs w:val="22"/>
          <w:lang w:val="sr-Latn-ME"/>
        </w:rPr>
        <w:t>).</w:t>
      </w:r>
    </w:p>
    <w:p w14:paraId="5B78A01C" w14:textId="73EB1F31" w:rsidR="00BD480A" w:rsidRPr="009B3C93" w:rsidRDefault="00BD480A" w:rsidP="00433213">
      <w:pPr>
        <w:numPr>
          <w:ilvl w:val="0"/>
          <w:numId w:val="14"/>
        </w:numPr>
        <w:tabs>
          <w:tab w:val="left" w:pos="540"/>
          <w:tab w:val="left" w:pos="567"/>
          <w:tab w:val="num" w:pos="720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Ubrizgajte injekciju su</w:t>
      </w:r>
      <w:r w:rsidR="00E926B4" w:rsidRPr="009B3C93">
        <w:rPr>
          <w:bCs/>
          <w:sz w:val="22"/>
          <w:szCs w:val="22"/>
          <w:lang w:val="sr-Latn-ME"/>
        </w:rPr>
        <w:t>b</w:t>
      </w:r>
      <w:r w:rsidRPr="009B3C93">
        <w:rPr>
          <w:bCs/>
          <w:sz w:val="22"/>
          <w:szCs w:val="22"/>
          <w:lang w:val="sr-Latn-ME"/>
        </w:rPr>
        <w:t>kutano.</w:t>
      </w:r>
    </w:p>
    <w:p w14:paraId="3DA32EC9" w14:textId="77777777" w:rsidR="00BD480A" w:rsidRPr="009B3C93" w:rsidRDefault="00BD480A" w:rsidP="00433213">
      <w:pPr>
        <w:numPr>
          <w:ilvl w:val="0"/>
          <w:numId w:val="14"/>
        </w:numPr>
        <w:tabs>
          <w:tab w:val="left" w:pos="540"/>
          <w:tab w:val="left" w:pos="567"/>
          <w:tab w:val="num" w:pos="720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Bacite ispražnjeni špric u kontejner za oštre predmete. Nemojte ponovo koristiti špric.</w:t>
      </w:r>
    </w:p>
    <w:p w14:paraId="38469BFA" w14:textId="77777777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07DAA030" w14:textId="46E5339A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Svu neiskorišćenu količinu l</w:t>
      </w:r>
      <w:r w:rsidR="002A3659" w:rsidRPr="009B3C93">
        <w:rPr>
          <w:sz w:val="22"/>
          <w:szCs w:val="22"/>
          <w:lang w:val="sr-Latn-ME"/>
        </w:rPr>
        <w:t>ij</w:t>
      </w:r>
      <w:r w:rsidRPr="009B3C93">
        <w:rPr>
          <w:sz w:val="22"/>
          <w:szCs w:val="22"/>
          <w:lang w:val="sr-Latn-ME"/>
        </w:rPr>
        <w:t>eka ili otpadnog materijala nakon njegove upotrebe treba ukloniti, u skladu sa važećim propisima.</w:t>
      </w:r>
    </w:p>
    <w:p w14:paraId="69400729" w14:textId="77777777" w:rsidR="00BD480A" w:rsidRPr="009B3C93" w:rsidRDefault="00BD480A" w:rsidP="00433213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3562C39E" w14:textId="2D5155FE" w:rsidR="0072020E" w:rsidRPr="009B3C93" w:rsidRDefault="00BD480A" w:rsidP="0043321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B3C93">
        <w:rPr>
          <w:sz w:val="22"/>
          <w:szCs w:val="22"/>
          <w:lang w:val="sr-Latn-ME"/>
        </w:rPr>
        <w:t>Vid</w:t>
      </w:r>
      <w:r w:rsidR="002A3659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 xml:space="preserve">eti </w:t>
      </w:r>
      <w:r w:rsidR="002A3659" w:rsidRPr="009B3C93">
        <w:rPr>
          <w:sz w:val="22"/>
          <w:szCs w:val="22"/>
          <w:lang w:val="sr-Latn-ME"/>
        </w:rPr>
        <w:t>dio</w:t>
      </w:r>
      <w:r w:rsidRPr="009B3C93">
        <w:rPr>
          <w:sz w:val="22"/>
          <w:szCs w:val="22"/>
          <w:lang w:val="sr-Latn-ME"/>
        </w:rPr>
        <w:t xml:space="preserve"> 4.4 za uputstvo o sledljivosti bioloških l</w:t>
      </w:r>
      <w:r w:rsidR="002A3659" w:rsidRPr="009B3C93">
        <w:rPr>
          <w:sz w:val="22"/>
          <w:szCs w:val="22"/>
          <w:lang w:val="sr-Latn-ME"/>
        </w:rPr>
        <w:t>j</w:t>
      </w:r>
      <w:r w:rsidRPr="009B3C93">
        <w:rPr>
          <w:sz w:val="22"/>
          <w:szCs w:val="22"/>
          <w:lang w:val="sr-Latn-ME"/>
        </w:rPr>
        <w:t>ekova.</w:t>
      </w:r>
    </w:p>
    <w:p w14:paraId="5AA807DD" w14:textId="351900C2" w:rsidR="00BD480A" w:rsidRPr="009B3C93" w:rsidRDefault="00BD480A" w:rsidP="0043321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B3ED624" w14:textId="4C4920BE" w:rsidR="004D2121" w:rsidRDefault="004D2121" w:rsidP="0043321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C79F15E" w14:textId="77777777" w:rsidR="009B3C93" w:rsidRPr="009B3C93" w:rsidRDefault="009B3C93" w:rsidP="0043321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8F75519" w14:textId="77777777" w:rsidR="00F8570A" w:rsidRPr="009B3C93" w:rsidRDefault="0072020E" w:rsidP="004332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lastRenderedPageBreak/>
        <w:t xml:space="preserve">7.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NOSILAC DOZVOLE</w:t>
      </w:r>
      <w:r w:rsidR="00483928" w:rsidRPr="009B3C93">
        <w:rPr>
          <w:b/>
          <w:bCs/>
          <w:sz w:val="22"/>
          <w:szCs w:val="22"/>
          <w:lang w:val="sr-Latn-ME"/>
        </w:rPr>
        <w:t xml:space="preserve"> </w:t>
      </w:r>
    </w:p>
    <w:p w14:paraId="33886B9C" w14:textId="77777777" w:rsidR="00C61BE0" w:rsidRPr="009B3C93" w:rsidRDefault="00C61BE0" w:rsidP="004332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46B447" w14:textId="77777777" w:rsidR="00AD539E" w:rsidRPr="009B3C93" w:rsidRDefault="00AD539E" w:rsidP="004332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Glosarij d.o.o.</w:t>
      </w:r>
    </w:p>
    <w:p w14:paraId="137EEC5A" w14:textId="77777777" w:rsidR="00AD539E" w:rsidRPr="009B3C93" w:rsidRDefault="00AD539E" w:rsidP="004332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Vojislavljevića 76</w:t>
      </w:r>
    </w:p>
    <w:p w14:paraId="073DE309" w14:textId="77777777" w:rsidR="00AD539E" w:rsidRPr="009B3C93" w:rsidRDefault="00AD539E" w:rsidP="004332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81 000 Podgorica</w:t>
      </w:r>
    </w:p>
    <w:p w14:paraId="5ACD0E00" w14:textId="66B37A77" w:rsidR="00AD539E" w:rsidRPr="009B3C93" w:rsidRDefault="00AD539E" w:rsidP="004332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B3C93">
        <w:rPr>
          <w:bCs/>
          <w:sz w:val="22"/>
          <w:szCs w:val="22"/>
          <w:lang w:val="sr-Latn-ME"/>
        </w:rPr>
        <w:t>Crna Gora</w:t>
      </w:r>
    </w:p>
    <w:p w14:paraId="13951D1C" w14:textId="0FA2B663" w:rsidR="00C37FD7" w:rsidRPr="009B3C93" w:rsidRDefault="00C37FD7" w:rsidP="004332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3B9D2D" w14:textId="77777777" w:rsidR="009B3C93" w:rsidRPr="009B3C93" w:rsidRDefault="009B3C93" w:rsidP="004332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8A820E" w14:textId="77777777" w:rsidR="0072020E" w:rsidRPr="009B3C93" w:rsidRDefault="0072020E" w:rsidP="004332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8.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>BROJ DOZVOLE</w:t>
      </w:r>
      <w:r w:rsidR="008A6D43" w:rsidRPr="009B3C93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EAC267C" w14:textId="5DCB7849" w:rsidR="0072020E" w:rsidRPr="009B3C93" w:rsidRDefault="0072020E" w:rsidP="004332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0BE528" w14:textId="0C636064" w:rsidR="009B3C93" w:rsidRPr="00753BCF" w:rsidRDefault="009B3C93" w:rsidP="009B3C93">
      <w:pPr>
        <w:jc w:val="both"/>
        <w:rPr>
          <w:sz w:val="22"/>
          <w:szCs w:val="22"/>
          <w:lang w:val="sr-Latn-ME"/>
        </w:rPr>
      </w:pPr>
      <w:r w:rsidRPr="00753BCF">
        <w:rPr>
          <w:sz w:val="22"/>
          <w:szCs w:val="22"/>
          <w:lang w:val="sr-Latn-ME"/>
        </w:rPr>
        <w:t>Winrevair, prašak i rastvarač za rastvor za injekciju, 45mg, 1 bočica sa praškom i 1 napunjeni injekcioni špric sa 1ml rastvarača: 2030/25/2293 – 10031</w:t>
      </w:r>
    </w:p>
    <w:p w14:paraId="0B631C4B" w14:textId="0FA5A574" w:rsidR="009B3C93" w:rsidRPr="00753BCF" w:rsidRDefault="009B3C93" w:rsidP="009B3C93">
      <w:pPr>
        <w:jc w:val="both"/>
        <w:rPr>
          <w:sz w:val="22"/>
          <w:szCs w:val="22"/>
          <w:lang w:val="sr-Latn-ME"/>
        </w:rPr>
      </w:pPr>
      <w:r w:rsidRPr="00753BCF">
        <w:rPr>
          <w:sz w:val="22"/>
          <w:szCs w:val="22"/>
          <w:lang w:val="sr-Latn-ME"/>
        </w:rPr>
        <w:t>Winrevair, prašak i rastvarač za rastvor za injekciju, 45mg, 2 bočice sa praškom i 2 napunjena injekciona šprica sa 1ml rastvarača:</w:t>
      </w:r>
      <w:r w:rsidRPr="00753BCF">
        <w:rPr>
          <w:lang w:val="sr-Latn-ME"/>
        </w:rPr>
        <w:t xml:space="preserve"> 2030/25/2295 – 10032</w:t>
      </w:r>
    </w:p>
    <w:p w14:paraId="7441227D" w14:textId="1D90AC7A" w:rsidR="009B3C93" w:rsidRPr="00753BCF" w:rsidRDefault="009B3C93" w:rsidP="009B3C93">
      <w:pPr>
        <w:jc w:val="both"/>
        <w:rPr>
          <w:sz w:val="22"/>
          <w:szCs w:val="22"/>
          <w:lang w:val="sr-Latn-ME"/>
        </w:rPr>
      </w:pPr>
      <w:r w:rsidRPr="00753BCF">
        <w:rPr>
          <w:sz w:val="22"/>
          <w:szCs w:val="22"/>
          <w:lang w:val="sr-Latn-ME"/>
        </w:rPr>
        <w:t>Winrevair, prašak i rastvarač za rastvor za injekciju, 60mg, 1 bočica sa praškom i 1 napunjeni injekcioni špric sa 1.3ml rastvarača:</w:t>
      </w:r>
      <w:r w:rsidRPr="00753BCF">
        <w:rPr>
          <w:lang w:val="sr-Latn-ME"/>
        </w:rPr>
        <w:t xml:space="preserve"> 2030/25/2296 – 10033</w:t>
      </w:r>
    </w:p>
    <w:p w14:paraId="61D26D85" w14:textId="079E40EA" w:rsidR="009B3C93" w:rsidRPr="00753BCF" w:rsidRDefault="009B3C93" w:rsidP="009B3C9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53BCF">
        <w:rPr>
          <w:sz w:val="22"/>
          <w:szCs w:val="22"/>
          <w:lang w:val="sr-Latn-ME"/>
        </w:rPr>
        <w:t xml:space="preserve">Winrevair, prašak i rastvarač za rastvor za injekciju, 60mg, 2 bočice sa praškom i 2 napunjena injekciona šprica sa 1.3ml rastvarača: </w:t>
      </w:r>
      <w:r w:rsidRPr="00753BCF">
        <w:rPr>
          <w:lang w:val="sr-Latn-ME"/>
        </w:rPr>
        <w:t>2030/25/2294 – 10034</w:t>
      </w:r>
    </w:p>
    <w:p w14:paraId="338526DD" w14:textId="77777777" w:rsidR="009B3C93" w:rsidRPr="009B3C93" w:rsidRDefault="009B3C93" w:rsidP="009B3C9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D4D1CE3" w14:textId="77777777" w:rsidR="00F45F77" w:rsidRPr="009B3C93" w:rsidRDefault="00F45F77" w:rsidP="004332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5A395D" w14:textId="77777777" w:rsidR="0072020E" w:rsidRPr="009B3C93" w:rsidRDefault="0072020E" w:rsidP="004332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9.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Pr="009B3C93">
        <w:rPr>
          <w:b/>
          <w:bCs/>
          <w:sz w:val="22"/>
          <w:szCs w:val="22"/>
          <w:lang w:val="sr-Latn-ME"/>
        </w:rPr>
        <w:t xml:space="preserve">DATUM </w:t>
      </w:r>
      <w:r w:rsidR="00C05DF8" w:rsidRPr="009B3C93">
        <w:rPr>
          <w:b/>
          <w:bCs/>
          <w:sz w:val="22"/>
          <w:szCs w:val="22"/>
          <w:lang w:val="sr-Latn-ME"/>
        </w:rPr>
        <w:t xml:space="preserve">PRVE </w:t>
      </w:r>
      <w:r w:rsidR="008A6D43" w:rsidRPr="009B3C93">
        <w:rPr>
          <w:b/>
          <w:bCs/>
          <w:sz w:val="22"/>
          <w:szCs w:val="22"/>
          <w:lang w:val="sr-Latn-ME"/>
        </w:rPr>
        <w:t>DOZVOLE</w:t>
      </w:r>
      <w:r w:rsidR="00C05DF8" w:rsidRPr="009B3C93">
        <w:rPr>
          <w:b/>
          <w:bCs/>
          <w:sz w:val="22"/>
          <w:szCs w:val="22"/>
          <w:lang w:val="sr-Latn-ME"/>
        </w:rPr>
        <w:t>/OBNOVE DOZVOLE</w:t>
      </w:r>
      <w:r w:rsidR="008A6D43" w:rsidRPr="009B3C93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A5752DE" w14:textId="62A1943C" w:rsidR="0072020E" w:rsidRPr="009B3C93" w:rsidRDefault="0072020E" w:rsidP="004332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C09F28" w14:textId="175E7FFB" w:rsidR="009B3C93" w:rsidRPr="009B3C93" w:rsidRDefault="00A304ED" w:rsidP="004332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11</w:t>
      </w:r>
      <w:bookmarkStart w:id="74" w:name="_GoBack"/>
      <w:bookmarkEnd w:id="74"/>
      <w:r w:rsidR="009B3C93" w:rsidRPr="009B3C93">
        <w:rPr>
          <w:sz w:val="22"/>
          <w:szCs w:val="22"/>
          <w:lang w:val="sr-Latn-ME"/>
        </w:rPr>
        <w:t>.06.2025. godine</w:t>
      </w:r>
    </w:p>
    <w:p w14:paraId="7312DD52" w14:textId="3858CA97" w:rsidR="00836B35" w:rsidRDefault="00836B35" w:rsidP="004332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60D281" w14:textId="77777777" w:rsidR="009B3C93" w:rsidRPr="009B3C93" w:rsidRDefault="009B3C93" w:rsidP="004332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C1885A" w14:textId="77777777" w:rsidR="003F6A59" w:rsidRPr="009B3C93" w:rsidRDefault="0072020E" w:rsidP="00433213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9B3C93">
        <w:rPr>
          <w:b/>
          <w:bCs/>
          <w:sz w:val="22"/>
          <w:szCs w:val="22"/>
          <w:lang w:val="sr-Latn-ME"/>
        </w:rPr>
        <w:t xml:space="preserve">10. </w:t>
      </w:r>
      <w:r w:rsidR="00480FB1" w:rsidRPr="009B3C93">
        <w:rPr>
          <w:b/>
          <w:bCs/>
          <w:sz w:val="22"/>
          <w:szCs w:val="22"/>
          <w:lang w:val="sr-Latn-ME"/>
        </w:rPr>
        <w:tab/>
      </w:r>
      <w:r w:rsidR="002846DB" w:rsidRPr="009B3C93">
        <w:rPr>
          <w:b/>
          <w:bCs/>
          <w:sz w:val="22"/>
          <w:szCs w:val="22"/>
          <w:lang w:val="sr-Latn-ME"/>
        </w:rPr>
        <w:t>D</w:t>
      </w:r>
      <w:r w:rsidR="00EC2532" w:rsidRPr="009B3C93">
        <w:rPr>
          <w:b/>
          <w:bCs/>
          <w:sz w:val="22"/>
          <w:szCs w:val="22"/>
          <w:lang w:val="sr-Latn-ME"/>
        </w:rPr>
        <w:t xml:space="preserve">ATUM REVIZIJE TEKSTA </w:t>
      </w:r>
    </w:p>
    <w:p w14:paraId="772BA7E4" w14:textId="25551B93" w:rsidR="003F6A59" w:rsidRDefault="003F6A59" w:rsidP="00433213">
      <w:pPr>
        <w:jc w:val="both"/>
        <w:rPr>
          <w:sz w:val="22"/>
          <w:szCs w:val="22"/>
          <w:lang w:val="sr-Latn-ME"/>
        </w:rPr>
      </w:pPr>
    </w:p>
    <w:p w14:paraId="4D0F9857" w14:textId="1DBD1E5C" w:rsidR="009B3C93" w:rsidRPr="009B3C93" w:rsidRDefault="009B3C93" w:rsidP="00433213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Jun, 2025. godine</w:t>
      </w:r>
    </w:p>
    <w:sectPr w:rsidR="009B3C93" w:rsidRPr="009B3C93" w:rsidSect="006B5404"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7467A" w14:textId="77777777" w:rsidR="00AB1D30" w:rsidRDefault="00AB1D30">
      <w:r>
        <w:separator/>
      </w:r>
    </w:p>
  </w:endnote>
  <w:endnote w:type="continuationSeparator" w:id="0">
    <w:p w14:paraId="4B787849" w14:textId="77777777" w:rsidR="00AB1D30" w:rsidRDefault="00AB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1254A" w14:textId="4ACC8D18" w:rsidR="00E52E41" w:rsidRPr="00B23F69" w:rsidRDefault="00E52E41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A304ED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A304ED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4B3B3" w14:textId="77777777" w:rsidR="00AB1D30" w:rsidRDefault="00AB1D30">
      <w:r>
        <w:separator/>
      </w:r>
    </w:p>
  </w:footnote>
  <w:footnote w:type="continuationSeparator" w:id="0">
    <w:p w14:paraId="2EE7A41A" w14:textId="77777777" w:rsidR="00AB1D30" w:rsidRDefault="00AB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5.6pt;height:13.45pt;visibility:visible" o:bullet="t">
        <v:imagedata r:id="rId1" o:title="BT_1000x858px"/>
      </v:shape>
    </w:pict>
  </w:numPicBullet>
  <w:abstractNum w:abstractNumId="0" w15:restartNumberingAfterBreak="0">
    <w:nsid w:val="003230AC"/>
    <w:multiLevelType w:val="multilevel"/>
    <w:tmpl w:val="E3BE9C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C4426C"/>
    <w:multiLevelType w:val="hybridMultilevel"/>
    <w:tmpl w:val="DFEA9FB4"/>
    <w:lvl w:ilvl="0" w:tplc="0762A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2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52AF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22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A74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9C4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4B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A83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A80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1A63920"/>
    <w:multiLevelType w:val="hybridMultilevel"/>
    <w:tmpl w:val="570A9852"/>
    <w:lvl w:ilvl="0" w:tplc="9A7AB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EB6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968C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6C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EA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101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C5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8FF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18E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4FAC488F"/>
    <w:multiLevelType w:val="hybridMultilevel"/>
    <w:tmpl w:val="9EC44D06"/>
    <w:lvl w:ilvl="0" w:tplc="DA04513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D35867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D0A77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BE10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20C5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D4989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7C4E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F23B3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2E4F3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0A01759"/>
    <w:multiLevelType w:val="hybridMultilevel"/>
    <w:tmpl w:val="D11E123E"/>
    <w:lvl w:ilvl="0" w:tplc="68E48920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150AA6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E4AC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8078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CEB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DCA7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49B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6E99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9079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2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15"/>
  </w:num>
  <w:num w:numId="11">
    <w:abstractNumId w:val="8"/>
  </w:num>
  <w:num w:numId="12">
    <w:abstractNumId w:val="1"/>
  </w:num>
  <w:num w:numId="13">
    <w:abstractNumId w:val="13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2747"/>
    <w:rsid w:val="00045130"/>
    <w:rsid w:val="00057E35"/>
    <w:rsid w:val="00075E28"/>
    <w:rsid w:val="00076726"/>
    <w:rsid w:val="00080303"/>
    <w:rsid w:val="00083D02"/>
    <w:rsid w:val="00094EF2"/>
    <w:rsid w:val="000A2DC0"/>
    <w:rsid w:val="000A3F58"/>
    <w:rsid w:val="000C2024"/>
    <w:rsid w:val="000C3201"/>
    <w:rsid w:val="000D2343"/>
    <w:rsid w:val="000D3449"/>
    <w:rsid w:val="000D425A"/>
    <w:rsid w:val="000D60CC"/>
    <w:rsid w:val="000E2084"/>
    <w:rsid w:val="000E6F55"/>
    <w:rsid w:val="000F4284"/>
    <w:rsid w:val="000F48EF"/>
    <w:rsid w:val="000F77FA"/>
    <w:rsid w:val="00107BF7"/>
    <w:rsid w:val="00126F53"/>
    <w:rsid w:val="0014766D"/>
    <w:rsid w:val="001536CC"/>
    <w:rsid w:val="001A1848"/>
    <w:rsid w:val="001A3FBA"/>
    <w:rsid w:val="001A5518"/>
    <w:rsid w:val="001B0E0B"/>
    <w:rsid w:val="001B1C6A"/>
    <w:rsid w:val="001C1263"/>
    <w:rsid w:val="001C1417"/>
    <w:rsid w:val="001E23EB"/>
    <w:rsid w:val="001E390B"/>
    <w:rsid w:val="001E53BD"/>
    <w:rsid w:val="001F42FB"/>
    <w:rsid w:val="001F719A"/>
    <w:rsid w:val="002031B3"/>
    <w:rsid w:val="00205E6A"/>
    <w:rsid w:val="00215931"/>
    <w:rsid w:val="0022304C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A3659"/>
    <w:rsid w:val="002C6637"/>
    <w:rsid w:val="002E0135"/>
    <w:rsid w:val="002E37A5"/>
    <w:rsid w:val="002F441D"/>
    <w:rsid w:val="002F62A1"/>
    <w:rsid w:val="003059CA"/>
    <w:rsid w:val="00310F03"/>
    <w:rsid w:val="003247D2"/>
    <w:rsid w:val="003445C1"/>
    <w:rsid w:val="00355B61"/>
    <w:rsid w:val="00362686"/>
    <w:rsid w:val="00371510"/>
    <w:rsid w:val="00396DFD"/>
    <w:rsid w:val="003A7059"/>
    <w:rsid w:val="003B1030"/>
    <w:rsid w:val="003B7A36"/>
    <w:rsid w:val="003C17AB"/>
    <w:rsid w:val="003C51EB"/>
    <w:rsid w:val="003C7823"/>
    <w:rsid w:val="003E1DCC"/>
    <w:rsid w:val="003F11A1"/>
    <w:rsid w:val="003F4FAB"/>
    <w:rsid w:val="003F602E"/>
    <w:rsid w:val="003F6A59"/>
    <w:rsid w:val="004065C8"/>
    <w:rsid w:val="004109FA"/>
    <w:rsid w:val="00411B4B"/>
    <w:rsid w:val="00415BEE"/>
    <w:rsid w:val="00421C05"/>
    <w:rsid w:val="004254E9"/>
    <w:rsid w:val="00427F85"/>
    <w:rsid w:val="00433213"/>
    <w:rsid w:val="00436D43"/>
    <w:rsid w:val="00436F42"/>
    <w:rsid w:val="004378B4"/>
    <w:rsid w:val="00451314"/>
    <w:rsid w:val="00452E9D"/>
    <w:rsid w:val="004534C7"/>
    <w:rsid w:val="004671AA"/>
    <w:rsid w:val="00471DF8"/>
    <w:rsid w:val="00480FB1"/>
    <w:rsid w:val="00483928"/>
    <w:rsid w:val="004A04C6"/>
    <w:rsid w:val="004C331F"/>
    <w:rsid w:val="004C45E5"/>
    <w:rsid w:val="004D2121"/>
    <w:rsid w:val="004D6103"/>
    <w:rsid w:val="004E3BCE"/>
    <w:rsid w:val="004E70AD"/>
    <w:rsid w:val="004F0E97"/>
    <w:rsid w:val="004F17E2"/>
    <w:rsid w:val="0050068B"/>
    <w:rsid w:val="00501DD1"/>
    <w:rsid w:val="005145CC"/>
    <w:rsid w:val="00515C21"/>
    <w:rsid w:val="00530BD7"/>
    <w:rsid w:val="00545CD2"/>
    <w:rsid w:val="005476F3"/>
    <w:rsid w:val="00572527"/>
    <w:rsid w:val="00573E40"/>
    <w:rsid w:val="00576348"/>
    <w:rsid w:val="00585D52"/>
    <w:rsid w:val="00597B19"/>
    <w:rsid w:val="005A0B2E"/>
    <w:rsid w:val="005A23D2"/>
    <w:rsid w:val="005A36CB"/>
    <w:rsid w:val="005B49B8"/>
    <w:rsid w:val="005C0741"/>
    <w:rsid w:val="005C5EF4"/>
    <w:rsid w:val="005E2E0B"/>
    <w:rsid w:val="005E67AD"/>
    <w:rsid w:val="005E7A7D"/>
    <w:rsid w:val="00602457"/>
    <w:rsid w:val="00644FC3"/>
    <w:rsid w:val="00646BD1"/>
    <w:rsid w:val="006561C2"/>
    <w:rsid w:val="00671CB3"/>
    <w:rsid w:val="00674BAF"/>
    <w:rsid w:val="00682200"/>
    <w:rsid w:val="00692BF6"/>
    <w:rsid w:val="00697F45"/>
    <w:rsid w:val="006A1351"/>
    <w:rsid w:val="006A1497"/>
    <w:rsid w:val="006B0BD1"/>
    <w:rsid w:val="006B5404"/>
    <w:rsid w:val="006B6503"/>
    <w:rsid w:val="006C6F7A"/>
    <w:rsid w:val="006D20A5"/>
    <w:rsid w:val="006D37BF"/>
    <w:rsid w:val="006F64AF"/>
    <w:rsid w:val="00702E22"/>
    <w:rsid w:val="0072020E"/>
    <w:rsid w:val="00724F4E"/>
    <w:rsid w:val="00753BCF"/>
    <w:rsid w:val="00754902"/>
    <w:rsid w:val="00786071"/>
    <w:rsid w:val="00796F25"/>
    <w:rsid w:val="007A3ECB"/>
    <w:rsid w:val="007C6889"/>
    <w:rsid w:val="007D59E4"/>
    <w:rsid w:val="007D7BB3"/>
    <w:rsid w:val="007E31E9"/>
    <w:rsid w:val="007E401C"/>
    <w:rsid w:val="007F05E3"/>
    <w:rsid w:val="007F17B7"/>
    <w:rsid w:val="007F661E"/>
    <w:rsid w:val="00801325"/>
    <w:rsid w:val="00824AB9"/>
    <w:rsid w:val="00831A73"/>
    <w:rsid w:val="00836B35"/>
    <w:rsid w:val="00843BDE"/>
    <w:rsid w:val="0087588C"/>
    <w:rsid w:val="0089705C"/>
    <w:rsid w:val="008A5F29"/>
    <w:rsid w:val="008A6D43"/>
    <w:rsid w:val="008B491E"/>
    <w:rsid w:val="008C1A28"/>
    <w:rsid w:val="008C2E98"/>
    <w:rsid w:val="008C53A4"/>
    <w:rsid w:val="008E03C8"/>
    <w:rsid w:val="008E49BD"/>
    <w:rsid w:val="008E53E9"/>
    <w:rsid w:val="008E5771"/>
    <w:rsid w:val="008F4ACF"/>
    <w:rsid w:val="00924166"/>
    <w:rsid w:val="009326BC"/>
    <w:rsid w:val="00940B9B"/>
    <w:rsid w:val="00950F03"/>
    <w:rsid w:val="00953573"/>
    <w:rsid w:val="0095676E"/>
    <w:rsid w:val="00956983"/>
    <w:rsid w:val="00963CF0"/>
    <w:rsid w:val="00964BB1"/>
    <w:rsid w:val="009775D9"/>
    <w:rsid w:val="00980FD9"/>
    <w:rsid w:val="00984D6D"/>
    <w:rsid w:val="0099117A"/>
    <w:rsid w:val="00997175"/>
    <w:rsid w:val="009A1847"/>
    <w:rsid w:val="009A4891"/>
    <w:rsid w:val="009B062A"/>
    <w:rsid w:val="009B3C93"/>
    <w:rsid w:val="009C731A"/>
    <w:rsid w:val="009E7C6F"/>
    <w:rsid w:val="009F1793"/>
    <w:rsid w:val="009F2D23"/>
    <w:rsid w:val="00A01D69"/>
    <w:rsid w:val="00A02335"/>
    <w:rsid w:val="00A304ED"/>
    <w:rsid w:val="00A46C9A"/>
    <w:rsid w:val="00A619F3"/>
    <w:rsid w:val="00A62A73"/>
    <w:rsid w:val="00A87FF6"/>
    <w:rsid w:val="00AA0A3B"/>
    <w:rsid w:val="00AA2763"/>
    <w:rsid w:val="00AA33B6"/>
    <w:rsid w:val="00AB1D30"/>
    <w:rsid w:val="00AB50CA"/>
    <w:rsid w:val="00AB6D64"/>
    <w:rsid w:val="00AC53CE"/>
    <w:rsid w:val="00AD2193"/>
    <w:rsid w:val="00AD539E"/>
    <w:rsid w:val="00AF19F4"/>
    <w:rsid w:val="00AF2AC7"/>
    <w:rsid w:val="00AF74CE"/>
    <w:rsid w:val="00B208DB"/>
    <w:rsid w:val="00B21B0C"/>
    <w:rsid w:val="00B23F69"/>
    <w:rsid w:val="00B36575"/>
    <w:rsid w:val="00B60619"/>
    <w:rsid w:val="00B66A70"/>
    <w:rsid w:val="00B67366"/>
    <w:rsid w:val="00B76923"/>
    <w:rsid w:val="00B80EE1"/>
    <w:rsid w:val="00B84135"/>
    <w:rsid w:val="00BA1CAB"/>
    <w:rsid w:val="00BD480A"/>
    <w:rsid w:val="00C02C74"/>
    <w:rsid w:val="00C04D34"/>
    <w:rsid w:val="00C05DF8"/>
    <w:rsid w:val="00C06864"/>
    <w:rsid w:val="00C10F54"/>
    <w:rsid w:val="00C1717B"/>
    <w:rsid w:val="00C23D8D"/>
    <w:rsid w:val="00C308D7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0852"/>
    <w:rsid w:val="00C94C0D"/>
    <w:rsid w:val="00CA1FEB"/>
    <w:rsid w:val="00CD4F85"/>
    <w:rsid w:val="00CD6F02"/>
    <w:rsid w:val="00CE246D"/>
    <w:rsid w:val="00CF07A0"/>
    <w:rsid w:val="00CF3E03"/>
    <w:rsid w:val="00D0082A"/>
    <w:rsid w:val="00D21455"/>
    <w:rsid w:val="00D47634"/>
    <w:rsid w:val="00D709B3"/>
    <w:rsid w:val="00D74CD2"/>
    <w:rsid w:val="00D9263D"/>
    <w:rsid w:val="00DA2ED6"/>
    <w:rsid w:val="00DB1D55"/>
    <w:rsid w:val="00DB76B8"/>
    <w:rsid w:val="00DC2EA1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52E41"/>
    <w:rsid w:val="00E64180"/>
    <w:rsid w:val="00E7235D"/>
    <w:rsid w:val="00E74AEE"/>
    <w:rsid w:val="00E868E5"/>
    <w:rsid w:val="00E91805"/>
    <w:rsid w:val="00E9237A"/>
    <w:rsid w:val="00E926B4"/>
    <w:rsid w:val="00E939FA"/>
    <w:rsid w:val="00EA5765"/>
    <w:rsid w:val="00EC2532"/>
    <w:rsid w:val="00ED7812"/>
    <w:rsid w:val="00EE4F17"/>
    <w:rsid w:val="00EE6FCB"/>
    <w:rsid w:val="00EF3B86"/>
    <w:rsid w:val="00F02906"/>
    <w:rsid w:val="00F234B2"/>
    <w:rsid w:val="00F317E9"/>
    <w:rsid w:val="00F34554"/>
    <w:rsid w:val="00F35B68"/>
    <w:rsid w:val="00F45F77"/>
    <w:rsid w:val="00F5167F"/>
    <w:rsid w:val="00F52258"/>
    <w:rsid w:val="00F72591"/>
    <w:rsid w:val="00F8570A"/>
    <w:rsid w:val="00F91C7B"/>
    <w:rsid w:val="00F92656"/>
    <w:rsid w:val="00F94538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9D7E6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table" w:styleId="TableGrid">
    <w:name w:val="Table Grid"/>
    <w:basedOn w:val="TableNormal"/>
    <w:rsid w:val="00BD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F428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FA17A-8945-447C-A0E7-19F3C732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6335</Words>
  <Characters>36111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42362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Jonić-Popović</cp:lastModifiedBy>
  <cp:revision>4</cp:revision>
  <cp:lastPrinted>2023-02-09T08:16:00Z</cp:lastPrinted>
  <dcterms:created xsi:type="dcterms:W3CDTF">2025-06-09T09:58:00Z</dcterms:created>
  <dcterms:modified xsi:type="dcterms:W3CDTF">2025-06-11T08:18:00Z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81acc0d-dcc4-4dc9-a2c5-be70b05a2fe6_Enabled">
    <vt:lpwstr>true</vt:lpwstr>
  </property>
  <property fmtid="{D5CDD505-2E9C-101B-9397-08002B2CF9AE}" pid="4" name="MSIP_Label_e81acc0d-dcc4-4dc9-a2c5-be70b05a2fe6_SetDate">
    <vt:lpwstr>2024-11-07T15:22:53Z</vt:lpwstr>
  </property>
  <property fmtid="{D5CDD505-2E9C-101B-9397-08002B2CF9AE}" pid="5" name="MSIP_Label_e81acc0d-dcc4-4dc9-a2c5-be70b05a2fe6_Method">
    <vt:lpwstr>Privileged</vt:lpwstr>
  </property>
  <property fmtid="{D5CDD505-2E9C-101B-9397-08002B2CF9AE}" pid="6" name="MSIP_Label_e81acc0d-dcc4-4dc9-a2c5-be70b05a2fe6_Name">
    <vt:lpwstr>e81acc0d-dcc4-4dc9-a2c5-be70b05a2fe6</vt:lpwstr>
  </property>
  <property fmtid="{D5CDD505-2E9C-101B-9397-08002B2CF9AE}" pid="7" name="MSIP_Label_e81acc0d-dcc4-4dc9-a2c5-be70b05a2fe6_SiteId">
    <vt:lpwstr>a00de4ec-48a8-43a6-be74-e31274e2060d</vt:lpwstr>
  </property>
  <property fmtid="{D5CDD505-2E9C-101B-9397-08002B2CF9AE}" pid="8" name="MSIP_Label_e81acc0d-dcc4-4dc9-a2c5-be70b05a2fe6_ActionId">
    <vt:lpwstr>9972473f-07a1-484c-8284-2dc2d3cb2c70</vt:lpwstr>
  </property>
  <property fmtid="{D5CDD505-2E9C-101B-9397-08002B2CF9AE}" pid="9" name="MSIP_Label_e81acc0d-dcc4-4dc9-a2c5-be70b05a2fe6_ContentBits">
    <vt:lpwstr>0</vt:lpwstr>
  </property>
</Properties>
</file>