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E7EE4" w14:textId="77777777" w:rsidR="002510A5" w:rsidRPr="007B69EC" w:rsidRDefault="002510A5" w:rsidP="002510A5">
      <w:pPr>
        <w:jc w:val="center"/>
        <w:rPr>
          <w:b/>
          <w:bCs/>
          <w:iCs/>
          <w:sz w:val="22"/>
          <w:szCs w:val="22"/>
          <w:u w:val="single"/>
          <w:lang w:val="sr-Latn-ME"/>
        </w:rPr>
      </w:pPr>
      <w:r w:rsidRPr="007B69EC">
        <w:rPr>
          <w:b/>
          <w:bCs/>
          <w:iCs/>
          <w:sz w:val="22"/>
          <w:szCs w:val="22"/>
          <w:u w:val="single"/>
          <w:lang w:val="sr-Latn-ME"/>
        </w:rPr>
        <w:t>SAŽETAK KARAKTERISTIKA LIJEKA</w:t>
      </w:r>
    </w:p>
    <w:p w14:paraId="6CF6C4E5" w14:textId="77777777" w:rsidR="002510A5" w:rsidRPr="007B69EC" w:rsidRDefault="002510A5" w:rsidP="002510A5">
      <w:pPr>
        <w:rPr>
          <w:b/>
          <w:bCs/>
          <w:i/>
          <w:iCs/>
          <w:sz w:val="22"/>
          <w:szCs w:val="22"/>
          <w:u w:val="single"/>
          <w:lang w:val="sr-Latn-ME"/>
        </w:rPr>
      </w:pPr>
    </w:p>
    <w:p w14:paraId="51EC7DC0" w14:textId="77777777" w:rsidR="003C17AB" w:rsidRPr="007B69EC" w:rsidRDefault="003C17AB" w:rsidP="00CA1FEB">
      <w:pPr>
        <w:rPr>
          <w:sz w:val="22"/>
          <w:szCs w:val="22"/>
          <w:lang w:val="sr-Latn-ME"/>
        </w:rPr>
      </w:pPr>
    </w:p>
    <w:p w14:paraId="626F59B8" w14:textId="77777777" w:rsidR="00411B4B" w:rsidRPr="007B69EC" w:rsidRDefault="00411B4B" w:rsidP="00F5167F">
      <w:pPr>
        <w:tabs>
          <w:tab w:val="left" w:pos="540"/>
          <w:tab w:val="left" w:pos="569"/>
        </w:tabs>
        <w:rPr>
          <w:b/>
          <w:bCs/>
          <w:sz w:val="22"/>
          <w:szCs w:val="22"/>
          <w:lang w:val="sr-Latn-ME"/>
        </w:rPr>
      </w:pPr>
      <w:r w:rsidRPr="007B69EC">
        <w:rPr>
          <w:b/>
          <w:bCs/>
          <w:sz w:val="22"/>
          <w:szCs w:val="22"/>
          <w:lang w:val="sr-Latn-ME"/>
        </w:rPr>
        <w:t>1.</w:t>
      </w:r>
      <w:r w:rsidR="00F5167F" w:rsidRPr="007B69EC">
        <w:rPr>
          <w:b/>
          <w:bCs/>
          <w:sz w:val="22"/>
          <w:szCs w:val="22"/>
          <w:lang w:val="sr-Latn-ME"/>
        </w:rPr>
        <w:tab/>
      </w:r>
      <w:r w:rsidR="002846DB" w:rsidRPr="007B69EC">
        <w:rPr>
          <w:b/>
          <w:bCs/>
          <w:sz w:val="22"/>
          <w:szCs w:val="22"/>
          <w:lang w:val="sr-Latn-ME"/>
        </w:rPr>
        <w:t xml:space="preserve">NAZIV </w:t>
      </w:r>
      <w:r w:rsidRPr="007B69EC">
        <w:rPr>
          <w:b/>
          <w:bCs/>
          <w:sz w:val="22"/>
          <w:szCs w:val="22"/>
          <w:lang w:val="sr-Latn-ME"/>
        </w:rPr>
        <w:t>LIJEKA</w:t>
      </w:r>
    </w:p>
    <w:p w14:paraId="64D1CE6B" w14:textId="77777777" w:rsidR="00EC2532" w:rsidRPr="007B69EC" w:rsidRDefault="00EC2532">
      <w:pPr>
        <w:rPr>
          <w:sz w:val="22"/>
          <w:szCs w:val="22"/>
          <w:lang w:val="sr-Latn-ME"/>
        </w:rPr>
      </w:pPr>
    </w:p>
    <w:p w14:paraId="5FE8D242" w14:textId="71CB0210" w:rsidR="00107BF7" w:rsidRPr="007B69EC" w:rsidRDefault="007F2C60">
      <w:pPr>
        <w:rPr>
          <w:color w:val="808080"/>
          <w:sz w:val="22"/>
          <w:szCs w:val="22"/>
          <w:lang w:val="sr-Latn-ME"/>
        </w:rPr>
      </w:pPr>
      <w:r w:rsidRPr="007B69EC">
        <w:rPr>
          <w:sz w:val="22"/>
          <w:szCs w:val="22"/>
          <w:lang w:val="sr-Latn-ME"/>
        </w:rPr>
        <w:t>Fostron, 3</w:t>
      </w:r>
      <w:r w:rsidR="005C584F" w:rsidRPr="007B69EC">
        <w:rPr>
          <w:sz w:val="22"/>
          <w:szCs w:val="22"/>
          <w:lang w:val="sr-Latn-ME"/>
        </w:rPr>
        <w:t xml:space="preserve"> </w:t>
      </w:r>
      <w:r w:rsidRPr="007B69EC">
        <w:rPr>
          <w:sz w:val="22"/>
          <w:szCs w:val="22"/>
          <w:lang w:val="sr-Latn-ME"/>
        </w:rPr>
        <w:t>g, granule za oralni rastvor</w:t>
      </w:r>
    </w:p>
    <w:p w14:paraId="01D723B1" w14:textId="77777777" w:rsidR="000D425A" w:rsidRPr="007B69EC" w:rsidRDefault="000D425A">
      <w:pPr>
        <w:rPr>
          <w:bCs/>
          <w:sz w:val="22"/>
          <w:szCs w:val="22"/>
          <w:lang w:val="sr-Latn-ME"/>
        </w:rPr>
      </w:pPr>
    </w:p>
    <w:p w14:paraId="3580FE7D" w14:textId="2F7EB0D6" w:rsidR="006D20A5" w:rsidRPr="007B69EC" w:rsidRDefault="006D20A5" w:rsidP="006D20A5">
      <w:pPr>
        <w:rPr>
          <w:sz w:val="22"/>
          <w:szCs w:val="22"/>
          <w:lang w:val="sr-Latn-ME"/>
        </w:rPr>
      </w:pPr>
      <w:r w:rsidRPr="007B69EC">
        <w:rPr>
          <w:sz w:val="22"/>
          <w:szCs w:val="22"/>
          <w:lang w:val="sr-Latn-ME"/>
        </w:rPr>
        <w:t>INN:</w:t>
      </w:r>
      <w:r w:rsidR="007F2C60" w:rsidRPr="007B69EC">
        <w:rPr>
          <w:sz w:val="22"/>
          <w:szCs w:val="22"/>
          <w:lang w:val="sr-Latn-ME"/>
        </w:rPr>
        <w:t xml:space="preserve"> fosfomicin</w:t>
      </w:r>
    </w:p>
    <w:p w14:paraId="30AFDC4D" w14:textId="13B053D6" w:rsidR="006D20A5" w:rsidRPr="007B69EC" w:rsidRDefault="006D20A5">
      <w:pPr>
        <w:rPr>
          <w:bCs/>
          <w:sz w:val="22"/>
          <w:szCs w:val="22"/>
          <w:lang w:val="sr-Latn-ME"/>
        </w:rPr>
      </w:pPr>
    </w:p>
    <w:p w14:paraId="6E8CE206" w14:textId="77777777" w:rsidR="005C584F" w:rsidRPr="007B69EC" w:rsidRDefault="005C584F">
      <w:pPr>
        <w:rPr>
          <w:bCs/>
          <w:sz w:val="22"/>
          <w:szCs w:val="22"/>
          <w:lang w:val="sr-Latn-ME"/>
        </w:rPr>
      </w:pPr>
    </w:p>
    <w:p w14:paraId="44D234E4" w14:textId="77777777" w:rsidR="00411B4B" w:rsidRPr="007B69EC" w:rsidRDefault="00411B4B" w:rsidP="00F5167F">
      <w:pPr>
        <w:tabs>
          <w:tab w:val="left" w:pos="540"/>
          <w:tab w:val="left" w:pos="569"/>
        </w:tabs>
        <w:rPr>
          <w:b/>
          <w:bCs/>
          <w:sz w:val="22"/>
          <w:szCs w:val="22"/>
          <w:lang w:val="sr-Latn-ME"/>
        </w:rPr>
      </w:pPr>
      <w:r w:rsidRPr="007B69EC">
        <w:rPr>
          <w:b/>
          <w:bCs/>
          <w:sz w:val="22"/>
          <w:szCs w:val="22"/>
          <w:lang w:val="sr-Latn-ME"/>
        </w:rPr>
        <w:t xml:space="preserve">2. </w:t>
      </w:r>
      <w:r w:rsidR="00F5167F" w:rsidRPr="007B69EC">
        <w:rPr>
          <w:b/>
          <w:bCs/>
          <w:sz w:val="22"/>
          <w:szCs w:val="22"/>
          <w:lang w:val="sr-Latn-ME"/>
        </w:rPr>
        <w:tab/>
      </w:r>
      <w:r w:rsidRPr="007B69EC">
        <w:rPr>
          <w:b/>
          <w:bCs/>
          <w:sz w:val="22"/>
          <w:szCs w:val="22"/>
          <w:lang w:val="sr-Latn-ME"/>
        </w:rPr>
        <w:t>KVALITATIVNI I KVANTITATIVNI SASTAV</w:t>
      </w:r>
    </w:p>
    <w:p w14:paraId="4F43E31F" w14:textId="77777777" w:rsidR="005A0B2E" w:rsidRPr="007B69EC" w:rsidRDefault="005A0B2E">
      <w:pPr>
        <w:rPr>
          <w:sz w:val="22"/>
          <w:szCs w:val="22"/>
          <w:lang w:val="sr-Latn-ME"/>
        </w:rPr>
      </w:pPr>
    </w:p>
    <w:p w14:paraId="4CB82CDC" w14:textId="46668831" w:rsidR="007F2C60" w:rsidRPr="007B69EC" w:rsidRDefault="005C584F" w:rsidP="007F2C60">
      <w:pPr>
        <w:jc w:val="both"/>
        <w:rPr>
          <w:sz w:val="22"/>
          <w:szCs w:val="22"/>
          <w:lang w:val="sr-Latn-ME"/>
        </w:rPr>
      </w:pPr>
      <w:r w:rsidRPr="007B69EC">
        <w:rPr>
          <w:bCs/>
          <w:sz w:val="22"/>
          <w:szCs w:val="22"/>
          <w:lang w:val="sr-Latn-ME"/>
        </w:rPr>
        <w:t xml:space="preserve">Jedna </w:t>
      </w:r>
      <w:r w:rsidR="007F2C60" w:rsidRPr="007B69EC">
        <w:rPr>
          <w:sz w:val="22"/>
          <w:szCs w:val="22"/>
          <w:lang w:val="sr-Latn-ME"/>
        </w:rPr>
        <w:t>kesica sadrži 3 g fosfomicina u obliku fosfomicin</w:t>
      </w:r>
      <w:r w:rsidRPr="007B69EC">
        <w:rPr>
          <w:sz w:val="22"/>
          <w:szCs w:val="22"/>
          <w:lang w:val="sr-Latn-ME"/>
        </w:rPr>
        <w:t xml:space="preserve"> </w:t>
      </w:r>
      <w:r w:rsidR="007F2C60" w:rsidRPr="007B69EC">
        <w:rPr>
          <w:sz w:val="22"/>
          <w:szCs w:val="22"/>
          <w:lang w:val="sr-Latn-ME"/>
        </w:rPr>
        <w:t xml:space="preserve">trometamola. </w:t>
      </w:r>
    </w:p>
    <w:p w14:paraId="47195149" w14:textId="77777777" w:rsidR="005C584F" w:rsidRPr="007B69EC" w:rsidRDefault="005C584F" w:rsidP="007F2C60">
      <w:pPr>
        <w:jc w:val="both"/>
        <w:rPr>
          <w:sz w:val="22"/>
          <w:szCs w:val="22"/>
          <w:lang w:val="sr-Latn-ME"/>
        </w:rPr>
      </w:pPr>
    </w:p>
    <w:p w14:paraId="126B1BEA" w14:textId="3EC90891" w:rsidR="007F2C60" w:rsidRPr="007B69EC" w:rsidRDefault="007F2C60" w:rsidP="005C584F">
      <w:pPr>
        <w:jc w:val="both"/>
        <w:rPr>
          <w:sz w:val="22"/>
          <w:szCs w:val="22"/>
          <w:lang w:val="sr-Latn-ME"/>
        </w:rPr>
      </w:pPr>
      <w:r w:rsidRPr="007B69EC">
        <w:rPr>
          <w:bCs/>
          <w:sz w:val="22"/>
          <w:szCs w:val="22"/>
          <w:lang w:val="sr-Latn-ME"/>
        </w:rPr>
        <w:t>Pomoćn</w:t>
      </w:r>
      <w:r w:rsidR="000E1692" w:rsidRPr="007B69EC">
        <w:rPr>
          <w:bCs/>
          <w:sz w:val="22"/>
          <w:szCs w:val="22"/>
          <w:lang w:val="sr-Latn-ME"/>
        </w:rPr>
        <w:t>a</w:t>
      </w:r>
      <w:r w:rsidRPr="007B69EC">
        <w:rPr>
          <w:bCs/>
          <w:sz w:val="22"/>
          <w:szCs w:val="22"/>
          <w:lang w:val="sr-Latn-ME"/>
        </w:rPr>
        <w:t xml:space="preserve"> supstanc</w:t>
      </w:r>
      <w:r w:rsidR="000E1692" w:rsidRPr="007B69EC">
        <w:rPr>
          <w:bCs/>
          <w:sz w:val="22"/>
          <w:szCs w:val="22"/>
          <w:lang w:val="sr-Latn-ME"/>
        </w:rPr>
        <w:t>a</w:t>
      </w:r>
      <w:r w:rsidRPr="007B69EC">
        <w:rPr>
          <w:bCs/>
          <w:sz w:val="22"/>
          <w:szCs w:val="22"/>
          <w:lang w:val="sr-Latn-ME"/>
        </w:rPr>
        <w:t xml:space="preserve"> sa </w:t>
      </w:r>
      <w:r w:rsidR="000E1692" w:rsidRPr="007B69EC">
        <w:rPr>
          <w:rFonts w:eastAsia="SimSun"/>
          <w:bCs/>
          <w:color w:val="000000"/>
          <w:sz w:val="22"/>
          <w:szCs w:val="22"/>
          <w:lang w:val="sr-Latn-ME" w:eastAsia="zh-CN"/>
        </w:rPr>
        <w:t xml:space="preserve">potvrđenim </w:t>
      </w:r>
      <w:r w:rsidRPr="007B69EC">
        <w:rPr>
          <w:bCs/>
          <w:sz w:val="22"/>
          <w:szCs w:val="22"/>
          <w:lang w:val="sr-Latn-ME"/>
        </w:rPr>
        <w:t>dejstvom</w:t>
      </w:r>
      <w:r w:rsidRPr="007B69EC">
        <w:rPr>
          <w:sz w:val="22"/>
          <w:szCs w:val="22"/>
          <w:lang w:val="sr-Latn-ME"/>
        </w:rPr>
        <w:t>: jedna kesica sadrži 2,2 g saharoze.</w:t>
      </w:r>
    </w:p>
    <w:p w14:paraId="46C4975C" w14:textId="144A050F" w:rsidR="007F2C60" w:rsidRPr="007B69EC" w:rsidRDefault="007F2C60" w:rsidP="007F2C60">
      <w:pPr>
        <w:jc w:val="both"/>
        <w:rPr>
          <w:sz w:val="22"/>
          <w:szCs w:val="22"/>
          <w:lang w:val="sr-Latn-ME"/>
        </w:rPr>
      </w:pPr>
    </w:p>
    <w:p w14:paraId="4326DE3A" w14:textId="0D511A12" w:rsidR="0003793F" w:rsidRPr="007B69EC" w:rsidRDefault="0003793F" w:rsidP="007F2C60">
      <w:pPr>
        <w:jc w:val="both"/>
        <w:rPr>
          <w:sz w:val="22"/>
          <w:szCs w:val="22"/>
          <w:lang w:val="sr-Latn-ME"/>
        </w:rPr>
      </w:pPr>
      <w:r w:rsidRPr="007B69EC">
        <w:rPr>
          <w:sz w:val="22"/>
          <w:szCs w:val="22"/>
          <w:lang w:val="sr-Latn-ME"/>
        </w:rPr>
        <w:t>Za spisak svih ekscipijenasa, pogledati dio 6.1.</w:t>
      </w:r>
      <w:r w:rsidR="007F2C60" w:rsidRPr="007B69EC">
        <w:rPr>
          <w:sz w:val="22"/>
          <w:szCs w:val="22"/>
          <w:lang w:val="sr-Latn-ME"/>
        </w:rPr>
        <w:t xml:space="preserve"> </w:t>
      </w:r>
    </w:p>
    <w:p w14:paraId="45283003" w14:textId="1BD8E0F7" w:rsidR="00C37FD7" w:rsidRPr="007B69EC" w:rsidRDefault="00C37FD7">
      <w:pPr>
        <w:rPr>
          <w:sz w:val="22"/>
          <w:szCs w:val="22"/>
          <w:lang w:val="sr-Latn-ME"/>
        </w:rPr>
      </w:pPr>
    </w:p>
    <w:p w14:paraId="6A3B2AFC" w14:textId="77777777" w:rsidR="005C584F" w:rsidRPr="007B69EC" w:rsidRDefault="005C584F">
      <w:pPr>
        <w:rPr>
          <w:sz w:val="22"/>
          <w:szCs w:val="22"/>
          <w:lang w:val="sr-Latn-ME"/>
        </w:rPr>
      </w:pPr>
    </w:p>
    <w:p w14:paraId="31C6ADDF" w14:textId="77777777" w:rsidR="00411B4B" w:rsidRPr="007B69EC" w:rsidRDefault="00411B4B" w:rsidP="00F5167F">
      <w:pPr>
        <w:tabs>
          <w:tab w:val="left" w:pos="540"/>
          <w:tab w:val="left" w:pos="569"/>
        </w:tabs>
        <w:rPr>
          <w:b/>
          <w:bCs/>
          <w:sz w:val="22"/>
          <w:szCs w:val="22"/>
          <w:lang w:val="sr-Latn-ME"/>
        </w:rPr>
      </w:pPr>
      <w:r w:rsidRPr="007B69EC">
        <w:rPr>
          <w:b/>
          <w:bCs/>
          <w:sz w:val="22"/>
          <w:szCs w:val="22"/>
          <w:lang w:val="sr-Latn-ME"/>
        </w:rPr>
        <w:t xml:space="preserve">3. </w:t>
      </w:r>
      <w:r w:rsidR="00F5167F" w:rsidRPr="007B69EC">
        <w:rPr>
          <w:b/>
          <w:bCs/>
          <w:sz w:val="22"/>
          <w:szCs w:val="22"/>
          <w:lang w:val="sr-Latn-ME"/>
        </w:rPr>
        <w:tab/>
      </w:r>
      <w:r w:rsidRPr="007B69EC">
        <w:rPr>
          <w:b/>
          <w:bCs/>
          <w:sz w:val="22"/>
          <w:szCs w:val="22"/>
          <w:lang w:val="sr-Latn-ME"/>
        </w:rPr>
        <w:t>FARMACEUTSKI OBLIK</w:t>
      </w:r>
      <w:r w:rsidR="009F2D23" w:rsidRPr="007B69EC">
        <w:rPr>
          <w:b/>
          <w:bCs/>
          <w:sz w:val="22"/>
          <w:szCs w:val="22"/>
          <w:lang w:val="sr-Latn-ME"/>
        </w:rPr>
        <w:t xml:space="preserve"> </w:t>
      </w:r>
    </w:p>
    <w:p w14:paraId="0B67450B" w14:textId="77777777" w:rsidR="007F2C60" w:rsidRPr="007B69EC" w:rsidRDefault="007F2C60" w:rsidP="00F5167F">
      <w:pPr>
        <w:tabs>
          <w:tab w:val="left" w:pos="540"/>
          <w:tab w:val="left" w:pos="569"/>
        </w:tabs>
        <w:rPr>
          <w:b/>
          <w:bCs/>
          <w:sz w:val="22"/>
          <w:szCs w:val="22"/>
          <w:lang w:val="sr-Latn-ME"/>
        </w:rPr>
      </w:pPr>
    </w:p>
    <w:p w14:paraId="2EBB2A8C" w14:textId="4E0F5DDF" w:rsidR="007F2C60" w:rsidRPr="007B69EC" w:rsidRDefault="007F2C60" w:rsidP="007F2C60">
      <w:pPr>
        <w:tabs>
          <w:tab w:val="left" w:pos="540"/>
          <w:tab w:val="left" w:pos="569"/>
        </w:tabs>
        <w:jc w:val="both"/>
        <w:rPr>
          <w:sz w:val="22"/>
          <w:szCs w:val="22"/>
          <w:lang w:val="sr-Latn-ME"/>
        </w:rPr>
      </w:pPr>
      <w:r w:rsidRPr="007B69EC">
        <w:rPr>
          <w:sz w:val="22"/>
          <w:szCs w:val="22"/>
          <w:lang w:val="sr-Latn-ME"/>
        </w:rPr>
        <w:t>Granule za oralni rastvor.</w:t>
      </w:r>
    </w:p>
    <w:p w14:paraId="5D5C0949" w14:textId="3E911232" w:rsidR="007F2C60" w:rsidRPr="007B69EC" w:rsidRDefault="007F2C60" w:rsidP="007F2C60">
      <w:pPr>
        <w:tabs>
          <w:tab w:val="left" w:pos="540"/>
          <w:tab w:val="left" w:pos="569"/>
        </w:tabs>
        <w:jc w:val="both"/>
        <w:rPr>
          <w:sz w:val="22"/>
          <w:szCs w:val="22"/>
          <w:lang w:val="sr-Latn-ME"/>
        </w:rPr>
      </w:pPr>
      <w:r w:rsidRPr="007B69EC">
        <w:rPr>
          <w:sz w:val="22"/>
          <w:szCs w:val="22"/>
          <w:lang w:val="sr-Latn-ME"/>
        </w:rPr>
        <w:t xml:space="preserve">Bijele do </w:t>
      </w:r>
      <w:r w:rsidR="005C584F" w:rsidRPr="007B69EC">
        <w:rPr>
          <w:sz w:val="22"/>
          <w:szCs w:val="22"/>
          <w:lang w:val="sr-Latn-ME"/>
        </w:rPr>
        <w:t xml:space="preserve">skoro </w:t>
      </w:r>
      <w:r w:rsidRPr="007B69EC">
        <w:rPr>
          <w:sz w:val="22"/>
          <w:szCs w:val="22"/>
          <w:lang w:val="sr-Latn-ME"/>
        </w:rPr>
        <w:t>bijele granule bez grudvica i stranih čestica.</w:t>
      </w:r>
    </w:p>
    <w:p w14:paraId="11FEFEFD" w14:textId="77777777" w:rsidR="005C584F" w:rsidRPr="007B69EC" w:rsidRDefault="005C584F" w:rsidP="007F2C60">
      <w:pPr>
        <w:tabs>
          <w:tab w:val="left" w:pos="540"/>
          <w:tab w:val="left" w:pos="569"/>
        </w:tabs>
        <w:jc w:val="both"/>
        <w:rPr>
          <w:sz w:val="22"/>
          <w:szCs w:val="22"/>
          <w:lang w:val="sr-Latn-ME"/>
        </w:rPr>
      </w:pPr>
    </w:p>
    <w:p w14:paraId="3D40F940" w14:textId="2A041F14" w:rsidR="007F2C60" w:rsidRPr="007B69EC" w:rsidRDefault="007F2C60" w:rsidP="007F2C60">
      <w:pPr>
        <w:tabs>
          <w:tab w:val="left" w:pos="540"/>
          <w:tab w:val="left" w:pos="569"/>
        </w:tabs>
        <w:jc w:val="both"/>
        <w:rPr>
          <w:sz w:val="22"/>
          <w:szCs w:val="22"/>
          <w:lang w:val="sr-Latn-ME"/>
        </w:rPr>
      </w:pPr>
      <w:r w:rsidRPr="007B69EC">
        <w:rPr>
          <w:sz w:val="22"/>
          <w:szCs w:val="22"/>
          <w:lang w:val="sr-Latn-ME"/>
        </w:rPr>
        <w:t>Izgled rekonstituisanog rastvora: blago bjeličast</w:t>
      </w:r>
      <w:r w:rsidR="005C584F" w:rsidRPr="007B69EC">
        <w:rPr>
          <w:sz w:val="22"/>
          <w:szCs w:val="22"/>
          <w:lang w:val="sr-Latn-ME"/>
        </w:rPr>
        <w:t>,</w:t>
      </w:r>
      <w:r w:rsidRPr="007B69EC">
        <w:rPr>
          <w:sz w:val="22"/>
          <w:szCs w:val="22"/>
          <w:lang w:val="sr-Latn-ME"/>
        </w:rPr>
        <w:t xml:space="preserve"> zamućen rastvor miris</w:t>
      </w:r>
      <w:r w:rsidR="005C584F" w:rsidRPr="007B69EC">
        <w:rPr>
          <w:sz w:val="22"/>
          <w:szCs w:val="22"/>
          <w:lang w:val="sr-Latn-ME"/>
        </w:rPr>
        <w:t>a</w:t>
      </w:r>
      <w:r w:rsidRPr="007B69EC">
        <w:rPr>
          <w:sz w:val="22"/>
          <w:szCs w:val="22"/>
          <w:lang w:val="sr-Latn-ME"/>
        </w:rPr>
        <w:t xml:space="preserve"> </w:t>
      </w:r>
      <w:r w:rsidR="005C584F" w:rsidRPr="007B69EC">
        <w:rPr>
          <w:sz w:val="22"/>
          <w:szCs w:val="22"/>
          <w:lang w:val="sr-Latn-ME"/>
        </w:rPr>
        <w:t xml:space="preserve">na voće </w:t>
      </w:r>
      <w:r w:rsidRPr="007B69EC">
        <w:rPr>
          <w:sz w:val="22"/>
          <w:szCs w:val="22"/>
          <w:lang w:val="sr-Latn-ME"/>
        </w:rPr>
        <w:t>(</w:t>
      </w:r>
      <w:r w:rsidR="005C584F" w:rsidRPr="007B69EC">
        <w:rPr>
          <w:sz w:val="22"/>
          <w:szCs w:val="22"/>
          <w:lang w:val="sr-Latn-ME"/>
        </w:rPr>
        <w:t>pomorandža</w:t>
      </w:r>
      <w:r w:rsidR="00FF5B5C" w:rsidRPr="007B69EC">
        <w:rPr>
          <w:sz w:val="22"/>
          <w:szCs w:val="22"/>
          <w:lang w:val="sr-Latn-ME"/>
        </w:rPr>
        <w:t xml:space="preserve"> </w:t>
      </w:r>
      <w:r w:rsidRPr="007B69EC">
        <w:rPr>
          <w:sz w:val="22"/>
          <w:szCs w:val="22"/>
          <w:lang w:val="sr-Latn-ME"/>
        </w:rPr>
        <w:t>-mandarina)</w:t>
      </w:r>
    </w:p>
    <w:p w14:paraId="2E090221" w14:textId="77777777" w:rsidR="00411B4B" w:rsidRPr="007B69EC" w:rsidRDefault="00411B4B">
      <w:pPr>
        <w:rPr>
          <w:bCs/>
          <w:sz w:val="22"/>
          <w:szCs w:val="22"/>
          <w:lang w:val="sr-Latn-ME"/>
        </w:rPr>
      </w:pPr>
    </w:p>
    <w:p w14:paraId="2AA375B8" w14:textId="77777777" w:rsidR="00EC2532" w:rsidRPr="007B69EC" w:rsidRDefault="00EC2532">
      <w:pPr>
        <w:rPr>
          <w:bCs/>
          <w:sz w:val="22"/>
          <w:szCs w:val="22"/>
          <w:lang w:val="sr-Latn-ME"/>
        </w:rPr>
      </w:pPr>
    </w:p>
    <w:p w14:paraId="5BE7E37E" w14:textId="77777777" w:rsidR="00411B4B" w:rsidRPr="007B69EC" w:rsidRDefault="00411B4B" w:rsidP="00F5167F">
      <w:pPr>
        <w:tabs>
          <w:tab w:val="left" w:pos="540"/>
          <w:tab w:val="left" w:pos="569"/>
        </w:tabs>
        <w:rPr>
          <w:b/>
          <w:bCs/>
          <w:sz w:val="22"/>
          <w:szCs w:val="22"/>
          <w:lang w:val="sr-Latn-ME"/>
        </w:rPr>
      </w:pPr>
      <w:r w:rsidRPr="007B69EC">
        <w:rPr>
          <w:b/>
          <w:bCs/>
          <w:sz w:val="22"/>
          <w:szCs w:val="22"/>
          <w:lang w:val="sr-Latn-ME"/>
        </w:rPr>
        <w:t xml:space="preserve">4. </w:t>
      </w:r>
      <w:r w:rsidR="00480FB1" w:rsidRPr="007B69EC">
        <w:rPr>
          <w:b/>
          <w:bCs/>
          <w:sz w:val="22"/>
          <w:szCs w:val="22"/>
          <w:lang w:val="sr-Latn-ME"/>
        </w:rPr>
        <w:tab/>
      </w:r>
      <w:r w:rsidRPr="007B69EC">
        <w:rPr>
          <w:b/>
          <w:bCs/>
          <w:sz w:val="22"/>
          <w:szCs w:val="22"/>
          <w:lang w:val="sr-Latn-ME"/>
        </w:rPr>
        <w:t>KLINIČKI PODACI</w:t>
      </w:r>
    </w:p>
    <w:p w14:paraId="6A0F35D5" w14:textId="77777777" w:rsidR="00CD6F02" w:rsidRPr="007B69EC" w:rsidRDefault="00CD6F02" w:rsidP="00480FB1">
      <w:pPr>
        <w:tabs>
          <w:tab w:val="left" w:pos="540"/>
          <w:tab w:val="left" w:pos="569"/>
        </w:tabs>
        <w:rPr>
          <w:bCs/>
          <w:sz w:val="22"/>
          <w:szCs w:val="22"/>
          <w:lang w:val="sr-Latn-ME"/>
        </w:rPr>
      </w:pPr>
    </w:p>
    <w:p w14:paraId="64911D25" w14:textId="77777777" w:rsidR="00411B4B" w:rsidRPr="007B69EC" w:rsidRDefault="00411B4B" w:rsidP="00480FB1">
      <w:pPr>
        <w:tabs>
          <w:tab w:val="left" w:pos="540"/>
          <w:tab w:val="left" w:pos="569"/>
        </w:tabs>
        <w:rPr>
          <w:b/>
          <w:bCs/>
          <w:sz w:val="22"/>
          <w:szCs w:val="22"/>
          <w:lang w:val="sr-Latn-ME"/>
        </w:rPr>
      </w:pPr>
      <w:r w:rsidRPr="007B69EC">
        <w:rPr>
          <w:b/>
          <w:bCs/>
          <w:sz w:val="22"/>
          <w:szCs w:val="22"/>
          <w:lang w:val="sr-Latn-ME"/>
        </w:rPr>
        <w:t xml:space="preserve">4.1. </w:t>
      </w:r>
      <w:r w:rsidR="00480FB1" w:rsidRPr="007B69EC">
        <w:rPr>
          <w:b/>
          <w:bCs/>
          <w:sz w:val="22"/>
          <w:szCs w:val="22"/>
          <w:lang w:val="sr-Latn-ME"/>
        </w:rPr>
        <w:tab/>
      </w:r>
      <w:r w:rsidRPr="007B69EC">
        <w:rPr>
          <w:b/>
          <w:bCs/>
          <w:sz w:val="22"/>
          <w:szCs w:val="22"/>
          <w:lang w:val="sr-Latn-ME"/>
        </w:rPr>
        <w:t>Terapijske indikacije</w:t>
      </w:r>
    </w:p>
    <w:p w14:paraId="47AD4F61" w14:textId="77777777" w:rsidR="007F2C60" w:rsidRPr="007B69EC" w:rsidRDefault="007F2C60" w:rsidP="00480FB1">
      <w:pPr>
        <w:tabs>
          <w:tab w:val="left" w:pos="540"/>
          <w:tab w:val="left" w:pos="569"/>
        </w:tabs>
        <w:rPr>
          <w:b/>
          <w:bCs/>
          <w:sz w:val="22"/>
          <w:szCs w:val="22"/>
          <w:lang w:val="sr-Latn-ME"/>
        </w:rPr>
      </w:pPr>
    </w:p>
    <w:p w14:paraId="40698348" w14:textId="70340B7E" w:rsidR="007F2C60" w:rsidRPr="007B69EC" w:rsidRDefault="007F2C60" w:rsidP="007F2C60">
      <w:pPr>
        <w:tabs>
          <w:tab w:val="left" w:pos="540"/>
          <w:tab w:val="left" w:pos="569"/>
        </w:tabs>
        <w:jc w:val="both"/>
        <w:rPr>
          <w:sz w:val="22"/>
          <w:szCs w:val="22"/>
          <w:lang w:val="sr-Latn-ME"/>
        </w:rPr>
      </w:pPr>
      <w:r w:rsidRPr="007B69EC">
        <w:rPr>
          <w:sz w:val="22"/>
          <w:szCs w:val="22"/>
          <w:lang w:val="sr-Latn-ME"/>
        </w:rPr>
        <w:t xml:space="preserve">Lijek Fostron </w:t>
      </w:r>
      <w:r w:rsidR="00724178" w:rsidRPr="007B69EC">
        <w:rPr>
          <w:sz w:val="22"/>
          <w:szCs w:val="22"/>
          <w:lang w:val="sr-Latn-ME"/>
        </w:rPr>
        <w:t>je indikovan za (vidjeti dio 5.1):</w:t>
      </w:r>
      <w:r w:rsidRPr="007B69EC">
        <w:rPr>
          <w:sz w:val="22"/>
          <w:szCs w:val="22"/>
          <w:lang w:val="sr-Latn-ME"/>
        </w:rPr>
        <w:t xml:space="preserve"> </w:t>
      </w:r>
    </w:p>
    <w:p w14:paraId="2ADE24E5" w14:textId="17A9C3E8" w:rsidR="007F2C60" w:rsidRPr="007B69EC" w:rsidRDefault="007F2C60" w:rsidP="007F2C60">
      <w:pPr>
        <w:tabs>
          <w:tab w:val="left" w:pos="540"/>
          <w:tab w:val="left" w:pos="569"/>
        </w:tabs>
        <w:jc w:val="both"/>
        <w:rPr>
          <w:sz w:val="22"/>
          <w:szCs w:val="22"/>
          <w:lang w:val="sr-Latn-ME"/>
        </w:rPr>
      </w:pPr>
      <w:r w:rsidRPr="007B69EC">
        <w:rPr>
          <w:sz w:val="22"/>
          <w:szCs w:val="22"/>
          <w:lang w:val="sr-Latn-ME"/>
        </w:rPr>
        <w:t>-</w:t>
      </w:r>
      <w:r w:rsidRPr="007B69EC">
        <w:rPr>
          <w:sz w:val="22"/>
          <w:szCs w:val="22"/>
          <w:lang w:val="sr-Latn-ME"/>
        </w:rPr>
        <w:tab/>
        <w:t xml:space="preserve">akutni nekomplikovani cistitis kod žena i adolescentkinja </w:t>
      </w:r>
    </w:p>
    <w:p w14:paraId="634D9A4C" w14:textId="66CD5ABE" w:rsidR="007F2C60" w:rsidRPr="007B69EC" w:rsidRDefault="007F2C60" w:rsidP="007F2C60">
      <w:pPr>
        <w:tabs>
          <w:tab w:val="left" w:pos="540"/>
          <w:tab w:val="left" w:pos="569"/>
        </w:tabs>
        <w:jc w:val="both"/>
        <w:rPr>
          <w:sz w:val="22"/>
          <w:szCs w:val="22"/>
          <w:lang w:val="sr-Latn-ME"/>
        </w:rPr>
      </w:pPr>
      <w:r w:rsidRPr="007B69EC">
        <w:rPr>
          <w:sz w:val="22"/>
          <w:szCs w:val="22"/>
          <w:lang w:val="sr-Latn-ME"/>
        </w:rPr>
        <w:t>-</w:t>
      </w:r>
      <w:r w:rsidRPr="007B69EC">
        <w:rPr>
          <w:sz w:val="22"/>
          <w:szCs w:val="22"/>
          <w:lang w:val="sr-Latn-ME"/>
        </w:rPr>
        <w:tab/>
        <w:t>perioperativna antibiotska profilaksa za transrektalnu biopsiju prostate kod odraslih muškaraca</w:t>
      </w:r>
    </w:p>
    <w:p w14:paraId="2D8E4C4C" w14:textId="18ECCBB4" w:rsidR="007F2C60" w:rsidRPr="007B69EC" w:rsidRDefault="007F2C60" w:rsidP="007F2C60">
      <w:pPr>
        <w:tabs>
          <w:tab w:val="left" w:pos="540"/>
          <w:tab w:val="left" w:pos="569"/>
        </w:tabs>
        <w:jc w:val="both"/>
        <w:rPr>
          <w:sz w:val="22"/>
          <w:szCs w:val="22"/>
          <w:lang w:val="sr-Latn-ME"/>
        </w:rPr>
      </w:pPr>
      <w:r w:rsidRPr="007B69EC">
        <w:rPr>
          <w:sz w:val="22"/>
          <w:szCs w:val="22"/>
          <w:lang w:val="sr-Latn-ME"/>
        </w:rPr>
        <w:t>Potrebno je pratiti zvanične smjernice o ispravnom korišćenju antibiotika</w:t>
      </w:r>
      <w:r w:rsidR="00724178" w:rsidRPr="007B69EC">
        <w:rPr>
          <w:sz w:val="22"/>
          <w:szCs w:val="22"/>
          <w:lang w:val="sr-Latn-ME"/>
        </w:rPr>
        <w:t>.</w:t>
      </w:r>
    </w:p>
    <w:p w14:paraId="2E17FC71" w14:textId="77777777" w:rsidR="00411B4B" w:rsidRPr="007B69EC" w:rsidRDefault="00411B4B" w:rsidP="00480FB1">
      <w:pPr>
        <w:tabs>
          <w:tab w:val="left" w:pos="540"/>
          <w:tab w:val="left" w:pos="569"/>
        </w:tabs>
        <w:rPr>
          <w:bCs/>
          <w:sz w:val="22"/>
          <w:szCs w:val="22"/>
          <w:lang w:val="sr-Latn-ME"/>
        </w:rPr>
      </w:pPr>
    </w:p>
    <w:p w14:paraId="693C5962" w14:textId="77777777" w:rsidR="00411B4B" w:rsidRPr="007B69EC" w:rsidRDefault="00411B4B" w:rsidP="00480FB1">
      <w:pPr>
        <w:tabs>
          <w:tab w:val="left" w:pos="540"/>
          <w:tab w:val="left" w:pos="569"/>
        </w:tabs>
        <w:rPr>
          <w:b/>
          <w:bCs/>
          <w:sz w:val="22"/>
          <w:szCs w:val="22"/>
          <w:lang w:val="sr-Latn-ME"/>
        </w:rPr>
      </w:pPr>
      <w:r w:rsidRPr="007B69EC">
        <w:rPr>
          <w:b/>
          <w:bCs/>
          <w:sz w:val="22"/>
          <w:szCs w:val="22"/>
          <w:lang w:val="sr-Latn-ME"/>
        </w:rPr>
        <w:t xml:space="preserve">4.2. </w:t>
      </w:r>
      <w:r w:rsidR="00480FB1" w:rsidRPr="007B69EC">
        <w:rPr>
          <w:b/>
          <w:bCs/>
          <w:sz w:val="22"/>
          <w:szCs w:val="22"/>
          <w:lang w:val="sr-Latn-ME"/>
        </w:rPr>
        <w:tab/>
      </w:r>
      <w:r w:rsidRPr="007B69EC">
        <w:rPr>
          <w:b/>
          <w:bCs/>
          <w:sz w:val="22"/>
          <w:szCs w:val="22"/>
          <w:lang w:val="sr-Latn-ME"/>
        </w:rPr>
        <w:t>Doziranje i način primjene</w:t>
      </w:r>
    </w:p>
    <w:p w14:paraId="4B3DF8BD" w14:textId="77777777" w:rsidR="0072020E" w:rsidRPr="007B69EC" w:rsidRDefault="0072020E" w:rsidP="00480FB1">
      <w:pPr>
        <w:tabs>
          <w:tab w:val="left" w:pos="540"/>
          <w:tab w:val="left" w:pos="569"/>
        </w:tabs>
        <w:rPr>
          <w:bCs/>
          <w:sz w:val="22"/>
          <w:szCs w:val="22"/>
          <w:lang w:val="sr-Latn-ME"/>
        </w:rPr>
      </w:pPr>
    </w:p>
    <w:p w14:paraId="237C5955" w14:textId="77777777" w:rsidR="00452E9D" w:rsidRPr="007B69EC" w:rsidRDefault="00452E9D" w:rsidP="00480FB1">
      <w:pPr>
        <w:tabs>
          <w:tab w:val="left" w:pos="540"/>
          <w:tab w:val="left" w:pos="569"/>
        </w:tabs>
        <w:rPr>
          <w:bCs/>
          <w:sz w:val="22"/>
          <w:szCs w:val="22"/>
          <w:u w:val="single"/>
          <w:lang w:val="sr-Latn-ME"/>
        </w:rPr>
      </w:pPr>
      <w:r w:rsidRPr="007B69EC">
        <w:rPr>
          <w:bCs/>
          <w:sz w:val="22"/>
          <w:szCs w:val="22"/>
          <w:u w:val="single"/>
          <w:lang w:val="sr-Latn-ME"/>
        </w:rPr>
        <w:t>Doziranje</w:t>
      </w:r>
    </w:p>
    <w:p w14:paraId="151BC9DB" w14:textId="77777777" w:rsidR="007F2C60" w:rsidRPr="007B69EC" w:rsidRDefault="007F2C60" w:rsidP="00480FB1">
      <w:pPr>
        <w:tabs>
          <w:tab w:val="left" w:pos="540"/>
          <w:tab w:val="left" w:pos="569"/>
        </w:tabs>
        <w:rPr>
          <w:bCs/>
          <w:sz w:val="22"/>
          <w:szCs w:val="22"/>
          <w:u w:val="single"/>
          <w:lang w:val="sr-Latn-ME"/>
        </w:rPr>
      </w:pPr>
    </w:p>
    <w:p w14:paraId="56957EE9" w14:textId="366B23FE" w:rsidR="007F2C60" w:rsidRPr="007B69EC" w:rsidRDefault="007F2C60" w:rsidP="007F2C60">
      <w:pPr>
        <w:tabs>
          <w:tab w:val="left" w:pos="540"/>
          <w:tab w:val="left" w:pos="569"/>
        </w:tabs>
        <w:jc w:val="both"/>
        <w:rPr>
          <w:bCs/>
          <w:sz w:val="22"/>
          <w:szCs w:val="22"/>
          <w:lang w:val="sr-Latn-ME"/>
        </w:rPr>
      </w:pPr>
      <w:r w:rsidRPr="007B69EC">
        <w:rPr>
          <w:b/>
          <w:i/>
          <w:iCs/>
          <w:sz w:val="22"/>
          <w:szCs w:val="22"/>
          <w:lang w:val="sr-Latn-ME"/>
        </w:rPr>
        <w:t xml:space="preserve">Akutni nekomplikovani cistitis kod žena i adolescentkinja </w:t>
      </w:r>
      <w:r w:rsidR="00B76402" w:rsidRPr="007B69EC">
        <w:rPr>
          <w:b/>
          <w:i/>
          <w:iCs/>
          <w:sz w:val="22"/>
          <w:szCs w:val="22"/>
          <w:lang w:val="sr-Latn-ME"/>
        </w:rPr>
        <w:t xml:space="preserve">(&gt; </w:t>
      </w:r>
      <w:r w:rsidRPr="007B69EC">
        <w:rPr>
          <w:b/>
          <w:i/>
          <w:iCs/>
          <w:sz w:val="22"/>
          <w:szCs w:val="22"/>
          <w:lang w:val="sr-Latn-ME"/>
        </w:rPr>
        <w:t>12 godina</w:t>
      </w:r>
      <w:r w:rsidR="00B76402" w:rsidRPr="007B69EC">
        <w:rPr>
          <w:b/>
          <w:i/>
          <w:iCs/>
          <w:sz w:val="22"/>
          <w:szCs w:val="22"/>
          <w:lang w:val="sr-Latn-ME"/>
        </w:rPr>
        <w:t>)</w:t>
      </w:r>
      <w:r w:rsidRPr="007B69EC">
        <w:rPr>
          <w:bCs/>
          <w:sz w:val="22"/>
          <w:szCs w:val="22"/>
          <w:lang w:val="sr-Latn-ME"/>
        </w:rPr>
        <w:t>:</w:t>
      </w:r>
    </w:p>
    <w:p w14:paraId="403288FC" w14:textId="78EBC21B" w:rsidR="007F2C60" w:rsidRPr="007B69EC" w:rsidRDefault="007F2C60" w:rsidP="007F2C60">
      <w:pPr>
        <w:tabs>
          <w:tab w:val="left" w:pos="540"/>
          <w:tab w:val="left" w:pos="569"/>
        </w:tabs>
        <w:jc w:val="both"/>
        <w:rPr>
          <w:bCs/>
          <w:sz w:val="22"/>
          <w:szCs w:val="22"/>
          <w:lang w:val="sr-Latn-ME"/>
        </w:rPr>
      </w:pPr>
      <w:r w:rsidRPr="007B69EC">
        <w:rPr>
          <w:bCs/>
          <w:sz w:val="22"/>
          <w:szCs w:val="22"/>
          <w:lang w:val="sr-Latn-ME"/>
        </w:rPr>
        <w:t xml:space="preserve">3 g </w:t>
      </w:r>
      <w:r w:rsidR="00B76402" w:rsidRPr="007B69EC">
        <w:rPr>
          <w:bCs/>
          <w:sz w:val="22"/>
          <w:szCs w:val="22"/>
          <w:lang w:val="sr-Latn-ME"/>
        </w:rPr>
        <w:t>fosfomicina jednom.</w:t>
      </w:r>
    </w:p>
    <w:p w14:paraId="6DBE0B4E" w14:textId="77777777" w:rsidR="007F2C60" w:rsidRPr="007B69EC" w:rsidRDefault="007F2C60" w:rsidP="007F2C60">
      <w:pPr>
        <w:tabs>
          <w:tab w:val="left" w:pos="540"/>
          <w:tab w:val="left" w:pos="569"/>
        </w:tabs>
        <w:jc w:val="both"/>
        <w:rPr>
          <w:bCs/>
          <w:i/>
          <w:sz w:val="22"/>
          <w:szCs w:val="22"/>
          <w:lang w:val="sr-Latn-ME"/>
        </w:rPr>
      </w:pPr>
    </w:p>
    <w:p w14:paraId="1B95E5F3" w14:textId="6DA2AFFF" w:rsidR="00F20682" w:rsidRPr="007B69EC" w:rsidRDefault="00F20682" w:rsidP="007F2C60">
      <w:pPr>
        <w:tabs>
          <w:tab w:val="left" w:pos="540"/>
          <w:tab w:val="left" w:pos="569"/>
        </w:tabs>
        <w:jc w:val="both"/>
        <w:rPr>
          <w:b/>
          <w:i/>
          <w:sz w:val="22"/>
          <w:szCs w:val="22"/>
          <w:lang w:val="sr-Latn-ME"/>
        </w:rPr>
      </w:pPr>
      <w:r w:rsidRPr="007B69EC">
        <w:rPr>
          <w:b/>
          <w:i/>
          <w:sz w:val="22"/>
          <w:szCs w:val="22"/>
          <w:lang w:val="sr-Latn-ME"/>
        </w:rPr>
        <w:t xml:space="preserve">Perioperativna antibiotska profilaksa za transrektalnu biopsiju </w:t>
      </w:r>
      <w:r w:rsidR="00B76402" w:rsidRPr="007B69EC">
        <w:rPr>
          <w:b/>
          <w:i/>
          <w:sz w:val="22"/>
          <w:szCs w:val="22"/>
          <w:lang w:val="sr-Latn-ME"/>
        </w:rPr>
        <w:t>prostate</w:t>
      </w:r>
      <w:r w:rsidR="00FF5761" w:rsidRPr="007B69EC">
        <w:rPr>
          <w:b/>
          <w:i/>
          <w:sz w:val="22"/>
          <w:szCs w:val="22"/>
          <w:lang w:val="sr-Latn-ME"/>
        </w:rPr>
        <w:t>:</w:t>
      </w:r>
    </w:p>
    <w:p w14:paraId="45988C0B" w14:textId="781B8426" w:rsidR="007F2C60" w:rsidRPr="007B69EC" w:rsidRDefault="00B76402" w:rsidP="007F2C60">
      <w:pPr>
        <w:tabs>
          <w:tab w:val="left" w:pos="540"/>
          <w:tab w:val="left" w:pos="569"/>
        </w:tabs>
        <w:jc w:val="both"/>
        <w:rPr>
          <w:b/>
          <w:bCs/>
          <w:sz w:val="22"/>
          <w:szCs w:val="22"/>
          <w:lang w:val="sr-Latn-ME"/>
        </w:rPr>
      </w:pPr>
      <w:r w:rsidRPr="007B69EC">
        <w:rPr>
          <w:iCs/>
          <w:sz w:val="22"/>
          <w:szCs w:val="22"/>
          <w:lang w:val="sr-Latn-ME"/>
        </w:rPr>
        <w:t>3 g fosfomicina 3 sata prije intervencije i 3 g fosfomicina 24 h nakon intervencije.</w:t>
      </w:r>
    </w:p>
    <w:p w14:paraId="08414E6D" w14:textId="77777777" w:rsidR="007F2C60" w:rsidRPr="007B69EC" w:rsidRDefault="007F2C60" w:rsidP="007F2C60">
      <w:pPr>
        <w:tabs>
          <w:tab w:val="left" w:pos="540"/>
          <w:tab w:val="left" w:pos="569"/>
        </w:tabs>
        <w:jc w:val="both"/>
        <w:rPr>
          <w:bCs/>
          <w:sz w:val="22"/>
          <w:szCs w:val="22"/>
          <w:lang w:val="sr-Latn-ME"/>
        </w:rPr>
      </w:pPr>
    </w:p>
    <w:p w14:paraId="4C6A6990" w14:textId="77777777" w:rsidR="007F2C60" w:rsidRPr="007B69EC" w:rsidRDefault="007F2C60" w:rsidP="007F2C60">
      <w:pPr>
        <w:tabs>
          <w:tab w:val="left" w:pos="540"/>
          <w:tab w:val="left" w:pos="569"/>
        </w:tabs>
        <w:jc w:val="both"/>
        <w:rPr>
          <w:b/>
          <w:i/>
          <w:iCs/>
          <w:sz w:val="22"/>
          <w:szCs w:val="22"/>
          <w:lang w:val="sr-Latn-ME"/>
        </w:rPr>
      </w:pPr>
      <w:r w:rsidRPr="007B69EC">
        <w:rPr>
          <w:b/>
          <w:i/>
          <w:iCs/>
          <w:sz w:val="22"/>
          <w:szCs w:val="22"/>
          <w:lang w:val="sr-Latn-ME"/>
        </w:rPr>
        <w:t>Renalna insuficijencija</w:t>
      </w:r>
    </w:p>
    <w:p w14:paraId="29609B78" w14:textId="52A9AF26" w:rsidR="007F2C60" w:rsidRPr="007B69EC" w:rsidRDefault="007F2C60" w:rsidP="007F2C60">
      <w:pPr>
        <w:tabs>
          <w:tab w:val="left" w:pos="540"/>
          <w:tab w:val="left" w:pos="569"/>
        </w:tabs>
        <w:jc w:val="both"/>
        <w:rPr>
          <w:bCs/>
          <w:sz w:val="22"/>
          <w:szCs w:val="22"/>
          <w:lang w:val="sr-Latn-ME"/>
        </w:rPr>
      </w:pPr>
      <w:r w:rsidRPr="007B69EC">
        <w:rPr>
          <w:bCs/>
          <w:sz w:val="22"/>
          <w:szCs w:val="22"/>
          <w:lang w:val="sr-Latn-ME"/>
        </w:rPr>
        <w:t>Primjena lijeka Fostron se ne preporučuje kod pacijenata sa teškim oštećenjem funkcije bubrega (klirens kreatinina &lt; 10 m</w:t>
      </w:r>
      <w:r w:rsidR="00F20682" w:rsidRPr="007B69EC">
        <w:rPr>
          <w:bCs/>
          <w:sz w:val="22"/>
          <w:szCs w:val="22"/>
          <w:lang w:val="sr-Latn-ME"/>
        </w:rPr>
        <w:t>l</w:t>
      </w:r>
      <w:r w:rsidRPr="007B69EC">
        <w:rPr>
          <w:bCs/>
          <w:sz w:val="22"/>
          <w:szCs w:val="22"/>
          <w:lang w:val="sr-Latn-ME"/>
        </w:rPr>
        <w:t>/min, vidjeti dio 5.2).</w:t>
      </w:r>
    </w:p>
    <w:p w14:paraId="09B6C3C6" w14:textId="77777777" w:rsidR="00FF5761" w:rsidRPr="007B69EC" w:rsidRDefault="00FF5761" w:rsidP="007F2C60">
      <w:pPr>
        <w:tabs>
          <w:tab w:val="left" w:pos="540"/>
          <w:tab w:val="left" w:pos="569"/>
        </w:tabs>
        <w:jc w:val="both"/>
        <w:rPr>
          <w:bCs/>
          <w:sz w:val="22"/>
          <w:szCs w:val="22"/>
          <w:lang w:val="sr-Latn-ME"/>
        </w:rPr>
      </w:pPr>
    </w:p>
    <w:p w14:paraId="7CECCB5B" w14:textId="77777777" w:rsidR="007F2C60" w:rsidRPr="007B69EC" w:rsidRDefault="007F2C60" w:rsidP="007F2C60">
      <w:pPr>
        <w:tabs>
          <w:tab w:val="left" w:pos="540"/>
          <w:tab w:val="left" w:pos="569"/>
        </w:tabs>
        <w:jc w:val="both"/>
        <w:rPr>
          <w:b/>
          <w:i/>
          <w:iCs/>
          <w:sz w:val="22"/>
          <w:szCs w:val="22"/>
          <w:lang w:val="sr-Latn-ME"/>
        </w:rPr>
      </w:pPr>
      <w:r w:rsidRPr="007B69EC">
        <w:rPr>
          <w:b/>
          <w:i/>
          <w:iCs/>
          <w:sz w:val="22"/>
          <w:szCs w:val="22"/>
          <w:lang w:val="sr-Latn-ME"/>
        </w:rPr>
        <w:t>Pedijatrijska populacija</w:t>
      </w:r>
    </w:p>
    <w:p w14:paraId="49B0AB43" w14:textId="58D42E22" w:rsidR="007F2C60" w:rsidRPr="007B69EC" w:rsidRDefault="007F2C60" w:rsidP="007F2C60">
      <w:pPr>
        <w:tabs>
          <w:tab w:val="left" w:pos="540"/>
          <w:tab w:val="left" w:pos="569"/>
        </w:tabs>
        <w:jc w:val="both"/>
        <w:rPr>
          <w:bCs/>
          <w:sz w:val="22"/>
          <w:szCs w:val="22"/>
          <w:lang w:val="sr-Latn-ME"/>
        </w:rPr>
      </w:pPr>
      <w:r w:rsidRPr="007B69EC">
        <w:rPr>
          <w:bCs/>
          <w:sz w:val="22"/>
          <w:szCs w:val="22"/>
          <w:lang w:val="sr-Latn-ME"/>
        </w:rPr>
        <w:t>Bezbjednost i efikasnost lijeka Fostron kod djece mlađe od 12 godina ni</w:t>
      </w:r>
      <w:r w:rsidR="00F20682" w:rsidRPr="007B69EC">
        <w:rPr>
          <w:bCs/>
          <w:sz w:val="22"/>
          <w:szCs w:val="22"/>
          <w:lang w:val="sr-Latn-ME"/>
        </w:rPr>
        <w:t>je</w:t>
      </w:r>
      <w:r w:rsidRPr="007B69EC">
        <w:rPr>
          <w:bCs/>
          <w:sz w:val="22"/>
          <w:szCs w:val="22"/>
          <w:lang w:val="sr-Latn-ME"/>
        </w:rPr>
        <w:t>su utvrđene</w:t>
      </w:r>
      <w:r w:rsidR="00F20682" w:rsidRPr="007B69EC">
        <w:rPr>
          <w:bCs/>
          <w:sz w:val="22"/>
          <w:szCs w:val="22"/>
          <w:lang w:val="sr-Latn-ME"/>
        </w:rPr>
        <w:t>.</w:t>
      </w:r>
    </w:p>
    <w:p w14:paraId="747BD037" w14:textId="77777777" w:rsidR="00452E9D" w:rsidRPr="007B69EC" w:rsidRDefault="00452E9D" w:rsidP="00826224">
      <w:pPr>
        <w:tabs>
          <w:tab w:val="left" w:pos="540"/>
          <w:tab w:val="left" w:pos="569"/>
        </w:tabs>
        <w:jc w:val="both"/>
        <w:rPr>
          <w:bCs/>
          <w:sz w:val="22"/>
          <w:szCs w:val="22"/>
          <w:u w:val="single"/>
          <w:lang w:val="sr-Latn-ME"/>
        </w:rPr>
      </w:pPr>
    </w:p>
    <w:p w14:paraId="0B4CE747" w14:textId="52B11CB2" w:rsidR="00600FFE" w:rsidRPr="007B69EC" w:rsidRDefault="00452E9D" w:rsidP="00480FB1">
      <w:pPr>
        <w:tabs>
          <w:tab w:val="left" w:pos="540"/>
          <w:tab w:val="left" w:pos="569"/>
        </w:tabs>
        <w:rPr>
          <w:bCs/>
          <w:sz w:val="22"/>
          <w:szCs w:val="22"/>
          <w:u w:val="single"/>
          <w:lang w:val="sr-Latn-ME"/>
        </w:rPr>
      </w:pPr>
      <w:r w:rsidRPr="007B69EC">
        <w:rPr>
          <w:bCs/>
          <w:sz w:val="22"/>
          <w:szCs w:val="22"/>
          <w:u w:val="single"/>
          <w:lang w:val="sr-Latn-ME"/>
        </w:rPr>
        <w:t>Način primjene</w:t>
      </w:r>
    </w:p>
    <w:p w14:paraId="387AF760" w14:textId="77777777" w:rsidR="00600FFE" w:rsidRPr="007B69EC" w:rsidRDefault="00600FFE" w:rsidP="00600FFE">
      <w:pPr>
        <w:tabs>
          <w:tab w:val="left" w:pos="540"/>
          <w:tab w:val="left" w:pos="569"/>
        </w:tabs>
        <w:jc w:val="both"/>
        <w:rPr>
          <w:bCs/>
          <w:sz w:val="22"/>
          <w:szCs w:val="22"/>
          <w:lang w:val="sr-Latn-ME"/>
        </w:rPr>
      </w:pPr>
      <w:r w:rsidRPr="007B69EC">
        <w:rPr>
          <w:bCs/>
          <w:sz w:val="22"/>
          <w:szCs w:val="22"/>
          <w:lang w:val="sr-Latn-ME"/>
        </w:rPr>
        <w:t>Lijek je namjenjen za oralnu primjenu.</w:t>
      </w:r>
    </w:p>
    <w:p w14:paraId="0220B672" w14:textId="77777777" w:rsidR="00600FFE" w:rsidRPr="007B69EC" w:rsidRDefault="00600FFE" w:rsidP="00600FFE">
      <w:pPr>
        <w:tabs>
          <w:tab w:val="left" w:pos="540"/>
          <w:tab w:val="left" w:pos="569"/>
        </w:tabs>
        <w:jc w:val="both"/>
        <w:rPr>
          <w:bCs/>
          <w:sz w:val="22"/>
          <w:szCs w:val="22"/>
          <w:lang w:val="sr-Latn-ME"/>
        </w:rPr>
      </w:pPr>
    </w:p>
    <w:p w14:paraId="6070FB3C" w14:textId="6FA6B4F9" w:rsidR="00600FFE" w:rsidRPr="007B69EC" w:rsidRDefault="00600FFE" w:rsidP="00600FFE">
      <w:pPr>
        <w:tabs>
          <w:tab w:val="left" w:pos="540"/>
          <w:tab w:val="left" w:pos="569"/>
        </w:tabs>
        <w:jc w:val="both"/>
        <w:rPr>
          <w:bCs/>
          <w:sz w:val="22"/>
          <w:szCs w:val="22"/>
          <w:lang w:val="sr-Latn-ME"/>
        </w:rPr>
      </w:pPr>
      <w:r w:rsidRPr="007B69EC">
        <w:rPr>
          <w:bCs/>
          <w:sz w:val="22"/>
          <w:szCs w:val="22"/>
          <w:lang w:val="sr-Latn-ME"/>
        </w:rPr>
        <w:lastRenderedPageBreak/>
        <w:t xml:space="preserve">Za indikaciju akutnog nekomplikovanog cistitisa kod žena i adolescentkinja, </w:t>
      </w:r>
      <w:r w:rsidR="00F20682" w:rsidRPr="007B69EC">
        <w:rPr>
          <w:bCs/>
          <w:sz w:val="22"/>
          <w:szCs w:val="22"/>
          <w:lang w:val="sr-Latn-ME"/>
        </w:rPr>
        <w:t xml:space="preserve">lijek </w:t>
      </w:r>
      <w:r w:rsidRPr="007B69EC">
        <w:rPr>
          <w:bCs/>
          <w:sz w:val="22"/>
          <w:szCs w:val="22"/>
          <w:lang w:val="sr-Latn-ME"/>
        </w:rPr>
        <w:t>Fostron se uzima na prazan želudac (2 do 3 sata prije ili 2 do 3 sata nakon obroka), a najbolje naveče, pred spavanje, nakon pražnjenja bešike.</w:t>
      </w:r>
    </w:p>
    <w:p w14:paraId="01B2988D" w14:textId="6979AC44" w:rsidR="00F20682" w:rsidRPr="007B69EC" w:rsidRDefault="00F20682" w:rsidP="00600FFE">
      <w:pPr>
        <w:tabs>
          <w:tab w:val="left" w:pos="540"/>
          <w:tab w:val="left" w:pos="569"/>
        </w:tabs>
        <w:jc w:val="both"/>
        <w:rPr>
          <w:bCs/>
          <w:sz w:val="22"/>
          <w:szCs w:val="22"/>
          <w:lang w:val="sr-Latn-ME"/>
        </w:rPr>
      </w:pPr>
    </w:p>
    <w:p w14:paraId="69631312" w14:textId="7BD2979F" w:rsidR="00600FFE" w:rsidRPr="007B69EC" w:rsidRDefault="00600FFE" w:rsidP="00600FFE">
      <w:pPr>
        <w:tabs>
          <w:tab w:val="left" w:pos="540"/>
          <w:tab w:val="left" w:pos="569"/>
        </w:tabs>
        <w:jc w:val="both"/>
        <w:rPr>
          <w:bCs/>
          <w:sz w:val="22"/>
          <w:szCs w:val="22"/>
          <w:lang w:val="sr-Latn-ME"/>
        </w:rPr>
      </w:pPr>
      <w:r w:rsidRPr="007B69EC">
        <w:rPr>
          <w:bCs/>
          <w:sz w:val="22"/>
          <w:szCs w:val="22"/>
          <w:lang w:val="sr-Latn-ME"/>
        </w:rPr>
        <w:t xml:space="preserve">Sadržaj jedne kesice rastvoriti u čaši vode, miješati dok se ne rastvori i odmah popiti. </w:t>
      </w:r>
    </w:p>
    <w:p w14:paraId="5538B80B" w14:textId="34F99536" w:rsidR="00FF5761" w:rsidRPr="007B69EC" w:rsidRDefault="00FF5761" w:rsidP="00600FFE">
      <w:pPr>
        <w:tabs>
          <w:tab w:val="left" w:pos="540"/>
          <w:tab w:val="left" w:pos="569"/>
        </w:tabs>
        <w:jc w:val="both"/>
        <w:rPr>
          <w:bCs/>
          <w:sz w:val="22"/>
          <w:szCs w:val="22"/>
          <w:lang w:val="sr-Latn-ME"/>
        </w:rPr>
      </w:pPr>
      <w:r w:rsidRPr="007B69EC">
        <w:rPr>
          <w:bCs/>
          <w:sz w:val="22"/>
          <w:szCs w:val="22"/>
          <w:lang w:val="sr-Latn-ME"/>
        </w:rPr>
        <w:t>Rekonstituisani rastvor je blago bjeličasto zamućen rastvor sa voćnim ukusom (pomorandža - mandarina).</w:t>
      </w:r>
    </w:p>
    <w:p w14:paraId="277DAA8C" w14:textId="77777777" w:rsidR="00452E9D" w:rsidRPr="007B69EC" w:rsidRDefault="00452E9D" w:rsidP="00480FB1">
      <w:pPr>
        <w:tabs>
          <w:tab w:val="left" w:pos="540"/>
          <w:tab w:val="left" w:pos="569"/>
        </w:tabs>
        <w:rPr>
          <w:bCs/>
          <w:sz w:val="22"/>
          <w:szCs w:val="22"/>
          <w:lang w:val="sr-Latn-ME"/>
        </w:rPr>
      </w:pPr>
    </w:p>
    <w:p w14:paraId="1B047BA7" w14:textId="77777777" w:rsidR="00411B4B" w:rsidRPr="007B69EC" w:rsidRDefault="00411B4B" w:rsidP="00480FB1">
      <w:pPr>
        <w:tabs>
          <w:tab w:val="left" w:pos="540"/>
          <w:tab w:val="left" w:pos="569"/>
        </w:tabs>
        <w:rPr>
          <w:b/>
          <w:bCs/>
          <w:sz w:val="22"/>
          <w:szCs w:val="22"/>
          <w:lang w:val="sr-Latn-ME"/>
        </w:rPr>
      </w:pPr>
      <w:r w:rsidRPr="007B69EC">
        <w:rPr>
          <w:b/>
          <w:bCs/>
          <w:sz w:val="22"/>
          <w:szCs w:val="22"/>
          <w:lang w:val="sr-Latn-ME"/>
        </w:rPr>
        <w:t xml:space="preserve">4.3. </w:t>
      </w:r>
      <w:r w:rsidR="00480FB1" w:rsidRPr="007B69EC">
        <w:rPr>
          <w:b/>
          <w:bCs/>
          <w:sz w:val="22"/>
          <w:szCs w:val="22"/>
          <w:lang w:val="sr-Latn-ME"/>
        </w:rPr>
        <w:tab/>
      </w:r>
      <w:r w:rsidRPr="007B69EC">
        <w:rPr>
          <w:b/>
          <w:bCs/>
          <w:sz w:val="22"/>
          <w:szCs w:val="22"/>
          <w:lang w:val="sr-Latn-ME"/>
        </w:rPr>
        <w:t>Kontraindikacije</w:t>
      </w:r>
    </w:p>
    <w:p w14:paraId="6C69B4A7" w14:textId="77777777" w:rsidR="00600FFE" w:rsidRPr="007B69EC" w:rsidRDefault="00600FFE" w:rsidP="00480FB1">
      <w:pPr>
        <w:tabs>
          <w:tab w:val="left" w:pos="540"/>
          <w:tab w:val="left" w:pos="569"/>
        </w:tabs>
        <w:rPr>
          <w:b/>
          <w:bCs/>
          <w:sz w:val="22"/>
          <w:szCs w:val="22"/>
          <w:lang w:val="sr-Latn-ME"/>
        </w:rPr>
      </w:pPr>
    </w:p>
    <w:p w14:paraId="11602337" w14:textId="4987A216" w:rsidR="00600FFE" w:rsidRPr="007B69EC" w:rsidRDefault="00600FFE" w:rsidP="00600FFE">
      <w:pPr>
        <w:tabs>
          <w:tab w:val="left" w:pos="540"/>
          <w:tab w:val="left" w:pos="569"/>
        </w:tabs>
        <w:jc w:val="both"/>
        <w:rPr>
          <w:sz w:val="22"/>
          <w:szCs w:val="22"/>
          <w:lang w:val="sr-Latn-ME"/>
        </w:rPr>
      </w:pPr>
      <w:r w:rsidRPr="007B69EC">
        <w:rPr>
          <w:sz w:val="22"/>
          <w:szCs w:val="22"/>
          <w:lang w:val="sr-Latn-ME"/>
        </w:rPr>
        <w:t>Preosjetljivost na aktivnu supstancu ili na bilo koju od pomoćnih supstanci navedenih u dijelu 6.1.</w:t>
      </w:r>
    </w:p>
    <w:p w14:paraId="16087164" w14:textId="77777777" w:rsidR="0072020E" w:rsidRPr="007B69EC" w:rsidRDefault="0072020E" w:rsidP="00480FB1">
      <w:pPr>
        <w:tabs>
          <w:tab w:val="left" w:pos="540"/>
          <w:tab w:val="left" w:pos="569"/>
        </w:tabs>
        <w:rPr>
          <w:bCs/>
          <w:sz w:val="22"/>
          <w:szCs w:val="22"/>
          <w:lang w:val="sr-Latn-ME"/>
        </w:rPr>
      </w:pPr>
    </w:p>
    <w:p w14:paraId="5CF2B3E3" w14:textId="77777777" w:rsidR="00411B4B" w:rsidRPr="007B69EC" w:rsidRDefault="00411B4B" w:rsidP="00480FB1">
      <w:pPr>
        <w:tabs>
          <w:tab w:val="left" w:pos="540"/>
          <w:tab w:val="left" w:pos="569"/>
        </w:tabs>
        <w:rPr>
          <w:b/>
          <w:bCs/>
          <w:sz w:val="22"/>
          <w:szCs w:val="22"/>
          <w:lang w:val="sr-Latn-ME"/>
        </w:rPr>
      </w:pPr>
      <w:r w:rsidRPr="007B69EC">
        <w:rPr>
          <w:b/>
          <w:bCs/>
          <w:sz w:val="22"/>
          <w:szCs w:val="22"/>
          <w:lang w:val="sr-Latn-ME"/>
        </w:rPr>
        <w:t xml:space="preserve">4.4. </w:t>
      </w:r>
      <w:r w:rsidR="00480FB1" w:rsidRPr="007B69EC">
        <w:rPr>
          <w:b/>
          <w:bCs/>
          <w:sz w:val="22"/>
          <w:szCs w:val="22"/>
          <w:lang w:val="sr-Latn-ME"/>
        </w:rPr>
        <w:tab/>
      </w:r>
      <w:r w:rsidRPr="007B69EC">
        <w:rPr>
          <w:b/>
          <w:bCs/>
          <w:sz w:val="22"/>
          <w:szCs w:val="22"/>
          <w:lang w:val="sr-Latn-ME"/>
        </w:rPr>
        <w:t>Posebna upozorenja i mjere opreza pri upotrebi lijeka</w:t>
      </w:r>
    </w:p>
    <w:p w14:paraId="25E2673A" w14:textId="77777777" w:rsidR="00600FFE" w:rsidRPr="007B69EC" w:rsidRDefault="00600FFE" w:rsidP="00600FFE">
      <w:pPr>
        <w:tabs>
          <w:tab w:val="left" w:pos="540"/>
          <w:tab w:val="left" w:pos="569"/>
        </w:tabs>
        <w:jc w:val="both"/>
        <w:rPr>
          <w:sz w:val="22"/>
          <w:szCs w:val="22"/>
          <w:lang w:val="sr-Latn-ME"/>
        </w:rPr>
      </w:pPr>
    </w:p>
    <w:p w14:paraId="5DA74799" w14:textId="3E331434" w:rsidR="00600FFE" w:rsidRPr="007B69EC" w:rsidRDefault="00600FFE" w:rsidP="00600FFE">
      <w:pPr>
        <w:tabs>
          <w:tab w:val="left" w:pos="540"/>
          <w:tab w:val="left" w:pos="569"/>
        </w:tabs>
        <w:jc w:val="both"/>
        <w:rPr>
          <w:sz w:val="22"/>
          <w:szCs w:val="22"/>
          <w:u w:val="single"/>
          <w:lang w:val="sr-Latn-ME"/>
        </w:rPr>
      </w:pPr>
      <w:r w:rsidRPr="007B69EC">
        <w:rPr>
          <w:sz w:val="22"/>
          <w:szCs w:val="22"/>
          <w:u w:val="single"/>
          <w:lang w:val="sr-Latn-ME"/>
        </w:rPr>
        <w:t xml:space="preserve">Reakcije preosjetljivosti </w:t>
      </w:r>
    </w:p>
    <w:p w14:paraId="78E22AFC" w14:textId="77777777" w:rsidR="00600FFE" w:rsidRPr="007B69EC" w:rsidRDefault="00600FFE" w:rsidP="00600FFE">
      <w:pPr>
        <w:tabs>
          <w:tab w:val="left" w:pos="540"/>
          <w:tab w:val="left" w:pos="569"/>
        </w:tabs>
        <w:jc w:val="both"/>
        <w:rPr>
          <w:sz w:val="22"/>
          <w:szCs w:val="22"/>
          <w:u w:val="single"/>
          <w:lang w:val="sr-Latn-ME"/>
        </w:rPr>
      </w:pPr>
    </w:p>
    <w:p w14:paraId="7572B39D" w14:textId="4E02B717" w:rsidR="00600FFE" w:rsidRPr="007B69EC" w:rsidRDefault="00600FFE" w:rsidP="00600FFE">
      <w:pPr>
        <w:tabs>
          <w:tab w:val="left" w:pos="540"/>
          <w:tab w:val="left" w:pos="569"/>
        </w:tabs>
        <w:jc w:val="both"/>
        <w:rPr>
          <w:sz w:val="22"/>
          <w:szCs w:val="22"/>
          <w:lang w:val="sr-Latn-ME"/>
        </w:rPr>
      </w:pPr>
      <w:r w:rsidRPr="007B69EC">
        <w:rPr>
          <w:sz w:val="22"/>
          <w:szCs w:val="22"/>
          <w:lang w:val="sr-Latn-ME"/>
        </w:rPr>
        <w:t>Ozbiljne, a ponekad i fatalne reakcije preosjetljivosti, uključujući anafilaksu i anafilaktički šok, mogu se javiti t</w:t>
      </w:r>
      <w:r w:rsidR="00FF5761" w:rsidRPr="007B69EC">
        <w:rPr>
          <w:sz w:val="22"/>
          <w:szCs w:val="22"/>
          <w:lang w:val="sr-Latn-ME"/>
        </w:rPr>
        <w:t>o</w:t>
      </w:r>
      <w:r w:rsidRPr="007B69EC">
        <w:rPr>
          <w:sz w:val="22"/>
          <w:szCs w:val="22"/>
          <w:lang w:val="sr-Latn-ME"/>
        </w:rPr>
        <w:t xml:space="preserve">kom liječenja fosfomicinom (vidjeti djelove 4.3 i 4.8). Ako se takve reakcije pojave, liječenje fosfomicinom se mora odmah prekinuti i započeti odgovarajuće hitne mjere liječenja. </w:t>
      </w:r>
    </w:p>
    <w:p w14:paraId="3AEB4D7C" w14:textId="77777777" w:rsidR="00600FFE" w:rsidRPr="007B69EC" w:rsidRDefault="00600FFE" w:rsidP="00600FFE">
      <w:pPr>
        <w:tabs>
          <w:tab w:val="left" w:pos="540"/>
          <w:tab w:val="left" w:pos="569"/>
        </w:tabs>
        <w:jc w:val="both"/>
        <w:rPr>
          <w:sz w:val="22"/>
          <w:szCs w:val="22"/>
          <w:lang w:val="sr-Latn-ME"/>
        </w:rPr>
      </w:pPr>
    </w:p>
    <w:p w14:paraId="4C61719D" w14:textId="77777777" w:rsidR="00600FFE" w:rsidRPr="007B69EC" w:rsidRDefault="00600FFE" w:rsidP="00600FFE">
      <w:pPr>
        <w:tabs>
          <w:tab w:val="left" w:pos="540"/>
          <w:tab w:val="left" w:pos="569"/>
        </w:tabs>
        <w:jc w:val="both"/>
        <w:rPr>
          <w:sz w:val="22"/>
          <w:szCs w:val="22"/>
          <w:u w:val="single"/>
          <w:lang w:val="sr-Latn-ME"/>
        </w:rPr>
      </w:pPr>
      <w:r w:rsidRPr="007B69EC">
        <w:rPr>
          <w:sz w:val="22"/>
          <w:szCs w:val="22"/>
          <w:u w:val="single"/>
          <w:lang w:val="sr-Latn-ME"/>
        </w:rPr>
        <w:t xml:space="preserve">Dijareja povezana sa </w:t>
      </w:r>
      <w:r w:rsidRPr="007B69EC">
        <w:rPr>
          <w:i/>
          <w:iCs/>
          <w:sz w:val="22"/>
          <w:szCs w:val="22"/>
          <w:u w:val="single"/>
          <w:lang w:val="sr-Latn-ME"/>
        </w:rPr>
        <w:t>Clostridioides difficile</w:t>
      </w:r>
    </w:p>
    <w:p w14:paraId="0CE82841" w14:textId="77777777" w:rsidR="00600FFE" w:rsidRPr="007B69EC" w:rsidRDefault="00600FFE" w:rsidP="00600FFE">
      <w:pPr>
        <w:tabs>
          <w:tab w:val="left" w:pos="540"/>
          <w:tab w:val="left" w:pos="569"/>
        </w:tabs>
        <w:jc w:val="both"/>
        <w:rPr>
          <w:sz w:val="22"/>
          <w:szCs w:val="22"/>
          <w:lang w:val="sr-Latn-ME"/>
        </w:rPr>
      </w:pPr>
    </w:p>
    <w:p w14:paraId="68DB27C9" w14:textId="5936CEC3" w:rsidR="00600FFE" w:rsidRPr="007B69EC" w:rsidRDefault="00600FFE" w:rsidP="00600FFE">
      <w:pPr>
        <w:tabs>
          <w:tab w:val="left" w:pos="540"/>
          <w:tab w:val="left" w:pos="569"/>
        </w:tabs>
        <w:jc w:val="both"/>
        <w:rPr>
          <w:sz w:val="22"/>
          <w:szCs w:val="22"/>
          <w:u w:val="single"/>
          <w:lang w:val="sr-Latn-ME"/>
        </w:rPr>
      </w:pPr>
      <w:r w:rsidRPr="007B69EC">
        <w:rPr>
          <w:sz w:val="22"/>
          <w:szCs w:val="22"/>
          <w:lang w:val="sr-Latn-ME"/>
        </w:rPr>
        <w:t xml:space="preserve">Kolitis i pseudomembranozni kolitis povezani sa </w:t>
      </w:r>
      <w:r w:rsidRPr="007B69EC">
        <w:rPr>
          <w:i/>
          <w:sz w:val="22"/>
          <w:szCs w:val="22"/>
          <w:lang w:val="sr-Latn-ME"/>
        </w:rPr>
        <w:t>Clostridioides difficile</w:t>
      </w:r>
      <w:r w:rsidRPr="007B69EC">
        <w:rPr>
          <w:sz w:val="22"/>
          <w:szCs w:val="22"/>
          <w:lang w:val="sr-Latn-ME"/>
        </w:rPr>
        <w:t xml:space="preserve"> prijavljeni su pri liječenju fosfomicinom i mogu biti u rasponu težine od blagog do opasnog po život (vidjeti dio 4.8). Stoga je važno razmotriti ovu dijagnozu kod pacijenata koji imaju dijareju tokom ili nakon primjene fosfomicina. Treba razmotriti prekid terapije fosfomicinom i primjenu specifičnog liječenja </w:t>
      </w:r>
      <w:r w:rsidRPr="007B69EC">
        <w:rPr>
          <w:i/>
          <w:sz w:val="22"/>
          <w:szCs w:val="22"/>
          <w:lang w:val="sr-Latn-ME"/>
        </w:rPr>
        <w:t>Clostridioides difficile</w:t>
      </w:r>
      <w:r w:rsidRPr="007B69EC">
        <w:rPr>
          <w:sz w:val="22"/>
          <w:szCs w:val="22"/>
          <w:lang w:val="sr-Latn-ME"/>
        </w:rPr>
        <w:t xml:space="preserve">. Ne smiju se davati ljekovi koji inhibiraju peristaltiku. </w:t>
      </w:r>
    </w:p>
    <w:p w14:paraId="183F0981" w14:textId="77777777" w:rsidR="00600FFE" w:rsidRPr="007B69EC" w:rsidRDefault="00600FFE" w:rsidP="00480FB1">
      <w:pPr>
        <w:tabs>
          <w:tab w:val="left" w:pos="540"/>
          <w:tab w:val="left" w:pos="569"/>
        </w:tabs>
        <w:rPr>
          <w:sz w:val="22"/>
          <w:szCs w:val="22"/>
          <w:u w:val="single"/>
          <w:lang w:val="sr-Latn-ME"/>
        </w:rPr>
      </w:pPr>
    </w:p>
    <w:p w14:paraId="26C5A7A1" w14:textId="3A9243C7" w:rsidR="00057E35" w:rsidRPr="007B69EC" w:rsidRDefault="00057E35" w:rsidP="00600FFE">
      <w:pPr>
        <w:tabs>
          <w:tab w:val="left" w:pos="540"/>
          <w:tab w:val="left" w:pos="569"/>
        </w:tabs>
        <w:jc w:val="both"/>
        <w:rPr>
          <w:sz w:val="22"/>
          <w:szCs w:val="22"/>
          <w:u w:val="single"/>
          <w:lang w:val="sr-Latn-ME"/>
        </w:rPr>
      </w:pPr>
      <w:r w:rsidRPr="007B69EC">
        <w:rPr>
          <w:sz w:val="22"/>
          <w:szCs w:val="22"/>
          <w:u w:val="single"/>
          <w:lang w:val="sr-Latn-ME"/>
        </w:rPr>
        <w:t>Pedijatrijska populacija</w:t>
      </w:r>
    </w:p>
    <w:p w14:paraId="487A891D" w14:textId="77777777" w:rsidR="00600FFE" w:rsidRPr="007B69EC" w:rsidRDefault="00600FFE" w:rsidP="00600FFE">
      <w:pPr>
        <w:tabs>
          <w:tab w:val="left" w:pos="540"/>
          <w:tab w:val="left" w:pos="569"/>
        </w:tabs>
        <w:jc w:val="both"/>
        <w:rPr>
          <w:sz w:val="22"/>
          <w:szCs w:val="22"/>
          <w:u w:val="single"/>
          <w:lang w:val="sr-Latn-ME"/>
        </w:rPr>
      </w:pPr>
    </w:p>
    <w:p w14:paraId="23586ABE" w14:textId="45DB783F" w:rsidR="00600FFE" w:rsidRPr="007B69EC" w:rsidRDefault="00600FFE" w:rsidP="00600FFE">
      <w:pPr>
        <w:tabs>
          <w:tab w:val="left" w:pos="540"/>
          <w:tab w:val="left" w:pos="569"/>
        </w:tabs>
        <w:jc w:val="both"/>
        <w:rPr>
          <w:sz w:val="22"/>
          <w:szCs w:val="22"/>
          <w:lang w:val="sr-Latn-ME"/>
        </w:rPr>
      </w:pPr>
      <w:r w:rsidRPr="007B69EC">
        <w:rPr>
          <w:sz w:val="22"/>
          <w:szCs w:val="22"/>
          <w:lang w:val="sr-Latn-ME"/>
        </w:rPr>
        <w:t>Bezb</w:t>
      </w:r>
      <w:r w:rsidR="00F20682" w:rsidRPr="007B69EC">
        <w:rPr>
          <w:sz w:val="22"/>
          <w:szCs w:val="22"/>
          <w:lang w:val="sr-Latn-ME"/>
        </w:rPr>
        <w:t>j</w:t>
      </w:r>
      <w:r w:rsidRPr="007B69EC">
        <w:rPr>
          <w:sz w:val="22"/>
          <w:szCs w:val="22"/>
          <w:lang w:val="sr-Latn-ME"/>
        </w:rPr>
        <w:t>ednost i efikasnost lijeka Fostron kod djece mlađe od 12 godina ni</w:t>
      </w:r>
      <w:r w:rsidR="00F20682" w:rsidRPr="007B69EC">
        <w:rPr>
          <w:sz w:val="22"/>
          <w:szCs w:val="22"/>
          <w:lang w:val="sr-Latn-ME"/>
        </w:rPr>
        <w:t>je</w:t>
      </w:r>
      <w:r w:rsidRPr="007B69EC">
        <w:rPr>
          <w:sz w:val="22"/>
          <w:szCs w:val="22"/>
          <w:lang w:val="sr-Latn-ME"/>
        </w:rPr>
        <w:t>su utvrđene. Zbog toga se ovaj lijek ne smije primjenjivati u ovoj starosnoj grupi (vidjeti dio 4.2).</w:t>
      </w:r>
    </w:p>
    <w:p w14:paraId="0FFD51F6" w14:textId="77777777" w:rsidR="00600FFE" w:rsidRPr="007B69EC" w:rsidRDefault="00600FFE" w:rsidP="00600FFE">
      <w:pPr>
        <w:tabs>
          <w:tab w:val="left" w:pos="540"/>
          <w:tab w:val="left" w:pos="569"/>
        </w:tabs>
        <w:jc w:val="both"/>
        <w:rPr>
          <w:sz w:val="22"/>
          <w:szCs w:val="22"/>
          <w:lang w:val="sr-Latn-ME"/>
        </w:rPr>
      </w:pPr>
    </w:p>
    <w:p w14:paraId="1203BFD0" w14:textId="073BA647" w:rsidR="00600FFE" w:rsidRPr="007B69EC" w:rsidRDefault="00600FFE" w:rsidP="00600FFE">
      <w:pPr>
        <w:tabs>
          <w:tab w:val="left" w:pos="540"/>
          <w:tab w:val="left" w:pos="569"/>
        </w:tabs>
        <w:jc w:val="both"/>
        <w:rPr>
          <w:sz w:val="22"/>
          <w:szCs w:val="22"/>
          <w:u w:val="single"/>
          <w:lang w:val="sr-Latn-ME"/>
        </w:rPr>
      </w:pPr>
      <w:r w:rsidRPr="007B69EC">
        <w:rPr>
          <w:sz w:val="22"/>
          <w:szCs w:val="22"/>
          <w:u w:val="single"/>
          <w:lang w:val="sr-Latn-ME"/>
        </w:rPr>
        <w:t xml:space="preserve">Perzistentne infekcije i pacijenti muškog pola </w:t>
      </w:r>
    </w:p>
    <w:p w14:paraId="7D34FED6" w14:textId="77777777" w:rsidR="00600FFE" w:rsidRPr="007B69EC" w:rsidRDefault="00600FFE" w:rsidP="00600FFE">
      <w:pPr>
        <w:tabs>
          <w:tab w:val="left" w:pos="540"/>
          <w:tab w:val="left" w:pos="569"/>
        </w:tabs>
        <w:jc w:val="both"/>
        <w:rPr>
          <w:sz w:val="22"/>
          <w:szCs w:val="22"/>
          <w:u w:val="single"/>
          <w:lang w:val="sr-Latn-ME"/>
        </w:rPr>
      </w:pPr>
    </w:p>
    <w:p w14:paraId="34E2384C" w14:textId="043DF9F3" w:rsidR="00600FFE" w:rsidRPr="007B69EC" w:rsidRDefault="00600FFE" w:rsidP="00600FFE">
      <w:pPr>
        <w:tabs>
          <w:tab w:val="left" w:pos="540"/>
          <w:tab w:val="left" w:pos="569"/>
        </w:tabs>
        <w:jc w:val="both"/>
        <w:rPr>
          <w:sz w:val="22"/>
          <w:szCs w:val="22"/>
          <w:lang w:val="sr-Latn-ME"/>
        </w:rPr>
      </w:pPr>
      <w:r w:rsidRPr="007B69EC">
        <w:rPr>
          <w:sz w:val="22"/>
          <w:szCs w:val="22"/>
          <w:lang w:val="sr-Latn-ME"/>
        </w:rPr>
        <w:t xml:space="preserve">U slučaju perzistentnih infekcija, preporučuje se detaljan pregled i ponovna procjena dijagnoze, jer su često uzrokovane komplikovanim infekcijama urinarnog trakta ili prevalencijom rezistentnih patogena (npr. </w:t>
      </w:r>
      <w:r w:rsidRPr="007B69EC">
        <w:rPr>
          <w:i/>
          <w:sz w:val="22"/>
          <w:szCs w:val="22"/>
          <w:lang w:val="sr-Latn-ME"/>
        </w:rPr>
        <w:t>Staphylococcus saprophyticus</w:t>
      </w:r>
      <w:r w:rsidRPr="007B69EC">
        <w:rPr>
          <w:sz w:val="22"/>
          <w:szCs w:val="22"/>
          <w:lang w:val="sr-Latn-ME"/>
        </w:rPr>
        <w:t xml:space="preserve">, vidjeti dio 5.1). Uopšteno, infekcije mokraćnih puteva kod muških pacijenata treba smatrati komplikovanim infekcijama urinarnog trakta za koje ovaj lijek nije indikovan (vidjeti dio 4.1). </w:t>
      </w:r>
    </w:p>
    <w:p w14:paraId="24C3D128" w14:textId="77777777" w:rsidR="00600FFE" w:rsidRPr="007B69EC" w:rsidRDefault="00600FFE" w:rsidP="00600FFE">
      <w:pPr>
        <w:tabs>
          <w:tab w:val="left" w:pos="540"/>
          <w:tab w:val="left" w:pos="569"/>
        </w:tabs>
        <w:jc w:val="both"/>
        <w:rPr>
          <w:sz w:val="22"/>
          <w:szCs w:val="22"/>
          <w:lang w:val="sr-Latn-ME"/>
        </w:rPr>
      </w:pPr>
    </w:p>
    <w:p w14:paraId="65969C1D" w14:textId="77777777" w:rsidR="00600FFE" w:rsidRPr="007B69EC" w:rsidRDefault="00600FFE" w:rsidP="00600FFE">
      <w:pPr>
        <w:tabs>
          <w:tab w:val="left" w:pos="540"/>
          <w:tab w:val="left" w:pos="569"/>
        </w:tabs>
        <w:jc w:val="both"/>
        <w:rPr>
          <w:sz w:val="22"/>
          <w:szCs w:val="22"/>
          <w:u w:val="single"/>
          <w:lang w:val="sr-Latn-ME"/>
        </w:rPr>
      </w:pPr>
      <w:r w:rsidRPr="007B69EC">
        <w:rPr>
          <w:sz w:val="22"/>
          <w:szCs w:val="22"/>
          <w:u w:val="single"/>
          <w:lang w:val="sr-Latn-ME"/>
        </w:rPr>
        <w:t>Važne informacije o nekim sastojcima lijeka</w:t>
      </w:r>
    </w:p>
    <w:p w14:paraId="61262550" w14:textId="77777777" w:rsidR="00600FFE" w:rsidRPr="007B69EC" w:rsidRDefault="00600FFE" w:rsidP="00600FFE">
      <w:pPr>
        <w:tabs>
          <w:tab w:val="left" w:pos="540"/>
          <w:tab w:val="left" w:pos="569"/>
        </w:tabs>
        <w:jc w:val="both"/>
        <w:rPr>
          <w:sz w:val="22"/>
          <w:szCs w:val="22"/>
          <w:lang w:val="sr-Latn-ME"/>
        </w:rPr>
      </w:pPr>
    </w:p>
    <w:p w14:paraId="5DF002F0" w14:textId="77777777" w:rsidR="00600FFE" w:rsidRPr="007B69EC" w:rsidRDefault="00600FFE" w:rsidP="00600FFE">
      <w:pPr>
        <w:tabs>
          <w:tab w:val="left" w:pos="540"/>
          <w:tab w:val="left" w:pos="569"/>
        </w:tabs>
        <w:jc w:val="both"/>
        <w:rPr>
          <w:sz w:val="22"/>
          <w:szCs w:val="22"/>
          <w:lang w:val="sr-Latn-ME"/>
        </w:rPr>
      </w:pPr>
      <w:r w:rsidRPr="007B69EC">
        <w:rPr>
          <w:sz w:val="22"/>
          <w:szCs w:val="22"/>
          <w:lang w:val="sr-Latn-ME"/>
        </w:rPr>
        <w:t>Lijek Fostron sadrži saharozu. Pacijenti s rijetkim naslijednim oboljenjem intolerancije na fruktozu, malapsorpcijom glukoze-galaktoze ili nedostatkom saharoze-izomaltaze ne smiju koristiti ovaj lijek.</w:t>
      </w:r>
    </w:p>
    <w:p w14:paraId="1252245F" w14:textId="68BE62D7" w:rsidR="00600FFE" w:rsidRPr="007B69EC" w:rsidRDefault="00600FFE" w:rsidP="00600FFE">
      <w:pPr>
        <w:tabs>
          <w:tab w:val="left" w:pos="540"/>
          <w:tab w:val="left" w:pos="569"/>
        </w:tabs>
        <w:jc w:val="both"/>
        <w:rPr>
          <w:sz w:val="22"/>
          <w:szCs w:val="22"/>
          <w:lang w:val="sr-Latn-ME"/>
        </w:rPr>
      </w:pPr>
      <w:r w:rsidRPr="007B69EC">
        <w:rPr>
          <w:sz w:val="22"/>
          <w:szCs w:val="22"/>
          <w:lang w:val="sr-Latn-ME"/>
        </w:rPr>
        <w:t>Lijek Fostron sadrži manje od 1 mmol natrijuma (23 mg) po kesici, što znači da je u suštini „bez natrijuma“.</w:t>
      </w:r>
    </w:p>
    <w:p w14:paraId="07BC9380" w14:textId="77777777" w:rsidR="00057E35" w:rsidRPr="007B69EC" w:rsidRDefault="00057E35" w:rsidP="00480FB1">
      <w:pPr>
        <w:tabs>
          <w:tab w:val="left" w:pos="540"/>
          <w:tab w:val="left" w:pos="569"/>
        </w:tabs>
        <w:rPr>
          <w:bCs/>
          <w:sz w:val="22"/>
          <w:szCs w:val="22"/>
          <w:lang w:val="sr-Latn-ME"/>
        </w:rPr>
      </w:pPr>
    </w:p>
    <w:p w14:paraId="687337F7" w14:textId="77777777" w:rsidR="00411B4B" w:rsidRPr="007B69EC" w:rsidRDefault="00411B4B" w:rsidP="00480FB1">
      <w:pPr>
        <w:tabs>
          <w:tab w:val="left" w:pos="540"/>
          <w:tab w:val="left" w:pos="569"/>
        </w:tabs>
        <w:rPr>
          <w:b/>
          <w:bCs/>
          <w:sz w:val="22"/>
          <w:szCs w:val="22"/>
          <w:lang w:val="sr-Latn-ME"/>
        </w:rPr>
      </w:pPr>
      <w:r w:rsidRPr="007B69EC">
        <w:rPr>
          <w:b/>
          <w:bCs/>
          <w:sz w:val="22"/>
          <w:szCs w:val="22"/>
          <w:lang w:val="sr-Latn-ME"/>
        </w:rPr>
        <w:t>4.5.</w:t>
      </w:r>
      <w:r w:rsidR="000D60CC" w:rsidRPr="007B69EC">
        <w:rPr>
          <w:b/>
          <w:bCs/>
          <w:sz w:val="22"/>
          <w:szCs w:val="22"/>
          <w:lang w:val="sr-Latn-ME"/>
        </w:rPr>
        <w:tab/>
      </w:r>
      <w:r w:rsidRPr="007B69EC">
        <w:rPr>
          <w:b/>
          <w:bCs/>
          <w:sz w:val="22"/>
          <w:szCs w:val="22"/>
          <w:lang w:val="sr-Latn-ME"/>
        </w:rPr>
        <w:t>Interakcije sa drugim ljekovima i druge vrste interakcija</w:t>
      </w:r>
    </w:p>
    <w:p w14:paraId="0F1B8053" w14:textId="77777777" w:rsidR="00600FFE" w:rsidRPr="007B69EC" w:rsidRDefault="00600FFE" w:rsidP="00480FB1">
      <w:pPr>
        <w:tabs>
          <w:tab w:val="left" w:pos="540"/>
          <w:tab w:val="left" w:pos="569"/>
        </w:tabs>
        <w:rPr>
          <w:b/>
          <w:bCs/>
          <w:sz w:val="22"/>
          <w:szCs w:val="22"/>
          <w:lang w:val="sr-Latn-ME"/>
        </w:rPr>
      </w:pPr>
    </w:p>
    <w:p w14:paraId="2983403A" w14:textId="77777777" w:rsidR="00600FFE" w:rsidRPr="007B69EC" w:rsidRDefault="00600FFE" w:rsidP="00600FFE">
      <w:pPr>
        <w:tabs>
          <w:tab w:val="left" w:pos="540"/>
          <w:tab w:val="left" w:pos="569"/>
        </w:tabs>
        <w:jc w:val="both"/>
        <w:rPr>
          <w:sz w:val="22"/>
          <w:szCs w:val="22"/>
          <w:u w:val="single"/>
          <w:lang w:val="sr-Latn-ME"/>
        </w:rPr>
      </w:pPr>
      <w:r w:rsidRPr="007B69EC">
        <w:rPr>
          <w:sz w:val="22"/>
          <w:szCs w:val="22"/>
          <w:u w:val="single"/>
          <w:lang w:val="sr-Latn-ME"/>
        </w:rPr>
        <w:t>Metoklopramid</w:t>
      </w:r>
    </w:p>
    <w:p w14:paraId="7BCEE894" w14:textId="77777777" w:rsidR="00600FFE" w:rsidRPr="007B69EC" w:rsidRDefault="00600FFE" w:rsidP="00600FFE">
      <w:pPr>
        <w:tabs>
          <w:tab w:val="left" w:pos="540"/>
          <w:tab w:val="left" w:pos="569"/>
        </w:tabs>
        <w:jc w:val="both"/>
        <w:rPr>
          <w:sz w:val="22"/>
          <w:szCs w:val="22"/>
          <w:u w:val="single"/>
          <w:lang w:val="sr-Latn-ME"/>
        </w:rPr>
      </w:pPr>
    </w:p>
    <w:p w14:paraId="2B43B974" w14:textId="77777777" w:rsidR="00600FFE" w:rsidRPr="007B69EC" w:rsidRDefault="00600FFE" w:rsidP="00600FFE">
      <w:pPr>
        <w:tabs>
          <w:tab w:val="left" w:pos="540"/>
          <w:tab w:val="left" w:pos="569"/>
        </w:tabs>
        <w:jc w:val="both"/>
        <w:rPr>
          <w:sz w:val="22"/>
          <w:szCs w:val="22"/>
          <w:lang w:val="sr-Latn-ME"/>
        </w:rPr>
      </w:pPr>
      <w:r w:rsidRPr="007B69EC">
        <w:rPr>
          <w:sz w:val="22"/>
          <w:szCs w:val="22"/>
          <w:lang w:val="sr-Latn-ME"/>
        </w:rPr>
        <w:t>Pokazalo se da istovremena primjena metoklopramida smanjuje koncentraciju fosfomicina u serumu i urinu, pa je treba izbjegavati.</w:t>
      </w:r>
    </w:p>
    <w:p w14:paraId="602E5C73" w14:textId="77777777" w:rsidR="00600FFE" w:rsidRPr="007B69EC" w:rsidRDefault="00600FFE" w:rsidP="00600FFE">
      <w:pPr>
        <w:tabs>
          <w:tab w:val="left" w:pos="540"/>
          <w:tab w:val="left" w:pos="569"/>
        </w:tabs>
        <w:jc w:val="both"/>
        <w:rPr>
          <w:sz w:val="22"/>
          <w:szCs w:val="22"/>
          <w:lang w:val="sr-Latn-ME"/>
        </w:rPr>
      </w:pPr>
      <w:r w:rsidRPr="007B69EC">
        <w:rPr>
          <w:sz w:val="22"/>
          <w:szCs w:val="22"/>
          <w:lang w:val="sr-Latn-ME"/>
        </w:rPr>
        <w:t>Slični efekati se mogu javiti kod drugih lijekova koji pojačavaju motilitet gastrointestinalnog trakta.</w:t>
      </w:r>
    </w:p>
    <w:p w14:paraId="3D160BD8" w14:textId="626C50EB" w:rsidR="00600FFE" w:rsidRDefault="00600FFE" w:rsidP="00600FFE">
      <w:pPr>
        <w:tabs>
          <w:tab w:val="left" w:pos="540"/>
          <w:tab w:val="left" w:pos="569"/>
        </w:tabs>
        <w:jc w:val="both"/>
        <w:rPr>
          <w:sz w:val="22"/>
          <w:szCs w:val="22"/>
          <w:lang w:val="sr-Latn-ME"/>
        </w:rPr>
      </w:pPr>
    </w:p>
    <w:p w14:paraId="706937B0" w14:textId="77777777" w:rsidR="007B69EC" w:rsidRPr="007B69EC" w:rsidRDefault="007B69EC" w:rsidP="00600FFE">
      <w:pPr>
        <w:tabs>
          <w:tab w:val="left" w:pos="540"/>
          <w:tab w:val="left" w:pos="569"/>
        </w:tabs>
        <w:jc w:val="both"/>
        <w:rPr>
          <w:sz w:val="22"/>
          <w:szCs w:val="22"/>
          <w:lang w:val="sr-Latn-ME"/>
        </w:rPr>
      </w:pPr>
    </w:p>
    <w:p w14:paraId="6D9D824A" w14:textId="77777777" w:rsidR="00600FFE" w:rsidRPr="007B69EC" w:rsidRDefault="00600FFE" w:rsidP="00600FFE">
      <w:pPr>
        <w:tabs>
          <w:tab w:val="left" w:pos="540"/>
          <w:tab w:val="left" w:pos="569"/>
        </w:tabs>
        <w:jc w:val="both"/>
        <w:rPr>
          <w:sz w:val="22"/>
          <w:szCs w:val="22"/>
          <w:u w:val="single"/>
          <w:lang w:val="sr-Latn-ME"/>
        </w:rPr>
      </w:pPr>
      <w:r w:rsidRPr="007B69EC">
        <w:rPr>
          <w:sz w:val="22"/>
          <w:szCs w:val="22"/>
          <w:u w:val="single"/>
          <w:lang w:val="sr-Latn-ME"/>
        </w:rPr>
        <w:lastRenderedPageBreak/>
        <w:t>Uticaj hrane</w:t>
      </w:r>
    </w:p>
    <w:p w14:paraId="20245BD1" w14:textId="77777777" w:rsidR="00600FFE" w:rsidRPr="007B69EC" w:rsidRDefault="00600FFE" w:rsidP="00600FFE">
      <w:pPr>
        <w:tabs>
          <w:tab w:val="left" w:pos="540"/>
          <w:tab w:val="left" w:pos="569"/>
        </w:tabs>
        <w:jc w:val="both"/>
        <w:rPr>
          <w:sz w:val="22"/>
          <w:szCs w:val="22"/>
          <w:u w:val="single"/>
          <w:lang w:val="sr-Latn-ME"/>
        </w:rPr>
      </w:pPr>
    </w:p>
    <w:p w14:paraId="4E9C3AE8" w14:textId="77777777" w:rsidR="00600FFE" w:rsidRPr="007B69EC" w:rsidRDefault="00600FFE" w:rsidP="00600FFE">
      <w:pPr>
        <w:tabs>
          <w:tab w:val="left" w:pos="540"/>
          <w:tab w:val="left" w:pos="569"/>
        </w:tabs>
        <w:jc w:val="both"/>
        <w:rPr>
          <w:sz w:val="22"/>
          <w:szCs w:val="22"/>
          <w:lang w:val="sr-Latn-ME"/>
        </w:rPr>
      </w:pPr>
      <w:r w:rsidRPr="007B69EC">
        <w:rPr>
          <w:sz w:val="22"/>
          <w:szCs w:val="22"/>
          <w:lang w:val="sr-Latn-ME"/>
        </w:rPr>
        <w:t>Nivo fosfomicina u plazmi i urinu se smanjuje ako se fosfomicin trometamol uzima zajedno sa hranom. Zato se preporučuje ovaj lijek uzimati na prazan stomak ili 2-3 sata nakon jela.</w:t>
      </w:r>
    </w:p>
    <w:p w14:paraId="7D3ED1D1" w14:textId="77777777" w:rsidR="00600FFE" w:rsidRPr="007B69EC" w:rsidRDefault="00600FFE" w:rsidP="00600FFE">
      <w:pPr>
        <w:tabs>
          <w:tab w:val="left" w:pos="540"/>
          <w:tab w:val="left" w:pos="569"/>
        </w:tabs>
        <w:jc w:val="both"/>
        <w:rPr>
          <w:sz w:val="22"/>
          <w:szCs w:val="22"/>
          <w:lang w:val="sr-Latn-ME"/>
        </w:rPr>
      </w:pPr>
    </w:p>
    <w:p w14:paraId="5A8CB105" w14:textId="1E5D649D" w:rsidR="00600FFE" w:rsidRPr="007B69EC" w:rsidRDefault="00600FFE" w:rsidP="00600FFE">
      <w:pPr>
        <w:tabs>
          <w:tab w:val="left" w:pos="540"/>
          <w:tab w:val="left" w:pos="569"/>
        </w:tabs>
        <w:jc w:val="both"/>
        <w:rPr>
          <w:sz w:val="22"/>
          <w:szCs w:val="22"/>
          <w:u w:val="single"/>
          <w:lang w:val="sr-Latn-ME"/>
        </w:rPr>
      </w:pPr>
      <w:r w:rsidRPr="007B69EC">
        <w:rPr>
          <w:sz w:val="22"/>
          <w:szCs w:val="22"/>
          <w:u w:val="single"/>
          <w:lang w:val="sr-Latn-ME"/>
        </w:rPr>
        <w:t>Specifični problemi u slučaju promjena INR</w:t>
      </w:r>
    </w:p>
    <w:p w14:paraId="7FE99E9E" w14:textId="77777777" w:rsidR="00865B3A" w:rsidRPr="007B69EC" w:rsidRDefault="00865B3A" w:rsidP="00600FFE">
      <w:pPr>
        <w:tabs>
          <w:tab w:val="left" w:pos="540"/>
          <w:tab w:val="left" w:pos="569"/>
        </w:tabs>
        <w:jc w:val="both"/>
        <w:rPr>
          <w:sz w:val="22"/>
          <w:szCs w:val="22"/>
          <w:u w:val="single"/>
          <w:lang w:val="sr-Latn-ME"/>
        </w:rPr>
      </w:pPr>
    </w:p>
    <w:p w14:paraId="626FE561" w14:textId="77777777" w:rsidR="00600FFE" w:rsidRPr="007B69EC" w:rsidRDefault="00600FFE" w:rsidP="00600FFE">
      <w:pPr>
        <w:tabs>
          <w:tab w:val="left" w:pos="540"/>
          <w:tab w:val="left" w:pos="569"/>
        </w:tabs>
        <w:jc w:val="both"/>
        <w:rPr>
          <w:sz w:val="22"/>
          <w:szCs w:val="22"/>
          <w:lang w:val="sr-Latn-ME"/>
        </w:rPr>
      </w:pPr>
      <w:r w:rsidRPr="007B69EC">
        <w:rPr>
          <w:sz w:val="22"/>
          <w:szCs w:val="22"/>
          <w:lang w:val="sr-Latn-ME"/>
        </w:rPr>
        <w:t>Zabilježeni su brojni slučajevi povećane oralne antikoagulantne aktivnosti kod pacijenata koji su primali antibiotsku terapiju. Faktori rizika uključuju tešku infekciju ili upalu, starost i loše opšte zdravstveno stanje. U ovim okolnostima, teško je utvrditi da li je promjena INR-a uzrokovana zaraznim bolestima ili liječenjem. Međutim, češće su uključene određene grupe antibiotika, posebno: fluorohinolini, makrolidi, ciklini, kotrimoksazol i određeni cefalosporini.</w:t>
      </w:r>
    </w:p>
    <w:p w14:paraId="33DCC7FA" w14:textId="77777777" w:rsidR="00600FFE" w:rsidRPr="007B69EC" w:rsidRDefault="00600FFE" w:rsidP="00600FFE">
      <w:pPr>
        <w:tabs>
          <w:tab w:val="left" w:pos="540"/>
          <w:tab w:val="left" w:pos="569"/>
        </w:tabs>
        <w:jc w:val="both"/>
        <w:rPr>
          <w:sz w:val="22"/>
          <w:szCs w:val="22"/>
          <w:lang w:val="sr-Latn-ME"/>
        </w:rPr>
      </w:pPr>
    </w:p>
    <w:p w14:paraId="79BFAEE6" w14:textId="7B79D791" w:rsidR="00600FFE" w:rsidRPr="007B69EC" w:rsidRDefault="00600FFE" w:rsidP="00600FFE">
      <w:pPr>
        <w:tabs>
          <w:tab w:val="left" w:pos="540"/>
          <w:tab w:val="left" w:pos="569"/>
        </w:tabs>
        <w:jc w:val="both"/>
        <w:rPr>
          <w:sz w:val="22"/>
          <w:szCs w:val="22"/>
          <w:u w:val="single"/>
          <w:lang w:val="sr-Latn-ME"/>
        </w:rPr>
      </w:pPr>
      <w:r w:rsidRPr="007B69EC">
        <w:rPr>
          <w:sz w:val="22"/>
          <w:szCs w:val="22"/>
          <w:u w:val="single"/>
          <w:lang w:val="sr-Latn-ME"/>
        </w:rPr>
        <w:t>Pedijatrijska populacija</w:t>
      </w:r>
    </w:p>
    <w:p w14:paraId="0C4FD475" w14:textId="77777777" w:rsidR="00865B3A" w:rsidRPr="007B69EC" w:rsidRDefault="00865B3A" w:rsidP="00600FFE">
      <w:pPr>
        <w:tabs>
          <w:tab w:val="left" w:pos="540"/>
          <w:tab w:val="left" w:pos="569"/>
        </w:tabs>
        <w:jc w:val="both"/>
        <w:rPr>
          <w:sz w:val="22"/>
          <w:szCs w:val="22"/>
          <w:u w:val="single"/>
          <w:lang w:val="sr-Latn-ME"/>
        </w:rPr>
      </w:pPr>
    </w:p>
    <w:p w14:paraId="5753F763" w14:textId="4005E7D0" w:rsidR="00600FFE" w:rsidRPr="007B69EC" w:rsidRDefault="00600FFE" w:rsidP="00600FFE">
      <w:pPr>
        <w:tabs>
          <w:tab w:val="left" w:pos="540"/>
          <w:tab w:val="left" w:pos="569"/>
        </w:tabs>
        <w:jc w:val="both"/>
        <w:rPr>
          <w:sz w:val="22"/>
          <w:szCs w:val="22"/>
          <w:lang w:val="sr-Latn-ME"/>
        </w:rPr>
      </w:pPr>
      <w:r w:rsidRPr="007B69EC">
        <w:rPr>
          <w:sz w:val="22"/>
          <w:szCs w:val="22"/>
          <w:lang w:val="sr-Latn-ME"/>
        </w:rPr>
        <w:t>Ispitivanja interakcija sprovedena su samo kod odraslih</w:t>
      </w:r>
      <w:r w:rsidR="00452F27" w:rsidRPr="007B69EC">
        <w:rPr>
          <w:sz w:val="22"/>
          <w:szCs w:val="22"/>
          <w:lang w:val="sr-Latn-ME"/>
        </w:rPr>
        <w:t>.</w:t>
      </w:r>
    </w:p>
    <w:p w14:paraId="2736EDDA" w14:textId="77777777" w:rsidR="0072020E" w:rsidRPr="007B69EC" w:rsidRDefault="0072020E" w:rsidP="00480FB1">
      <w:pPr>
        <w:tabs>
          <w:tab w:val="left" w:pos="540"/>
          <w:tab w:val="left" w:pos="569"/>
        </w:tabs>
        <w:rPr>
          <w:bCs/>
          <w:sz w:val="22"/>
          <w:szCs w:val="22"/>
          <w:lang w:val="sr-Latn-ME"/>
        </w:rPr>
      </w:pPr>
    </w:p>
    <w:p w14:paraId="014F85FD" w14:textId="77777777" w:rsidR="0072020E" w:rsidRPr="007B69EC" w:rsidRDefault="0072020E" w:rsidP="00826224">
      <w:pPr>
        <w:tabs>
          <w:tab w:val="left" w:pos="540"/>
          <w:tab w:val="left" w:pos="569"/>
        </w:tabs>
        <w:jc w:val="both"/>
        <w:rPr>
          <w:b/>
          <w:sz w:val="22"/>
          <w:szCs w:val="22"/>
          <w:lang w:val="sr-Latn-ME"/>
        </w:rPr>
      </w:pPr>
      <w:r w:rsidRPr="007B69EC">
        <w:rPr>
          <w:b/>
          <w:bCs/>
          <w:sz w:val="22"/>
          <w:szCs w:val="22"/>
          <w:lang w:val="sr-Latn-ME"/>
        </w:rPr>
        <w:t xml:space="preserve">4.6. </w:t>
      </w:r>
      <w:r w:rsidR="00480FB1" w:rsidRPr="007B69EC">
        <w:rPr>
          <w:b/>
          <w:bCs/>
          <w:sz w:val="22"/>
          <w:szCs w:val="22"/>
          <w:lang w:val="sr-Latn-ME"/>
        </w:rPr>
        <w:tab/>
      </w:r>
      <w:r w:rsidR="006D20A5" w:rsidRPr="007B69EC">
        <w:rPr>
          <w:b/>
          <w:sz w:val="22"/>
          <w:szCs w:val="22"/>
          <w:lang w:val="sr-Latn-ME"/>
        </w:rPr>
        <w:t>Plodnost, trudnoća i dojenje</w:t>
      </w:r>
    </w:p>
    <w:p w14:paraId="62D3DA74" w14:textId="77777777" w:rsidR="002031B3" w:rsidRPr="007B69EC" w:rsidRDefault="002031B3" w:rsidP="00826224">
      <w:pPr>
        <w:tabs>
          <w:tab w:val="left" w:pos="540"/>
          <w:tab w:val="left" w:pos="569"/>
        </w:tabs>
        <w:jc w:val="both"/>
        <w:rPr>
          <w:sz w:val="22"/>
          <w:szCs w:val="22"/>
          <w:u w:val="single"/>
          <w:lang w:val="sr-Latn-ME"/>
        </w:rPr>
      </w:pPr>
    </w:p>
    <w:p w14:paraId="20A82113" w14:textId="26A6EDC7" w:rsidR="00600FFE" w:rsidRPr="007B69EC" w:rsidRDefault="002031B3" w:rsidP="00826224">
      <w:pPr>
        <w:tabs>
          <w:tab w:val="left" w:pos="540"/>
          <w:tab w:val="left" w:pos="569"/>
        </w:tabs>
        <w:jc w:val="both"/>
        <w:rPr>
          <w:sz w:val="22"/>
          <w:szCs w:val="22"/>
          <w:u w:val="single"/>
          <w:lang w:val="sr-Latn-ME"/>
        </w:rPr>
      </w:pPr>
      <w:r w:rsidRPr="007B69EC">
        <w:rPr>
          <w:sz w:val="22"/>
          <w:szCs w:val="22"/>
          <w:u w:val="single"/>
          <w:lang w:val="sr-Latn-ME"/>
        </w:rPr>
        <w:t>Plodnost</w:t>
      </w:r>
    </w:p>
    <w:p w14:paraId="240A4757" w14:textId="45ABC35F" w:rsidR="00600FFE" w:rsidRPr="007B69EC" w:rsidRDefault="00600FFE" w:rsidP="00170D88">
      <w:pPr>
        <w:tabs>
          <w:tab w:val="left" w:pos="540"/>
          <w:tab w:val="left" w:pos="569"/>
        </w:tabs>
        <w:jc w:val="both"/>
        <w:rPr>
          <w:sz w:val="22"/>
          <w:szCs w:val="22"/>
          <w:lang w:val="sr-Latn-ME"/>
        </w:rPr>
      </w:pPr>
      <w:r w:rsidRPr="007B69EC">
        <w:rPr>
          <w:sz w:val="22"/>
          <w:szCs w:val="22"/>
          <w:lang w:val="sr-Latn-ME"/>
        </w:rPr>
        <w:t>Nema dostupnih podataka kod ljudi. Kod mužjaka i ženki pacova oralna primjena fosfomicina do 1000 mg/kg/dan nije štetno djelovala na plodnost.</w:t>
      </w:r>
    </w:p>
    <w:p w14:paraId="1AECD428" w14:textId="77777777" w:rsidR="002031B3" w:rsidRPr="007B69EC" w:rsidRDefault="002031B3" w:rsidP="00826224">
      <w:pPr>
        <w:tabs>
          <w:tab w:val="left" w:pos="540"/>
          <w:tab w:val="left" w:pos="569"/>
        </w:tabs>
        <w:jc w:val="both"/>
        <w:rPr>
          <w:sz w:val="22"/>
          <w:szCs w:val="22"/>
          <w:u w:val="single"/>
          <w:lang w:val="sr-Latn-ME"/>
        </w:rPr>
      </w:pPr>
    </w:p>
    <w:p w14:paraId="7E07076B" w14:textId="6CFCA416" w:rsidR="00600FFE" w:rsidRPr="007B69EC" w:rsidRDefault="007A3ECB" w:rsidP="00826224">
      <w:pPr>
        <w:tabs>
          <w:tab w:val="left" w:pos="540"/>
          <w:tab w:val="left" w:pos="569"/>
        </w:tabs>
        <w:jc w:val="both"/>
        <w:rPr>
          <w:sz w:val="22"/>
          <w:szCs w:val="22"/>
          <w:u w:val="single"/>
          <w:lang w:val="sr-Latn-ME"/>
        </w:rPr>
      </w:pPr>
      <w:r w:rsidRPr="007B69EC">
        <w:rPr>
          <w:sz w:val="22"/>
          <w:szCs w:val="22"/>
          <w:u w:val="single"/>
          <w:lang w:val="sr-Latn-ME"/>
        </w:rPr>
        <w:t>Trudnoća</w:t>
      </w:r>
    </w:p>
    <w:p w14:paraId="7F1167A4" w14:textId="332FD40F" w:rsidR="00452F27" w:rsidRPr="007B69EC" w:rsidRDefault="00600FFE" w:rsidP="00170D88">
      <w:pPr>
        <w:tabs>
          <w:tab w:val="left" w:pos="540"/>
          <w:tab w:val="left" w:pos="569"/>
        </w:tabs>
        <w:jc w:val="both"/>
        <w:rPr>
          <w:sz w:val="22"/>
          <w:szCs w:val="22"/>
          <w:lang w:val="sr-Latn-ME"/>
        </w:rPr>
      </w:pPr>
      <w:r w:rsidRPr="007B69EC">
        <w:rPr>
          <w:sz w:val="22"/>
          <w:szCs w:val="22"/>
          <w:lang w:val="sr-Latn-ME"/>
        </w:rPr>
        <w:t xml:space="preserve">Dostupni su samo ograničeni podaci o bezbjednosti liječenja fosfomicinom tokom prvog </w:t>
      </w:r>
      <w:r w:rsidR="00452F27" w:rsidRPr="007B69EC">
        <w:rPr>
          <w:sz w:val="22"/>
          <w:szCs w:val="22"/>
          <w:lang w:val="sr-Latn-ME"/>
        </w:rPr>
        <w:t xml:space="preserve">trimestra </w:t>
      </w:r>
      <w:r w:rsidRPr="007B69EC">
        <w:rPr>
          <w:sz w:val="22"/>
          <w:szCs w:val="22"/>
          <w:lang w:val="sr-Latn-ME"/>
        </w:rPr>
        <w:t xml:space="preserve">trudnoće (n=152). Ti podaci za sada ne daju nikakav bezbjednosni signal za teratogenost. Fosfomicin prolazi kroz placentu. </w:t>
      </w:r>
    </w:p>
    <w:p w14:paraId="43764F33" w14:textId="75454FC0" w:rsidR="00600FFE" w:rsidRPr="007B69EC" w:rsidRDefault="00600FFE">
      <w:pPr>
        <w:tabs>
          <w:tab w:val="left" w:pos="540"/>
          <w:tab w:val="left" w:pos="569"/>
        </w:tabs>
        <w:jc w:val="both"/>
        <w:rPr>
          <w:sz w:val="22"/>
          <w:szCs w:val="22"/>
          <w:lang w:val="sr-Latn-ME"/>
        </w:rPr>
      </w:pPr>
      <w:r w:rsidRPr="007B69EC">
        <w:rPr>
          <w:sz w:val="22"/>
          <w:szCs w:val="22"/>
          <w:lang w:val="sr-Latn-ME"/>
        </w:rPr>
        <w:t>Ispitivanja na životinjama ne ukazuju na direktan ili indirektan štetan uticaj na reprodukciju (vidjeti dio 5.3).</w:t>
      </w:r>
    </w:p>
    <w:p w14:paraId="1E00CCEA" w14:textId="2C524578" w:rsidR="00600FFE" w:rsidRPr="007B69EC" w:rsidRDefault="00600FFE">
      <w:pPr>
        <w:tabs>
          <w:tab w:val="left" w:pos="540"/>
          <w:tab w:val="left" w:pos="569"/>
        </w:tabs>
        <w:jc w:val="both"/>
        <w:rPr>
          <w:sz w:val="22"/>
          <w:szCs w:val="22"/>
          <w:lang w:val="sr-Latn-ME"/>
        </w:rPr>
      </w:pPr>
      <w:r w:rsidRPr="007B69EC">
        <w:rPr>
          <w:sz w:val="22"/>
          <w:szCs w:val="22"/>
          <w:lang w:val="sr-Latn-ME"/>
        </w:rPr>
        <w:t>Lijek Fostron smije da se prim</w:t>
      </w:r>
      <w:r w:rsidR="00452F27" w:rsidRPr="007B69EC">
        <w:rPr>
          <w:sz w:val="22"/>
          <w:szCs w:val="22"/>
          <w:lang w:val="sr-Latn-ME"/>
        </w:rPr>
        <w:t>j</w:t>
      </w:r>
      <w:r w:rsidRPr="007B69EC">
        <w:rPr>
          <w:sz w:val="22"/>
          <w:szCs w:val="22"/>
          <w:lang w:val="sr-Latn-ME"/>
        </w:rPr>
        <w:t>enjuje tokom trudnoće samo ako je to neophodno.</w:t>
      </w:r>
    </w:p>
    <w:p w14:paraId="5F1943A4" w14:textId="77777777" w:rsidR="002031B3" w:rsidRPr="007B69EC" w:rsidRDefault="002031B3" w:rsidP="00826224">
      <w:pPr>
        <w:tabs>
          <w:tab w:val="left" w:pos="540"/>
          <w:tab w:val="left" w:pos="569"/>
        </w:tabs>
        <w:jc w:val="both"/>
        <w:rPr>
          <w:sz w:val="22"/>
          <w:szCs w:val="22"/>
          <w:u w:val="single"/>
          <w:lang w:val="sr-Latn-ME"/>
        </w:rPr>
      </w:pPr>
    </w:p>
    <w:p w14:paraId="60FECB5C" w14:textId="4CE704DC" w:rsidR="00600FFE" w:rsidRPr="007B69EC" w:rsidRDefault="007A3ECB" w:rsidP="00826224">
      <w:pPr>
        <w:tabs>
          <w:tab w:val="left" w:pos="540"/>
          <w:tab w:val="left" w:pos="569"/>
        </w:tabs>
        <w:jc w:val="both"/>
        <w:rPr>
          <w:sz w:val="22"/>
          <w:szCs w:val="22"/>
          <w:u w:val="single"/>
          <w:lang w:val="sr-Latn-ME"/>
        </w:rPr>
      </w:pPr>
      <w:r w:rsidRPr="007B69EC">
        <w:rPr>
          <w:sz w:val="22"/>
          <w:szCs w:val="22"/>
          <w:u w:val="single"/>
          <w:lang w:val="sr-Latn-ME"/>
        </w:rPr>
        <w:t xml:space="preserve">Dojenje </w:t>
      </w:r>
    </w:p>
    <w:p w14:paraId="232FBB81" w14:textId="22E2923D" w:rsidR="00600FFE" w:rsidRPr="007B69EC" w:rsidRDefault="00600FFE" w:rsidP="00170D88">
      <w:pPr>
        <w:tabs>
          <w:tab w:val="left" w:pos="540"/>
          <w:tab w:val="left" w:pos="569"/>
        </w:tabs>
        <w:jc w:val="both"/>
        <w:rPr>
          <w:sz w:val="22"/>
          <w:szCs w:val="22"/>
          <w:lang w:val="sr-Latn-ME"/>
        </w:rPr>
      </w:pPr>
      <w:r w:rsidRPr="007B69EC">
        <w:rPr>
          <w:sz w:val="22"/>
          <w:szCs w:val="22"/>
          <w:lang w:val="sr-Latn-ME"/>
        </w:rPr>
        <w:t>Fosfomicin se izlučuje u majčino mlijeko u malim količinama. Ako je to neophodno, tokom dojenja može da se primjeni jednokratna peroralna doza fosfomicina.</w:t>
      </w:r>
    </w:p>
    <w:p w14:paraId="5435CE49" w14:textId="77777777" w:rsidR="00227BDB" w:rsidRPr="007B69EC" w:rsidRDefault="00227BDB" w:rsidP="00396DFD">
      <w:pPr>
        <w:tabs>
          <w:tab w:val="left" w:pos="540"/>
          <w:tab w:val="left" w:pos="569"/>
        </w:tabs>
        <w:ind w:left="540" w:hanging="540"/>
        <w:rPr>
          <w:b/>
          <w:bCs/>
          <w:sz w:val="22"/>
          <w:szCs w:val="22"/>
          <w:lang w:val="sr-Latn-ME"/>
        </w:rPr>
      </w:pPr>
    </w:p>
    <w:p w14:paraId="2F3797AB" w14:textId="77777777" w:rsidR="0072020E" w:rsidRPr="007B69EC" w:rsidRDefault="0072020E" w:rsidP="00826224">
      <w:pPr>
        <w:tabs>
          <w:tab w:val="left" w:pos="540"/>
          <w:tab w:val="left" w:pos="569"/>
        </w:tabs>
        <w:ind w:left="540" w:hanging="540"/>
        <w:jc w:val="both"/>
        <w:rPr>
          <w:b/>
          <w:bCs/>
          <w:sz w:val="22"/>
          <w:szCs w:val="22"/>
          <w:lang w:val="sr-Latn-ME"/>
        </w:rPr>
      </w:pPr>
      <w:r w:rsidRPr="007B69EC">
        <w:rPr>
          <w:b/>
          <w:bCs/>
          <w:sz w:val="22"/>
          <w:szCs w:val="22"/>
          <w:lang w:val="sr-Latn-ME"/>
        </w:rPr>
        <w:t xml:space="preserve">4.7. </w:t>
      </w:r>
      <w:r w:rsidR="00480FB1" w:rsidRPr="007B69EC">
        <w:rPr>
          <w:b/>
          <w:bCs/>
          <w:sz w:val="22"/>
          <w:szCs w:val="22"/>
          <w:lang w:val="sr-Latn-ME"/>
        </w:rPr>
        <w:tab/>
      </w:r>
      <w:r w:rsidRPr="007B69EC">
        <w:rPr>
          <w:b/>
          <w:bCs/>
          <w:sz w:val="22"/>
          <w:szCs w:val="22"/>
          <w:lang w:val="sr-Latn-ME"/>
        </w:rPr>
        <w:t xml:space="preserve">Uticaj na </w:t>
      </w:r>
      <w:r w:rsidR="002031B3" w:rsidRPr="007B69EC">
        <w:rPr>
          <w:b/>
          <w:bCs/>
          <w:sz w:val="22"/>
          <w:szCs w:val="22"/>
          <w:lang w:val="sr-Latn-ME"/>
        </w:rPr>
        <w:t xml:space="preserve">sposobnost </w:t>
      </w:r>
      <w:r w:rsidR="00F34554" w:rsidRPr="007B69EC">
        <w:rPr>
          <w:b/>
          <w:bCs/>
          <w:sz w:val="22"/>
          <w:szCs w:val="22"/>
          <w:lang w:val="sr-Latn-ME"/>
        </w:rPr>
        <w:t>upravljanja vozili</w:t>
      </w:r>
      <w:r w:rsidRPr="007B69EC">
        <w:rPr>
          <w:b/>
          <w:bCs/>
          <w:sz w:val="22"/>
          <w:szCs w:val="22"/>
          <w:lang w:val="sr-Latn-ME"/>
        </w:rPr>
        <w:t>m</w:t>
      </w:r>
      <w:r w:rsidR="00F34554" w:rsidRPr="007B69EC">
        <w:rPr>
          <w:b/>
          <w:bCs/>
          <w:sz w:val="22"/>
          <w:szCs w:val="22"/>
          <w:lang w:val="sr-Latn-ME"/>
        </w:rPr>
        <w:t>a</w:t>
      </w:r>
      <w:r w:rsidRPr="007B69EC">
        <w:rPr>
          <w:b/>
          <w:bCs/>
          <w:sz w:val="22"/>
          <w:szCs w:val="22"/>
          <w:lang w:val="sr-Latn-ME"/>
        </w:rPr>
        <w:t xml:space="preserve"> i </w:t>
      </w:r>
      <w:r w:rsidR="000D3449" w:rsidRPr="007B69EC">
        <w:rPr>
          <w:b/>
          <w:bCs/>
          <w:sz w:val="22"/>
          <w:szCs w:val="22"/>
          <w:lang w:val="sr-Latn-ME"/>
        </w:rPr>
        <w:t xml:space="preserve">rukovanje </w:t>
      </w:r>
      <w:r w:rsidRPr="007B69EC">
        <w:rPr>
          <w:b/>
          <w:bCs/>
          <w:sz w:val="22"/>
          <w:szCs w:val="22"/>
          <w:lang w:val="sr-Latn-ME"/>
        </w:rPr>
        <w:t>mašinama</w:t>
      </w:r>
    </w:p>
    <w:p w14:paraId="0713BC18" w14:textId="77777777" w:rsidR="00FA31C9" w:rsidRPr="007B69EC" w:rsidRDefault="00FA31C9" w:rsidP="00826224">
      <w:pPr>
        <w:tabs>
          <w:tab w:val="left" w:pos="540"/>
          <w:tab w:val="left" w:pos="569"/>
        </w:tabs>
        <w:ind w:left="540" w:hanging="540"/>
        <w:jc w:val="both"/>
        <w:rPr>
          <w:b/>
          <w:bCs/>
          <w:sz w:val="22"/>
          <w:szCs w:val="22"/>
          <w:lang w:val="sr-Latn-ME"/>
        </w:rPr>
      </w:pPr>
    </w:p>
    <w:p w14:paraId="02C24A19" w14:textId="2D5A71FF" w:rsidR="0072020E" w:rsidRPr="007B69EC" w:rsidRDefault="00FA31C9" w:rsidP="00170D88">
      <w:pPr>
        <w:tabs>
          <w:tab w:val="left" w:pos="540"/>
          <w:tab w:val="left" w:pos="569"/>
        </w:tabs>
        <w:jc w:val="both"/>
        <w:rPr>
          <w:sz w:val="22"/>
          <w:szCs w:val="22"/>
          <w:lang w:val="sr-Latn-ME"/>
        </w:rPr>
      </w:pPr>
      <w:r w:rsidRPr="007B69EC">
        <w:rPr>
          <w:sz w:val="22"/>
          <w:szCs w:val="22"/>
          <w:lang w:val="sr-Latn-ME"/>
        </w:rPr>
        <w:t>Ni</w:t>
      </w:r>
      <w:r w:rsidR="00452F27" w:rsidRPr="007B69EC">
        <w:rPr>
          <w:sz w:val="22"/>
          <w:szCs w:val="22"/>
          <w:lang w:val="sr-Latn-ME"/>
        </w:rPr>
        <w:t>je</w:t>
      </w:r>
      <w:r w:rsidRPr="007B69EC">
        <w:rPr>
          <w:sz w:val="22"/>
          <w:szCs w:val="22"/>
          <w:lang w:val="sr-Latn-ME"/>
        </w:rPr>
        <w:t>su sprovedene specifične studije, ali pacijenti se moraju obav</w:t>
      </w:r>
      <w:r w:rsidR="00452F27" w:rsidRPr="007B69EC">
        <w:rPr>
          <w:sz w:val="22"/>
          <w:szCs w:val="22"/>
          <w:lang w:val="sr-Latn-ME"/>
        </w:rPr>
        <w:t>i</w:t>
      </w:r>
      <w:r w:rsidRPr="007B69EC">
        <w:rPr>
          <w:sz w:val="22"/>
          <w:szCs w:val="22"/>
          <w:lang w:val="sr-Latn-ME"/>
        </w:rPr>
        <w:t>jestiti da je zabilježena vrtoglavica. To može uticati na sposobnost pacijenata da upravljaju vozilima i rukuju mašinama (vidjeti dio 4.8).</w:t>
      </w:r>
    </w:p>
    <w:p w14:paraId="00E29D2C" w14:textId="77777777" w:rsidR="00FA31C9" w:rsidRPr="007B69EC" w:rsidRDefault="00FA31C9" w:rsidP="00826224">
      <w:pPr>
        <w:tabs>
          <w:tab w:val="left" w:pos="540"/>
          <w:tab w:val="left" w:pos="569"/>
        </w:tabs>
        <w:jc w:val="both"/>
        <w:rPr>
          <w:b/>
          <w:bCs/>
          <w:sz w:val="22"/>
          <w:szCs w:val="22"/>
          <w:lang w:val="sr-Latn-ME"/>
        </w:rPr>
      </w:pPr>
    </w:p>
    <w:p w14:paraId="72A165CA" w14:textId="77777777" w:rsidR="0072020E" w:rsidRPr="007B69EC" w:rsidRDefault="0072020E" w:rsidP="00480FB1">
      <w:pPr>
        <w:tabs>
          <w:tab w:val="left" w:pos="540"/>
          <w:tab w:val="left" w:pos="569"/>
        </w:tabs>
        <w:rPr>
          <w:b/>
          <w:bCs/>
          <w:sz w:val="22"/>
          <w:szCs w:val="22"/>
          <w:lang w:val="sr-Latn-ME"/>
        </w:rPr>
      </w:pPr>
      <w:r w:rsidRPr="007B69EC">
        <w:rPr>
          <w:b/>
          <w:bCs/>
          <w:sz w:val="22"/>
          <w:szCs w:val="22"/>
          <w:lang w:val="sr-Latn-ME"/>
        </w:rPr>
        <w:t xml:space="preserve">4.8. </w:t>
      </w:r>
      <w:r w:rsidR="00480FB1" w:rsidRPr="007B69EC">
        <w:rPr>
          <w:b/>
          <w:bCs/>
          <w:sz w:val="22"/>
          <w:szCs w:val="22"/>
          <w:lang w:val="sr-Latn-ME"/>
        </w:rPr>
        <w:tab/>
      </w:r>
      <w:r w:rsidRPr="007B69EC">
        <w:rPr>
          <w:b/>
          <w:bCs/>
          <w:sz w:val="22"/>
          <w:szCs w:val="22"/>
          <w:lang w:val="sr-Latn-ME"/>
        </w:rPr>
        <w:t>Neželjena dejstva</w:t>
      </w:r>
    </w:p>
    <w:p w14:paraId="34CAE5E1" w14:textId="77777777" w:rsidR="004E70AD" w:rsidRPr="007B69EC" w:rsidRDefault="004E70AD" w:rsidP="00480FB1">
      <w:pPr>
        <w:tabs>
          <w:tab w:val="left" w:pos="540"/>
          <w:tab w:val="left" w:pos="569"/>
        </w:tabs>
        <w:rPr>
          <w:b/>
          <w:bCs/>
          <w:sz w:val="22"/>
          <w:szCs w:val="22"/>
          <w:lang w:val="sr-Latn-ME"/>
        </w:rPr>
      </w:pPr>
    </w:p>
    <w:p w14:paraId="44656197" w14:textId="6D8FBB90" w:rsidR="00FA31C9" w:rsidRPr="007B69EC" w:rsidRDefault="00FA31C9" w:rsidP="00FA31C9">
      <w:pPr>
        <w:spacing w:after="200" w:line="276" w:lineRule="auto"/>
        <w:jc w:val="both"/>
        <w:rPr>
          <w:rFonts w:eastAsia="Calibri"/>
          <w:sz w:val="22"/>
          <w:szCs w:val="22"/>
          <w:u w:val="single"/>
          <w:lang w:val="sr-Latn-ME"/>
        </w:rPr>
      </w:pPr>
      <w:r w:rsidRPr="007B69EC">
        <w:rPr>
          <w:rFonts w:eastAsia="Calibri"/>
          <w:sz w:val="22"/>
          <w:szCs w:val="22"/>
          <w:u w:val="single"/>
          <w:lang w:val="sr-Latn-ME"/>
        </w:rPr>
        <w:t>Sažetak bezbjednosnog profila</w:t>
      </w:r>
    </w:p>
    <w:p w14:paraId="005DB3BA" w14:textId="46A06303" w:rsidR="00FA31C9" w:rsidRPr="007B69EC" w:rsidRDefault="00FA31C9" w:rsidP="00826224">
      <w:pPr>
        <w:spacing w:after="200"/>
        <w:jc w:val="both"/>
        <w:rPr>
          <w:rFonts w:eastAsia="Calibri"/>
          <w:sz w:val="22"/>
          <w:szCs w:val="22"/>
          <w:lang w:val="sr-Latn-ME"/>
        </w:rPr>
      </w:pPr>
      <w:r w:rsidRPr="007B69EC">
        <w:rPr>
          <w:rFonts w:eastAsia="Calibri"/>
          <w:sz w:val="22"/>
          <w:szCs w:val="22"/>
          <w:lang w:val="sr-Latn-ME"/>
        </w:rPr>
        <w:t>Najčešća neželjena dejstva nakon primjene jednokratne doze fosfomicin-trometamola uključuju neželjena dejstva vezana za gastrointestinalni trakt, uglavnom dijareju. Ta neželjena dejstva su obično ograničena na vrijeme primjene i spontano se povlače.</w:t>
      </w:r>
    </w:p>
    <w:p w14:paraId="25C4A031" w14:textId="48A9F4DF" w:rsidR="00FA31C9" w:rsidRPr="007B69EC" w:rsidRDefault="00FA31C9" w:rsidP="00FA31C9">
      <w:pPr>
        <w:spacing w:after="200" w:line="276" w:lineRule="auto"/>
        <w:jc w:val="both"/>
        <w:rPr>
          <w:rFonts w:eastAsia="Calibri"/>
          <w:sz w:val="22"/>
          <w:szCs w:val="22"/>
          <w:u w:val="single"/>
          <w:lang w:val="sr-Latn-ME"/>
        </w:rPr>
      </w:pPr>
      <w:r w:rsidRPr="007B69EC">
        <w:rPr>
          <w:rFonts w:eastAsia="Calibri"/>
          <w:sz w:val="22"/>
          <w:szCs w:val="22"/>
          <w:u w:val="single"/>
          <w:lang w:val="sr-Latn-ME"/>
        </w:rPr>
        <w:t xml:space="preserve">Tabelarni prikaz neželjenih </w:t>
      </w:r>
      <w:r w:rsidR="004A3647" w:rsidRPr="007B69EC">
        <w:rPr>
          <w:rFonts w:eastAsia="Calibri"/>
          <w:sz w:val="22"/>
          <w:szCs w:val="22"/>
          <w:u w:val="single"/>
          <w:lang w:val="sr-Latn-ME"/>
        </w:rPr>
        <w:t>dejstava</w:t>
      </w:r>
    </w:p>
    <w:p w14:paraId="0342456F" w14:textId="3339BBD2" w:rsidR="00FA31C9" w:rsidRPr="007B69EC" w:rsidRDefault="00FA31C9" w:rsidP="00826224">
      <w:pPr>
        <w:spacing w:after="200"/>
        <w:jc w:val="both"/>
        <w:rPr>
          <w:rFonts w:eastAsia="Calibri"/>
          <w:sz w:val="22"/>
          <w:szCs w:val="22"/>
          <w:lang w:val="sr-Latn-ME"/>
        </w:rPr>
      </w:pPr>
      <w:r w:rsidRPr="007B69EC">
        <w:rPr>
          <w:rFonts w:eastAsia="Calibri"/>
          <w:sz w:val="22"/>
          <w:szCs w:val="22"/>
          <w:lang w:val="sr-Latn-ME"/>
        </w:rPr>
        <w:t>Sl</w:t>
      </w:r>
      <w:r w:rsidR="00452F27" w:rsidRPr="007B69EC">
        <w:rPr>
          <w:rFonts w:eastAsia="Calibri"/>
          <w:sz w:val="22"/>
          <w:szCs w:val="22"/>
          <w:lang w:val="sr-Latn-ME"/>
        </w:rPr>
        <w:t>j</w:t>
      </w:r>
      <w:r w:rsidRPr="007B69EC">
        <w:rPr>
          <w:rFonts w:eastAsia="Calibri"/>
          <w:sz w:val="22"/>
          <w:szCs w:val="22"/>
          <w:lang w:val="sr-Latn-ME"/>
        </w:rPr>
        <w:t xml:space="preserve">edeća tabela prikazuje neželjena djelovanja koja su zabilježena nakon upotrebe </w:t>
      </w:r>
      <w:r w:rsidR="00452F27" w:rsidRPr="007B69EC">
        <w:rPr>
          <w:rFonts w:eastAsia="Calibri"/>
          <w:sz w:val="22"/>
          <w:szCs w:val="22"/>
          <w:lang w:val="sr-Latn-ME"/>
        </w:rPr>
        <w:t xml:space="preserve">lijeka </w:t>
      </w:r>
      <w:r w:rsidRPr="007B69EC">
        <w:rPr>
          <w:rFonts w:eastAsia="Calibri"/>
          <w:sz w:val="22"/>
          <w:szCs w:val="22"/>
          <w:lang w:val="sr-Latn-ME"/>
        </w:rPr>
        <w:t>Fostrona u kliničkim studijama ili u post</w:t>
      </w:r>
      <w:r w:rsidR="00452F27" w:rsidRPr="007B69EC">
        <w:rPr>
          <w:rFonts w:eastAsia="Calibri"/>
          <w:sz w:val="22"/>
          <w:szCs w:val="22"/>
          <w:lang w:val="sr-Latn-ME"/>
        </w:rPr>
        <w:t>-</w:t>
      </w:r>
      <w:r w:rsidRPr="007B69EC">
        <w:rPr>
          <w:rFonts w:eastAsia="Calibri"/>
          <w:sz w:val="22"/>
          <w:szCs w:val="22"/>
          <w:lang w:val="sr-Latn-ME"/>
        </w:rPr>
        <w:t>marketinškom iskustvu</w:t>
      </w:r>
      <w:r w:rsidR="00865B3A" w:rsidRPr="007B69EC">
        <w:rPr>
          <w:rFonts w:eastAsia="Calibri"/>
          <w:sz w:val="22"/>
          <w:szCs w:val="22"/>
          <w:lang w:val="sr-Latn-ME"/>
        </w:rPr>
        <w:t>.</w:t>
      </w:r>
    </w:p>
    <w:p w14:paraId="206E55B8" w14:textId="0DBBEE36" w:rsidR="00FA31C9" w:rsidRPr="007B69EC" w:rsidRDefault="00FA31C9" w:rsidP="00826224">
      <w:pPr>
        <w:spacing w:after="200"/>
        <w:jc w:val="both"/>
        <w:rPr>
          <w:rFonts w:eastAsia="Calibri"/>
          <w:sz w:val="22"/>
          <w:szCs w:val="22"/>
          <w:lang w:val="sr-Latn-ME"/>
        </w:rPr>
      </w:pPr>
      <w:r w:rsidRPr="007B69EC">
        <w:rPr>
          <w:rFonts w:eastAsia="Calibri"/>
          <w:sz w:val="22"/>
          <w:szCs w:val="22"/>
          <w:lang w:val="sr-Latn-ME"/>
        </w:rPr>
        <w:t>Učestalost neželjenih reakcija: vrlo često (≥</w:t>
      </w:r>
      <w:r w:rsidR="00452F27" w:rsidRPr="007B69EC">
        <w:rPr>
          <w:rFonts w:eastAsia="Calibri"/>
          <w:sz w:val="22"/>
          <w:szCs w:val="22"/>
          <w:lang w:val="sr-Latn-ME"/>
        </w:rPr>
        <w:t xml:space="preserve"> </w:t>
      </w:r>
      <w:r w:rsidRPr="007B69EC">
        <w:rPr>
          <w:rFonts w:eastAsia="Calibri"/>
          <w:sz w:val="22"/>
          <w:szCs w:val="22"/>
          <w:lang w:val="sr-Latn-ME"/>
        </w:rPr>
        <w:t>1/10), često (≥</w:t>
      </w:r>
      <w:r w:rsidR="00452F27" w:rsidRPr="007B69EC">
        <w:rPr>
          <w:rFonts w:eastAsia="Calibri"/>
          <w:sz w:val="22"/>
          <w:szCs w:val="22"/>
          <w:lang w:val="sr-Latn-ME"/>
        </w:rPr>
        <w:t xml:space="preserve"> </w:t>
      </w:r>
      <w:r w:rsidRPr="007B69EC">
        <w:rPr>
          <w:rFonts w:eastAsia="Calibri"/>
          <w:sz w:val="22"/>
          <w:szCs w:val="22"/>
          <w:lang w:val="sr-Latn-ME"/>
        </w:rPr>
        <w:t>1/100 i &lt;</w:t>
      </w:r>
      <w:r w:rsidR="00452F27" w:rsidRPr="007B69EC">
        <w:rPr>
          <w:rFonts w:eastAsia="Calibri"/>
          <w:sz w:val="22"/>
          <w:szCs w:val="22"/>
          <w:lang w:val="sr-Latn-ME"/>
        </w:rPr>
        <w:t xml:space="preserve"> </w:t>
      </w:r>
      <w:r w:rsidRPr="007B69EC">
        <w:rPr>
          <w:rFonts w:eastAsia="Calibri"/>
          <w:sz w:val="22"/>
          <w:szCs w:val="22"/>
          <w:lang w:val="sr-Latn-ME"/>
        </w:rPr>
        <w:t>1/10); manje često (≥</w:t>
      </w:r>
      <w:r w:rsidR="00452F27" w:rsidRPr="007B69EC">
        <w:rPr>
          <w:rFonts w:eastAsia="Calibri"/>
          <w:sz w:val="22"/>
          <w:szCs w:val="22"/>
          <w:lang w:val="sr-Latn-ME"/>
        </w:rPr>
        <w:t xml:space="preserve"> </w:t>
      </w:r>
      <w:r w:rsidRPr="007B69EC">
        <w:rPr>
          <w:rFonts w:eastAsia="Calibri"/>
          <w:sz w:val="22"/>
          <w:szCs w:val="22"/>
          <w:lang w:val="sr-Latn-ME"/>
        </w:rPr>
        <w:t>1/1.000 i &lt;</w:t>
      </w:r>
      <w:r w:rsidR="00452F27" w:rsidRPr="007B69EC">
        <w:rPr>
          <w:rFonts w:eastAsia="Calibri"/>
          <w:sz w:val="22"/>
          <w:szCs w:val="22"/>
          <w:lang w:val="sr-Latn-ME"/>
        </w:rPr>
        <w:t xml:space="preserve"> </w:t>
      </w:r>
      <w:r w:rsidRPr="007B69EC">
        <w:rPr>
          <w:rFonts w:eastAsia="Calibri"/>
          <w:sz w:val="22"/>
          <w:szCs w:val="22"/>
          <w:lang w:val="sr-Latn-ME"/>
        </w:rPr>
        <w:t>1/100); rijetko (≥</w:t>
      </w:r>
      <w:r w:rsidR="00452F27" w:rsidRPr="007B69EC">
        <w:rPr>
          <w:rFonts w:eastAsia="Calibri"/>
          <w:sz w:val="22"/>
          <w:szCs w:val="22"/>
          <w:lang w:val="sr-Latn-ME"/>
        </w:rPr>
        <w:t xml:space="preserve"> </w:t>
      </w:r>
      <w:r w:rsidRPr="007B69EC">
        <w:rPr>
          <w:rFonts w:eastAsia="Calibri"/>
          <w:sz w:val="22"/>
          <w:szCs w:val="22"/>
          <w:lang w:val="sr-Latn-ME"/>
        </w:rPr>
        <w:t>1/10.000 to &lt;</w:t>
      </w:r>
      <w:r w:rsidR="00452F27" w:rsidRPr="007B69EC">
        <w:rPr>
          <w:rFonts w:eastAsia="Calibri"/>
          <w:sz w:val="22"/>
          <w:szCs w:val="22"/>
          <w:lang w:val="sr-Latn-ME"/>
        </w:rPr>
        <w:t xml:space="preserve"> </w:t>
      </w:r>
      <w:r w:rsidRPr="007B69EC">
        <w:rPr>
          <w:rFonts w:eastAsia="Calibri"/>
          <w:sz w:val="22"/>
          <w:szCs w:val="22"/>
          <w:lang w:val="sr-Latn-ME"/>
        </w:rPr>
        <w:t>1/1.000); vrlo rijetko (&lt;</w:t>
      </w:r>
      <w:r w:rsidR="00452F27" w:rsidRPr="007B69EC">
        <w:rPr>
          <w:rFonts w:eastAsia="Calibri"/>
          <w:sz w:val="22"/>
          <w:szCs w:val="22"/>
          <w:lang w:val="sr-Latn-ME"/>
        </w:rPr>
        <w:t xml:space="preserve"> </w:t>
      </w:r>
      <w:r w:rsidRPr="007B69EC">
        <w:rPr>
          <w:rFonts w:eastAsia="Calibri"/>
          <w:sz w:val="22"/>
          <w:szCs w:val="22"/>
          <w:lang w:val="sr-Latn-ME"/>
        </w:rPr>
        <w:t>1/10.000), nepoznato (ne može se procijeniti iz dostupnih podataka).</w:t>
      </w:r>
    </w:p>
    <w:p w14:paraId="3F420B75" w14:textId="48E73703" w:rsidR="00FA31C9" w:rsidRPr="007B69EC" w:rsidRDefault="00FA31C9" w:rsidP="00826224">
      <w:pPr>
        <w:spacing w:after="200"/>
        <w:jc w:val="both"/>
        <w:rPr>
          <w:rFonts w:eastAsia="Calibri"/>
          <w:sz w:val="22"/>
          <w:szCs w:val="22"/>
          <w:lang w:val="sr-Latn-ME"/>
        </w:rPr>
      </w:pPr>
      <w:r w:rsidRPr="007B69EC">
        <w:rPr>
          <w:rFonts w:eastAsia="Calibri"/>
          <w:sz w:val="22"/>
          <w:szCs w:val="22"/>
          <w:lang w:val="sr-Latn-ME"/>
        </w:rPr>
        <w:t>Po svakoj grupi, neželjena d</w:t>
      </w:r>
      <w:r w:rsidR="00856E0C" w:rsidRPr="007B69EC">
        <w:rPr>
          <w:rFonts w:eastAsia="Calibri"/>
          <w:sz w:val="22"/>
          <w:szCs w:val="22"/>
          <w:lang w:val="sr-Latn-ME"/>
        </w:rPr>
        <w:t>ejstva</w:t>
      </w:r>
      <w:r w:rsidRPr="007B69EC">
        <w:rPr>
          <w:rFonts w:eastAsia="Calibri"/>
          <w:sz w:val="22"/>
          <w:szCs w:val="22"/>
          <w:lang w:val="sr-Latn-ME"/>
        </w:rPr>
        <w:t xml:space="preserve"> su prikazana u opadajućem nizu prema ozbiljnosti</w:t>
      </w:r>
      <w:r w:rsidR="00856E0C" w:rsidRPr="007B69EC">
        <w:rPr>
          <w:rFonts w:eastAsia="Calibri"/>
          <w:sz w:val="22"/>
          <w:szCs w:val="22"/>
          <w:lang w:val="sr-Latn-ME"/>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6"/>
        <w:gridCol w:w="1775"/>
        <w:gridCol w:w="1409"/>
        <w:gridCol w:w="2250"/>
      </w:tblGrid>
      <w:tr w:rsidR="00FA31C9" w:rsidRPr="007B69EC" w14:paraId="50D20EEC" w14:textId="77777777" w:rsidTr="00826224">
        <w:trPr>
          <w:trHeight w:val="253"/>
        </w:trPr>
        <w:tc>
          <w:tcPr>
            <w:tcW w:w="2036" w:type="dxa"/>
            <w:vMerge w:val="restart"/>
          </w:tcPr>
          <w:p w14:paraId="7318BE72" w14:textId="77777777" w:rsidR="00FA31C9" w:rsidRPr="007B69EC" w:rsidRDefault="00FA31C9" w:rsidP="00FA31C9">
            <w:pPr>
              <w:widowControl w:val="0"/>
              <w:autoSpaceDE w:val="0"/>
              <w:autoSpaceDN w:val="0"/>
              <w:spacing w:line="242" w:lineRule="auto"/>
              <w:ind w:left="110" w:right="311"/>
              <w:rPr>
                <w:b/>
                <w:sz w:val="20"/>
                <w:szCs w:val="20"/>
                <w:lang w:val="sr-Latn-ME"/>
              </w:rPr>
            </w:pPr>
            <w:bookmarkStart w:id="0" w:name="_Hlk140928341"/>
            <w:r w:rsidRPr="007B69EC">
              <w:rPr>
                <w:b/>
                <w:sz w:val="20"/>
                <w:szCs w:val="20"/>
                <w:lang w:val="sr-Latn-ME"/>
              </w:rPr>
              <w:lastRenderedPageBreak/>
              <w:t>Klasifikacija</w:t>
            </w:r>
            <w:r w:rsidRPr="007B69EC">
              <w:rPr>
                <w:b/>
                <w:spacing w:val="1"/>
                <w:sz w:val="20"/>
                <w:szCs w:val="20"/>
                <w:lang w:val="sr-Latn-ME"/>
              </w:rPr>
              <w:t xml:space="preserve"> sistema organa </w:t>
            </w:r>
          </w:p>
        </w:tc>
        <w:tc>
          <w:tcPr>
            <w:tcW w:w="5434" w:type="dxa"/>
            <w:gridSpan w:val="3"/>
            <w:vAlign w:val="center"/>
          </w:tcPr>
          <w:p w14:paraId="174F1B2B" w14:textId="06DD025E" w:rsidR="00FA31C9" w:rsidRPr="007B69EC" w:rsidRDefault="00FA31C9" w:rsidP="00826224">
            <w:pPr>
              <w:widowControl w:val="0"/>
              <w:autoSpaceDE w:val="0"/>
              <w:autoSpaceDN w:val="0"/>
              <w:spacing w:line="234" w:lineRule="exact"/>
              <w:ind w:right="2493"/>
              <w:rPr>
                <w:b/>
                <w:sz w:val="20"/>
                <w:szCs w:val="20"/>
                <w:lang w:val="sr-Latn-ME"/>
              </w:rPr>
            </w:pPr>
            <w:r w:rsidRPr="007B69EC">
              <w:rPr>
                <w:b/>
                <w:sz w:val="20"/>
                <w:szCs w:val="20"/>
                <w:lang w:val="sr-Latn-ME"/>
              </w:rPr>
              <w:t>Učestalost</w:t>
            </w:r>
            <w:r w:rsidRPr="007B69EC">
              <w:rPr>
                <w:b/>
                <w:spacing w:val="-6"/>
                <w:sz w:val="20"/>
                <w:szCs w:val="20"/>
                <w:lang w:val="sr-Latn-ME"/>
              </w:rPr>
              <w:t xml:space="preserve"> </w:t>
            </w:r>
            <w:r w:rsidRPr="007B69EC">
              <w:rPr>
                <w:b/>
                <w:sz w:val="20"/>
                <w:szCs w:val="20"/>
                <w:lang w:val="sr-Latn-ME"/>
              </w:rPr>
              <w:t>neželjenih</w:t>
            </w:r>
            <w:r w:rsidRPr="007B69EC">
              <w:rPr>
                <w:b/>
                <w:spacing w:val="-6"/>
                <w:sz w:val="20"/>
                <w:szCs w:val="20"/>
                <w:lang w:val="sr-Latn-ME"/>
              </w:rPr>
              <w:t xml:space="preserve"> </w:t>
            </w:r>
            <w:r w:rsidRPr="007B69EC">
              <w:rPr>
                <w:b/>
                <w:sz w:val="20"/>
                <w:szCs w:val="20"/>
                <w:lang w:val="sr-Latn-ME"/>
              </w:rPr>
              <w:t>dejstava</w:t>
            </w:r>
          </w:p>
        </w:tc>
      </w:tr>
      <w:tr w:rsidR="00170D88" w:rsidRPr="007B69EC" w14:paraId="02A9E5FD" w14:textId="77777777" w:rsidTr="00826224">
        <w:trPr>
          <w:trHeight w:val="503"/>
        </w:trPr>
        <w:tc>
          <w:tcPr>
            <w:tcW w:w="2036" w:type="dxa"/>
            <w:vMerge/>
            <w:tcBorders>
              <w:top w:val="nil"/>
            </w:tcBorders>
          </w:tcPr>
          <w:p w14:paraId="25934675" w14:textId="77777777" w:rsidR="00170D88" w:rsidRPr="007B69EC" w:rsidRDefault="00170D88" w:rsidP="00FA31C9">
            <w:pPr>
              <w:widowControl w:val="0"/>
              <w:autoSpaceDE w:val="0"/>
              <w:autoSpaceDN w:val="0"/>
              <w:rPr>
                <w:sz w:val="20"/>
                <w:szCs w:val="20"/>
                <w:lang w:val="sr-Latn-ME"/>
              </w:rPr>
            </w:pPr>
          </w:p>
        </w:tc>
        <w:tc>
          <w:tcPr>
            <w:tcW w:w="1775" w:type="dxa"/>
            <w:vAlign w:val="center"/>
          </w:tcPr>
          <w:p w14:paraId="1E02BE5D" w14:textId="77777777" w:rsidR="00170D88" w:rsidRPr="007B69EC" w:rsidRDefault="00170D88" w:rsidP="00FA31C9">
            <w:pPr>
              <w:widowControl w:val="0"/>
              <w:autoSpaceDE w:val="0"/>
              <w:autoSpaceDN w:val="0"/>
              <w:ind w:right="640"/>
              <w:jc w:val="center"/>
              <w:rPr>
                <w:b/>
                <w:sz w:val="20"/>
                <w:szCs w:val="20"/>
                <w:lang w:val="sr-Latn-ME"/>
              </w:rPr>
            </w:pPr>
            <w:r w:rsidRPr="007B69EC">
              <w:rPr>
                <w:b/>
                <w:sz w:val="20"/>
                <w:szCs w:val="20"/>
                <w:lang w:val="sr-Latn-ME"/>
              </w:rPr>
              <w:t>Često</w:t>
            </w:r>
          </w:p>
        </w:tc>
        <w:tc>
          <w:tcPr>
            <w:tcW w:w="1409" w:type="dxa"/>
            <w:vAlign w:val="center"/>
          </w:tcPr>
          <w:p w14:paraId="6A4DB0AD" w14:textId="77777777" w:rsidR="00170D88" w:rsidRPr="007B69EC" w:rsidRDefault="00170D88" w:rsidP="00FA31C9">
            <w:pPr>
              <w:widowControl w:val="0"/>
              <w:autoSpaceDE w:val="0"/>
              <w:autoSpaceDN w:val="0"/>
              <w:ind w:left="60"/>
              <w:jc w:val="center"/>
              <w:rPr>
                <w:b/>
                <w:sz w:val="20"/>
                <w:szCs w:val="20"/>
                <w:lang w:val="sr-Latn-ME"/>
              </w:rPr>
            </w:pPr>
            <w:r w:rsidRPr="007B69EC">
              <w:rPr>
                <w:b/>
                <w:sz w:val="20"/>
                <w:szCs w:val="20"/>
                <w:lang w:val="sr-Latn-ME"/>
              </w:rPr>
              <w:t>Povremeno</w:t>
            </w:r>
          </w:p>
        </w:tc>
        <w:tc>
          <w:tcPr>
            <w:tcW w:w="2250" w:type="dxa"/>
            <w:vAlign w:val="center"/>
          </w:tcPr>
          <w:p w14:paraId="5FFCDCA7" w14:textId="77777777" w:rsidR="00170D88" w:rsidRPr="007B69EC" w:rsidRDefault="00170D88" w:rsidP="00FA31C9">
            <w:pPr>
              <w:widowControl w:val="0"/>
              <w:autoSpaceDE w:val="0"/>
              <w:autoSpaceDN w:val="0"/>
              <w:spacing w:line="250" w:lineRule="exact"/>
              <w:ind w:left="12" w:right="30" w:hanging="5"/>
              <w:jc w:val="center"/>
              <w:rPr>
                <w:b/>
                <w:sz w:val="20"/>
                <w:szCs w:val="20"/>
                <w:lang w:val="sr-Latn-ME"/>
              </w:rPr>
            </w:pPr>
            <w:r w:rsidRPr="007B69EC">
              <w:rPr>
                <w:b/>
                <w:sz w:val="20"/>
                <w:szCs w:val="20"/>
                <w:lang w:val="sr-Latn-ME"/>
              </w:rPr>
              <w:t>Nepoznata učestalost</w:t>
            </w:r>
          </w:p>
        </w:tc>
      </w:tr>
      <w:tr w:rsidR="00170D88" w:rsidRPr="007B69EC" w14:paraId="52E0CB7B" w14:textId="77777777" w:rsidTr="00826224">
        <w:trPr>
          <w:trHeight w:val="757"/>
        </w:trPr>
        <w:tc>
          <w:tcPr>
            <w:tcW w:w="2036" w:type="dxa"/>
            <w:vAlign w:val="center"/>
          </w:tcPr>
          <w:p w14:paraId="4AE8BCED" w14:textId="77777777" w:rsidR="00170D88" w:rsidRPr="007B69EC" w:rsidRDefault="00170D88" w:rsidP="00FA31C9">
            <w:pPr>
              <w:widowControl w:val="0"/>
              <w:autoSpaceDE w:val="0"/>
              <w:autoSpaceDN w:val="0"/>
              <w:spacing w:line="242" w:lineRule="auto"/>
              <w:ind w:left="110" w:right="72"/>
              <w:rPr>
                <w:b/>
                <w:sz w:val="20"/>
                <w:szCs w:val="20"/>
                <w:lang w:val="sr-Latn-ME"/>
              </w:rPr>
            </w:pPr>
            <w:r w:rsidRPr="007B69EC">
              <w:rPr>
                <w:b/>
                <w:sz w:val="20"/>
                <w:szCs w:val="20"/>
                <w:lang w:val="sr-Latn-ME"/>
              </w:rPr>
              <w:t xml:space="preserve">Infekcije i </w:t>
            </w:r>
            <w:r w:rsidRPr="007B69EC">
              <w:rPr>
                <w:b/>
                <w:spacing w:val="-1"/>
                <w:sz w:val="20"/>
                <w:szCs w:val="20"/>
                <w:lang w:val="sr-Latn-ME"/>
              </w:rPr>
              <w:t>infestacije</w:t>
            </w:r>
          </w:p>
        </w:tc>
        <w:tc>
          <w:tcPr>
            <w:tcW w:w="1775" w:type="dxa"/>
            <w:vAlign w:val="center"/>
          </w:tcPr>
          <w:p w14:paraId="5DA4BBC5" w14:textId="77777777" w:rsidR="00170D88" w:rsidRPr="007B69EC" w:rsidRDefault="00170D88" w:rsidP="00FA31C9">
            <w:pPr>
              <w:widowControl w:val="0"/>
              <w:autoSpaceDE w:val="0"/>
              <w:autoSpaceDN w:val="0"/>
              <w:spacing w:line="244" w:lineRule="exact"/>
              <w:ind w:left="105"/>
              <w:rPr>
                <w:sz w:val="20"/>
                <w:szCs w:val="20"/>
                <w:lang w:val="sr-Latn-ME"/>
              </w:rPr>
            </w:pPr>
            <w:r w:rsidRPr="007B69EC">
              <w:rPr>
                <w:sz w:val="20"/>
                <w:szCs w:val="20"/>
                <w:lang w:val="sr-Latn-ME"/>
              </w:rPr>
              <w:t>vulvovaginitis</w:t>
            </w:r>
          </w:p>
        </w:tc>
        <w:tc>
          <w:tcPr>
            <w:tcW w:w="1409" w:type="dxa"/>
            <w:vAlign w:val="center"/>
          </w:tcPr>
          <w:p w14:paraId="13C46616" w14:textId="77777777" w:rsidR="00170D88" w:rsidRPr="007B69EC" w:rsidRDefault="00170D88" w:rsidP="00FA31C9">
            <w:pPr>
              <w:widowControl w:val="0"/>
              <w:autoSpaceDE w:val="0"/>
              <w:autoSpaceDN w:val="0"/>
              <w:rPr>
                <w:sz w:val="20"/>
                <w:szCs w:val="20"/>
                <w:lang w:val="sr-Latn-ME"/>
              </w:rPr>
            </w:pPr>
          </w:p>
        </w:tc>
        <w:tc>
          <w:tcPr>
            <w:tcW w:w="2250" w:type="dxa"/>
            <w:vAlign w:val="center"/>
          </w:tcPr>
          <w:p w14:paraId="2EB0E227" w14:textId="77777777" w:rsidR="00170D88" w:rsidRPr="007B69EC" w:rsidRDefault="00170D88" w:rsidP="00FA31C9">
            <w:pPr>
              <w:widowControl w:val="0"/>
              <w:autoSpaceDE w:val="0"/>
              <w:autoSpaceDN w:val="0"/>
              <w:ind w:left="72"/>
              <w:rPr>
                <w:sz w:val="20"/>
                <w:szCs w:val="20"/>
                <w:lang w:val="sr-Latn-ME"/>
              </w:rPr>
            </w:pPr>
          </w:p>
        </w:tc>
      </w:tr>
      <w:tr w:rsidR="00170D88" w:rsidRPr="007B69EC" w14:paraId="2101535D" w14:textId="77777777" w:rsidTr="00826224">
        <w:trPr>
          <w:trHeight w:val="1266"/>
        </w:trPr>
        <w:tc>
          <w:tcPr>
            <w:tcW w:w="2036" w:type="dxa"/>
            <w:vAlign w:val="center"/>
          </w:tcPr>
          <w:p w14:paraId="14EB1B4E" w14:textId="77777777" w:rsidR="00170D88" w:rsidRPr="007B69EC" w:rsidRDefault="00170D88" w:rsidP="00FA31C9">
            <w:pPr>
              <w:widowControl w:val="0"/>
              <w:autoSpaceDE w:val="0"/>
              <w:autoSpaceDN w:val="0"/>
              <w:spacing w:line="242" w:lineRule="auto"/>
              <w:ind w:left="110" w:right="327"/>
              <w:rPr>
                <w:b/>
                <w:sz w:val="20"/>
                <w:szCs w:val="20"/>
                <w:lang w:val="sr-Latn-ME"/>
              </w:rPr>
            </w:pPr>
            <w:r w:rsidRPr="007B69EC">
              <w:rPr>
                <w:b/>
                <w:sz w:val="20"/>
                <w:szCs w:val="20"/>
                <w:lang w:val="sr-Latn-ME"/>
              </w:rPr>
              <w:t>Poremećaji</w:t>
            </w:r>
            <w:r w:rsidRPr="007B69EC">
              <w:rPr>
                <w:b/>
                <w:spacing w:val="1"/>
                <w:sz w:val="20"/>
                <w:szCs w:val="20"/>
                <w:lang w:val="sr-Latn-ME"/>
              </w:rPr>
              <w:t xml:space="preserve"> </w:t>
            </w:r>
            <w:r w:rsidRPr="007B69EC">
              <w:rPr>
                <w:b/>
                <w:sz w:val="20"/>
                <w:szCs w:val="20"/>
                <w:lang w:val="sr-Latn-ME"/>
              </w:rPr>
              <w:t>imunskog</w:t>
            </w:r>
            <w:r w:rsidRPr="007B69EC">
              <w:rPr>
                <w:b/>
                <w:spacing w:val="-10"/>
                <w:sz w:val="20"/>
                <w:szCs w:val="20"/>
                <w:lang w:val="sr-Latn-ME"/>
              </w:rPr>
              <w:t xml:space="preserve"> </w:t>
            </w:r>
            <w:r w:rsidRPr="007B69EC">
              <w:rPr>
                <w:b/>
                <w:sz w:val="20"/>
                <w:szCs w:val="20"/>
                <w:lang w:val="sr-Latn-ME"/>
              </w:rPr>
              <w:t>sistema</w:t>
            </w:r>
          </w:p>
        </w:tc>
        <w:tc>
          <w:tcPr>
            <w:tcW w:w="1775" w:type="dxa"/>
            <w:vAlign w:val="center"/>
          </w:tcPr>
          <w:p w14:paraId="1A834F36" w14:textId="77777777" w:rsidR="00170D88" w:rsidRPr="007B69EC" w:rsidRDefault="00170D88" w:rsidP="00FA31C9">
            <w:pPr>
              <w:widowControl w:val="0"/>
              <w:autoSpaceDE w:val="0"/>
              <w:autoSpaceDN w:val="0"/>
              <w:rPr>
                <w:sz w:val="20"/>
                <w:szCs w:val="20"/>
                <w:lang w:val="sr-Latn-ME"/>
              </w:rPr>
            </w:pPr>
          </w:p>
        </w:tc>
        <w:tc>
          <w:tcPr>
            <w:tcW w:w="1409" w:type="dxa"/>
            <w:vAlign w:val="center"/>
          </w:tcPr>
          <w:p w14:paraId="3A829638" w14:textId="77777777" w:rsidR="00170D88" w:rsidRPr="007B69EC" w:rsidRDefault="00170D88" w:rsidP="00FA31C9">
            <w:pPr>
              <w:widowControl w:val="0"/>
              <w:autoSpaceDE w:val="0"/>
              <w:autoSpaceDN w:val="0"/>
              <w:rPr>
                <w:sz w:val="20"/>
                <w:szCs w:val="20"/>
                <w:lang w:val="sr-Latn-ME"/>
              </w:rPr>
            </w:pPr>
          </w:p>
        </w:tc>
        <w:tc>
          <w:tcPr>
            <w:tcW w:w="2250" w:type="dxa"/>
            <w:vAlign w:val="center"/>
          </w:tcPr>
          <w:p w14:paraId="5DDA7682" w14:textId="63F9358B" w:rsidR="00170D88" w:rsidRPr="007B69EC" w:rsidRDefault="00170D88" w:rsidP="00FA31C9">
            <w:pPr>
              <w:widowControl w:val="0"/>
              <w:autoSpaceDE w:val="0"/>
              <w:autoSpaceDN w:val="0"/>
              <w:spacing w:line="242" w:lineRule="auto"/>
              <w:ind w:left="72" w:right="118"/>
              <w:rPr>
                <w:sz w:val="20"/>
                <w:szCs w:val="20"/>
                <w:lang w:val="sr-Latn-ME"/>
              </w:rPr>
            </w:pPr>
            <w:r w:rsidRPr="007B69EC">
              <w:rPr>
                <w:sz w:val="20"/>
                <w:szCs w:val="20"/>
                <w:lang w:val="sr-Latn-ME"/>
              </w:rPr>
              <w:t>anafilaktičke</w:t>
            </w:r>
            <w:r w:rsidRPr="007B69EC">
              <w:rPr>
                <w:spacing w:val="1"/>
                <w:sz w:val="20"/>
                <w:szCs w:val="20"/>
                <w:lang w:val="sr-Latn-ME"/>
              </w:rPr>
              <w:t xml:space="preserve"> </w:t>
            </w:r>
            <w:r w:rsidRPr="007B69EC">
              <w:rPr>
                <w:sz w:val="20"/>
                <w:szCs w:val="20"/>
                <w:lang w:val="sr-Latn-ME"/>
              </w:rPr>
              <w:t>reakcije</w:t>
            </w:r>
            <w:r w:rsidRPr="007B69EC">
              <w:rPr>
                <w:spacing w:val="-11"/>
                <w:sz w:val="20"/>
                <w:szCs w:val="20"/>
                <w:lang w:val="sr-Latn-ME"/>
              </w:rPr>
              <w:t xml:space="preserve"> </w:t>
            </w:r>
            <w:r w:rsidRPr="007B69EC">
              <w:rPr>
                <w:sz w:val="20"/>
                <w:szCs w:val="20"/>
                <w:lang w:val="sr-Latn-ME"/>
              </w:rPr>
              <w:t>uključujući</w:t>
            </w:r>
            <w:r w:rsidRPr="007B69EC">
              <w:rPr>
                <w:spacing w:val="-5"/>
                <w:sz w:val="20"/>
                <w:szCs w:val="20"/>
                <w:lang w:val="sr-Latn-ME"/>
              </w:rPr>
              <w:t xml:space="preserve"> </w:t>
            </w:r>
            <w:r w:rsidRPr="007B69EC">
              <w:rPr>
                <w:sz w:val="20"/>
                <w:szCs w:val="20"/>
                <w:lang w:val="sr-Latn-ME"/>
              </w:rPr>
              <w:t>anafilaktički</w:t>
            </w:r>
            <w:r w:rsidRPr="007B69EC">
              <w:rPr>
                <w:spacing w:val="-3"/>
                <w:sz w:val="20"/>
                <w:szCs w:val="20"/>
                <w:lang w:val="sr-Latn-ME"/>
              </w:rPr>
              <w:t xml:space="preserve"> </w:t>
            </w:r>
            <w:r w:rsidRPr="007B69EC">
              <w:rPr>
                <w:sz w:val="20"/>
                <w:szCs w:val="20"/>
                <w:lang w:val="sr-Latn-ME"/>
              </w:rPr>
              <w:t>šok, preosjetljivost</w:t>
            </w:r>
            <w:r w:rsidRPr="007B69EC">
              <w:rPr>
                <w:spacing w:val="-1"/>
                <w:sz w:val="20"/>
                <w:szCs w:val="20"/>
                <w:lang w:val="sr-Latn-ME"/>
              </w:rPr>
              <w:t xml:space="preserve"> </w:t>
            </w:r>
            <w:r w:rsidRPr="007B69EC">
              <w:rPr>
                <w:rFonts w:eastAsia="Calibri"/>
                <w:kern w:val="2"/>
                <w:sz w:val="20"/>
                <w:szCs w:val="20"/>
                <w:lang w:val="sr-Latn-ME"/>
                <w14:ligatures w14:val="standardContextual"/>
              </w:rPr>
              <w:t>(vidjeti dio 4.4)</w:t>
            </w:r>
          </w:p>
        </w:tc>
      </w:tr>
      <w:tr w:rsidR="00170D88" w:rsidRPr="007B69EC" w14:paraId="2A33577A" w14:textId="77777777" w:rsidTr="00826224">
        <w:trPr>
          <w:trHeight w:val="757"/>
        </w:trPr>
        <w:tc>
          <w:tcPr>
            <w:tcW w:w="2036" w:type="dxa"/>
            <w:vAlign w:val="center"/>
          </w:tcPr>
          <w:p w14:paraId="4AE7CD1C" w14:textId="77777777" w:rsidR="00170D88" w:rsidRPr="007B69EC" w:rsidRDefault="00170D88" w:rsidP="00FA31C9">
            <w:pPr>
              <w:widowControl w:val="0"/>
              <w:autoSpaceDE w:val="0"/>
              <w:autoSpaceDN w:val="0"/>
              <w:spacing w:line="242" w:lineRule="auto"/>
              <w:ind w:left="110" w:right="109"/>
              <w:rPr>
                <w:b/>
                <w:sz w:val="20"/>
                <w:szCs w:val="20"/>
                <w:lang w:val="sr-Latn-ME"/>
              </w:rPr>
            </w:pPr>
            <w:r w:rsidRPr="007B69EC">
              <w:rPr>
                <w:b/>
                <w:spacing w:val="-1"/>
                <w:sz w:val="20"/>
                <w:szCs w:val="20"/>
                <w:lang w:val="sr-Latn-ME"/>
              </w:rPr>
              <w:t xml:space="preserve">Poremećaji </w:t>
            </w:r>
            <w:r w:rsidRPr="007B69EC">
              <w:rPr>
                <w:b/>
                <w:sz w:val="20"/>
                <w:szCs w:val="20"/>
                <w:lang w:val="sr-Latn-ME"/>
              </w:rPr>
              <w:t>nervnog</w:t>
            </w:r>
            <w:r w:rsidRPr="007B69EC">
              <w:rPr>
                <w:b/>
                <w:spacing w:val="-52"/>
                <w:sz w:val="20"/>
                <w:szCs w:val="20"/>
                <w:lang w:val="sr-Latn-ME"/>
              </w:rPr>
              <w:t xml:space="preserve"> </w:t>
            </w:r>
            <w:r w:rsidRPr="007B69EC">
              <w:rPr>
                <w:b/>
                <w:sz w:val="20"/>
                <w:szCs w:val="20"/>
                <w:lang w:val="sr-Latn-ME"/>
              </w:rPr>
              <w:t>sistema</w:t>
            </w:r>
          </w:p>
        </w:tc>
        <w:tc>
          <w:tcPr>
            <w:tcW w:w="1775" w:type="dxa"/>
            <w:vAlign w:val="center"/>
          </w:tcPr>
          <w:p w14:paraId="39B47919" w14:textId="77777777" w:rsidR="00170D88" w:rsidRPr="007B69EC" w:rsidRDefault="00170D88" w:rsidP="00FA31C9">
            <w:pPr>
              <w:widowControl w:val="0"/>
              <w:autoSpaceDE w:val="0"/>
              <w:autoSpaceDN w:val="0"/>
              <w:spacing w:line="242" w:lineRule="auto"/>
              <w:ind w:left="105" w:right="700"/>
              <w:rPr>
                <w:sz w:val="20"/>
                <w:szCs w:val="20"/>
                <w:lang w:val="sr-Latn-ME"/>
              </w:rPr>
            </w:pPr>
            <w:r w:rsidRPr="007B69EC">
              <w:rPr>
                <w:spacing w:val="-1"/>
                <w:sz w:val="20"/>
                <w:szCs w:val="20"/>
                <w:lang w:val="sr-Latn-ME"/>
              </w:rPr>
              <w:t>glavobolja,</w:t>
            </w:r>
            <w:r w:rsidRPr="007B69EC">
              <w:rPr>
                <w:spacing w:val="-52"/>
                <w:sz w:val="20"/>
                <w:szCs w:val="20"/>
                <w:lang w:val="sr-Latn-ME"/>
              </w:rPr>
              <w:t xml:space="preserve"> </w:t>
            </w:r>
            <w:r w:rsidRPr="007B69EC">
              <w:rPr>
                <w:sz w:val="20"/>
                <w:szCs w:val="20"/>
                <w:lang w:val="sr-Latn-ME"/>
              </w:rPr>
              <w:t>vrtoglavica</w:t>
            </w:r>
          </w:p>
        </w:tc>
        <w:tc>
          <w:tcPr>
            <w:tcW w:w="1409" w:type="dxa"/>
            <w:vAlign w:val="center"/>
          </w:tcPr>
          <w:p w14:paraId="5B968A53" w14:textId="77777777" w:rsidR="00170D88" w:rsidRPr="007B69EC" w:rsidRDefault="00170D88" w:rsidP="00FA31C9">
            <w:pPr>
              <w:widowControl w:val="0"/>
              <w:autoSpaceDE w:val="0"/>
              <w:autoSpaceDN w:val="0"/>
              <w:spacing w:line="244" w:lineRule="exact"/>
              <w:ind w:left="111"/>
              <w:rPr>
                <w:sz w:val="20"/>
                <w:szCs w:val="20"/>
                <w:lang w:val="sr-Latn-ME"/>
              </w:rPr>
            </w:pPr>
          </w:p>
        </w:tc>
        <w:tc>
          <w:tcPr>
            <w:tcW w:w="2250" w:type="dxa"/>
            <w:vAlign w:val="center"/>
          </w:tcPr>
          <w:p w14:paraId="37B15C6B" w14:textId="77777777" w:rsidR="00170D88" w:rsidRPr="007B69EC" w:rsidRDefault="00170D88" w:rsidP="00FA31C9">
            <w:pPr>
              <w:widowControl w:val="0"/>
              <w:autoSpaceDE w:val="0"/>
              <w:autoSpaceDN w:val="0"/>
              <w:ind w:left="84"/>
              <w:rPr>
                <w:sz w:val="20"/>
                <w:szCs w:val="20"/>
                <w:lang w:val="sr-Latn-ME"/>
              </w:rPr>
            </w:pPr>
          </w:p>
        </w:tc>
      </w:tr>
      <w:tr w:rsidR="00170D88" w:rsidRPr="007B69EC" w14:paraId="0B839E96" w14:textId="77777777" w:rsidTr="00826224">
        <w:trPr>
          <w:trHeight w:val="757"/>
        </w:trPr>
        <w:tc>
          <w:tcPr>
            <w:tcW w:w="2036" w:type="dxa"/>
            <w:vAlign w:val="center"/>
          </w:tcPr>
          <w:p w14:paraId="4FE65387" w14:textId="6B71AB15" w:rsidR="00170D88" w:rsidRPr="007B69EC" w:rsidRDefault="00170D88" w:rsidP="00FA31C9">
            <w:pPr>
              <w:widowControl w:val="0"/>
              <w:autoSpaceDE w:val="0"/>
              <w:autoSpaceDN w:val="0"/>
              <w:spacing w:line="242" w:lineRule="auto"/>
              <w:ind w:left="110" w:right="72"/>
              <w:rPr>
                <w:b/>
                <w:sz w:val="20"/>
                <w:szCs w:val="20"/>
                <w:lang w:val="sr-Latn-ME"/>
              </w:rPr>
            </w:pPr>
            <w:r w:rsidRPr="007B69EC">
              <w:rPr>
                <w:b/>
                <w:spacing w:val="-1"/>
                <w:sz w:val="20"/>
                <w:szCs w:val="20"/>
                <w:lang w:val="sr-Latn-ME"/>
              </w:rPr>
              <w:t>Gastrointestinalni</w:t>
            </w:r>
            <w:r w:rsidRPr="007B69EC">
              <w:rPr>
                <w:b/>
                <w:spacing w:val="-52"/>
                <w:sz w:val="20"/>
                <w:szCs w:val="20"/>
                <w:lang w:val="sr-Latn-ME"/>
              </w:rPr>
              <w:t xml:space="preserve"> </w:t>
            </w:r>
            <w:r w:rsidRPr="007B69EC">
              <w:rPr>
                <w:b/>
                <w:sz w:val="20"/>
                <w:szCs w:val="20"/>
                <w:lang w:val="sr-Latn-ME"/>
              </w:rPr>
              <w:t>poremećaji</w:t>
            </w:r>
          </w:p>
        </w:tc>
        <w:tc>
          <w:tcPr>
            <w:tcW w:w="1775" w:type="dxa"/>
            <w:vAlign w:val="center"/>
          </w:tcPr>
          <w:p w14:paraId="521F43AC" w14:textId="146B7FD5" w:rsidR="00170D88" w:rsidRPr="007B69EC" w:rsidRDefault="00170D88" w:rsidP="00FA31C9">
            <w:pPr>
              <w:widowControl w:val="0"/>
              <w:autoSpaceDE w:val="0"/>
              <w:autoSpaceDN w:val="0"/>
              <w:ind w:left="96"/>
              <w:rPr>
                <w:sz w:val="20"/>
                <w:szCs w:val="20"/>
                <w:lang w:val="sr-Latn-ME"/>
              </w:rPr>
            </w:pPr>
            <w:r w:rsidRPr="007B69EC">
              <w:rPr>
                <w:sz w:val="20"/>
                <w:szCs w:val="20"/>
                <w:lang w:val="sr-Latn-ME"/>
              </w:rPr>
              <w:t>dijareja, nauzeja,</w:t>
            </w:r>
            <w:r w:rsidRPr="007B69EC">
              <w:rPr>
                <w:spacing w:val="-53"/>
                <w:sz w:val="20"/>
                <w:szCs w:val="20"/>
                <w:lang w:val="sr-Latn-ME"/>
              </w:rPr>
              <w:t xml:space="preserve"> </w:t>
            </w:r>
            <w:r w:rsidRPr="007B69EC">
              <w:rPr>
                <w:sz w:val="20"/>
                <w:szCs w:val="20"/>
                <w:lang w:val="sr-Latn-ME"/>
              </w:rPr>
              <w:t>dispepsija, bol u abdomenu</w:t>
            </w:r>
          </w:p>
        </w:tc>
        <w:tc>
          <w:tcPr>
            <w:tcW w:w="1409" w:type="dxa"/>
            <w:vAlign w:val="center"/>
          </w:tcPr>
          <w:p w14:paraId="14741154" w14:textId="146BDA66" w:rsidR="00170D88" w:rsidRPr="007B69EC" w:rsidRDefault="00170D88" w:rsidP="00FA31C9">
            <w:pPr>
              <w:widowControl w:val="0"/>
              <w:autoSpaceDE w:val="0"/>
              <w:autoSpaceDN w:val="0"/>
              <w:spacing w:line="242" w:lineRule="auto"/>
              <w:ind w:left="96" w:right="78"/>
              <w:rPr>
                <w:sz w:val="20"/>
                <w:szCs w:val="20"/>
                <w:lang w:val="sr-Latn-ME"/>
              </w:rPr>
            </w:pPr>
            <w:r w:rsidRPr="007B69EC">
              <w:rPr>
                <w:sz w:val="20"/>
                <w:szCs w:val="20"/>
                <w:lang w:val="sr-Latn-ME"/>
              </w:rPr>
              <w:t>povraćanje</w:t>
            </w:r>
          </w:p>
        </w:tc>
        <w:tc>
          <w:tcPr>
            <w:tcW w:w="2250" w:type="dxa"/>
            <w:vAlign w:val="center"/>
          </w:tcPr>
          <w:p w14:paraId="41C18F0F" w14:textId="08A6484F" w:rsidR="00170D88" w:rsidRPr="007B69EC" w:rsidRDefault="00170D88" w:rsidP="00170D88">
            <w:pPr>
              <w:widowControl w:val="0"/>
              <w:autoSpaceDE w:val="0"/>
              <w:autoSpaceDN w:val="0"/>
              <w:spacing w:line="242" w:lineRule="auto"/>
              <w:ind w:left="120" w:right="530"/>
              <w:rPr>
                <w:sz w:val="20"/>
                <w:szCs w:val="20"/>
                <w:lang w:val="sr-Latn-ME"/>
              </w:rPr>
            </w:pPr>
            <w:r w:rsidRPr="007B69EC">
              <w:rPr>
                <w:spacing w:val="-1"/>
                <w:sz w:val="20"/>
                <w:szCs w:val="20"/>
                <w:lang w:val="sr-Latn-ME"/>
              </w:rPr>
              <w:t xml:space="preserve">kolitis </w:t>
            </w:r>
            <w:r w:rsidRPr="007B69EC">
              <w:rPr>
                <w:sz w:val="20"/>
                <w:szCs w:val="20"/>
                <w:lang w:val="sr-Latn-ME"/>
              </w:rPr>
              <w:t>izazvan</w:t>
            </w:r>
            <w:r w:rsidRPr="007B69EC">
              <w:rPr>
                <w:spacing w:val="-52"/>
                <w:sz w:val="20"/>
                <w:szCs w:val="20"/>
                <w:lang w:val="sr-Latn-ME"/>
              </w:rPr>
              <w:t xml:space="preserve"> </w:t>
            </w:r>
            <w:r w:rsidRPr="007B69EC">
              <w:rPr>
                <w:sz w:val="20"/>
                <w:szCs w:val="20"/>
                <w:lang w:val="sr-Latn-ME"/>
              </w:rPr>
              <w:t>antibioticima</w:t>
            </w:r>
          </w:p>
          <w:p w14:paraId="21D88C1B" w14:textId="3999FA3B" w:rsidR="00170D88" w:rsidRPr="007B69EC" w:rsidRDefault="00170D88" w:rsidP="00170D88">
            <w:pPr>
              <w:widowControl w:val="0"/>
              <w:autoSpaceDE w:val="0"/>
              <w:autoSpaceDN w:val="0"/>
              <w:spacing w:line="244" w:lineRule="exact"/>
              <w:ind w:left="96"/>
              <w:rPr>
                <w:sz w:val="20"/>
                <w:szCs w:val="20"/>
                <w:lang w:val="sr-Latn-ME"/>
              </w:rPr>
            </w:pPr>
            <w:r w:rsidRPr="007B69EC">
              <w:rPr>
                <w:sz w:val="20"/>
                <w:szCs w:val="20"/>
                <w:lang w:val="sr-Latn-ME"/>
              </w:rPr>
              <w:t>(vidjeti</w:t>
            </w:r>
            <w:r w:rsidRPr="007B69EC">
              <w:rPr>
                <w:spacing w:val="-1"/>
                <w:sz w:val="20"/>
                <w:szCs w:val="20"/>
                <w:lang w:val="sr-Latn-ME"/>
              </w:rPr>
              <w:t xml:space="preserve"> </w:t>
            </w:r>
            <w:r w:rsidRPr="007B69EC">
              <w:rPr>
                <w:sz w:val="20"/>
                <w:szCs w:val="20"/>
                <w:lang w:val="sr-Latn-ME"/>
              </w:rPr>
              <w:t xml:space="preserve">dio </w:t>
            </w:r>
            <w:r w:rsidRPr="007B69EC">
              <w:rPr>
                <w:iCs/>
                <w:sz w:val="20"/>
                <w:szCs w:val="20"/>
                <w:lang w:val="sr-Latn-ME"/>
              </w:rPr>
              <w:t>4.4</w:t>
            </w:r>
            <w:r w:rsidRPr="007B69EC">
              <w:rPr>
                <w:sz w:val="20"/>
                <w:szCs w:val="20"/>
                <w:lang w:val="sr-Latn-ME"/>
              </w:rPr>
              <w:t>),</w:t>
            </w:r>
          </w:p>
        </w:tc>
      </w:tr>
      <w:tr w:rsidR="00170D88" w:rsidRPr="007B69EC" w14:paraId="24D92A03" w14:textId="77777777" w:rsidTr="00826224">
        <w:trPr>
          <w:trHeight w:val="762"/>
        </w:trPr>
        <w:tc>
          <w:tcPr>
            <w:tcW w:w="2036" w:type="dxa"/>
            <w:vAlign w:val="center"/>
          </w:tcPr>
          <w:p w14:paraId="53678B80" w14:textId="7E6A2A14" w:rsidR="00170D88" w:rsidRPr="007B69EC" w:rsidRDefault="00170D88" w:rsidP="00FA31C9">
            <w:pPr>
              <w:widowControl w:val="0"/>
              <w:autoSpaceDE w:val="0"/>
              <w:autoSpaceDN w:val="0"/>
              <w:spacing w:line="242" w:lineRule="auto"/>
              <w:ind w:left="110" w:right="109"/>
              <w:rPr>
                <w:b/>
                <w:sz w:val="20"/>
                <w:szCs w:val="20"/>
                <w:lang w:val="sr-Latn-ME"/>
              </w:rPr>
            </w:pPr>
            <w:r w:rsidRPr="007B69EC">
              <w:rPr>
                <w:b/>
                <w:sz w:val="20"/>
                <w:szCs w:val="20"/>
                <w:lang w:val="sr-Latn-ME"/>
              </w:rPr>
              <w:t>Poremećaji</w:t>
            </w:r>
            <w:r w:rsidRPr="007B69EC">
              <w:rPr>
                <w:b/>
                <w:spacing w:val="-10"/>
                <w:sz w:val="20"/>
                <w:szCs w:val="20"/>
                <w:lang w:val="sr-Latn-ME"/>
              </w:rPr>
              <w:t xml:space="preserve"> </w:t>
            </w:r>
            <w:r w:rsidRPr="007B69EC">
              <w:rPr>
                <w:b/>
                <w:sz w:val="20"/>
                <w:szCs w:val="20"/>
                <w:lang w:val="sr-Latn-ME"/>
              </w:rPr>
              <w:t>kože</w:t>
            </w:r>
            <w:r w:rsidRPr="007B69EC">
              <w:rPr>
                <w:b/>
                <w:spacing w:val="-9"/>
                <w:sz w:val="20"/>
                <w:szCs w:val="20"/>
                <w:lang w:val="sr-Latn-ME"/>
              </w:rPr>
              <w:t xml:space="preserve"> </w:t>
            </w:r>
            <w:r w:rsidRPr="007B69EC">
              <w:rPr>
                <w:b/>
                <w:sz w:val="20"/>
                <w:szCs w:val="20"/>
                <w:lang w:val="sr-Latn-ME"/>
              </w:rPr>
              <w:t>i</w:t>
            </w:r>
            <w:r w:rsidRPr="007B69EC">
              <w:rPr>
                <w:b/>
                <w:spacing w:val="-52"/>
                <w:sz w:val="20"/>
                <w:szCs w:val="20"/>
                <w:lang w:val="sr-Latn-ME"/>
              </w:rPr>
              <w:t xml:space="preserve"> </w:t>
            </w:r>
            <w:r w:rsidRPr="007B69EC">
              <w:rPr>
                <w:b/>
                <w:sz w:val="20"/>
                <w:szCs w:val="20"/>
                <w:lang w:val="sr-Latn-ME"/>
              </w:rPr>
              <w:t>potkožnog</w:t>
            </w:r>
            <w:r w:rsidRPr="007B69EC">
              <w:rPr>
                <w:b/>
                <w:spacing w:val="-1"/>
                <w:sz w:val="20"/>
                <w:szCs w:val="20"/>
                <w:lang w:val="sr-Latn-ME"/>
              </w:rPr>
              <w:t xml:space="preserve"> </w:t>
            </w:r>
            <w:r w:rsidRPr="007B69EC">
              <w:rPr>
                <w:b/>
                <w:sz w:val="20"/>
                <w:szCs w:val="20"/>
                <w:lang w:val="sr-Latn-ME"/>
              </w:rPr>
              <w:t>tkiva</w:t>
            </w:r>
            <w:r w:rsidRPr="007B69EC">
              <w:rPr>
                <w:b/>
                <w:spacing w:val="-1"/>
                <w:sz w:val="20"/>
                <w:szCs w:val="20"/>
                <w:lang w:val="sr-Latn-ME"/>
              </w:rPr>
              <w:t xml:space="preserve"> </w:t>
            </w:r>
          </w:p>
        </w:tc>
        <w:tc>
          <w:tcPr>
            <w:tcW w:w="1775" w:type="dxa"/>
            <w:vAlign w:val="center"/>
          </w:tcPr>
          <w:p w14:paraId="465F9161" w14:textId="479F2B7A" w:rsidR="00170D88" w:rsidRPr="007B69EC" w:rsidRDefault="00170D88" w:rsidP="00FA31C9">
            <w:pPr>
              <w:widowControl w:val="0"/>
              <w:autoSpaceDE w:val="0"/>
              <w:autoSpaceDN w:val="0"/>
              <w:spacing w:line="242" w:lineRule="auto"/>
              <w:ind w:left="105" w:right="176"/>
              <w:rPr>
                <w:sz w:val="20"/>
                <w:szCs w:val="20"/>
                <w:lang w:val="sr-Latn-ME"/>
              </w:rPr>
            </w:pPr>
          </w:p>
        </w:tc>
        <w:tc>
          <w:tcPr>
            <w:tcW w:w="1409" w:type="dxa"/>
            <w:vAlign w:val="center"/>
          </w:tcPr>
          <w:p w14:paraId="5B5914F2" w14:textId="6B2E30A5" w:rsidR="00170D88" w:rsidRPr="007B69EC" w:rsidRDefault="00170D88" w:rsidP="00FA31C9">
            <w:pPr>
              <w:widowControl w:val="0"/>
              <w:autoSpaceDE w:val="0"/>
              <w:autoSpaceDN w:val="0"/>
              <w:spacing w:line="242" w:lineRule="auto"/>
              <w:ind w:left="111" w:right="360"/>
              <w:rPr>
                <w:sz w:val="20"/>
                <w:szCs w:val="20"/>
                <w:lang w:val="sr-Latn-ME"/>
              </w:rPr>
            </w:pPr>
            <w:r w:rsidRPr="007B69EC">
              <w:rPr>
                <w:sz w:val="20"/>
                <w:szCs w:val="20"/>
                <w:lang w:val="sr-Latn-ME"/>
              </w:rPr>
              <w:t>osip, urtikarija, pruritus</w:t>
            </w:r>
          </w:p>
        </w:tc>
        <w:tc>
          <w:tcPr>
            <w:tcW w:w="2250" w:type="dxa"/>
            <w:vAlign w:val="center"/>
          </w:tcPr>
          <w:p w14:paraId="3A56892C" w14:textId="1A43B771" w:rsidR="00170D88" w:rsidRPr="007B69EC" w:rsidRDefault="00170D88" w:rsidP="00170D88">
            <w:pPr>
              <w:widowControl w:val="0"/>
              <w:autoSpaceDE w:val="0"/>
              <w:autoSpaceDN w:val="0"/>
              <w:spacing w:line="241" w:lineRule="exact"/>
              <w:ind w:left="120"/>
              <w:rPr>
                <w:sz w:val="20"/>
                <w:szCs w:val="20"/>
                <w:lang w:val="sr-Latn-ME"/>
              </w:rPr>
            </w:pPr>
            <w:r w:rsidRPr="007B69EC">
              <w:rPr>
                <w:sz w:val="20"/>
                <w:szCs w:val="20"/>
                <w:lang w:val="sr-Latn-ME"/>
              </w:rPr>
              <w:t>angioedem</w:t>
            </w:r>
            <w:r w:rsidRPr="007B69EC">
              <w:rPr>
                <w:spacing w:val="-1"/>
                <w:sz w:val="20"/>
                <w:szCs w:val="20"/>
                <w:lang w:val="sr-Latn-ME"/>
              </w:rPr>
              <w:t xml:space="preserve"> </w:t>
            </w:r>
          </w:p>
        </w:tc>
      </w:tr>
      <w:bookmarkEnd w:id="0"/>
    </w:tbl>
    <w:p w14:paraId="45A96A41" w14:textId="77777777" w:rsidR="00FA31C9" w:rsidRPr="007B69EC" w:rsidRDefault="00FA31C9" w:rsidP="00A46C9A">
      <w:pPr>
        <w:spacing w:after="200" w:line="276" w:lineRule="auto"/>
        <w:rPr>
          <w:rFonts w:eastAsia="Calibri"/>
          <w:sz w:val="22"/>
          <w:szCs w:val="22"/>
          <w:u w:val="single"/>
          <w:lang w:val="sr-Latn-ME"/>
        </w:rPr>
      </w:pPr>
    </w:p>
    <w:p w14:paraId="66E1BE14" w14:textId="7557D593" w:rsidR="005A23D2" w:rsidRPr="007B69EC" w:rsidRDefault="005A23D2" w:rsidP="00A46C9A">
      <w:pPr>
        <w:spacing w:after="200" w:line="276" w:lineRule="auto"/>
        <w:rPr>
          <w:rFonts w:eastAsia="Calibri"/>
          <w:sz w:val="22"/>
          <w:szCs w:val="22"/>
          <w:u w:val="single"/>
          <w:lang w:val="sr-Latn-ME"/>
        </w:rPr>
      </w:pPr>
      <w:r w:rsidRPr="007B69EC">
        <w:rPr>
          <w:rFonts w:eastAsia="Calibri"/>
          <w:sz w:val="22"/>
          <w:szCs w:val="22"/>
          <w:u w:val="single"/>
          <w:lang w:val="sr-Latn-ME"/>
        </w:rPr>
        <w:t>Prijavljivanje sumnji na neželjena dejstva</w:t>
      </w:r>
    </w:p>
    <w:p w14:paraId="7D460132" w14:textId="77777777" w:rsidR="005A23D2" w:rsidRPr="007B69EC" w:rsidRDefault="005A23D2" w:rsidP="00A46C9A">
      <w:pPr>
        <w:spacing w:after="200"/>
        <w:jc w:val="both"/>
        <w:rPr>
          <w:rFonts w:eastAsia="Calibri"/>
          <w:sz w:val="22"/>
          <w:szCs w:val="22"/>
          <w:lang w:val="sr-Latn-ME"/>
        </w:rPr>
      </w:pPr>
      <w:r w:rsidRPr="007B69EC">
        <w:rPr>
          <w:rFonts w:eastAsia="Calibri"/>
          <w:sz w:val="22"/>
          <w:szCs w:val="22"/>
          <w:lang w:val="sr-Latn-ME"/>
        </w:rPr>
        <w:t>Prijavljivanje neželjenih dejstava nakon dobijanja dozvole je od velikog značaja jer obezbjeđuje kont</w:t>
      </w:r>
      <w:r w:rsidR="00EA5765" w:rsidRPr="007B69EC">
        <w:rPr>
          <w:rFonts w:eastAsia="Calibri"/>
          <w:sz w:val="22"/>
          <w:szCs w:val="22"/>
          <w:lang w:val="sr-Latn-ME"/>
        </w:rPr>
        <w:t>inuirano praćenje odnosa korist</w:t>
      </w:r>
      <w:r w:rsidRPr="007B69EC">
        <w:rPr>
          <w:rFonts w:eastAsia="Calibri"/>
          <w:sz w:val="22"/>
          <w:szCs w:val="22"/>
          <w:lang w:val="sr-Latn-ME"/>
        </w:rPr>
        <w:t>/rizik primjene lijeka. Zdravstveni radnici treba da prijave svaku sumnju na neželjeno</w:t>
      </w:r>
      <w:r w:rsidR="009B062A" w:rsidRPr="007B69EC">
        <w:rPr>
          <w:rFonts w:eastAsia="Calibri"/>
          <w:sz w:val="22"/>
          <w:szCs w:val="22"/>
          <w:lang w:val="sr-Latn-ME"/>
        </w:rPr>
        <w:t xml:space="preserve"> </w:t>
      </w:r>
      <w:r w:rsidRPr="007B69EC">
        <w:rPr>
          <w:rFonts w:eastAsia="Calibri"/>
          <w:sz w:val="22"/>
          <w:szCs w:val="22"/>
          <w:lang w:val="sr-Latn-ME"/>
        </w:rPr>
        <w:t xml:space="preserve">dejstvo ovog lijeka </w:t>
      </w:r>
      <w:r w:rsidR="004E70AD" w:rsidRPr="007B69EC">
        <w:rPr>
          <w:rFonts w:eastAsia="Calibri"/>
          <w:sz w:val="22"/>
          <w:szCs w:val="22"/>
          <w:lang w:val="sr-Latn-ME"/>
        </w:rPr>
        <w:t>Institutu</w:t>
      </w:r>
      <w:r w:rsidRPr="007B69EC">
        <w:rPr>
          <w:rFonts w:eastAsia="Calibri"/>
          <w:sz w:val="22"/>
          <w:szCs w:val="22"/>
          <w:lang w:val="sr-Latn-ME"/>
        </w:rPr>
        <w:t xml:space="preserve"> za ljekove i medicinska sredstva</w:t>
      </w:r>
      <w:r w:rsidR="004E70AD" w:rsidRPr="007B69EC">
        <w:rPr>
          <w:rFonts w:eastAsia="Calibri"/>
          <w:sz w:val="22"/>
          <w:szCs w:val="22"/>
          <w:lang w:val="sr-Latn-ME"/>
        </w:rPr>
        <w:t xml:space="preserve"> </w:t>
      </w:r>
      <w:r w:rsidRPr="007B69EC">
        <w:rPr>
          <w:rFonts w:eastAsia="Calibri"/>
          <w:sz w:val="22"/>
          <w:szCs w:val="22"/>
          <w:lang w:val="sr-Latn-ME"/>
        </w:rPr>
        <w:t>(</w:t>
      </w:r>
      <w:r w:rsidR="004E70AD" w:rsidRPr="007B69EC">
        <w:rPr>
          <w:rFonts w:eastAsia="Calibri"/>
          <w:sz w:val="22"/>
          <w:szCs w:val="22"/>
          <w:lang w:val="sr-Latn-ME"/>
        </w:rPr>
        <w:t>CInMED</w:t>
      </w:r>
      <w:r w:rsidRPr="007B69EC">
        <w:rPr>
          <w:rFonts w:eastAsia="Calibri"/>
          <w:sz w:val="22"/>
          <w:szCs w:val="22"/>
          <w:lang w:val="sr-Latn-ME"/>
        </w:rPr>
        <w:t>):</w:t>
      </w:r>
    </w:p>
    <w:p w14:paraId="01A8C5A4" w14:textId="77777777" w:rsidR="005A23D2" w:rsidRPr="007B69EC" w:rsidRDefault="004E70AD" w:rsidP="00A46C9A">
      <w:pPr>
        <w:pStyle w:val="NoSpacing"/>
        <w:jc w:val="both"/>
        <w:rPr>
          <w:rFonts w:eastAsia="Calibri"/>
          <w:sz w:val="22"/>
          <w:szCs w:val="22"/>
          <w:lang w:val="sr-Latn-ME"/>
        </w:rPr>
      </w:pPr>
      <w:r w:rsidRPr="007B69EC">
        <w:rPr>
          <w:rFonts w:eastAsia="Calibri"/>
          <w:sz w:val="22"/>
          <w:szCs w:val="22"/>
          <w:lang w:val="sr-Latn-ME"/>
        </w:rPr>
        <w:t xml:space="preserve">Institut </w:t>
      </w:r>
      <w:r w:rsidR="005A23D2" w:rsidRPr="007B69EC">
        <w:rPr>
          <w:rFonts w:eastAsia="Calibri"/>
          <w:sz w:val="22"/>
          <w:szCs w:val="22"/>
          <w:lang w:val="sr-Latn-ME"/>
        </w:rPr>
        <w:t xml:space="preserve">za ljekove i medicinska sredstva </w:t>
      </w:r>
    </w:p>
    <w:p w14:paraId="42B2DC66" w14:textId="77777777" w:rsidR="005A23D2" w:rsidRPr="007B69EC" w:rsidRDefault="005A23D2" w:rsidP="00A46C9A">
      <w:pPr>
        <w:pStyle w:val="NoSpacing"/>
        <w:jc w:val="both"/>
        <w:rPr>
          <w:rFonts w:eastAsia="Calibri"/>
          <w:sz w:val="22"/>
          <w:szCs w:val="22"/>
          <w:lang w:val="sr-Latn-ME"/>
        </w:rPr>
      </w:pPr>
      <w:r w:rsidRPr="007B69EC">
        <w:rPr>
          <w:rFonts w:eastAsia="Calibri"/>
          <w:sz w:val="22"/>
          <w:szCs w:val="22"/>
          <w:lang w:val="sr-Latn-ME"/>
        </w:rPr>
        <w:t>Odjeljenje za farmakovigilancu</w:t>
      </w:r>
    </w:p>
    <w:p w14:paraId="62BE1B42" w14:textId="77777777" w:rsidR="00EA5765" w:rsidRPr="007B69EC" w:rsidRDefault="005A23D2" w:rsidP="00A46C9A">
      <w:pPr>
        <w:pStyle w:val="NoSpacing"/>
        <w:jc w:val="both"/>
        <w:rPr>
          <w:rFonts w:eastAsia="Calibri"/>
          <w:sz w:val="22"/>
          <w:szCs w:val="22"/>
          <w:lang w:val="sr-Latn-ME"/>
        </w:rPr>
      </w:pPr>
      <w:r w:rsidRPr="007B69EC">
        <w:rPr>
          <w:rFonts w:eastAsia="Calibri"/>
          <w:sz w:val="22"/>
          <w:szCs w:val="22"/>
          <w:lang w:val="sr-Latn-ME"/>
        </w:rPr>
        <w:t>Bulevar Ivana Crnojevića 64a, 81000 Podgorica</w:t>
      </w:r>
    </w:p>
    <w:p w14:paraId="59025BD9" w14:textId="77777777" w:rsidR="005A23D2" w:rsidRPr="007B69EC" w:rsidRDefault="005A23D2" w:rsidP="00A46C9A">
      <w:pPr>
        <w:pStyle w:val="NoSpacing"/>
        <w:jc w:val="both"/>
        <w:rPr>
          <w:rFonts w:eastAsia="Calibri"/>
          <w:sz w:val="22"/>
          <w:szCs w:val="22"/>
          <w:lang w:val="sr-Latn-ME"/>
        </w:rPr>
      </w:pPr>
      <w:r w:rsidRPr="007B69EC">
        <w:rPr>
          <w:rFonts w:eastAsia="Calibri"/>
          <w:sz w:val="22"/>
          <w:szCs w:val="22"/>
          <w:lang w:val="sr-Latn-ME"/>
        </w:rPr>
        <w:t>tel: +382 (0) 20 310 280</w:t>
      </w:r>
    </w:p>
    <w:p w14:paraId="4A8A68CD" w14:textId="77777777" w:rsidR="00EA5765" w:rsidRPr="007B69EC" w:rsidRDefault="005A23D2" w:rsidP="00FF3EDF">
      <w:pPr>
        <w:pStyle w:val="NoSpacing"/>
        <w:tabs>
          <w:tab w:val="left" w:pos="6720"/>
        </w:tabs>
        <w:jc w:val="both"/>
        <w:rPr>
          <w:rFonts w:eastAsia="Calibri"/>
          <w:sz w:val="22"/>
          <w:szCs w:val="22"/>
          <w:lang w:val="sr-Latn-ME"/>
        </w:rPr>
      </w:pPr>
      <w:r w:rsidRPr="007B69EC">
        <w:rPr>
          <w:rFonts w:eastAsia="Calibri"/>
          <w:sz w:val="22"/>
          <w:szCs w:val="22"/>
          <w:lang w:val="sr-Latn-ME"/>
        </w:rPr>
        <w:t>fax:</w:t>
      </w:r>
      <w:r w:rsidR="00EA5765" w:rsidRPr="007B69EC">
        <w:rPr>
          <w:rFonts w:eastAsia="Calibri"/>
          <w:sz w:val="22"/>
          <w:szCs w:val="22"/>
          <w:lang w:val="sr-Latn-ME"/>
        </w:rPr>
        <w:t xml:space="preserve"> </w:t>
      </w:r>
      <w:r w:rsidRPr="007B69EC">
        <w:rPr>
          <w:rFonts w:eastAsia="Calibri"/>
          <w:sz w:val="22"/>
          <w:szCs w:val="22"/>
          <w:lang w:val="sr-Latn-ME"/>
        </w:rPr>
        <w:t>+382 (0) 20 310 581</w:t>
      </w:r>
      <w:r w:rsidR="00FF3EDF" w:rsidRPr="007B69EC">
        <w:rPr>
          <w:rFonts w:eastAsia="Calibri"/>
          <w:sz w:val="22"/>
          <w:szCs w:val="22"/>
          <w:lang w:val="sr-Latn-ME"/>
        </w:rPr>
        <w:tab/>
      </w:r>
    </w:p>
    <w:p w14:paraId="3AE35990" w14:textId="77777777" w:rsidR="005A23D2" w:rsidRPr="007B69EC" w:rsidRDefault="005D34B6" w:rsidP="00A46C9A">
      <w:pPr>
        <w:pStyle w:val="NoSpacing"/>
        <w:jc w:val="both"/>
        <w:rPr>
          <w:rFonts w:eastAsia="Calibri"/>
          <w:sz w:val="22"/>
          <w:szCs w:val="22"/>
          <w:lang w:val="sr-Latn-ME"/>
        </w:rPr>
      </w:pPr>
      <w:hyperlink r:id="rId8" w:history="1">
        <w:r w:rsidR="004E70AD" w:rsidRPr="007B69EC">
          <w:rPr>
            <w:rStyle w:val="Hyperlink"/>
            <w:rFonts w:eastAsia="Calibri"/>
            <w:sz w:val="22"/>
            <w:szCs w:val="22"/>
            <w:lang w:val="sr-Latn-ME"/>
          </w:rPr>
          <w:t>www.cinmed.me</w:t>
        </w:r>
      </w:hyperlink>
    </w:p>
    <w:p w14:paraId="3EEFC207" w14:textId="77777777" w:rsidR="00EA5765" w:rsidRPr="007B69EC" w:rsidRDefault="005D34B6" w:rsidP="00A46C9A">
      <w:pPr>
        <w:pStyle w:val="NoSpacing"/>
        <w:jc w:val="both"/>
        <w:rPr>
          <w:rFonts w:eastAsia="Calibri"/>
          <w:color w:val="0000FF"/>
          <w:sz w:val="22"/>
          <w:szCs w:val="22"/>
          <w:u w:val="single"/>
          <w:lang w:val="sr-Latn-ME"/>
        </w:rPr>
      </w:pPr>
      <w:hyperlink r:id="rId9" w:history="1">
        <w:r w:rsidR="004E70AD" w:rsidRPr="007B69EC">
          <w:rPr>
            <w:rStyle w:val="Hyperlink"/>
            <w:rFonts w:eastAsia="Calibri"/>
            <w:sz w:val="22"/>
            <w:szCs w:val="22"/>
            <w:lang w:val="sr-Latn-ME"/>
          </w:rPr>
          <w:t>nezeljenadejstva@cinmed.me</w:t>
        </w:r>
      </w:hyperlink>
    </w:p>
    <w:p w14:paraId="0EF362C8" w14:textId="77777777" w:rsidR="005A23D2" w:rsidRPr="007B69EC" w:rsidRDefault="005A23D2" w:rsidP="00A46C9A">
      <w:pPr>
        <w:pStyle w:val="NoSpacing"/>
        <w:jc w:val="both"/>
        <w:rPr>
          <w:rFonts w:eastAsia="Calibri"/>
          <w:sz w:val="22"/>
          <w:szCs w:val="22"/>
          <w:lang w:val="sr-Latn-ME"/>
        </w:rPr>
      </w:pPr>
      <w:r w:rsidRPr="007B69EC">
        <w:rPr>
          <w:rFonts w:eastAsia="Calibri"/>
          <w:sz w:val="22"/>
          <w:szCs w:val="22"/>
          <w:lang w:val="sr-Latn-ME"/>
        </w:rPr>
        <w:t>putem IS zdravstvene zaštite</w:t>
      </w:r>
    </w:p>
    <w:p w14:paraId="2A215D23" w14:textId="77777777" w:rsidR="007E31E9" w:rsidRPr="007B69EC" w:rsidRDefault="007E31E9" w:rsidP="00A46C9A">
      <w:pPr>
        <w:pStyle w:val="NoSpacing"/>
        <w:jc w:val="both"/>
        <w:rPr>
          <w:rFonts w:eastAsia="Calibri"/>
          <w:sz w:val="22"/>
          <w:szCs w:val="22"/>
          <w:lang w:val="sr-Latn-ME"/>
        </w:rPr>
      </w:pPr>
      <w:r w:rsidRPr="007B69EC">
        <w:rPr>
          <w:rFonts w:eastAsia="Calibri"/>
          <w:sz w:val="22"/>
          <w:szCs w:val="22"/>
          <w:lang w:val="sr-Latn-ME"/>
        </w:rPr>
        <w:t>QR kod za online prijavu</w:t>
      </w:r>
      <w:r w:rsidR="00D74CD2" w:rsidRPr="007B69EC">
        <w:rPr>
          <w:rFonts w:eastAsia="Calibri"/>
          <w:sz w:val="22"/>
          <w:szCs w:val="22"/>
          <w:lang w:val="sr-Latn-ME"/>
        </w:rPr>
        <w:t xml:space="preserve"> sumnje na neželjeno dejstvo lijeka</w:t>
      </w:r>
      <w:r w:rsidRPr="007B69EC">
        <w:rPr>
          <w:rFonts w:eastAsia="Calibri"/>
          <w:sz w:val="22"/>
          <w:szCs w:val="22"/>
          <w:lang w:val="sr-Latn-ME"/>
        </w:rPr>
        <w:t>:</w:t>
      </w:r>
    </w:p>
    <w:p w14:paraId="5CFED052" w14:textId="77777777" w:rsidR="007E31E9" w:rsidRPr="007B69EC" w:rsidRDefault="007E31E9" w:rsidP="00A46C9A">
      <w:pPr>
        <w:pStyle w:val="NoSpacing"/>
        <w:jc w:val="both"/>
        <w:rPr>
          <w:rFonts w:eastAsia="Calibri"/>
          <w:sz w:val="22"/>
          <w:szCs w:val="22"/>
          <w:lang w:val="sr-Latn-ME"/>
        </w:rPr>
      </w:pPr>
    </w:p>
    <w:p w14:paraId="368AB401" w14:textId="710CAD1A" w:rsidR="004F17E2" w:rsidRPr="007B69EC" w:rsidRDefault="00AE0033" w:rsidP="007E31E9">
      <w:pPr>
        <w:pStyle w:val="NoSpacing"/>
        <w:rPr>
          <w:rFonts w:eastAsia="Calibri"/>
          <w:sz w:val="22"/>
          <w:szCs w:val="22"/>
          <w:lang w:val="sr-Latn-ME"/>
        </w:rPr>
      </w:pPr>
      <w:r w:rsidRPr="007B69EC">
        <w:rPr>
          <w:b/>
          <w:bCs/>
          <w:noProof/>
          <w:sz w:val="22"/>
          <w:szCs w:val="22"/>
          <w:lang w:val="sr-Latn-ME"/>
        </w:rPr>
        <w:drawing>
          <wp:inline distT="0" distB="0" distL="0" distR="0" wp14:anchorId="60DDD7D9" wp14:editId="6178707E">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2285885" w14:textId="77777777" w:rsidR="00836B35" w:rsidRPr="007B69EC" w:rsidRDefault="00836B35" w:rsidP="00480FB1">
      <w:pPr>
        <w:tabs>
          <w:tab w:val="left" w:pos="540"/>
          <w:tab w:val="left" w:pos="569"/>
        </w:tabs>
        <w:rPr>
          <w:b/>
          <w:bCs/>
          <w:sz w:val="22"/>
          <w:szCs w:val="22"/>
          <w:lang w:val="sr-Latn-ME"/>
        </w:rPr>
      </w:pPr>
    </w:p>
    <w:p w14:paraId="60D884BC" w14:textId="77777777" w:rsidR="00CD6F02" w:rsidRPr="007B69EC" w:rsidRDefault="0072020E" w:rsidP="00480FB1">
      <w:pPr>
        <w:tabs>
          <w:tab w:val="left" w:pos="540"/>
          <w:tab w:val="left" w:pos="569"/>
        </w:tabs>
        <w:rPr>
          <w:b/>
          <w:bCs/>
          <w:sz w:val="22"/>
          <w:szCs w:val="22"/>
          <w:lang w:val="sr-Latn-ME"/>
        </w:rPr>
      </w:pPr>
      <w:r w:rsidRPr="007B69EC">
        <w:rPr>
          <w:b/>
          <w:bCs/>
          <w:sz w:val="22"/>
          <w:szCs w:val="22"/>
          <w:lang w:val="sr-Latn-ME"/>
        </w:rPr>
        <w:t xml:space="preserve">4.9. </w:t>
      </w:r>
      <w:r w:rsidR="00480FB1" w:rsidRPr="007B69EC">
        <w:rPr>
          <w:b/>
          <w:bCs/>
          <w:sz w:val="22"/>
          <w:szCs w:val="22"/>
          <w:lang w:val="sr-Latn-ME"/>
        </w:rPr>
        <w:tab/>
      </w:r>
      <w:r w:rsidRPr="007B69EC">
        <w:rPr>
          <w:b/>
          <w:bCs/>
          <w:sz w:val="22"/>
          <w:szCs w:val="22"/>
          <w:lang w:val="sr-Latn-ME"/>
        </w:rPr>
        <w:t>Predoziranje</w:t>
      </w:r>
      <w:r w:rsidR="002846DB" w:rsidRPr="007B69EC">
        <w:rPr>
          <w:b/>
          <w:bCs/>
          <w:sz w:val="22"/>
          <w:szCs w:val="22"/>
          <w:lang w:val="sr-Latn-ME"/>
        </w:rPr>
        <w:t xml:space="preserve"> </w:t>
      </w:r>
    </w:p>
    <w:p w14:paraId="6D6916C2" w14:textId="77777777" w:rsidR="00CD6F02" w:rsidRPr="007B69EC" w:rsidRDefault="00CD6F02" w:rsidP="00480FB1">
      <w:pPr>
        <w:tabs>
          <w:tab w:val="left" w:pos="540"/>
          <w:tab w:val="left" w:pos="569"/>
        </w:tabs>
        <w:rPr>
          <w:b/>
          <w:bCs/>
          <w:sz w:val="22"/>
          <w:szCs w:val="22"/>
          <w:lang w:val="sr-Latn-ME"/>
        </w:rPr>
      </w:pPr>
    </w:p>
    <w:p w14:paraId="619E901C" w14:textId="5B1228A7" w:rsidR="00FA31C9" w:rsidRPr="007B69EC" w:rsidRDefault="00FA31C9" w:rsidP="00FA31C9">
      <w:pPr>
        <w:tabs>
          <w:tab w:val="left" w:pos="540"/>
          <w:tab w:val="left" w:pos="569"/>
        </w:tabs>
        <w:jc w:val="both"/>
        <w:rPr>
          <w:sz w:val="22"/>
          <w:szCs w:val="22"/>
          <w:lang w:val="sr-Latn-ME"/>
        </w:rPr>
      </w:pPr>
      <w:r w:rsidRPr="007B69EC">
        <w:rPr>
          <w:sz w:val="22"/>
          <w:szCs w:val="22"/>
          <w:lang w:val="sr-Latn-ME"/>
        </w:rPr>
        <w:t xml:space="preserve">Iskustvo s oralnim predoziranjem fosfomicinom je ograničeno. Pri parenteralnoj primjeni fosfomicina prijavljeni su slučajevi hipotonije, somnolencije, poremećaja elektrolita, trombocitopenije i hipoprotrombinemije. </w:t>
      </w:r>
    </w:p>
    <w:p w14:paraId="5B4A6E19" w14:textId="77777777" w:rsidR="00FA31C9" w:rsidRPr="007B69EC" w:rsidRDefault="00FA31C9" w:rsidP="00FA31C9">
      <w:pPr>
        <w:tabs>
          <w:tab w:val="left" w:pos="540"/>
          <w:tab w:val="left" w:pos="569"/>
        </w:tabs>
        <w:jc w:val="both"/>
        <w:rPr>
          <w:sz w:val="22"/>
          <w:szCs w:val="22"/>
          <w:lang w:val="sr-Latn-ME"/>
        </w:rPr>
      </w:pPr>
    </w:p>
    <w:p w14:paraId="1DCED2F9" w14:textId="4A43D940" w:rsidR="00FA31C9" w:rsidRDefault="00FA31C9" w:rsidP="00FA31C9">
      <w:pPr>
        <w:tabs>
          <w:tab w:val="left" w:pos="540"/>
          <w:tab w:val="left" w:pos="569"/>
        </w:tabs>
        <w:jc w:val="both"/>
        <w:rPr>
          <w:sz w:val="22"/>
          <w:szCs w:val="22"/>
          <w:lang w:val="sr-Latn-ME"/>
        </w:rPr>
      </w:pPr>
      <w:r w:rsidRPr="007B69EC">
        <w:rPr>
          <w:sz w:val="22"/>
          <w:szCs w:val="22"/>
          <w:lang w:val="sr-Latn-ME"/>
        </w:rPr>
        <w:t xml:space="preserve">U slučaju predoziranja, pacijent se mora pratiti (posebno koncentracije elektrolita u plazmi/serumu), a liječenje treba biti simptomatsko i suportivno. Preporučuje se rehidracija kako bi se potaknula eliminacija aktivne supstance putem urina. Fosfomicin se efikasno uklanja iz organizma hemodijalizom sa srednjim poluživotom eliminacije od približno 4 sata. </w:t>
      </w:r>
    </w:p>
    <w:p w14:paraId="27F23A7A" w14:textId="4E9B48DA" w:rsidR="007B69EC" w:rsidRDefault="007B69EC" w:rsidP="00FA31C9">
      <w:pPr>
        <w:tabs>
          <w:tab w:val="left" w:pos="540"/>
          <w:tab w:val="left" w:pos="569"/>
        </w:tabs>
        <w:jc w:val="both"/>
        <w:rPr>
          <w:sz w:val="22"/>
          <w:szCs w:val="22"/>
          <w:lang w:val="sr-Latn-ME"/>
        </w:rPr>
      </w:pPr>
    </w:p>
    <w:p w14:paraId="3646B115" w14:textId="77777777" w:rsidR="007B69EC" w:rsidRPr="007B69EC" w:rsidRDefault="007B69EC" w:rsidP="00FA31C9">
      <w:pPr>
        <w:tabs>
          <w:tab w:val="left" w:pos="540"/>
          <w:tab w:val="left" w:pos="569"/>
        </w:tabs>
        <w:jc w:val="both"/>
        <w:rPr>
          <w:sz w:val="22"/>
          <w:szCs w:val="22"/>
          <w:lang w:val="sr-Latn-ME"/>
        </w:rPr>
      </w:pPr>
    </w:p>
    <w:p w14:paraId="1DCE1224" w14:textId="5FF8D747" w:rsidR="005C584F" w:rsidRPr="007B69EC" w:rsidRDefault="0072020E" w:rsidP="00826224">
      <w:pPr>
        <w:tabs>
          <w:tab w:val="left" w:pos="540"/>
          <w:tab w:val="left" w:pos="569"/>
        </w:tabs>
        <w:jc w:val="both"/>
        <w:rPr>
          <w:b/>
          <w:bCs/>
          <w:sz w:val="22"/>
          <w:szCs w:val="22"/>
          <w:lang w:val="sr-Latn-ME"/>
        </w:rPr>
      </w:pPr>
      <w:r w:rsidRPr="007B69EC">
        <w:rPr>
          <w:b/>
          <w:bCs/>
          <w:sz w:val="22"/>
          <w:szCs w:val="22"/>
          <w:lang w:val="sr-Latn-ME"/>
        </w:rPr>
        <w:lastRenderedPageBreak/>
        <w:t xml:space="preserve">5. </w:t>
      </w:r>
      <w:r w:rsidR="00480FB1" w:rsidRPr="007B69EC">
        <w:rPr>
          <w:b/>
          <w:bCs/>
          <w:sz w:val="22"/>
          <w:szCs w:val="22"/>
          <w:lang w:val="sr-Latn-ME"/>
        </w:rPr>
        <w:tab/>
      </w:r>
      <w:r w:rsidRPr="007B69EC">
        <w:rPr>
          <w:b/>
          <w:bCs/>
          <w:sz w:val="22"/>
          <w:szCs w:val="22"/>
          <w:lang w:val="sr-Latn-ME"/>
        </w:rPr>
        <w:t>FARMAKOLOŠK</w:t>
      </w:r>
      <w:r w:rsidR="000D425A" w:rsidRPr="007B69EC">
        <w:rPr>
          <w:b/>
          <w:bCs/>
          <w:sz w:val="22"/>
          <w:szCs w:val="22"/>
          <w:lang w:val="sr-Latn-ME"/>
        </w:rPr>
        <w:t>I</w:t>
      </w:r>
      <w:r w:rsidRPr="007B69EC">
        <w:rPr>
          <w:b/>
          <w:bCs/>
          <w:sz w:val="22"/>
          <w:szCs w:val="22"/>
          <w:lang w:val="sr-Latn-ME"/>
        </w:rPr>
        <w:t xml:space="preserve"> PODACI</w:t>
      </w:r>
    </w:p>
    <w:p w14:paraId="75D2001E" w14:textId="77777777" w:rsidR="0072020E" w:rsidRPr="007B69EC" w:rsidRDefault="0072020E" w:rsidP="00826224">
      <w:pPr>
        <w:tabs>
          <w:tab w:val="left" w:pos="540"/>
          <w:tab w:val="left" w:pos="569"/>
        </w:tabs>
        <w:jc w:val="both"/>
        <w:rPr>
          <w:b/>
          <w:bCs/>
          <w:sz w:val="22"/>
          <w:szCs w:val="22"/>
          <w:lang w:val="sr-Latn-ME"/>
        </w:rPr>
      </w:pPr>
    </w:p>
    <w:p w14:paraId="145B713E" w14:textId="77777777" w:rsidR="0072020E" w:rsidRPr="007B69EC" w:rsidRDefault="0072020E" w:rsidP="00826224">
      <w:pPr>
        <w:tabs>
          <w:tab w:val="left" w:pos="540"/>
          <w:tab w:val="left" w:pos="569"/>
        </w:tabs>
        <w:jc w:val="both"/>
        <w:rPr>
          <w:b/>
          <w:bCs/>
          <w:sz w:val="22"/>
          <w:szCs w:val="22"/>
          <w:lang w:val="sr-Latn-ME"/>
        </w:rPr>
      </w:pPr>
      <w:r w:rsidRPr="007B69EC">
        <w:rPr>
          <w:b/>
          <w:bCs/>
          <w:sz w:val="22"/>
          <w:szCs w:val="22"/>
          <w:lang w:val="sr-Latn-ME"/>
        </w:rPr>
        <w:t xml:space="preserve">5.1. </w:t>
      </w:r>
      <w:r w:rsidR="00480FB1" w:rsidRPr="007B69EC">
        <w:rPr>
          <w:b/>
          <w:bCs/>
          <w:sz w:val="22"/>
          <w:szCs w:val="22"/>
          <w:lang w:val="sr-Latn-ME"/>
        </w:rPr>
        <w:tab/>
      </w:r>
      <w:r w:rsidRPr="007B69EC">
        <w:rPr>
          <w:b/>
          <w:bCs/>
          <w:sz w:val="22"/>
          <w:szCs w:val="22"/>
          <w:lang w:val="sr-Latn-ME"/>
        </w:rPr>
        <w:t>Farmakodinamski podaci</w:t>
      </w:r>
      <w:r w:rsidR="003A7059" w:rsidRPr="007B69EC">
        <w:rPr>
          <w:b/>
          <w:bCs/>
          <w:sz w:val="22"/>
          <w:szCs w:val="22"/>
          <w:lang w:val="sr-Latn-ME"/>
        </w:rPr>
        <w:t xml:space="preserve"> </w:t>
      </w:r>
    </w:p>
    <w:p w14:paraId="13141232" w14:textId="77777777" w:rsidR="00F45F77" w:rsidRPr="007B69EC" w:rsidRDefault="00F45F77" w:rsidP="00480FB1">
      <w:pPr>
        <w:tabs>
          <w:tab w:val="left" w:pos="540"/>
          <w:tab w:val="left" w:pos="569"/>
        </w:tabs>
        <w:rPr>
          <w:b/>
          <w:bCs/>
          <w:sz w:val="22"/>
          <w:szCs w:val="22"/>
          <w:lang w:val="sr-Latn-ME"/>
        </w:rPr>
      </w:pPr>
    </w:p>
    <w:p w14:paraId="040AC443" w14:textId="6E91B001" w:rsidR="0072020E" w:rsidRPr="007B69EC" w:rsidRDefault="0072020E" w:rsidP="00826224">
      <w:pPr>
        <w:tabs>
          <w:tab w:val="left" w:pos="540"/>
          <w:tab w:val="left" w:pos="569"/>
        </w:tabs>
        <w:jc w:val="both"/>
        <w:rPr>
          <w:bCs/>
          <w:sz w:val="22"/>
          <w:szCs w:val="22"/>
          <w:lang w:val="sr-Latn-ME"/>
        </w:rPr>
      </w:pPr>
      <w:r w:rsidRPr="007B69EC">
        <w:rPr>
          <w:bCs/>
          <w:sz w:val="22"/>
          <w:szCs w:val="22"/>
          <w:lang w:val="sr-Latn-ME"/>
        </w:rPr>
        <w:t>Farmakoterapijska grupa:</w:t>
      </w:r>
      <w:r w:rsidR="00FA31C9" w:rsidRPr="007B69EC">
        <w:rPr>
          <w:bCs/>
          <w:sz w:val="22"/>
          <w:szCs w:val="22"/>
          <w:lang w:val="sr-Latn-ME"/>
        </w:rPr>
        <w:t xml:space="preserve"> </w:t>
      </w:r>
      <w:r w:rsidR="003E4B95" w:rsidRPr="007B69EC">
        <w:rPr>
          <w:bCs/>
          <w:sz w:val="22"/>
          <w:szCs w:val="22"/>
          <w:lang w:val="sr-Latn-ME"/>
        </w:rPr>
        <w:t>A</w:t>
      </w:r>
      <w:r w:rsidR="00FA31C9" w:rsidRPr="007B69EC">
        <w:rPr>
          <w:bCs/>
          <w:sz w:val="22"/>
          <w:szCs w:val="22"/>
          <w:lang w:val="sr-Latn-ME"/>
        </w:rPr>
        <w:t>ntibakterijski ljekovi za sistemsku primjenu</w:t>
      </w:r>
      <w:r w:rsidR="00170D88" w:rsidRPr="007B69EC">
        <w:rPr>
          <w:bCs/>
          <w:sz w:val="22"/>
          <w:szCs w:val="22"/>
          <w:lang w:val="sr-Latn-ME"/>
        </w:rPr>
        <w:t>;</w:t>
      </w:r>
      <w:r w:rsidR="00FA31C9" w:rsidRPr="007B69EC">
        <w:rPr>
          <w:bCs/>
          <w:sz w:val="22"/>
          <w:szCs w:val="22"/>
          <w:lang w:val="sr-Latn-ME"/>
        </w:rPr>
        <w:t xml:space="preserve"> </w:t>
      </w:r>
      <w:r w:rsidR="00170D88" w:rsidRPr="007B69EC">
        <w:rPr>
          <w:bCs/>
          <w:sz w:val="22"/>
          <w:szCs w:val="22"/>
          <w:lang w:val="sr-Latn-ME"/>
        </w:rPr>
        <w:t>O</w:t>
      </w:r>
      <w:r w:rsidR="00FA31C9" w:rsidRPr="007B69EC">
        <w:rPr>
          <w:bCs/>
          <w:sz w:val="22"/>
          <w:szCs w:val="22"/>
          <w:lang w:val="sr-Latn-ME"/>
        </w:rPr>
        <w:t>stali antibakterijski ljekovi</w:t>
      </w:r>
    </w:p>
    <w:p w14:paraId="2C17E561" w14:textId="77777777" w:rsidR="0072020E" w:rsidRPr="007B69EC" w:rsidRDefault="0072020E" w:rsidP="00826224">
      <w:pPr>
        <w:tabs>
          <w:tab w:val="left" w:pos="540"/>
          <w:tab w:val="left" w:pos="569"/>
        </w:tabs>
        <w:jc w:val="both"/>
        <w:rPr>
          <w:bCs/>
          <w:sz w:val="22"/>
          <w:szCs w:val="22"/>
          <w:lang w:val="sr-Latn-ME"/>
        </w:rPr>
      </w:pPr>
    </w:p>
    <w:p w14:paraId="2BC78611" w14:textId="3C793BD9" w:rsidR="0072020E" w:rsidRPr="007B69EC" w:rsidRDefault="0072020E" w:rsidP="00826224">
      <w:pPr>
        <w:tabs>
          <w:tab w:val="left" w:pos="540"/>
          <w:tab w:val="left" w:pos="569"/>
        </w:tabs>
        <w:jc w:val="both"/>
        <w:rPr>
          <w:bCs/>
          <w:sz w:val="22"/>
          <w:szCs w:val="22"/>
          <w:lang w:val="sr-Latn-ME"/>
        </w:rPr>
      </w:pPr>
      <w:r w:rsidRPr="007B69EC">
        <w:rPr>
          <w:bCs/>
          <w:sz w:val="22"/>
          <w:szCs w:val="22"/>
          <w:lang w:val="sr-Latn-ME"/>
        </w:rPr>
        <w:t>ATC kod:</w:t>
      </w:r>
      <w:r w:rsidR="00574EDF" w:rsidRPr="007B69EC">
        <w:rPr>
          <w:bCs/>
          <w:sz w:val="22"/>
          <w:szCs w:val="22"/>
          <w:lang w:val="sr-Latn-ME"/>
        </w:rPr>
        <w:t xml:space="preserve"> J01XX01</w:t>
      </w:r>
    </w:p>
    <w:p w14:paraId="36C177C1" w14:textId="77777777" w:rsidR="00574EDF" w:rsidRPr="007B69EC" w:rsidRDefault="00574EDF" w:rsidP="00480FB1">
      <w:pPr>
        <w:tabs>
          <w:tab w:val="left" w:pos="540"/>
          <w:tab w:val="left" w:pos="569"/>
        </w:tabs>
        <w:rPr>
          <w:bCs/>
          <w:sz w:val="22"/>
          <w:szCs w:val="22"/>
          <w:lang w:val="sr-Latn-ME"/>
        </w:rPr>
      </w:pPr>
    </w:p>
    <w:p w14:paraId="59EE6474" w14:textId="77777777" w:rsidR="00574EDF" w:rsidRPr="007B69EC" w:rsidRDefault="00574EDF" w:rsidP="00574EDF">
      <w:pPr>
        <w:tabs>
          <w:tab w:val="left" w:pos="540"/>
          <w:tab w:val="left" w:pos="569"/>
        </w:tabs>
        <w:jc w:val="both"/>
        <w:rPr>
          <w:bCs/>
          <w:sz w:val="22"/>
          <w:szCs w:val="22"/>
          <w:u w:val="single"/>
          <w:lang w:val="sr-Latn-ME"/>
        </w:rPr>
      </w:pPr>
      <w:r w:rsidRPr="007B69EC">
        <w:rPr>
          <w:bCs/>
          <w:sz w:val="22"/>
          <w:szCs w:val="22"/>
          <w:u w:val="single"/>
          <w:lang w:val="sr-Latn-ME"/>
        </w:rPr>
        <w:t>Mehanizam dejstva</w:t>
      </w:r>
    </w:p>
    <w:p w14:paraId="2990900E" w14:textId="77777777" w:rsidR="00574EDF" w:rsidRPr="007B69EC" w:rsidRDefault="00574EDF" w:rsidP="00574EDF">
      <w:pPr>
        <w:tabs>
          <w:tab w:val="left" w:pos="540"/>
          <w:tab w:val="left" w:pos="569"/>
        </w:tabs>
        <w:jc w:val="both"/>
        <w:rPr>
          <w:bCs/>
          <w:sz w:val="22"/>
          <w:szCs w:val="22"/>
          <w:lang w:val="sr-Latn-ME"/>
        </w:rPr>
      </w:pPr>
      <w:r w:rsidRPr="007B69EC">
        <w:rPr>
          <w:bCs/>
          <w:sz w:val="22"/>
          <w:szCs w:val="22"/>
          <w:lang w:val="sr-Latn-ME"/>
        </w:rPr>
        <w:t xml:space="preserve">Fosfomicin pokazuje baktericidno dejstvo na proliferaciju patogena inhibiranjem enzimske sinteze ćelijskog zida bakterije. Blokirajući sintezu peptidoglikana, fosfomicin inhibira prvu fazu sinteze intracelularnog ćelijskog zida bakterije. Fosfomicin se aktivno transportuje u ćeliju bakterije putem dva različita transportna sistema (sn-glicerol-3-fosfatnog i heksoza-6 transportnog sistema). </w:t>
      </w:r>
    </w:p>
    <w:p w14:paraId="2DE9B2F3" w14:textId="77777777" w:rsidR="00574EDF" w:rsidRPr="007B69EC" w:rsidRDefault="00574EDF" w:rsidP="00574EDF">
      <w:pPr>
        <w:tabs>
          <w:tab w:val="left" w:pos="540"/>
          <w:tab w:val="left" w:pos="569"/>
        </w:tabs>
        <w:jc w:val="both"/>
        <w:rPr>
          <w:bCs/>
          <w:sz w:val="22"/>
          <w:szCs w:val="22"/>
          <w:lang w:val="sr-Latn-ME"/>
        </w:rPr>
      </w:pPr>
    </w:p>
    <w:p w14:paraId="29F341BA" w14:textId="77777777" w:rsidR="00574EDF" w:rsidRPr="007B69EC" w:rsidRDefault="00574EDF" w:rsidP="00574EDF">
      <w:pPr>
        <w:tabs>
          <w:tab w:val="left" w:pos="540"/>
          <w:tab w:val="left" w:pos="569"/>
        </w:tabs>
        <w:jc w:val="both"/>
        <w:rPr>
          <w:bCs/>
          <w:sz w:val="22"/>
          <w:szCs w:val="22"/>
          <w:u w:val="single"/>
          <w:lang w:val="sr-Latn-ME"/>
        </w:rPr>
      </w:pPr>
      <w:r w:rsidRPr="007B69EC">
        <w:rPr>
          <w:bCs/>
          <w:sz w:val="22"/>
          <w:szCs w:val="22"/>
          <w:u w:val="single"/>
          <w:lang w:val="sr-Latn-ME"/>
        </w:rPr>
        <w:t>Odnos farmakokinetike i farmakodinamike</w:t>
      </w:r>
    </w:p>
    <w:p w14:paraId="2ABA1754" w14:textId="77777777" w:rsidR="00574EDF" w:rsidRPr="007B69EC" w:rsidRDefault="00574EDF" w:rsidP="00574EDF">
      <w:pPr>
        <w:tabs>
          <w:tab w:val="left" w:pos="540"/>
          <w:tab w:val="left" w:pos="569"/>
        </w:tabs>
        <w:jc w:val="both"/>
        <w:rPr>
          <w:bCs/>
          <w:sz w:val="22"/>
          <w:szCs w:val="22"/>
          <w:u w:val="single"/>
          <w:lang w:val="sr-Latn-ME"/>
        </w:rPr>
      </w:pPr>
    </w:p>
    <w:p w14:paraId="742D51D6" w14:textId="77777777" w:rsidR="00574EDF" w:rsidRPr="007B69EC" w:rsidRDefault="00574EDF" w:rsidP="00574EDF">
      <w:pPr>
        <w:tabs>
          <w:tab w:val="left" w:pos="540"/>
          <w:tab w:val="left" w:pos="569"/>
        </w:tabs>
        <w:jc w:val="both"/>
        <w:rPr>
          <w:bCs/>
          <w:sz w:val="22"/>
          <w:szCs w:val="22"/>
          <w:lang w:val="sr-Latn-ME"/>
        </w:rPr>
      </w:pPr>
      <w:r w:rsidRPr="007B69EC">
        <w:rPr>
          <w:bCs/>
          <w:sz w:val="22"/>
          <w:szCs w:val="22"/>
          <w:lang w:val="sr-Latn-ME"/>
        </w:rPr>
        <w:t>Ograničeni podaci ukazuju na to da fosfomicin ima vremenski zavisno dejstvo.</w:t>
      </w:r>
    </w:p>
    <w:p w14:paraId="4F1E159D" w14:textId="77777777" w:rsidR="00574EDF" w:rsidRPr="007B69EC" w:rsidRDefault="00574EDF" w:rsidP="00574EDF">
      <w:pPr>
        <w:tabs>
          <w:tab w:val="left" w:pos="540"/>
          <w:tab w:val="left" w:pos="569"/>
        </w:tabs>
        <w:jc w:val="both"/>
        <w:rPr>
          <w:bCs/>
          <w:sz w:val="22"/>
          <w:szCs w:val="22"/>
          <w:lang w:val="sr-Latn-ME"/>
        </w:rPr>
      </w:pPr>
    </w:p>
    <w:p w14:paraId="09A973B5" w14:textId="77777777" w:rsidR="00574EDF" w:rsidRPr="007B69EC" w:rsidRDefault="00574EDF" w:rsidP="00574EDF">
      <w:pPr>
        <w:tabs>
          <w:tab w:val="left" w:pos="540"/>
          <w:tab w:val="left" w:pos="569"/>
        </w:tabs>
        <w:jc w:val="both"/>
        <w:rPr>
          <w:bCs/>
          <w:sz w:val="22"/>
          <w:szCs w:val="22"/>
          <w:u w:val="single"/>
          <w:lang w:val="sr-Latn-ME"/>
        </w:rPr>
      </w:pPr>
      <w:r w:rsidRPr="007B69EC">
        <w:rPr>
          <w:bCs/>
          <w:sz w:val="22"/>
          <w:szCs w:val="22"/>
          <w:u w:val="single"/>
          <w:lang w:val="sr-Latn-ME"/>
        </w:rPr>
        <w:t>Mehanizam rezistencije</w:t>
      </w:r>
    </w:p>
    <w:p w14:paraId="5D883740" w14:textId="77777777" w:rsidR="00574EDF" w:rsidRPr="007B69EC" w:rsidRDefault="00574EDF" w:rsidP="00574EDF">
      <w:pPr>
        <w:tabs>
          <w:tab w:val="left" w:pos="540"/>
          <w:tab w:val="left" w:pos="569"/>
        </w:tabs>
        <w:jc w:val="both"/>
        <w:rPr>
          <w:bCs/>
          <w:sz w:val="22"/>
          <w:szCs w:val="22"/>
          <w:u w:val="single"/>
          <w:lang w:val="sr-Latn-ME"/>
        </w:rPr>
      </w:pPr>
    </w:p>
    <w:p w14:paraId="44C8AF0F" w14:textId="77777777" w:rsidR="00574EDF" w:rsidRPr="007B69EC" w:rsidRDefault="00574EDF" w:rsidP="00574EDF">
      <w:pPr>
        <w:tabs>
          <w:tab w:val="left" w:pos="540"/>
          <w:tab w:val="left" w:pos="569"/>
        </w:tabs>
        <w:jc w:val="both"/>
        <w:rPr>
          <w:bCs/>
          <w:sz w:val="22"/>
          <w:szCs w:val="22"/>
          <w:lang w:val="sr-Latn-ME"/>
        </w:rPr>
      </w:pPr>
      <w:r w:rsidRPr="007B69EC">
        <w:rPr>
          <w:bCs/>
          <w:sz w:val="22"/>
          <w:szCs w:val="22"/>
          <w:lang w:val="sr-Latn-ME"/>
        </w:rPr>
        <w:t>Glavni mehanizam rezistencije je hromozomska mutacija koja izaziva promjenu bakterijskih transportnih sistema fosfomicina. Dalji mehanizmi rezistencije, koji se prenose putem plazmida ili transpozona, uzrokuju enzimsku inaktivaciju fosfomicina vezivanjem molekula za glutation ili cijepanjem veze ugljenik-fosfor u molekulu fosfomicina.</w:t>
      </w:r>
    </w:p>
    <w:p w14:paraId="547992C3" w14:textId="77777777" w:rsidR="00574EDF" w:rsidRPr="007B69EC" w:rsidRDefault="00574EDF" w:rsidP="00574EDF">
      <w:pPr>
        <w:tabs>
          <w:tab w:val="left" w:pos="540"/>
          <w:tab w:val="left" w:pos="569"/>
        </w:tabs>
        <w:jc w:val="both"/>
        <w:rPr>
          <w:bCs/>
          <w:sz w:val="22"/>
          <w:szCs w:val="22"/>
          <w:lang w:val="sr-Latn-ME"/>
        </w:rPr>
      </w:pPr>
    </w:p>
    <w:p w14:paraId="61F0B727" w14:textId="433A11F5" w:rsidR="00574EDF" w:rsidRPr="007B69EC" w:rsidRDefault="00574EDF" w:rsidP="00574EDF">
      <w:pPr>
        <w:tabs>
          <w:tab w:val="left" w:pos="540"/>
          <w:tab w:val="left" w:pos="569"/>
        </w:tabs>
        <w:jc w:val="both"/>
        <w:rPr>
          <w:bCs/>
          <w:sz w:val="22"/>
          <w:szCs w:val="22"/>
          <w:u w:val="single"/>
          <w:lang w:val="sr-Latn-ME"/>
        </w:rPr>
      </w:pPr>
      <w:r w:rsidRPr="007B69EC">
        <w:rPr>
          <w:bCs/>
          <w:sz w:val="22"/>
          <w:szCs w:val="22"/>
          <w:u w:val="single"/>
          <w:lang w:val="sr-Latn-ME"/>
        </w:rPr>
        <w:t>Unakrsna rezistencija</w:t>
      </w:r>
    </w:p>
    <w:p w14:paraId="25CFB4EE" w14:textId="77777777" w:rsidR="00170D88" w:rsidRPr="007B69EC" w:rsidRDefault="00170D88" w:rsidP="00574EDF">
      <w:pPr>
        <w:tabs>
          <w:tab w:val="left" w:pos="540"/>
          <w:tab w:val="left" w:pos="569"/>
        </w:tabs>
        <w:jc w:val="both"/>
        <w:rPr>
          <w:bCs/>
          <w:sz w:val="22"/>
          <w:szCs w:val="22"/>
          <w:u w:val="single"/>
          <w:lang w:val="sr-Latn-ME"/>
        </w:rPr>
      </w:pPr>
    </w:p>
    <w:p w14:paraId="6AAF31CD" w14:textId="57002BAA" w:rsidR="00574EDF" w:rsidRPr="007B69EC" w:rsidRDefault="00574EDF" w:rsidP="00574EDF">
      <w:pPr>
        <w:tabs>
          <w:tab w:val="left" w:pos="540"/>
          <w:tab w:val="left" w:pos="569"/>
        </w:tabs>
        <w:jc w:val="both"/>
        <w:rPr>
          <w:bCs/>
          <w:sz w:val="22"/>
          <w:szCs w:val="22"/>
          <w:lang w:val="sr-Latn-ME"/>
        </w:rPr>
      </w:pPr>
      <w:r w:rsidRPr="007B69EC">
        <w:rPr>
          <w:bCs/>
          <w:sz w:val="22"/>
          <w:szCs w:val="22"/>
          <w:lang w:val="sr-Latn-ME"/>
        </w:rPr>
        <w:t xml:space="preserve">Do danas nije prijavljena unakrsna rezistencija sa drugim antibakterijskim supstancama. </w:t>
      </w:r>
    </w:p>
    <w:p w14:paraId="2CEC41A0" w14:textId="77777777" w:rsidR="00574EDF" w:rsidRPr="007B69EC" w:rsidRDefault="00574EDF" w:rsidP="00574EDF">
      <w:pPr>
        <w:tabs>
          <w:tab w:val="left" w:pos="540"/>
          <w:tab w:val="left" w:pos="569"/>
        </w:tabs>
        <w:jc w:val="both"/>
        <w:rPr>
          <w:bCs/>
          <w:sz w:val="22"/>
          <w:szCs w:val="22"/>
          <w:lang w:val="sr-Latn-ME"/>
        </w:rPr>
      </w:pPr>
    </w:p>
    <w:p w14:paraId="5E166F1F" w14:textId="77777777" w:rsidR="00574EDF" w:rsidRPr="007B69EC" w:rsidRDefault="00574EDF" w:rsidP="00574EDF">
      <w:pPr>
        <w:tabs>
          <w:tab w:val="left" w:pos="540"/>
          <w:tab w:val="left" w:pos="569"/>
        </w:tabs>
        <w:jc w:val="both"/>
        <w:rPr>
          <w:bCs/>
          <w:sz w:val="22"/>
          <w:szCs w:val="22"/>
          <w:u w:val="single"/>
          <w:lang w:val="sr-Latn-ME"/>
        </w:rPr>
      </w:pPr>
      <w:r w:rsidRPr="007B69EC">
        <w:rPr>
          <w:bCs/>
          <w:sz w:val="22"/>
          <w:szCs w:val="22"/>
          <w:u w:val="single"/>
          <w:lang w:val="sr-Latn-ME"/>
        </w:rPr>
        <w:t xml:space="preserve">Granične vrijednosti u ispitivanjima osjetljivosti </w:t>
      </w:r>
    </w:p>
    <w:p w14:paraId="1D5DFC8E" w14:textId="77777777" w:rsidR="00574EDF" w:rsidRPr="007B69EC" w:rsidRDefault="00574EDF" w:rsidP="00574EDF">
      <w:pPr>
        <w:tabs>
          <w:tab w:val="left" w:pos="540"/>
          <w:tab w:val="left" w:pos="569"/>
        </w:tabs>
        <w:jc w:val="both"/>
        <w:rPr>
          <w:bCs/>
          <w:sz w:val="22"/>
          <w:szCs w:val="22"/>
          <w:u w:val="single"/>
          <w:lang w:val="sr-Latn-ME"/>
        </w:rPr>
      </w:pPr>
    </w:p>
    <w:p w14:paraId="454CA59E" w14:textId="528338FC" w:rsidR="00574EDF" w:rsidRPr="007B69EC" w:rsidRDefault="00063BD8" w:rsidP="00574EDF">
      <w:pPr>
        <w:tabs>
          <w:tab w:val="left" w:pos="540"/>
          <w:tab w:val="left" w:pos="569"/>
        </w:tabs>
        <w:jc w:val="both"/>
        <w:rPr>
          <w:bCs/>
          <w:sz w:val="22"/>
          <w:szCs w:val="22"/>
          <w:lang w:val="sr-Latn-ME"/>
        </w:rPr>
      </w:pPr>
      <w:r w:rsidRPr="007B69EC">
        <w:rPr>
          <w:bCs/>
          <w:sz w:val="22"/>
          <w:szCs w:val="22"/>
          <w:lang w:val="sr-Latn-ME"/>
        </w:rPr>
        <w:t>Granične vrijednosti osjetljivosti koje je utvrdio Evropski komitet za ispitivanje osjetljivosti na antimikrobne ljekove su sljedeće (tabela graničnih vr</w:t>
      </w:r>
      <w:r w:rsidR="00170D88" w:rsidRPr="007B69EC">
        <w:rPr>
          <w:bCs/>
          <w:sz w:val="22"/>
          <w:szCs w:val="22"/>
          <w:lang w:val="sr-Latn-ME"/>
        </w:rPr>
        <w:t>ij</w:t>
      </w:r>
      <w:r w:rsidRPr="007B69EC">
        <w:rPr>
          <w:bCs/>
          <w:sz w:val="22"/>
          <w:szCs w:val="22"/>
          <w:lang w:val="sr-Latn-ME"/>
        </w:rPr>
        <w:t>ednosti EUCAST, verzija 13.1</w:t>
      </w:r>
      <w:r w:rsidR="00170D88" w:rsidRPr="007B69EC">
        <w:rPr>
          <w:bCs/>
          <w:sz w:val="22"/>
          <w:szCs w:val="22"/>
          <w:lang w:val="sr-Latn-ME"/>
        </w:rPr>
        <w:t>):</w:t>
      </w:r>
    </w:p>
    <w:p w14:paraId="73DD744D" w14:textId="77777777" w:rsidR="00574EDF" w:rsidRPr="007B69EC" w:rsidRDefault="00574EDF" w:rsidP="00574EDF">
      <w:pPr>
        <w:tabs>
          <w:tab w:val="left" w:pos="540"/>
          <w:tab w:val="left" w:pos="569"/>
        </w:tabs>
        <w:jc w:val="both"/>
        <w:rPr>
          <w:bCs/>
          <w:sz w:val="22"/>
          <w:szCs w:val="22"/>
          <w:lang w:val="sr-Latn-M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4"/>
        <w:gridCol w:w="3000"/>
        <w:gridCol w:w="2648"/>
      </w:tblGrid>
      <w:tr w:rsidR="00574EDF" w:rsidRPr="007B69EC" w14:paraId="35824C89" w14:textId="77777777" w:rsidTr="007B69EC">
        <w:trPr>
          <w:trHeight w:val="226"/>
        </w:trPr>
        <w:tc>
          <w:tcPr>
            <w:tcW w:w="3424" w:type="dxa"/>
          </w:tcPr>
          <w:p w14:paraId="4454F23A" w14:textId="77777777" w:rsidR="00574EDF" w:rsidRPr="007B69EC" w:rsidRDefault="00574EDF" w:rsidP="00574EDF">
            <w:pPr>
              <w:widowControl w:val="0"/>
              <w:autoSpaceDE w:val="0"/>
              <w:autoSpaceDN w:val="0"/>
              <w:spacing w:line="206" w:lineRule="exact"/>
              <w:ind w:left="108"/>
              <w:rPr>
                <w:rFonts w:eastAsia="Microsoft Sans Serif"/>
                <w:b/>
                <w:sz w:val="22"/>
                <w:szCs w:val="22"/>
                <w:lang w:val="sr-Latn-ME"/>
              </w:rPr>
            </w:pPr>
            <w:r w:rsidRPr="007B69EC">
              <w:rPr>
                <w:rFonts w:eastAsia="Microsoft Sans Serif"/>
                <w:b/>
                <w:spacing w:val="-2"/>
                <w:sz w:val="22"/>
                <w:szCs w:val="22"/>
                <w:lang w:val="sr-Latn-ME"/>
              </w:rPr>
              <w:t>Patogen</w:t>
            </w:r>
          </w:p>
        </w:tc>
        <w:tc>
          <w:tcPr>
            <w:tcW w:w="3000" w:type="dxa"/>
          </w:tcPr>
          <w:p w14:paraId="09DD725E" w14:textId="77777777" w:rsidR="00574EDF" w:rsidRPr="007B69EC" w:rsidRDefault="00574EDF" w:rsidP="00574EDF">
            <w:pPr>
              <w:widowControl w:val="0"/>
              <w:autoSpaceDE w:val="0"/>
              <w:autoSpaceDN w:val="0"/>
              <w:spacing w:line="206" w:lineRule="exact"/>
              <w:ind w:left="108"/>
              <w:rPr>
                <w:rFonts w:eastAsia="Microsoft Sans Serif"/>
                <w:b/>
                <w:sz w:val="22"/>
                <w:szCs w:val="22"/>
                <w:lang w:val="sr-Latn-ME"/>
              </w:rPr>
            </w:pPr>
            <w:r w:rsidRPr="007B69EC">
              <w:rPr>
                <w:rFonts w:eastAsia="Microsoft Sans Serif"/>
                <w:b/>
                <w:spacing w:val="-2"/>
                <w:sz w:val="22"/>
                <w:szCs w:val="22"/>
                <w:lang w:val="sr-Latn-ME"/>
              </w:rPr>
              <w:t>Osjetljiv</w:t>
            </w:r>
          </w:p>
        </w:tc>
        <w:tc>
          <w:tcPr>
            <w:tcW w:w="2648" w:type="dxa"/>
          </w:tcPr>
          <w:p w14:paraId="0F7924B7" w14:textId="77777777" w:rsidR="00574EDF" w:rsidRPr="007B69EC" w:rsidRDefault="00574EDF" w:rsidP="00574EDF">
            <w:pPr>
              <w:widowControl w:val="0"/>
              <w:autoSpaceDE w:val="0"/>
              <w:autoSpaceDN w:val="0"/>
              <w:spacing w:line="206" w:lineRule="exact"/>
              <w:ind w:left="107"/>
              <w:rPr>
                <w:rFonts w:eastAsia="Microsoft Sans Serif"/>
                <w:b/>
                <w:sz w:val="22"/>
                <w:szCs w:val="22"/>
                <w:lang w:val="sr-Latn-ME"/>
              </w:rPr>
            </w:pPr>
            <w:r w:rsidRPr="007B69EC">
              <w:rPr>
                <w:rFonts w:eastAsia="Microsoft Sans Serif"/>
                <w:b/>
                <w:spacing w:val="-2"/>
                <w:sz w:val="22"/>
                <w:szCs w:val="22"/>
                <w:lang w:val="sr-Latn-ME"/>
              </w:rPr>
              <w:t>Rezistentan</w:t>
            </w:r>
          </w:p>
        </w:tc>
      </w:tr>
      <w:tr w:rsidR="00574EDF" w:rsidRPr="007B69EC" w14:paraId="21BC3DC0" w14:textId="77777777" w:rsidTr="007B69EC">
        <w:trPr>
          <w:trHeight w:val="226"/>
        </w:trPr>
        <w:tc>
          <w:tcPr>
            <w:tcW w:w="3424" w:type="dxa"/>
          </w:tcPr>
          <w:p w14:paraId="62BEE541" w14:textId="0F2DEA13" w:rsidR="00574EDF" w:rsidRPr="007B69EC" w:rsidRDefault="00170D88" w:rsidP="00574EDF">
            <w:pPr>
              <w:widowControl w:val="0"/>
              <w:autoSpaceDE w:val="0"/>
              <w:autoSpaceDN w:val="0"/>
              <w:spacing w:line="206" w:lineRule="exact"/>
              <w:ind w:left="108"/>
              <w:rPr>
                <w:rFonts w:eastAsia="Microsoft Sans Serif"/>
                <w:i/>
                <w:sz w:val="22"/>
                <w:szCs w:val="22"/>
                <w:lang w:val="sr-Latn-ME"/>
              </w:rPr>
            </w:pPr>
            <w:r w:rsidRPr="007B69EC">
              <w:rPr>
                <w:rFonts w:eastAsia="Microsoft Sans Serif"/>
                <w:i/>
                <w:spacing w:val="-2"/>
                <w:sz w:val="22"/>
                <w:szCs w:val="22"/>
                <w:lang w:val="sr-Latn-ME"/>
              </w:rPr>
              <w:t>Enterobacte</w:t>
            </w:r>
            <w:r w:rsidR="00063BD8" w:rsidRPr="007B69EC">
              <w:rPr>
                <w:rFonts w:eastAsia="Microsoft Sans Serif"/>
                <w:i/>
                <w:spacing w:val="-2"/>
                <w:sz w:val="22"/>
                <w:szCs w:val="22"/>
                <w:lang w:val="sr-Latn-ME"/>
              </w:rPr>
              <w:t>rales</w:t>
            </w:r>
          </w:p>
        </w:tc>
        <w:tc>
          <w:tcPr>
            <w:tcW w:w="3000" w:type="dxa"/>
          </w:tcPr>
          <w:p w14:paraId="506DE560" w14:textId="77777777" w:rsidR="00574EDF" w:rsidRPr="007B69EC" w:rsidRDefault="00574EDF" w:rsidP="00574EDF">
            <w:pPr>
              <w:widowControl w:val="0"/>
              <w:autoSpaceDE w:val="0"/>
              <w:autoSpaceDN w:val="0"/>
              <w:spacing w:line="206" w:lineRule="exact"/>
              <w:ind w:left="108"/>
              <w:rPr>
                <w:rFonts w:eastAsia="Microsoft Sans Serif"/>
                <w:sz w:val="22"/>
                <w:szCs w:val="22"/>
                <w:lang w:val="sr-Latn-ME"/>
              </w:rPr>
            </w:pPr>
            <w:r w:rsidRPr="007B69EC">
              <w:rPr>
                <w:rFonts w:eastAsia="Microsoft Sans Serif"/>
                <w:sz w:val="22"/>
                <w:szCs w:val="22"/>
                <w:lang w:val="sr-Latn-ME"/>
              </w:rPr>
              <w:t>≤</w:t>
            </w:r>
            <w:r w:rsidRPr="007B69EC">
              <w:rPr>
                <w:rFonts w:eastAsia="Microsoft Sans Serif"/>
                <w:spacing w:val="-3"/>
                <w:sz w:val="22"/>
                <w:szCs w:val="22"/>
                <w:lang w:val="sr-Latn-ME"/>
              </w:rPr>
              <w:t xml:space="preserve"> </w:t>
            </w:r>
            <w:r w:rsidRPr="007B69EC">
              <w:rPr>
                <w:rFonts w:eastAsia="Microsoft Sans Serif"/>
                <w:sz w:val="22"/>
                <w:szCs w:val="22"/>
                <w:lang w:val="sr-Latn-ME"/>
              </w:rPr>
              <w:t>8</w:t>
            </w:r>
            <w:r w:rsidRPr="007B69EC">
              <w:rPr>
                <w:rFonts w:eastAsia="Microsoft Sans Serif"/>
                <w:spacing w:val="-1"/>
                <w:sz w:val="22"/>
                <w:szCs w:val="22"/>
                <w:lang w:val="sr-Latn-ME"/>
              </w:rPr>
              <w:t xml:space="preserve"> </w:t>
            </w:r>
            <w:r w:rsidRPr="007B69EC">
              <w:rPr>
                <w:rFonts w:eastAsia="Microsoft Sans Serif"/>
                <w:spacing w:val="-4"/>
                <w:sz w:val="22"/>
                <w:szCs w:val="22"/>
                <w:lang w:val="sr-Latn-ME"/>
              </w:rPr>
              <w:t>mg/l</w:t>
            </w:r>
          </w:p>
        </w:tc>
        <w:tc>
          <w:tcPr>
            <w:tcW w:w="2648" w:type="dxa"/>
          </w:tcPr>
          <w:p w14:paraId="230569E5" w14:textId="6F799C2A" w:rsidR="00574EDF" w:rsidRPr="007B69EC" w:rsidRDefault="00063BD8" w:rsidP="00223A6B">
            <w:pPr>
              <w:widowControl w:val="0"/>
              <w:autoSpaceDE w:val="0"/>
              <w:autoSpaceDN w:val="0"/>
              <w:spacing w:line="206" w:lineRule="exact"/>
              <w:ind w:left="107"/>
              <w:rPr>
                <w:rFonts w:eastAsia="Microsoft Sans Serif"/>
                <w:sz w:val="22"/>
                <w:szCs w:val="22"/>
                <w:lang w:val="sr-Latn-ME"/>
              </w:rPr>
            </w:pPr>
            <w:r w:rsidRPr="007B69EC">
              <w:rPr>
                <w:rFonts w:eastAsia="Microsoft Sans Serif"/>
                <w:sz w:val="22"/>
                <w:szCs w:val="22"/>
                <w:lang w:val="sr-Latn-ME"/>
              </w:rPr>
              <w:t xml:space="preserve">&gt; </w:t>
            </w:r>
            <w:r w:rsidR="00574EDF" w:rsidRPr="007B69EC">
              <w:rPr>
                <w:rFonts w:eastAsia="Microsoft Sans Serif"/>
                <w:sz w:val="22"/>
                <w:szCs w:val="22"/>
                <w:lang w:val="sr-Latn-ME"/>
              </w:rPr>
              <w:t xml:space="preserve">8 </w:t>
            </w:r>
            <w:r w:rsidR="00574EDF" w:rsidRPr="007B69EC">
              <w:rPr>
                <w:rFonts w:eastAsia="Microsoft Sans Serif"/>
                <w:spacing w:val="-4"/>
                <w:sz w:val="22"/>
                <w:szCs w:val="22"/>
                <w:lang w:val="sr-Latn-ME"/>
              </w:rPr>
              <w:t>mg/l</w:t>
            </w:r>
          </w:p>
        </w:tc>
      </w:tr>
    </w:tbl>
    <w:p w14:paraId="65AAC4CB" w14:textId="77777777" w:rsidR="000D2562" w:rsidRPr="007B69EC" w:rsidRDefault="000D2562" w:rsidP="00574EDF">
      <w:pPr>
        <w:tabs>
          <w:tab w:val="left" w:pos="540"/>
          <w:tab w:val="left" w:pos="569"/>
        </w:tabs>
        <w:jc w:val="both"/>
        <w:rPr>
          <w:bCs/>
          <w:sz w:val="22"/>
          <w:szCs w:val="22"/>
          <w:u w:val="single"/>
          <w:lang w:val="sr-Latn-ME"/>
        </w:rPr>
      </w:pPr>
    </w:p>
    <w:p w14:paraId="532D8E8C" w14:textId="54CD5E62" w:rsidR="00574EDF" w:rsidRPr="007B69EC" w:rsidRDefault="00574EDF" w:rsidP="00574EDF">
      <w:pPr>
        <w:tabs>
          <w:tab w:val="left" w:pos="540"/>
          <w:tab w:val="left" w:pos="569"/>
        </w:tabs>
        <w:jc w:val="both"/>
        <w:rPr>
          <w:bCs/>
          <w:sz w:val="22"/>
          <w:szCs w:val="22"/>
          <w:u w:val="single"/>
          <w:lang w:val="sr-Latn-ME"/>
        </w:rPr>
      </w:pPr>
      <w:r w:rsidRPr="007B69EC">
        <w:rPr>
          <w:bCs/>
          <w:sz w:val="22"/>
          <w:szCs w:val="22"/>
          <w:u w:val="single"/>
          <w:lang w:val="sr-Latn-ME"/>
        </w:rPr>
        <w:t>Prevalenca stečene rezistencije</w:t>
      </w:r>
    </w:p>
    <w:p w14:paraId="15C26874" w14:textId="06780AF9" w:rsidR="00574EDF" w:rsidRPr="007B69EC" w:rsidRDefault="00574EDF" w:rsidP="00574EDF">
      <w:pPr>
        <w:tabs>
          <w:tab w:val="left" w:pos="540"/>
          <w:tab w:val="left" w:pos="569"/>
        </w:tabs>
        <w:jc w:val="both"/>
        <w:rPr>
          <w:bCs/>
          <w:sz w:val="22"/>
          <w:szCs w:val="22"/>
          <w:lang w:val="sr-Latn-ME"/>
        </w:rPr>
      </w:pPr>
      <w:r w:rsidRPr="007B69EC">
        <w:rPr>
          <w:bCs/>
          <w:sz w:val="22"/>
          <w:szCs w:val="22"/>
          <w:lang w:val="sr-Latn-ME"/>
        </w:rPr>
        <w:t>Prevalenca stečene rezistencije varira geografski i vremenski za određene sojeve. Važno je prikupljati lokalne informacije o rezistenciji</w:t>
      </w:r>
      <w:r w:rsidR="00063BD8" w:rsidRPr="007B69EC">
        <w:rPr>
          <w:bCs/>
          <w:sz w:val="22"/>
          <w:szCs w:val="22"/>
          <w:lang w:val="sr-Latn-ME"/>
        </w:rPr>
        <w:t>,</w:t>
      </w:r>
      <w:r w:rsidRPr="007B69EC">
        <w:rPr>
          <w:bCs/>
          <w:sz w:val="22"/>
          <w:szCs w:val="22"/>
          <w:lang w:val="sr-Latn-ME"/>
        </w:rPr>
        <w:t xml:space="preserve"> naročito kod liječenja teških infekcija. </w:t>
      </w:r>
    </w:p>
    <w:p w14:paraId="5E2DEA94" w14:textId="28BF2B08" w:rsidR="00574EDF" w:rsidRPr="007B69EC" w:rsidRDefault="00574EDF" w:rsidP="00574EDF">
      <w:pPr>
        <w:tabs>
          <w:tab w:val="left" w:pos="540"/>
          <w:tab w:val="left" w:pos="569"/>
        </w:tabs>
        <w:jc w:val="both"/>
        <w:rPr>
          <w:bCs/>
          <w:sz w:val="22"/>
          <w:szCs w:val="22"/>
          <w:lang w:val="sr-Latn-ME"/>
        </w:rPr>
      </w:pPr>
      <w:r w:rsidRPr="007B69EC">
        <w:rPr>
          <w:bCs/>
          <w:sz w:val="22"/>
          <w:szCs w:val="22"/>
          <w:lang w:val="sr-Latn-ME"/>
        </w:rPr>
        <w:t>Sl</w:t>
      </w:r>
      <w:r w:rsidR="00063BD8" w:rsidRPr="007B69EC">
        <w:rPr>
          <w:bCs/>
          <w:sz w:val="22"/>
          <w:szCs w:val="22"/>
          <w:lang w:val="sr-Latn-ME"/>
        </w:rPr>
        <w:t>j</w:t>
      </w:r>
      <w:r w:rsidRPr="007B69EC">
        <w:rPr>
          <w:bCs/>
          <w:sz w:val="22"/>
          <w:szCs w:val="22"/>
          <w:lang w:val="sr-Latn-ME"/>
        </w:rPr>
        <w:t>edeća tabela je zasnovana na podacima iz programa i studija praćenja lijeka na tržištu i sadrži mikroorganizme relevantne za odobrene indikacije.</w:t>
      </w:r>
    </w:p>
    <w:p w14:paraId="79175872" w14:textId="77777777" w:rsidR="00574EDF" w:rsidRPr="007B69EC" w:rsidRDefault="00574EDF" w:rsidP="00574EDF">
      <w:pPr>
        <w:tabs>
          <w:tab w:val="left" w:pos="540"/>
          <w:tab w:val="left" w:pos="569"/>
        </w:tabs>
        <w:jc w:val="both"/>
        <w:rPr>
          <w:bCs/>
          <w:sz w:val="22"/>
          <w:szCs w:val="22"/>
          <w:lang w:val="sr-Latn-ME"/>
        </w:rPr>
      </w:pPr>
    </w:p>
    <w:p w14:paraId="228D11B3" w14:textId="0C2B85BD" w:rsidR="00574EDF" w:rsidRPr="007B69EC" w:rsidRDefault="00574EDF" w:rsidP="00574EDF">
      <w:pPr>
        <w:tabs>
          <w:tab w:val="left" w:pos="540"/>
          <w:tab w:val="left" w:pos="569"/>
        </w:tabs>
        <w:jc w:val="both"/>
        <w:rPr>
          <w:b/>
          <w:sz w:val="22"/>
          <w:szCs w:val="22"/>
          <w:lang w:val="sr-Latn-ME"/>
        </w:rPr>
      </w:pPr>
      <w:r w:rsidRPr="007B69EC">
        <w:rPr>
          <w:b/>
          <w:sz w:val="22"/>
          <w:szCs w:val="22"/>
          <w:lang w:val="sr-Latn-ME"/>
        </w:rPr>
        <w:t xml:space="preserve">Uobičajeno osjetljive vrste mikroorganizama </w:t>
      </w:r>
    </w:p>
    <w:p w14:paraId="18ECC304" w14:textId="2768D91E" w:rsidR="00574EDF" w:rsidRPr="007B69EC" w:rsidRDefault="00574EDF" w:rsidP="00574EDF">
      <w:pPr>
        <w:tabs>
          <w:tab w:val="left" w:pos="540"/>
          <w:tab w:val="left" w:pos="569"/>
        </w:tabs>
        <w:jc w:val="both"/>
        <w:rPr>
          <w:b/>
          <w:i/>
          <w:iCs/>
          <w:sz w:val="22"/>
          <w:szCs w:val="22"/>
          <w:lang w:val="sr-Latn-ME"/>
        </w:rPr>
      </w:pPr>
      <w:r w:rsidRPr="007B69EC">
        <w:rPr>
          <w:b/>
          <w:i/>
          <w:iCs/>
          <w:sz w:val="22"/>
          <w:szCs w:val="22"/>
          <w:lang w:val="sr-Latn-ME"/>
        </w:rPr>
        <w:t xml:space="preserve">Aerobni </w:t>
      </w:r>
      <w:r w:rsidR="00063BD8" w:rsidRPr="007B69EC">
        <w:rPr>
          <w:b/>
          <w:i/>
          <w:iCs/>
          <w:sz w:val="22"/>
          <w:szCs w:val="22"/>
          <w:lang w:val="sr-Latn-ME"/>
        </w:rPr>
        <w:t>G</w:t>
      </w:r>
      <w:r w:rsidRPr="007B69EC">
        <w:rPr>
          <w:b/>
          <w:i/>
          <w:iCs/>
          <w:sz w:val="22"/>
          <w:szCs w:val="22"/>
          <w:lang w:val="sr-Latn-ME"/>
        </w:rPr>
        <w:t xml:space="preserve">ram-negativni mikroorganizmi     </w:t>
      </w:r>
    </w:p>
    <w:p w14:paraId="61BABD50" w14:textId="14BC0D68" w:rsidR="00574EDF" w:rsidRPr="007B69EC" w:rsidRDefault="00574EDF" w:rsidP="00574EDF">
      <w:pPr>
        <w:tabs>
          <w:tab w:val="left" w:pos="540"/>
          <w:tab w:val="left" w:pos="569"/>
        </w:tabs>
        <w:ind w:left="540"/>
        <w:jc w:val="both"/>
        <w:rPr>
          <w:bCs/>
          <w:i/>
          <w:iCs/>
          <w:sz w:val="22"/>
          <w:szCs w:val="22"/>
          <w:lang w:val="sr-Latn-ME"/>
        </w:rPr>
      </w:pPr>
      <w:r w:rsidRPr="007B69EC">
        <w:rPr>
          <w:bCs/>
          <w:i/>
          <w:iCs/>
          <w:sz w:val="22"/>
          <w:szCs w:val="22"/>
          <w:lang w:val="sr-Latn-ME"/>
        </w:rPr>
        <w:t>Escherichia coli</w:t>
      </w:r>
    </w:p>
    <w:p w14:paraId="45625987" w14:textId="77777777" w:rsidR="00574EDF" w:rsidRPr="007B69EC" w:rsidRDefault="00574EDF" w:rsidP="00574EDF">
      <w:pPr>
        <w:tabs>
          <w:tab w:val="left" w:pos="540"/>
          <w:tab w:val="left" w:pos="569"/>
        </w:tabs>
        <w:jc w:val="both"/>
        <w:rPr>
          <w:b/>
          <w:sz w:val="22"/>
          <w:szCs w:val="22"/>
          <w:lang w:val="sr-Latn-ME"/>
        </w:rPr>
      </w:pPr>
      <w:r w:rsidRPr="007B69EC">
        <w:rPr>
          <w:b/>
          <w:sz w:val="22"/>
          <w:szCs w:val="22"/>
          <w:lang w:val="sr-Latn-ME"/>
        </w:rPr>
        <w:t>Vrste kod kojih stečena rezistencija može predstavljati problem</w:t>
      </w:r>
    </w:p>
    <w:p w14:paraId="69115F17" w14:textId="7C5E1010" w:rsidR="00574EDF" w:rsidRPr="007B69EC" w:rsidRDefault="00574EDF" w:rsidP="00574EDF">
      <w:pPr>
        <w:tabs>
          <w:tab w:val="left" w:pos="540"/>
          <w:tab w:val="left" w:pos="569"/>
        </w:tabs>
        <w:jc w:val="both"/>
        <w:rPr>
          <w:b/>
          <w:i/>
          <w:iCs/>
          <w:sz w:val="22"/>
          <w:szCs w:val="22"/>
          <w:lang w:val="sr-Latn-ME"/>
        </w:rPr>
      </w:pPr>
      <w:r w:rsidRPr="007B69EC">
        <w:rPr>
          <w:b/>
          <w:i/>
          <w:iCs/>
          <w:sz w:val="22"/>
          <w:szCs w:val="22"/>
          <w:lang w:val="sr-Latn-ME"/>
        </w:rPr>
        <w:t xml:space="preserve">Aerobni </w:t>
      </w:r>
      <w:r w:rsidR="00063BD8" w:rsidRPr="007B69EC">
        <w:rPr>
          <w:b/>
          <w:i/>
          <w:iCs/>
          <w:sz w:val="22"/>
          <w:szCs w:val="22"/>
          <w:lang w:val="sr-Latn-ME"/>
        </w:rPr>
        <w:t>G</w:t>
      </w:r>
      <w:r w:rsidRPr="007B69EC">
        <w:rPr>
          <w:b/>
          <w:i/>
          <w:iCs/>
          <w:sz w:val="22"/>
          <w:szCs w:val="22"/>
          <w:lang w:val="sr-Latn-ME"/>
        </w:rPr>
        <w:t xml:space="preserve">ram-pozitivni mikroorganizmi </w:t>
      </w:r>
    </w:p>
    <w:p w14:paraId="5AFD7D54" w14:textId="30206E02" w:rsidR="00574EDF" w:rsidRPr="007B69EC" w:rsidRDefault="00574EDF" w:rsidP="00574EDF">
      <w:pPr>
        <w:tabs>
          <w:tab w:val="left" w:pos="540"/>
          <w:tab w:val="left" w:pos="569"/>
        </w:tabs>
        <w:ind w:left="540"/>
        <w:jc w:val="both"/>
        <w:rPr>
          <w:bCs/>
          <w:sz w:val="22"/>
          <w:szCs w:val="22"/>
          <w:lang w:val="sr-Latn-ME"/>
        </w:rPr>
      </w:pPr>
      <w:r w:rsidRPr="007B69EC">
        <w:rPr>
          <w:bCs/>
          <w:i/>
          <w:iCs/>
          <w:sz w:val="22"/>
          <w:szCs w:val="22"/>
          <w:lang w:val="sr-Latn-ME"/>
        </w:rPr>
        <w:t>Enterococcus faecalis</w:t>
      </w:r>
    </w:p>
    <w:p w14:paraId="11AEF911" w14:textId="3F9B308C" w:rsidR="00574EDF" w:rsidRPr="007B69EC" w:rsidRDefault="00574EDF" w:rsidP="00574EDF">
      <w:pPr>
        <w:tabs>
          <w:tab w:val="left" w:pos="540"/>
          <w:tab w:val="left" w:pos="569"/>
        </w:tabs>
        <w:jc w:val="both"/>
        <w:rPr>
          <w:b/>
          <w:i/>
          <w:iCs/>
          <w:sz w:val="22"/>
          <w:szCs w:val="22"/>
          <w:lang w:val="sr-Latn-ME"/>
        </w:rPr>
      </w:pPr>
      <w:r w:rsidRPr="007B69EC">
        <w:rPr>
          <w:b/>
          <w:i/>
          <w:iCs/>
          <w:sz w:val="22"/>
          <w:szCs w:val="22"/>
          <w:lang w:val="sr-Latn-ME"/>
        </w:rPr>
        <w:t xml:space="preserve">Aerobni </w:t>
      </w:r>
      <w:r w:rsidR="00170D88" w:rsidRPr="007B69EC">
        <w:rPr>
          <w:b/>
          <w:i/>
          <w:iCs/>
          <w:sz w:val="22"/>
          <w:szCs w:val="22"/>
          <w:lang w:val="sr-Latn-ME"/>
        </w:rPr>
        <w:t>G</w:t>
      </w:r>
      <w:r w:rsidRPr="007B69EC">
        <w:rPr>
          <w:b/>
          <w:i/>
          <w:iCs/>
          <w:sz w:val="22"/>
          <w:szCs w:val="22"/>
          <w:lang w:val="sr-Latn-ME"/>
        </w:rPr>
        <w:t xml:space="preserve">ram-negativni mikroorganizmi </w:t>
      </w:r>
    </w:p>
    <w:p w14:paraId="0095BFD2" w14:textId="77777777" w:rsidR="00574EDF" w:rsidRPr="007B69EC" w:rsidRDefault="00574EDF" w:rsidP="00574EDF">
      <w:pPr>
        <w:tabs>
          <w:tab w:val="left" w:pos="540"/>
          <w:tab w:val="left" w:pos="569"/>
        </w:tabs>
        <w:ind w:left="540"/>
        <w:jc w:val="both"/>
        <w:rPr>
          <w:bCs/>
          <w:i/>
          <w:iCs/>
          <w:sz w:val="22"/>
          <w:szCs w:val="22"/>
          <w:lang w:val="sr-Latn-ME"/>
        </w:rPr>
      </w:pPr>
      <w:r w:rsidRPr="007B69EC">
        <w:rPr>
          <w:bCs/>
          <w:i/>
          <w:iCs/>
          <w:sz w:val="22"/>
          <w:szCs w:val="22"/>
          <w:lang w:val="sr-Latn-ME"/>
        </w:rPr>
        <w:t xml:space="preserve">Klebsiella pneumoniae </w:t>
      </w:r>
    </w:p>
    <w:p w14:paraId="0BEC8913" w14:textId="77777777" w:rsidR="00574EDF" w:rsidRPr="007B69EC" w:rsidRDefault="00574EDF" w:rsidP="00574EDF">
      <w:pPr>
        <w:tabs>
          <w:tab w:val="left" w:pos="540"/>
          <w:tab w:val="left" w:pos="569"/>
        </w:tabs>
        <w:ind w:left="540"/>
        <w:jc w:val="both"/>
        <w:rPr>
          <w:bCs/>
          <w:i/>
          <w:iCs/>
          <w:sz w:val="22"/>
          <w:szCs w:val="22"/>
          <w:lang w:val="sr-Latn-ME"/>
        </w:rPr>
      </w:pPr>
      <w:r w:rsidRPr="007B69EC">
        <w:rPr>
          <w:bCs/>
          <w:i/>
          <w:iCs/>
          <w:sz w:val="22"/>
          <w:szCs w:val="22"/>
          <w:lang w:val="sr-Latn-ME"/>
        </w:rPr>
        <w:t>Proteus mirabilis</w:t>
      </w:r>
    </w:p>
    <w:p w14:paraId="0C5350B5" w14:textId="77777777" w:rsidR="00574EDF" w:rsidRPr="007B69EC" w:rsidRDefault="00574EDF" w:rsidP="00574EDF">
      <w:pPr>
        <w:tabs>
          <w:tab w:val="left" w:pos="540"/>
          <w:tab w:val="left" w:pos="569"/>
        </w:tabs>
        <w:jc w:val="both"/>
        <w:rPr>
          <w:b/>
          <w:sz w:val="22"/>
          <w:szCs w:val="22"/>
          <w:lang w:val="sr-Latn-ME"/>
        </w:rPr>
      </w:pPr>
      <w:r w:rsidRPr="007B69EC">
        <w:rPr>
          <w:b/>
          <w:sz w:val="22"/>
          <w:szCs w:val="22"/>
          <w:lang w:val="sr-Latn-ME"/>
        </w:rPr>
        <w:t xml:space="preserve">Inherentno rezistentne vrste </w:t>
      </w:r>
    </w:p>
    <w:p w14:paraId="734BF493" w14:textId="3FA232B7" w:rsidR="00574EDF" w:rsidRPr="007B69EC" w:rsidRDefault="00574EDF" w:rsidP="00574EDF">
      <w:pPr>
        <w:tabs>
          <w:tab w:val="left" w:pos="540"/>
          <w:tab w:val="left" w:pos="569"/>
        </w:tabs>
        <w:jc w:val="both"/>
        <w:rPr>
          <w:b/>
          <w:i/>
          <w:iCs/>
          <w:sz w:val="22"/>
          <w:szCs w:val="22"/>
          <w:lang w:val="sr-Latn-ME"/>
        </w:rPr>
      </w:pPr>
      <w:r w:rsidRPr="007B69EC">
        <w:rPr>
          <w:b/>
          <w:i/>
          <w:iCs/>
          <w:sz w:val="22"/>
          <w:szCs w:val="22"/>
          <w:lang w:val="sr-Latn-ME"/>
        </w:rPr>
        <w:t xml:space="preserve">Aerobni </w:t>
      </w:r>
      <w:r w:rsidR="00063BD8" w:rsidRPr="007B69EC">
        <w:rPr>
          <w:b/>
          <w:i/>
          <w:iCs/>
          <w:sz w:val="22"/>
          <w:szCs w:val="22"/>
          <w:lang w:val="sr-Latn-ME"/>
        </w:rPr>
        <w:t>G</w:t>
      </w:r>
      <w:r w:rsidRPr="007B69EC">
        <w:rPr>
          <w:b/>
          <w:i/>
          <w:iCs/>
          <w:sz w:val="22"/>
          <w:szCs w:val="22"/>
          <w:lang w:val="sr-Latn-ME"/>
        </w:rPr>
        <w:t xml:space="preserve">ram-pozitivni mikroorganizmi </w:t>
      </w:r>
    </w:p>
    <w:p w14:paraId="634B9A4F" w14:textId="43F2922B" w:rsidR="00574EDF" w:rsidRPr="007B69EC" w:rsidRDefault="00574EDF" w:rsidP="00574EDF">
      <w:pPr>
        <w:tabs>
          <w:tab w:val="left" w:pos="540"/>
          <w:tab w:val="left" w:pos="569"/>
        </w:tabs>
        <w:ind w:left="540"/>
        <w:jc w:val="both"/>
        <w:rPr>
          <w:bCs/>
          <w:i/>
          <w:iCs/>
          <w:sz w:val="22"/>
          <w:szCs w:val="22"/>
          <w:lang w:val="sr-Latn-ME"/>
        </w:rPr>
      </w:pPr>
      <w:r w:rsidRPr="007B69EC">
        <w:rPr>
          <w:bCs/>
          <w:i/>
          <w:iCs/>
          <w:sz w:val="22"/>
          <w:szCs w:val="22"/>
          <w:lang w:val="sr-Latn-ME"/>
        </w:rPr>
        <w:t>Staphylococcus saprophyticus</w:t>
      </w:r>
    </w:p>
    <w:p w14:paraId="206F0D20" w14:textId="202973E6" w:rsidR="002E37A5" w:rsidRDefault="002E37A5" w:rsidP="00480FB1">
      <w:pPr>
        <w:tabs>
          <w:tab w:val="left" w:pos="540"/>
          <w:tab w:val="left" w:pos="569"/>
        </w:tabs>
        <w:rPr>
          <w:b/>
          <w:bCs/>
          <w:sz w:val="22"/>
          <w:szCs w:val="22"/>
          <w:lang w:val="sr-Latn-ME"/>
        </w:rPr>
      </w:pPr>
    </w:p>
    <w:p w14:paraId="714FF600" w14:textId="77777777" w:rsidR="007B69EC" w:rsidRPr="007B69EC" w:rsidRDefault="007B69EC" w:rsidP="00480FB1">
      <w:pPr>
        <w:tabs>
          <w:tab w:val="left" w:pos="540"/>
          <w:tab w:val="left" w:pos="569"/>
        </w:tabs>
        <w:rPr>
          <w:b/>
          <w:bCs/>
          <w:sz w:val="22"/>
          <w:szCs w:val="22"/>
          <w:lang w:val="sr-Latn-ME"/>
        </w:rPr>
      </w:pPr>
    </w:p>
    <w:p w14:paraId="02A56EFC" w14:textId="08814AFF" w:rsidR="00574EDF" w:rsidRDefault="0072020E" w:rsidP="00480FB1">
      <w:pPr>
        <w:tabs>
          <w:tab w:val="left" w:pos="540"/>
          <w:tab w:val="left" w:pos="569"/>
        </w:tabs>
        <w:rPr>
          <w:b/>
          <w:bCs/>
          <w:sz w:val="22"/>
          <w:szCs w:val="22"/>
          <w:lang w:val="sr-Latn-ME"/>
        </w:rPr>
      </w:pPr>
      <w:r w:rsidRPr="007B69EC">
        <w:rPr>
          <w:b/>
          <w:bCs/>
          <w:sz w:val="22"/>
          <w:szCs w:val="22"/>
          <w:lang w:val="sr-Latn-ME"/>
        </w:rPr>
        <w:lastRenderedPageBreak/>
        <w:t xml:space="preserve">5.2. </w:t>
      </w:r>
      <w:r w:rsidR="00480FB1" w:rsidRPr="007B69EC">
        <w:rPr>
          <w:b/>
          <w:bCs/>
          <w:sz w:val="22"/>
          <w:szCs w:val="22"/>
          <w:lang w:val="sr-Latn-ME"/>
        </w:rPr>
        <w:tab/>
      </w:r>
      <w:r w:rsidRPr="007B69EC">
        <w:rPr>
          <w:b/>
          <w:bCs/>
          <w:sz w:val="22"/>
          <w:szCs w:val="22"/>
          <w:lang w:val="sr-Latn-ME"/>
        </w:rPr>
        <w:t>Farmakokinetički podaci</w:t>
      </w:r>
      <w:r w:rsidR="003A7059" w:rsidRPr="007B69EC">
        <w:rPr>
          <w:b/>
          <w:bCs/>
          <w:sz w:val="22"/>
          <w:szCs w:val="22"/>
          <w:lang w:val="sr-Latn-ME"/>
        </w:rPr>
        <w:t xml:space="preserve"> </w:t>
      </w:r>
    </w:p>
    <w:p w14:paraId="6326D939" w14:textId="77777777" w:rsidR="007B69EC" w:rsidRPr="007B69EC" w:rsidRDefault="007B69EC" w:rsidP="00480FB1">
      <w:pPr>
        <w:tabs>
          <w:tab w:val="left" w:pos="540"/>
          <w:tab w:val="left" w:pos="569"/>
        </w:tabs>
        <w:rPr>
          <w:b/>
          <w:bCs/>
          <w:sz w:val="22"/>
          <w:szCs w:val="22"/>
          <w:lang w:val="sr-Latn-ME"/>
        </w:rPr>
      </w:pPr>
    </w:p>
    <w:p w14:paraId="39555D77" w14:textId="46023A6F" w:rsidR="00574EDF" w:rsidRPr="007B69EC" w:rsidRDefault="00574EDF" w:rsidP="00574EDF">
      <w:pPr>
        <w:tabs>
          <w:tab w:val="left" w:pos="540"/>
          <w:tab w:val="left" w:pos="569"/>
        </w:tabs>
        <w:jc w:val="both"/>
        <w:rPr>
          <w:sz w:val="22"/>
          <w:szCs w:val="22"/>
          <w:lang w:val="sr-Latn-ME"/>
        </w:rPr>
      </w:pPr>
      <w:r w:rsidRPr="007B69EC">
        <w:rPr>
          <w:sz w:val="22"/>
          <w:szCs w:val="22"/>
          <w:u w:val="single"/>
          <w:lang w:val="sr-Latn-ME"/>
        </w:rPr>
        <w:t>Resorpcija</w:t>
      </w:r>
    </w:p>
    <w:p w14:paraId="1AEF7573" w14:textId="35D4492D" w:rsidR="00574EDF" w:rsidRPr="007B69EC" w:rsidRDefault="00574EDF" w:rsidP="00574EDF">
      <w:pPr>
        <w:tabs>
          <w:tab w:val="left" w:pos="540"/>
          <w:tab w:val="left" w:pos="569"/>
        </w:tabs>
        <w:jc w:val="both"/>
        <w:rPr>
          <w:sz w:val="22"/>
          <w:szCs w:val="22"/>
          <w:lang w:val="sr-Latn-ME"/>
        </w:rPr>
      </w:pPr>
      <w:r w:rsidRPr="007B69EC">
        <w:rPr>
          <w:sz w:val="22"/>
          <w:szCs w:val="22"/>
          <w:lang w:val="sr-Latn-ME"/>
        </w:rPr>
        <w:t>Nakon peroralne primjene jednokratne doze, fosfomicin</w:t>
      </w:r>
      <w:r w:rsidR="00063BD8" w:rsidRPr="007B69EC">
        <w:rPr>
          <w:sz w:val="22"/>
          <w:szCs w:val="22"/>
          <w:lang w:val="sr-Latn-ME"/>
        </w:rPr>
        <w:t xml:space="preserve"> </w:t>
      </w:r>
      <w:r w:rsidRPr="007B69EC">
        <w:rPr>
          <w:sz w:val="22"/>
          <w:szCs w:val="22"/>
          <w:lang w:val="sr-Latn-ME"/>
        </w:rPr>
        <w:t>trometamol postiže apsolutnu bioraspoloživost od oko 33-53%. Brzina i obim resorpcije smanjuju se sa hranom, ali ukupna količina aktivne supstance koja se izlučuje urinom tokom vremena ostaje ista. Srednja vrijednost koncentracije fosfomicina u urinu održava se iznad praga MIK-a od 128 mikrograma/ml najmanje 24 sata nakon oralne doze od 3 g na prazan stomak ili posl</w:t>
      </w:r>
      <w:r w:rsidR="003E4B95" w:rsidRPr="007B69EC">
        <w:rPr>
          <w:sz w:val="22"/>
          <w:szCs w:val="22"/>
          <w:lang w:val="sr-Latn-ME"/>
        </w:rPr>
        <w:t>ij</w:t>
      </w:r>
      <w:r w:rsidRPr="007B69EC">
        <w:rPr>
          <w:sz w:val="22"/>
          <w:szCs w:val="22"/>
          <w:lang w:val="sr-Latn-ME"/>
        </w:rPr>
        <w:t>e obroka, ali je vrijeme do postizanja maksimalne koncentracije u urinu odloženo za 4 sata. Fosfomicin</w:t>
      </w:r>
      <w:r w:rsidR="00063BD8" w:rsidRPr="007B69EC">
        <w:rPr>
          <w:sz w:val="22"/>
          <w:szCs w:val="22"/>
          <w:lang w:val="sr-Latn-ME"/>
        </w:rPr>
        <w:t xml:space="preserve"> </w:t>
      </w:r>
      <w:r w:rsidRPr="007B69EC">
        <w:rPr>
          <w:sz w:val="22"/>
          <w:szCs w:val="22"/>
          <w:lang w:val="sr-Latn-ME"/>
        </w:rPr>
        <w:t>trometamol prolazi enterohepatičku recirkulaciju.</w:t>
      </w:r>
    </w:p>
    <w:p w14:paraId="6F7980BC" w14:textId="77777777" w:rsidR="00574EDF" w:rsidRPr="007B69EC" w:rsidRDefault="00574EDF" w:rsidP="00574EDF">
      <w:pPr>
        <w:tabs>
          <w:tab w:val="left" w:pos="540"/>
          <w:tab w:val="left" w:pos="569"/>
        </w:tabs>
        <w:jc w:val="both"/>
        <w:rPr>
          <w:sz w:val="22"/>
          <w:szCs w:val="22"/>
          <w:lang w:val="sr-Latn-ME"/>
        </w:rPr>
      </w:pPr>
    </w:p>
    <w:p w14:paraId="234CA2D6" w14:textId="77777777" w:rsidR="00574EDF" w:rsidRPr="007B69EC" w:rsidRDefault="00574EDF" w:rsidP="00574EDF">
      <w:pPr>
        <w:tabs>
          <w:tab w:val="left" w:pos="540"/>
          <w:tab w:val="left" w:pos="569"/>
        </w:tabs>
        <w:jc w:val="both"/>
        <w:rPr>
          <w:sz w:val="22"/>
          <w:szCs w:val="22"/>
          <w:u w:val="single"/>
          <w:lang w:val="sr-Latn-ME"/>
        </w:rPr>
      </w:pPr>
      <w:r w:rsidRPr="007B69EC">
        <w:rPr>
          <w:sz w:val="22"/>
          <w:szCs w:val="22"/>
          <w:u w:val="single"/>
          <w:lang w:val="sr-Latn-ME"/>
        </w:rPr>
        <w:t>Distribucija</w:t>
      </w:r>
    </w:p>
    <w:p w14:paraId="4E0FAD01" w14:textId="77777777" w:rsidR="00574EDF" w:rsidRPr="007B69EC" w:rsidRDefault="00574EDF" w:rsidP="00574EDF">
      <w:pPr>
        <w:tabs>
          <w:tab w:val="left" w:pos="540"/>
          <w:tab w:val="left" w:pos="569"/>
        </w:tabs>
        <w:jc w:val="both"/>
        <w:rPr>
          <w:sz w:val="22"/>
          <w:szCs w:val="22"/>
          <w:lang w:val="sr-Latn-ME"/>
        </w:rPr>
      </w:pPr>
    </w:p>
    <w:p w14:paraId="4A6CE138" w14:textId="77777777" w:rsidR="00574EDF" w:rsidRPr="007B69EC" w:rsidRDefault="00574EDF" w:rsidP="00574EDF">
      <w:pPr>
        <w:tabs>
          <w:tab w:val="left" w:pos="540"/>
          <w:tab w:val="left" w:pos="569"/>
        </w:tabs>
        <w:jc w:val="both"/>
        <w:rPr>
          <w:sz w:val="22"/>
          <w:szCs w:val="22"/>
          <w:lang w:val="sr-Latn-ME"/>
        </w:rPr>
      </w:pPr>
      <w:r w:rsidRPr="007B69EC">
        <w:rPr>
          <w:sz w:val="22"/>
          <w:szCs w:val="22"/>
          <w:lang w:val="sr-Latn-ME"/>
        </w:rPr>
        <w:t xml:space="preserve">Čini se da se fosfomicin ne metaboliše. Fosfomicin se distribuira u tkiva uključujući bubrege i zid mokraćnog mjehura. Fosfomicin se ne vezuje za proteine plazme i prolazi kroz placentalnu barijeru. </w:t>
      </w:r>
    </w:p>
    <w:p w14:paraId="4E0903B9" w14:textId="77777777" w:rsidR="00574EDF" w:rsidRPr="007B69EC" w:rsidRDefault="00574EDF" w:rsidP="00574EDF">
      <w:pPr>
        <w:tabs>
          <w:tab w:val="left" w:pos="540"/>
          <w:tab w:val="left" w:pos="569"/>
        </w:tabs>
        <w:jc w:val="both"/>
        <w:rPr>
          <w:sz w:val="22"/>
          <w:szCs w:val="22"/>
          <w:lang w:val="sr-Latn-ME"/>
        </w:rPr>
      </w:pPr>
    </w:p>
    <w:p w14:paraId="4AE0BD01" w14:textId="77777777" w:rsidR="00574EDF" w:rsidRPr="007B69EC" w:rsidRDefault="00574EDF" w:rsidP="00574EDF">
      <w:pPr>
        <w:tabs>
          <w:tab w:val="left" w:pos="540"/>
          <w:tab w:val="left" w:pos="569"/>
        </w:tabs>
        <w:jc w:val="both"/>
        <w:rPr>
          <w:sz w:val="22"/>
          <w:szCs w:val="22"/>
          <w:u w:val="single"/>
          <w:lang w:val="sr-Latn-ME"/>
        </w:rPr>
      </w:pPr>
      <w:r w:rsidRPr="007B69EC">
        <w:rPr>
          <w:sz w:val="22"/>
          <w:szCs w:val="22"/>
          <w:u w:val="single"/>
          <w:lang w:val="sr-Latn-ME"/>
        </w:rPr>
        <w:t>Eliminacija</w:t>
      </w:r>
    </w:p>
    <w:p w14:paraId="2ABF9F50" w14:textId="77777777" w:rsidR="00574EDF" w:rsidRPr="007B69EC" w:rsidRDefault="00574EDF" w:rsidP="00574EDF">
      <w:pPr>
        <w:tabs>
          <w:tab w:val="left" w:pos="540"/>
          <w:tab w:val="left" w:pos="569"/>
        </w:tabs>
        <w:jc w:val="both"/>
        <w:rPr>
          <w:sz w:val="22"/>
          <w:szCs w:val="22"/>
          <w:lang w:val="sr-Latn-ME"/>
        </w:rPr>
      </w:pPr>
    </w:p>
    <w:p w14:paraId="144F92A3" w14:textId="4B40EF8B" w:rsidR="00574EDF" w:rsidRPr="007B69EC" w:rsidRDefault="00574EDF" w:rsidP="00574EDF">
      <w:pPr>
        <w:tabs>
          <w:tab w:val="left" w:pos="540"/>
          <w:tab w:val="left" w:pos="569"/>
        </w:tabs>
        <w:jc w:val="both"/>
        <w:rPr>
          <w:sz w:val="22"/>
          <w:szCs w:val="22"/>
          <w:lang w:val="sr-Latn-ME"/>
        </w:rPr>
      </w:pPr>
      <w:r w:rsidRPr="007B69EC">
        <w:rPr>
          <w:sz w:val="22"/>
          <w:szCs w:val="22"/>
          <w:lang w:val="sr-Latn-ME"/>
        </w:rPr>
        <w:t>Fosfomicin se izlučuje neprom</w:t>
      </w:r>
      <w:r w:rsidR="00063BD8" w:rsidRPr="007B69EC">
        <w:rPr>
          <w:sz w:val="22"/>
          <w:szCs w:val="22"/>
          <w:lang w:val="sr-Latn-ME"/>
        </w:rPr>
        <w:t>i</w:t>
      </w:r>
      <w:r w:rsidRPr="007B69EC">
        <w:rPr>
          <w:sz w:val="22"/>
          <w:szCs w:val="22"/>
          <w:lang w:val="sr-Latn-ME"/>
        </w:rPr>
        <w:t>jenjen uglavnom putem bubrega glomerularnom filtracijom (40-50% doze nađeno je u urinu) s poluvremenom eliminacije od oko 4 sata nakon peroralne primjene i u manjoj mjeri putem fecesa (18-28% doze). Iako hrana odlaže resorpciju lijeka, ukupna količina lijeka izlučena urinom tokom vrijemena ostaje ista.</w:t>
      </w:r>
    </w:p>
    <w:p w14:paraId="4BB93122" w14:textId="77777777" w:rsidR="00574EDF" w:rsidRPr="007B69EC" w:rsidRDefault="00574EDF" w:rsidP="00574EDF">
      <w:pPr>
        <w:tabs>
          <w:tab w:val="left" w:pos="540"/>
          <w:tab w:val="left" w:pos="569"/>
        </w:tabs>
        <w:jc w:val="both"/>
        <w:rPr>
          <w:sz w:val="22"/>
          <w:szCs w:val="22"/>
          <w:lang w:val="sr-Latn-ME"/>
        </w:rPr>
      </w:pPr>
    </w:p>
    <w:p w14:paraId="1A9ECEDA" w14:textId="77777777" w:rsidR="00574EDF" w:rsidRPr="007B69EC" w:rsidRDefault="00574EDF" w:rsidP="00574EDF">
      <w:pPr>
        <w:tabs>
          <w:tab w:val="left" w:pos="540"/>
          <w:tab w:val="left" w:pos="569"/>
        </w:tabs>
        <w:jc w:val="both"/>
        <w:rPr>
          <w:sz w:val="22"/>
          <w:szCs w:val="22"/>
          <w:u w:val="single"/>
          <w:lang w:val="sr-Latn-ME"/>
        </w:rPr>
      </w:pPr>
      <w:r w:rsidRPr="007B69EC">
        <w:rPr>
          <w:sz w:val="22"/>
          <w:szCs w:val="22"/>
          <w:u w:val="single"/>
          <w:lang w:val="sr-Latn-ME"/>
        </w:rPr>
        <w:t>Posebne populacije pacijenata</w:t>
      </w:r>
    </w:p>
    <w:p w14:paraId="59725171" w14:textId="77777777" w:rsidR="00574EDF" w:rsidRPr="007B69EC" w:rsidRDefault="00574EDF" w:rsidP="00574EDF">
      <w:pPr>
        <w:tabs>
          <w:tab w:val="left" w:pos="540"/>
          <w:tab w:val="left" w:pos="569"/>
        </w:tabs>
        <w:jc w:val="both"/>
        <w:rPr>
          <w:sz w:val="22"/>
          <w:szCs w:val="22"/>
          <w:lang w:val="sr-Latn-ME"/>
        </w:rPr>
      </w:pPr>
    </w:p>
    <w:p w14:paraId="42379014" w14:textId="02D93640" w:rsidR="00574EDF" w:rsidRPr="007B69EC" w:rsidRDefault="00574EDF" w:rsidP="00223A6B">
      <w:pPr>
        <w:tabs>
          <w:tab w:val="left" w:pos="540"/>
          <w:tab w:val="left" w:pos="569"/>
        </w:tabs>
        <w:jc w:val="both"/>
        <w:rPr>
          <w:sz w:val="22"/>
          <w:szCs w:val="22"/>
          <w:lang w:val="sr-Latn-ME"/>
        </w:rPr>
      </w:pPr>
      <w:r w:rsidRPr="007B69EC">
        <w:rPr>
          <w:sz w:val="22"/>
          <w:szCs w:val="22"/>
          <w:lang w:val="sr-Latn-ME"/>
        </w:rPr>
        <w:t>Kod pacijenata sa oštećenjem funkcije bubrega, poluvrijeme eliminacije se povećava proporcionalno stepenu bubrežne insuficijencije. Koncentracije fosfomicina u urinu kod pacijenata sa oštećenjem funkcije bubrega ostaju efikasne 48 sati nakon uobičajene doze ako je klirens kreatinina iznad 10 ml/min.</w:t>
      </w:r>
    </w:p>
    <w:p w14:paraId="30802A13" w14:textId="236ABD89" w:rsidR="0072020E" w:rsidRPr="007B69EC" w:rsidRDefault="00063BD8" w:rsidP="00826224">
      <w:pPr>
        <w:tabs>
          <w:tab w:val="left" w:pos="540"/>
          <w:tab w:val="left" w:pos="569"/>
        </w:tabs>
        <w:jc w:val="both"/>
        <w:rPr>
          <w:sz w:val="22"/>
          <w:szCs w:val="22"/>
          <w:lang w:val="sr-Latn-ME"/>
        </w:rPr>
      </w:pPr>
      <w:r w:rsidRPr="007B69EC">
        <w:rPr>
          <w:sz w:val="22"/>
          <w:szCs w:val="22"/>
          <w:lang w:val="sr-Latn-ME"/>
        </w:rPr>
        <w:t>Kod starijih osoba eliminacija fosfomicina je smanjena u skladu sa smanjenjem bubrežne funkcije koje dolazi sa godinama.</w:t>
      </w:r>
    </w:p>
    <w:p w14:paraId="285923DF" w14:textId="77777777" w:rsidR="00063BD8" w:rsidRPr="007B69EC" w:rsidRDefault="00063BD8" w:rsidP="00480FB1">
      <w:pPr>
        <w:tabs>
          <w:tab w:val="left" w:pos="540"/>
          <w:tab w:val="left" w:pos="569"/>
        </w:tabs>
        <w:rPr>
          <w:sz w:val="22"/>
          <w:szCs w:val="22"/>
          <w:lang w:val="sr-Latn-ME"/>
        </w:rPr>
      </w:pPr>
    </w:p>
    <w:p w14:paraId="3FDAED06" w14:textId="77777777" w:rsidR="0072020E" w:rsidRPr="007B69EC" w:rsidRDefault="0072020E" w:rsidP="00480FB1">
      <w:pPr>
        <w:tabs>
          <w:tab w:val="left" w:pos="540"/>
          <w:tab w:val="left" w:pos="569"/>
        </w:tabs>
        <w:rPr>
          <w:b/>
          <w:bCs/>
          <w:sz w:val="22"/>
          <w:szCs w:val="22"/>
          <w:lang w:val="sr-Latn-ME"/>
        </w:rPr>
      </w:pPr>
      <w:r w:rsidRPr="007B69EC">
        <w:rPr>
          <w:b/>
          <w:bCs/>
          <w:sz w:val="22"/>
          <w:szCs w:val="22"/>
          <w:lang w:val="sr-Latn-ME"/>
        </w:rPr>
        <w:t xml:space="preserve">5.3. </w:t>
      </w:r>
      <w:r w:rsidR="00480FB1" w:rsidRPr="007B69EC">
        <w:rPr>
          <w:b/>
          <w:bCs/>
          <w:sz w:val="22"/>
          <w:szCs w:val="22"/>
          <w:lang w:val="sr-Latn-ME"/>
        </w:rPr>
        <w:tab/>
      </w:r>
      <w:r w:rsidRPr="007B69EC">
        <w:rPr>
          <w:b/>
          <w:bCs/>
          <w:sz w:val="22"/>
          <w:szCs w:val="22"/>
          <w:lang w:val="sr-Latn-ME"/>
        </w:rPr>
        <w:t xml:space="preserve">Pretklinički podaci o bezbjednosti </w:t>
      </w:r>
    </w:p>
    <w:p w14:paraId="4CC3DC04" w14:textId="77777777" w:rsidR="00836B35" w:rsidRPr="007B69EC" w:rsidRDefault="00836B35" w:rsidP="00480FB1">
      <w:pPr>
        <w:tabs>
          <w:tab w:val="left" w:pos="540"/>
          <w:tab w:val="left" w:pos="569"/>
        </w:tabs>
        <w:rPr>
          <w:bCs/>
          <w:sz w:val="22"/>
          <w:szCs w:val="22"/>
          <w:lang w:val="sr-Latn-ME"/>
        </w:rPr>
      </w:pPr>
    </w:p>
    <w:p w14:paraId="0E3A8D7D" w14:textId="77777777" w:rsidR="00D15EB3" w:rsidRPr="007B69EC" w:rsidRDefault="00574EDF" w:rsidP="00574EDF">
      <w:pPr>
        <w:tabs>
          <w:tab w:val="left" w:pos="540"/>
          <w:tab w:val="left" w:pos="569"/>
        </w:tabs>
        <w:jc w:val="both"/>
        <w:rPr>
          <w:bCs/>
          <w:sz w:val="22"/>
          <w:szCs w:val="22"/>
          <w:lang w:val="sr-Latn-ME"/>
        </w:rPr>
      </w:pPr>
      <w:r w:rsidRPr="007B69EC">
        <w:rPr>
          <w:bCs/>
          <w:sz w:val="22"/>
          <w:szCs w:val="22"/>
          <w:lang w:val="sr-Latn-ME"/>
        </w:rPr>
        <w:t xml:space="preserve">Pretklinički podaci dobijeni na osnovu konvencionalnih ispitivanja sigurnosne farmakologije, toksičnosti ponovljenih doza, genotoksičnosti i reproduktivne toksičnosti, ne ukazuju na poseban rizik za ljude. </w:t>
      </w:r>
    </w:p>
    <w:p w14:paraId="3ACAF0D3" w14:textId="52793030" w:rsidR="00574EDF" w:rsidRPr="007B69EC" w:rsidRDefault="00574EDF" w:rsidP="00574EDF">
      <w:pPr>
        <w:tabs>
          <w:tab w:val="left" w:pos="540"/>
          <w:tab w:val="left" w:pos="569"/>
        </w:tabs>
        <w:jc w:val="both"/>
        <w:rPr>
          <w:bCs/>
          <w:sz w:val="22"/>
          <w:szCs w:val="22"/>
          <w:lang w:val="sr-Latn-ME"/>
        </w:rPr>
      </w:pPr>
      <w:r w:rsidRPr="007B69EC">
        <w:rPr>
          <w:bCs/>
          <w:sz w:val="22"/>
          <w:szCs w:val="22"/>
          <w:lang w:val="sr-Latn-ME"/>
        </w:rPr>
        <w:t>Podaci o karcinogenosti za fosfomicin ni</w:t>
      </w:r>
      <w:r w:rsidR="00063BD8" w:rsidRPr="007B69EC">
        <w:rPr>
          <w:bCs/>
          <w:sz w:val="22"/>
          <w:szCs w:val="22"/>
          <w:lang w:val="sr-Latn-ME"/>
        </w:rPr>
        <w:t>je</w:t>
      </w:r>
      <w:r w:rsidRPr="007B69EC">
        <w:rPr>
          <w:bCs/>
          <w:sz w:val="22"/>
          <w:szCs w:val="22"/>
          <w:lang w:val="sr-Latn-ME"/>
        </w:rPr>
        <w:t>su dostupni.</w:t>
      </w:r>
    </w:p>
    <w:p w14:paraId="10DC6152" w14:textId="49B9E20E" w:rsidR="00396DFD" w:rsidRPr="007B69EC" w:rsidRDefault="00396DFD" w:rsidP="00480FB1">
      <w:pPr>
        <w:tabs>
          <w:tab w:val="left" w:pos="540"/>
          <w:tab w:val="left" w:pos="569"/>
        </w:tabs>
        <w:rPr>
          <w:b/>
          <w:bCs/>
          <w:sz w:val="22"/>
          <w:szCs w:val="22"/>
          <w:lang w:val="sr-Latn-ME"/>
        </w:rPr>
      </w:pPr>
    </w:p>
    <w:p w14:paraId="7B221D68" w14:textId="77777777" w:rsidR="00FF5B5C" w:rsidRPr="007B69EC" w:rsidRDefault="00FF5B5C" w:rsidP="00480FB1">
      <w:pPr>
        <w:tabs>
          <w:tab w:val="left" w:pos="540"/>
          <w:tab w:val="left" w:pos="569"/>
        </w:tabs>
        <w:rPr>
          <w:b/>
          <w:bCs/>
          <w:sz w:val="22"/>
          <w:szCs w:val="22"/>
          <w:lang w:val="sr-Latn-ME"/>
        </w:rPr>
      </w:pPr>
    </w:p>
    <w:p w14:paraId="718E2E6C" w14:textId="77777777" w:rsidR="0072020E" w:rsidRPr="007B69EC" w:rsidRDefault="0072020E" w:rsidP="00480FB1">
      <w:pPr>
        <w:tabs>
          <w:tab w:val="left" w:pos="540"/>
          <w:tab w:val="left" w:pos="569"/>
        </w:tabs>
        <w:rPr>
          <w:b/>
          <w:bCs/>
          <w:sz w:val="22"/>
          <w:szCs w:val="22"/>
          <w:lang w:val="sr-Latn-ME"/>
        </w:rPr>
      </w:pPr>
      <w:r w:rsidRPr="007B69EC">
        <w:rPr>
          <w:b/>
          <w:bCs/>
          <w:sz w:val="22"/>
          <w:szCs w:val="22"/>
          <w:lang w:val="sr-Latn-ME"/>
        </w:rPr>
        <w:t xml:space="preserve">6. </w:t>
      </w:r>
      <w:r w:rsidR="00480FB1" w:rsidRPr="007B69EC">
        <w:rPr>
          <w:b/>
          <w:bCs/>
          <w:sz w:val="22"/>
          <w:szCs w:val="22"/>
          <w:lang w:val="sr-Latn-ME"/>
        </w:rPr>
        <w:tab/>
      </w:r>
      <w:r w:rsidRPr="007B69EC">
        <w:rPr>
          <w:b/>
          <w:bCs/>
          <w:sz w:val="22"/>
          <w:szCs w:val="22"/>
          <w:lang w:val="sr-Latn-ME"/>
        </w:rPr>
        <w:t>FARMACEUTSKI PODACI</w:t>
      </w:r>
    </w:p>
    <w:p w14:paraId="7697E8CE" w14:textId="77777777" w:rsidR="00836B35" w:rsidRPr="007B69EC" w:rsidRDefault="00836B35" w:rsidP="00480FB1">
      <w:pPr>
        <w:tabs>
          <w:tab w:val="left" w:pos="540"/>
          <w:tab w:val="left" w:pos="569"/>
        </w:tabs>
        <w:rPr>
          <w:bCs/>
          <w:sz w:val="22"/>
          <w:szCs w:val="22"/>
          <w:lang w:val="sr-Latn-ME"/>
        </w:rPr>
      </w:pPr>
    </w:p>
    <w:p w14:paraId="3CCB258A" w14:textId="77777777" w:rsidR="0072020E" w:rsidRPr="007B69EC" w:rsidRDefault="0072020E" w:rsidP="00480FB1">
      <w:pPr>
        <w:tabs>
          <w:tab w:val="left" w:pos="540"/>
          <w:tab w:val="left" w:pos="569"/>
        </w:tabs>
        <w:rPr>
          <w:b/>
          <w:bCs/>
          <w:sz w:val="22"/>
          <w:szCs w:val="22"/>
          <w:lang w:val="sr-Latn-ME"/>
        </w:rPr>
      </w:pPr>
      <w:r w:rsidRPr="007B69EC">
        <w:rPr>
          <w:b/>
          <w:bCs/>
          <w:sz w:val="22"/>
          <w:szCs w:val="22"/>
          <w:lang w:val="sr-Latn-ME"/>
        </w:rPr>
        <w:t xml:space="preserve">6.1. </w:t>
      </w:r>
      <w:r w:rsidR="00480FB1" w:rsidRPr="007B69EC">
        <w:rPr>
          <w:b/>
          <w:bCs/>
          <w:sz w:val="22"/>
          <w:szCs w:val="22"/>
          <w:lang w:val="sr-Latn-ME"/>
        </w:rPr>
        <w:tab/>
      </w:r>
      <w:r w:rsidRPr="007B69EC">
        <w:rPr>
          <w:b/>
          <w:bCs/>
          <w:sz w:val="22"/>
          <w:szCs w:val="22"/>
          <w:lang w:val="sr-Latn-ME"/>
        </w:rPr>
        <w:t>Lista pomoćnih supstanci</w:t>
      </w:r>
      <w:r w:rsidR="002E0135" w:rsidRPr="007B69EC">
        <w:rPr>
          <w:b/>
          <w:bCs/>
          <w:sz w:val="22"/>
          <w:szCs w:val="22"/>
          <w:lang w:val="sr-Latn-ME"/>
        </w:rPr>
        <w:t xml:space="preserve"> (ekscipijenasa)</w:t>
      </w:r>
    </w:p>
    <w:p w14:paraId="6264FF18" w14:textId="77777777" w:rsidR="00574EDF" w:rsidRPr="007B69EC" w:rsidRDefault="00574EDF" w:rsidP="00480FB1">
      <w:pPr>
        <w:tabs>
          <w:tab w:val="left" w:pos="540"/>
          <w:tab w:val="left" w:pos="569"/>
        </w:tabs>
        <w:rPr>
          <w:b/>
          <w:bCs/>
          <w:sz w:val="22"/>
          <w:szCs w:val="22"/>
          <w:lang w:val="sr-Latn-ME"/>
        </w:rPr>
      </w:pPr>
    </w:p>
    <w:p w14:paraId="4769851C" w14:textId="15329186" w:rsidR="00574EDF" w:rsidRPr="007B69EC" w:rsidRDefault="005C584F" w:rsidP="00826224">
      <w:pPr>
        <w:tabs>
          <w:tab w:val="left" w:pos="540"/>
          <w:tab w:val="left" w:pos="569"/>
        </w:tabs>
        <w:jc w:val="both"/>
        <w:rPr>
          <w:sz w:val="22"/>
          <w:szCs w:val="22"/>
          <w:lang w:val="sr-Latn-ME"/>
        </w:rPr>
      </w:pPr>
      <w:r w:rsidRPr="007B69EC">
        <w:rPr>
          <w:sz w:val="22"/>
          <w:szCs w:val="22"/>
          <w:lang w:val="sr-Latn-ME"/>
        </w:rPr>
        <w:t>S</w:t>
      </w:r>
      <w:r w:rsidR="00574EDF" w:rsidRPr="007B69EC">
        <w:rPr>
          <w:sz w:val="22"/>
          <w:szCs w:val="22"/>
          <w:lang w:val="sr-Latn-ME"/>
        </w:rPr>
        <w:t>aharoza</w:t>
      </w:r>
    </w:p>
    <w:p w14:paraId="36246554" w14:textId="7C8BEFC7" w:rsidR="00574EDF" w:rsidRPr="007B69EC" w:rsidRDefault="005C584F" w:rsidP="00826224">
      <w:pPr>
        <w:tabs>
          <w:tab w:val="left" w:pos="540"/>
          <w:tab w:val="left" w:pos="569"/>
        </w:tabs>
        <w:jc w:val="both"/>
        <w:rPr>
          <w:sz w:val="22"/>
          <w:szCs w:val="22"/>
          <w:lang w:val="sr-Latn-ME"/>
        </w:rPr>
      </w:pPr>
      <w:r w:rsidRPr="007B69EC">
        <w:rPr>
          <w:sz w:val="22"/>
          <w:szCs w:val="22"/>
          <w:lang w:val="sr-Latn-ME"/>
        </w:rPr>
        <w:t>S</w:t>
      </w:r>
      <w:r w:rsidR="00574EDF" w:rsidRPr="007B69EC">
        <w:rPr>
          <w:sz w:val="22"/>
          <w:szCs w:val="22"/>
          <w:lang w:val="sr-Latn-ME"/>
        </w:rPr>
        <w:t>aharin</w:t>
      </w:r>
      <w:r w:rsidRPr="007B69EC">
        <w:rPr>
          <w:sz w:val="22"/>
          <w:szCs w:val="22"/>
          <w:lang w:val="sr-Latn-ME"/>
        </w:rPr>
        <w:t xml:space="preserve"> </w:t>
      </w:r>
      <w:r w:rsidR="00574EDF" w:rsidRPr="007B69EC">
        <w:rPr>
          <w:sz w:val="22"/>
          <w:szCs w:val="22"/>
          <w:lang w:val="sr-Latn-ME"/>
        </w:rPr>
        <w:t>natrijum</w:t>
      </w:r>
      <w:r w:rsidRPr="007B69EC">
        <w:rPr>
          <w:sz w:val="22"/>
          <w:szCs w:val="22"/>
          <w:lang w:val="sr-Latn-ME"/>
        </w:rPr>
        <w:t xml:space="preserve"> (E954)</w:t>
      </w:r>
    </w:p>
    <w:p w14:paraId="026983F8" w14:textId="3E0F379D" w:rsidR="005C584F" w:rsidRPr="007B69EC" w:rsidRDefault="005C584F" w:rsidP="00826224">
      <w:pPr>
        <w:tabs>
          <w:tab w:val="left" w:pos="540"/>
          <w:tab w:val="left" w:pos="569"/>
        </w:tabs>
        <w:jc w:val="both"/>
        <w:rPr>
          <w:sz w:val="22"/>
          <w:szCs w:val="22"/>
          <w:lang w:val="sr-Latn-ME"/>
        </w:rPr>
      </w:pPr>
      <w:r w:rsidRPr="007B69EC">
        <w:rPr>
          <w:sz w:val="22"/>
          <w:szCs w:val="22"/>
          <w:lang w:val="sr-Latn-ME"/>
        </w:rPr>
        <w:t>A</w:t>
      </w:r>
      <w:r w:rsidR="00574EDF" w:rsidRPr="007B69EC">
        <w:rPr>
          <w:sz w:val="22"/>
          <w:szCs w:val="22"/>
          <w:lang w:val="sr-Latn-ME"/>
        </w:rPr>
        <w:t>roma mandarine (maltodekstrin, arapska guma, askorbinska kiselina (E300), butilhidroksianizol (E320), preparati za aromu</w:t>
      </w:r>
      <w:r w:rsidR="00FF5B5C" w:rsidRPr="007B69EC">
        <w:rPr>
          <w:sz w:val="22"/>
          <w:szCs w:val="22"/>
          <w:lang w:val="sr-Latn-ME"/>
        </w:rPr>
        <w:t>, supstance za aromu</w:t>
      </w:r>
      <w:r w:rsidR="00574EDF" w:rsidRPr="007B69EC">
        <w:rPr>
          <w:sz w:val="22"/>
          <w:szCs w:val="22"/>
          <w:lang w:val="sr-Latn-ME"/>
        </w:rPr>
        <w:t xml:space="preserve"> i prirodne aromatične supstance)</w:t>
      </w:r>
    </w:p>
    <w:p w14:paraId="75D5C6C1" w14:textId="68D54D69" w:rsidR="00574EDF" w:rsidRPr="007B69EC" w:rsidRDefault="005C584F" w:rsidP="00826224">
      <w:pPr>
        <w:tabs>
          <w:tab w:val="left" w:pos="540"/>
          <w:tab w:val="left" w:pos="569"/>
        </w:tabs>
        <w:jc w:val="both"/>
        <w:rPr>
          <w:sz w:val="22"/>
          <w:szCs w:val="22"/>
          <w:lang w:val="sr-Latn-ME"/>
        </w:rPr>
      </w:pPr>
      <w:r w:rsidRPr="007B69EC">
        <w:rPr>
          <w:sz w:val="22"/>
          <w:szCs w:val="22"/>
          <w:lang w:val="sr-Latn-ME"/>
        </w:rPr>
        <w:t>A</w:t>
      </w:r>
      <w:r w:rsidR="00574EDF" w:rsidRPr="007B69EC">
        <w:rPr>
          <w:sz w:val="22"/>
          <w:szCs w:val="22"/>
          <w:lang w:val="sr-Latn-ME"/>
        </w:rPr>
        <w:t xml:space="preserve">roma </w:t>
      </w:r>
      <w:r w:rsidR="003C685E" w:rsidRPr="007B69EC">
        <w:rPr>
          <w:sz w:val="22"/>
          <w:szCs w:val="22"/>
          <w:lang w:val="sr-Latn-ME"/>
        </w:rPr>
        <w:t>pomorandže</w:t>
      </w:r>
      <w:r w:rsidR="00574EDF" w:rsidRPr="007B69EC">
        <w:rPr>
          <w:sz w:val="22"/>
          <w:szCs w:val="22"/>
          <w:lang w:val="sr-Latn-ME"/>
        </w:rPr>
        <w:t xml:space="preserve"> (maltodekstrin, arapska guma, preparati za aromu i prirodne aromatične supstance)</w:t>
      </w:r>
      <w:r w:rsidR="001F0F07" w:rsidRPr="007B69EC">
        <w:rPr>
          <w:sz w:val="22"/>
          <w:szCs w:val="22"/>
          <w:lang w:val="sr-Latn-ME"/>
        </w:rPr>
        <w:t>.</w:t>
      </w:r>
    </w:p>
    <w:p w14:paraId="586BFEF7" w14:textId="77777777" w:rsidR="0072020E" w:rsidRPr="007B69EC" w:rsidRDefault="0072020E" w:rsidP="00826224">
      <w:pPr>
        <w:tabs>
          <w:tab w:val="left" w:pos="540"/>
          <w:tab w:val="left" w:pos="569"/>
        </w:tabs>
        <w:jc w:val="both"/>
        <w:rPr>
          <w:bCs/>
          <w:sz w:val="22"/>
          <w:szCs w:val="22"/>
          <w:lang w:val="sr-Latn-ME"/>
        </w:rPr>
      </w:pPr>
    </w:p>
    <w:p w14:paraId="42212FC8" w14:textId="77777777" w:rsidR="0072020E" w:rsidRPr="007B69EC" w:rsidRDefault="0072020E" w:rsidP="00480FB1">
      <w:pPr>
        <w:tabs>
          <w:tab w:val="left" w:pos="540"/>
          <w:tab w:val="left" w:pos="569"/>
        </w:tabs>
        <w:rPr>
          <w:b/>
          <w:bCs/>
          <w:sz w:val="22"/>
          <w:szCs w:val="22"/>
          <w:lang w:val="sr-Latn-ME"/>
        </w:rPr>
      </w:pPr>
      <w:r w:rsidRPr="007B69EC">
        <w:rPr>
          <w:b/>
          <w:bCs/>
          <w:sz w:val="22"/>
          <w:szCs w:val="22"/>
          <w:lang w:val="sr-Latn-ME"/>
        </w:rPr>
        <w:t xml:space="preserve">6.2. </w:t>
      </w:r>
      <w:r w:rsidR="00480FB1" w:rsidRPr="007B69EC">
        <w:rPr>
          <w:b/>
          <w:bCs/>
          <w:sz w:val="22"/>
          <w:szCs w:val="22"/>
          <w:lang w:val="sr-Latn-ME"/>
        </w:rPr>
        <w:tab/>
      </w:r>
      <w:r w:rsidRPr="007B69EC">
        <w:rPr>
          <w:b/>
          <w:bCs/>
          <w:sz w:val="22"/>
          <w:szCs w:val="22"/>
          <w:lang w:val="sr-Latn-ME"/>
        </w:rPr>
        <w:t>Inkompatibilnost</w:t>
      </w:r>
      <w:r w:rsidR="002846DB" w:rsidRPr="007B69EC">
        <w:rPr>
          <w:b/>
          <w:bCs/>
          <w:sz w:val="22"/>
          <w:szCs w:val="22"/>
          <w:lang w:val="sr-Latn-ME"/>
        </w:rPr>
        <w:t>i</w:t>
      </w:r>
    </w:p>
    <w:p w14:paraId="7539BA4A" w14:textId="77777777" w:rsidR="003C685E" w:rsidRPr="007B69EC" w:rsidRDefault="003C685E" w:rsidP="00480FB1">
      <w:pPr>
        <w:tabs>
          <w:tab w:val="left" w:pos="540"/>
          <w:tab w:val="left" w:pos="569"/>
        </w:tabs>
        <w:rPr>
          <w:b/>
          <w:bCs/>
          <w:sz w:val="22"/>
          <w:szCs w:val="22"/>
          <w:lang w:val="sr-Latn-ME"/>
        </w:rPr>
      </w:pPr>
    </w:p>
    <w:p w14:paraId="75CE1814" w14:textId="5A07AB01" w:rsidR="003C685E" w:rsidRPr="007B69EC" w:rsidRDefault="005C584F" w:rsidP="003C685E">
      <w:pPr>
        <w:tabs>
          <w:tab w:val="left" w:pos="540"/>
          <w:tab w:val="left" w:pos="569"/>
        </w:tabs>
        <w:jc w:val="both"/>
        <w:rPr>
          <w:sz w:val="22"/>
          <w:szCs w:val="22"/>
          <w:lang w:val="sr-Latn-ME"/>
        </w:rPr>
      </w:pPr>
      <w:r w:rsidRPr="007B69EC">
        <w:rPr>
          <w:sz w:val="22"/>
          <w:szCs w:val="22"/>
          <w:lang w:val="sr-Latn-ME"/>
        </w:rPr>
        <w:t>Nije primjenljivo</w:t>
      </w:r>
      <w:r w:rsidR="003C685E" w:rsidRPr="007B69EC">
        <w:rPr>
          <w:sz w:val="22"/>
          <w:szCs w:val="22"/>
          <w:lang w:val="sr-Latn-ME"/>
        </w:rPr>
        <w:t>.</w:t>
      </w:r>
    </w:p>
    <w:p w14:paraId="0E32F4A2" w14:textId="77777777" w:rsidR="0072020E" w:rsidRPr="007B69EC" w:rsidRDefault="0072020E" w:rsidP="00480FB1">
      <w:pPr>
        <w:tabs>
          <w:tab w:val="left" w:pos="540"/>
          <w:tab w:val="left" w:pos="569"/>
        </w:tabs>
        <w:rPr>
          <w:bCs/>
          <w:sz w:val="22"/>
          <w:szCs w:val="22"/>
          <w:lang w:val="sr-Latn-ME"/>
        </w:rPr>
      </w:pPr>
    </w:p>
    <w:p w14:paraId="53DFB0AF" w14:textId="77777777" w:rsidR="0072020E" w:rsidRPr="007B69EC" w:rsidRDefault="0072020E" w:rsidP="00480FB1">
      <w:pPr>
        <w:tabs>
          <w:tab w:val="left" w:pos="540"/>
          <w:tab w:val="left" w:pos="569"/>
        </w:tabs>
        <w:rPr>
          <w:b/>
          <w:bCs/>
          <w:sz w:val="22"/>
          <w:szCs w:val="22"/>
          <w:lang w:val="sr-Latn-ME"/>
        </w:rPr>
      </w:pPr>
      <w:r w:rsidRPr="007B69EC">
        <w:rPr>
          <w:b/>
          <w:bCs/>
          <w:sz w:val="22"/>
          <w:szCs w:val="22"/>
          <w:lang w:val="sr-Latn-ME"/>
        </w:rPr>
        <w:t>6.3.</w:t>
      </w:r>
      <w:r w:rsidR="00C05DF8" w:rsidRPr="007B69EC">
        <w:rPr>
          <w:b/>
          <w:bCs/>
          <w:sz w:val="22"/>
          <w:szCs w:val="22"/>
          <w:lang w:val="sr-Latn-ME"/>
        </w:rPr>
        <w:t xml:space="preserve"> </w:t>
      </w:r>
      <w:r w:rsidR="00480FB1" w:rsidRPr="007B69EC">
        <w:rPr>
          <w:b/>
          <w:bCs/>
          <w:sz w:val="22"/>
          <w:szCs w:val="22"/>
          <w:lang w:val="sr-Latn-ME"/>
        </w:rPr>
        <w:tab/>
      </w:r>
      <w:r w:rsidRPr="007B69EC">
        <w:rPr>
          <w:b/>
          <w:bCs/>
          <w:sz w:val="22"/>
          <w:szCs w:val="22"/>
          <w:lang w:val="sr-Latn-ME"/>
        </w:rPr>
        <w:t>Rok upotrebe</w:t>
      </w:r>
    </w:p>
    <w:p w14:paraId="3A9EC84A" w14:textId="77777777" w:rsidR="003C685E" w:rsidRPr="007B69EC" w:rsidRDefault="003C685E" w:rsidP="00480FB1">
      <w:pPr>
        <w:tabs>
          <w:tab w:val="left" w:pos="540"/>
          <w:tab w:val="left" w:pos="569"/>
        </w:tabs>
        <w:rPr>
          <w:b/>
          <w:bCs/>
          <w:sz w:val="22"/>
          <w:szCs w:val="22"/>
          <w:lang w:val="sr-Latn-ME"/>
        </w:rPr>
      </w:pPr>
    </w:p>
    <w:p w14:paraId="05BB421D" w14:textId="45D4292B" w:rsidR="00F17E21" w:rsidRPr="007B69EC" w:rsidRDefault="003C685E" w:rsidP="003C685E">
      <w:pPr>
        <w:tabs>
          <w:tab w:val="left" w:pos="540"/>
          <w:tab w:val="left" w:pos="569"/>
        </w:tabs>
        <w:rPr>
          <w:sz w:val="22"/>
          <w:szCs w:val="22"/>
          <w:lang w:val="sr-Latn-ME"/>
        </w:rPr>
      </w:pPr>
      <w:r w:rsidRPr="007B69EC">
        <w:rPr>
          <w:sz w:val="22"/>
          <w:szCs w:val="22"/>
          <w:lang w:val="sr-Latn-ME"/>
        </w:rPr>
        <w:t xml:space="preserve">3 godine. </w:t>
      </w:r>
    </w:p>
    <w:p w14:paraId="58105C87" w14:textId="7B39126E" w:rsidR="003C685E" w:rsidRPr="007B69EC" w:rsidRDefault="003C685E" w:rsidP="003C685E">
      <w:pPr>
        <w:tabs>
          <w:tab w:val="left" w:pos="540"/>
          <w:tab w:val="left" w:pos="569"/>
        </w:tabs>
        <w:rPr>
          <w:sz w:val="22"/>
          <w:szCs w:val="22"/>
          <w:lang w:val="sr-Latn-ME"/>
        </w:rPr>
      </w:pPr>
      <w:r w:rsidRPr="007B69EC">
        <w:rPr>
          <w:sz w:val="22"/>
          <w:szCs w:val="22"/>
          <w:lang w:val="sr-Latn-ME"/>
        </w:rPr>
        <w:t xml:space="preserve">Lijek se ne smije </w:t>
      </w:r>
      <w:r w:rsidR="004D6BF5" w:rsidRPr="007B69EC">
        <w:rPr>
          <w:sz w:val="22"/>
          <w:szCs w:val="22"/>
          <w:lang w:val="sr-Latn-ME"/>
        </w:rPr>
        <w:t xml:space="preserve">upotrijebiti </w:t>
      </w:r>
      <w:r w:rsidRPr="007B69EC">
        <w:rPr>
          <w:sz w:val="22"/>
          <w:szCs w:val="22"/>
          <w:lang w:val="sr-Latn-ME"/>
        </w:rPr>
        <w:t>nakon isteka roka upotrebe.</w:t>
      </w:r>
    </w:p>
    <w:p w14:paraId="78EA8195" w14:textId="3C662EE4" w:rsidR="003C685E" w:rsidRPr="007B69EC" w:rsidRDefault="003C685E" w:rsidP="003C685E">
      <w:pPr>
        <w:tabs>
          <w:tab w:val="left" w:pos="540"/>
          <w:tab w:val="left" w:pos="569"/>
        </w:tabs>
        <w:rPr>
          <w:sz w:val="22"/>
          <w:szCs w:val="22"/>
          <w:lang w:val="sr-Latn-ME"/>
        </w:rPr>
      </w:pPr>
      <w:r w:rsidRPr="007B69EC">
        <w:rPr>
          <w:sz w:val="22"/>
          <w:szCs w:val="22"/>
          <w:lang w:val="sr-Latn-ME"/>
        </w:rPr>
        <w:lastRenderedPageBreak/>
        <w:t>Pripremljeni rastvor upot</w:t>
      </w:r>
      <w:bookmarkStart w:id="1" w:name="_GoBack"/>
      <w:bookmarkEnd w:id="1"/>
      <w:r w:rsidRPr="007B69EC">
        <w:rPr>
          <w:sz w:val="22"/>
          <w:szCs w:val="22"/>
          <w:lang w:val="sr-Latn-ME"/>
        </w:rPr>
        <w:t>rijebiti odmah</w:t>
      </w:r>
      <w:r w:rsidR="005C584F" w:rsidRPr="007B69EC">
        <w:rPr>
          <w:sz w:val="22"/>
          <w:szCs w:val="22"/>
          <w:lang w:val="sr-Latn-ME"/>
        </w:rPr>
        <w:t>.</w:t>
      </w:r>
    </w:p>
    <w:p w14:paraId="478A0E81" w14:textId="77777777" w:rsidR="0072020E" w:rsidRPr="007B69EC" w:rsidRDefault="0072020E" w:rsidP="00480FB1">
      <w:pPr>
        <w:tabs>
          <w:tab w:val="left" w:pos="540"/>
          <w:tab w:val="left" w:pos="569"/>
        </w:tabs>
        <w:rPr>
          <w:bCs/>
          <w:sz w:val="22"/>
          <w:szCs w:val="22"/>
          <w:lang w:val="sr-Latn-ME"/>
        </w:rPr>
      </w:pPr>
    </w:p>
    <w:p w14:paraId="165B380B" w14:textId="77777777" w:rsidR="0072020E" w:rsidRPr="007B69EC" w:rsidRDefault="0072020E" w:rsidP="00480FB1">
      <w:pPr>
        <w:tabs>
          <w:tab w:val="left" w:pos="540"/>
          <w:tab w:val="left" w:pos="569"/>
        </w:tabs>
        <w:rPr>
          <w:b/>
          <w:bCs/>
          <w:sz w:val="22"/>
          <w:szCs w:val="22"/>
          <w:lang w:val="sr-Latn-ME"/>
        </w:rPr>
      </w:pPr>
      <w:r w:rsidRPr="007B69EC">
        <w:rPr>
          <w:b/>
          <w:bCs/>
          <w:sz w:val="22"/>
          <w:szCs w:val="22"/>
          <w:lang w:val="sr-Latn-ME"/>
        </w:rPr>
        <w:t xml:space="preserve">6.4. </w:t>
      </w:r>
      <w:r w:rsidR="00480FB1" w:rsidRPr="007B69EC">
        <w:rPr>
          <w:b/>
          <w:bCs/>
          <w:sz w:val="22"/>
          <w:szCs w:val="22"/>
          <w:lang w:val="sr-Latn-ME"/>
        </w:rPr>
        <w:tab/>
      </w:r>
      <w:r w:rsidRPr="007B69EC">
        <w:rPr>
          <w:b/>
          <w:bCs/>
          <w:sz w:val="22"/>
          <w:szCs w:val="22"/>
          <w:lang w:val="sr-Latn-ME"/>
        </w:rPr>
        <w:t>Posebne mjere upozorenja pri čuvanju</w:t>
      </w:r>
      <w:r w:rsidR="00F8570A" w:rsidRPr="007B69EC">
        <w:rPr>
          <w:b/>
          <w:bCs/>
          <w:sz w:val="22"/>
          <w:szCs w:val="22"/>
          <w:lang w:val="sr-Latn-ME"/>
        </w:rPr>
        <w:t xml:space="preserve"> lijeka</w:t>
      </w:r>
    </w:p>
    <w:p w14:paraId="13222447" w14:textId="77777777" w:rsidR="003C685E" w:rsidRPr="007B69EC" w:rsidRDefault="003C685E" w:rsidP="00480FB1">
      <w:pPr>
        <w:tabs>
          <w:tab w:val="left" w:pos="540"/>
          <w:tab w:val="left" w:pos="569"/>
        </w:tabs>
        <w:rPr>
          <w:b/>
          <w:bCs/>
          <w:sz w:val="22"/>
          <w:szCs w:val="22"/>
          <w:lang w:val="sr-Latn-ME"/>
        </w:rPr>
      </w:pPr>
    </w:p>
    <w:p w14:paraId="02C9661E" w14:textId="5784F24E" w:rsidR="003C685E" w:rsidRPr="007B69EC" w:rsidRDefault="00990DF0" w:rsidP="003C685E">
      <w:pPr>
        <w:tabs>
          <w:tab w:val="left" w:pos="540"/>
          <w:tab w:val="left" w:pos="569"/>
        </w:tabs>
        <w:jc w:val="both"/>
        <w:rPr>
          <w:sz w:val="22"/>
          <w:szCs w:val="22"/>
          <w:lang w:val="sr-Latn-ME"/>
        </w:rPr>
      </w:pPr>
      <w:r w:rsidRPr="007B69EC">
        <w:rPr>
          <w:sz w:val="22"/>
          <w:szCs w:val="22"/>
          <w:lang w:val="sr-Latn-ME"/>
        </w:rPr>
        <w:t xml:space="preserve">Lijek </w:t>
      </w:r>
      <w:r w:rsidR="003C685E" w:rsidRPr="007B69EC">
        <w:rPr>
          <w:sz w:val="22"/>
          <w:szCs w:val="22"/>
          <w:lang w:val="sr-Latn-ME"/>
        </w:rPr>
        <w:t>ne zaht</w:t>
      </w:r>
      <w:r w:rsidR="00FF5B5C" w:rsidRPr="007B69EC">
        <w:rPr>
          <w:sz w:val="22"/>
          <w:szCs w:val="22"/>
          <w:lang w:val="sr-Latn-ME"/>
        </w:rPr>
        <w:t>ij</w:t>
      </w:r>
      <w:r w:rsidR="003C685E" w:rsidRPr="007B69EC">
        <w:rPr>
          <w:sz w:val="22"/>
          <w:szCs w:val="22"/>
          <w:lang w:val="sr-Latn-ME"/>
        </w:rPr>
        <w:t>eva posebne uslove čuvanja.</w:t>
      </w:r>
    </w:p>
    <w:p w14:paraId="4481B4EB" w14:textId="77777777" w:rsidR="00EC2532" w:rsidRPr="007B69EC" w:rsidRDefault="00EC2532" w:rsidP="00480FB1">
      <w:pPr>
        <w:tabs>
          <w:tab w:val="left" w:pos="540"/>
          <w:tab w:val="left" w:pos="569"/>
        </w:tabs>
        <w:rPr>
          <w:bCs/>
          <w:sz w:val="22"/>
          <w:szCs w:val="22"/>
          <w:lang w:val="sr-Latn-ME"/>
        </w:rPr>
      </w:pPr>
    </w:p>
    <w:p w14:paraId="3F067AAE" w14:textId="77777777" w:rsidR="0072020E" w:rsidRPr="007B69EC" w:rsidRDefault="0072020E" w:rsidP="00480FB1">
      <w:pPr>
        <w:tabs>
          <w:tab w:val="left" w:pos="540"/>
          <w:tab w:val="left" w:pos="569"/>
        </w:tabs>
        <w:rPr>
          <w:b/>
          <w:bCs/>
          <w:sz w:val="22"/>
          <w:szCs w:val="22"/>
          <w:lang w:val="sr-Latn-ME"/>
        </w:rPr>
      </w:pPr>
      <w:r w:rsidRPr="007B69EC">
        <w:rPr>
          <w:b/>
          <w:bCs/>
          <w:sz w:val="22"/>
          <w:szCs w:val="22"/>
          <w:lang w:val="sr-Latn-ME"/>
        </w:rPr>
        <w:t xml:space="preserve">6.5. </w:t>
      </w:r>
      <w:r w:rsidR="00480FB1" w:rsidRPr="007B69EC">
        <w:rPr>
          <w:b/>
          <w:bCs/>
          <w:sz w:val="22"/>
          <w:szCs w:val="22"/>
          <w:lang w:val="sr-Latn-ME"/>
        </w:rPr>
        <w:tab/>
      </w:r>
      <w:r w:rsidR="002846DB" w:rsidRPr="007B69EC">
        <w:rPr>
          <w:b/>
          <w:bCs/>
          <w:sz w:val="22"/>
          <w:szCs w:val="22"/>
          <w:lang w:val="sr-Latn-ME"/>
        </w:rPr>
        <w:t xml:space="preserve">Vrsta i sadržaj </w:t>
      </w:r>
      <w:r w:rsidR="00F8570A" w:rsidRPr="007B69EC">
        <w:rPr>
          <w:b/>
          <w:bCs/>
          <w:sz w:val="22"/>
          <w:szCs w:val="22"/>
          <w:lang w:val="sr-Latn-ME"/>
        </w:rPr>
        <w:t>pakovanja</w:t>
      </w:r>
      <w:r w:rsidR="00C06864" w:rsidRPr="007B69EC">
        <w:rPr>
          <w:b/>
          <w:bCs/>
          <w:sz w:val="22"/>
          <w:szCs w:val="22"/>
          <w:lang w:val="sr-Latn-ME"/>
        </w:rPr>
        <w:t xml:space="preserve"> </w:t>
      </w:r>
    </w:p>
    <w:p w14:paraId="2EF5CE57" w14:textId="77777777" w:rsidR="003C685E" w:rsidRPr="007B69EC" w:rsidRDefault="003C685E" w:rsidP="00480FB1">
      <w:pPr>
        <w:tabs>
          <w:tab w:val="left" w:pos="540"/>
          <w:tab w:val="left" w:pos="569"/>
        </w:tabs>
        <w:rPr>
          <w:b/>
          <w:bCs/>
          <w:sz w:val="22"/>
          <w:szCs w:val="22"/>
          <w:lang w:val="sr-Latn-ME"/>
        </w:rPr>
      </w:pPr>
    </w:p>
    <w:p w14:paraId="185DD3A7" w14:textId="0DC2EC9D" w:rsidR="003C685E" w:rsidRPr="007B69EC" w:rsidRDefault="003C685E" w:rsidP="003C685E">
      <w:pPr>
        <w:tabs>
          <w:tab w:val="left" w:pos="540"/>
          <w:tab w:val="left" w:pos="569"/>
        </w:tabs>
        <w:jc w:val="both"/>
        <w:rPr>
          <w:sz w:val="22"/>
          <w:szCs w:val="22"/>
          <w:lang w:val="sr-Latn-ME"/>
        </w:rPr>
      </w:pPr>
      <w:r w:rsidRPr="007B69EC">
        <w:rPr>
          <w:sz w:val="22"/>
          <w:szCs w:val="22"/>
          <w:lang w:val="sr-Latn-ME"/>
        </w:rPr>
        <w:t xml:space="preserve">Unutrašnje pakovanje je kesica za jednokratnu primjenu, koja se sastoji od </w:t>
      </w:r>
      <w:r w:rsidR="00FF5B5C" w:rsidRPr="007B69EC">
        <w:rPr>
          <w:sz w:val="22"/>
          <w:szCs w:val="22"/>
          <w:lang w:val="sr-Latn-ME"/>
        </w:rPr>
        <w:t xml:space="preserve">četiri </w:t>
      </w:r>
      <w:r w:rsidRPr="007B69EC">
        <w:rPr>
          <w:sz w:val="22"/>
          <w:szCs w:val="22"/>
          <w:lang w:val="sr-Latn-ME"/>
        </w:rPr>
        <w:t>sloja (surlin/</w:t>
      </w:r>
      <w:r w:rsidR="004B5393" w:rsidRPr="007B69EC">
        <w:rPr>
          <w:sz w:val="22"/>
          <w:szCs w:val="22"/>
          <w:lang w:val="sr-Latn-ME"/>
        </w:rPr>
        <w:t xml:space="preserve"> aluminijum</w:t>
      </w:r>
      <w:r w:rsidRPr="007B69EC">
        <w:rPr>
          <w:sz w:val="22"/>
          <w:szCs w:val="22"/>
          <w:lang w:val="sr-Latn-ME"/>
        </w:rPr>
        <w:t>/</w:t>
      </w:r>
      <w:r w:rsidR="004B5393" w:rsidRPr="007B69EC">
        <w:rPr>
          <w:sz w:val="22"/>
          <w:szCs w:val="22"/>
          <w:lang w:val="sr-Latn-ME"/>
        </w:rPr>
        <w:t>polietilen niske gustine (LDPE)</w:t>
      </w:r>
      <w:r w:rsidRPr="007B69EC">
        <w:rPr>
          <w:sz w:val="22"/>
          <w:szCs w:val="22"/>
          <w:lang w:val="sr-Latn-ME"/>
        </w:rPr>
        <w:t>/papir), u kojoj se nalazi 3</w:t>
      </w:r>
      <w:r w:rsidR="00FF5B5C" w:rsidRPr="007B69EC">
        <w:rPr>
          <w:sz w:val="22"/>
          <w:szCs w:val="22"/>
          <w:lang w:val="sr-Latn-ME"/>
        </w:rPr>
        <w:t xml:space="preserve"> </w:t>
      </w:r>
      <w:r w:rsidRPr="007B69EC">
        <w:rPr>
          <w:sz w:val="22"/>
          <w:szCs w:val="22"/>
          <w:lang w:val="sr-Latn-ME"/>
        </w:rPr>
        <w:t>g fosfomicina.</w:t>
      </w:r>
    </w:p>
    <w:p w14:paraId="628D7F57" w14:textId="4A6A969F" w:rsidR="003C685E" w:rsidRPr="007B69EC" w:rsidRDefault="00FF5B5C" w:rsidP="003C685E">
      <w:pPr>
        <w:tabs>
          <w:tab w:val="left" w:pos="540"/>
          <w:tab w:val="left" w:pos="569"/>
        </w:tabs>
        <w:jc w:val="both"/>
        <w:rPr>
          <w:sz w:val="22"/>
          <w:szCs w:val="22"/>
          <w:lang w:val="sr-Latn-ME"/>
        </w:rPr>
      </w:pPr>
      <w:r w:rsidRPr="007B69EC">
        <w:rPr>
          <w:sz w:val="22"/>
          <w:szCs w:val="22"/>
          <w:lang w:val="sr-Latn-ME"/>
        </w:rPr>
        <w:t>Jedna kesica lijeka Fostron sadrži 8 g granula za oralni rastvor.</w:t>
      </w:r>
    </w:p>
    <w:p w14:paraId="52BF9971" w14:textId="22621343" w:rsidR="003C685E" w:rsidRPr="007B69EC" w:rsidRDefault="003C685E" w:rsidP="003C685E">
      <w:pPr>
        <w:tabs>
          <w:tab w:val="left" w:pos="540"/>
          <w:tab w:val="left" w:pos="569"/>
        </w:tabs>
        <w:jc w:val="both"/>
        <w:rPr>
          <w:sz w:val="22"/>
          <w:szCs w:val="22"/>
          <w:lang w:val="sr-Latn-ME"/>
        </w:rPr>
      </w:pPr>
      <w:r w:rsidRPr="007B69EC">
        <w:rPr>
          <w:sz w:val="22"/>
          <w:szCs w:val="22"/>
          <w:lang w:val="sr-Latn-ME"/>
        </w:rPr>
        <w:t>Spoljašnje pakovanje je složiva kartonska kutija u kojoj se nalazi 1 kesica lijeka Fostron i Uputstvo za lijek</w:t>
      </w:r>
      <w:r w:rsidR="00650B78" w:rsidRPr="007B69EC">
        <w:rPr>
          <w:sz w:val="22"/>
          <w:szCs w:val="22"/>
          <w:lang w:val="sr-Latn-ME"/>
        </w:rPr>
        <w:t>.</w:t>
      </w:r>
    </w:p>
    <w:p w14:paraId="769D40D8" w14:textId="77777777" w:rsidR="0072020E" w:rsidRPr="007B69EC" w:rsidRDefault="0072020E" w:rsidP="00480FB1">
      <w:pPr>
        <w:tabs>
          <w:tab w:val="left" w:pos="540"/>
          <w:tab w:val="left" w:pos="569"/>
        </w:tabs>
        <w:rPr>
          <w:bCs/>
          <w:sz w:val="22"/>
          <w:szCs w:val="22"/>
          <w:lang w:val="sr-Latn-ME"/>
        </w:rPr>
      </w:pPr>
    </w:p>
    <w:p w14:paraId="09CDA44B" w14:textId="77777777" w:rsidR="002846DB" w:rsidRPr="007B69EC" w:rsidRDefault="0072020E" w:rsidP="00480FB1">
      <w:pPr>
        <w:tabs>
          <w:tab w:val="left" w:pos="540"/>
          <w:tab w:val="left" w:pos="569"/>
        </w:tabs>
        <w:rPr>
          <w:b/>
          <w:bCs/>
          <w:sz w:val="22"/>
          <w:szCs w:val="22"/>
          <w:lang w:val="sr-Latn-ME"/>
        </w:rPr>
      </w:pPr>
      <w:r w:rsidRPr="007B69EC">
        <w:rPr>
          <w:b/>
          <w:bCs/>
          <w:sz w:val="22"/>
          <w:szCs w:val="22"/>
          <w:lang w:val="sr-Latn-ME"/>
        </w:rPr>
        <w:t xml:space="preserve">6.6. </w:t>
      </w:r>
      <w:r w:rsidR="00480FB1" w:rsidRPr="007B69EC">
        <w:rPr>
          <w:b/>
          <w:bCs/>
          <w:sz w:val="22"/>
          <w:szCs w:val="22"/>
          <w:lang w:val="sr-Latn-ME"/>
        </w:rPr>
        <w:tab/>
      </w:r>
      <w:r w:rsidRPr="007B69EC">
        <w:rPr>
          <w:b/>
          <w:bCs/>
          <w:color w:val="000000"/>
          <w:sz w:val="22"/>
          <w:szCs w:val="22"/>
          <w:lang w:val="sr-Latn-ME"/>
        </w:rPr>
        <w:t>Posebne mjere opreza pri odlaganju materijala koji treba odbaciti nakon primjene lijeka</w:t>
      </w:r>
      <w:r w:rsidRPr="007B69EC">
        <w:rPr>
          <w:b/>
          <w:bCs/>
          <w:sz w:val="22"/>
          <w:szCs w:val="22"/>
          <w:lang w:val="sr-Latn-ME"/>
        </w:rPr>
        <w:t xml:space="preserve"> </w:t>
      </w:r>
      <w:r w:rsidR="00310F03" w:rsidRPr="007B69EC">
        <w:rPr>
          <w:b/>
          <w:bCs/>
          <w:sz w:val="22"/>
          <w:szCs w:val="22"/>
          <w:lang w:val="sr-Latn-ME"/>
        </w:rPr>
        <w:t>(i druga uputs</w:t>
      </w:r>
      <w:r w:rsidR="004109FA" w:rsidRPr="007B69EC">
        <w:rPr>
          <w:b/>
          <w:bCs/>
          <w:sz w:val="22"/>
          <w:szCs w:val="22"/>
          <w:lang w:val="sr-Latn-ME"/>
        </w:rPr>
        <w:t>t</w:t>
      </w:r>
      <w:r w:rsidR="00310F03" w:rsidRPr="007B69EC">
        <w:rPr>
          <w:b/>
          <w:bCs/>
          <w:sz w:val="22"/>
          <w:szCs w:val="22"/>
          <w:lang w:val="sr-Latn-ME"/>
        </w:rPr>
        <w:t xml:space="preserve">va za rukovanje lijekom) </w:t>
      </w:r>
    </w:p>
    <w:p w14:paraId="3124949C" w14:textId="77777777" w:rsidR="00B66A70" w:rsidRPr="007B69EC" w:rsidRDefault="00B66A70" w:rsidP="00480FB1">
      <w:pPr>
        <w:tabs>
          <w:tab w:val="left" w:pos="540"/>
          <w:tab w:val="left" w:pos="569"/>
        </w:tabs>
        <w:rPr>
          <w:b/>
          <w:bCs/>
          <w:sz w:val="22"/>
          <w:szCs w:val="22"/>
          <w:lang w:val="sr-Latn-ME"/>
        </w:rPr>
      </w:pPr>
    </w:p>
    <w:p w14:paraId="39B0C874" w14:textId="20F65F3B" w:rsidR="003C685E" w:rsidRPr="007B69EC" w:rsidRDefault="00102B79" w:rsidP="003C685E">
      <w:pPr>
        <w:tabs>
          <w:tab w:val="left" w:pos="540"/>
          <w:tab w:val="left" w:pos="569"/>
        </w:tabs>
        <w:jc w:val="both"/>
        <w:rPr>
          <w:sz w:val="22"/>
          <w:szCs w:val="22"/>
          <w:lang w:val="sr-Latn-ME"/>
        </w:rPr>
      </w:pPr>
      <w:r w:rsidRPr="007B69EC">
        <w:rPr>
          <w:sz w:val="22"/>
          <w:szCs w:val="22"/>
          <w:lang w:val="sr-Latn-ME"/>
        </w:rPr>
        <w:t>Svu neiskorišćenu količinu lijeka ili otpadnog materijala nakon njegove upotrebe treba ukloniti, u skladu sa važećim propisima</w:t>
      </w:r>
      <w:r w:rsidR="003C685E" w:rsidRPr="007B69EC">
        <w:rPr>
          <w:sz w:val="22"/>
          <w:szCs w:val="22"/>
          <w:lang w:val="sr-Latn-ME"/>
        </w:rPr>
        <w:t>.</w:t>
      </w:r>
    </w:p>
    <w:p w14:paraId="6365E376" w14:textId="2004BE71" w:rsidR="0072020E" w:rsidRPr="007B69EC" w:rsidRDefault="0072020E" w:rsidP="00480FB1">
      <w:pPr>
        <w:tabs>
          <w:tab w:val="left" w:pos="540"/>
          <w:tab w:val="left" w:pos="569"/>
        </w:tabs>
        <w:rPr>
          <w:bCs/>
          <w:sz w:val="22"/>
          <w:szCs w:val="22"/>
          <w:lang w:val="sr-Latn-ME"/>
        </w:rPr>
      </w:pPr>
    </w:p>
    <w:p w14:paraId="710AB629" w14:textId="77777777" w:rsidR="00FF5B5C" w:rsidRPr="007B69EC" w:rsidRDefault="00FF5B5C" w:rsidP="00480FB1">
      <w:pPr>
        <w:tabs>
          <w:tab w:val="left" w:pos="540"/>
          <w:tab w:val="left" w:pos="569"/>
        </w:tabs>
        <w:rPr>
          <w:bCs/>
          <w:sz w:val="22"/>
          <w:szCs w:val="22"/>
          <w:lang w:val="sr-Latn-ME"/>
        </w:rPr>
      </w:pPr>
    </w:p>
    <w:p w14:paraId="56D407F2" w14:textId="77777777" w:rsidR="00F8570A" w:rsidRPr="007B69EC" w:rsidRDefault="0072020E" w:rsidP="00480FB1">
      <w:pPr>
        <w:tabs>
          <w:tab w:val="left" w:pos="540"/>
          <w:tab w:val="left" w:pos="569"/>
        </w:tabs>
        <w:rPr>
          <w:b/>
          <w:bCs/>
          <w:sz w:val="22"/>
          <w:szCs w:val="22"/>
          <w:lang w:val="sr-Latn-ME"/>
        </w:rPr>
      </w:pPr>
      <w:r w:rsidRPr="007B69EC">
        <w:rPr>
          <w:b/>
          <w:bCs/>
          <w:sz w:val="22"/>
          <w:szCs w:val="22"/>
          <w:lang w:val="sr-Latn-ME"/>
        </w:rPr>
        <w:t xml:space="preserve">7. </w:t>
      </w:r>
      <w:r w:rsidR="00480FB1" w:rsidRPr="007B69EC">
        <w:rPr>
          <w:b/>
          <w:bCs/>
          <w:sz w:val="22"/>
          <w:szCs w:val="22"/>
          <w:lang w:val="sr-Latn-ME"/>
        </w:rPr>
        <w:tab/>
      </w:r>
      <w:r w:rsidRPr="007B69EC">
        <w:rPr>
          <w:b/>
          <w:bCs/>
          <w:sz w:val="22"/>
          <w:szCs w:val="22"/>
          <w:lang w:val="sr-Latn-ME"/>
        </w:rPr>
        <w:t>NOSILAC DOZVOLE</w:t>
      </w:r>
      <w:r w:rsidR="00483928" w:rsidRPr="007B69EC">
        <w:rPr>
          <w:b/>
          <w:bCs/>
          <w:sz w:val="22"/>
          <w:szCs w:val="22"/>
          <w:lang w:val="sr-Latn-ME"/>
        </w:rPr>
        <w:t xml:space="preserve"> </w:t>
      </w:r>
    </w:p>
    <w:p w14:paraId="1F41C634" w14:textId="77777777" w:rsidR="00C61BE0" w:rsidRPr="007B69EC" w:rsidRDefault="00C61BE0" w:rsidP="00480FB1">
      <w:pPr>
        <w:tabs>
          <w:tab w:val="left" w:pos="540"/>
          <w:tab w:val="left" w:pos="569"/>
        </w:tabs>
        <w:rPr>
          <w:bCs/>
          <w:sz w:val="22"/>
          <w:szCs w:val="22"/>
          <w:lang w:val="sr-Latn-ME"/>
        </w:rPr>
      </w:pPr>
    </w:p>
    <w:p w14:paraId="116DA08F" w14:textId="36BD57BF" w:rsidR="00102B79" w:rsidRPr="007B69EC" w:rsidRDefault="00102B79" w:rsidP="00102B79">
      <w:pPr>
        <w:tabs>
          <w:tab w:val="left" w:pos="540"/>
          <w:tab w:val="left" w:pos="569"/>
        </w:tabs>
        <w:rPr>
          <w:bCs/>
          <w:sz w:val="22"/>
          <w:szCs w:val="22"/>
          <w:lang w:val="sr-Latn-ME"/>
        </w:rPr>
      </w:pPr>
      <w:r w:rsidRPr="007B69EC">
        <w:rPr>
          <w:bCs/>
          <w:sz w:val="22"/>
          <w:szCs w:val="22"/>
          <w:lang w:val="sr-Latn-ME"/>
        </w:rPr>
        <w:t>Goodwill Pharma d.o.o. Podgorica</w:t>
      </w:r>
    </w:p>
    <w:p w14:paraId="59D51AF6" w14:textId="26B0248A" w:rsidR="00102B79" w:rsidRPr="007B69EC" w:rsidRDefault="00102B79" w:rsidP="00102B79">
      <w:pPr>
        <w:tabs>
          <w:tab w:val="left" w:pos="540"/>
          <w:tab w:val="left" w:pos="569"/>
        </w:tabs>
        <w:rPr>
          <w:bCs/>
          <w:sz w:val="22"/>
          <w:szCs w:val="22"/>
          <w:lang w:val="sr-Latn-ME"/>
        </w:rPr>
      </w:pPr>
      <w:r w:rsidRPr="007B69EC">
        <w:rPr>
          <w:bCs/>
          <w:sz w:val="22"/>
          <w:szCs w:val="22"/>
          <w:lang w:val="sr-Latn-ME"/>
        </w:rPr>
        <w:t>Crnogorskih serdara br.</w:t>
      </w:r>
      <w:r w:rsidR="00FF5B5C" w:rsidRPr="007B69EC">
        <w:rPr>
          <w:bCs/>
          <w:sz w:val="22"/>
          <w:szCs w:val="22"/>
          <w:lang w:val="sr-Latn-ME"/>
        </w:rPr>
        <w:t xml:space="preserve"> </w:t>
      </w:r>
      <w:r w:rsidRPr="007B69EC">
        <w:rPr>
          <w:bCs/>
          <w:sz w:val="22"/>
          <w:szCs w:val="22"/>
          <w:lang w:val="sr-Latn-ME"/>
        </w:rPr>
        <w:t xml:space="preserve">23, </w:t>
      </w:r>
      <w:r w:rsidR="00FF5B5C" w:rsidRPr="007B69EC">
        <w:rPr>
          <w:bCs/>
          <w:sz w:val="22"/>
          <w:szCs w:val="22"/>
          <w:lang w:val="sr-Latn-ME"/>
        </w:rPr>
        <w:t xml:space="preserve">81000 </w:t>
      </w:r>
      <w:r w:rsidRPr="007B69EC">
        <w:rPr>
          <w:bCs/>
          <w:sz w:val="22"/>
          <w:szCs w:val="22"/>
          <w:lang w:val="sr-Latn-ME"/>
        </w:rPr>
        <w:t>Podgorica, Crna Gora</w:t>
      </w:r>
    </w:p>
    <w:p w14:paraId="395D72F6" w14:textId="581ADB0B" w:rsidR="00C37FD7" w:rsidRPr="007B69EC" w:rsidRDefault="00C37FD7" w:rsidP="00480FB1">
      <w:pPr>
        <w:tabs>
          <w:tab w:val="left" w:pos="540"/>
          <w:tab w:val="left" w:pos="569"/>
        </w:tabs>
        <w:rPr>
          <w:bCs/>
          <w:sz w:val="22"/>
          <w:szCs w:val="22"/>
          <w:lang w:val="sr-Latn-ME"/>
        </w:rPr>
      </w:pPr>
    </w:p>
    <w:p w14:paraId="19521A87" w14:textId="77777777" w:rsidR="00FF5B5C" w:rsidRPr="007B69EC" w:rsidRDefault="00FF5B5C" w:rsidP="00480FB1">
      <w:pPr>
        <w:tabs>
          <w:tab w:val="left" w:pos="540"/>
          <w:tab w:val="left" w:pos="569"/>
        </w:tabs>
        <w:rPr>
          <w:bCs/>
          <w:sz w:val="22"/>
          <w:szCs w:val="22"/>
          <w:lang w:val="sr-Latn-ME"/>
        </w:rPr>
      </w:pPr>
    </w:p>
    <w:p w14:paraId="51101870" w14:textId="77777777" w:rsidR="0072020E" w:rsidRPr="007B69EC" w:rsidRDefault="0072020E" w:rsidP="00480FB1">
      <w:pPr>
        <w:tabs>
          <w:tab w:val="left" w:pos="540"/>
          <w:tab w:val="left" w:pos="569"/>
        </w:tabs>
        <w:rPr>
          <w:b/>
          <w:bCs/>
          <w:sz w:val="22"/>
          <w:szCs w:val="22"/>
          <w:lang w:val="sr-Latn-ME"/>
        </w:rPr>
      </w:pPr>
      <w:r w:rsidRPr="007B69EC">
        <w:rPr>
          <w:b/>
          <w:bCs/>
          <w:sz w:val="22"/>
          <w:szCs w:val="22"/>
          <w:lang w:val="sr-Latn-ME"/>
        </w:rPr>
        <w:t xml:space="preserve">8. </w:t>
      </w:r>
      <w:r w:rsidR="00480FB1" w:rsidRPr="007B69EC">
        <w:rPr>
          <w:b/>
          <w:bCs/>
          <w:sz w:val="22"/>
          <w:szCs w:val="22"/>
          <w:lang w:val="sr-Latn-ME"/>
        </w:rPr>
        <w:tab/>
      </w:r>
      <w:r w:rsidRPr="007B69EC">
        <w:rPr>
          <w:b/>
          <w:bCs/>
          <w:sz w:val="22"/>
          <w:szCs w:val="22"/>
          <w:lang w:val="sr-Latn-ME"/>
        </w:rPr>
        <w:t>BROJ DOZVOLE</w:t>
      </w:r>
      <w:r w:rsidR="008A6D43" w:rsidRPr="007B69EC">
        <w:rPr>
          <w:b/>
          <w:bCs/>
          <w:sz w:val="22"/>
          <w:szCs w:val="22"/>
          <w:lang w:val="sr-Latn-ME"/>
        </w:rPr>
        <w:t xml:space="preserve"> ZA STAVLJANJE LIJEKA U PROMET</w:t>
      </w:r>
    </w:p>
    <w:p w14:paraId="71866F0E" w14:textId="1CCCA1C8" w:rsidR="0072020E" w:rsidRDefault="0072020E" w:rsidP="00480FB1">
      <w:pPr>
        <w:tabs>
          <w:tab w:val="left" w:pos="540"/>
          <w:tab w:val="left" w:pos="569"/>
        </w:tabs>
        <w:rPr>
          <w:bCs/>
          <w:sz w:val="22"/>
          <w:szCs w:val="22"/>
          <w:lang w:val="sr-Latn-ME"/>
        </w:rPr>
      </w:pPr>
    </w:p>
    <w:p w14:paraId="7167242F" w14:textId="7BF2AFCE" w:rsidR="007B69EC" w:rsidRPr="007B69EC" w:rsidRDefault="007B69EC" w:rsidP="00480FB1">
      <w:pPr>
        <w:tabs>
          <w:tab w:val="left" w:pos="540"/>
          <w:tab w:val="left" w:pos="569"/>
        </w:tabs>
        <w:rPr>
          <w:sz w:val="22"/>
          <w:szCs w:val="22"/>
          <w:lang w:eastAsia="sr-Latn-ME"/>
        </w:rPr>
      </w:pPr>
      <w:r w:rsidRPr="007B69EC">
        <w:rPr>
          <w:sz w:val="22"/>
          <w:szCs w:val="22"/>
          <w:lang w:eastAsia="sr-Latn-ME"/>
        </w:rPr>
        <w:t xml:space="preserve">2030/25/2334 </w:t>
      </w:r>
      <w:r w:rsidRPr="007B69EC">
        <w:rPr>
          <w:sz w:val="22"/>
          <w:szCs w:val="22"/>
          <w:lang w:eastAsia="sr-Latn-ME"/>
        </w:rPr>
        <w:t>–</w:t>
      </w:r>
      <w:r w:rsidRPr="007B69EC">
        <w:rPr>
          <w:sz w:val="22"/>
          <w:szCs w:val="22"/>
          <w:lang w:eastAsia="sr-Latn-ME"/>
        </w:rPr>
        <w:t xml:space="preserve"> 8601</w:t>
      </w:r>
    </w:p>
    <w:p w14:paraId="5111C397" w14:textId="77777777" w:rsidR="007B69EC" w:rsidRPr="007B69EC" w:rsidRDefault="007B69EC" w:rsidP="00480FB1">
      <w:pPr>
        <w:tabs>
          <w:tab w:val="left" w:pos="540"/>
          <w:tab w:val="left" w:pos="569"/>
        </w:tabs>
        <w:rPr>
          <w:bCs/>
          <w:sz w:val="22"/>
          <w:szCs w:val="22"/>
          <w:lang w:val="sr-Latn-ME"/>
        </w:rPr>
      </w:pPr>
    </w:p>
    <w:p w14:paraId="6333C7D4" w14:textId="77777777" w:rsidR="00FF5B5C" w:rsidRPr="007B69EC" w:rsidRDefault="00FF5B5C" w:rsidP="00480FB1">
      <w:pPr>
        <w:tabs>
          <w:tab w:val="left" w:pos="540"/>
          <w:tab w:val="left" w:pos="569"/>
        </w:tabs>
        <w:rPr>
          <w:bCs/>
          <w:sz w:val="22"/>
          <w:szCs w:val="22"/>
          <w:lang w:val="sr-Latn-ME"/>
        </w:rPr>
      </w:pPr>
    </w:p>
    <w:p w14:paraId="5E3DA1E9" w14:textId="77777777" w:rsidR="0072020E" w:rsidRPr="007B69EC" w:rsidRDefault="0072020E" w:rsidP="00480FB1">
      <w:pPr>
        <w:tabs>
          <w:tab w:val="left" w:pos="540"/>
          <w:tab w:val="left" w:pos="569"/>
        </w:tabs>
        <w:rPr>
          <w:b/>
          <w:bCs/>
          <w:sz w:val="22"/>
          <w:szCs w:val="22"/>
          <w:lang w:val="sr-Latn-ME"/>
        </w:rPr>
      </w:pPr>
      <w:r w:rsidRPr="007B69EC">
        <w:rPr>
          <w:b/>
          <w:bCs/>
          <w:sz w:val="22"/>
          <w:szCs w:val="22"/>
          <w:lang w:val="sr-Latn-ME"/>
        </w:rPr>
        <w:t xml:space="preserve">9. </w:t>
      </w:r>
      <w:r w:rsidR="00480FB1" w:rsidRPr="007B69EC">
        <w:rPr>
          <w:b/>
          <w:bCs/>
          <w:sz w:val="22"/>
          <w:szCs w:val="22"/>
          <w:lang w:val="sr-Latn-ME"/>
        </w:rPr>
        <w:tab/>
      </w:r>
      <w:r w:rsidRPr="007B69EC">
        <w:rPr>
          <w:b/>
          <w:bCs/>
          <w:sz w:val="22"/>
          <w:szCs w:val="22"/>
          <w:lang w:val="sr-Latn-ME"/>
        </w:rPr>
        <w:t xml:space="preserve">DATUM </w:t>
      </w:r>
      <w:r w:rsidR="00C05DF8" w:rsidRPr="007B69EC">
        <w:rPr>
          <w:b/>
          <w:bCs/>
          <w:sz w:val="22"/>
          <w:szCs w:val="22"/>
          <w:lang w:val="sr-Latn-ME"/>
        </w:rPr>
        <w:t xml:space="preserve">PRVE </w:t>
      </w:r>
      <w:r w:rsidR="008A6D43" w:rsidRPr="007B69EC">
        <w:rPr>
          <w:b/>
          <w:bCs/>
          <w:sz w:val="22"/>
          <w:szCs w:val="22"/>
          <w:lang w:val="sr-Latn-ME"/>
        </w:rPr>
        <w:t>DOZVOLE</w:t>
      </w:r>
      <w:r w:rsidR="00C05DF8" w:rsidRPr="007B69EC">
        <w:rPr>
          <w:b/>
          <w:bCs/>
          <w:sz w:val="22"/>
          <w:szCs w:val="22"/>
          <w:lang w:val="sr-Latn-ME"/>
        </w:rPr>
        <w:t>/OBNOVE DOZVOLE</w:t>
      </w:r>
      <w:r w:rsidR="008A6D43" w:rsidRPr="007B69EC">
        <w:rPr>
          <w:b/>
          <w:bCs/>
          <w:sz w:val="22"/>
          <w:szCs w:val="22"/>
          <w:lang w:val="sr-Latn-ME"/>
        </w:rPr>
        <w:t xml:space="preserve"> ZA STAVLJANJE LIJEKA U PROMET</w:t>
      </w:r>
    </w:p>
    <w:p w14:paraId="450574AB" w14:textId="130AA2DD" w:rsidR="00102B79" w:rsidRDefault="00102B79" w:rsidP="00480FB1">
      <w:pPr>
        <w:tabs>
          <w:tab w:val="left" w:pos="540"/>
          <w:tab w:val="left" w:pos="569"/>
        </w:tabs>
        <w:rPr>
          <w:b/>
          <w:bCs/>
          <w:sz w:val="22"/>
          <w:szCs w:val="22"/>
          <w:lang w:val="sr-Latn-ME"/>
        </w:rPr>
      </w:pPr>
    </w:p>
    <w:p w14:paraId="1A16BE1F" w14:textId="5DCCCE91" w:rsidR="007B69EC" w:rsidRPr="007B69EC" w:rsidRDefault="007B69EC" w:rsidP="00480FB1">
      <w:pPr>
        <w:tabs>
          <w:tab w:val="left" w:pos="540"/>
          <w:tab w:val="left" w:pos="569"/>
        </w:tabs>
        <w:rPr>
          <w:bCs/>
          <w:sz w:val="22"/>
          <w:szCs w:val="22"/>
          <w:lang w:val="sr-Latn-ME"/>
        </w:rPr>
      </w:pPr>
      <w:r w:rsidRPr="007B69EC">
        <w:rPr>
          <w:bCs/>
          <w:sz w:val="22"/>
          <w:szCs w:val="22"/>
          <w:lang w:val="sr-Latn-ME"/>
        </w:rPr>
        <w:t>11.06.2025. godine</w:t>
      </w:r>
    </w:p>
    <w:p w14:paraId="31F70B05" w14:textId="3E0AD32D" w:rsidR="00836B35" w:rsidRDefault="00836B35" w:rsidP="00480FB1">
      <w:pPr>
        <w:tabs>
          <w:tab w:val="left" w:pos="540"/>
          <w:tab w:val="left" w:pos="569"/>
        </w:tabs>
        <w:rPr>
          <w:bCs/>
          <w:sz w:val="22"/>
          <w:szCs w:val="22"/>
          <w:lang w:val="sr-Latn-ME"/>
        </w:rPr>
      </w:pPr>
    </w:p>
    <w:p w14:paraId="40544495" w14:textId="77777777" w:rsidR="007B69EC" w:rsidRPr="007B69EC" w:rsidRDefault="007B69EC" w:rsidP="00480FB1">
      <w:pPr>
        <w:tabs>
          <w:tab w:val="left" w:pos="540"/>
          <w:tab w:val="left" w:pos="569"/>
        </w:tabs>
        <w:rPr>
          <w:bCs/>
          <w:sz w:val="22"/>
          <w:szCs w:val="22"/>
          <w:lang w:val="sr-Latn-ME"/>
        </w:rPr>
      </w:pPr>
    </w:p>
    <w:p w14:paraId="6D6E846C" w14:textId="77777777" w:rsidR="003F6A59" w:rsidRPr="007B69EC" w:rsidRDefault="0072020E" w:rsidP="00C05DF8">
      <w:pPr>
        <w:tabs>
          <w:tab w:val="left" w:pos="540"/>
          <w:tab w:val="left" w:pos="569"/>
        </w:tabs>
        <w:ind w:left="540" w:hanging="540"/>
        <w:rPr>
          <w:bCs/>
          <w:sz w:val="22"/>
          <w:szCs w:val="22"/>
          <w:lang w:val="sr-Latn-ME"/>
        </w:rPr>
      </w:pPr>
      <w:r w:rsidRPr="007B69EC">
        <w:rPr>
          <w:b/>
          <w:bCs/>
          <w:sz w:val="22"/>
          <w:szCs w:val="22"/>
          <w:lang w:val="sr-Latn-ME"/>
        </w:rPr>
        <w:t xml:space="preserve">10. </w:t>
      </w:r>
      <w:r w:rsidR="00480FB1" w:rsidRPr="007B69EC">
        <w:rPr>
          <w:b/>
          <w:bCs/>
          <w:sz w:val="22"/>
          <w:szCs w:val="22"/>
          <w:lang w:val="sr-Latn-ME"/>
        </w:rPr>
        <w:tab/>
      </w:r>
      <w:r w:rsidR="002846DB" w:rsidRPr="007B69EC">
        <w:rPr>
          <w:b/>
          <w:bCs/>
          <w:sz w:val="22"/>
          <w:szCs w:val="22"/>
          <w:lang w:val="sr-Latn-ME"/>
        </w:rPr>
        <w:t>D</w:t>
      </w:r>
      <w:r w:rsidR="00EC2532" w:rsidRPr="007B69EC">
        <w:rPr>
          <w:b/>
          <w:bCs/>
          <w:sz w:val="22"/>
          <w:szCs w:val="22"/>
          <w:lang w:val="sr-Latn-ME"/>
        </w:rPr>
        <w:t xml:space="preserve">ATUM REVIZIJE TEKSTA </w:t>
      </w:r>
    </w:p>
    <w:p w14:paraId="43DB199F" w14:textId="77777777" w:rsidR="003F6A59" w:rsidRPr="007B69EC" w:rsidRDefault="003F6A59" w:rsidP="00480FB1">
      <w:pPr>
        <w:tabs>
          <w:tab w:val="left" w:pos="540"/>
          <w:tab w:val="left" w:pos="569"/>
        </w:tabs>
        <w:rPr>
          <w:bCs/>
          <w:sz w:val="22"/>
          <w:szCs w:val="22"/>
          <w:lang w:val="sr-Latn-ME"/>
        </w:rPr>
      </w:pPr>
    </w:p>
    <w:p w14:paraId="4772C24D" w14:textId="15903FED" w:rsidR="008A6D43" w:rsidRPr="007B69EC" w:rsidRDefault="007B69EC" w:rsidP="00480FB1">
      <w:pPr>
        <w:tabs>
          <w:tab w:val="left" w:pos="540"/>
          <w:tab w:val="left" w:pos="569"/>
        </w:tabs>
        <w:rPr>
          <w:bCs/>
          <w:sz w:val="22"/>
          <w:szCs w:val="22"/>
          <w:lang w:val="sr-Latn-ME"/>
        </w:rPr>
      </w:pPr>
      <w:r>
        <w:rPr>
          <w:bCs/>
          <w:sz w:val="22"/>
          <w:szCs w:val="22"/>
          <w:lang w:val="sr-Latn-ME"/>
        </w:rPr>
        <w:t>Jun, 2025. godine</w:t>
      </w:r>
    </w:p>
    <w:p w14:paraId="596F603C" w14:textId="77777777" w:rsidR="003F6A59" w:rsidRPr="007B69EC" w:rsidRDefault="003F6A59" w:rsidP="00DE3F5C">
      <w:pPr>
        <w:rPr>
          <w:sz w:val="22"/>
          <w:szCs w:val="22"/>
          <w:lang w:val="sr-Latn-ME"/>
        </w:rPr>
      </w:pPr>
    </w:p>
    <w:sectPr w:rsidR="003F6A59" w:rsidRPr="007B69EC"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55AE0" w14:textId="77777777" w:rsidR="005D34B6" w:rsidRDefault="005D34B6">
      <w:r>
        <w:separator/>
      </w:r>
    </w:p>
  </w:endnote>
  <w:endnote w:type="continuationSeparator" w:id="0">
    <w:p w14:paraId="5D6781C7" w14:textId="77777777" w:rsidR="005D34B6" w:rsidRDefault="005D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FF654" w14:textId="11EB4A6F"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B69EC">
      <w:rPr>
        <w:noProof/>
        <w:sz w:val="22"/>
        <w:szCs w:val="22"/>
      </w:rPr>
      <w:t>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B69EC">
      <w:rPr>
        <w:noProof/>
        <w:sz w:val="22"/>
        <w:szCs w:val="22"/>
      </w:rPr>
      <w:t>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13505" w14:textId="77777777" w:rsidR="005D34B6" w:rsidRDefault="005D34B6">
      <w:r>
        <w:separator/>
      </w:r>
    </w:p>
  </w:footnote>
  <w:footnote w:type="continuationSeparator" w:id="0">
    <w:p w14:paraId="10164BB8" w14:textId="77777777" w:rsidR="005D34B6" w:rsidRDefault="005D3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7.75pt;height:11.8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D5E18F2"/>
    <w:multiLevelType w:val="hybridMultilevel"/>
    <w:tmpl w:val="B908F1EC"/>
    <w:lvl w:ilvl="0" w:tplc="01B4B61A">
      <w:start w:val="4"/>
      <w:numFmt w:val="bullet"/>
      <w:lvlText w:val=""/>
      <w:lvlJc w:val="left"/>
      <w:pPr>
        <w:ind w:left="467" w:hanging="360"/>
      </w:pPr>
      <w:rPr>
        <w:rFonts w:ascii="Wingdings" w:eastAsia="Microsoft Sans Serif" w:hAnsi="Wingdings"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EDF"/>
    <w:rsid w:val="00011009"/>
    <w:rsid w:val="000176CA"/>
    <w:rsid w:val="00033469"/>
    <w:rsid w:val="00036FA0"/>
    <w:rsid w:val="0003793F"/>
    <w:rsid w:val="00045130"/>
    <w:rsid w:val="00057E35"/>
    <w:rsid w:val="00063BD8"/>
    <w:rsid w:val="00075E28"/>
    <w:rsid w:val="00076726"/>
    <w:rsid w:val="00080303"/>
    <w:rsid w:val="00083D02"/>
    <w:rsid w:val="000A3F58"/>
    <w:rsid w:val="000B659E"/>
    <w:rsid w:val="000D2343"/>
    <w:rsid w:val="000D2562"/>
    <w:rsid w:val="000D3449"/>
    <w:rsid w:val="000D425A"/>
    <w:rsid w:val="000D60CC"/>
    <w:rsid w:val="000E1692"/>
    <w:rsid w:val="000E2084"/>
    <w:rsid w:val="000E6F55"/>
    <w:rsid w:val="000F77FA"/>
    <w:rsid w:val="00102B79"/>
    <w:rsid w:val="00107BF7"/>
    <w:rsid w:val="00126F53"/>
    <w:rsid w:val="0014766D"/>
    <w:rsid w:val="001536CC"/>
    <w:rsid w:val="00170D88"/>
    <w:rsid w:val="001A3FBA"/>
    <w:rsid w:val="001A5518"/>
    <w:rsid w:val="001B1C6A"/>
    <w:rsid w:val="001C1263"/>
    <w:rsid w:val="001C1417"/>
    <w:rsid w:val="001E390B"/>
    <w:rsid w:val="001F0F07"/>
    <w:rsid w:val="001F42FB"/>
    <w:rsid w:val="001F719A"/>
    <w:rsid w:val="00200F1C"/>
    <w:rsid w:val="002031B3"/>
    <w:rsid w:val="00215931"/>
    <w:rsid w:val="00223A6B"/>
    <w:rsid w:val="00224C91"/>
    <w:rsid w:val="002263E5"/>
    <w:rsid w:val="00227BDB"/>
    <w:rsid w:val="00234CB1"/>
    <w:rsid w:val="002352F8"/>
    <w:rsid w:val="002510A5"/>
    <w:rsid w:val="00254A0A"/>
    <w:rsid w:val="00266046"/>
    <w:rsid w:val="002846DB"/>
    <w:rsid w:val="00284CCD"/>
    <w:rsid w:val="002C6637"/>
    <w:rsid w:val="002E0135"/>
    <w:rsid w:val="002E37A5"/>
    <w:rsid w:val="00310F03"/>
    <w:rsid w:val="003247D2"/>
    <w:rsid w:val="003445C1"/>
    <w:rsid w:val="003550D8"/>
    <w:rsid w:val="00355B61"/>
    <w:rsid w:val="00362686"/>
    <w:rsid w:val="00371510"/>
    <w:rsid w:val="00371BD9"/>
    <w:rsid w:val="00396DFD"/>
    <w:rsid w:val="003A4E44"/>
    <w:rsid w:val="003A7059"/>
    <w:rsid w:val="003B7A36"/>
    <w:rsid w:val="003C17AB"/>
    <w:rsid w:val="003C685E"/>
    <w:rsid w:val="003C7823"/>
    <w:rsid w:val="003E1DCC"/>
    <w:rsid w:val="003E4B95"/>
    <w:rsid w:val="003F11A1"/>
    <w:rsid w:val="003F6A59"/>
    <w:rsid w:val="004065C8"/>
    <w:rsid w:val="004109FA"/>
    <w:rsid w:val="00411B4B"/>
    <w:rsid w:val="00415BEE"/>
    <w:rsid w:val="004254E9"/>
    <w:rsid w:val="00427F85"/>
    <w:rsid w:val="00436F42"/>
    <w:rsid w:val="004378B4"/>
    <w:rsid w:val="00451314"/>
    <w:rsid w:val="00452E9D"/>
    <w:rsid w:val="00452F27"/>
    <w:rsid w:val="004534C7"/>
    <w:rsid w:val="004671AA"/>
    <w:rsid w:val="00471DF8"/>
    <w:rsid w:val="00480FB1"/>
    <w:rsid w:val="00483928"/>
    <w:rsid w:val="00497265"/>
    <w:rsid w:val="004A3647"/>
    <w:rsid w:val="004B5393"/>
    <w:rsid w:val="004C331F"/>
    <w:rsid w:val="004D6103"/>
    <w:rsid w:val="004D6BF5"/>
    <w:rsid w:val="004E3BCE"/>
    <w:rsid w:val="004E70AD"/>
    <w:rsid w:val="004F0E97"/>
    <w:rsid w:val="004F17E2"/>
    <w:rsid w:val="004F4759"/>
    <w:rsid w:val="00501DD1"/>
    <w:rsid w:val="00515C21"/>
    <w:rsid w:val="00530BD7"/>
    <w:rsid w:val="00545CD2"/>
    <w:rsid w:val="005476F3"/>
    <w:rsid w:val="00572527"/>
    <w:rsid w:val="00573E40"/>
    <w:rsid w:val="00574EDF"/>
    <w:rsid w:val="00576348"/>
    <w:rsid w:val="005A0B2E"/>
    <w:rsid w:val="005A23D2"/>
    <w:rsid w:val="005A36CB"/>
    <w:rsid w:val="005B49B8"/>
    <w:rsid w:val="005C0741"/>
    <w:rsid w:val="005C584F"/>
    <w:rsid w:val="005C5EF4"/>
    <w:rsid w:val="005D34B6"/>
    <w:rsid w:val="005E2E0B"/>
    <w:rsid w:val="005E67AD"/>
    <w:rsid w:val="005E7A7D"/>
    <w:rsid w:val="00600FFE"/>
    <w:rsid w:val="00602457"/>
    <w:rsid w:val="00636AF0"/>
    <w:rsid w:val="00644FC3"/>
    <w:rsid w:val="00646BD1"/>
    <w:rsid w:val="00650B78"/>
    <w:rsid w:val="006561C2"/>
    <w:rsid w:val="00671CB3"/>
    <w:rsid w:val="00674BAF"/>
    <w:rsid w:val="00682200"/>
    <w:rsid w:val="00692BF6"/>
    <w:rsid w:val="006A1351"/>
    <w:rsid w:val="006A1497"/>
    <w:rsid w:val="006B0BD1"/>
    <w:rsid w:val="006B5404"/>
    <w:rsid w:val="006D1FA8"/>
    <w:rsid w:val="006D20A5"/>
    <w:rsid w:val="006D37BF"/>
    <w:rsid w:val="00702E22"/>
    <w:rsid w:val="0072020E"/>
    <w:rsid w:val="00724178"/>
    <w:rsid w:val="00754902"/>
    <w:rsid w:val="00786071"/>
    <w:rsid w:val="007A3ECB"/>
    <w:rsid w:val="007B69EC"/>
    <w:rsid w:val="007D7BB3"/>
    <w:rsid w:val="007E31E9"/>
    <w:rsid w:val="007F05E3"/>
    <w:rsid w:val="007F2C60"/>
    <w:rsid w:val="007F6840"/>
    <w:rsid w:val="00824AB9"/>
    <w:rsid w:val="00826224"/>
    <w:rsid w:val="00836B35"/>
    <w:rsid w:val="00843BDE"/>
    <w:rsid w:val="00856E0C"/>
    <w:rsid w:val="00865B3A"/>
    <w:rsid w:val="0087588C"/>
    <w:rsid w:val="0089705C"/>
    <w:rsid w:val="008A6D43"/>
    <w:rsid w:val="008B491E"/>
    <w:rsid w:val="008C1A28"/>
    <w:rsid w:val="008C2E98"/>
    <w:rsid w:val="008D5B93"/>
    <w:rsid w:val="008E49BD"/>
    <w:rsid w:val="008E53E9"/>
    <w:rsid w:val="008E5771"/>
    <w:rsid w:val="008F4ACF"/>
    <w:rsid w:val="00904AAD"/>
    <w:rsid w:val="00924166"/>
    <w:rsid w:val="00940B9B"/>
    <w:rsid w:val="00953573"/>
    <w:rsid w:val="0095676E"/>
    <w:rsid w:val="00956983"/>
    <w:rsid w:val="00963CF0"/>
    <w:rsid w:val="00964BB1"/>
    <w:rsid w:val="009775D9"/>
    <w:rsid w:val="00990DF0"/>
    <w:rsid w:val="00997175"/>
    <w:rsid w:val="009A1847"/>
    <w:rsid w:val="009B062A"/>
    <w:rsid w:val="009E319C"/>
    <w:rsid w:val="009E7C6F"/>
    <w:rsid w:val="009F1793"/>
    <w:rsid w:val="009F2D23"/>
    <w:rsid w:val="00A01D69"/>
    <w:rsid w:val="00A02335"/>
    <w:rsid w:val="00A029C2"/>
    <w:rsid w:val="00A46C9A"/>
    <w:rsid w:val="00A619F3"/>
    <w:rsid w:val="00A62A73"/>
    <w:rsid w:val="00A63000"/>
    <w:rsid w:val="00A87FF6"/>
    <w:rsid w:val="00A95C09"/>
    <w:rsid w:val="00AA0A3B"/>
    <w:rsid w:val="00AA2763"/>
    <w:rsid w:val="00AA33B6"/>
    <w:rsid w:val="00AB09DC"/>
    <w:rsid w:val="00AB50CA"/>
    <w:rsid w:val="00AB6D64"/>
    <w:rsid w:val="00AC53CE"/>
    <w:rsid w:val="00AD2193"/>
    <w:rsid w:val="00AE0033"/>
    <w:rsid w:val="00AF19F4"/>
    <w:rsid w:val="00AF2AC7"/>
    <w:rsid w:val="00AF74CE"/>
    <w:rsid w:val="00B208DB"/>
    <w:rsid w:val="00B23002"/>
    <w:rsid w:val="00B23F69"/>
    <w:rsid w:val="00B60619"/>
    <w:rsid w:val="00B66A70"/>
    <w:rsid w:val="00B67366"/>
    <w:rsid w:val="00B76402"/>
    <w:rsid w:val="00B80EE1"/>
    <w:rsid w:val="00B82F7E"/>
    <w:rsid w:val="00B84135"/>
    <w:rsid w:val="00BD33B4"/>
    <w:rsid w:val="00BF3DD3"/>
    <w:rsid w:val="00C04D34"/>
    <w:rsid w:val="00C05DF8"/>
    <w:rsid w:val="00C06864"/>
    <w:rsid w:val="00C10F54"/>
    <w:rsid w:val="00C23D8D"/>
    <w:rsid w:val="00C37AA3"/>
    <w:rsid w:val="00C37FD7"/>
    <w:rsid w:val="00C43419"/>
    <w:rsid w:val="00C437DA"/>
    <w:rsid w:val="00C44CF3"/>
    <w:rsid w:val="00C61BE0"/>
    <w:rsid w:val="00C6707E"/>
    <w:rsid w:val="00C70B0E"/>
    <w:rsid w:val="00C773CA"/>
    <w:rsid w:val="00C83785"/>
    <w:rsid w:val="00C87FA8"/>
    <w:rsid w:val="00C94C0D"/>
    <w:rsid w:val="00CA1FEB"/>
    <w:rsid w:val="00CD4F85"/>
    <w:rsid w:val="00CD6F02"/>
    <w:rsid w:val="00CE246D"/>
    <w:rsid w:val="00CF07A0"/>
    <w:rsid w:val="00CF3E03"/>
    <w:rsid w:val="00D0082A"/>
    <w:rsid w:val="00D15EB3"/>
    <w:rsid w:val="00D21455"/>
    <w:rsid w:val="00D47634"/>
    <w:rsid w:val="00D55DC9"/>
    <w:rsid w:val="00D709B3"/>
    <w:rsid w:val="00D74CD2"/>
    <w:rsid w:val="00DA2ED6"/>
    <w:rsid w:val="00DB0834"/>
    <w:rsid w:val="00DB1D55"/>
    <w:rsid w:val="00DB76B8"/>
    <w:rsid w:val="00DC2EA1"/>
    <w:rsid w:val="00DD6AAF"/>
    <w:rsid w:val="00DE3F5C"/>
    <w:rsid w:val="00DE6843"/>
    <w:rsid w:val="00DF1D20"/>
    <w:rsid w:val="00E21324"/>
    <w:rsid w:val="00E246B9"/>
    <w:rsid w:val="00E31FEA"/>
    <w:rsid w:val="00E45169"/>
    <w:rsid w:val="00E47787"/>
    <w:rsid w:val="00E51C30"/>
    <w:rsid w:val="00E53D5D"/>
    <w:rsid w:val="00E61EED"/>
    <w:rsid w:val="00E64180"/>
    <w:rsid w:val="00E7235D"/>
    <w:rsid w:val="00E74AEE"/>
    <w:rsid w:val="00E868E5"/>
    <w:rsid w:val="00E87326"/>
    <w:rsid w:val="00E9237A"/>
    <w:rsid w:val="00E939FA"/>
    <w:rsid w:val="00E956D3"/>
    <w:rsid w:val="00EA5765"/>
    <w:rsid w:val="00EC2532"/>
    <w:rsid w:val="00ED7812"/>
    <w:rsid w:val="00EF31BA"/>
    <w:rsid w:val="00EF3B86"/>
    <w:rsid w:val="00F05CCE"/>
    <w:rsid w:val="00F17E21"/>
    <w:rsid w:val="00F20682"/>
    <w:rsid w:val="00F317E9"/>
    <w:rsid w:val="00F34554"/>
    <w:rsid w:val="00F35B68"/>
    <w:rsid w:val="00F45F77"/>
    <w:rsid w:val="00F5167F"/>
    <w:rsid w:val="00F52258"/>
    <w:rsid w:val="00F73290"/>
    <w:rsid w:val="00F8570A"/>
    <w:rsid w:val="00F91C7B"/>
    <w:rsid w:val="00FA31C9"/>
    <w:rsid w:val="00FF3EDF"/>
    <w:rsid w:val="00FF5761"/>
    <w:rsid w:val="00FF5B5C"/>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C822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063BD8"/>
    <w:pPr>
      <w:ind w:left="720"/>
      <w:contextualSpacing/>
    </w:pPr>
  </w:style>
  <w:style w:type="paragraph" w:styleId="Revision">
    <w:name w:val="Revision"/>
    <w:hidden/>
    <w:uiPriority w:val="99"/>
    <w:semiHidden/>
    <w:rsid w:val="00A6300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E0936-7C74-49C6-A48E-B4F1D650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14694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Jonić-Popović</cp:lastModifiedBy>
  <cp:revision>2</cp:revision>
  <cp:lastPrinted>2023-02-09T08:16:00Z</cp:lastPrinted>
  <dcterms:created xsi:type="dcterms:W3CDTF">2025-06-11T09:59:00Z</dcterms:created>
  <dcterms:modified xsi:type="dcterms:W3CDTF">2025-06-11T09:59:00Z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