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F79D" w14:textId="52C747A2" w:rsidR="00824153" w:rsidRPr="00382816" w:rsidRDefault="00824153" w:rsidP="008E020C">
      <w:pPr>
        <w:pStyle w:val="Style11ptBoldUnderlinedCenter"/>
        <w:rPr>
          <w:szCs w:val="22"/>
        </w:rPr>
      </w:pPr>
      <w:r w:rsidRPr="00382816">
        <w:rPr>
          <w:szCs w:val="22"/>
        </w:rPr>
        <w:t>SAŽETAK KARAKTERISTIKA LIJEKA</w:t>
      </w:r>
    </w:p>
    <w:p w14:paraId="4213EDDD" w14:textId="1199133A" w:rsidR="00824153" w:rsidRPr="00382816" w:rsidRDefault="00824153" w:rsidP="008A375F">
      <w:pPr>
        <w:pStyle w:val="TitleA"/>
        <w:jc w:val="left"/>
        <w:rPr>
          <w:b w:val="0"/>
          <w:bCs/>
          <w:noProof w:val="0"/>
          <w:szCs w:val="22"/>
          <w:u w:val="single"/>
        </w:rPr>
      </w:pPr>
    </w:p>
    <w:p w14:paraId="388346AD" w14:textId="77777777" w:rsidR="00824153" w:rsidRPr="00382816" w:rsidRDefault="00824153" w:rsidP="008A375F">
      <w:pPr>
        <w:pStyle w:val="TitleA"/>
        <w:jc w:val="left"/>
        <w:rPr>
          <w:b w:val="0"/>
          <w:bCs/>
          <w:noProof w:val="0"/>
          <w:szCs w:val="22"/>
          <w:u w:val="single"/>
        </w:rPr>
      </w:pPr>
    </w:p>
    <w:p w14:paraId="588C7E95" w14:textId="51625F92" w:rsidR="00662535" w:rsidRPr="00382816" w:rsidRDefault="00992A6A" w:rsidP="00B0072D">
      <w:pPr>
        <w:keepNext/>
        <w:ind w:left="567" w:hanging="567"/>
        <w:jc w:val="both"/>
        <w:rPr>
          <w:b/>
          <w:szCs w:val="22"/>
        </w:rPr>
      </w:pPr>
      <w:r w:rsidRPr="00382816">
        <w:rPr>
          <w:b/>
          <w:szCs w:val="22"/>
        </w:rPr>
        <w:t>1.</w:t>
      </w:r>
      <w:r w:rsidRPr="00382816">
        <w:rPr>
          <w:b/>
          <w:szCs w:val="22"/>
        </w:rPr>
        <w:tab/>
        <w:t>NAZIV LIJEKA</w:t>
      </w:r>
    </w:p>
    <w:p w14:paraId="20E10C1B" w14:textId="77777777" w:rsidR="00662535" w:rsidRPr="00382816" w:rsidRDefault="00662535" w:rsidP="00B0072D">
      <w:pPr>
        <w:keepNext/>
        <w:jc w:val="both"/>
        <w:rPr>
          <w:szCs w:val="22"/>
        </w:rPr>
      </w:pPr>
    </w:p>
    <w:p w14:paraId="749A3522" w14:textId="718CEBED" w:rsidR="00662535" w:rsidRPr="00382816" w:rsidRDefault="00992A6A" w:rsidP="00B0072D">
      <w:pPr>
        <w:jc w:val="both"/>
        <w:rPr>
          <w:szCs w:val="22"/>
        </w:rPr>
      </w:pPr>
      <w:r w:rsidRPr="00382816">
        <w:rPr>
          <w:szCs w:val="22"/>
        </w:rPr>
        <w:t>Prolia, 60 mg/ml, rastvor za injekciju u napunjenom injekcionom špricu</w:t>
      </w:r>
    </w:p>
    <w:p w14:paraId="223615DA" w14:textId="77777777" w:rsidR="00230F58" w:rsidRPr="00382816" w:rsidRDefault="00230F58" w:rsidP="00B0072D">
      <w:pPr>
        <w:jc w:val="both"/>
        <w:rPr>
          <w:szCs w:val="22"/>
        </w:rPr>
      </w:pPr>
    </w:p>
    <w:p w14:paraId="5AF54493" w14:textId="243862E1" w:rsidR="00662535" w:rsidRPr="00382816" w:rsidRDefault="00B6539A" w:rsidP="00B0072D">
      <w:pPr>
        <w:jc w:val="both"/>
        <w:rPr>
          <w:bCs/>
          <w:szCs w:val="22"/>
        </w:rPr>
      </w:pPr>
      <w:r w:rsidRPr="00382816">
        <w:rPr>
          <w:szCs w:val="22"/>
        </w:rPr>
        <w:t>INN: denosumab</w:t>
      </w:r>
    </w:p>
    <w:p w14:paraId="0E54928C" w14:textId="77777777" w:rsidR="00662535" w:rsidRPr="00382816" w:rsidRDefault="00662535" w:rsidP="00B0072D">
      <w:pPr>
        <w:jc w:val="both"/>
        <w:rPr>
          <w:szCs w:val="22"/>
        </w:rPr>
      </w:pPr>
    </w:p>
    <w:p w14:paraId="5D86C1D9" w14:textId="77777777" w:rsidR="00662535" w:rsidRPr="00382816" w:rsidRDefault="00662535" w:rsidP="00B0072D">
      <w:pPr>
        <w:jc w:val="both"/>
        <w:rPr>
          <w:szCs w:val="22"/>
        </w:rPr>
      </w:pPr>
    </w:p>
    <w:p w14:paraId="15C79C7E" w14:textId="77777777" w:rsidR="00662535" w:rsidRPr="00382816" w:rsidRDefault="00992A6A" w:rsidP="00B0072D">
      <w:pPr>
        <w:keepNext/>
        <w:ind w:left="567" w:hanging="567"/>
        <w:jc w:val="both"/>
        <w:rPr>
          <w:szCs w:val="22"/>
        </w:rPr>
      </w:pPr>
      <w:r w:rsidRPr="00382816">
        <w:rPr>
          <w:b/>
          <w:szCs w:val="22"/>
        </w:rPr>
        <w:t>2.</w:t>
      </w:r>
      <w:r w:rsidRPr="00382816">
        <w:rPr>
          <w:b/>
          <w:szCs w:val="22"/>
        </w:rPr>
        <w:tab/>
        <w:t>KVALITATIVNI I KVANTITATIVNI SASTAV</w:t>
      </w:r>
    </w:p>
    <w:p w14:paraId="25CB4E83" w14:textId="77777777" w:rsidR="00662535" w:rsidRPr="00382816" w:rsidRDefault="00662535" w:rsidP="00B0072D">
      <w:pPr>
        <w:keepNext/>
        <w:autoSpaceDE w:val="0"/>
        <w:autoSpaceDN w:val="0"/>
        <w:adjustRightInd w:val="0"/>
        <w:jc w:val="both"/>
        <w:rPr>
          <w:rFonts w:eastAsia="MS Mincho"/>
          <w:szCs w:val="22"/>
          <w:lang w:eastAsia="ja-JP"/>
        </w:rPr>
      </w:pPr>
    </w:p>
    <w:p w14:paraId="038FCF09" w14:textId="4643C807" w:rsidR="00662535" w:rsidRPr="00382816" w:rsidRDefault="00230F58" w:rsidP="00B0072D">
      <w:pPr>
        <w:autoSpaceDE w:val="0"/>
        <w:autoSpaceDN w:val="0"/>
        <w:adjustRightInd w:val="0"/>
        <w:jc w:val="both"/>
        <w:rPr>
          <w:rFonts w:eastAsia="MS Mincho"/>
          <w:szCs w:val="22"/>
        </w:rPr>
      </w:pPr>
      <w:r w:rsidRPr="00382816">
        <w:rPr>
          <w:szCs w:val="22"/>
        </w:rPr>
        <w:t xml:space="preserve">Jedan </w:t>
      </w:r>
      <w:r w:rsidR="00992A6A" w:rsidRPr="00382816">
        <w:rPr>
          <w:szCs w:val="22"/>
        </w:rPr>
        <w:t>napunjeni injekcioni špric sadrži 60 mg denosumaba u 1 ml rastvora (60 mg/ml).</w:t>
      </w:r>
    </w:p>
    <w:p w14:paraId="3F063EC6" w14:textId="77777777" w:rsidR="00662535" w:rsidRPr="00382816" w:rsidRDefault="00662535" w:rsidP="00B0072D">
      <w:pPr>
        <w:autoSpaceDE w:val="0"/>
        <w:autoSpaceDN w:val="0"/>
        <w:adjustRightInd w:val="0"/>
        <w:jc w:val="both"/>
        <w:rPr>
          <w:rFonts w:eastAsia="MS Mincho"/>
          <w:i/>
          <w:szCs w:val="22"/>
          <w:lang w:eastAsia="ja-JP"/>
        </w:rPr>
      </w:pPr>
    </w:p>
    <w:p w14:paraId="6DA2F5BD" w14:textId="315D81CC" w:rsidR="00662535" w:rsidRPr="00382816" w:rsidRDefault="00992A6A" w:rsidP="00B0072D">
      <w:pPr>
        <w:autoSpaceDE w:val="0"/>
        <w:autoSpaceDN w:val="0"/>
        <w:adjustRightInd w:val="0"/>
        <w:jc w:val="both"/>
        <w:rPr>
          <w:rFonts w:eastAsia="MS Mincho"/>
          <w:szCs w:val="22"/>
        </w:rPr>
      </w:pPr>
      <w:r w:rsidRPr="00382816">
        <w:rPr>
          <w:szCs w:val="22"/>
        </w:rPr>
        <w:t xml:space="preserve">Denosumab je humano monoklonsko IgG2 antitijelo proizvedeno </w:t>
      </w:r>
      <w:r w:rsidR="00230F58" w:rsidRPr="00382816">
        <w:rPr>
          <w:szCs w:val="22"/>
        </w:rPr>
        <w:t xml:space="preserve">u </w:t>
      </w:r>
      <w:r w:rsidRPr="00382816">
        <w:rPr>
          <w:szCs w:val="22"/>
        </w:rPr>
        <w:t>ćelijskoj liniji sisara (ćelije jajnika kineskog hrčka) tehnologijom rekombinantne DNK.</w:t>
      </w:r>
    </w:p>
    <w:p w14:paraId="1FBA3C43" w14:textId="77777777" w:rsidR="00662535" w:rsidRPr="00382816" w:rsidRDefault="00662535" w:rsidP="00B0072D">
      <w:pPr>
        <w:autoSpaceDE w:val="0"/>
        <w:autoSpaceDN w:val="0"/>
        <w:adjustRightInd w:val="0"/>
        <w:jc w:val="both"/>
        <w:rPr>
          <w:rFonts w:eastAsia="MS Mincho"/>
          <w:szCs w:val="22"/>
          <w:lang w:eastAsia="ja-JP"/>
        </w:rPr>
      </w:pPr>
    </w:p>
    <w:p w14:paraId="014942D7" w14:textId="65B484A8" w:rsidR="00265818" w:rsidRPr="00382816" w:rsidRDefault="00992A6A" w:rsidP="00B0072D">
      <w:pPr>
        <w:keepNext/>
        <w:autoSpaceDE w:val="0"/>
        <w:autoSpaceDN w:val="0"/>
        <w:adjustRightInd w:val="0"/>
        <w:jc w:val="both"/>
        <w:rPr>
          <w:rFonts w:eastAsia="MS Mincho"/>
          <w:szCs w:val="22"/>
          <w:u w:val="single"/>
          <w:lang w:eastAsia="ja-JP"/>
        </w:rPr>
      </w:pPr>
      <w:r w:rsidRPr="00382816">
        <w:rPr>
          <w:szCs w:val="22"/>
          <w:u w:val="single"/>
        </w:rPr>
        <w:t>Pomoćn</w:t>
      </w:r>
      <w:r w:rsidR="00447819" w:rsidRPr="00382816">
        <w:rPr>
          <w:szCs w:val="22"/>
          <w:u w:val="single"/>
        </w:rPr>
        <w:t>a</w:t>
      </w:r>
      <w:r w:rsidRPr="00382816">
        <w:rPr>
          <w:szCs w:val="22"/>
          <w:u w:val="single"/>
        </w:rPr>
        <w:t xml:space="preserve"> supstanc</w:t>
      </w:r>
      <w:r w:rsidR="00447819" w:rsidRPr="00382816">
        <w:rPr>
          <w:szCs w:val="22"/>
          <w:u w:val="single"/>
        </w:rPr>
        <w:t>a</w:t>
      </w:r>
      <w:r w:rsidRPr="00382816">
        <w:rPr>
          <w:szCs w:val="22"/>
          <w:u w:val="single"/>
        </w:rPr>
        <w:t xml:space="preserve"> sa </w:t>
      </w:r>
      <w:r w:rsidR="00230F58" w:rsidRPr="00382816">
        <w:rPr>
          <w:szCs w:val="22"/>
          <w:u w:val="single"/>
        </w:rPr>
        <w:t xml:space="preserve">potvrđenim </w:t>
      </w:r>
      <w:r w:rsidRPr="00382816">
        <w:rPr>
          <w:szCs w:val="22"/>
          <w:u w:val="single"/>
        </w:rPr>
        <w:t>dejstvom</w:t>
      </w:r>
    </w:p>
    <w:p w14:paraId="7295D70B" w14:textId="59521F36" w:rsidR="00662535" w:rsidRPr="00382816" w:rsidRDefault="006605DF" w:rsidP="00230F58">
      <w:pPr>
        <w:rPr>
          <w:szCs w:val="22"/>
        </w:rPr>
      </w:pPr>
      <w:r w:rsidRPr="00382816">
        <w:rPr>
          <w:szCs w:val="22"/>
        </w:rPr>
        <w:t>Ovaj lijek sadrži 47 mg sorbitola</w:t>
      </w:r>
      <w:r w:rsidR="00230F58" w:rsidRPr="00382816">
        <w:rPr>
          <w:szCs w:val="22"/>
        </w:rPr>
        <w:t xml:space="preserve"> </w:t>
      </w:r>
      <w:r w:rsidRPr="00382816">
        <w:rPr>
          <w:szCs w:val="22"/>
        </w:rPr>
        <w:t>u jednom ml rastvora.</w:t>
      </w:r>
    </w:p>
    <w:p w14:paraId="7967AFE3" w14:textId="77777777" w:rsidR="00662535" w:rsidRPr="00382816" w:rsidRDefault="00662535" w:rsidP="00B0072D">
      <w:pPr>
        <w:autoSpaceDE w:val="0"/>
        <w:autoSpaceDN w:val="0"/>
        <w:adjustRightInd w:val="0"/>
        <w:jc w:val="both"/>
        <w:rPr>
          <w:rFonts w:eastAsia="MS Mincho"/>
          <w:szCs w:val="22"/>
          <w:lang w:eastAsia="ja-JP"/>
        </w:rPr>
      </w:pPr>
    </w:p>
    <w:p w14:paraId="19D39C9D" w14:textId="1A264C4D" w:rsidR="00662535" w:rsidRPr="00382816" w:rsidRDefault="00992A6A" w:rsidP="00B0072D">
      <w:pPr>
        <w:autoSpaceDE w:val="0"/>
        <w:autoSpaceDN w:val="0"/>
        <w:adjustRightInd w:val="0"/>
        <w:jc w:val="both"/>
        <w:rPr>
          <w:rFonts w:eastAsia="MS Mincho"/>
          <w:szCs w:val="22"/>
        </w:rPr>
      </w:pPr>
      <w:r w:rsidRPr="00382816">
        <w:rPr>
          <w:szCs w:val="22"/>
        </w:rPr>
        <w:t xml:space="preserve">Za </w:t>
      </w:r>
      <w:r w:rsidR="00B678A4" w:rsidRPr="00382816">
        <w:rPr>
          <w:szCs w:val="22"/>
        </w:rPr>
        <w:t>spisak svih ekscipijenasa,</w:t>
      </w:r>
      <w:r w:rsidRPr="00382816">
        <w:rPr>
          <w:szCs w:val="22"/>
        </w:rPr>
        <w:t xml:space="preserve"> </w:t>
      </w:r>
      <w:r w:rsidR="00B678A4" w:rsidRPr="00382816">
        <w:rPr>
          <w:szCs w:val="22"/>
        </w:rPr>
        <w:t>pogledati dio </w:t>
      </w:r>
      <w:r w:rsidRPr="00382816">
        <w:rPr>
          <w:szCs w:val="22"/>
        </w:rPr>
        <w:t>6.1.</w:t>
      </w:r>
    </w:p>
    <w:p w14:paraId="662C0455" w14:textId="77777777" w:rsidR="00662535" w:rsidRPr="00382816" w:rsidRDefault="00662535" w:rsidP="00B0072D">
      <w:pPr>
        <w:jc w:val="both"/>
        <w:rPr>
          <w:szCs w:val="22"/>
        </w:rPr>
      </w:pPr>
    </w:p>
    <w:p w14:paraId="41AF0DCA" w14:textId="77777777" w:rsidR="00662535" w:rsidRPr="00382816" w:rsidRDefault="00662535" w:rsidP="00B0072D">
      <w:pPr>
        <w:jc w:val="both"/>
        <w:rPr>
          <w:szCs w:val="22"/>
        </w:rPr>
      </w:pPr>
    </w:p>
    <w:p w14:paraId="73B0E136" w14:textId="77777777" w:rsidR="00662535" w:rsidRPr="00382816" w:rsidRDefault="00992A6A" w:rsidP="00B0072D">
      <w:pPr>
        <w:keepNext/>
        <w:ind w:left="567" w:hanging="567"/>
        <w:jc w:val="both"/>
        <w:rPr>
          <w:b/>
          <w:szCs w:val="22"/>
        </w:rPr>
      </w:pPr>
      <w:r w:rsidRPr="00382816">
        <w:rPr>
          <w:b/>
          <w:szCs w:val="22"/>
        </w:rPr>
        <w:t>3.</w:t>
      </w:r>
      <w:r w:rsidRPr="00382816">
        <w:rPr>
          <w:b/>
          <w:szCs w:val="22"/>
        </w:rPr>
        <w:tab/>
        <w:t>FARMACEUTSKI OBLIK</w:t>
      </w:r>
    </w:p>
    <w:p w14:paraId="63BCC4DC" w14:textId="77777777" w:rsidR="00662535" w:rsidRPr="00382816" w:rsidRDefault="00662535" w:rsidP="00B0072D">
      <w:pPr>
        <w:keepNext/>
        <w:ind w:left="567" w:hanging="567"/>
        <w:jc w:val="both"/>
        <w:rPr>
          <w:szCs w:val="22"/>
        </w:rPr>
      </w:pPr>
    </w:p>
    <w:p w14:paraId="305454CA" w14:textId="269C24EA" w:rsidR="00662535" w:rsidRPr="00382816" w:rsidRDefault="00992A6A" w:rsidP="00B0072D">
      <w:pPr>
        <w:jc w:val="both"/>
        <w:rPr>
          <w:szCs w:val="22"/>
        </w:rPr>
      </w:pPr>
      <w:r w:rsidRPr="00382816">
        <w:rPr>
          <w:szCs w:val="22"/>
        </w:rPr>
        <w:t>Rastvor za injekciju u napunjenom injekcionom špricu.</w:t>
      </w:r>
    </w:p>
    <w:p w14:paraId="2E458C4C" w14:textId="77777777" w:rsidR="00662535" w:rsidRPr="00382816" w:rsidRDefault="00992A6A" w:rsidP="00B0072D">
      <w:pPr>
        <w:jc w:val="both"/>
        <w:rPr>
          <w:rFonts w:eastAsia="MS Mincho"/>
          <w:szCs w:val="22"/>
        </w:rPr>
      </w:pPr>
      <w:r w:rsidRPr="00382816">
        <w:rPr>
          <w:szCs w:val="22"/>
        </w:rPr>
        <w:t>Bistar, bezbojan do blago žućkast rastvor.</w:t>
      </w:r>
    </w:p>
    <w:p w14:paraId="3D23FAF4" w14:textId="77777777" w:rsidR="00662535" w:rsidRPr="00382816" w:rsidRDefault="00662535" w:rsidP="00B0072D">
      <w:pPr>
        <w:jc w:val="both"/>
        <w:rPr>
          <w:szCs w:val="22"/>
        </w:rPr>
      </w:pPr>
    </w:p>
    <w:p w14:paraId="285F3716" w14:textId="77777777" w:rsidR="00662535" w:rsidRPr="00382816" w:rsidRDefault="00662535" w:rsidP="00B0072D">
      <w:pPr>
        <w:jc w:val="both"/>
        <w:rPr>
          <w:szCs w:val="22"/>
        </w:rPr>
      </w:pPr>
    </w:p>
    <w:p w14:paraId="67D115AA" w14:textId="77777777" w:rsidR="00662535" w:rsidRPr="00382816" w:rsidRDefault="0079473E" w:rsidP="00B0072D">
      <w:pPr>
        <w:keepNext/>
        <w:ind w:left="567" w:hanging="567"/>
        <w:jc w:val="both"/>
        <w:rPr>
          <w:b/>
          <w:szCs w:val="22"/>
        </w:rPr>
      </w:pPr>
      <w:r w:rsidRPr="00382816">
        <w:rPr>
          <w:b/>
          <w:szCs w:val="22"/>
        </w:rPr>
        <w:t>4.</w:t>
      </w:r>
      <w:r w:rsidRPr="00382816">
        <w:rPr>
          <w:b/>
          <w:szCs w:val="22"/>
        </w:rPr>
        <w:tab/>
        <w:t>KLINIČKI PODACI</w:t>
      </w:r>
    </w:p>
    <w:p w14:paraId="5B391052" w14:textId="77777777" w:rsidR="00662535" w:rsidRPr="00382816" w:rsidRDefault="00662535" w:rsidP="00B0072D">
      <w:pPr>
        <w:keepNext/>
        <w:ind w:left="567" w:hanging="567"/>
        <w:jc w:val="both"/>
        <w:rPr>
          <w:szCs w:val="22"/>
        </w:rPr>
      </w:pPr>
    </w:p>
    <w:p w14:paraId="3733F367" w14:textId="228610A5" w:rsidR="00662535" w:rsidRPr="00382816" w:rsidRDefault="005E4E6F" w:rsidP="00B0072D">
      <w:pPr>
        <w:keepNext/>
        <w:tabs>
          <w:tab w:val="clear" w:pos="567"/>
        </w:tabs>
        <w:ind w:left="567" w:hanging="567"/>
        <w:jc w:val="both"/>
        <w:outlineLvl w:val="0"/>
        <w:rPr>
          <w:b/>
          <w:szCs w:val="22"/>
        </w:rPr>
      </w:pPr>
      <w:r w:rsidRPr="00382816">
        <w:rPr>
          <w:b/>
          <w:szCs w:val="22"/>
        </w:rPr>
        <w:t>4.1.</w:t>
      </w:r>
      <w:r w:rsidRPr="00382816">
        <w:rPr>
          <w:b/>
          <w:szCs w:val="22"/>
        </w:rPr>
        <w:tab/>
        <w:t>Terapijske indikacije</w:t>
      </w:r>
    </w:p>
    <w:p w14:paraId="5F0D998C" w14:textId="77777777" w:rsidR="00662535" w:rsidRPr="00382816" w:rsidRDefault="00662535" w:rsidP="00B0072D">
      <w:pPr>
        <w:keepNext/>
        <w:jc w:val="both"/>
        <w:rPr>
          <w:szCs w:val="22"/>
        </w:rPr>
      </w:pPr>
    </w:p>
    <w:p w14:paraId="27C8759D" w14:textId="77777777" w:rsidR="00662535" w:rsidRPr="00382816" w:rsidRDefault="00992A6A" w:rsidP="00B0072D">
      <w:pPr>
        <w:jc w:val="both"/>
        <w:rPr>
          <w:szCs w:val="22"/>
        </w:rPr>
      </w:pPr>
      <w:r w:rsidRPr="00382816">
        <w:rPr>
          <w:szCs w:val="22"/>
        </w:rPr>
        <w:t>Terapija osteoporoze kod žena u postmenopauzi i kod muškaraca, kod kojih je povećan rizik od pojave fraktura. Kod žena u postmenopauzi lijek Prolia značajno smanjuje rizik od vertebralnih, nevertebralnih fraktura i fraktura kuka.</w:t>
      </w:r>
    </w:p>
    <w:p w14:paraId="5054D523" w14:textId="77777777" w:rsidR="00662535" w:rsidRPr="00382816" w:rsidRDefault="00662535" w:rsidP="00B0072D">
      <w:pPr>
        <w:jc w:val="both"/>
        <w:rPr>
          <w:szCs w:val="22"/>
        </w:rPr>
      </w:pPr>
    </w:p>
    <w:p w14:paraId="61817608" w14:textId="4A49DDCB" w:rsidR="00662535" w:rsidRPr="00382816" w:rsidRDefault="00992A6A" w:rsidP="00B0072D">
      <w:pPr>
        <w:jc w:val="both"/>
        <w:rPr>
          <w:szCs w:val="22"/>
        </w:rPr>
      </w:pPr>
      <w:r w:rsidRPr="00382816">
        <w:rPr>
          <w:szCs w:val="22"/>
        </w:rPr>
        <w:t xml:space="preserve">Terapija gubitka koštane mase udružena sa hormonskom ablacijom kod muškaraca sa karcinomom prostate i povećanim rizikom od pojave fraktura (vidjeti </w:t>
      </w:r>
      <w:r w:rsidR="0070189D" w:rsidRPr="00382816">
        <w:rPr>
          <w:szCs w:val="22"/>
        </w:rPr>
        <w:t>dio </w:t>
      </w:r>
      <w:r w:rsidRPr="00382816">
        <w:rPr>
          <w:szCs w:val="22"/>
        </w:rPr>
        <w:t>5.1). Kod muškaraca sa karcinomom prostate kod kojih se primjenjuje hormonska ablacija, lijek Prolia značajno smanjuje rizik od vertebralnih fraktura.</w:t>
      </w:r>
    </w:p>
    <w:p w14:paraId="3E99F456" w14:textId="77777777" w:rsidR="00662535" w:rsidRPr="00382816" w:rsidRDefault="00662535" w:rsidP="00B0072D">
      <w:pPr>
        <w:pStyle w:val="NormalWeb"/>
        <w:tabs>
          <w:tab w:val="left" w:pos="567"/>
        </w:tabs>
        <w:spacing w:before="0" w:beforeAutospacing="0" w:after="0" w:afterAutospacing="0"/>
        <w:jc w:val="both"/>
        <w:rPr>
          <w:rFonts w:eastAsia="Times New Roman"/>
          <w:sz w:val="22"/>
          <w:szCs w:val="22"/>
          <w:lang w:eastAsia="en-US"/>
        </w:rPr>
      </w:pPr>
    </w:p>
    <w:p w14:paraId="333F6282" w14:textId="0ECE9AF4" w:rsidR="00662535" w:rsidRPr="00382816" w:rsidRDefault="006605DF" w:rsidP="00B0072D">
      <w:pPr>
        <w:pStyle w:val="NormalWeb"/>
        <w:spacing w:before="0" w:beforeAutospacing="0" w:after="0" w:afterAutospacing="0"/>
        <w:jc w:val="both"/>
        <w:rPr>
          <w:rFonts w:eastAsia="Times New Roman"/>
          <w:sz w:val="22"/>
          <w:szCs w:val="22"/>
        </w:rPr>
      </w:pPr>
      <w:r w:rsidRPr="00382816">
        <w:rPr>
          <w:sz w:val="22"/>
          <w:szCs w:val="22"/>
        </w:rPr>
        <w:t xml:space="preserve">Terapija gubitka koštane mase povezana sa dugotrajnom sistemskom terapijom glukokortikoidima kod odraslih pacijenata sa povećanim rizikom od pojave fraktura (vidjeti </w:t>
      </w:r>
      <w:r w:rsidR="0070189D" w:rsidRPr="00382816">
        <w:rPr>
          <w:sz w:val="22"/>
          <w:szCs w:val="22"/>
        </w:rPr>
        <w:t>dio </w:t>
      </w:r>
      <w:r w:rsidRPr="00382816">
        <w:rPr>
          <w:sz w:val="22"/>
          <w:szCs w:val="22"/>
        </w:rPr>
        <w:t>5.1).</w:t>
      </w:r>
    </w:p>
    <w:p w14:paraId="21B2D1D9" w14:textId="77777777" w:rsidR="00662535" w:rsidRPr="00382816" w:rsidRDefault="00662535" w:rsidP="00B0072D">
      <w:pPr>
        <w:pStyle w:val="NormalWeb"/>
        <w:tabs>
          <w:tab w:val="left" w:pos="567"/>
        </w:tabs>
        <w:spacing w:before="0" w:beforeAutospacing="0" w:after="0" w:afterAutospacing="0"/>
        <w:jc w:val="both"/>
        <w:rPr>
          <w:rFonts w:eastAsia="Times New Roman"/>
          <w:sz w:val="22"/>
          <w:szCs w:val="22"/>
          <w:lang w:eastAsia="en-US"/>
        </w:rPr>
      </w:pPr>
    </w:p>
    <w:p w14:paraId="64292348" w14:textId="0C395F10" w:rsidR="00662535" w:rsidRPr="00382816" w:rsidRDefault="005E4E6F" w:rsidP="00B0072D">
      <w:pPr>
        <w:keepNext/>
        <w:tabs>
          <w:tab w:val="clear" w:pos="567"/>
        </w:tabs>
        <w:ind w:left="567" w:hanging="567"/>
        <w:jc w:val="both"/>
        <w:outlineLvl w:val="0"/>
        <w:rPr>
          <w:b/>
          <w:szCs w:val="22"/>
        </w:rPr>
      </w:pPr>
      <w:r w:rsidRPr="00382816">
        <w:rPr>
          <w:b/>
          <w:szCs w:val="22"/>
        </w:rPr>
        <w:t>4.2.</w:t>
      </w:r>
      <w:r w:rsidRPr="00382816">
        <w:rPr>
          <w:b/>
          <w:szCs w:val="22"/>
        </w:rPr>
        <w:tab/>
        <w:t>Doziranje i način primjene</w:t>
      </w:r>
    </w:p>
    <w:p w14:paraId="193B7CDE" w14:textId="77777777" w:rsidR="00662535" w:rsidRPr="00382816" w:rsidRDefault="00662535" w:rsidP="00B0072D">
      <w:pPr>
        <w:keepNext/>
        <w:autoSpaceDE w:val="0"/>
        <w:autoSpaceDN w:val="0"/>
        <w:adjustRightInd w:val="0"/>
        <w:jc w:val="both"/>
        <w:rPr>
          <w:b/>
          <w:i/>
          <w:szCs w:val="22"/>
        </w:rPr>
      </w:pPr>
    </w:p>
    <w:p w14:paraId="1A31FFDB" w14:textId="77777777" w:rsidR="00662535" w:rsidRPr="00382816" w:rsidRDefault="00992A6A" w:rsidP="00B0072D">
      <w:pPr>
        <w:keepNext/>
        <w:autoSpaceDE w:val="0"/>
        <w:autoSpaceDN w:val="0"/>
        <w:adjustRightInd w:val="0"/>
        <w:jc w:val="both"/>
        <w:rPr>
          <w:szCs w:val="22"/>
          <w:u w:val="single"/>
        </w:rPr>
      </w:pPr>
      <w:r w:rsidRPr="00382816">
        <w:rPr>
          <w:szCs w:val="22"/>
          <w:u w:val="single"/>
        </w:rPr>
        <w:t>Doziranje</w:t>
      </w:r>
    </w:p>
    <w:p w14:paraId="0B3138AC" w14:textId="77777777" w:rsidR="00662535" w:rsidRPr="00382816" w:rsidRDefault="00662535" w:rsidP="00B0072D">
      <w:pPr>
        <w:keepNext/>
        <w:autoSpaceDE w:val="0"/>
        <w:autoSpaceDN w:val="0"/>
        <w:adjustRightInd w:val="0"/>
        <w:jc w:val="both"/>
        <w:rPr>
          <w:szCs w:val="22"/>
          <w:u w:val="single"/>
        </w:rPr>
      </w:pPr>
    </w:p>
    <w:p w14:paraId="7A57D63A" w14:textId="735BB86B" w:rsidR="00662535" w:rsidRPr="00382816" w:rsidRDefault="00992A6A" w:rsidP="00B0072D">
      <w:pPr>
        <w:jc w:val="both"/>
        <w:rPr>
          <w:szCs w:val="22"/>
        </w:rPr>
      </w:pPr>
      <w:r w:rsidRPr="00382816">
        <w:rPr>
          <w:szCs w:val="22"/>
        </w:rPr>
        <w:t>Preporučena doza je 60 mg denosumaba, primijenjena u vidu pojedinačne subkutane injekcije, na svakih 6 mjeseci, u predio butine, stomaka ili nadlaktice.</w:t>
      </w:r>
    </w:p>
    <w:p w14:paraId="16C274AC" w14:textId="77777777" w:rsidR="00662535" w:rsidRPr="00382816" w:rsidRDefault="00662535" w:rsidP="00B0072D">
      <w:pPr>
        <w:jc w:val="both"/>
        <w:rPr>
          <w:szCs w:val="22"/>
        </w:rPr>
      </w:pPr>
    </w:p>
    <w:p w14:paraId="3D0298DE" w14:textId="271B2CD4" w:rsidR="00662535" w:rsidRPr="00382816" w:rsidRDefault="00992A6A" w:rsidP="00B0072D">
      <w:pPr>
        <w:jc w:val="both"/>
        <w:rPr>
          <w:szCs w:val="22"/>
        </w:rPr>
      </w:pPr>
      <w:r w:rsidRPr="00382816">
        <w:rPr>
          <w:szCs w:val="22"/>
        </w:rPr>
        <w:t xml:space="preserve">Pacijenti moraju da prime i odgovarajuću nadoknadu kalcijuma i vitamina D (vidjeti </w:t>
      </w:r>
      <w:r w:rsidR="0070189D" w:rsidRPr="00382816">
        <w:rPr>
          <w:szCs w:val="22"/>
        </w:rPr>
        <w:t>dio </w:t>
      </w:r>
      <w:r w:rsidRPr="00382816">
        <w:rPr>
          <w:szCs w:val="22"/>
        </w:rPr>
        <w:t>4.4).</w:t>
      </w:r>
    </w:p>
    <w:p w14:paraId="27AF40D6" w14:textId="77777777" w:rsidR="00662535" w:rsidRPr="00382816" w:rsidRDefault="00662535" w:rsidP="00B0072D">
      <w:pPr>
        <w:jc w:val="both"/>
        <w:rPr>
          <w:szCs w:val="22"/>
        </w:rPr>
      </w:pPr>
    </w:p>
    <w:p w14:paraId="09571076" w14:textId="77777777" w:rsidR="00662535" w:rsidRPr="00382816" w:rsidRDefault="0025669A" w:rsidP="00B0072D">
      <w:pPr>
        <w:jc w:val="both"/>
        <w:rPr>
          <w:szCs w:val="22"/>
        </w:rPr>
      </w:pPr>
      <w:r w:rsidRPr="00382816">
        <w:rPr>
          <w:szCs w:val="22"/>
        </w:rPr>
        <w:t>Pacijentima koji su na terapiji lijekom Prolia potrebno je dati Uputstvo za pacijenta i karticu</w:t>
      </w:r>
      <w:r w:rsidRPr="00382816">
        <w:rPr>
          <w:szCs w:val="22"/>
        </w:rPr>
        <w:noBreakHyphen/>
        <w:t>podsjetnik za pacijenta.</w:t>
      </w:r>
    </w:p>
    <w:p w14:paraId="6C1F339D" w14:textId="77777777" w:rsidR="00662535" w:rsidRPr="00382816" w:rsidRDefault="00662535" w:rsidP="00B0072D">
      <w:pPr>
        <w:jc w:val="both"/>
        <w:rPr>
          <w:szCs w:val="22"/>
        </w:rPr>
      </w:pPr>
    </w:p>
    <w:p w14:paraId="040C0972" w14:textId="2D6CE5FD" w:rsidR="00662535" w:rsidRPr="00382816" w:rsidRDefault="00661BDE" w:rsidP="00B0072D">
      <w:pPr>
        <w:jc w:val="both"/>
        <w:rPr>
          <w:szCs w:val="22"/>
        </w:rPr>
      </w:pPr>
      <w:r w:rsidRPr="00382816">
        <w:rPr>
          <w:szCs w:val="22"/>
        </w:rPr>
        <w:lastRenderedPageBreak/>
        <w:t>Optimalna ukupna dužina trajanja antiresorptivne terapije osteoporoze (uključujući i denosumab i bi</w:t>
      </w:r>
      <w:r w:rsidR="00230F58" w:rsidRPr="00382816">
        <w:rPr>
          <w:szCs w:val="22"/>
        </w:rPr>
        <w:t>s</w:t>
      </w:r>
      <w:r w:rsidRPr="00382816">
        <w:rPr>
          <w:szCs w:val="22"/>
        </w:rPr>
        <w:t xml:space="preserve">fosfonate), nije bila utvrđena. Potrebno je povremeno preispitati potrebu za kontinuiranom terapijom kod svakog pojedinačnog pacijenta, na osnovu koristi i potencijalnog rizika denosumaba, posebno posle 5 ili više godina upotrebe (vidjeti </w:t>
      </w:r>
      <w:r w:rsidR="0070189D" w:rsidRPr="00382816">
        <w:rPr>
          <w:szCs w:val="22"/>
        </w:rPr>
        <w:t>dio </w:t>
      </w:r>
      <w:r w:rsidRPr="00382816">
        <w:rPr>
          <w:szCs w:val="22"/>
        </w:rPr>
        <w:t>4.4).</w:t>
      </w:r>
    </w:p>
    <w:p w14:paraId="5CD3142F" w14:textId="67654ED4" w:rsidR="00662535" w:rsidRPr="00382816" w:rsidRDefault="00662535" w:rsidP="00B0072D">
      <w:pPr>
        <w:jc w:val="both"/>
        <w:rPr>
          <w:szCs w:val="22"/>
        </w:rPr>
      </w:pPr>
    </w:p>
    <w:p w14:paraId="4A132C63" w14:textId="77777777" w:rsidR="00DA7C03" w:rsidRPr="00382816" w:rsidRDefault="00DA7C03" w:rsidP="00B0072D">
      <w:pPr>
        <w:pStyle w:val="11ptitalic"/>
        <w:keepNext/>
        <w:jc w:val="both"/>
      </w:pPr>
      <w:r w:rsidRPr="00382816">
        <w:t>Stariji (≥ 65 godina)</w:t>
      </w:r>
    </w:p>
    <w:p w14:paraId="5C9AB013" w14:textId="77777777" w:rsidR="00DA7C03" w:rsidRPr="00382816" w:rsidRDefault="00DA7C03" w:rsidP="00B0072D">
      <w:pPr>
        <w:autoSpaceDE w:val="0"/>
        <w:autoSpaceDN w:val="0"/>
        <w:adjustRightInd w:val="0"/>
        <w:jc w:val="both"/>
        <w:rPr>
          <w:rFonts w:eastAsia="MS Mincho"/>
          <w:szCs w:val="22"/>
        </w:rPr>
      </w:pPr>
      <w:r w:rsidRPr="00382816">
        <w:rPr>
          <w:szCs w:val="22"/>
        </w:rPr>
        <w:t>Kod starijih pacijenata nije potrebno prilagođavanje doze.</w:t>
      </w:r>
    </w:p>
    <w:p w14:paraId="348E16F3" w14:textId="77777777" w:rsidR="00DA7C03" w:rsidRPr="00382816" w:rsidRDefault="00DA7C03" w:rsidP="00B0072D">
      <w:pPr>
        <w:jc w:val="both"/>
        <w:rPr>
          <w:szCs w:val="22"/>
        </w:rPr>
      </w:pPr>
    </w:p>
    <w:p w14:paraId="28BA2AA3" w14:textId="77777777" w:rsidR="00662535" w:rsidRPr="00382816" w:rsidRDefault="008D5E9D" w:rsidP="00B0072D">
      <w:pPr>
        <w:keepNext/>
        <w:jc w:val="both"/>
        <w:rPr>
          <w:i/>
          <w:szCs w:val="22"/>
        </w:rPr>
      </w:pPr>
      <w:r w:rsidRPr="00382816">
        <w:rPr>
          <w:i/>
          <w:szCs w:val="22"/>
        </w:rPr>
        <w:t>Poremećaj funkcije bubrega</w:t>
      </w:r>
    </w:p>
    <w:p w14:paraId="090287B5" w14:textId="45BFE10B" w:rsidR="00662535" w:rsidRPr="00382816" w:rsidRDefault="00E22884" w:rsidP="00B0072D">
      <w:pPr>
        <w:autoSpaceDE w:val="0"/>
        <w:autoSpaceDN w:val="0"/>
        <w:adjustRightInd w:val="0"/>
        <w:jc w:val="both"/>
        <w:rPr>
          <w:rFonts w:eastAsia="MS Mincho"/>
          <w:szCs w:val="22"/>
        </w:rPr>
      </w:pPr>
      <w:r w:rsidRPr="00382816">
        <w:rPr>
          <w:szCs w:val="22"/>
        </w:rPr>
        <w:t xml:space="preserve">Kod pacijenata sa poremećajem funkcije bubrega nije potrebno prilagođavanje doze (vidjeti </w:t>
      </w:r>
      <w:r w:rsidR="0070189D" w:rsidRPr="00382816">
        <w:rPr>
          <w:szCs w:val="22"/>
        </w:rPr>
        <w:t>dio </w:t>
      </w:r>
      <w:r w:rsidRPr="00382816">
        <w:rPr>
          <w:szCs w:val="22"/>
        </w:rPr>
        <w:t>4.4 za preporuke vezane za praćenje nivoa kalcijuma).</w:t>
      </w:r>
    </w:p>
    <w:p w14:paraId="411CF216" w14:textId="77777777" w:rsidR="00662535" w:rsidRPr="00382816" w:rsidRDefault="00662535" w:rsidP="00B0072D">
      <w:pPr>
        <w:jc w:val="both"/>
        <w:rPr>
          <w:szCs w:val="22"/>
          <w:u w:val="single"/>
        </w:rPr>
      </w:pPr>
    </w:p>
    <w:p w14:paraId="0E800CD6" w14:textId="5C0E2CC1" w:rsidR="00662535" w:rsidRPr="00382816" w:rsidRDefault="002F79A0" w:rsidP="00B0072D">
      <w:pPr>
        <w:jc w:val="both"/>
        <w:rPr>
          <w:szCs w:val="22"/>
        </w:rPr>
      </w:pPr>
      <w:r w:rsidRPr="00382816">
        <w:rPr>
          <w:szCs w:val="22"/>
        </w:rPr>
        <w:t>Nema podataka o pacijentima na dugotrajnoj sistemskoj terapiji glukokortikoidima i sa teškim oštećenjem bubrega (GFR˂ 30 ml/min).</w:t>
      </w:r>
    </w:p>
    <w:p w14:paraId="61793539" w14:textId="77777777" w:rsidR="00662535" w:rsidRPr="00382816" w:rsidRDefault="00662535" w:rsidP="00B0072D">
      <w:pPr>
        <w:jc w:val="both"/>
        <w:rPr>
          <w:szCs w:val="22"/>
          <w:u w:val="single"/>
        </w:rPr>
      </w:pPr>
    </w:p>
    <w:p w14:paraId="01FBB07D" w14:textId="77777777" w:rsidR="00662535" w:rsidRPr="00382816" w:rsidRDefault="008D5E9D" w:rsidP="00B0072D">
      <w:pPr>
        <w:keepNext/>
        <w:jc w:val="both"/>
        <w:rPr>
          <w:i/>
          <w:szCs w:val="22"/>
        </w:rPr>
      </w:pPr>
      <w:r w:rsidRPr="00382816">
        <w:rPr>
          <w:i/>
          <w:szCs w:val="22"/>
        </w:rPr>
        <w:t>Poremećaj funkcije jetre</w:t>
      </w:r>
    </w:p>
    <w:p w14:paraId="2FAE6AA7" w14:textId="6D293D6F" w:rsidR="00662535" w:rsidRPr="00382816" w:rsidRDefault="00992A6A" w:rsidP="00B0072D">
      <w:pPr>
        <w:autoSpaceDE w:val="0"/>
        <w:autoSpaceDN w:val="0"/>
        <w:adjustRightInd w:val="0"/>
        <w:jc w:val="both"/>
        <w:rPr>
          <w:szCs w:val="22"/>
        </w:rPr>
      </w:pPr>
      <w:r w:rsidRPr="00382816">
        <w:rPr>
          <w:szCs w:val="22"/>
        </w:rPr>
        <w:t xml:space="preserve">Bezbjednost i efikasnost denosumaba nije ispitivana kod pacijenata sa poremećajem funkcije jetre (vidjeti </w:t>
      </w:r>
      <w:r w:rsidR="0070189D" w:rsidRPr="00382816">
        <w:rPr>
          <w:szCs w:val="22"/>
        </w:rPr>
        <w:t>dio </w:t>
      </w:r>
      <w:r w:rsidRPr="00382816">
        <w:rPr>
          <w:szCs w:val="22"/>
        </w:rPr>
        <w:t>5.2).</w:t>
      </w:r>
    </w:p>
    <w:p w14:paraId="513E47D6" w14:textId="77777777" w:rsidR="00662535" w:rsidRPr="00382816" w:rsidRDefault="00662535" w:rsidP="00B0072D">
      <w:pPr>
        <w:autoSpaceDE w:val="0"/>
        <w:autoSpaceDN w:val="0"/>
        <w:adjustRightInd w:val="0"/>
        <w:jc w:val="both"/>
        <w:rPr>
          <w:i/>
          <w:szCs w:val="22"/>
        </w:rPr>
      </w:pPr>
    </w:p>
    <w:p w14:paraId="0BFDB7B9" w14:textId="77777777" w:rsidR="00662535" w:rsidRPr="00382816" w:rsidRDefault="00992A6A" w:rsidP="00B0072D">
      <w:pPr>
        <w:keepNext/>
        <w:jc w:val="both"/>
        <w:rPr>
          <w:i/>
          <w:szCs w:val="22"/>
        </w:rPr>
      </w:pPr>
      <w:r w:rsidRPr="00382816">
        <w:rPr>
          <w:i/>
          <w:szCs w:val="22"/>
        </w:rPr>
        <w:t>Pedijatrijska populacija</w:t>
      </w:r>
    </w:p>
    <w:p w14:paraId="1F7DDAF3" w14:textId="00FC9E2D" w:rsidR="00662535" w:rsidRPr="00382816" w:rsidRDefault="00992A6A" w:rsidP="00B0072D">
      <w:pPr>
        <w:jc w:val="both"/>
        <w:rPr>
          <w:szCs w:val="22"/>
        </w:rPr>
      </w:pPr>
      <w:r w:rsidRPr="00382816">
        <w:rPr>
          <w:szCs w:val="22"/>
        </w:rPr>
        <w:t xml:space="preserve">Lijek Prolia se ne smije primjenjivati kod djece uzrasta &lt; 18 godina iz bezbjednosnih razloga zbog rizika od teške hiperkalcemije, kao i potencijalne inhibicije rasta kostiju i nedostatka nicanja zuba (vidjeti </w:t>
      </w:r>
      <w:r w:rsidR="0070189D" w:rsidRPr="00382816">
        <w:rPr>
          <w:szCs w:val="22"/>
        </w:rPr>
        <w:t>djelove </w:t>
      </w:r>
      <w:r w:rsidRPr="00382816">
        <w:rPr>
          <w:szCs w:val="22"/>
        </w:rPr>
        <w:t xml:space="preserve">4.4 i 5.3). Trenutno dostupni podaci o djeci uzrasta od 2 do 17 godina opisani su u </w:t>
      </w:r>
      <w:r w:rsidR="0070189D" w:rsidRPr="00382816">
        <w:rPr>
          <w:szCs w:val="22"/>
        </w:rPr>
        <w:t>djelovima </w:t>
      </w:r>
      <w:r w:rsidRPr="00382816">
        <w:rPr>
          <w:szCs w:val="22"/>
        </w:rPr>
        <w:t>5.1 i 5.2.</w:t>
      </w:r>
    </w:p>
    <w:p w14:paraId="3A454C3B" w14:textId="77777777" w:rsidR="00662535" w:rsidRPr="00382816" w:rsidRDefault="00662535" w:rsidP="00B0072D">
      <w:pPr>
        <w:autoSpaceDE w:val="0"/>
        <w:autoSpaceDN w:val="0"/>
        <w:adjustRightInd w:val="0"/>
        <w:jc w:val="both"/>
        <w:rPr>
          <w:b/>
          <w:i/>
          <w:szCs w:val="22"/>
        </w:rPr>
      </w:pPr>
    </w:p>
    <w:p w14:paraId="0F8A56DE" w14:textId="77777777" w:rsidR="00662535" w:rsidRPr="00382816" w:rsidRDefault="00992A6A" w:rsidP="00B0072D">
      <w:pPr>
        <w:keepNext/>
        <w:autoSpaceDE w:val="0"/>
        <w:autoSpaceDN w:val="0"/>
        <w:adjustRightInd w:val="0"/>
        <w:jc w:val="both"/>
        <w:rPr>
          <w:szCs w:val="22"/>
          <w:u w:val="single"/>
        </w:rPr>
      </w:pPr>
      <w:r w:rsidRPr="00382816">
        <w:rPr>
          <w:szCs w:val="22"/>
          <w:u w:val="single"/>
        </w:rPr>
        <w:t>Način primjene</w:t>
      </w:r>
    </w:p>
    <w:p w14:paraId="4933378C" w14:textId="77777777" w:rsidR="00662535" w:rsidRPr="00382816" w:rsidRDefault="00662535" w:rsidP="00B0072D">
      <w:pPr>
        <w:keepNext/>
        <w:autoSpaceDE w:val="0"/>
        <w:autoSpaceDN w:val="0"/>
        <w:adjustRightInd w:val="0"/>
        <w:jc w:val="both"/>
        <w:rPr>
          <w:szCs w:val="22"/>
          <w:u w:val="single"/>
        </w:rPr>
      </w:pPr>
    </w:p>
    <w:p w14:paraId="4CE6D8D7" w14:textId="764CDD24" w:rsidR="00662535" w:rsidRPr="00382816" w:rsidRDefault="00C36B40" w:rsidP="00B0072D">
      <w:pPr>
        <w:autoSpaceDE w:val="0"/>
        <w:autoSpaceDN w:val="0"/>
        <w:adjustRightInd w:val="0"/>
        <w:jc w:val="both"/>
        <w:rPr>
          <w:bCs/>
          <w:szCs w:val="22"/>
        </w:rPr>
      </w:pPr>
      <w:r w:rsidRPr="00382816">
        <w:rPr>
          <w:szCs w:val="22"/>
        </w:rPr>
        <w:t>Namijenjeno za su</w:t>
      </w:r>
      <w:r w:rsidR="00230F58" w:rsidRPr="00382816">
        <w:rPr>
          <w:szCs w:val="22"/>
        </w:rPr>
        <w:t>b</w:t>
      </w:r>
      <w:r w:rsidRPr="00382816">
        <w:rPr>
          <w:szCs w:val="22"/>
        </w:rPr>
        <w:t>kutanu primjenu.</w:t>
      </w:r>
    </w:p>
    <w:p w14:paraId="4F1987EC" w14:textId="77777777" w:rsidR="00662535" w:rsidRPr="00382816" w:rsidRDefault="00662535" w:rsidP="00B0072D">
      <w:pPr>
        <w:autoSpaceDE w:val="0"/>
        <w:autoSpaceDN w:val="0"/>
        <w:adjustRightInd w:val="0"/>
        <w:jc w:val="both"/>
        <w:rPr>
          <w:bCs/>
          <w:szCs w:val="22"/>
        </w:rPr>
      </w:pPr>
    </w:p>
    <w:p w14:paraId="21803E14" w14:textId="77777777" w:rsidR="00662535" w:rsidRPr="00382816" w:rsidRDefault="00992A6A" w:rsidP="00B0072D">
      <w:pPr>
        <w:autoSpaceDE w:val="0"/>
        <w:autoSpaceDN w:val="0"/>
        <w:adjustRightInd w:val="0"/>
        <w:jc w:val="both"/>
        <w:rPr>
          <w:szCs w:val="22"/>
        </w:rPr>
      </w:pPr>
      <w:r w:rsidRPr="00382816">
        <w:rPr>
          <w:szCs w:val="22"/>
        </w:rPr>
        <w:t>Primjenu lijeka treba da vrše osobe koje su prošle odgovarajuću obuku za tehnike davanja injekcija.</w:t>
      </w:r>
    </w:p>
    <w:p w14:paraId="4FDA5AD5" w14:textId="77777777" w:rsidR="00662535" w:rsidRPr="00382816" w:rsidRDefault="00662535" w:rsidP="00B0072D">
      <w:pPr>
        <w:autoSpaceDE w:val="0"/>
        <w:autoSpaceDN w:val="0"/>
        <w:adjustRightInd w:val="0"/>
        <w:jc w:val="both"/>
        <w:rPr>
          <w:rFonts w:eastAsia="MS Mincho"/>
          <w:szCs w:val="22"/>
          <w:lang w:eastAsia="ja-JP"/>
        </w:rPr>
      </w:pPr>
    </w:p>
    <w:p w14:paraId="06DB87DB" w14:textId="7DCCA224" w:rsidR="00662535" w:rsidRPr="00382816" w:rsidRDefault="00992A6A" w:rsidP="00B0072D">
      <w:pPr>
        <w:autoSpaceDE w:val="0"/>
        <w:autoSpaceDN w:val="0"/>
        <w:adjustRightInd w:val="0"/>
        <w:jc w:val="both"/>
        <w:rPr>
          <w:rFonts w:eastAsia="MS Mincho"/>
          <w:szCs w:val="22"/>
        </w:rPr>
      </w:pPr>
      <w:r w:rsidRPr="00382816">
        <w:rPr>
          <w:szCs w:val="22"/>
        </w:rPr>
        <w:t xml:space="preserve">Uputstvo za upotrebu, rukovanje i odlaganje dato je u </w:t>
      </w:r>
      <w:r w:rsidR="002C6CBB" w:rsidRPr="00382816">
        <w:rPr>
          <w:szCs w:val="22"/>
        </w:rPr>
        <w:t>dijelu</w:t>
      </w:r>
      <w:r w:rsidRPr="00382816">
        <w:rPr>
          <w:szCs w:val="22"/>
        </w:rPr>
        <w:t> 6.6.</w:t>
      </w:r>
    </w:p>
    <w:p w14:paraId="2EF7944E" w14:textId="77777777" w:rsidR="00662535" w:rsidRPr="00382816" w:rsidRDefault="00662535" w:rsidP="00B0072D">
      <w:pPr>
        <w:autoSpaceDE w:val="0"/>
        <w:autoSpaceDN w:val="0"/>
        <w:adjustRightInd w:val="0"/>
        <w:jc w:val="both"/>
        <w:rPr>
          <w:rFonts w:eastAsia="MS Mincho"/>
          <w:szCs w:val="22"/>
          <w:lang w:eastAsia="ja-JP"/>
        </w:rPr>
      </w:pPr>
    </w:p>
    <w:p w14:paraId="6B015391" w14:textId="77777777" w:rsidR="00662535" w:rsidRPr="00382816" w:rsidRDefault="004759AC" w:rsidP="00B0072D">
      <w:pPr>
        <w:keepNext/>
        <w:tabs>
          <w:tab w:val="clear" w:pos="567"/>
        </w:tabs>
        <w:ind w:left="567" w:hanging="567"/>
        <w:jc w:val="both"/>
        <w:rPr>
          <w:b/>
          <w:szCs w:val="22"/>
        </w:rPr>
      </w:pPr>
      <w:r w:rsidRPr="00382816">
        <w:rPr>
          <w:b/>
          <w:szCs w:val="22"/>
        </w:rPr>
        <w:t>4.3.</w:t>
      </w:r>
      <w:r w:rsidRPr="00382816">
        <w:rPr>
          <w:b/>
          <w:szCs w:val="22"/>
        </w:rPr>
        <w:tab/>
        <w:t>Kontraindikacije</w:t>
      </w:r>
    </w:p>
    <w:p w14:paraId="2CEFDCB6" w14:textId="77777777" w:rsidR="00662535" w:rsidRPr="00382816" w:rsidRDefault="00662535" w:rsidP="00B0072D">
      <w:pPr>
        <w:keepNext/>
        <w:jc w:val="both"/>
        <w:rPr>
          <w:szCs w:val="22"/>
        </w:rPr>
      </w:pPr>
    </w:p>
    <w:p w14:paraId="08F2EF7D" w14:textId="2E753265" w:rsidR="00662535" w:rsidRPr="00382816" w:rsidRDefault="000259E3" w:rsidP="00B0072D">
      <w:pPr>
        <w:jc w:val="both"/>
        <w:rPr>
          <w:szCs w:val="22"/>
        </w:rPr>
      </w:pPr>
      <w:r w:rsidRPr="00382816">
        <w:rPr>
          <w:szCs w:val="22"/>
        </w:rPr>
        <w:t xml:space="preserve">Preosjetljivost na aktivnu supstancu ili na bilo koju pomoćnu supstancu navedenu u </w:t>
      </w:r>
      <w:r w:rsidR="002C6CBB" w:rsidRPr="00382816">
        <w:rPr>
          <w:szCs w:val="22"/>
        </w:rPr>
        <w:t>dijelu </w:t>
      </w:r>
      <w:r w:rsidRPr="00382816">
        <w:rPr>
          <w:szCs w:val="22"/>
        </w:rPr>
        <w:t>6.1.</w:t>
      </w:r>
    </w:p>
    <w:p w14:paraId="6ADA38D1" w14:textId="77777777" w:rsidR="00662535" w:rsidRPr="00382816" w:rsidRDefault="00662535" w:rsidP="00B0072D">
      <w:pPr>
        <w:jc w:val="both"/>
        <w:rPr>
          <w:szCs w:val="22"/>
        </w:rPr>
      </w:pPr>
    </w:p>
    <w:p w14:paraId="50C2A2C9" w14:textId="611B1525" w:rsidR="00662535" w:rsidRPr="00382816" w:rsidRDefault="00992A6A" w:rsidP="00B0072D">
      <w:pPr>
        <w:jc w:val="both"/>
        <w:rPr>
          <w:szCs w:val="22"/>
        </w:rPr>
      </w:pPr>
      <w:r w:rsidRPr="00382816">
        <w:rPr>
          <w:szCs w:val="22"/>
        </w:rPr>
        <w:t xml:space="preserve">Hipokalcijemija (vidjeti </w:t>
      </w:r>
      <w:r w:rsidR="00230F58" w:rsidRPr="00382816">
        <w:rPr>
          <w:szCs w:val="22"/>
        </w:rPr>
        <w:t>dio </w:t>
      </w:r>
      <w:r w:rsidRPr="00382816">
        <w:rPr>
          <w:szCs w:val="22"/>
        </w:rPr>
        <w:t>4.4).</w:t>
      </w:r>
    </w:p>
    <w:p w14:paraId="55EBD268" w14:textId="77777777" w:rsidR="00662535" w:rsidRPr="00382816" w:rsidRDefault="00662535" w:rsidP="00B0072D">
      <w:pPr>
        <w:jc w:val="both"/>
        <w:rPr>
          <w:szCs w:val="22"/>
        </w:rPr>
      </w:pPr>
    </w:p>
    <w:p w14:paraId="52F3D45E" w14:textId="1000A97B" w:rsidR="00662535" w:rsidRPr="00382816" w:rsidRDefault="00992A6A" w:rsidP="00B0072D">
      <w:pPr>
        <w:keepNext/>
        <w:ind w:left="567" w:hanging="567"/>
        <w:jc w:val="both"/>
        <w:outlineLvl w:val="0"/>
        <w:rPr>
          <w:b/>
          <w:szCs w:val="22"/>
        </w:rPr>
      </w:pPr>
      <w:r w:rsidRPr="00382816">
        <w:rPr>
          <w:b/>
          <w:szCs w:val="22"/>
        </w:rPr>
        <w:t>4.4.</w:t>
      </w:r>
      <w:r w:rsidRPr="00382816">
        <w:rPr>
          <w:b/>
          <w:szCs w:val="22"/>
        </w:rPr>
        <w:tab/>
        <w:t>Posebna upozorenja i mjere opreza pri upotrebi lijeka</w:t>
      </w:r>
    </w:p>
    <w:p w14:paraId="6F270C43" w14:textId="432C7A1D" w:rsidR="00662535" w:rsidRPr="00382816" w:rsidRDefault="00662535" w:rsidP="00B0072D">
      <w:pPr>
        <w:keepNext/>
        <w:jc w:val="both"/>
        <w:outlineLvl w:val="0"/>
        <w:rPr>
          <w:szCs w:val="22"/>
        </w:rPr>
      </w:pPr>
    </w:p>
    <w:p w14:paraId="17C4288D" w14:textId="77777777" w:rsidR="00321EDE" w:rsidRPr="00382816" w:rsidRDefault="00321EDE" w:rsidP="00B0072D">
      <w:pPr>
        <w:pStyle w:val="Style11ptunderlined"/>
        <w:jc w:val="both"/>
      </w:pPr>
      <w:r w:rsidRPr="00382816">
        <w:t>Praćenje</w:t>
      </w:r>
    </w:p>
    <w:p w14:paraId="5B545C3F" w14:textId="77777777" w:rsidR="00321EDE" w:rsidRPr="00382816" w:rsidRDefault="00321EDE" w:rsidP="00B0072D">
      <w:pPr>
        <w:keepNext/>
        <w:jc w:val="both"/>
        <w:rPr>
          <w:szCs w:val="22"/>
        </w:rPr>
      </w:pPr>
    </w:p>
    <w:p w14:paraId="4E63D179" w14:textId="77777777" w:rsidR="00321EDE" w:rsidRPr="00382816" w:rsidRDefault="00321EDE" w:rsidP="00B0072D">
      <w:pPr>
        <w:jc w:val="both"/>
        <w:rPr>
          <w:szCs w:val="22"/>
        </w:rPr>
      </w:pPr>
      <w:r w:rsidRPr="00382816">
        <w:rPr>
          <w:szCs w:val="22"/>
        </w:rPr>
        <w:t>Kako bi se poboljšalo praćenje bioloških ljekova, neophodno je precizno zabilježiti naziv i broj serije primijenjenog lijeka.</w:t>
      </w:r>
    </w:p>
    <w:p w14:paraId="1C558460" w14:textId="77777777" w:rsidR="00321EDE" w:rsidRPr="00382816" w:rsidRDefault="00321EDE" w:rsidP="00B0072D">
      <w:pPr>
        <w:jc w:val="both"/>
        <w:rPr>
          <w:szCs w:val="22"/>
        </w:rPr>
      </w:pPr>
    </w:p>
    <w:p w14:paraId="480E58AE" w14:textId="77777777" w:rsidR="00662535" w:rsidRPr="00382816" w:rsidRDefault="00992A6A"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Nadoknada kalcijuma i vitamina D</w:t>
      </w:r>
    </w:p>
    <w:p w14:paraId="696CEC3E"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12AFE8FB"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Važno je da svi pacijenti unose dovoljne količine kalcijuma i vitamina D.</w:t>
      </w:r>
    </w:p>
    <w:p w14:paraId="0189B297"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1A94F052" w14:textId="77777777" w:rsidR="00662535" w:rsidRPr="00382816" w:rsidRDefault="00992A6A"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Mjere opreza prilikom upotrebe lijeka</w:t>
      </w:r>
    </w:p>
    <w:p w14:paraId="5ED44CBC"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1190B090" w14:textId="77777777" w:rsidR="00662535" w:rsidRPr="00382816" w:rsidRDefault="001D7336"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i/>
          <w:color w:val="auto"/>
          <w:sz w:val="22"/>
          <w:szCs w:val="22"/>
        </w:rPr>
        <w:t>Hipokalcijemija</w:t>
      </w:r>
    </w:p>
    <w:p w14:paraId="76D24173" w14:textId="67071F14" w:rsidR="00662535" w:rsidRPr="00382816" w:rsidRDefault="00941571" w:rsidP="00B0072D">
      <w:pPr>
        <w:pStyle w:val="Style11"/>
        <w:jc w:val="both"/>
      </w:pPr>
      <w:r w:rsidRPr="00382816">
        <w:t xml:space="preserve">Važno je prepoznati pacijente s rizikom za hipokalcijemiju. Prije započinjanja terapije hipokalcijemija se mora korigovati odgovarajućim unosom kalcijuma i vitamina D. Preporučuje se kliničko praćenje nivoa kalcijuma prije svake doze i kod pacijenata koji su predisponirani za hipokalcijemiju unutar dvije nedjelje nakon početne doze. Ako se kod nekog pacijenta tokom liječenja pojavi sumnja na </w:t>
      </w:r>
      <w:r w:rsidRPr="00382816">
        <w:lastRenderedPageBreak/>
        <w:t xml:space="preserve">simptome hipokalcijemije (vidjeti </w:t>
      </w:r>
      <w:r w:rsidR="00230F58" w:rsidRPr="00382816">
        <w:t>dio </w:t>
      </w:r>
      <w:r w:rsidRPr="00382816">
        <w:t>4.8 za simptome), potrebno je izmjeriti nivo kalcijuma. Pacijente treba podstaknuti na prijavu simptoma koji ukazuju na hipokalcijemiju.</w:t>
      </w:r>
    </w:p>
    <w:p w14:paraId="7B25E15E"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7743D871" w14:textId="04FB953E" w:rsidR="00662535" w:rsidRPr="00382816" w:rsidRDefault="00E22884" w:rsidP="00B0072D">
      <w:pPr>
        <w:pStyle w:val="Style11"/>
        <w:tabs>
          <w:tab w:val="clear" w:pos="567"/>
        </w:tabs>
        <w:jc w:val="both"/>
      </w:pPr>
      <w:r w:rsidRPr="00382816">
        <w:t>Nakon stavljanja lijeka u promet zabilježena je teška simptomatska hipokalcijemija (koja je dovodila do hospitalizacije, događaja opasnih po život i smrtnih slučajeva). Iako se najveći broj slučajeva pojavio u prvih nekoliko nedjelja od početka liječenja, ona se pojavljivala i kasnije.</w:t>
      </w:r>
    </w:p>
    <w:p w14:paraId="00D36CA7"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49FBF10C" w14:textId="77777777" w:rsidR="00662535" w:rsidRPr="00382816" w:rsidRDefault="00723D6A" w:rsidP="00B0072D">
      <w:pPr>
        <w:pStyle w:val="Style11"/>
        <w:jc w:val="both"/>
      </w:pPr>
      <w:r w:rsidRPr="00382816">
        <w:t>Istovremeno liječenje glukokortikoidima je dodatni faktor rizika za hipokalcijemiju.</w:t>
      </w:r>
    </w:p>
    <w:p w14:paraId="615B43E8"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05490BD4" w14:textId="77777777" w:rsidR="00662535" w:rsidRPr="00382816" w:rsidRDefault="00723D6A" w:rsidP="00B0072D">
      <w:pPr>
        <w:keepNext/>
        <w:jc w:val="both"/>
        <w:rPr>
          <w:i/>
          <w:szCs w:val="22"/>
        </w:rPr>
      </w:pPr>
      <w:r w:rsidRPr="00382816">
        <w:rPr>
          <w:i/>
          <w:szCs w:val="22"/>
        </w:rPr>
        <w:t>Oštećenje funkcije bubrega</w:t>
      </w:r>
    </w:p>
    <w:p w14:paraId="5E5770BF" w14:textId="5836EEE9" w:rsidR="00662535" w:rsidRPr="00382816" w:rsidRDefault="00723D6A" w:rsidP="00B0072D">
      <w:pPr>
        <w:tabs>
          <w:tab w:val="clear" w:pos="567"/>
        </w:tabs>
        <w:jc w:val="both"/>
        <w:rPr>
          <w:szCs w:val="22"/>
        </w:rPr>
      </w:pPr>
      <w:r w:rsidRPr="00382816">
        <w:rPr>
          <w:szCs w:val="22"/>
        </w:rPr>
        <w:t>Pacijenti sa teškim oštećenjem funkcije bubrega (klirens kreatinina ˂ 30 ml/min) ili pacijenti koji su na dijalizi imaju povećan rizik od razvoja hipokalcijemije. Rizik od razvoja hipokalcijemije i pratećeg porasta paratireoidnog hormona se povećava sa povećanjem stepena oštećenje bubrega. Zabilježeni su teški i smrtni slučajevi. Adekvatan unos kalcijuma i vitamina D i redovno praćenje nivoa kalcijuma su posebno važni kod ovih pacijenata, vidjeti gore navedeno.</w:t>
      </w:r>
    </w:p>
    <w:p w14:paraId="5B8D3A15"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53FA2AA5" w14:textId="77777777" w:rsidR="00662535" w:rsidRPr="00382816" w:rsidRDefault="001D7336" w:rsidP="00B0072D">
      <w:pPr>
        <w:keepNext/>
        <w:jc w:val="both"/>
        <w:rPr>
          <w:szCs w:val="22"/>
        </w:rPr>
      </w:pPr>
      <w:r w:rsidRPr="00382816">
        <w:rPr>
          <w:i/>
          <w:szCs w:val="22"/>
        </w:rPr>
        <w:t>Infekcije kože</w:t>
      </w:r>
    </w:p>
    <w:p w14:paraId="3F42CED0" w14:textId="17403F06" w:rsidR="00662535" w:rsidRPr="00382816" w:rsidRDefault="00992A6A" w:rsidP="00B0072D">
      <w:pPr>
        <w:jc w:val="both"/>
        <w:rPr>
          <w:szCs w:val="22"/>
        </w:rPr>
      </w:pPr>
      <w:r w:rsidRPr="00382816">
        <w:rPr>
          <w:szCs w:val="22"/>
        </w:rPr>
        <w:t xml:space="preserve">Pacijenti koji primaju denosumab mogu razviti infekciju kože (pretežno celulitis) zbog koje mogu biti hospitalizovani (vidjeti </w:t>
      </w:r>
      <w:r w:rsidR="002C6CBB" w:rsidRPr="00382816">
        <w:rPr>
          <w:szCs w:val="22"/>
        </w:rPr>
        <w:t>dio </w:t>
      </w:r>
      <w:r w:rsidRPr="00382816">
        <w:rPr>
          <w:szCs w:val="22"/>
        </w:rPr>
        <w:t>4.8). Pacijente treba savjetovati da u slučaju znakova ili simptoma celulitisa odmah zatraže medicinsku pomoć.</w:t>
      </w:r>
    </w:p>
    <w:p w14:paraId="0104D75C" w14:textId="77777777" w:rsidR="00662535" w:rsidRPr="00382816" w:rsidRDefault="00662535" w:rsidP="00B0072D">
      <w:pPr>
        <w:jc w:val="both"/>
        <w:rPr>
          <w:bCs/>
          <w:szCs w:val="22"/>
        </w:rPr>
      </w:pPr>
    </w:p>
    <w:p w14:paraId="31C69713" w14:textId="77777777" w:rsidR="00662535" w:rsidRPr="00382816" w:rsidRDefault="00D5172C" w:rsidP="00B0072D">
      <w:pPr>
        <w:keepNext/>
        <w:jc w:val="both"/>
        <w:rPr>
          <w:bCs/>
          <w:i/>
          <w:iCs/>
          <w:szCs w:val="22"/>
        </w:rPr>
      </w:pPr>
      <w:r w:rsidRPr="00382816">
        <w:rPr>
          <w:i/>
          <w:szCs w:val="22"/>
        </w:rPr>
        <w:t>Osteonekroza vilice (ONV)</w:t>
      </w:r>
    </w:p>
    <w:p w14:paraId="2A9E85A7" w14:textId="16BE8D38" w:rsidR="00662535" w:rsidRPr="00382816" w:rsidRDefault="00D5172C" w:rsidP="00B0072D">
      <w:pPr>
        <w:ind w:left="1"/>
        <w:jc w:val="both"/>
        <w:rPr>
          <w:szCs w:val="22"/>
        </w:rPr>
      </w:pPr>
      <w:r w:rsidRPr="00382816">
        <w:rPr>
          <w:szCs w:val="22"/>
        </w:rPr>
        <w:t xml:space="preserve">Zabilježeni su rijetki slučajevi pojave osteonekroze vilice (ONV) kod pacijenata sa osteoporozom kojima je primijenjen lijek Prolia (vidjeti </w:t>
      </w:r>
      <w:r w:rsidR="002C6CBB" w:rsidRPr="00382816">
        <w:rPr>
          <w:szCs w:val="22"/>
        </w:rPr>
        <w:t>dio </w:t>
      </w:r>
      <w:r w:rsidRPr="00382816">
        <w:rPr>
          <w:szCs w:val="22"/>
        </w:rPr>
        <w:t>4.8).</w:t>
      </w:r>
    </w:p>
    <w:p w14:paraId="1E7A1D2B" w14:textId="77777777" w:rsidR="00662535" w:rsidRPr="00382816" w:rsidRDefault="00662535" w:rsidP="00B0072D">
      <w:pPr>
        <w:jc w:val="both"/>
        <w:rPr>
          <w:szCs w:val="22"/>
        </w:rPr>
      </w:pPr>
    </w:p>
    <w:p w14:paraId="4DBDAD03" w14:textId="77777777" w:rsidR="00662535" w:rsidRPr="00382816" w:rsidRDefault="00226058" w:rsidP="00B0072D">
      <w:pPr>
        <w:pStyle w:val="Style11"/>
        <w:jc w:val="both"/>
      </w:pPr>
      <w:r w:rsidRPr="00382816">
        <w:t>Početak terapije, odnosno novi ciklus terapije treba odložiti kod pacijenata sa otvorenim, nezaraslim lezijama mekog tkiva u ustima. Pacijentima koji imaju prateće faktore rizika prije terapije denosumabom preporučuje se stomatološki pregled sa preventivnim mjerama i individualnom procjenom koristi/rizika terapije.</w:t>
      </w:r>
    </w:p>
    <w:p w14:paraId="00A318A2" w14:textId="77777777" w:rsidR="00662535" w:rsidRPr="00382816" w:rsidRDefault="00662535" w:rsidP="00B0072D">
      <w:pPr>
        <w:ind w:left="1"/>
        <w:jc w:val="both"/>
        <w:rPr>
          <w:szCs w:val="22"/>
        </w:rPr>
      </w:pPr>
    </w:p>
    <w:p w14:paraId="0BF4B40E" w14:textId="77777777" w:rsidR="00662535" w:rsidRPr="00382816" w:rsidRDefault="00226058" w:rsidP="00B0072D">
      <w:pPr>
        <w:keepNext/>
        <w:jc w:val="both"/>
        <w:rPr>
          <w:szCs w:val="22"/>
        </w:rPr>
      </w:pPr>
      <w:r w:rsidRPr="00382816">
        <w:rPr>
          <w:szCs w:val="22"/>
        </w:rPr>
        <w:t>Potrebno je razmotriti sljedeće faktore prilikom procjene rizika od pojave ONV kod pacijenata:</w:t>
      </w:r>
    </w:p>
    <w:p w14:paraId="45AC2F37" w14:textId="77777777" w:rsidR="00662535" w:rsidRPr="00382816" w:rsidRDefault="003E24B7" w:rsidP="00B0072D">
      <w:pPr>
        <w:keepNext/>
        <w:numPr>
          <w:ilvl w:val="0"/>
          <w:numId w:val="37"/>
        </w:numPr>
        <w:tabs>
          <w:tab w:val="clear" w:pos="567"/>
        </w:tabs>
        <w:autoSpaceDE w:val="0"/>
        <w:autoSpaceDN w:val="0"/>
        <w:adjustRightInd w:val="0"/>
        <w:ind w:left="567" w:hanging="567"/>
        <w:jc w:val="both"/>
        <w:rPr>
          <w:szCs w:val="22"/>
        </w:rPr>
      </w:pPr>
      <w:r w:rsidRPr="00382816">
        <w:rPr>
          <w:szCs w:val="22"/>
        </w:rPr>
        <w:t>jačinu lijeka koji inhibira resorpciju kostiju (veći rizik za visoko potentna jedinjenja), način primjene (veći rizik za parenteralnu primjenu) i kumulativnu dozu terapije za resorpciju kostiju.</w:t>
      </w:r>
    </w:p>
    <w:p w14:paraId="799C23CF" w14:textId="77777777" w:rsidR="00662535" w:rsidRPr="00382816" w:rsidRDefault="00226058" w:rsidP="00B0072D">
      <w:pPr>
        <w:numPr>
          <w:ilvl w:val="0"/>
          <w:numId w:val="37"/>
        </w:numPr>
        <w:ind w:left="567" w:hanging="567"/>
        <w:jc w:val="both"/>
        <w:rPr>
          <w:szCs w:val="22"/>
        </w:rPr>
      </w:pPr>
      <w:r w:rsidRPr="00382816">
        <w:rPr>
          <w:szCs w:val="22"/>
        </w:rPr>
        <w:t>kancer, komorbiditetna stanja (npr. anemija, koagulopatije, infekcija), pušenje.</w:t>
      </w:r>
    </w:p>
    <w:p w14:paraId="7616C803" w14:textId="77777777" w:rsidR="00662535" w:rsidRPr="00382816" w:rsidRDefault="00226058" w:rsidP="00B0072D">
      <w:pPr>
        <w:keepNext/>
        <w:numPr>
          <w:ilvl w:val="0"/>
          <w:numId w:val="37"/>
        </w:numPr>
        <w:ind w:left="567" w:hanging="567"/>
        <w:jc w:val="both"/>
        <w:rPr>
          <w:szCs w:val="22"/>
        </w:rPr>
      </w:pPr>
      <w:r w:rsidRPr="00382816">
        <w:rPr>
          <w:szCs w:val="22"/>
        </w:rPr>
        <w:t xml:space="preserve">istovremenu primjenu sljedećih ljekova: kortikosteroida, hemoterapije, inhibitora </w:t>
      </w:r>
      <w:proofErr w:type="spellStart"/>
      <w:r w:rsidRPr="00382816">
        <w:rPr>
          <w:szCs w:val="22"/>
        </w:rPr>
        <w:t>antiangiogenze</w:t>
      </w:r>
      <w:proofErr w:type="spellEnd"/>
      <w:r w:rsidRPr="00382816">
        <w:rPr>
          <w:szCs w:val="22"/>
        </w:rPr>
        <w:t xml:space="preserve">, </w:t>
      </w:r>
      <w:proofErr w:type="spellStart"/>
      <w:r w:rsidRPr="00382816">
        <w:rPr>
          <w:szCs w:val="22"/>
        </w:rPr>
        <w:t>radioterapije</w:t>
      </w:r>
      <w:proofErr w:type="spellEnd"/>
      <w:r w:rsidRPr="00382816">
        <w:rPr>
          <w:szCs w:val="22"/>
        </w:rPr>
        <w:t xml:space="preserve"> glave i vrata.</w:t>
      </w:r>
    </w:p>
    <w:p w14:paraId="63041931" w14:textId="31F239D3" w:rsidR="00662535" w:rsidRPr="00382816" w:rsidRDefault="00226058" w:rsidP="00B0072D">
      <w:pPr>
        <w:numPr>
          <w:ilvl w:val="0"/>
          <w:numId w:val="37"/>
        </w:numPr>
        <w:ind w:left="567" w:hanging="567"/>
        <w:jc w:val="both"/>
        <w:rPr>
          <w:szCs w:val="22"/>
        </w:rPr>
      </w:pPr>
      <w:r w:rsidRPr="00382816">
        <w:rPr>
          <w:szCs w:val="22"/>
        </w:rPr>
        <w:t xml:space="preserve">lošu oralnu higijenu, </w:t>
      </w:r>
      <w:proofErr w:type="spellStart"/>
      <w:r w:rsidRPr="00382816">
        <w:rPr>
          <w:szCs w:val="22"/>
        </w:rPr>
        <w:t>periodontalno</w:t>
      </w:r>
      <w:proofErr w:type="spellEnd"/>
      <w:r w:rsidRPr="00382816">
        <w:rPr>
          <w:szCs w:val="22"/>
        </w:rPr>
        <w:t xml:space="preserve"> oboljenje, proteze koje loše prianjaju, bolest zuba u anamnezi, </w:t>
      </w:r>
      <w:proofErr w:type="spellStart"/>
      <w:r w:rsidRPr="00382816">
        <w:rPr>
          <w:szCs w:val="22"/>
        </w:rPr>
        <w:t>invazivne</w:t>
      </w:r>
      <w:proofErr w:type="spellEnd"/>
      <w:r w:rsidRPr="00382816">
        <w:rPr>
          <w:szCs w:val="22"/>
        </w:rPr>
        <w:t xml:space="preserve"> stomatološke intervencije (npr. ekstrakcija zuba).</w:t>
      </w:r>
    </w:p>
    <w:p w14:paraId="2F47619E" w14:textId="77777777" w:rsidR="00662535" w:rsidRPr="00382816" w:rsidRDefault="00662535" w:rsidP="00B0072D">
      <w:pPr>
        <w:ind w:left="1"/>
        <w:jc w:val="both"/>
        <w:rPr>
          <w:szCs w:val="22"/>
        </w:rPr>
      </w:pPr>
    </w:p>
    <w:p w14:paraId="6078A4B1" w14:textId="45E8EA9F" w:rsidR="00662535" w:rsidRPr="00382816" w:rsidRDefault="00D5172C" w:rsidP="00B0072D">
      <w:pPr>
        <w:jc w:val="both"/>
        <w:rPr>
          <w:szCs w:val="22"/>
        </w:rPr>
      </w:pPr>
      <w:r w:rsidRPr="00382816">
        <w:rPr>
          <w:szCs w:val="22"/>
        </w:rPr>
        <w:t xml:space="preserve">Sve pacijente za vrijeme terapije denosumabom treba upućivati na održavanje dobre oralne higijene, odlazak na redovne stomatološke </w:t>
      </w:r>
      <w:proofErr w:type="spellStart"/>
      <w:r w:rsidRPr="00382816">
        <w:rPr>
          <w:szCs w:val="22"/>
        </w:rPr>
        <w:t>preglede</w:t>
      </w:r>
      <w:proofErr w:type="spellEnd"/>
      <w:r w:rsidRPr="00382816">
        <w:rPr>
          <w:szCs w:val="22"/>
        </w:rPr>
        <w:t xml:space="preserve"> i da bez odlaganja prijave bilo kakve simptome vezane za usnu duplju kao što su klimanje zuba, bol ili oticanje, </w:t>
      </w:r>
      <w:proofErr w:type="spellStart"/>
      <w:r w:rsidRPr="00382816">
        <w:rPr>
          <w:szCs w:val="22"/>
        </w:rPr>
        <w:t>nezarastanje</w:t>
      </w:r>
      <w:proofErr w:type="spellEnd"/>
      <w:r w:rsidRPr="00382816">
        <w:rPr>
          <w:szCs w:val="22"/>
        </w:rPr>
        <w:t xml:space="preserve"> rana ili gnojenje. Tokom terapije, </w:t>
      </w:r>
      <w:proofErr w:type="spellStart"/>
      <w:r w:rsidRPr="00382816">
        <w:rPr>
          <w:szCs w:val="22"/>
        </w:rPr>
        <w:t>invazivne</w:t>
      </w:r>
      <w:proofErr w:type="spellEnd"/>
      <w:r w:rsidRPr="00382816">
        <w:rPr>
          <w:szCs w:val="22"/>
        </w:rPr>
        <w:t xml:space="preserve"> stomatološke intervencije treba sprovesti tek nakon pažljivog razmatranja i izbjegavati ih u neposrednoj blizini primjene denosumaba.</w:t>
      </w:r>
    </w:p>
    <w:p w14:paraId="0F530048" w14:textId="77777777" w:rsidR="00662535" w:rsidRPr="00382816" w:rsidRDefault="00662535" w:rsidP="00B0072D">
      <w:pPr>
        <w:jc w:val="both"/>
        <w:rPr>
          <w:szCs w:val="22"/>
        </w:rPr>
      </w:pPr>
    </w:p>
    <w:p w14:paraId="7E3E85CC" w14:textId="2FC126E8" w:rsidR="00662535" w:rsidRPr="00382816" w:rsidRDefault="00D5172C" w:rsidP="00B0072D">
      <w:pPr>
        <w:keepNext/>
        <w:keepLines/>
        <w:jc w:val="both"/>
        <w:rPr>
          <w:bCs/>
          <w:szCs w:val="22"/>
        </w:rPr>
      </w:pPr>
      <w:r w:rsidRPr="00382816">
        <w:rPr>
          <w:szCs w:val="22"/>
        </w:rPr>
        <w:t>Treba napraviti plan zbrinjavanja za pacijente kod kojih se razvije ONV, i to u bliskoj saradnji između ljekara i stomatologa, odnosno oralnog hirurga koji ima iskustva s ONV. Treba razmotriti privremeni prekid terapije dok se stanje ne riješi i dodatni faktori rizika ne ublaže, ukoliko je moguće.</w:t>
      </w:r>
    </w:p>
    <w:p w14:paraId="3F9FD36D" w14:textId="77777777" w:rsidR="00662535" w:rsidRPr="00382816" w:rsidRDefault="00662535" w:rsidP="00B0072D">
      <w:pPr>
        <w:jc w:val="both"/>
        <w:rPr>
          <w:i/>
          <w:szCs w:val="22"/>
        </w:rPr>
      </w:pPr>
    </w:p>
    <w:p w14:paraId="717EE139" w14:textId="77777777" w:rsidR="00662535" w:rsidRPr="00382816" w:rsidRDefault="00302023" w:rsidP="00B0072D">
      <w:pPr>
        <w:keepNext/>
        <w:jc w:val="both"/>
        <w:rPr>
          <w:i/>
          <w:szCs w:val="22"/>
        </w:rPr>
      </w:pPr>
      <w:r w:rsidRPr="00382816">
        <w:rPr>
          <w:i/>
          <w:szCs w:val="22"/>
        </w:rPr>
        <w:t>Osteonekroza spoljnog slušnog kanala</w:t>
      </w:r>
    </w:p>
    <w:p w14:paraId="2B9345BD" w14:textId="77777777" w:rsidR="00662535" w:rsidRPr="00382816" w:rsidRDefault="00302023" w:rsidP="00B0072D">
      <w:pPr>
        <w:ind w:left="1"/>
        <w:jc w:val="both"/>
        <w:rPr>
          <w:szCs w:val="22"/>
        </w:rPr>
      </w:pPr>
      <w:r w:rsidRPr="00382816">
        <w:rPr>
          <w:szCs w:val="22"/>
        </w:rPr>
        <w:t xml:space="preserve">Kod pacijenta na terapiji denosumabom prijavljena je osteonekroza spoljnjeg slušnog kanala. Mogući faktori rizika osteonekroze spoljnjeg slušnog kanala uključuju upotrebu </w:t>
      </w:r>
      <w:proofErr w:type="spellStart"/>
      <w:r w:rsidRPr="00382816">
        <w:rPr>
          <w:szCs w:val="22"/>
        </w:rPr>
        <w:t>steroida</w:t>
      </w:r>
      <w:proofErr w:type="spellEnd"/>
      <w:r w:rsidRPr="00382816">
        <w:rPr>
          <w:szCs w:val="22"/>
        </w:rPr>
        <w:t xml:space="preserve"> i hemoterapije i/ili lokalne faktore rizika kao što su infekcije ili </w:t>
      </w:r>
      <w:proofErr w:type="spellStart"/>
      <w:r w:rsidRPr="00382816">
        <w:rPr>
          <w:szCs w:val="22"/>
        </w:rPr>
        <w:t>povrede</w:t>
      </w:r>
      <w:proofErr w:type="spellEnd"/>
      <w:r w:rsidRPr="00382816">
        <w:rPr>
          <w:szCs w:val="22"/>
        </w:rPr>
        <w:t>. Mogućnost osteonekroze spoljnjeg slušnog kanala je potrebno razmotriti kod pacijenata na terapiji denosumabom koji imaju simptome, uključujući hronične infekcije uha.</w:t>
      </w:r>
    </w:p>
    <w:p w14:paraId="4BE72B37" w14:textId="77777777" w:rsidR="00662535" w:rsidRPr="00382816" w:rsidRDefault="00662535" w:rsidP="00B0072D">
      <w:pPr>
        <w:jc w:val="both"/>
        <w:rPr>
          <w:szCs w:val="22"/>
        </w:rPr>
      </w:pPr>
    </w:p>
    <w:p w14:paraId="7E71C8B9" w14:textId="77777777" w:rsidR="00662535" w:rsidRPr="00382816" w:rsidRDefault="00CD0319" w:rsidP="00B0072D">
      <w:pPr>
        <w:keepNext/>
        <w:jc w:val="both"/>
        <w:rPr>
          <w:rFonts w:eastAsia="MS Mincho"/>
          <w:i/>
          <w:szCs w:val="22"/>
        </w:rPr>
      </w:pPr>
      <w:r w:rsidRPr="00382816">
        <w:rPr>
          <w:i/>
          <w:szCs w:val="22"/>
        </w:rPr>
        <w:lastRenderedPageBreak/>
        <w:t>Atipične frakture femura</w:t>
      </w:r>
    </w:p>
    <w:p w14:paraId="6E2E690D" w14:textId="273C4E20" w:rsidR="00662535" w:rsidRPr="00382816" w:rsidRDefault="00CD0319" w:rsidP="00B0072D">
      <w:pPr>
        <w:jc w:val="both"/>
        <w:rPr>
          <w:szCs w:val="22"/>
        </w:rPr>
      </w:pPr>
      <w:r w:rsidRPr="00382816">
        <w:rPr>
          <w:szCs w:val="22"/>
        </w:rPr>
        <w:t xml:space="preserve">Atipične </w:t>
      </w:r>
      <w:proofErr w:type="spellStart"/>
      <w:r w:rsidRPr="00382816">
        <w:rPr>
          <w:szCs w:val="22"/>
        </w:rPr>
        <w:t>femoralne</w:t>
      </w:r>
      <w:proofErr w:type="spellEnd"/>
      <w:r w:rsidRPr="00382816">
        <w:rPr>
          <w:szCs w:val="22"/>
        </w:rPr>
        <w:t xml:space="preserve"> frakture zabilježene su kod pacijenata koji primaju denosumab (vidjeti </w:t>
      </w:r>
      <w:r w:rsidR="002C6CBB" w:rsidRPr="00382816">
        <w:rPr>
          <w:szCs w:val="22"/>
        </w:rPr>
        <w:t>dio </w:t>
      </w:r>
      <w:r w:rsidRPr="00382816">
        <w:rPr>
          <w:szCs w:val="22"/>
        </w:rPr>
        <w:t xml:space="preserve">4.8). Atipične </w:t>
      </w:r>
      <w:proofErr w:type="spellStart"/>
      <w:r w:rsidRPr="00382816">
        <w:rPr>
          <w:szCs w:val="22"/>
        </w:rPr>
        <w:t>femoralne</w:t>
      </w:r>
      <w:proofErr w:type="spellEnd"/>
      <w:r w:rsidRPr="00382816">
        <w:rPr>
          <w:szCs w:val="22"/>
        </w:rPr>
        <w:t xml:space="preserve"> frakture mogu se pojaviti uz slabo oštećenje ili bez oštećenja </w:t>
      </w:r>
      <w:proofErr w:type="spellStart"/>
      <w:r w:rsidRPr="00382816">
        <w:rPr>
          <w:szCs w:val="22"/>
        </w:rPr>
        <w:t>subtrohanterne</w:t>
      </w:r>
      <w:proofErr w:type="spellEnd"/>
      <w:r w:rsidRPr="00382816">
        <w:rPr>
          <w:szCs w:val="22"/>
        </w:rPr>
        <w:t xml:space="preserve"> i </w:t>
      </w:r>
      <w:proofErr w:type="spellStart"/>
      <w:r w:rsidRPr="00382816">
        <w:rPr>
          <w:szCs w:val="22"/>
        </w:rPr>
        <w:t>dijafizalne</w:t>
      </w:r>
      <w:proofErr w:type="spellEnd"/>
      <w:r w:rsidRPr="00382816">
        <w:rPr>
          <w:szCs w:val="22"/>
        </w:rPr>
        <w:t xml:space="preserve"> regije femura. Specifični nalazi </w:t>
      </w:r>
      <w:proofErr w:type="spellStart"/>
      <w:r w:rsidRPr="00382816">
        <w:rPr>
          <w:szCs w:val="22"/>
        </w:rPr>
        <w:t>radioloških</w:t>
      </w:r>
      <w:proofErr w:type="spellEnd"/>
      <w:r w:rsidRPr="00382816">
        <w:rPr>
          <w:szCs w:val="22"/>
        </w:rPr>
        <w:t xml:space="preserve"> pretraga opisuju te događaje. Atipične </w:t>
      </w:r>
      <w:proofErr w:type="spellStart"/>
      <w:r w:rsidRPr="00382816">
        <w:rPr>
          <w:szCs w:val="22"/>
        </w:rPr>
        <w:t>femoralne</w:t>
      </w:r>
      <w:proofErr w:type="spellEnd"/>
      <w:r w:rsidRPr="00382816">
        <w:rPr>
          <w:szCs w:val="22"/>
        </w:rPr>
        <w:t xml:space="preserve"> frakture zabilježene su i kod pacijenata s određenim </w:t>
      </w:r>
      <w:proofErr w:type="spellStart"/>
      <w:r w:rsidRPr="00382816">
        <w:rPr>
          <w:szCs w:val="22"/>
        </w:rPr>
        <w:t>komorbiditetnim</w:t>
      </w:r>
      <w:proofErr w:type="spellEnd"/>
      <w:r w:rsidRPr="00382816">
        <w:rPr>
          <w:szCs w:val="22"/>
        </w:rPr>
        <w:t xml:space="preserve"> stanjima (npr. nedostatak vitamina D, </w:t>
      </w:r>
      <w:proofErr w:type="spellStart"/>
      <w:r w:rsidRPr="00382816">
        <w:rPr>
          <w:szCs w:val="22"/>
        </w:rPr>
        <w:t>reumatoidni</w:t>
      </w:r>
      <w:proofErr w:type="spellEnd"/>
      <w:r w:rsidRPr="00382816">
        <w:rPr>
          <w:szCs w:val="22"/>
        </w:rPr>
        <w:t xml:space="preserve"> artritis, </w:t>
      </w:r>
      <w:proofErr w:type="spellStart"/>
      <w:r w:rsidRPr="00382816">
        <w:rPr>
          <w:szCs w:val="22"/>
        </w:rPr>
        <w:t>hipofosfatazija</w:t>
      </w:r>
      <w:proofErr w:type="spellEnd"/>
      <w:r w:rsidRPr="00382816">
        <w:rPr>
          <w:szCs w:val="22"/>
        </w:rPr>
        <w:t>) i uz upotrebu određenih ljekova (npr. </w:t>
      </w:r>
      <w:proofErr w:type="spellStart"/>
      <w:r w:rsidRPr="00382816">
        <w:rPr>
          <w:szCs w:val="22"/>
        </w:rPr>
        <w:t>bisfosfanati</w:t>
      </w:r>
      <w:proofErr w:type="spellEnd"/>
      <w:r w:rsidRPr="00382816">
        <w:rPr>
          <w:szCs w:val="22"/>
        </w:rPr>
        <w:t xml:space="preserve">, </w:t>
      </w:r>
      <w:proofErr w:type="spellStart"/>
      <w:r w:rsidRPr="00382816">
        <w:rPr>
          <w:szCs w:val="22"/>
        </w:rPr>
        <w:t>glukokortikoidi</w:t>
      </w:r>
      <w:proofErr w:type="spellEnd"/>
      <w:r w:rsidRPr="00382816">
        <w:rPr>
          <w:szCs w:val="22"/>
        </w:rPr>
        <w:t xml:space="preserve">, </w:t>
      </w:r>
      <w:proofErr w:type="spellStart"/>
      <w:r w:rsidRPr="00382816">
        <w:rPr>
          <w:szCs w:val="22"/>
        </w:rPr>
        <w:t>inhibitori</w:t>
      </w:r>
      <w:proofErr w:type="spellEnd"/>
      <w:r w:rsidRPr="00382816">
        <w:rPr>
          <w:szCs w:val="22"/>
        </w:rPr>
        <w:t xml:space="preserve"> protonske pumpe). Ti su se događaji takođe pojavili bez terapije za liječenje poremećaja koštane resorpcije. Slične frakture zabilježene u kombinaciji s </w:t>
      </w:r>
      <w:proofErr w:type="spellStart"/>
      <w:r w:rsidRPr="00382816">
        <w:rPr>
          <w:szCs w:val="22"/>
        </w:rPr>
        <w:t>bisfosfanatima</w:t>
      </w:r>
      <w:proofErr w:type="spellEnd"/>
      <w:r w:rsidRPr="00382816">
        <w:rPr>
          <w:szCs w:val="22"/>
        </w:rPr>
        <w:t xml:space="preserve"> često su bile obostrane, zato, kod pacijenata liječenih denosumabom koji su zadobili frakturu tijela </w:t>
      </w:r>
      <w:proofErr w:type="spellStart"/>
      <w:r w:rsidRPr="00382816">
        <w:rPr>
          <w:szCs w:val="22"/>
        </w:rPr>
        <w:t>femoralne</w:t>
      </w:r>
      <w:proofErr w:type="spellEnd"/>
      <w:r w:rsidRPr="00382816">
        <w:rPr>
          <w:szCs w:val="22"/>
        </w:rPr>
        <w:t xml:space="preserve"> kosti treba pregledati i suprotni </w:t>
      </w:r>
      <w:proofErr w:type="spellStart"/>
      <w:r w:rsidRPr="00382816">
        <w:rPr>
          <w:szCs w:val="22"/>
        </w:rPr>
        <w:t>femur</w:t>
      </w:r>
      <w:proofErr w:type="spellEnd"/>
      <w:r w:rsidRPr="00382816">
        <w:rPr>
          <w:szCs w:val="22"/>
        </w:rPr>
        <w:t xml:space="preserve">. Prekid liječenja denosumabom kod pacijenata za koje se sumnja da imaju atipičnu </w:t>
      </w:r>
      <w:proofErr w:type="spellStart"/>
      <w:r w:rsidRPr="00382816">
        <w:rPr>
          <w:szCs w:val="22"/>
        </w:rPr>
        <w:t>femoralnu</w:t>
      </w:r>
      <w:proofErr w:type="spellEnd"/>
      <w:r w:rsidRPr="00382816">
        <w:rPr>
          <w:szCs w:val="22"/>
        </w:rPr>
        <w:t xml:space="preserve"> frakturu treba razmotriti na osnovu individualne procjene rizika za svakog pacijenta. Tokom liječenja denosumabom pacijente treba savjetovati da prijave nov ili neobičan bol u području butina, kuka ili prepona. Pacijente sa takvim simptomima treba pregledati zbog nepotpune </w:t>
      </w:r>
      <w:proofErr w:type="spellStart"/>
      <w:r w:rsidRPr="00382816">
        <w:rPr>
          <w:szCs w:val="22"/>
        </w:rPr>
        <w:t>femoralne</w:t>
      </w:r>
      <w:proofErr w:type="spellEnd"/>
      <w:r w:rsidRPr="00382816">
        <w:rPr>
          <w:szCs w:val="22"/>
        </w:rPr>
        <w:t xml:space="preserve"> frakture.</w:t>
      </w:r>
    </w:p>
    <w:p w14:paraId="0580FDB4" w14:textId="77777777" w:rsidR="00662535" w:rsidRPr="00382816" w:rsidRDefault="00662535" w:rsidP="00B0072D">
      <w:pPr>
        <w:jc w:val="both"/>
        <w:rPr>
          <w:szCs w:val="22"/>
        </w:rPr>
      </w:pPr>
    </w:p>
    <w:p w14:paraId="40919E1C" w14:textId="77777777" w:rsidR="00662535" w:rsidRPr="00382816" w:rsidRDefault="00661BDE" w:rsidP="00B0072D">
      <w:pPr>
        <w:keepNext/>
        <w:jc w:val="both"/>
        <w:rPr>
          <w:i/>
          <w:szCs w:val="22"/>
        </w:rPr>
      </w:pPr>
      <w:r w:rsidRPr="00382816">
        <w:rPr>
          <w:i/>
          <w:szCs w:val="22"/>
        </w:rPr>
        <w:t>Produžena antiresorptivna terapija</w:t>
      </w:r>
    </w:p>
    <w:p w14:paraId="2D6B6919" w14:textId="10A227B2" w:rsidR="00662535" w:rsidRPr="00382816" w:rsidRDefault="00661BDE" w:rsidP="00B0072D">
      <w:pPr>
        <w:jc w:val="both"/>
        <w:rPr>
          <w:szCs w:val="22"/>
        </w:rPr>
      </w:pPr>
      <w:r w:rsidRPr="00382816">
        <w:rPr>
          <w:szCs w:val="22"/>
        </w:rPr>
        <w:t>Produžena antiresorptivna terapija (uključujući i denosumab i bi</w:t>
      </w:r>
      <w:r w:rsidR="00B70C8A" w:rsidRPr="00382816">
        <w:rPr>
          <w:szCs w:val="22"/>
        </w:rPr>
        <w:t>s</w:t>
      </w:r>
      <w:r w:rsidRPr="00382816">
        <w:rPr>
          <w:szCs w:val="22"/>
        </w:rPr>
        <w:t>fosfonate) može doprin</w:t>
      </w:r>
      <w:r w:rsidR="00B70C8A" w:rsidRPr="00382816">
        <w:rPr>
          <w:szCs w:val="22"/>
        </w:rPr>
        <w:t>ij</w:t>
      </w:r>
      <w:r w:rsidRPr="00382816">
        <w:rPr>
          <w:szCs w:val="22"/>
        </w:rPr>
        <w:t xml:space="preserve">eti povećanom riziku od ishoda neželjenih reakcija kao što su osteonekroza vilice i atipične frakture femura zbog značajne </w:t>
      </w:r>
      <w:proofErr w:type="spellStart"/>
      <w:r w:rsidRPr="00382816">
        <w:rPr>
          <w:szCs w:val="22"/>
        </w:rPr>
        <w:t>supresije</w:t>
      </w:r>
      <w:proofErr w:type="spellEnd"/>
      <w:r w:rsidRPr="00382816">
        <w:rPr>
          <w:szCs w:val="22"/>
        </w:rPr>
        <w:t xml:space="preserve"> prom</w:t>
      </w:r>
      <w:r w:rsidR="00B70C8A" w:rsidRPr="00382816">
        <w:rPr>
          <w:szCs w:val="22"/>
        </w:rPr>
        <w:t>j</w:t>
      </w:r>
      <w:r w:rsidRPr="00382816">
        <w:rPr>
          <w:szCs w:val="22"/>
        </w:rPr>
        <w:t xml:space="preserve">ena na kostima (vidjeti </w:t>
      </w:r>
      <w:r w:rsidR="002C6CBB" w:rsidRPr="00382816">
        <w:rPr>
          <w:szCs w:val="22"/>
        </w:rPr>
        <w:t>dio </w:t>
      </w:r>
      <w:r w:rsidRPr="00382816">
        <w:rPr>
          <w:szCs w:val="22"/>
        </w:rPr>
        <w:t>4.2).</w:t>
      </w:r>
    </w:p>
    <w:p w14:paraId="0CAB9E28" w14:textId="77777777" w:rsidR="00662535" w:rsidRPr="00382816" w:rsidRDefault="00662535" w:rsidP="00B0072D">
      <w:pPr>
        <w:jc w:val="both"/>
        <w:rPr>
          <w:i/>
          <w:szCs w:val="22"/>
        </w:rPr>
      </w:pPr>
    </w:p>
    <w:p w14:paraId="2EDF0F3E" w14:textId="77777777" w:rsidR="00662535" w:rsidRPr="00382816" w:rsidRDefault="005C47A5" w:rsidP="00B0072D">
      <w:pPr>
        <w:keepNext/>
        <w:jc w:val="both"/>
        <w:rPr>
          <w:szCs w:val="22"/>
        </w:rPr>
      </w:pPr>
      <w:r w:rsidRPr="00382816">
        <w:rPr>
          <w:i/>
          <w:szCs w:val="22"/>
        </w:rPr>
        <w:t>Istovremeno liječenje ostalim ljekovima koji sadrže denosumab</w:t>
      </w:r>
    </w:p>
    <w:p w14:paraId="3E588588" w14:textId="055EAAC9" w:rsidR="00662535" w:rsidRPr="00382816" w:rsidRDefault="00992A6A" w:rsidP="00B0072D">
      <w:pPr>
        <w:jc w:val="both"/>
        <w:rPr>
          <w:szCs w:val="22"/>
        </w:rPr>
      </w:pPr>
      <w:r w:rsidRPr="00382816">
        <w:rPr>
          <w:szCs w:val="22"/>
        </w:rPr>
        <w:t>Tokom liječenja denosumabom pacijenti ne smiju istovremeno uzimati druge ljekove koji sadrže denosumab (za prevenciju koštanih događaja kod odraslih s koštanim metastazama solidnih tumora).</w:t>
      </w:r>
    </w:p>
    <w:p w14:paraId="6F2D3C4E" w14:textId="77777777" w:rsidR="00A4325E" w:rsidRPr="00382816" w:rsidRDefault="00A4325E" w:rsidP="00B0072D">
      <w:pPr>
        <w:jc w:val="both"/>
        <w:rPr>
          <w:szCs w:val="22"/>
        </w:rPr>
      </w:pPr>
    </w:p>
    <w:p w14:paraId="356F7C8A" w14:textId="206C527F" w:rsidR="00A4325E" w:rsidRPr="00382816" w:rsidRDefault="00A4325E" w:rsidP="00B0072D">
      <w:pPr>
        <w:pStyle w:val="Style11ptItalic"/>
        <w:jc w:val="both"/>
        <w:rPr>
          <w:szCs w:val="22"/>
        </w:rPr>
      </w:pPr>
      <w:r w:rsidRPr="00382816">
        <w:rPr>
          <w:szCs w:val="22"/>
        </w:rPr>
        <w:t>Hiperkalc</w:t>
      </w:r>
      <w:r w:rsidR="004B4DAE" w:rsidRPr="00382816">
        <w:rPr>
          <w:szCs w:val="22"/>
        </w:rPr>
        <w:t>ij</w:t>
      </w:r>
      <w:r w:rsidRPr="00382816">
        <w:rPr>
          <w:szCs w:val="22"/>
        </w:rPr>
        <w:t>emija kod pedijatrijskih pacijenata</w:t>
      </w:r>
    </w:p>
    <w:p w14:paraId="11098BE2" w14:textId="41933272" w:rsidR="00A4325E" w:rsidRPr="00382816" w:rsidRDefault="00A4325E" w:rsidP="00B0072D">
      <w:pPr>
        <w:jc w:val="both"/>
        <w:rPr>
          <w:szCs w:val="22"/>
        </w:rPr>
      </w:pPr>
      <w:r w:rsidRPr="00382816">
        <w:rPr>
          <w:szCs w:val="22"/>
        </w:rPr>
        <w:t>Lijek Prolia ne smije se primjenjivati kod pedijatrijskih pacijenata (&lt; 18 godina starosti). Zabilježena je teška hiperkalc</w:t>
      </w:r>
      <w:r w:rsidR="004B4DAE" w:rsidRPr="00382816">
        <w:rPr>
          <w:szCs w:val="22"/>
        </w:rPr>
        <w:t>ij</w:t>
      </w:r>
      <w:r w:rsidRPr="00382816">
        <w:rPr>
          <w:szCs w:val="22"/>
        </w:rPr>
        <w:t>emija. Neki slučajevi u kliničkom ispitivanju bili su zakomplikovani akutnom insuficijencijom bubrega.</w:t>
      </w:r>
    </w:p>
    <w:p w14:paraId="542612F4" w14:textId="77777777" w:rsidR="00662535" w:rsidRPr="00382816" w:rsidRDefault="00662535" w:rsidP="00B0072D">
      <w:pPr>
        <w:jc w:val="both"/>
        <w:rPr>
          <w:szCs w:val="22"/>
        </w:rPr>
      </w:pPr>
    </w:p>
    <w:p w14:paraId="53B1EE1C" w14:textId="77777777" w:rsidR="00662535" w:rsidRPr="00382816" w:rsidRDefault="00992A6A" w:rsidP="00B0072D">
      <w:pPr>
        <w:keepNext/>
        <w:jc w:val="both"/>
        <w:rPr>
          <w:i/>
          <w:szCs w:val="22"/>
        </w:rPr>
      </w:pPr>
      <w:r w:rsidRPr="00382816">
        <w:rPr>
          <w:i/>
          <w:szCs w:val="22"/>
        </w:rPr>
        <w:t>Upozorenje za pomoćne supstance</w:t>
      </w:r>
    </w:p>
    <w:p w14:paraId="6C088F59" w14:textId="31B87EDC" w:rsidR="00662535" w:rsidRPr="00382816" w:rsidRDefault="00C53DFC" w:rsidP="00B0072D">
      <w:pPr>
        <w:autoSpaceDE w:val="0"/>
        <w:autoSpaceDN w:val="0"/>
        <w:adjustRightInd w:val="0"/>
        <w:jc w:val="both"/>
        <w:rPr>
          <w:rFonts w:eastAsia="MS Mincho"/>
          <w:bCs/>
          <w:szCs w:val="22"/>
        </w:rPr>
      </w:pPr>
      <w:r w:rsidRPr="00382816">
        <w:rPr>
          <w:szCs w:val="22"/>
        </w:rPr>
        <w:t>Ovaj lijek sadrži 47 mg sorbitola u jednom ml rastvora. Treba uzeti u obzir kumulativni efekat istovremeno prim</w:t>
      </w:r>
      <w:r w:rsidR="00B70C8A" w:rsidRPr="00382816">
        <w:rPr>
          <w:szCs w:val="22"/>
        </w:rPr>
        <w:t>i</w:t>
      </w:r>
      <w:r w:rsidRPr="00382816">
        <w:rPr>
          <w:szCs w:val="22"/>
        </w:rPr>
        <w:t xml:space="preserve">jenjenih ljekova koji sadrže </w:t>
      </w:r>
      <w:proofErr w:type="spellStart"/>
      <w:r w:rsidRPr="00382816">
        <w:rPr>
          <w:szCs w:val="22"/>
        </w:rPr>
        <w:t>sorbitol</w:t>
      </w:r>
      <w:proofErr w:type="spellEnd"/>
      <w:r w:rsidRPr="00382816">
        <w:rPr>
          <w:szCs w:val="22"/>
        </w:rPr>
        <w:t xml:space="preserve"> (ili </w:t>
      </w:r>
      <w:proofErr w:type="spellStart"/>
      <w:r w:rsidRPr="00382816">
        <w:rPr>
          <w:szCs w:val="22"/>
        </w:rPr>
        <w:t>fruktozu</w:t>
      </w:r>
      <w:proofErr w:type="spellEnd"/>
      <w:r w:rsidRPr="00382816">
        <w:rPr>
          <w:szCs w:val="22"/>
        </w:rPr>
        <w:t xml:space="preserve">) i unos sorbitola (ili </w:t>
      </w:r>
      <w:proofErr w:type="spellStart"/>
      <w:r w:rsidRPr="00382816">
        <w:rPr>
          <w:szCs w:val="22"/>
        </w:rPr>
        <w:t>fruktoze</w:t>
      </w:r>
      <w:proofErr w:type="spellEnd"/>
      <w:r w:rsidRPr="00382816">
        <w:rPr>
          <w:szCs w:val="22"/>
        </w:rPr>
        <w:t>) ishr</w:t>
      </w:r>
      <w:r w:rsidR="00B70C8A" w:rsidRPr="00382816">
        <w:rPr>
          <w:szCs w:val="22"/>
        </w:rPr>
        <w:t>a</w:t>
      </w:r>
      <w:r w:rsidRPr="00382816">
        <w:rPr>
          <w:szCs w:val="22"/>
        </w:rPr>
        <w:t>nom.</w:t>
      </w:r>
    </w:p>
    <w:p w14:paraId="1F7027BE" w14:textId="77777777" w:rsidR="00662535" w:rsidRPr="00382816" w:rsidRDefault="00662535" w:rsidP="00B0072D">
      <w:pPr>
        <w:autoSpaceDE w:val="0"/>
        <w:autoSpaceDN w:val="0"/>
        <w:adjustRightInd w:val="0"/>
        <w:jc w:val="both"/>
        <w:rPr>
          <w:rFonts w:eastAsia="MS Mincho"/>
          <w:bCs/>
          <w:szCs w:val="22"/>
          <w:lang w:eastAsia="ja-JP"/>
        </w:rPr>
      </w:pPr>
    </w:p>
    <w:p w14:paraId="2CB178C5" w14:textId="77777777" w:rsidR="00662535" w:rsidRPr="00382816" w:rsidRDefault="00992A6A" w:rsidP="00B0072D">
      <w:pPr>
        <w:autoSpaceDE w:val="0"/>
        <w:autoSpaceDN w:val="0"/>
        <w:adjustRightInd w:val="0"/>
        <w:jc w:val="both"/>
        <w:rPr>
          <w:rFonts w:eastAsia="MS Mincho"/>
          <w:bCs/>
          <w:szCs w:val="22"/>
        </w:rPr>
      </w:pPr>
      <w:r w:rsidRPr="00382816">
        <w:rPr>
          <w:szCs w:val="22"/>
        </w:rPr>
        <w:t>Ovaj lijek sadrži manje od 1 mmol natrijuma (23 mg) na 60 mg, tj. suštinski je 'bez natrijuma'.</w:t>
      </w:r>
    </w:p>
    <w:p w14:paraId="2F72E1C1" w14:textId="77777777" w:rsidR="00662535" w:rsidRPr="00382816" w:rsidRDefault="00662535" w:rsidP="00B0072D">
      <w:pPr>
        <w:jc w:val="both"/>
        <w:outlineLvl w:val="0"/>
        <w:rPr>
          <w:b/>
          <w:szCs w:val="22"/>
        </w:rPr>
      </w:pPr>
    </w:p>
    <w:p w14:paraId="654B67D4" w14:textId="19232F97" w:rsidR="00662535" w:rsidRPr="00382816" w:rsidRDefault="008011D6" w:rsidP="00B0072D">
      <w:pPr>
        <w:keepNext/>
        <w:ind w:left="567" w:hanging="567"/>
        <w:jc w:val="both"/>
        <w:outlineLvl w:val="0"/>
        <w:rPr>
          <w:b/>
          <w:szCs w:val="22"/>
        </w:rPr>
      </w:pPr>
      <w:r w:rsidRPr="00382816">
        <w:rPr>
          <w:b/>
          <w:szCs w:val="22"/>
        </w:rPr>
        <w:t>4.5.</w:t>
      </w:r>
      <w:r w:rsidRPr="00382816">
        <w:rPr>
          <w:b/>
          <w:szCs w:val="22"/>
        </w:rPr>
        <w:tab/>
        <w:t>Interakcije sa drugim ljekovima i druge vrste interakcija</w:t>
      </w:r>
    </w:p>
    <w:p w14:paraId="18DB0B22" w14:textId="77777777" w:rsidR="00662535" w:rsidRPr="00382816" w:rsidRDefault="00662535" w:rsidP="00B0072D">
      <w:pPr>
        <w:keepNext/>
        <w:jc w:val="both"/>
        <w:rPr>
          <w:szCs w:val="22"/>
        </w:rPr>
      </w:pPr>
    </w:p>
    <w:p w14:paraId="2646C609" w14:textId="454B0256" w:rsidR="00662535" w:rsidRPr="00382816" w:rsidRDefault="003B1662" w:rsidP="00B0072D">
      <w:pPr>
        <w:jc w:val="both"/>
        <w:rPr>
          <w:szCs w:val="22"/>
        </w:rPr>
      </w:pPr>
      <w:r w:rsidRPr="00382816">
        <w:rPr>
          <w:szCs w:val="22"/>
        </w:rPr>
        <w:t xml:space="preserve">U ispitivanju interakcija denosumab nije uticao na </w:t>
      </w:r>
      <w:proofErr w:type="spellStart"/>
      <w:r w:rsidRPr="00382816">
        <w:rPr>
          <w:szCs w:val="22"/>
        </w:rPr>
        <w:t>farmakokinetiku</w:t>
      </w:r>
      <w:proofErr w:type="spellEnd"/>
      <w:r w:rsidRPr="00382816">
        <w:rPr>
          <w:szCs w:val="22"/>
        </w:rPr>
        <w:t xml:space="preserve"> </w:t>
      </w:r>
      <w:proofErr w:type="spellStart"/>
      <w:r w:rsidRPr="00382816">
        <w:rPr>
          <w:szCs w:val="22"/>
        </w:rPr>
        <w:t>midazolama</w:t>
      </w:r>
      <w:proofErr w:type="spellEnd"/>
      <w:r w:rsidRPr="00382816">
        <w:rPr>
          <w:szCs w:val="22"/>
        </w:rPr>
        <w:t xml:space="preserve"> koji se </w:t>
      </w:r>
      <w:proofErr w:type="spellStart"/>
      <w:r w:rsidRPr="00382816">
        <w:rPr>
          <w:szCs w:val="22"/>
        </w:rPr>
        <w:t>metaboliše</w:t>
      </w:r>
      <w:proofErr w:type="spellEnd"/>
      <w:r w:rsidRPr="00382816">
        <w:rPr>
          <w:szCs w:val="22"/>
        </w:rPr>
        <w:t xml:space="preserve"> putem </w:t>
      </w:r>
      <w:proofErr w:type="spellStart"/>
      <w:r w:rsidRPr="00382816">
        <w:rPr>
          <w:szCs w:val="22"/>
        </w:rPr>
        <w:t>citohroma</w:t>
      </w:r>
      <w:proofErr w:type="spellEnd"/>
      <w:r w:rsidRPr="00382816">
        <w:rPr>
          <w:szCs w:val="22"/>
        </w:rPr>
        <w:t xml:space="preserve"> P450 3A4 (CYP3A4). To navodi na to da denosumab ne bi trebao mijenjati </w:t>
      </w:r>
      <w:proofErr w:type="spellStart"/>
      <w:r w:rsidRPr="00382816">
        <w:rPr>
          <w:szCs w:val="22"/>
        </w:rPr>
        <w:t>farmakokinetiku</w:t>
      </w:r>
      <w:proofErr w:type="spellEnd"/>
      <w:r w:rsidRPr="00382816">
        <w:rPr>
          <w:szCs w:val="22"/>
        </w:rPr>
        <w:t xml:space="preserve"> ljekova koje </w:t>
      </w:r>
      <w:proofErr w:type="spellStart"/>
      <w:r w:rsidRPr="00382816">
        <w:rPr>
          <w:szCs w:val="22"/>
        </w:rPr>
        <w:t>metaboliše</w:t>
      </w:r>
      <w:proofErr w:type="spellEnd"/>
      <w:r w:rsidRPr="00382816">
        <w:rPr>
          <w:szCs w:val="22"/>
        </w:rPr>
        <w:t> CYP3A4.</w:t>
      </w:r>
    </w:p>
    <w:p w14:paraId="042800F8" w14:textId="77777777" w:rsidR="00662535" w:rsidRPr="00382816" w:rsidRDefault="00662535" w:rsidP="00B0072D">
      <w:pPr>
        <w:pStyle w:val="BodyText"/>
        <w:tabs>
          <w:tab w:val="left" w:pos="567"/>
        </w:tabs>
        <w:jc w:val="both"/>
        <w:rPr>
          <w:i w:val="0"/>
          <w:color w:val="auto"/>
          <w:szCs w:val="22"/>
        </w:rPr>
      </w:pPr>
    </w:p>
    <w:p w14:paraId="0DB9D854" w14:textId="77777777" w:rsidR="00662535" w:rsidRPr="00382816" w:rsidRDefault="008011D6" w:rsidP="00B0072D">
      <w:pPr>
        <w:pStyle w:val="BodyText"/>
        <w:tabs>
          <w:tab w:val="left" w:pos="567"/>
        </w:tabs>
        <w:jc w:val="both"/>
        <w:rPr>
          <w:i w:val="0"/>
          <w:color w:val="auto"/>
          <w:szCs w:val="22"/>
        </w:rPr>
      </w:pPr>
      <w:r w:rsidRPr="00382816">
        <w:rPr>
          <w:i w:val="0"/>
          <w:color w:val="auto"/>
          <w:szCs w:val="22"/>
        </w:rPr>
        <w:t xml:space="preserve">Ne postoje klinički podaci o istovremenoj primjeni denosumaba i hormonske </w:t>
      </w:r>
      <w:proofErr w:type="spellStart"/>
      <w:r w:rsidRPr="00382816">
        <w:rPr>
          <w:i w:val="0"/>
          <w:color w:val="auto"/>
          <w:szCs w:val="22"/>
        </w:rPr>
        <w:t>supstitucione</w:t>
      </w:r>
      <w:proofErr w:type="spellEnd"/>
      <w:r w:rsidRPr="00382816">
        <w:rPr>
          <w:i w:val="0"/>
          <w:color w:val="auto"/>
          <w:szCs w:val="22"/>
        </w:rPr>
        <w:t xml:space="preserve"> terapije (estrogen), međutim smatra se da je potencijal za </w:t>
      </w:r>
      <w:proofErr w:type="spellStart"/>
      <w:r w:rsidRPr="00382816">
        <w:rPr>
          <w:i w:val="0"/>
          <w:color w:val="auto"/>
          <w:szCs w:val="22"/>
        </w:rPr>
        <w:t>farmakodinamske</w:t>
      </w:r>
      <w:proofErr w:type="spellEnd"/>
      <w:r w:rsidRPr="00382816">
        <w:rPr>
          <w:i w:val="0"/>
          <w:color w:val="auto"/>
          <w:szCs w:val="22"/>
        </w:rPr>
        <w:t xml:space="preserve"> interakcije mali.</w:t>
      </w:r>
    </w:p>
    <w:p w14:paraId="2DACC4C4" w14:textId="77777777" w:rsidR="00662535" w:rsidRPr="00382816" w:rsidRDefault="00662535" w:rsidP="00B0072D">
      <w:pPr>
        <w:pStyle w:val="lbltxt"/>
        <w:jc w:val="both"/>
        <w:rPr>
          <w:noProof w:val="0"/>
          <w:szCs w:val="22"/>
        </w:rPr>
      </w:pPr>
    </w:p>
    <w:p w14:paraId="58055A29" w14:textId="77777777" w:rsidR="00662535" w:rsidRPr="00382816" w:rsidRDefault="008011D6" w:rsidP="00B0072D">
      <w:pPr>
        <w:jc w:val="both"/>
        <w:rPr>
          <w:szCs w:val="22"/>
        </w:rPr>
      </w:pPr>
      <w:r w:rsidRPr="00382816">
        <w:rPr>
          <w:szCs w:val="22"/>
        </w:rPr>
        <w:t xml:space="preserve">Na osnovu podataka tranzicionih ispitivanja (sa </w:t>
      </w:r>
      <w:proofErr w:type="spellStart"/>
      <w:r w:rsidRPr="00382816">
        <w:rPr>
          <w:szCs w:val="22"/>
        </w:rPr>
        <w:t>alendronata</w:t>
      </w:r>
      <w:proofErr w:type="spellEnd"/>
      <w:r w:rsidRPr="00382816">
        <w:rPr>
          <w:szCs w:val="22"/>
        </w:rPr>
        <w:t xml:space="preserve"> na denosumab) kod žena sa osteoporozom u menopauzi, </w:t>
      </w:r>
      <w:proofErr w:type="spellStart"/>
      <w:r w:rsidRPr="00382816">
        <w:rPr>
          <w:szCs w:val="22"/>
        </w:rPr>
        <w:t>farmakokinetika</w:t>
      </w:r>
      <w:proofErr w:type="spellEnd"/>
      <w:r w:rsidRPr="00382816">
        <w:rPr>
          <w:szCs w:val="22"/>
        </w:rPr>
        <w:t xml:space="preserve"> i </w:t>
      </w:r>
      <w:proofErr w:type="spellStart"/>
      <w:r w:rsidRPr="00382816">
        <w:rPr>
          <w:szCs w:val="22"/>
        </w:rPr>
        <w:t>farmakodinamika</w:t>
      </w:r>
      <w:proofErr w:type="spellEnd"/>
      <w:r w:rsidRPr="00382816">
        <w:rPr>
          <w:szCs w:val="22"/>
        </w:rPr>
        <w:t xml:space="preserve"> denosumaba nisu izmijenjene prethodnom terapijom sa </w:t>
      </w:r>
      <w:proofErr w:type="spellStart"/>
      <w:r w:rsidRPr="00382816">
        <w:rPr>
          <w:szCs w:val="22"/>
        </w:rPr>
        <w:t>alendronatom</w:t>
      </w:r>
      <w:proofErr w:type="spellEnd"/>
      <w:r w:rsidRPr="00382816">
        <w:rPr>
          <w:szCs w:val="22"/>
        </w:rPr>
        <w:t>.</w:t>
      </w:r>
    </w:p>
    <w:p w14:paraId="6060B142" w14:textId="77777777" w:rsidR="00662535" w:rsidRPr="00382816" w:rsidRDefault="00662535" w:rsidP="00B0072D">
      <w:pPr>
        <w:jc w:val="both"/>
        <w:rPr>
          <w:szCs w:val="22"/>
        </w:rPr>
      </w:pPr>
    </w:p>
    <w:p w14:paraId="787D0D0F" w14:textId="75E563CE" w:rsidR="00662535" w:rsidRPr="00382816" w:rsidRDefault="008011D6" w:rsidP="00B0072D">
      <w:pPr>
        <w:keepNext/>
        <w:ind w:left="567" w:hanging="567"/>
        <w:jc w:val="both"/>
        <w:outlineLvl w:val="0"/>
        <w:rPr>
          <w:b/>
          <w:szCs w:val="22"/>
        </w:rPr>
      </w:pPr>
      <w:r w:rsidRPr="00382816">
        <w:rPr>
          <w:b/>
          <w:szCs w:val="22"/>
        </w:rPr>
        <w:t>4.6.</w:t>
      </w:r>
      <w:r w:rsidRPr="00382816">
        <w:rPr>
          <w:b/>
          <w:szCs w:val="22"/>
        </w:rPr>
        <w:tab/>
        <w:t>Plodnost, trudnoća i dojenje</w:t>
      </w:r>
    </w:p>
    <w:p w14:paraId="706B01B7" w14:textId="77777777" w:rsidR="00662535" w:rsidRPr="00382816" w:rsidRDefault="00662535" w:rsidP="00B0072D">
      <w:pPr>
        <w:keepNext/>
        <w:ind w:left="567" w:hanging="567"/>
        <w:jc w:val="both"/>
        <w:outlineLvl w:val="0"/>
        <w:rPr>
          <w:b/>
          <w:szCs w:val="22"/>
        </w:rPr>
      </w:pPr>
    </w:p>
    <w:p w14:paraId="542DC0B1" w14:textId="77777777" w:rsidR="00662535" w:rsidRPr="00382816" w:rsidRDefault="00053CE5" w:rsidP="00B0072D">
      <w:pPr>
        <w:keepNext/>
        <w:jc w:val="both"/>
        <w:rPr>
          <w:szCs w:val="22"/>
          <w:u w:val="single"/>
        </w:rPr>
      </w:pPr>
      <w:r w:rsidRPr="00382816">
        <w:rPr>
          <w:szCs w:val="22"/>
          <w:u w:val="single"/>
        </w:rPr>
        <w:t>Trudnoća</w:t>
      </w:r>
    </w:p>
    <w:p w14:paraId="7A461FD6" w14:textId="77777777" w:rsidR="00662535" w:rsidRPr="00382816" w:rsidRDefault="00662535" w:rsidP="00B0072D">
      <w:pPr>
        <w:keepNext/>
        <w:jc w:val="both"/>
        <w:rPr>
          <w:szCs w:val="22"/>
          <w:u w:val="single"/>
        </w:rPr>
      </w:pPr>
    </w:p>
    <w:p w14:paraId="6F405744" w14:textId="0DE796CA" w:rsidR="00662535" w:rsidRPr="00382816" w:rsidRDefault="00944935" w:rsidP="00B0072D">
      <w:pPr>
        <w:pStyle w:val="Text"/>
        <w:spacing w:before="0" w:beforeAutospacing="0" w:after="0" w:afterAutospacing="0" w:line="240" w:lineRule="auto"/>
        <w:ind w:left="0"/>
        <w:jc w:val="both"/>
        <w:rPr>
          <w:color w:val="auto"/>
          <w:sz w:val="22"/>
          <w:szCs w:val="22"/>
        </w:rPr>
      </w:pPr>
      <w:r w:rsidRPr="00382816">
        <w:rPr>
          <w:color w:val="auto"/>
          <w:sz w:val="22"/>
          <w:szCs w:val="22"/>
        </w:rPr>
        <w:t xml:space="preserve">Nema podataka ili su podaci o primjeni denosumaba kod trudnica ograničeni. Ispitivanja na životinjama pokazala su reproduktivnu toksičnost (vidjeti </w:t>
      </w:r>
      <w:r w:rsidR="002C6CBB" w:rsidRPr="00382816">
        <w:rPr>
          <w:color w:val="auto"/>
          <w:sz w:val="22"/>
          <w:szCs w:val="22"/>
        </w:rPr>
        <w:t>dio </w:t>
      </w:r>
      <w:r w:rsidRPr="00382816">
        <w:rPr>
          <w:color w:val="auto"/>
          <w:sz w:val="22"/>
          <w:szCs w:val="22"/>
        </w:rPr>
        <w:t>5.3).</w:t>
      </w:r>
    </w:p>
    <w:p w14:paraId="1260B5BB" w14:textId="77777777" w:rsidR="00662535" w:rsidRPr="00382816" w:rsidRDefault="00662535" w:rsidP="00B0072D">
      <w:pPr>
        <w:pStyle w:val="Text"/>
        <w:spacing w:before="0" w:beforeAutospacing="0" w:after="0" w:afterAutospacing="0" w:line="240" w:lineRule="auto"/>
        <w:ind w:left="0"/>
        <w:jc w:val="both"/>
        <w:rPr>
          <w:color w:val="auto"/>
          <w:sz w:val="22"/>
          <w:szCs w:val="22"/>
        </w:rPr>
      </w:pPr>
    </w:p>
    <w:p w14:paraId="23287B50" w14:textId="2A494C95" w:rsidR="00662535" w:rsidRPr="00382816" w:rsidRDefault="00944935"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lastRenderedPageBreak/>
        <w:t>Ne preporučuje se primjena lijeka Prolia kod trudnica niti kod žena u reproduktivnom periodu koje ne koriste kontracepciju. Žene je potrebno savjetovati da ne zatrudne u toku ili barem 5 mjeseci po završetku terapije lijekom Prolia. Bilo koji djelovanje lijeka Prolia će v</w:t>
      </w:r>
      <w:r w:rsidR="00B70C8A" w:rsidRPr="00382816">
        <w:rPr>
          <w:color w:val="auto"/>
          <w:sz w:val="22"/>
          <w:szCs w:val="22"/>
        </w:rPr>
        <w:t>j</w:t>
      </w:r>
      <w:r w:rsidRPr="00382816">
        <w:rPr>
          <w:color w:val="auto"/>
          <w:sz w:val="22"/>
          <w:szCs w:val="22"/>
        </w:rPr>
        <w:t xml:space="preserve">erovatno biti jače tokom drugog ili trećeg trimestra trudnoće budući da </w:t>
      </w:r>
      <w:proofErr w:type="spellStart"/>
      <w:r w:rsidRPr="00382816">
        <w:rPr>
          <w:color w:val="auto"/>
          <w:sz w:val="22"/>
          <w:szCs w:val="22"/>
        </w:rPr>
        <w:t>monoklonska</w:t>
      </w:r>
      <w:proofErr w:type="spellEnd"/>
      <w:r w:rsidRPr="00382816">
        <w:rPr>
          <w:color w:val="auto"/>
          <w:sz w:val="22"/>
          <w:szCs w:val="22"/>
        </w:rPr>
        <w:t xml:space="preserve"> antit</w:t>
      </w:r>
      <w:r w:rsidR="0070189D" w:rsidRPr="00382816">
        <w:rPr>
          <w:color w:val="auto"/>
          <w:sz w:val="22"/>
          <w:szCs w:val="22"/>
        </w:rPr>
        <w:t>i</w:t>
      </w:r>
      <w:r w:rsidRPr="00382816">
        <w:rPr>
          <w:color w:val="auto"/>
          <w:sz w:val="22"/>
          <w:szCs w:val="22"/>
        </w:rPr>
        <w:t>jela prolaze kroz placentu linearno kako trudnoća napreduje, sa najvećim prijenosom tokom trećeg trimestra.</w:t>
      </w:r>
    </w:p>
    <w:p w14:paraId="630F5E43" w14:textId="77777777" w:rsidR="00662535" w:rsidRPr="00382816" w:rsidRDefault="00662535" w:rsidP="00B0072D">
      <w:pPr>
        <w:jc w:val="both"/>
        <w:rPr>
          <w:szCs w:val="22"/>
        </w:rPr>
      </w:pPr>
    </w:p>
    <w:p w14:paraId="5FA02500" w14:textId="77777777" w:rsidR="00662535" w:rsidRPr="00382816" w:rsidRDefault="00053CE5" w:rsidP="00B0072D">
      <w:pPr>
        <w:keepNext/>
        <w:autoSpaceDE w:val="0"/>
        <w:autoSpaceDN w:val="0"/>
        <w:adjustRightInd w:val="0"/>
        <w:jc w:val="both"/>
        <w:rPr>
          <w:szCs w:val="22"/>
          <w:u w:val="single"/>
        </w:rPr>
      </w:pPr>
      <w:r w:rsidRPr="00382816">
        <w:rPr>
          <w:szCs w:val="22"/>
          <w:u w:val="single"/>
        </w:rPr>
        <w:t>Dojenje</w:t>
      </w:r>
    </w:p>
    <w:p w14:paraId="1DB86A16" w14:textId="77777777" w:rsidR="00662535" w:rsidRPr="00382816" w:rsidRDefault="00662535" w:rsidP="00B0072D">
      <w:pPr>
        <w:keepNext/>
        <w:autoSpaceDE w:val="0"/>
        <w:autoSpaceDN w:val="0"/>
        <w:adjustRightInd w:val="0"/>
        <w:jc w:val="both"/>
        <w:rPr>
          <w:szCs w:val="22"/>
          <w:u w:val="single"/>
        </w:rPr>
      </w:pPr>
    </w:p>
    <w:p w14:paraId="46CA95D9" w14:textId="2B9F4B67" w:rsidR="00662535" w:rsidRPr="00382816" w:rsidRDefault="00053CE5" w:rsidP="00B0072D">
      <w:pPr>
        <w:autoSpaceDE w:val="0"/>
        <w:autoSpaceDN w:val="0"/>
        <w:adjustRightInd w:val="0"/>
        <w:jc w:val="both"/>
        <w:rPr>
          <w:rFonts w:eastAsia="MS Mincho"/>
          <w:szCs w:val="22"/>
        </w:rPr>
      </w:pPr>
      <w:r w:rsidRPr="00382816">
        <w:rPr>
          <w:szCs w:val="22"/>
        </w:rPr>
        <w:t xml:space="preserve">Nije poznato da li se denosumab izlučuje u majčino </w:t>
      </w:r>
      <w:proofErr w:type="spellStart"/>
      <w:r w:rsidRPr="00382816">
        <w:rPr>
          <w:szCs w:val="22"/>
        </w:rPr>
        <w:t>mlijekо</w:t>
      </w:r>
      <w:proofErr w:type="spellEnd"/>
      <w:r w:rsidRPr="00382816">
        <w:rPr>
          <w:szCs w:val="22"/>
        </w:rPr>
        <w:t xml:space="preserve">. Ispitivanja na genetički </w:t>
      </w:r>
      <w:proofErr w:type="spellStart"/>
      <w:r w:rsidRPr="00382816">
        <w:rPr>
          <w:szCs w:val="22"/>
        </w:rPr>
        <w:t>izmijenjenom</w:t>
      </w:r>
      <w:proofErr w:type="spellEnd"/>
      <w:r w:rsidRPr="00382816">
        <w:rPr>
          <w:szCs w:val="22"/>
        </w:rPr>
        <w:t xml:space="preserve"> soju miševa kojima je RANKL isključen uklanjanjem gena (“</w:t>
      </w:r>
      <w:proofErr w:type="spellStart"/>
      <w:r w:rsidRPr="00382816">
        <w:rPr>
          <w:szCs w:val="22"/>
        </w:rPr>
        <w:t>knock</w:t>
      </w:r>
      <w:r w:rsidR="0070189D" w:rsidRPr="00382816">
        <w:rPr>
          <w:szCs w:val="22"/>
        </w:rPr>
        <w:t>-</w:t>
      </w:r>
      <w:r w:rsidRPr="00382816">
        <w:rPr>
          <w:szCs w:val="22"/>
        </w:rPr>
        <w:t>out</w:t>
      </w:r>
      <w:proofErr w:type="spellEnd"/>
      <w:r w:rsidRPr="00382816">
        <w:rPr>
          <w:szCs w:val="22"/>
        </w:rPr>
        <w:t xml:space="preserve"> soju miševa“) ukazuju da odsustvo RANKL (ciljno mjesto denosumaba, vidjeti </w:t>
      </w:r>
      <w:r w:rsidR="002C6CBB" w:rsidRPr="00382816">
        <w:rPr>
          <w:szCs w:val="22"/>
        </w:rPr>
        <w:t>dio </w:t>
      </w:r>
      <w:r w:rsidRPr="00382816">
        <w:rPr>
          <w:szCs w:val="22"/>
        </w:rPr>
        <w:t xml:space="preserve">5.1) u toku trudnoće može da ometa sazrijevanje mliječnih žlijezda i da dovede do poremećaja </w:t>
      </w:r>
      <w:proofErr w:type="spellStart"/>
      <w:r w:rsidRPr="00382816">
        <w:rPr>
          <w:szCs w:val="22"/>
        </w:rPr>
        <w:t>laktacije</w:t>
      </w:r>
      <w:proofErr w:type="spellEnd"/>
      <w:r w:rsidRPr="00382816">
        <w:rPr>
          <w:szCs w:val="22"/>
        </w:rPr>
        <w:t xml:space="preserve"> u </w:t>
      </w:r>
      <w:proofErr w:type="spellStart"/>
      <w:r w:rsidRPr="00382816">
        <w:rPr>
          <w:szCs w:val="22"/>
        </w:rPr>
        <w:t>postpartalnom</w:t>
      </w:r>
      <w:proofErr w:type="spellEnd"/>
      <w:r w:rsidRPr="00382816">
        <w:rPr>
          <w:szCs w:val="22"/>
        </w:rPr>
        <w:t xml:space="preserve"> periodu (vidjeti </w:t>
      </w:r>
      <w:r w:rsidR="00B70C8A" w:rsidRPr="00382816">
        <w:rPr>
          <w:szCs w:val="22"/>
        </w:rPr>
        <w:t>dio </w:t>
      </w:r>
      <w:r w:rsidRPr="00382816">
        <w:rPr>
          <w:szCs w:val="22"/>
        </w:rPr>
        <w:t xml:space="preserve">5.3). Odluku o tome da li odustati od dojenja ili odustati od terapije lijekom Prolia treba donijeti uzimajući u obzir korist od dojenja za novorođenče/odojče i korist od terapije lijekom Prolia za </w:t>
      </w:r>
      <w:proofErr w:type="spellStart"/>
      <w:r w:rsidRPr="00382816">
        <w:rPr>
          <w:szCs w:val="22"/>
        </w:rPr>
        <w:t>pacijentkinju</w:t>
      </w:r>
      <w:proofErr w:type="spellEnd"/>
      <w:r w:rsidRPr="00382816">
        <w:rPr>
          <w:szCs w:val="22"/>
        </w:rPr>
        <w:t>.</w:t>
      </w:r>
    </w:p>
    <w:p w14:paraId="64E38716" w14:textId="77777777" w:rsidR="00662535" w:rsidRPr="00382816" w:rsidRDefault="00662535" w:rsidP="00B0072D">
      <w:pPr>
        <w:jc w:val="both"/>
        <w:rPr>
          <w:rFonts w:eastAsia="MS Mincho"/>
          <w:szCs w:val="22"/>
          <w:lang w:eastAsia="ja-JP"/>
        </w:rPr>
      </w:pPr>
    </w:p>
    <w:p w14:paraId="07C24E5B" w14:textId="77777777" w:rsidR="00662535" w:rsidRPr="00382816" w:rsidRDefault="008011D6" w:rsidP="00B0072D">
      <w:pPr>
        <w:keepNext/>
        <w:autoSpaceDE w:val="0"/>
        <w:autoSpaceDN w:val="0"/>
        <w:adjustRightInd w:val="0"/>
        <w:jc w:val="both"/>
        <w:rPr>
          <w:rFonts w:eastAsia="MS Mincho"/>
          <w:szCs w:val="22"/>
          <w:u w:val="single"/>
        </w:rPr>
      </w:pPr>
      <w:r w:rsidRPr="00382816">
        <w:rPr>
          <w:szCs w:val="22"/>
          <w:u w:val="single"/>
        </w:rPr>
        <w:t>Fertilitet</w:t>
      </w:r>
    </w:p>
    <w:p w14:paraId="4444BA19" w14:textId="77777777" w:rsidR="00662535" w:rsidRPr="00382816" w:rsidRDefault="00662535" w:rsidP="00B0072D">
      <w:pPr>
        <w:keepNext/>
        <w:autoSpaceDE w:val="0"/>
        <w:autoSpaceDN w:val="0"/>
        <w:adjustRightInd w:val="0"/>
        <w:jc w:val="both"/>
        <w:rPr>
          <w:rFonts w:eastAsia="MS Mincho"/>
          <w:szCs w:val="22"/>
          <w:u w:val="single"/>
          <w:lang w:eastAsia="ja-JP"/>
        </w:rPr>
      </w:pPr>
    </w:p>
    <w:p w14:paraId="1BA41E09" w14:textId="191C77C7" w:rsidR="00662535" w:rsidRPr="00382816" w:rsidRDefault="008011D6"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Podaci o dejstvu denosumaba na fertilitet kod </w:t>
      </w:r>
      <w:proofErr w:type="spellStart"/>
      <w:r w:rsidRPr="00382816">
        <w:rPr>
          <w:color w:val="auto"/>
          <w:sz w:val="22"/>
          <w:szCs w:val="22"/>
        </w:rPr>
        <w:t>ljudi</w:t>
      </w:r>
      <w:proofErr w:type="spellEnd"/>
      <w:r w:rsidRPr="00382816">
        <w:rPr>
          <w:color w:val="auto"/>
          <w:sz w:val="22"/>
          <w:szCs w:val="22"/>
        </w:rPr>
        <w:t xml:space="preserve"> nisu dostupni. Studije na životinjama ne ukazuju na direktna ili indirektna štetna dejstva u odnosu na fertilitet (vidjeti </w:t>
      </w:r>
      <w:r w:rsidR="00B70C8A" w:rsidRPr="00382816">
        <w:rPr>
          <w:color w:val="auto"/>
          <w:sz w:val="22"/>
          <w:szCs w:val="22"/>
        </w:rPr>
        <w:t>dio </w:t>
      </w:r>
      <w:r w:rsidRPr="00382816">
        <w:rPr>
          <w:color w:val="auto"/>
          <w:sz w:val="22"/>
          <w:szCs w:val="22"/>
        </w:rPr>
        <w:t>5.3).</w:t>
      </w:r>
    </w:p>
    <w:p w14:paraId="022107A8" w14:textId="77777777" w:rsidR="00662535" w:rsidRPr="00382816" w:rsidRDefault="00662535" w:rsidP="00B0072D">
      <w:pPr>
        <w:jc w:val="both"/>
        <w:outlineLvl w:val="0"/>
        <w:rPr>
          <w:szCs w:val="22"/>
        </w:rPr>
      </w:pPr>
    </w:p>
    <w:p w14:paraId="482F56FA" w14:textId="7C32DFA0" w:rsidR="00662535" w:rsidRPr="00382816" w:rsidRDefault="005E4E6F" w:rsidP="00B0072D">
      <w:pPr>
        <w:keepNext/>
        <w:tabs>
          <w:tab w:val="clear" w:pos="567"/>
        </w:tabs>
        <w:ind w:left="567" w:hanging="567"/>
        <w:jc w:val="both"/>
        <w:outlineLvl w:val="0"/>
        <w:rPr>
          <w:b/>
          <w:szCs w:val="22"/>
        </w:rPr>
      </w:pPr>
      <w:r w:rsidRPr="00382816">
        <w:rPr>
          <w:b/>
          <w:szCs w:val="22"/>
        </w:rPr>
        <w:t>4.7.</w:t>
      </w:r>
      <w:r w:rsidRPr="00382816">
        <w:rPr>
          <w:b/>
          <w:szCs w:val="22"/>
        </w:rPr>
        <w:tab/>
        <w:t>Uticaj na sposobnost upravljanja vozilima i rukovanja mašinama</w:t>
      </w:r>
    </w:p>
    <w:p w14:paraId="5B288F56" w14:textId="77777777" w:rsidR="00662535" w:rsidRPr="00382816" w:rsidRDefault="00662535" w:rsidP="00B0072D">
      <w:pPr>
        <w:keepNext/>
        <w:jc w:val="both"/>
        <w:outlineLvl w:val="0"/>
        <w:rPr>
          <w:szCs w:val="22"/>
        </w:rPr>
      </w:pPr>
    </w:p>
    <w:p w14:paraId="3E0FB0E8" w14:textId="77777777" w:rsidR="00662535" w:rsidRPr="00382816" w:rsidRDefault="008011D6" w:rsidP="00B0072D">
      <w:pPr>
        <w:tabs>
          <w:tab w:val="clear" w:pos="567"/>
        </w:tabs>
        <w:autoSpaceDE w:val="0"/>
        <w:autoSpaceDN w:val="0"/>
        <w:adjustRightInd w:val="0"/>
        <w:jc w:val="both"/>
        <w:rPr>
          <w:szCs w:val="22"/>
        </w:rPr>
      </w:pPr>
      <w:r w:rsidRPr="00382816">
        <w:rPr>
          <w:szCs w:val="22"/>
        </w:rPr>
        <w:t>Lijek Prolia ne utiče na sposobnost upravljanja motornim vozilom ili je taj uticaj zanemarljiv.</w:t>
      </w:r>
    </w:p>
    <w:p w14:paraId="7B0285E0" w14:textId="77777777" w:rsidR="00662535" w:rsidRPr="00382816" w:rsidRDefault="00662535" w:rsidP="00B0072D">
      <w:pPr>
        <w:jc w:val="both"/>
        <w:rPr>
          <w:szCs w:val="22"/>
        </w:rPr>
      </w:pPr>
    </w:p>
    <w:p w14:paraId="2AD6DB29" w14:textId="46B9FED3" w:rsidR="00662535" w:rsidRPr="00382816" w:rsidRDefault="004759AC" w:rsidP="00B0072D">
      <w:pPr>
        <w:keepNext/>
        <w:tabs>
          <w:tab w:val="clear" w:pos="567"/>
        </w:tabs>
        <w:ind w:left="567" w:hanging="567"/>
        <w:jc w:val="both"/>
        <w:outlineLvl w:val="0"/>
        <w:rPr>
          <w:b/>
          <w:szCs w:val="22"/>
        </w:rPr>
      </w:pPr>
      <w:r w:rsidRPr="00382816">
        <w:rPr>
          <w:b/>
          <w:szCs w:val="22"/>
        </w:rPr>
        <w:t>4.8.</w:t>
      </w:r>
      <w:r w:rsidRPr="00382816">
        <w:rPr>
          <w:b/>
          <w:szCs w:val="22"/>
        </w:rPr>
        <w:tab/>
        <w:t>Neželjena dejstva</w:t>
      </w:r>
    </w:p>
    <w:p w14:paraId="0FA2863E" w14:textId="77777777" w:rsidR="00662535" w:rsidRPr="00382816" w:rsidRDefault="00662535" w:rsidP="00B0072D">
      <w:pPr>
        <w:keepNext/>
        <w:autoSpaceDE w:val="0"/>
        <w:autoSpaceDN w:val="0"/>
        <w:adjustRightInd w:val="0"/>
        <w:jc w:val="both"/>
        <w:rPr>
          <w:rFonts w:eastAsia="MS Mincho"/>
          <w:szCs w:val="22"/>
          <w:lang w:eastAsia="ja-JP"/>
        </w:rPr>
      </w:pPr>
    </w:p>
    <w:p w14:paraId="6904C3E6" w14:textId="77777777" w:rsidR="00662535" w:rsidRPr="00382816" w:rsidRDefault="00E317CF" w:rsidP="00B0072D">
      <w:pPr>
        <w:keepNext/>
        <w:autoSpaceDE w:val="0"/>
        <w:autoSpaceDN w:val="0"/>
        <w:adjustRightInd w:val="0"/>
        <w:jc w:val="both"/>
        <w:rPr>
          <w:rFonts w:eastAsia="MS Mincho"/>
          <w:szCs w:val="22"/>
          <w:u w:val="single"/>
        </w:rPr>
      </w:pPr>
      <w:r w:rsidRPr="00382816">
        <w:rPr>
          <w:szCs w:val="22"/>
          <w:u w:val="single"/>
        </w:rPr>
        <w:t>Sažetak sigurnosnog profila</w:t>
      </w:r>
    </w:p>
    <w:p w14:paraId="76DC446A" w14:textId="77777777" w:rsidR="00662535" w:rsidRPr="00382816" w:rsidRDefault="00662535" w:rsidP="00B0072D">
      <w:pPr>
        <w:keepNext/>
        <w:autoSpaceDE w:val="0"/>
        <w:autoSpaceDN w:val="0"/>
        <w:adjustRightInd w:val="0"/>
        <w:jc w:val="both"/>
        <w:rPr>
          <w:rFonts w:eastAsia="MS Mincho"/>
          <w:szCs w:val="22"/>
          <w:u w:val="single"/>
          <w:lang w:eastAsia="ja-JP"/>
        </w:rPr>
      </w:pPr>
    </w:p>
    <w:p w14:paraId="7B398BFE" w14:textId="742BBA19" w:rsidR="00662535" w:rsidRPr="00382816" w:rsidRDefault="00C9738C" w:rsidP="00B0072D">
      <w:pPr>
        <w:jc w:val="both"/>
        <w:rPr>
          <w:szCs w:val="22"/>
        </w:rPr>
      </w:pPr>
      <w:r w:rsidRPr="00382816">
        <w:rPr>
          <w:szCs w:val="22"/>
        </w:rPr>
        <w:t>Najčešće prijavljena neželjena dejstva pri primjeni denosumaba (primijećeni kod više od 1 na 10 pacijenata) su mišićno</w:t>
      </w:r>
      <w:r w:rsidR="00B70C8A" w:rsidRPr="00382816">
        <w:rPr>
          <w:szCs w:val="22"/>
        </w:rPr>
        <w:t>-</w:t>
      </w:r>
      <w:r w:rsidRPr="00382816">
        <w:rPr>
          <w:szCs w:val="22"/>
        </w:rPr>
        <w:t xml:space="preserve">koštani bol i bol u ekstremitetima. Primijećeni su povremeni slučajevi celulitisa, rijetki slučajevi hipokalcijemije, preosjetljivosti, osteonekroze vilice i atipičnih </w:t>
      </w:r>
      <w:proofErr w:type="spellStart"/>
      <w:r w:rsidRPr="00382816">
        <w:rPr>
          <w:szCs w:val="22"/>
        </w:rPr>
        <w:t>femoralnih</w:t>
      </w:r>
      <w:proofErr w:type="spellEnd"/>
      <w:r w:rsidRPr="00382816">
        <w:rPr>
          <w:szCs w:val="22"/>
        </w:rPr>
        <w:t xml:space="preserve"> fraktura (vidjeti </w:t>
      </w:r>
      <w:r w:rsidR="002C6CBB" w:rsidRPr="00382816">
        <w:rPr>
          <w:szCs w:val="22"/>
        </w:rPr>
        <w:t>djelove </w:t>
      </w:r>
      <w:r w:rsidRPr="00382816">
        <w:rPr>
          <w:szCs w:val="22"/>
        </w:rPr>
        <w:t>4.4 i 4.8 </w:t>
      </w:r>
      <w:r w:rsidRPr="00382816">
        <w:rPr>
          <w:szCs w:val="22"/>
        </w:rPr>
        <w:noBreakHyphen/>
        <w:t> Opis odabranih neželjenih reakcija) kod pacijenata koji su primali denosumab.</w:t>
      </w:r>
    </w:p>
    <w:p w14:paraId="69BC8848" w14:textId="77777777" w:rsidR="00662535" w:rsidRPr="00382816" w:rsidRDefault="00662535" w:rsidP="00B0072D">
      <w:pPr>
        <w:jc w:val="both"/>
        <w:rPr>
          <w:rFonts w:eastAsia="MS Mincho"/>
          <w:szCs w:val="22"/>
          <w:lang w:eastAsia="ja-JP"/>
        </w:rPr>
      </w:pPr>
    </w:p>
    <w:p w14:paraId="00C5197D" w14:textId="77777777" w:rsidR="00662535" w:rsidRPr="00382816" w:rsidRDefault="00992A6A" w:rsidP="00B0072D">
      <w:pPr>
        <w:keepNext/>
        <w:jc w:val="both"/>
        <w:rPr>
          <w:szCs w:val="22"/>
          <w:u w:val="single"/>
        </w:rPr>
      </w:pPr>
      <w:r w:rsidRPr="00382816">
        <w:rPr>
          <w:szCs w:val="22"/>
          <w:u w:val="single"/>
        </w:rPr>
        <w:t>Tabelarni prikaz neželjenih dejstava</w:t>
      </w:r>
    </w:p>
    <w:p w14:paraId="246F7008" w14:textId="77777777" w:rsidR="00662535" w:rsidRPr="00382816" w:rsidRDefault="00662535" w:rsidP="00B0072D">
      <w:pPr>
        <w:keepNext/>
        <w:jc w:val="both"/>
        <w:rPr>
          <w:szCs w:val="22"/>
          <w:u w:val="single"/>
        </w:rPr>
      </w:pPr>
    </w:p>
    <w:p w14:paraId="6229AF68" w14:textId="77777777" w:rsidR="00662535" w:rsidRPr="00382816" w:rsidRDefault="00E317CF" w:rsidP="00B0072D">
      <w:pPr>
        <w:tabs>
          <w:tab w:val="clear" w:pos="567"/>
        </w:tabs>
        <w:autoSpaceDE w:val="0"/>
        <w:autoSpaceDN w:val="0"/>
        <w:adjustRightInd w:val="0"/>
        <w:jc w:val="both"/>
        <w:rPr>
          <w:bCs/>
          <w:szCs w:val="22"/>
        </w:rPr>
      </w:pPr>
      <w:r w:rsidRPr="00382816">
        <w:rPr>
          <w:szCs w:val="22"/>
        </w:rPr>
        <w:t xml:space="preserve">Podaci u tabeli 1 niže opisuju neželjena dejstva zabilježena u kliničkim ispitivanjima faze II i III kod pacijenata s osteoporozom i pacijenata sa rakom dojke ili prostate koji su primali hormonsku </w:t>
      </w:r>
      <w:proofErr w:type="spellStart"/>
      <w:r w:rsidRPr="00382816">
        <w:rPr>
          <w:szCs w:val="22"/>
        </w:rPr>
        <w:t>ablacijsku</w:t>
      </w:r>
      <w:proofErr w:type="spellEnd"/>
      <w:r w:rsidRPr="00382816">
        <w:rPr>
          <w:szCs w:val="22"/>
        </w:rPr>
        <w:t xml:space="preserve"> terapiju i/ili spontana neželjena dejstva.</w:t>
      </w:r>
    </w:p>
    <w:p w14:paraId="743B1F94" w14:textId="77777777" w:rsidR="00662535" w:rsidRPr="00382816" w:rsidRDefault="00662535" w:rsidP="00B0072D">
      <w:pPr>
        <w:tabs>
          <w:tab w:val="clear" w:pos="567"/>
        </w:tabs>
        <w:autoSpaceDE w:val="0"/>
        <w:autoSpaceDN w:val="0"/>
        <w:adjustRightInd w:val="0"/>
        <w:jc w:val="both"/>
        <w:rPr>
          <w:bCs/>
          <w:szCs w:val="22"/>
        </w:rPr>
      </w:pPr>
    </w:p>
    <w:p w14:paraId="1B375D6A" w14:textId="3D1E9440" w:rsidR="00662535" w:rsidRPr="00382816" w:rsidRDefault="00E317CF" w:rsidP="00B0072D">
      <w:pPr>
        <w:tabs>
          <w:tab w:val="clear" w:pos="567"/>
        </w:tabs>
        <w:autoSpaceDE w:val="0"/>
        <w:autoSpaceDN w:val="0"/>
        <w:adjustRightInd w:val="0"/>
        <w:jc w:val="both"/>
        <w:rPr>
          <w:bCs/>
          <w:szCs w:val="22"/>
        </w:rPr>
      </w:pPr>
      <w:r w:rsidRPr="00382816">
        <w:rPr>
          <w:szCs w:val="22"/>
        </w:rPr>
        <w:t xml:space="preserve">Za klasifikaciju neželjenih dejstava korišćeno je sljedeće pravilo (vidjeti tabelu 1): veoma česta (≥ 1/10), česta (≥ 1/100 do &lt; 1/10), povremena (≥ 1/1000 do &lt; 1/100), rijetka (≥ 1/10000 do &lt; 1/1000), veoma rijetka (&lt; 1/10000) i nepoznata (ne mogu se procijeniti iz dostupnih podataka). U okviru svake grupe učestalosti i klase sistema organa, neželjena dejstva prikazana su po </w:t>
      </w:r>
      <w:proofErr w:type="spellStart"/>
      <w:r w:rsidRPr="00382816">
        <w:rPr>
          <w:szCs w:val="22"/>
        </w:rPr>
        <w:t>opadajućoj</w:t>
      </w:r>
      <w:proofErr w:type="spellEnd"/>
      <w:r w:rsidRPr="00382816">
        <w:rPr>
          <w:szCs w:val="22"/>
        </w:rPr>
        <w:t xml:space="preserve"> ozbiljnosti.</w:t>
      </w:r>
    </w:p>
    <w:p w14:paraId="36076DAC" w14:textId="77777777" w:rsidR="00662535" w:rsidRPr="00382816" w:rsidRDefault="00662535" w:rsidP="00B0072D">
      <w:pPr>
        <w:tabs>
          <w:tab w:val="clear" w:pos="567"/>
        </w:tabs>
        <w:autoSpaceDE w:val="0"/>
        <w:autoSpaceDN w:val="0"/>
        <w:adjustRightInd w:val="0"/>
        <w:jc w:val="both"/>
        <w:rPr>
          <w:b/>
          <w:bCs/>
          <w:szCs w:val="22"/>
        </w:rPr>
      </w:pPr>
    </w:p>
    <w:p w14:paraId="560721DF" w14:textId="77777777" w:rsidR="00662535" w:rsidRPr="00382816" w:rsidRDefault="00E317CF" w:rsidP="00B0072D">
      <w:pPr>
        <w:pStyle w:val="Style11BoldLeft"/>
        <w:jc w:val="both"/>
      </w:pPr>
      <w:r w:rsidRPr="00382816">
        <w:t>Tabela 1 Neželjena dejstva prijavljena kod pacijenata sa osteoporozom i kod pacijenata sa karcinomom dojke ili prostate kod kojih je primijenjena hormonska ablacija</w:t>
      </w:r>
    </w:p>
    <w:p w14:paraId="6AAB3F4D" w14:textId="77777777" w:rsidR="00E317CF" w:rsidRPr="00382816" w:rsidRDefault="00E317CF" w:rsidP="00B0072D">
      <w:pPr>
        <w:keepNext/>
        <w:jc w:val="both"/>
        <w:rPr>
          <w:b/>
          <w:szCs w:val="22"/>
        </w:rPr>
      </w:pPr>
    </w:p>
    <w:tbl>
      <w:tblPr>
        <w:tblW w:w="49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2"/>
        <w:gridCol w:w="1520"/>
        <w:gridCol w:w="5362"/>
      </w:tblGrid>
      <w:tr w:rsidR="00360ACF" w:rsidRPr="00382816" w14:paraId="53E85344" w14:textId="77777777" w:rsidTr="002800B2">
        <w:trPr>
          <w:cantSplit/>
          <w:tblHeader/>
        </w:trPr>
        <w:tc>
          <w:tcPr>
            <w:tcW w:w="1157" w:type="pct"/>
          </w:tcPr>
          <w:p w14:paraId="7DD68329" w14:textId="77777777" w:rsidR="00360ACF" w:rsidRPr="00382816" w:rsidRDefault="00360ACF" w:rsidP="00B0072D">
            <w:pPr>
              <w:pStyle w:val="Style11BoldLeft"/>
              <w:jc w:val="both"/>
              <w:rPr>
                <w:rFonts w:eastAsia="MS Mincho"/>
                <w:u w:val="single"/>
              </w:rPr>
            </w:pPr>
            <w:proofErr w:type="spellStart"/>
            <w:r w:rsidRPr="00382816">
              <w:t>MedDRA</w:t>
            </w:r>
            <w:proofErr w:type="spellEnd"/>
            <w:r w:rsidRPr="00382816">
              <w:t xml:space="preserve"> klasa sistema organa</w:t>
            </w:r>
          </w:p>
        </w:tc>
        <w:tc>
          <w:tcPr>
            <w:tcW w:w="849" w:type="pct"/>
          </w:tcPr>
          <w:p w14:paraId="2972B6C7" w14:textId="77777777" w:rsidR="00360ACF" w:rsidRPr="00382816" w:rsidRDefault="00360ACF" w:rsidP="00B0072D">
            <w:pPr>
              <w:keepNext/>
              <w:jc w:val="both"/>
              <w:rPr>
                <w:rFonts w:eastAsia="MS Mincho"/>
                <w:bCs/>
                <w:szCs w:val="22"/>
                <w:u w:val="single"/>
              </w:rPr>
            </w:pPr>
            <w:r w:rsidRPr="00382816">
              <w:rPr>
                <w:b/>
                <w:szCs w:val="22"/>
              </w:rPr>
              <w:t>Kategorija učestalosti</w:t>
            </w:r>
          </w:p>
        </w:tc>
        <w:tc>
          <w:tcPr>
            <w:tcW w:w="2993" w:type="pct"/>
          </w:tcPr>
          <w:p w14:paraId="30DAC5F0" w14:textId="77777777" w:rsidR="00360ACF" w:rsidRPr="00382816" w:rsidRDefault="00360ACF" w:rsidP="00B0072D">
            <w:pPr>
              <w:keepNext/>
              <w:jc w:val="both"/>
              <w:rPr>
                <w:rFonts w:eastAsia="MS Mincho"/>
                <w:b/>
                <w:bCs/>
                <w:szCs w:val="22"/>
              </w:rPr>
            </w:pPr>
            <w:r w:rsidRPr="00382816">
              <w:rPr>
                <w:b/>
                <w:szCs w:val="22"/>
              </w:rPr>
              <w:t>Neželjena dejstva</w:t>
            </w:r>
          </w:p>
        </w:tc>
      </w:tr>
      <w:tr w:rsidR="00360ACF" w:rsidRPr="00382816" w14:paraId="2E77803B" w14:textId="77777777" w:rsidTr="002800B2">
        <w:trPr>
          <w:cantSplit/>
        </w:trPr>
        <w:tc>
          <w:tcPr>
            <w:tcW w:w="1157" w:type="pct"/>
          </w:tcPr>
          <w:p w14:paraId="12CF31B2" w14:textId="77777777" w:rsidR="00360ACF" w:rsidRPr="00382816" w:rsidRDefault="00360ACF" w:rsidP="00B0072D">
            <w:pPr>
              <w:keepNext/>
              <w:jc w:val="both"/>
              <w:rPr>
                <w:rFonts w:eastAsia="MS Mincho"/>
                <w:szCs w:val="22"/>
              </w:rPr>
            </w:pPr>
            <w:r w:rsidRPr="00382816">
              <w:rPr>
                <w:szCs w:val="22"/>
              </w:rPr>
              <w:t xml:space="preserve">Infekcije i </w:t>
            </w:r>
            <w:proofErr w:type="spellStart"/>
            <w:r w:rsidRPr="00382816">
              <w:rPr>
                <w:szCs w:val="22"/>
              </w:rPr>
              <w:t>infestacije</w:t>
            </w:r>
            <w:proofErr w:type="spellEnd"/>
          </w:p>
        </w:tc>
        <w:tc>
          <w:tcPr>
            <w:tcW w:w="849" w:type="pct"/>
          </w:tcPr>
          <w:p w14:paraId="31B232E9" w14:textId="77777777" w:rsidR="00360ACF" w:rsidRPr="00382816" w:rsidRDefault="00360ACF" w:rsidP="00B0072D">
            <w:pPr>
              <w:keepNext/>
              <w:jc w:val="both"/>
              <w:rPr>
                <w:rFonts w:eastAsia="MS Mincho"/>
                <w:bCs/>
                <w:szCs w:val="22"/>
              </w:rPr>
            </w:pPr>
            <w:r w:rsidRPr="00382816">
              <w:rPr>
                <w:szCs w:val="22"/>
              </w:rPr>
              <w:t>Često</w:t>
            </w:r>
          </w:p>
          <w:p w14:paraId="1C57E5CB" w14:textId="77777777" w:rsidR="00360ACF" w:rsidRPr="00382816" w:rsidRDefault="00360ACF" w:rsidP="00B0072D">
            <w:pPr>
              <w:keepNext/>
              <w:jc w:val="both"/>
              <w:rPr>
                <w:rFonts w:eastAsia="MS Mincho"/>
                <w:bCs/>
                <w:szCs w:val="22"/>
              </w:rPr>
            </w:pPr>
            <w:r w:rsidRPr="00382816">
              <w:rPr>
                <w:szCs w:val="22"/>
              </w:rPr>
              <w:t>Često</w:t>
            </w:r>
          </w:p>
          <w:p w14:paraId="73176BB8" w14:textId="77777777" w:rsidR="00360ACF" w:rsidRPr="00382816" w:rsidRDefault="00360ACF" w:rsidP="00B0072D">
            <w:pPr>
              <w:keepNext/>
              <w:jc w:val="both"/>
              <w:rPr>
                <w:rFonts w:eastAsia="MS Mincho"/>
                <w:bCs/>
                <w:szCs w:val="22"/>
              </w:rPr>
            </w:pPr>
            <w:r w:rsidRPr="00382816">
              <w:rPr>
                <w:szCs w:val="22"/>
              </w:rPr>
              <w:t>Povremeno</w:t>
            </w:r>
          </w:p>
          <w:p w14:paraId="648C5CEA" w14:textId="77777777" w:rsidR="00360ACF" w:rsidRPr="00382816" w:rsidRDefault="00360ACF" w:rsidP="00B0072D">
            <w:pPr>
              <w:keepNext/>
              <w:jc w:val="both"/>
              <w:rPr>
                <w:rFonts w:eastAsia="MS Mincho"/>
                <w:bCs/>
                <w:szCs w:val="22"/>
              </w:rPr>
            </w:pPr>
            <w:r w:rsidRPr="00382816">
              <w:rPr>
                <w:szCs w:val="22"/>
              </w:rPr>
              <w:t>Povremeno</w:t>
            </w:r>
          </w:p>
          <w:p w14:paraId="77D56C93" w14:textId="77777777" w:rsidR="00360ACF" w:rsidRPr="00382816" w:rsidRDefault="00360ACF" w:rsidP="00B0072D">
            <w:pPr>
              <w:keepNext/>
              <w:jc w:val="both"/>
              <w:rPr>
                <w:rFonts w:eastAsia="MS Mincho"/>
                <w:bCs/>
                <w:szCs w:val="22"/>
              </w:rPr>
            </w:pPr>
            <w:r w:rsidRPr="00382816">
              <w:rPr>
                <w:szCs w:val="22"/>
              </w:rPr>
              <w:t>Povremeno</w:t>
            </w:r>
          </w:p>
        </w:tc>
        <w:tc>
          <w:tcPr>
            <w:tcW w:w="2993" w:type="pct"/>
          </w:tcPr>
          <w:p w14:paraId="51B32F00" w14:textId="77777777" w:rsidR="00360ACF" w:rsidRPr="00382816" w:rsidRDefault="00360ACF" w:rsidP="00B0072D">
            <w:pPr>
              <w:keepNext/>
              <w:jc w:val="both"/>
              <w:rPr>
                <w:rFonts w:eastAsia="MS Mincho"/>
                <w:szCs w:val="22"/>
              </w:rPr>
            </w:pPr>
            <w:r w:rsidRPr="00382816">
              <w:rPr>
                <w:szCs w:val="22"/>
              </w:rPr>
              <w:t xml:space="preserve">Infekcije </w:t>
            </w:r>
            <w:proofErr w:type="spellStart"/>
            <w:r w:rsidRPr="00382816">
              <w:rPr>
                <w:szCs w:val="22"/>
              </w:rPr>
              <w:t>urinarnog</w:t>
            </w:r>
            <w:proofErr w:type="spellEnd"/>
            <w:r w:rsidRPr="00382816">
              <w:rPr>
                <w:szCs w:val="22"/>
              </w:rPr>
              <w:t xml:space="preserve"> trakta</w:t>
            </w:r>
          </w:p>
          <w:p w14:paraId="621EE68B" w14:textId="77777777" w:rsidR="00360ACF" w:rsidRPr="00382816" w:rsidRDefault="00360ACF" w:rsidP="00B0072D">
            <w:pPr>
              <w:pStyle w:val="lbltxt"/>
              <w:keepNext/>
              <w:jc w:val="both"/>
              <w:rPr>
                <w:rFonts w:eastAsia="MS Mincho"/>
                <w:noProof w:val="0"/>
                <w:szCs w:val="22"/>
              </w:rPr>
            </w:pPr>
            <w:r w:rsidRPr="00382816">
              <w:rPr>
                <w:szCs w:val="22"/>
              </w:rPr>
              <w:t>Infekcije gornjeg respiratornog trakta</w:t>
            </w:r>
          </w:p>
          <w:p w14:paraId="567F50A4" w14:textId="77777777" w:rsidR="00360ACF" w:rsidRPr="00382816" w:rsidRDefault="00360ACF" w:rsidP="00B0072D">
            <w:pPr>
              <w:keepNext/>
              <w:tabs>
                <w:tab w:val="left" w:pos="1498"/>
              </w:tabs>
              <w:jc w:val="both"/>
              <w:rPr>
                <w:rFonts w:eastAsia="MS Mincho"/>
                <w:szCs w:val="22"/>
              </w:rPr>
            </w:pPr>
            <w:r w:rsidRPr="00382816">
              <w:rPr>
                <w:szCs w:val="22"/>
              </w:rPr>
              <w:t>Divertikulitis</w:t>
            </w:r>
            <w:r w:rsidRPr="00382816">
              <w:rPr>
                <w:szCs w:val="22"/>
                <w:vertAlign w:val="superscript"/>
              </w:rPr>
              <w:t>1</w:t>
            </w:r>
          </w:p>
          <w:p w14:paraId="6D457DDD" w14:textId="77777777" w:rsidR="00360ACF" w:rsidRPr="00382816" w:rsidRDefault="00360ACF" w:rsidP="00B0072D">
            <w:pPr>
              <w:keepNext/>
              <w:jc w:val="both"/>
              <w:rPr>
                <w:rFonts w:eastAsia="MS Mincho"/>
                <w:szCs w:val="22"/>
                <w:vertAlign w:val="superscript"/>
              </w:rPr>
            </w:pPr>
            <w:r w:rsidRPr="00382816">
              <w:rPr>
                <w:szCs w:val="22"/>
              </w:rPr>
              <w:t>Celulitis</w:t>
            </w:r>
            <w:r w:rsidRPr="00382816">
              <w:rPr>
                <w:szCs w:val="22"/>
                <w:vertAlign w:val="superscript"/>
              </w:rPr>
              <w:t>1</w:t>
            </w:r>
          </w:p>
          <w:p w14:paraId="1DFA82C5" w14:textId="77777777" w:rsidR="00360ACF" w:rsidRPr="00382816" w:rsidRDefault="00360ACF" w:rsidP="00B0072D">
            <w:pPr>
              <w:keepNext/>
              <w:jc w:val="both"/>
              <w:rPr>
                <w:rFonts w:eastAsia="MS Mincho"/>
                <w:szCs w:val="22"/>
                <w:vertAlign w:val="superscript"/>
              </w:rPr>
            </w:pPr>
            <w:r w:rsidRPr="00382816">
              <w:rPr>
                <w:szCs w:val="22"/>
              </w:rPr>
              <w:t>Infekcije uha</w:t>
            </w:r>
          </w:p>
        </w:tc>
      </w:tr>
      <w:tr w:rsidR="00360ACF" w:rsidRPr="00382816" w14:paraId="69F14F81" w14:textId="77777777" w:rsidTr="002800B2">
        <w:trPr>
          <w:cantSplit/>
        </w:trPr>
        <w:tc>
          <w:tcPr>
            <w:tcW w:w="1157" w:type="pct"/>
          </w:tcPr>
          <w:p w14:paraId="397F27E8" w14:textId="77777777" w:rsidR="00360ACF" w:rsidRPr="00382816" w:rsidRDefault="00360ACF" w:rsidP="00B0072D">
            <w:pPr>
              <w:jc w:val="both"/>
              <w:rPr>
                <w:rFonts w:eastAsia="MS Mincho"/>
                <w:szCs w:val="22"/>
              </w:rPr>
            </w:pPr>
            <w:r w:rsidRPr="00382816">
              <w:rPr>
                <w:szCs w:val="22"/>
              </w:rPr>
              <w:t>Poremećaji imunološkog sistema</w:t>
            </w:r>
          </w:p>
        </w:tc>
        <w:tc>
          <w:tcPr>
            <w:tcW w:w="849" w:type="pct"/>
          </w:tcPr>
          <w:p w14:paraId="5E2ACC44" w14:textId="77777777" w:rsidR="00360ACF" w:rsidRPr="00382816" w:rsidRDefault="00360ACF" w:rsidP="00B0072D">
            <w:pPr>
              <w:jc w:val="both"/>
              <w:rPr>
                <w:rFonts w:eastAsia="MS Mincho"/>
                <w:bCs/>
                <w:szCs w:val="22"/>
              </w:rPr>
            </w:pPr>
            <w:r w:rsidRPr="00382816">
              <w:rPr>
                <w:szCs w:val="22"/>
              </w:rPr>
              <w:t>Rijetko</w:t>
            </w:r>
          </w:p>
          <w:p w14:paraId="2AEB3681" w14:textId="77777777" w:rsidR="00360ACF" w:rsidRPr="00382816" w:rsidRDefault="00360ACF" w:rsidP="00B0072D">
            <w:pPr>
              <w:jc w:val="both"/>
              <w:rPr>
                <w:rFonts w:eastAsia="MS Mincho"/>
                <w:bCs/>
                <w:szCs w:val="22"/>
              </w:rPr>
            </w:pPr>
            <w:r w:rsidRPr="00382816">
              <w:rPr>
                <w:szCs w:val="22"/>
              </w:rPr>
              <w:t>Rijetko</w:t>
            </w:r>
          </w:p>
        </w:tc>
        <w:tc>
          <w:tcPr>
            <w:tcW w:w="2993" w:type="pct"/>
          </w:tcPr>
          <w:p w14:paraId="1C96B8A0" w14:textId="77777777" w:rsidR="00360ACF" w:rsidRPr="00382816" w:rsidRDefault="00360ACF" w:rsidP="00B0072D">
            <w:pPr>
              <w:jc w:val="both"/>
              <w:rPr>
                <w:szCs w:val="22"/>
              </w:rPr>
            </w:pPr>
            <w:r w:rsidRPr="00382816">
              <w:rPr>
                <w:szCs w:val="22"/>
              </w:rPr>
              <w:t>Preosjetljivost na lijek</w:t>
            </w:r>
            <w:r w:rsidRPr="00382816">
              <w:rPr>
                <w:szCs w:val="22"/>
                <w:vertAlign w:val="superscript"/>
              </w:rPr>
              <w:t>1</w:t>
            </w:r>
          </w:p>
          <w:p w14:paraId="5D3589B8" w14:textId="77777777" w:rsidR="00360ACF" w:rsidRPr="00382816" w:rsidRDefault="00360ACF" w:rsidP="00B0072D">
            <w:pPr>
              <w:jc w:val="both"/>
              <w:rPr>
                <w:rFonts w:eastAsia="MS Mincho"/>
                <w:szCs w:val="22"/>
              </w:rPr>
            </w:pPr>
            <w:proofErr w:type="spellStart"/>
            <w:r w:rsidRPr="00382816">
              <w:rPr>
                <w:szCs w:val="22"/>
              </w:rPr>
              <w:t>Anafilaktička</w:t>
            </w:r>
            <w:proofErr w:type="spellEnd"/>
            <w:r w:rsidRPr="00382816">
              <w:rPr>
                <w:szCs w:val="22"/>
              </w:rPr>
              <w:t xml:space="preserve"> reakcija</w:t>
            </w:r>
            <w:r w:rsidRPr="00382816">
              <w:rPr>
                <w:szCs w:val="22"/>
                <w:vertAlign w:val="superscript"/>
              </w:rPr>
              <w:t>1</w:t>
            </w:r>
          </w:p>
        </w:tc>
      </w:tr>
      <w:tr w:rsidR="00360ACF" w:rsidRPr="00382816" w14:paraId="6CAA1C6D" w14:textId="77777777" w:rsidTr="002800B2">
        <w:trPr>
          <w:cantSplit/>
        </w:trPr>
        <w:tc>
          <w:tcPr>
            <w:tcW w:w="1157" w:type="pct"/>
          </w:tcPr>
          <w:p w14:paraId="6983E4C6" w14:textId="77777777" w:rsidR="00360ACF" w:rsidRPr="00382816" w:rsidRDefault="00360ACF" w:rsidP="00B0072D">
            <w:pPr>
              <w:jc w:val="both"/>
              <w:rPr>
                <w:rFonts w:eastAsia="MS Mincho"/>
                <w:szCs w:val="22"/>
              </w:rPr>
            </w:pPr>
            <w:r w:rsidRPr="00382816">
              <w:rPr>
                <w:szCs w:val="22"/>
              </w:rPr>
              <w:lastRenderedPageBreak/>
              <w:t>Poremećaji metabolizma i ishrane</w:t>
            </w:r>
          </w:p>
        </w:tc>
        <w:tc>
          <w:tcPr>
            <w:tcW w:w="849" w:type="pct"/>
          </w:tcPr>
          <w:p w14:paraId="03EC62C4" w14:textId="77777777" w:rsidR="00360ACF" w:rsidRPr="00382816" w:rsidRDefault="00360ACF" w:rsidP="00B0072D">
            <w:pPr>
              <w:jc w:val="both"/>
              <w:rPr>
                <w:rFonts w:eastAsia="MS Mincho"/>
                <w:bCs/>
                <w:szCs w:val="22"/>
              </w:rPr>
            </w:pPr>
            <w:r w:rsidRPr="00382816">
              <w:rPr>
                <w:szCs w:val="22"/>
              </w:rPr>
              <w:t>Rijetko</w:t>
            </w:r>
          </w:p>
        </w:tc>
        <w:tc>
          <w:tcPr>
            <w:tcW w:w="2993" w:type="pct"/>
          </w:tcPr>
          <w:p w14:paraId="1E959CB9" w14:textId="77777777" w:rsidR="00360ACF" w:rsidRPr="00382816" w:rsidRDefault="00360ACF" w:rsidP="00B0072D">
            <w:pPr>
              <w:jc w:val="both"/>
              <w:rPr>
                <w:rFonts w:eastAsia="MS Mincho"/>
                <w:szCs w:val="22"/>
              </w:rPr>
            </w:pPr>
            <w:r w:rsidRPr="00382816">
              <w:rPr>
                <w:szCs w:val="22"/>
              </w:rPr>
              <w:t>Hipokalcijemija</w:t>
            </w:r>
            <w:r w:rsidRPr="00382816">
              <w:rPr>
                <w:szCs w:val="22"/>
                <w:vertAlign w:val="superscript"/>
              </w:rPr>
              <w:t>1</w:t>
            </w:r>
          </w:p>
        </w:tc>
      </w:tr>
      <w:tr w:rsidR="00360ACF" w:rsidRPr="00382816" w14:paraId="67EAEF04" w14:textId="77777777" w:rsidTr="002800B2">
        <w:trPr>
          <w:cantSplit/>
        </w:trPr>
        <w:tc>
          <w:tcPr>
            <w:tcW w:w="1157" w:type="pct"/>
          </w:tcPr>
          <w:p w14:paraId="55117CC7" w14:textId="77777777" w:rsidR="00360ACF" w:rsidRPr="00382816" w:rsidRDefault="00360ACF" w:rsidP="00B0072D">
            <w:pPr>
              <w:jc w:val="both"/>
              <w:rPr>
                <w:rFonts w:eastAsia="MS Mincho"/>
                <w:szCs w:val="22"/>
              </w:rPr>
            </w:pPr>
            <w:r w:rsidRPr="00382816">
              <w:rPr>
                <w:szCs w:val="22"/>
              </w:rPr>
              <w:t>Poremećaji nervnog sistema</w:t>
            </w:r>
          </w:p>
        </w:tc>
        <w:tc>
          <w:tcPr>
            <w:tcW w:w="849" w:type="pct"/>
          </w:tcPr>
          <w:p w14:paraId="1AECCFD0" w14:textId="77777777" w:rsidR="00360ACF" w:rsidRPr="00382816" w:rsidRDefault="00360ACF" w:rsidP="00B0072D">
            <w:pPr>
              <w:jc w:val="both"/>
              <w:rPr>
                <w:rFonts w:eastAsia="MS Mincho"/>
                <w:bCs/>
                <w:szCs w:val="22"/>
              </w:rPr>
            </w:pPr>
            <w:r w:rsidRPr="00382816">
              <w:rPr>
                <w:szCs w:val="22"/>
              </w:rPr>
              <w:t>Često</w:t>
            </w:r>
          </w:p>
        </w:tc>
        <w:tc>
          <w:tcPr>
            <w:tcW w:w="2993" w:type="pct"/>
          </w:tcPr>
          <w:p w14:paraId="09ED1929" w14:textId="77777777" w:rsidR="00360ACF" w:rsidRPr="00382816" w:rsidRDefault="00360ACF" w:rsidP="00B0072D">
            <w:pPr>
              <w:jc w:val="both"/>
              <w:rPr>
                <w:rFonts w:eastAsia="MS Mincho"/>
                <w:bCs/>
                <w:szCs w:val="22"/>
              </w:rPr>
            </w:pPr>
            <w:proofErr w:type="spellStart"/>
            <w:r w:rsidRPr="00382816">
              <w:rPr>
                <w:szCs w:val="22"/>
              </w:rPr>
              <w:t>Ishialgija</w:t>
            </w:r>
            <w:proofErr w:type="spellEnd"/>
          </w:p>
        </w:tc>
      </w:tr>
      <w:tr w:rsidR="00360ACF" w:rsidRPr="00382816" w14:paraId="4CC4E9EC" w14:textId="77777777" w:rsidTr="002800B2">
        <w:trPr>
          <w:cantSplit/>
        </w:trPr>
        <w:tc>
          <w:tcPr>
            <w:tcW w:w="1157" w:type="pct"/>
          </w:tcPr>
          <w:p w14:paraId="3AE06457" w14:textId="77777777" w:rsidR="00360ACF" w:rsidRPr="00382816" w:rsidRDefault="00360ACF" w:rsidP="00B0072D">
            <w:pPr>
              <w:jc w:val="both"/>
              <w:rPr>
                <w:rFonts w:eastAsia="MS Mincho"/>
                <w:szCs w:val="22"/>
              </w:rPr>
            </w:pPr>
            <w:r w:rsidRPr="00382816">
              <w:rPr>
                <w:szCs w:val="22"/>
              </w:rPr>
              <w:t>Gastrointestinalni poremećaji</w:t>
            </w:r>
          </w:p>
        </w:tc>
        <w:tc>
          <w:tcPr>
            <w:tcW w:w="849" w:type="pct"/>
          </w:tcPr>
          <w:p w14:paraId="4D76290F" w14:textId="77777777" w:rsidR="00360ACF" w:rsidRPr="00382816" w:rsidRDefault="00360ACF" w:rsidP="00B0072D">
            <w:pPr>
              <w:jc w:val="both"/>
              <w:rPr>
                <w:rFonts w:eastAsia="MS Mincho"/>
                <w:bCs/>
                <w:szCs w:val="22"/>
              </w:rPr>
            </w:pPr>
            <w:r w:rsidRPr="00382816">
              <w:rPr>
                <w:szCs w:val="22"/>
              </w:rPr>
              <w:t>Često</w:t>
            </w:r>
          </w:p>
          <w:p w14:paraId="4911FAEB" w14:textId="77777777" w:rsidR="00360ACF" w:rsidRPr="00382816" w:rsidRDefault="00360ACF" w:rsidP="00B0072D">
            <w:pPr>
              <w:jc w:val="both"/>
              <w:rPr>
                <w:rFonts w:eastAsia="MS Mincho"/>
                <w:bCs/>
                <w:szCs w:val="22"/>
              </w:rPr>
            </w:pPr>
            <w:r w:rsidRPr="00382816">
              <w:rPr>
                <w:szCs w:val="22"/>
              </w:rPr>
              <w:t>Često</w:t>
            </w:r>
          </w:p>
        </w:tc>
        <w:tc>
          <w:tcPr>
            <w:tcW w:w="2993" w:type="pct"/>
          </w:tcPr>
          <w:p w14:paraId="51D3D460" w14:textId="77777777" w:rsidR="00360ACF" w:rsidRPr="00382816" w:rsidRDefault="00360ACF" w:rsidP="00B0072D">
            <w:pPr>
              <w:jc w:val="both"/>
              <w:rPr>
                <w:rFonts w:eastAsia="MS Mincho"/>
                <w:szCs w:val="22"/>
              </w:rPr>
            </w:pPr>
            <w:r w:rsidRPr="00382816">
              <w:rPr>
                <w:szCs w:val="22"/>
              </w:rPr>
              <w:t>Opstipacija</w:t>
            </w:r>
          </w:p>
          <w:p w14:paraId="468739E5" w14:textId="77777777" w:rsidR="00360ACF" w:rsidRPr="00382816" w:rsidRDefault="00360ACF" w:rsidP="00B0072D">
            <w:pPr>
              <w:jc w:val="both"/>
              <w:rPr>
                <w:rFonts w:eastAsia="MS Mincho"/>
                <w:szCs w:val="22"/>
              </w:rPr>
            </w:pPr>
            <w:r w:rsidRPr="00382816">
              <w:rPr>
                <w:szCs w:val="22"/>
              </w:rPr>
              <w:t>Nelagodnost u abdomenu</w:t>
            </w:r>
          </w:p>
        </w:tc>
      </w:tr>
      <w:tr w:rsidR="00360ACF" w:rsidRPr="00382816" w14:paraId="3FF59E14" w14:textId="77777777" w:rsidTr="002800B2">
        <w:trPr>
          <w:cantSplit/>
          <w:trHeight w:val="548"/>
        </w:trPr>
        <w:tc>
          <w:tcPr>
            <w:tcW w:w="1157" w:type="pct"/>
          </w:tcPr>
          <w:p w14:paraId="394ED382" w14:textId="77777777" w:rsidR="00360ACF" w:rsidRPr="00382816" w:rsidRDefault="00360ACF" w:rsidP="00B0072D">
            <w:pPr>
              <w:keepNext/>
              <w:jc w:val="both"/>
              <w:rPr>
                <w:rFonts w:eastAsia="MS Mincho"/>
                <w:szCs w:val="22"/>
              </w:rPr>
            </w:pPr>
            <w:r w:rsidRPr="00382816">
              <w:rPr>
                <w:szCs w:val="22"/>
              </w:rPr>
              <w:t>Poremećaji kože i potkožnog tkiva</w:t>
            </w:r>
          </w:p>
        </w:tc>
        <w:tc>
          <w:tcPr>
            <w:tcW w:w="849" w:type="pct"/>
          </w:tcPr>
          <w:p w14:paraId="2014F4BA" w14:textId="77777777" w:rsidR="00360ACF" w:rsidRPr="00382816" w:rsidRDefault="00360ACF" w:rsidP="00B0072D">
            <w:pPr>
              <w:keepNext/>
              <w:jc w:val="both"/>
              <w:rPr>
                <w:rFonts w:eastAsia="MS Mincho"/>
                <w:bCs/>
                <w:szCs w:val="22"/>
              </w:rPr>
            </w:pPr>
            <w:r w:rsidRPr="00382816">
              <w:rPr>
                <w:szCs w:val="22"/>
              </w:rPr>
              <w:t>Često</w:t>
            </w:r>
          </w:p>
          <w:p w14:paraId="5EFD3685" w14:textId="77777777" w:rsidR="00360ACF" w:rsidRPr="00382816" w:rsidRDefault="00360ACF" w:rsidP="00B0072D">
            <w:pPr>
              <w:keepNext/>
              <w:jc w:val="both"/>
              <w:rPr>
                <w:rFonts w:eastAsia="MS Mincho"/>
                <w:bCs/>
                <w:szCs w:val="22"/>
              </w:rPr>
            </w:pPr>
            <w:r w:rsidRPr="00382816">
              <w:rPr>
                <w:szCs w:val="22"/>
              </w:rPr>
              <w:t>Često</w:t>
            </w:r>
          </w:p>
          <w:p w14:paraId="332179F0" w14:textId="77777777" w:rsidR="00360ACF" w:rsidRPr="00382816" w:rsidRDefault="00360ACF" w:rsidP="00B0072D">
            <w:pPr>
              <w:keepNext/>
              <w:jc w:val="both"/>
              <w:rPr>
                <w:rFonts w:eastAsia="MS Mincho"/>
                <w:bCs/>
                <w:szCs w:val="22"/>
              </w:rPr>
            </w:pPr>
            <w:r w:rsidRPr="00382816">
              <w:rPr>
                <w:szCs w:val="22"/>
              </w:rPr>
              <w:t>Često</w:t>
            </w:r>
          </w:p>
          <w:p w14:paraId="264FBC10" w14:textId="77777777" w:rsidR="00360ACF" w:rsidRPr="00382816" w:rsidRDefault="00360ACF" w:rsidP="00B0072D">
            <w:pPr>
              <w:keepNext/>
              <w:jc w:val="both"/>
              <w:rPr>
                <w:rFonts w:eastAsia="MS Mincho"/>
                <w:bCs/>
                <w:szCs w:val="22"/>
              </w:rPr>
            </w:pPr>
            <w:r w:rsidRPr="00382816">
              <w:rPr>
                <w:szCs w:val="22"/>
              </w:rPr>
              <w:t>Povremeno</w:t>
            </w:r>
          </w:p>
          <w:p w14:paraId="5BEE7D6A" w14:textId="77777777" w:rsidR="00360ACF" w:rsidRPr="00382816" w:rsidRDefault="00360ACF" w:rsidP="00B0072D">
            <w:pPr>
              <w:keepNext/>
              <w:jc w:val="both"/>
              <w:rPr>
                <w:rFonts w:eastAsia="MS Mincho"/>
                <w:bCs/>
                <w:szCs w:val="22"/>
              </w:rPr>
            </w:pPr>
            <w:r w:rsidRPr="00382816">
              <w:rPr>
                <w:szCs w:val="22"/>
              </w:rPr>
              <w:t>Veoma rijetko</w:t>
            </w:r>
          </w:p>
        </w:tc>
        <w:tc>
          <w:tcPr>
            <w:tcW w:w="2993" w:type="pct"/>
          </w:tcPr>
          <w:p w14:paraId="674E2FE9" w14:textId="77777777" w:rsidR="00360ACF" w:rsidRPr="00382816" w:rsidRDefault="00360ACF" w:rsidP="00B0072D">
            <w:pPr>
              <w:keepNext/>
              <w:jc w:val="both"/>
              <w:rPr>
                <w:rFonts w:eastAsia="MS Mincho"/>
                <w:szCs w:val="22"/>
              </w:rPr>
            </w:pPr>
            <w:r w:rsidRPr="00382816">
              <w:rPr>
                <w:szCs w:val="22"/>
              </w:rPr>
              <w:t>Osip</w:t>
            </w:r>
          </w:p>
          <w:p w14:paraId="3D90E6C5" w14:textId="77777777" w:rsidR="00360ACF" w:rsidRPr="00382816" w:rsidRDefault="00360ACF" w:rsidP="00B0072D">
            <w:pPr>
              <w:keepNext/>
              <w:jc w:val="both"/>
              <w:rPr>
                <w:rFonts w:eastAsia="MS Mincho"/>
                <w:szCs w:val="22"/>
              </w:rPr>
            </w:pPr>
            <w:r w:rsidRPr="00382816">
              <w:rPr>
                <w:szCs w:val="22"/>
              </w:rPr>
              <w:t>Ekcem</w:t>
            </w:r>
          </w:p>
          <w:p w14:paraId="7AF1E755" w14:textId="77777777" w:rsidR="00360ACF" w:rsidRPr="00382816" w:rsidRDefault="00360ACF" w:rsidP="00B0072D">
            <w:pPr>
              <w:keepNext/>
              <w:jc w:val="both"/>
              <w:rPr>
                <w:rFonts w:eastAsia="MS Mincho"/>
                <w:szCs w:val="22"/>
              </w:rPr>
            </w:pPr>
            <w:r w:rsidRPr="00382816">
              <w:rPr>
                <w:szCs w:val="22"/>
              </w:rPr>
              <w:t>Alopecija</w:t>
            </w:r>
          </w:p>
          <w:p w14:paraId="2D44AAEE" w14:textId="77777777" w:rsidR="00360ACF" w:rsidRPr="00382816" w:rsidRDefault="00360ACF" w:rsidP="00B0072D">
            <w:pPr>
              <w:keepNext/>
              <w:jc w:val="both"/>
              <w:rPr>
                <w:szCs w:val="22"/>
              </w:rPr>
            </w:pPr>
            <w:r w:rsidRPr="00382816">
              <w:rPr>
                <w:szCs w:val="22"/>
              </w:rPr>
              <w:t>Pojava lihenoidnih kožnih promjena uzrokovanih lijekom</w:t>
            </w:r>
            <w:r w:rsidRPr="00382816">
              <w:rPr>
                <w:szCs w:val="22"/>
                <w:vertAlign w:val="superscript"/>
              </w:rPr>
              <w:t>1</w:t>
            </w:r>
          </w:p>
          <w:p w14:paraId="3E5E3A76" w14:textId="77777777" w:rsidR="00360ACF" w:rsidRPr="00382816" w:rsidRDefault="00360ACF" w:rsidP="00B0072D">
            <w:pPr>
              <w:keepNext/>
              <w:jc w:val="both"/>
              <w:rPr>
                <w:rFonts w:eastAsia="MS Mincho"/>
                <w:szCs w:val="22"/>
              </w:rPr>
            </w:pPr>
            <w:proofErr w:type="spellStart"/>
            <w:r w:rsidRPr="00382816">
              <w:rPr>
                <w:szCs w:val="22"/>
              </w:rPr>
              <w:t>Hipersenzitivni</w:t>
            </w:r>
            <w:proofErr w:type="spellEnd"/>
            <w:r w:rsidRPr="00382816">
              <w:rPr>
                <w:szCs w:val="22"/>
              </w:rPr>
              <w:t xml:space="preserve"> </w:t>
            </w:r>
            <w:proofErr w:type="spellStart"/>
            <w:r w:rsidRPr="00382816">
              <w:rPr>
                <w:szCs w:val="22"/>
              </w:rPr>
              <w:t>vaskulitis</w:t>
            </w:r>
            <w:proofErr w:type="spellEnd"/>
          </w:p>
        </w:tc>
      </w:tr>
      <w:tr w:rsidR="00360ACF" w:rsidRPr="00382816" w14:paraId="318EF944" w14:textId="77777777" w:rsidTr="002800B2">
        <w:trPr>
          <w:cantSplit/>
        </w:trPr>
        <w:tc>
          <w:tcPr>
            <w:tcW w:w="1157" w:type="pct"/>
          </w:tcPr>
          <w:p w14:paraId="4CBE3D9B" w14:textId="77777777" w:rsidR="00360ACF" w:rsidRPr="00382816" w:rsidRDefault="00360ACF" w:rsidP="00B0072D">
            <w:pPr>
              <w:keepNext/>
              <w:jc w:val="both"/>
              <w:rPr>
                <w:rFonts w:eastAsia="MS Mincho"/>
                <w:szCs w:val="22"/>
              </w:rPr>
            </w:pPr>
            <w:r w:rsidRPr="00382816">
              <w:rPr>
                <w:szCs w:val="22"/>
              </w:rPr>
              <w:t>Poremećaji mišićno</w:t>
            </w:r>
            <w:r w:rsidRPr="00382816">
              <w:rPr>
                <w:szCs w:val="22"/>
              </w:rPr>
              <w:noBreakHyphen/>
              <w:t>skeletnog i vezivnog tkiva</w:t>
            </w:r>
          </w:p>
        </w:tc>
        <w:tc>
          <w:tcPr>
            <w:tcW w:w="849" w:type="pct"/>
          </w:tcPr>
          <w:p w14:paraId="394E4311" w14:textId="77777777" w:rsidR="00360ACF" w:rsidRPr="00382816" w:rsidRDefault="00360ACF" w:rsidP="00B0072D">
            <w:pPr>
              <w:keepNext/>
              <w:jc w:val="both"/>
              <w:rPr>
                <w:rFonts w:eastAsia="MS Mincho"/>
                <w:bCs/>
                <w:szCs w:val="22"/>
              </w:rPr>
            </w:pPr>
            <w:r w:rsidRPr="00382816">
              <w:rPr>
                <w:szCs w:val="22"/>
              </w:rPr>
              <w:t>Veoma često</w:t>
            </w:r>
          </w:p>
          <w:p w14:paraId="0A6FC243" w14:textId="77777777" w:rsidR="00360ACF" w:rsidRPr="00382816" w:rsidRDefault="00360ACF" w:rsidP="00B0072D">
            <w:pPr>
              <w:keepNext/>
              <w:jc w:val="both"/>
              <w:rPr>
                <w:rFonts w:eastAsia="MS Mincho"/>
                <w:bCs/>
                <w:szCs w:val="22"/>
              </w:rPr>
            </w:pPr>
            <w:r w:rsidRPr="00382816">
              <w:rPr>
                <w:szCs w:val="22"/>
              </w:rPr>
              <w:t>Veoma često</w:t>
            </w:r>
          </w:p>
          <w:p w14:paraId="7C7C4B12" w14:textId="77777777" w:rsidR="00360ACF" w:rsidRPr="00382816" w:rsidRDefault="00360ACF" w:rsidP="00B0072D">
            <w:pPr>
              <w:keepNext/>
              <w:jc w:val="both"/>
              <w:rPr>
                <w:rFonts w:eastAsia="MS Mincho"/>
                <w:bCs/>
                <w:szCs w:val="22"/>
              </w:rPr>
            </w:pPr>
            <w:r w:rsidRPr="00382816">
              <w:rPr>
                <w:szCs w:val="22"/>
              </w:rPr>
              <w:t>Rijetko</w:t>
            </w:r>
          </w:p>
          <w:p w14:paraId="4758DD5C" w14:textId="77777777" w:rsidR="00360ACF" w:rsidRPr="00382816" w:rsidRDefault="00360ACF" w:rsidP="00B0072D">
            <w:pPr>
              <w:keepNext/>
              <w:jc w:val="both"/>
              <w:rPr>
                <w:rFonts w:eastAsia="MS Mincho"/>
                <w:bCs/>
                <w:szCs w:val="22"/>
              </w:rPr>
            </w:pPr>
            <w:r w:rsidRPr="00382816">
              <w:rPr>
                <w:szCs w:val="22"/>
              </w:rPr>
              <w:t>Rijetko</w:t>
            </w:r>
          </w:p>
          <w:p w14:paraId="3730FAF3" w14:textId="77777777" w:rsidR="00360ACF" w:rsidRPr="00382816" w:rsidRDefault="00360ACF" w:rsidP="00B0072D">
            <w:pPr>
              <w:keepNext/>
              <w:jc w:val="both"/>
              <w:rPr>
                <w:rFonts w:eastAsia="MS Mincho"/>
                <w:bCs/>
                <w:szCs w:val="22"/>
              </w:rPr>
            </w:pPr>
            <w:r w:rsidRPr="00382816">
              <w:rPr>
                <w:szCs w:val="22"/>
              </w:rPr>
              <w:t>Nepoznato</w:t>
            </w:r>
          </w:p>
        </w:tc>
        <w:tc>
          <w:tcPr>
            <w:tcW w:w="2993" w:type="pct"/>
          </w:tcPr>
          <w:p w14:paraId="6D17FEA9" w14:textId="77777777" w:rsidR="00360ACF" w:rsidRPr="00382816" w:rsidRDefault="00360ACF" w:rsidP="00B0072D">
            <w:pPr>
              <w:pStyle w:val="Default"/>
              <w:keepNext/>
              <w:jc w:val="both"/>
              <w:rPr>
                <w:color w:val="auto"/>
                <w:sz w:val="22"/>
                <w:szCs w:val="22"/>
              </w:rPr>
            </w:pPr>
            <w:r w:rsidRPr="00382816">
              <w:rPr>
                <w:color w:val="auto"/>
                <w:sz w:val="22"/>
                <w:szCs w:val="22"/>
              </w:rPr>
              <w:t>Bol u ekstremitetima</w:t>
            </w:r>
          </w:p>
          <w:p w14:paraId="4C91970D" w14:textId="77777777" w:rsidR="00360ACF" w:rsidRPr="00382816" w:rsidRDefault="00360ACF" w:rsidP="00B0072D">
            <w:pPr>
              <w:pStyle w:val="Default"/>
              <w:keepNext/>
              <w:jc w:val="both"/>
              <w:rPr>
                <w:color w:val="auto"/>
                <w:sz w:val="22"/>
                <w:szCs w:val="22"/>
              </w:rPr>
            </w:pPr>
            <w:r w:rsidRPr="00382816">
              <w:rPr>
                <w:color w:val="auto"/>
                <w:sz w:val="22"/>
                <w:szCs w:val="22"/>
              </w:rPr>
              <w:t>Mišićno-koštani bol</w:t>
            </w:r>
            <w:r w:rsidRPr="00382816">
              <w:rPr>
                <w:color w:val="auto"/>
                <w:sz w:val="22"/>
                <w:szCs w:val="22"/>
                <w:vertAlign w:val="superscript"/>
              </w:rPr>
              <w:t>1</w:t>
            </w:r>
          </w:p>
          <w:p w14:paraId="085C98BB" w14:textId="77777777" w:rsidR="00360ACF" w:rsidRPr="00382816" w:rsidRDefault="00360ACF" w:rsidP="00B0072D">
            <w:pPr>
              <w:pStyle w:val="Default"/>
              <w:keepNext/>
              <w:jc w:val="both"/>
              <w:rPr>
                <w:color w:val="auto"/>
                <w:sz w:val="22"/>
                <w:szCs w:val="22"/>
              </w:rPr>
            </w:pPr>
            <w:r w:rsidRPr="00382816">
              <w:rPr>
                <w:color w:val="auto"/>
                <w:sz w:val="22"/>
                <w:szCs w:val="22"/>
              </w:rPr>
              <w:t>Osteonekroza vilice</w:t>
            </w:r>
            <w:r w:rsidRPr="00382816">
              <w:rPr>
                <w:color w:val="auto"/>
                <w:sz w:val="22"/>
                <w:szCs w:val="22"/>
                <w:vertAlign w:val="superscript"/>
              </w:rPr>
              <w:t>1</w:t>
            </w:r>
          </w:p>
          <w:p w14:paraId="635BEA97" w14:textId="77777777" w:rsidR="00360ACF" w:rsidRPr="00382816" w:rsidRDefault="00360ACF" w:rsidP="00B0072D">
            <w:pPr>
              <w:pStyle w:val="lbltxt"/>
              <w:keepNext/>
              <w:jc w:val="both"/>
              <w:rPr>
                <w:noProof w:val="0"/>
                <w:szCs w:val="22"/>
                <w:vertAlign w:val="superscript"/>
              </w:rPr>
            </w:pPr>
            <w:r w:rsidRPr="00382816">
              <w:rPr>
                <w:szCs w:val="22"/>
              </w:rPr>
              <w:t>Atipične frakture femura</w:t>
            </w:r>
            <w:r w:rsidRPr="00382816">
              <w:rPr>
                <w:szCs w:val="22"/>
                <w:vertAlign w:val="superscript"/>
              </w:rPr>
              <w:t>1</w:t>
            </w:r>
          </w:p>
          <w:p w14:paraId="58438695" w14:textId="77777777" w:rsidR="00360ACF" w:rsidRPr="00382816" w:rsidRDefault="00360ACF" w:rsidP="00B0072D">
            <w:pPr>
              <w:pStyle w:val="lbltxt"/>
              <w:keepNext/>
              <w:jc w:val="both"/>
              <w:rPr>
                <w:noProof w:val="0"/>
                <w:szCs w:val="22"/>
                <w:vertAlign w:val="superscript"/>
              </w:rPr>
            </w:pPr>
            <w:r w:rsidRPr="00382816">
              <w:rPr>
                <w:szCs w:val="22"/>
              </w:rPr>
              <w:t>Osteonekroza spoljnog slušnog kanala</w:t>
            </w:r>
            <w:r w:rsidRPr="00382816">
              <w:rPr>
                <w:szCs w:val="22"/>
                <w:vertAlign w:val="superscript"/>
              </w:rPr>
              <w:t>2</w:t>
            </w:r>
          </w:p>
        </w:tc>
      </w:tr>
    </w:tbl>
    <w:p w14:paraId="44A8EF5B" w14:textId="4C8F42BF" w:rsidR="00662535" w:rsidRPr="00382816" w:rsidRDefault="00992A6A" w:rsidP="00B0072D">
      <w:pPr>
        <w:pStyle w:val="Styletablenotes"/>
        <w:jc w:val="both"/>
        <w:rPr>
          <w:sz w:val="22"/>
          <w:szCs w:val="22"/>
        </w:rPr>
      </w:pPr>
      <w:r w:rsidRPr="00382816">
        <w:rPr>
          <w:sz w:val="22"/>
          <w:szCs w:val="22"/>
          <w:vertAlign w:val="superscript"/>
        </w:rPr>
        <w:t>1</w:t>
      </w:r>
      <w:r w:rsidRPr="00382816">
        <w:rPr>
          <w:sz w:val="22"/>
          <w:szCs w:val="22"/>
        </w:rPr>
        <w:t xml:space="preserve"> Vidjeti </w:t>
      </w:r>
      <w:r w:rsidR="002C6CBB" w:rsidRPr="00382816">
        <w:rPr>
          <w:sz w:val="22"/>
          <w:szCs w:val="22"/>
        </w:rPr>
        <w:t xml:space="preserve">dio </w:t>
      </w:r>
      <w:r w:rsidRPr="00382816">
        <w:rPr>
          <w:sz w:val="22"/>
          <w:szCs w:val="22"/>
        </w:rPr>
        <w:t>Opis odabranih neželjenih reakcija.</w:t>
      </w:r>
    </w:p>
    <w:p w14:paraId="1FF34616" w14:textId="2F00885B" w:rsidR="00662535" w:rsidRPr="00382816" w:rsidRDefault="007D7A3E" w:rsidP="00B0072D">
      <w:pPr>
        <w:jc w:val="both"/>
        <w:rPr>
          <w:szCs w:val="22"/>
        </w:rPr>
      </w:pPr>
      <w:r w:rsidRPr="00382816">
        <w:rPr>
          <w:szCs w:val="22"/>
          <w:vertAlign w:val="superscript"/>
        </w:rPr>
        <w:t>2</w:t>
      </w:r>
      <w:r w:rsidRPr="00382816">
        <w:rPr>
          <w:szCs w:val="22"/>
        </w:rPr>
        <w:t xml:space="preserve"> Vidjeti </w:t>
      </w:r>
      <w:r w:rsidR="002C6CBB" w:rsidRPr="00382816">
        <w:rPr>
          <w:szCs w:val="22"/>
        </w:rPr>
        <w:t>dio </w:t>
      </w:r>
      <w:r w:rsidRPr="00382816">
        <w:rPr>
          <w:szCs w:val="22"/>
        </w:rPr>
        <w:t>4.4.</w:t>
      </w:r>
    </w:p>
    <w:p w14:paraId="52D46D2B" w14:textId="77777777" w:rsidR="00662535" w:rsidRPr="00382816" w:rsidRDefault="00662535" w:rsidP="00B0072D">
      <w:pPr>
        <w:jc w:val="both"/>
        <w:rPr>
          <w:szCs w:val="22"/>
        </w:rPr>
      </w:pPr>
    </w:p>
    <w:p w14:paraId="3A6CE6C9" w14:textId="1A34D033" w:rsidR="00662535" w:rsidRPr="00382816" w:rsidRDefault="008011D6" w:rsidP="00B0072D">
      <w:pPr>
        <w:pStyle w:val="Style11"/>
        <w:jc w:val="both"/>
      </w:pPr>
      <w:r w:rsidRPr="00382816">
        <w:t>U sveobuhvatnoj analizi podataka iz svih placebo</w:t>
      </w:r>
      <w:r w:rsidRPr="00382816">
        <w:noBreakHyphen/>
        <w:t>kontrolisanih ispitivanja faze II i faze III, oboljenje slično gripu prijavljeno je sa grubom stopom incidence od 1,2% za denosumab i 0,7% za placebo. Iako je ovaj disbalans otk</w:t>
      </w:r>
      <w:r w:rsidR="0070189D" w:rsidRPr="00382816">
        <w:t>r</w:t>
      </w:r>
      <w:r w:rsidRPr="00382816">
        <w:t xml:space="preserve">iven u ukupnoj analizi, nije identifikovan u </w:t>
      </w:r>
      <w:proofErr w:type="spellStart"/>
      <w:r w:rsidRPr="00382816">
        <w:t>stratifikovanim</w:t>
      </w:r>
      <w:proofErr w:type="spellEnd"/>
      <w:r w:rsidRPr="00382816">
        <w:t xml:space="preserve"> analizama.</w:t>
      </w:r>
    </w:p>
    <w:p w14:paraId="7EDE7087" w14:textId="77777777" w:rsidR="00662535" w:rsidRPr="00382816" w:rsidRDefault="00662535" w:rsidP="00B0072D">
      <w:pPr>
        <w:pStyle w:val="CommentText"/>
        <w:jc w:val="both"/>
        <w:rPr>
          <w:sz w:val="22"/>
          <w:szCs w:val="22"/>
        </w:rPr>
      </w:pPr>
    </w:p>
    <w:p w14:paraId="368FDE22" w14:textId="77777777" w:rsidR="00662535" w:rsidRPr="00382816" w:rsidRDefault="008011D6" w:rsidP="00B0072D">
      <w:pPr>
        <w:keepNext/>
        <w:jc w:val="both"/>
        <w:rPr>
          <w:szCs w:val="22"/>
          <w:u w:val="single"/>
        </w:rPr>
      </w:pPr>
      <w:r w:rsidRPr="00382816">
        <w:rPr>
          <w:szCs w:val="22"/>
          <w:u w:val="single"/>
        </w:rPr>
        <w:t>Opis odabranih neželjenih reakcija</w:t>
      </w:r>
    </w:p>
    <w:p w14:paraId="48499831" w14:textId="77777777" w:rsidR="00662535" w:rsidRPr="00382816" w:rsidRDefault="00662535" w:rsidP="00B0072D">
      <w:pPr>
        <w:keepNext/>
        <w:autoSpaceDE w:val="0"/>
        <w:autoSpaceDN w:val="0"/>
        <w:adjustRightInd w:val="0"/>
        <w:jc w:val="both"/>
        <w:rPr>
          <w:szCs w:val="22"/>
        </w:rPr>
      </w:pPr>
    </w:p>
    <w:p w14:paraId="4A606179" w14:textId="77777777" w:rsidR="00662535" w:rsidRPr="00382816" w:rsidRDefault="008011D6" w:rsidP="00B0072D">
      <w:pPr>
        <w:keepNext/>
        <w:autoSpaceDE w:val="0"/>
        <w:autoSpaceDN w:val="0"/>
        <w:adjustRightInd w:val="0"/>
        <w:jc w:val="both"/>
        <w:rPr>
          <w:i/>
          <w:szCs w:val="22"/>
        </w:rPr>
      </w:pPr>
      <w:r w:rsidRPr="00382816">
        <w:rPr>
          <w:i/>
          <w:szCs w:val="22"/>
        </w:rPr>
        <w:t>Hipokalcijemija</w:t>
      </w:r>
    </w:p>
    <w:p w14:paraId="6E883858" w14:textId="3C6BD3CA" w:rsidR="00662535" w:rsidRPr="00382816" w:rsidRDefault="008011D6" w:rsidP="00B0072D">
      <w:pPr>
        <w:autoSpaceDE w:val="0"/>
        <w:autoSpaceDN w:val="0"/>
        <w:adjustRightInd w:val="0"/>
        <w:jc w:val="both"/>
        <w:rPr>
          <w:szCs w:val="22"/>
        </w:rPr>
      </w:pPr>
      <w:r w:rsidRPr="00382816">
        <w:rPr>
          <w:szCs w:val="22"/>
        </w:rPr>
        <w:t>U dva placebo</w:t>
      </w:r>
      <w:r w:rsidRPr="00382816">
        <w:rPr>
          <w:szCs w:val="22"/>
        </w:rPr>
        <w:noBreakHyphen/>
        <w:t>kontrolisana klinička ispitivanja faze III, kod žena u postmenopauzi sa osteoporozom, kod približno 0,05% (2 od 4050) pacijentkinja, došlo je do pada nivoa kalcijuma u serumu (manje od 1,88 mmol/l) nakon primjene lijeka Prolia. Pad nivoa kalcijuma u serumu (manje od 1,88 mmol/l) nije opisan ni u jednom od dva placebo kontrolisana klinička ispitivanja faze III kod pacijenata kod kojih je primijenjena hormonska ablacija, kao ni tokom placebo kontr</w:t>
      </w:r>
      <w:r w:rsidR="0070189D" w:rsidRPr="00382816">
        <w:rPr>
          <w:szCs w:val="22"/>
        </w:rPr>
        <w:t>o</w:t>
      </w:r>
      <w:r w:rsidRPr="00382816">
        <w:rPr>
          <w:szCs w:val="22"/>
        </w:rPr>
        <w:t>lisanog kliničkog ispitivanja faze III kod muškaraca sa osteoporozom.</w:t>
      </w:r>
    </w:p>
    <w:p w14:paraId="7AE67C8E" w14:textId="77777777" w:rsidR="00662535" w:rsidRPr="00382816" w:rsidRDefault="00662535" w:rsidP="00B0072D">
      <w:pPr>
        <w:autoSpaceDE w:val="0"/>
        <w:autoSpaceDN w:val="0"/>
        <w:adjustRightInd w:val="0"/>
        <w:jc w:val="both"/>
        <w:rPr>
          <w:iCs/>
          <w:szCs w:val="22"/>
        </w:rPr>
      </w:pPr>
    </w:p>
    <w:p w14:paraId="774545B3" w14:textId="427BE546" w:rsidR="00662535" w:rsidRPr="00382816" w:rsidRDefault="007B6756" w:rsidP="00B0072D">
      <w:pPr>
        <w:tabs>
          <w:tab w:val="clear" w:pos="567"/>
        </w:tabs>
        <w:jc w:val="both"/>
        <w:rPr>
          <w:szCs w:val="22"/>
        </w:rPr>
      </w:pPr>
      <w:r w:rsidRPr="00382816">
        <w:rPr>
          <w:szCs w:val="22"/>
        </w:rPr>
        <w:t xml:space="preserve">Nakon stavljanja lijeka u promet zabilježeni su rijetki slučajevi teške </w:t>
      </w:r>
      <w:proofErr w:type="spellStart"/>
      <w:r w:rsidRPr="00382816">
        <w:rPr>
          <w:szCs w:val="22"/>
        </w:rPr>
        <w:t>simptomatske</w:t>
      </w:r>
      <w:proofErr w:type="spellEnd"/>
      <w:r w:rsidRPr="00382816">
        <w:rPr>
          <w:szCs w:val="22"/>
        </w:rPr>
        <w:t xml:space="preserve"> hipokalcijemije koja je dovodila do hospitalizacije, događaja opasnih po život i smrtnih slučajeva, pretežno kod pacijenata s povećanim rizikom od hipokalcijemije koji su primali denosumab, gdje se najveći broj slučajeva pojavio u prvim nedjeljama od početka liječenja. Primjeri kliničke manifestacije teške </w:t>
      </w:r>
      <w:proofErr w:type="spellStart"/>
      <w:r w:rsidRPr="00382816">
        <w:rPr>
          <w:szCs w:val="22"/>
        </w:rPr>
        <w:t>simptomatske</w:t>
      </w:r>
      <w:proofErr w:type="spellEnd"/>
      <w:r w:rsidRPr="00382816">
        <w:rPr>
          <w:szCs w:val="22"/>
        </w:rPr>
        <w:t xml:space="preserve"> hipokalcijemije uključuju produženje QT intervala, tetaniju, napade i promijenjen mentalni status (vidjeti </w:t>
      </w:r>
      <w:r w:rsidR="0070189D" w:rsidRPr="00382816">
        <w:rPr>
          <w:szCs w:val="22"/>
        </w:rPr>
        <w:t>dio </w:t>
      </w:r>
      <w:r w:rsidRPr="00382816">
        <w:rPr>
          <w:szCs w:val="22"/>
        </w:rPr>
        <w:t xml:space="preserve">4.4). Simptomi hipokalcijemije u kliničkim studijama s denosumabom uključivali su </w:t>
      </w:r>
      <w:proofErr w:type="spellStart"/>
      <w:r w:rsidRPr="00382816">
        <w:rPr>
          <w:szCs w:val="22"/>
        </w:rPr>
        <w:t>paresteziju</w:t>
      </w:r>
      <w:proofErr w:type="spellEnd"/>
      <w:r w:rsidRPr="00382816">
        <w:rPr>
          <w:szCs w:val="22"/>
        </w:rPr>
        <w:t xml:space="preserve"> ili ukočenost mišića, trzanje, spazme i grčeve mišića.</w:t>
      </w:r>
    </w:p>
    <w:p w14:paraId="378FD672" w14:textId="77777777" w:rsidR="00662535" w:rsidRPr="00382816" w:rsidRDefault="00662535" w:rsidP="00B0072D">
      <w:pPr>
        <w:autoSpaceDE w:val="0"/>
        <w:autoSpaceDN w:val="0"/>
        <w:adjustRightInd w:val="0"/>
        <w:jc w:val="both"/>
        <w:rPr>
          <w:i/>
          <w:iCs/>
          <w:szCs w:val="22"/>
        </w:rPr>
      </w:pPr>
    </w:p>
    <w:p w14:paraId="242294FA" w14:textId="77777777" w:rsidR="00662535" w:rsidRPr="00382816" w:rsidRDefault="008011D6" w:rsidP="00B0072D">
      <w:pPr>
        <w:keepNext/>
        <w:autoSpaceDE w:val="0"/>
        <w:autoSpaceDN w:val="0"/>
        <w:adjustRightInd w:val="0"/>
        <w:jc w:val="both"/>
        <w:rPr>
          <w:i/>
          <w:iCs/>
          <w:szCs w:val="22"/>
        </w:rPr>
      </w:pPr>
      <w:r w:rsidRPr="00382816">
        <w:rPr>
          <w:i/>
          <w:szCs w:val="22"/>
        </w:rPr>
        <w:t>Infekcije kože</w:t>
      </w:r>
    </w:p>
    <w:p w14:paraId="5DBA122F" w14:textId="35784AC5" w:rsidR="00662535" w:rsidRPr="00382816" w:rsidRDefault="008011D6" w:rsidP="00B0072D">
      <w:pPr>
        <w:jc w:val="both"/>
        <w:rPr>
          <w:szCs w:val="22"/>
        </w:rPr>
      </w:pPr>
      <w:r w:rsidRPr="00382816">
        <w:rPr>
          <w:szCs w:val="22"/>
        </w:rPr>
        <w:t xml:space="preserve">U placebo kontrolisanim kliničkim ispitivanjima faze III, ukupna </w:t>
      </w:r>
      <w:proofErr w:type="spellStart"/>
      <w:r w:rsidRPr="00382816">
        <w:rPr>
          <w:szCs w:val="22"/>
        </w:rPr>
        <w:t>incidenca</w:t>
      </w:r>
      <w:proofErr w:type="spellEnd"/>
      <w:r w:rsidRPr="00382816">
        <w:rPr>
          <w:szCs w:val="22"/>
        </w:rPr>
        <w:t xml:space="preserve"> infekcija kože bila je slična u placebo i grupi na denosumabu, kod žena u postmenopauzi sa osteoporozom (placebo [1,2%, 50 od 4041] u odnosu na lijek Prolia [1,5%, 59 od 4050]), kod muškaraca sa osteoporozom (placebo [0,8%, 1 od 120] u odnosu na lijek Prolia [0%, 0 od 120]), kod pacijenata sa karcinomom dojke ili prostate koji primaju hormonsku ablaciju (placebo [1,7%, 14 od 845] u odnosu na lijek Prolia [1,4%, 12 od 860]). Infekcije kože koje su zahtijevale </w:t>
      </w:r>
      <w:proofErr w:type="spellStart"/>
      <w:r w:rsidRPr="00382816">
        <w:rPr>
          <w:szCs w:val="22"/>
        </w:rPr>
        <w:t>hospitalizaciju</w:t>
      </w:r>
      <w:proofErr w:type="spellEnd"/>
      <w:r w:rsidRPr="00382816">
        <w:rPr>
          <w:szCs w:val="22"/>
        </w:rPr>
        <w:t xml:space="preserve"> opisane su kod 0,1% (3 od 4041) žena u postmenopauzi sa osteoporozom, koje su primale placebo u odnosu na 0,4% (16 od 4050) onih koje su primale lijek Prolia. Navedeni slučajevi su se odnosili uglavnom na celulitis. Infekcije kože koje su prijavljene kao teške neželjene reakcije, imale su sličnu zastupljenost u placebo grupi (0,6%, 5 od 845) i grupi ispitanika na lijeku Prolia (0,6%, 5 od 860) u isp</w:t>
      </w:r>
      <w:r w:rsidR="0070189D" w:rsidRPr="00382816">
        <w:rPr>
          <w:szCs w:val="22"/>
        </w:rPr>
        <w:t>i</w:t>
      </w:r>
      <w:r w:rsidRPr="00382816">
        <w:rPr>
          <w:szCs w:val="22"/>
        </w:rPr>
        <w:t xml:space="preserve">tivanjima </w:t>
      </w:r>
      <w:proofErr w:type="spellStart"/>
      <w:r w:rsidRPr="00382816">
        <w:rPr>
          <w:szCs w:val="22"/>
        </w:rPr>
        <w:t>karcinoma</w:t>
      </w:r>
      <w:proofErr w:type="spellEnd"/>
      <w:r w:rsidRPr="00382816">
        <w:rPr>
          <w:szCs w:val="22"/>
        </w:rPr>
        <w:t xml:space="preserve"> dojke i prostate.</w:t>
      </w:r>
    </w:p>
    <w:p w14:paraId="46588D56" w14:textId="77777777" w:rsidR="00662535" w:rsidRPr="00382816" w:rsidRDefault="00662535" w:rsidP="00B0072D">
      <w:pPr>
        <w:jc w:val="both"/>
        <w:rPr>
          <w:bCs/>
          <w:szCs w:val="22"/>
        </w:rPr>
      </w:pPr>
    </w:p>
    <w:p w14:paraId="4E32E42C" w14:textId="77777777" w:rsidR="00662535" w:rsidRPr="00382816" w:rsidRDefault="006606E8" w:rsidP="00B0072D">
      <w:pPr>
        <w:pStyle w:val="CommentText"/>
        <w:keepNext/>
        <w:jc w:val="both"/>
        <w:rPr>
          <w:i/>
          <w:sz w:val="22"/>
          <w:szCs w:val="22"/>
        </w:rPr>
      </w:pPr>
      <w:r w:rsidRPr="00382816">
        <w:rPr>
          <w:i/>
          <w:sz w:val="22"/>
          <w:szCs w:val="22"/>
        </w:rPr>
        <w:lastRenderedPageBreak/>
        <w:t>Osteonekroza vilice</w:t>
      </w:r>
    </w:p>
    <w:p w14:paraId="11685436" w14:textId="26177C95" w:rsidR="00662535" w:rsidRPr="00382816" w:rsidRDefault="00BD493B" w:rsidP="00B0072D">
      <w:pPr>
        <w:jc w:val="both"/>
        <w:rPr>
          <w:szCs w:val="22"/>
        </w:rPr>
      </w:pPr>
      <w:r w:rsidRPr="00382816">
        <w:rPr>
          <w:szCs w:val="22"/>
        </w:rPr>
        <w:t xml:space="preserve">U kliničkim ispitivanjima pacijenata sa osteoporozom i pacijenata sa karcinomom dojke ili prostate koji primaju hormonsku ablaciju, osteonekroza vilice je rijetko zabilježena (kod 16 pacijenata od ukupno 23148 pacijenta koji je učestvovao u ispitivanju) (vidjeti </w:t>
      </w:r>
      <w:r w:rsidR="002C6CBB" w:rsidRPr="00382816">
        <w:rPr>
          <w:szCs w:val="22"/>
        </w:rPr>
        <w:t>dio </w:t>
      </w:r>
      <w:r w:rsidRPr="00382816">
        <w:rPr>
          <w:szCs w:val="22"/>
        </w:rPr>
        <w:t>4.4). Trinaest od navedenih slučajeva ONV zabilježeno je kod žena u postmenopauzi sa osteoporozom u toku produžetka kliničkog ispitivanja faze III nakon primjene denosumaba u periodu do 10 godina. Incidenca ONV je bila 0,04% u 3 godini, 0,06% u 5 godini i 0,44% u 10 godini terapije denosumabom. Rizik od ONV se povećava sa dužinom izloženosti denosumabu.</w:t>
      </w:r>
    </w:p>
    <w:p w14:paraId="6A73687E" w14:textId="77777777" w:rsidR="00662535" w:rsidRPr="00382816" w:rsidRDefault="00662535" w:rsidP="00B0072D">
      <w:pPr>
        <w:pStyle w:val="CommentText"/>
        <w:jc w:val="both"/>
        <w:rPr>
          <w:sz w:val="22"/>
          <w:szCs w:val="22"/>
        </w:rPr>
      </w:pPr>
    </w:p>
    <w:p w14:paraId="687C918C" w14:textId="77777777" w:rsidR="00662535" w:rsidRPr="00382816" w:rsidRDefault="000675CA" w:rsidP="00B0072D">
      <w:pPr>
        <w:pStyle w:val="CommentText"/>
        <w:keepNext/>
        <w:jc w:val="both"/>
        <w:rPr>
          <w:i/>
          <w:sz w:val="22"/>
          <w:szCs w:val="22"/>
        </w:rPr>
      </w:pPr>
      <w:r w:rsidRPr="00382816">
        <w:rPr>
          <w:i/>
          <w:sz w:val="22"/>
          <w:szCs w:val="22"/>
        </w:rPr>
        <w:t>Atipične frakture femura</w:t>
      </w:r>
    </w:p>
    <w:p w14:paraId="0DE897A8" w14:textId="6E1324E9" w:rsidR="00662535" w:rsidRPr="00382816" w:rsidRDefault="000675CA" w:rsidP="00B0072D">
      <w:pPr>
        <w:pStyle w:val="CommentText"/>
        <w:jc w:val="both"/>
        <w:rPr>
          <w:sz w:val="22"/>
          <w:szCs w:val="22"/>
        </w:rPr>
      </w:pPr>
      <w:r w:rsidRPr="00382816">
        <w:rPr>
          <w:sz w:val="22"/>
          <w:szCs w:val="22"/>
        </w:rPr>
        <w:t xml:space="preserve">U programu kliničkih ispitivanja pacijenata sa osteoporozom, atipične frakture femura rijetko su zabilježene kod pacijenata na terapiji denosumabom (vidjeti </w:t>
      </w:r>
      <w:r w:rsidR="002C6CBB" w:rsidRPr="00382816">
        <w:rPr>
          <w:sz w:val="22"/>
          <w:szCs w:val="22"/>
        </w:rPr>
        <w:t>dio </w:t>
      </w:r>
      <w:r w:rsidRPr="00382816">
        <w:rPr>
          <w:sz w:val="22"/>
          <w:szCs w:val="22"/>
        </w:rPr>
        <w:t>4.4).</w:t>
      </w:r>
    </w:p>
    <w:p w14:paraId="2F0EBBCF" w14:textId="77777777" w:rsidR="00662535" w:rsidRPr="00382816" w:rsidRDefault="00662535" w:rsidP="00B0072D">
      <w:pPr>
        <w:jc w:val="both"/>
        <w:rPr>
          <w:bCs/>
          <w:szCs w:val="22"/>
        </w:rPr>
      </w:pPr>
    </w:p>
    <w:p w14:paraId="6347BB61" w14:textId="77777777" w:rsidR="00662535" w:rsidRPr="00382816" w:rsidRDefault="008011D6" w:rsidP="00B0072D">
      <w:pPr>
        <w:keepNext/>
        <w:jc w:val="both"/>
        <w:rPr>
          <w:bCs/>
          <w:i/>
          <w:szCs w:val="22"/>
        </w:rPr>
      </w:pPr>
      <w:r w:rsidRPr="00382816">
        <w:rPr>
          <w:i/>
          <w:szCs w:val="22"/>
        </w:rPr>
        <w:t>Divertikulitis</w:t>
      </w:r>
    </w:p>
    <w:p w14:paraId="51EC6782" w14:textId="2C0C4B81" w:rsidR="00662535" w:rsidRPr="00382816" w:rsidRDefault="008011D6" w:rsidP="00B0072D">
      <w:pPr>
        <w:jc w:val="both"/>
        <w:rPr>
          <w:iCs/>
          <w:szCs w:val="22"/>
        </w:rPr>
      </w:pPr>
      <w:r w:rsidRPr="00382816">
        <w:rPr>
          <w:szCs w:val="22"/>
        </w:rPr>
        <w:t>U jednom placebo kontrolisanom kliničkom ispitivanju faze III, kod pacijenata sa karcinomom prostate koji su primali deprivacijsku androgensku terapiju (ADT), zapažen je disbalans u pojavi neželjenog dejstva </w:t>
      </w:r>
      <w:r w:rsidRPr="00382816">
        <w:rPr>
          <w:szCs w:val="22"/>
        </w:rPr>
        <w:noBreakHyphen/>
        <w:t> divertikulitisa (1,2% denosumab, 0% placebo). Incidenca divertikulitisa je bila uporediva u terapijskim grupama žena u postmenopauzi ili muškaraca sa osteoporozom i kod žena sa nemetastatskim karcinomom dojke na terapiji inhibitorima aromataze.</w:t>
      </w:r>
    </w:p>
    <w:p w14:paraId="754BB5F3" w14:textId="77777777" w:rsidR="00662535" w:rsidRPr="00382816" w:rsidRDefault="00662535" w:rsidP="00B0072D">
      <w:pPr>
        <w:jc w:val="both"/>
        <w:rPr>
          <w:b/>
          <w:i/>
          <w:iCs/>
          <w:szCs w:val="22"/>
        </w:rPr>
      </w:pPr>
    </w:p>
    <w:p w14:paraId="74900F4E" w14:textId="77777777" w:rsidR="00662535" w:rsidRPr="00382816" w:rsidRDefault="00992A6A" w:rsidP="00B0072D">
      <w:pPr>
        <w:keepNext/>
        <w:jc w:val="both"/>
        <w:rPr>
          <w:i/>
          <w:iCs/>
          <w:szCs w:val="22"/>
        </w:rPr>
      </w:pPr>
      <w:r w:rsidRPr="00382816">
        <w:rPr>
          <w:i/>
          <w:szCs w:val="22"/>
        </w:rPr>
        <w:t>Reakcije preosjetljivosti povezane s lijekom</w:t>
      </w:r>
    </w:p>
    <w:p w14:paraId="55A8100E" w14:textId="77777777" w:rsidR="00662535" w:rsidRPr="00382816" w:rsidRDefault="008A3961" w:rsidP="00B0072D">
      <w:pPr>
        <w:jc w:val="both"/>
        <w:rPr>
          <w:iCs/>
          <w:szCs w:val="22"/>
        </w:rPr>
      </w:pPr>
      <w:r w:rsidRPr="00382816">
        <w:rPr>
          <w:szCs w:val="22"/>
        </w:rPr>
        <w:t>Nakon stavljanja lijeka u promet kod pacijenata koji primaju lijek Prolia zabilježeni su rijetki slučajevi preosjetljivosti povezane s lijekom, uključujući osip, urtikariju, oticanje lica, eritem i anafilaktičke reakcije.</w:t>
      </w:r>
    </w:p>
    <w:p w14:paraId="2B7CD882" w14:textId="77777777" w:rsidR="00662535" w:rsidRPr="00382816" w:rsidRDefault="00662535" w:rsidP="00B0072D">
      <w:pPr>
        <w:jc w:val="both"/>
        <w:rPr>
          <w:b/>
          <w:i/>
          <w:iCs/>
          <w:szCs w:val="22"/>
        </w:rPr>
      </w:pPr>
    </w:p>
    <w:p w14:paraId="6F8AAA85" w14:textId="58431763" w:rsidR="00662535" w:rsidRPr="00382816" w:rsidRDefault="007B6756" w:rsidP="00B0072D">
      <w:pPr>
        <w:keepNext/>
        <w:jc w:val="both"/>
        <w:rPr>
          <w:i/>
          <w:iCs/>
          <w:szCs w:val="22"/>
        </w:rPr>
      </w:pPr>
      <w:r w:rsidRPr="00382816">
        <w:rPr>
          <w:i/>
          <w:szCs w:val="22"/>
        </w:rPr>
        <w:t>Mišićno</w:t>
      </w:r>
      <w:r w:rsidR="0070189D" w:rsidRPr="00382816">
        <w:rPr>
          <w:i/>
          <w:szCs w:val="22"/>
        </w:rPr>
        <w:t>-</w:t>
      </w:r>
      <w:r w:rsidRPr="00382816">
        <w:rPr>
          <w:i/>
          <w:szCs w:val="22"/>
        </w:rPr>
        <w:t>koštani bol</w:t>
      </w:r>
    </w:p>
    <w:p w14:paraId="35BCB278" w14:textId="0F6A9F7C" w:rsidR="00662535" w:rsidRPr="00382816" w:rsidRDefault="007B6756" w:rsidP="00B0072D">
      <w:pPr>
        <w:jc w:val="both"/>
        <w:rPr>
          <w:iCs/>
          <w:szCs w:val="22"/>
        </w:rPr>
      </w:pPr>
      <w:r w:rsidRPr="00382816">
        <w:rPr>
          <w:szCs w:val="22"/>
        </w:rPr>
        <w:t>Mišićno</w:t>
      </w:r>
      <w:r w:rsidR="0070189D" w:rsidRPr="00382816">
        <w:rPr>
          <w:szCs w:val="22"/>
        </w:rPr>
        <w:t>-</w:t>
      </w:r>
      <w:r w:rsidRPr="00382816">
        <w:rPr>
          <w:szCs w:val="22"/>
        </w:rPr>
        <w:t>koštani bol, uključujući i teške slučajeve, zabilježen je kod pacijenata koji su primali lijek Prolia nakon stavljanja lijeka u promet. U kliničkim ispitivanjima mišićno</w:t>
      </w:r>
      <w:r w:rsidR="0070189D" w:rsidRPr="00382816">
        <w:rPr>
          <w:szCs w:val="22"/>
        </w:rPr>
        <w:t>-</w:t>
      </w:r>
      <w:r w:rsidRPr="00382816">
        <w:rPr>
          <w:szCs w:val="22"/>
        </w:rPr>
        <w:t>koštani bol je bio vrlo čest u obije grupe tj. u grupi sa denosumabom i u placebo grupi. Slučajevi kad je mišićno</w:t>
      </w:r>
      <w:r w:rsidR="0070189D" w:rsidRPr="00382816">
        <w:rPr>
          <w:szCs w:val="22"/>
        </w:rPr>
        <w:t>-</w:t>
      </w:r>
      <w:r w:rsidRPr="00382816">
        <w:rPr>
          <w:szCs w:val="22"/>
        </w:rPr>
        <w:t>koštani bol doveo do prekida terapije u studiji bili su povremeni.</w:t>
      </w:r>
    </w:p>
    <w:p w14:paraId="23176CB4" w14:textId="77777777" w:rsidR="00662535" w:rsidRPr="00382816" w:rsidRDefault="00662535" w:rsidP="00B0072D">
      <w:pPr>
        <w:jc w:val="both"/>
        <w:rPr>
          <w:iCs/>
          <w:szCs w:val="22"/>
        </w:rPr>
      </w:pPr>
    </w:p>
    <w:p w14:paraId="54B1F754" w14:textId="77777777" w:rsidR="00662535" w:rsidRPr="00382816" w:rsidRDefault="00D0018C" w:rsidP="00B0072D">
      <w:pPr>
        <w:keepNext/>
        <w:jc w:val="both"/>
        <w:rPr>
          <w:i/>
          <w:iCs/>
          <w:szCs w:val="22"/>
        </w:rPr>
      </w:pPr>
      <w:r w:rsidRPr="00382816">
        <w:rPr>
          <w:i/>
          <w:szCs w:val="22"/>
        </w:rPr>
        <w:t>Pojava lihenoidnih kožnih promjena uzrokovanih lijekom</w:t>
      </w:r>
    </w:p>
    <w:p w14:paraId="4A6A255C" w14:textId="7F45F1CB" w:rsidR="00662535" w:rsidRPr="00382816" w:rsidRDefault="00D0018C" w:rsidP="00B0072D">
      <w:pPr>
        <w:jc w:val="both"/>
        <w:rPr>
          <w:szCs w:val="22"/>
        </w:rPr>
      </w:pPr>
      <w:r w:rsidRPr="00382816">
        <w:rPr>
          <w:szCs w:val="22"/>
        </w:rPr>
        <w:t>Pojava lihenoidnih kožnih promjena uzrokovanih lijekom (npr. reakcije nalik na lichen planus) prijavljene su kod pacijenata nakon stavljanja lijeka u promet.</w:t>
      </w:r>
    </w:p>
    <w:p w14:paraId="65281E13" w14:textId="77777777" w:rsidR="00662535" w:rsidRPr="00382816" w:rsidRDefault="00662535" w:rsidP="00B0072D">
      <w:pPr>
        <w:jc w:val="both"/>
        <w:rPr>
          <w:iCs/>
          <w:szCs w:val="22"/>
        </w:rPr>
      </w:pPr>
    </w:p>
    <w:p w14:paraId="4F16AF12" w14:textId="77777777" w:rsidR="00662535" w:rsidRPr="00382816" w:rsidRDefault="008011D6" w:rsidP="00B0072D">
      <w:pPr>
        <w:keepNext/>
        <w:ind w:left="567" w:hanging="567"/>
        <w:jc w:val="both"/>
        <w:rPr>
          <w:bCs/>
          <w:szCs w:val="22"/>
          <w:u w:val="single"/>
        </w:rPr>
      </w:pPr>
      <w:r w:rsidRPr="00382816">
        <w:rPr>
          <w:szCs w:val="22"/>
          <w:u w:val="single"/>
        </w:rPr>
        <w:t>Druge posebne populacije</w:t>
      </w:r>
    </w:p>
    <w:p w14:paraId="3241FB09" w14:textId="77777777" w:rsidR="00A4325E" w:rsidRPr="00382816" w:rsidRDefault="00A4325E" w:rsidP="00B0072D">
      <w:pPr>
        <w:keepNext/>
        <w:jc w:val="both"/>
        <w:rPr>
          <w:szCs w:val="22"/>
        </w:rPr>
      </w:pPr>
    </w:p>
    <w:p w14:paraId="28486170" w14:textId="77777777" w:rsidR="00A4325E" w:rsidRPr="00382816" w:rsidRDefault="00A4325E" w:rsidP="00B0072D">
      <w:pPr>
        <w:pStyle w:val="Style11ptItalic"/>
        <w:jc w:val="both"/>
        <w:rPr>
          <w:szCs w:val="22"/>
        </w:rPr>
      </w:pPr>
      <w:r w:rsidRPr="00382816">
        <w:rPr>
          <w:szCs w:val="22"/>
        </w:rPr>
        <w:t>Pedijatrijska populacija</w:t>
      </w:r>
    </w:p>
    <w:p w14:paraId="7BCEBF01" w14:textId="6F7BF51B" w:rsidR="00A4325E" w:rsidRPr="00382816" w:rsidRDefault="00A4325E" w:rsidP="00B0072D">
      <w:pPr>
        <w:jc w:val="both"/>
        <w:rPr>
          <w:szCs w:val="22"/>
        </w:rPr>
      </w:pPr>
      <w:r w:rsidRPr="00382816">
        <w:rPr>
          <w:szCs w:val="22"/>
        </w:rPr>
        <w:t>Lijek Prolia ne smije se primjenjivati kod pedijatrijskih pacijenata (&lt; 18 godina starosti). Zabilježena je teška hiperkalc</w:t>
      </w:r>
      <w:r w:rsidR="0070189D" w:rsidRPr="00382816">
        <w:rPr>
          <w:szCs w:val="22"/>
        </w:rPr>
        <w:t>ij</w:t>
      </w:r>
      <w:r w:rsidRPr="00382816">
        <w:rPr>
          <w:szCs w:val="22"/>
        </w:rPr>
        <w:t xml:space="preserve">emija (vidjeti </w:t>
      </w:r>
      <w:r w:rsidR="0070189D" w:rsidRPr="00382816">
        <w:rPr>
          <w:szCs w:val="22"/>
        </w:rPr>
        <w:t>dio </w:t>
      </w:r>
      <w:r w:rsidRPr="00382816">
        <w:rPr>
          <w:szCs w:val="22"/>
        </w:rPr>
        <w:t>5.1). Neki slučajevi u kliničkom ispitivanju bili su zakomplikovani akutnom insuficijencijom bubrega.</w:t>
      </w:r>
    </w:p>
    <w:p w14:paraId="34471C28" w14:textId="77777777" w:rsidR="00662535" w:rsidRPr="00382816" w:rsidRDefault="00662535" w:rsidP="00B0072D">
      <w:pPr>
        <w:ind w:left="567" w:hanging="567"/>
        <w:jc w:val="both"/>
        <w:rPr>
          <w:bCs/>
          <w:szCs w:val="22"/>
          <w:u w:val="single"/>
        </w:rPr>
      </w:pPr>
    </w:p>
    <w:p w14:paraId="27100379" w14:textId="77777777" w:rsidR="00662535" w:rsidRPr="00382816" w:rsidRDefault="006F29E5" w:rsidP="00B0072D">
      <w:pPr>
        <w:keepNext/>
        <w:jc w:val="both"/>
        <w:rPr>
          <w:bCs/>
          <w:i/>
          <w:szCs w:val="22"/>
        </w:rPr>
      </w:pPr>
      <w:r w:rsidRPr="00382816">
        <w:rPr>
          <w:i/>
          <w:szCs w:val="22"/>
        </w:rPr>
        <w:t>Oštećenje bubrega</w:t>
      </w:r>
    </w:p>
    <w:p w14:paraId="2C6203BD" w14:textId="0176ED65" w:rsidR="00662535" w:rsidRPr="00382816" w:rsidRDefault="008011D6" w:rsidP="00B0072D">
      <w:pPr>
        <w:jc w:val="both"/>
        <w:rPr>
          <w:rFonts w:eastAsia="MS Mincho"/>
          <w:szCs w:val="22"/>
        </w:rPr>
      </w:pPr>
      <w:r w:rsidRPr="00382816">
        <w:rPr>
          <w:szCs w:val="22"/>
        </w:rPr>
        <w:t xml:space="preserve">U kliničkim ispitivanjima, pacijenti sa teškim poremećajem funkcije bubrega (klirens kreatinina &lt; 30 ml/min) ili oni koji su na dijalizi, bili su pod većim rizikom od nastanka hipokalcijemije u odsustvu nadoknade kalcijuma. Odgovarajući unos kalcijuma i vitamina D značajni su za pacijente sa teškim poremećajem funkcije bubrega ili pacijente na dijalizi (vidjeti </w:t>
      </w:r>
      <w:r w:rsidR="002C6CBB" w:rsidRPr="00382816">
        <w:rPr>
          <w:szCs w:val="22"/>
        </w:rPr>
        <w:t>dio </w:t>
      </w:r>
      <w:r w:rsidRPr="00382816">
        <w:rPr>
          <w:szCs w:val="22"/>
        </w:rPr>
        <w:t>4.4).</w:t>
      </w:r>
    </w:p>
    <w:p w14:paraId="473627C7" w14:textId="77777777" w:rsidR="00662535" w:rsidRPr="00382816" w:rsidRDefault="00662535" w:rsidP="00B0072D">
      <w:pPr>
        <w:jc w:val="both"/>
        <w:rPr>
          <w:bCs/>
          <w:szCs w:val="22"/>
        </w:rPr>
      </w:pPr>
    </w:p>
    <w:p w14:paraId="03A0C707" w14:textId="77777777" w:rsidR="00662535" w:rsidRPr="00382816" w:rsidRDefault="006E32CF" w:rsidP="00B0072D">
      <w:pPr>
        <w:keepNext/>
        <w:keepLines/>
        <w:tabs>
          <w:tab w:val="clear" w:pos="567"/>
        </w:tabs>
        <w:autoSpaceDE w:val="0"/>
        <w:autoSpaceDN w:val="0"/>
        <w:adjustRightInd w:val="0"/>
        <w:jc w:val="both"/>
        <w:rPr>
          <w:szCs w:val="22"/>
          <w:u w:val="single"/>
        </w:rPr>
      </w:pPr>
      <w:r w:rsidRPr="00382816">
        <w:rPr>
          <w:szCs w:val="22"/>
          <w:u w:val="single"/>
        </w:rPr>
        <w:t>Prijavljivanje sumnji na neželjena dejstva</w:t>
      </w:r>
    </w:p>
    <w:p w14:paraId="4A0000D4" w14:textId="77777777" w:rsidR="00662535" w:rsidRPr="00382816" w:rsidRDefault="00662535" w:rsidP="00B0072D">
      <w:pPr>
        <w:keepNext/>
        <w:keepLines/>
        <w:tabs>
          <w:tab w:val="clear" w:pos="567"/>
        </w:tabs>
        <w:autoSpaceDE w:val="0"/>
        <w:autoSpaceDN w:val="0"/>
        <w:adjustRightInd w:val="0"/>
        <w:jc w:val="both"/>
        <w:rPr>
          <w:szCs w:val="22"/>
          <w:u w:val="single"/>
          <w:lang w:eastAsia="en-GB"/>
        </w:rPr>
      </w:pPr>
    </w:p>
    <w:p w14:paraId="3452A3AC" w14:textId="5AACE8D5" w:rsidR="00662535" w:rsidRPr="00382816" w:rsidRDefault="006E32CF" w:rsidP="00B0072D">
      <w:pPr>
        <w:keepNext/>
        <w:keepLines/>
        <w:jc w:val="both"/>
        <w:rPr>
          <w:szCs w:val="22"/>
        </w:rPr>
      </w:pPr>
      <w:r w:rsidRPr="00382816">
        <w:rPr>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3563A3F" w14:textId="77777777" w:rsidR="00E4407D" w:rsidRPr="00382816" w:rsidRDefault="00E4407D" w:rsidP="00B0072D">
      <w:pPr>
        <w:jc w:val="both"/>
        <w:rPr>
          <w:szCs w:val="22"/>
          <w:lang w:eastAsia="en-GB"/>
        </w:rPr>
      </w:pPr>
    </w:p>
    <w:p w14:paraId="60B99D12" w14:textId="13588FB9" w:rsidR="00E4407D" w:rsidRPr="00382816" w:rsidRDefault="00E4407D" w:rsidP="00B0072D">
      <w:pPr>
        <w:keepNext/>
        <w:jc w:val="both"/>
        <w:rPr>
          <w:szCs w:val="22"/>
        </w:rPr>
      </w:pPr>
      <w:r w:rsidRPr="00382816">
        <w:rPr>
          <w:szCs w:val="22"/>
        </w:rPr>
        <w:lastRenderedPageBreak/>
        <w:t>Institut za ljekove i medicinska sredstva</w:t>
      </w:r>
    </w:p>
    <w:p w14:paraId="615DBF32" w14:textId="6CB7C2D0" w:rsidR="00662535" w:rsidRPr="00382816" w:rsidRDefault="005E58F8" w:rsidP="00B0072D">
      <w:pPr>
        <w:keepNext/>
        <w:jc w:val="both"/>
        <w:rPr>
          <w:szCs w:val="22"/>
        </w:rPr>
      </w:pPr>
      <w:r w:rsidRPr="00382816">
        <w:rPr>
          <w:szCs w:val="22"/>
        </w:rPr>
        <w:t xml:space="preserve">Odjeljenje za </w:t>
      </w:r>
      <w:proofErr w:type="spellStart"/>
      <w:r w:rsidRPr="00382816">
        <w:rPr>
          <w:szCs w:val="22"/>
        </w:rPr>
        <w:t>farmakovigilancu</w:t>
      </w:r>
      <w:proofErr w:type="spellEnd"/>
    </w:p>
    <w:p w14:paraId="647CC677" w14:textId="72E79EE4" w:rsidR="00662535" w:rsidRPr="00382816" w:rsidRDefault="001537D1" w:rsidP="00B0072D">
      <w:pPr>
        <w:keepNext/>
        <w:jc w:val="both"/>
        <w:rPr>
          <w:szCs w:val="22"/>
        </w:rPr>
      </w:pPr>
      <w:r w:rsidRPr="00382816">
        <w:rPr>
          <w:szCs w:val="22"/>
        </w:rPr>
        <w:t>Bulevar Ivana Crnojevića 64a, 81000 Podgorica</w:t>
      </w:r>
    </w:p>
    <w:p w14:paraId="3AC797C7" w14:textId="77777777" w:rsidR="00E4407D" w:rsidRPr="00382816" w:rsidRDefault="00E4407D" w:rsidP="00B0072D">
      <w:pPr>
        <w:keepNext/>
        <w:jc w:val="both"/>
        <w:rPr>
          <w:szCs w:val="22"/>
          <w:lang w:eastAsia="en-GB"/>
        </w:rPr>
      </w:pPr>
    </w:p>
    <w:p w14:paraId="21D6B340" w14:textId="77777777" w:rsidR="00662535" w:rsidRPr="00382816" w:rsidRDefault="001537D1" w:rsidP="00B0072D">
      <w:pPr>
        <w:keepNext/>
        <w:jc w:val="both"/>
        <w:rPr>
          <w:szCs w:val="22"/>
        </w:rPr>
      </w:pPr>
      <w:r w:rsidRPr="00382816">
        <w:rPr>
          <w:szCs w:val="22"/>
        </w:rPr>
        <w:t>tel: +382 (0) 20 310 280</w:t>
      </w:r>
    </w:p>
    <w:p w14:paraId="44A766EE" w14:textId="77777777" w:rsidR="00662535" w:rsidRPr="00382816" w:rsidRDefault="001537D1" w:rsidP="00B0072D">
      <w:pPr>
        <w:keepNext/>
        <w:jc w:val="both"/>
        <w:rPr>
          <w:szCs w:val="22"/>
        </w:rPr>
      </w:pPr>
      <w:proofErr w:type="spellStart"/>
      <w:r w:rsidRPr="00382816">
        <w:rPr>
          <w:szCs w:val="22"/>
        </w:rPr>
        <w:t>fax</w:t>
      </w:r>
      <w:proofErr w:type="spellEnd"/>
      <w:r w:rsidRPr="00382816">
        <w:rPr>
          <w:szCs w:val="22"/>
        </w:rPr>
        <w:t>: +382 (0) 20 310 581</w:t>
      </w:r>
    </w:p>
    <w:p w14:paraId="652499A4" w14:textId="3ACEA773" w:rsidR="00662535" w:rsidRPr="00382816" w:rsidRDefault="00CF6D95" w:rsidP="00B0072D">
      <w:pPr>
        <w:keepNext/>
        <w:jc w:val="both"/>
        <w:rPr>
          <w:rStyle w:val="Hyperlink"/>
          <w:color w:val="auto"/>
          <w:szCs w:val="22"/>
        </w:rPr>
      </w:pPr>
      <w:hyperlink r:id="rId12" w:history="1">
        <w:r w:rsidR="00360ACF" w:rsidRPr="00382816">
          <w:rPr>
            <w:rStyle w:val="Hyperlink"/>
            <w:szCs w:val="22"/>
          </w:rPr>
          <w:t>www.cinmed.me</w:t>
        </w:r>
      </w:hyperlink>
    </w:p>
    <w:p w14:paraId="482718F8" w14:textId="3F9D2306" w:rsidR="00662535" w:rsidRPr="00382816" w:rsidRDefault="00CF6D95" w:rsidP="00B0072D">
      <w:pPr>
        <w:keepNext/>
        <w:jc w:val="both"/>
        <w:rPr>
          <w:szCs w:val="22"/>
        </w:rPr>
      </w:pPr>
      <w:hyperlink r:id="rId13" w:history="1">
        <w:r w:rsidR="00360ACF" w:rsidRPr="00382816">
          <w:rPr>
            <w:rStyle w:val="Hyperlink"/>
            <w:szCs w:val="22"/>
          </w:rPr>
          <w:t>nezeljenadejstva@cinmed.me</w:t>
        </w:r>
      </w:hyperlink>
    </w:p>
    <w:p w14:paraId="1EF5CD9E" w14:textId="77777777" w:rsidR="00662535" w:rsidRPr="00382816" w:rsidRDefault="001537D1" w:rsidP="00B0072D">
      <w:pPr>
        <w:jc w:val="both"/>
        <w:rPr>
          <w:szCs w:val="22"/>
        </w:rPr>
      </w:pPr>
      <w:r w:rsidRPr="00382816">
        <w:rPr>
          <w:szCs w:val="22"/>
        </w:rPr>
        <w:t>putem IS zdravstvene zaštite</w:t>
      </w:r>
    </w:p>
    <w:p w14:paraId="330EDCF3" w14:textId="77777777" w:rsidR="00432902" w:rsidRPr="00382816" w:rsidRDefault="00432902" w:rsidP="00B0072D">
      <w:pPr>
        <w:keepNext/>
        <w:tabs>
          <w:tab w:val="clear" w:pos="567"/>
        </w:tabs>
        <w:jc w:val="both"/>
        <w:rPr>
          <w:rFonts w:eastAsia="SimSun"/>
          <w:szCs w:val="22"/>
        </w:rPr>
      </w:pPr>
      <w:r w:rsidRPr="00382816">
        <w:rPr>
          <w:szCs w:val="22"/>
        </w:rPr>
        <w:t xml:space="preserve">QR kod za prijavu sumnje na neželjeno dejstvo lijeka </w:t>
      </w:r>
      <w:proofErr w:type="spellStart"/>
      <w:r w:rsidRPr="00382816">
        <w:rPr>
          <w:szCs w:val="22"/>
        </w:rPr>
        <w:t>preko</w:t>
      </w:r>
      <w:proofErr w:type="spellEnd"/>
      <w:r w:rsidRPr="00382816">
        <w:rPr>
          <w:szCs w:val="22"/>
        </w:rPr>
        <w:t xml:space="preserve"> interneta:</w:t>
      </w:r>
    </w:p>
    <w:p w14:paraId="5C3F2FF7" w14:textId="77777777" w:rsidR="00432902" w:rsidRPr="00382816" w:rsidRDefault="00432902" w:rsidP="001C3688">
      <w:pPr>
        <w:keepNext/>
        <w:tabs>
          <w:tab w:val="clear" w:pos="567"/>
        </w:tabs>
        <w:jc w:val="both"/>
        <w:rPr>
          <w:rFonts w:eastAsia="Calibri"/>
          <w:szCs w:val="22"/>
        </w:rPr>
      </w:pPr>
    </w:p>
    <w:p w14:paraId="7F2000D3" w14:textId="4D978D71" w:rsidR="00432902" w:rsidRPr="00382816" w:rsidRDefault="00382816" w:rsidP="00B0072D">
      <w:pPr>
        <w:keepNext/>
        <w:tabs>
          <w:tab w:val="clear" w:pos="567"/>
        </w:tabs>
        <w:autoSpaceDE w:val="0"/>
        <w:autoSpaceDN w:val="0"/>
        <w:jc w:val="both"/>
        <w:rPr>
          <w:rFonts w:eastAsia="SimSun"/>
          <w:color w:val="000000"/>
          <w:szCs w:val="22"/>
        </w:rPr>
      </w:pPr>
      <w:r w:rsidRPr="00382816">
        <w:rPr>
          <w:b/>
          <w:bCs/>
          <w:noProof/>
          <w:szCs w:val="22"/>
          <w:lang w:val="en-US"/>
        </w:rPr>
        <w:drawing>
          <wp:inline distT="0" distB="0" distL="0" distR="0" wp14:anchorId="4A19FF4E" wp14:editId="62642DFF">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6DDF2F9" w14:textId="77777777" w:rsidR="00662535" w:rsidRPr="00382816" w:rsidRDefault="00662535" w:rsidP="00B0072D">
      <w:pPr>
        <w:jc w:val="both"/>
        <w:rPr>
          <w:szCs w:val="22"/>
          <w:lang w:eastAsia="en-GB"/>
        </w:rPr>
      </w:pPr>
    </w:p>
    <w:p w14:paraId="1BBF2CBA" w14:textId="36B938B7" w:rsidR="00662535" w:rsidRPr="00382816" w:rsidRDefault="008011D6" w:rsidP="00B0072D">
      <w:pPr>
        <w:keepNext/>
        <w:ind w:left="567" w:hanging="567"/>
        <w:jc w:val="both"/>
        <w:rPr>
          <w:bCs/>
          <w:szCs w:val="22"/>
        </w:rPr>
      </w:pPr>
      <w:r w:rsidRPr="00382816">
        <w:rPr>
          <w:b/>
          <w:szCs w:val="22"/>
        </w:rPr>
        <w:t>4.9.</w:t>
      </w:r>
      <w:r w:rsidRPr="00382816">
        <w:rPr>
          <w:b/>
          <w:szCs w:val="22"/>
        </w:rPr>
        <w:tab/>
        <w:t>Predoziranje</w:t>
      </w:r>
    </w:p>
    <w:p w14:paraId="10238F20" w14:textId="77777777" w:rsidR="00662535" w:rsidRPr="00382816" w:rsidRDefault="00662535" w:rsidP="00B0072D">
      <w:pPr>
        <w:keepNext/>
        <w:jc w:val="both"/>
        <w:rPr>
          <w:szCs w:val="22"/>
        </w:rPr>
      </w:pPr>
    </w:p>
    <w:p w14:paraId="3F3670E7" w14:textId="77777777" w:rsidR="00662535" w:rsidRPr="00382816" w:rsidRDefault="00992A6A" w:rsidP="00B0072D">
      <w:pPr>
        <w:pStyle w:val="Style11"/>
        <w:jc w:val="both"/>
      </w:pPr>
      <w:r w:rsidRPr="00382816">
        <w:t>Ne postoje iskustva sa predoziranjem u kliničkim ispitivanjima. Denosumab je u kliničkim ispitivanjima primjenjivan u dozama do 180 mg svake 4 nedjelje (kumulativne doze do 1080 mg tokom 6 mjeseci) i nisu zapažena dodatna neželjena dejstva.</w:t>
      </w:r>
    </w:p>
    <w:p w14:paraId="26962330" w14:textId="77777777" w:rsidR="00662535" w:rsidRPr="00382816" w:rsidRDefault="00662535" w:rsidP="00B0072D">
      <w:pPr>
        <w:jc w:val="both"/>
        <w:rPr>
          <w:szCs w:val="22"/>
        </w:rPr>
      </w:pPr>
    </w:p>
    <w:p w14:paraId="68D0B709" w14:textId="77777777" w:rsidR="00662535" w:rsidRPr="00382816" w:rsidRDefault="00662535" w:rsidP="00B0072D">
      <w:pPr>
        <w:jc w:val="both"/>
        <w:rPr>
          <w:szCs w:val="22"/>
        </w:rPr>
      </w:pPr>
    </w:p>
    <w:p w14:paraId="2A0AC2DE" w14:textId="77777777" w:rsidR="00662535" w:rsidRPr="00382816" w:rsidRDefault="008011D6" w:rsidP="00B0072D">
      <w:pPr>
        <w:keepNext/>
        <w:ind w:left="567" w:hanging="567"/>
        <w:jc w:val="both"/>
        <w:rPr>
          <w:szCs w:val="22"/>
        </w:rPr>
      </w:pPr>
      <w:r w:rsidRPr="00382816">
        <w:rPr>
          <w:b/>
          <w:szCs w:val="22"/>
        </w:rPr>
        <w:t>5.</w:t>
      </w:r>
      <w:r w:rsidRPr="00382816">
        <w:rPr>
          <w:b/>
          <w:szCs w:val="22"/>
        </w:rPr>
        <w:tab/>
        <w:t>FARMAKOLOŠKI PODACI</w:t>
      </w:r>
    </w:p>
    <w:p w14:paraId="79E27604" w14:textId="77777777" w:rsidR="00662535" w:rsidRPr="00382816" w:rsidRDefault="00662535" w:rsidP="00B0072D">
      <w:pPr>
        <w:keepNext/>
        <w:jc w:val="both"/>
        <w:rPr>
          <w:szCs w:val="22"/>
        </w:rPr>
      </w:pPr>
    </w:p>
    <w:p w14:paraId="7FD68091" w14:textId="36B532AB" w:rsidR="00662535" w:rsidRPr="00382816" w:rsidRDefault="008011D6" w:rsidP="00B0072D">
      <w:pPr>
        <w:keepNext/>
        <w:ind w:left="567" w:hanging="567"/>
        <w:jc w:val="both"/>
        <w:outlineLvl w:val="0"/>
        <w:rPr>
          <w:b/>
          <w:szCs w:val="22"/>
        </w:rPr>
      </w:pPr>
      <w:r w:rsidRPr="00382816">
        <w:rPr>
          <w:b/>
          <w:szCs w:val="22"/>
        </w:rPr>
        <w:t>5.1.</w:t>
      </w:r>
      <w:r w:rsidRPr="00382816">
        <w:rPr>
          <w:b/>
          <w:szCs w:val="22"/>
        </w:rPr>
        <w:tab/>
        <w:t>Farmakodinamski podaci</w:t>
      </w:r>
    </w:p>
    <w:p w14:paraId="630F4A76" w14:textId="77777777" w:rsidR="009F5A2B" w:rsidRPr="00382816" w:rsidRDefault="009F5A2B" w:rsidP="00B0072D">
      <w:pPr>
        <w:keepNext/>
        <w:ind w:left="567" w:hanging="567"/>
        <w:jc w:val="both"/>
        <w:outlineLvl w:val="0"/>
        <w:rPr>
          <w:szCs w:val="22"/>
        </w:rPr>
      </w:pPr>
    </w:p>
    <w:tbl>
      <w:tblPr>
        <w:tblW w:w="0" w:type="auto"/>
        <w:tblLook w:val="04A0" w:firstRow="1" w:lastRow="0" w:firstColumn="1" w:lastColumn="0" w:noHBand="0" w:noVBand="1"/>
      </w:tblPr>
      <w:tblGrid>
        <w:gridCol w:w="2506"/>
        <w:gridCol w:w="6565"/>
      </w:tblGrid>
      <w:tr w:rsidR="009F5A2B" w:rsidRPr="00382816" w14:paraId="5B33BE0F" w14:textId="77777777" w:rsidTr="00E9607D">
        <w:tc>
          <w:tcPr>
            <w:tcW w:w="2518" w:type="dxa"/>
            <w:shd w:val="clear" w:color="auto" w:fill="auto"/>
          </w:tcPr>
          <w:p w14:paraId="5CA88095" w14:textId="77777777" w:rsidR="009F5A2B" w:rsidRPr="00382816" w:rsidRDefault="009F5A2B" w:rsidP="00B0072D">
            <w:pPr>
              <w:keepNext/>
              <w:autoSpaceDE w:val="0"/>
              <w:autoSpaceDN w:val="0"/>
              <w:adjustRightInd w:val="0"/>
              <w:jc w:val="both"/>
              <w:rPr>
                <w:rFonts w:eastAsia="MS Mincho"/>
                <w:szCs w:val="22"/>
              </w:rPr>
            </w:pPr>
            <w:r w:rsidRPr="00382816">
              <w:rPr>
                <w:b/>
                <w:szCs w:val="22"/>
              </w:rPr>
              <w:t xml:space="preserve">Farmakoterapijska </w:t>
            </w:r>
            <w:r w:rsidRPr="00382816">
              <w:rPr>
                <w:b/>
                <w:szCs w:val="22"/>
              </w:rPr>
              <w:br/>
              <w:t>grupa:</w:t>
            </w:r>
          </w:p>
        </w:tc>
        <w:tc>
          <w:tcPr>
            <w:tcW w:w="6693" w:type="dxa"/>
            <w:shd w:val="clear" w:color="auto" w:fill="auto"/>
          </w:tcPr>
          <w:p w14:paraId="4759CDAA" w14:textId="4D4B619B" w:rsidR="009F5A2B" w:rsidRPr="00382816" w:rsidRDefault="009F5A2B" w:rsidP="00B0072D">
            <w:pPr>
              <w:jc w:val="both"/>
              <w:rPr>
                <w:rFonts w:eastAsia="MS Mincho"/>
                <w:szCs w:val="22"/>
              </w:rPr>
            </w:pPr>
            <w:r w:rsidRPr="00382816">
              <w:rPr>
                <w:szCs w:val="22"/>
              </w:rPr>
              <w:t>Ljekovi za terapiju oboljenja kostiju. Drugi ljekovi koji utiču na strukturu kostiju i mineralizaciju.</w:t>
            </w:r>
          </w:p>
        </w:tc>
      </w:tr>
      <w:tr w:rsidR="009F5A2B" w:rsidRPr="00382816" w14:paraId="644DFB53" w14:textId="77777777" w:rsidTr="00B6640C">
        <w:trPr>
          <w:trHeight w:val="217"/>
        </w:trPr>
        <w:tc>
          <w:tcPr>
            <w:tcW w:w="2518" w:type="dxa"/>
            <w:shd w:val="clear" w:color="auto" w:fill="auto"/>
          </w:tcPr>
          <w:p w14:paraId="6DC7DB22" w14:textId="77777777" w:rsidR="0070189D" w:rsidRPr="00382816" w:rsidRDefault="0070189D" w:rsidP="00B0072D">
            <w:pPr>
              <w:keepNext/>
              <w:autoSpaceDE w:val="0"/>
              <w:autoSpaceDN w:val="0"/>
              <w:adjustRightInd w:val="0"/>
              <w:jc w:val="both"/>
              <w:rPr>
                <w:b/>
                <w:szCs w:val="22"/>
              </w:rPr>
            </w:pPr>
          </w:p>
          <w:p w14:paraId="6B0F3457" w14:textId="166CFA37" w:rsidR="009F5A2B" w:rsidRPr="00382816" w:rsidRDefault="009F5A2B" w:rsidP="00B0072D">
            <w:pPr>
              <w:keepNext/>
              <w:autoSpaceDE w:val="0"/>
              <w:autoSpaceDN w:val="0"/>
              <w:adjustRightInd w:val="0"/>
              <w:jc w:val="both"/>
              <w:rPr>
                <w:rFonts w:eastAsia="MS Mincho"/>
                <w:szCs w:val="22"/>
              </w:rPr>
            </w:pPr>
            <w:r w:rsidRPr="00382816">
              <w:rPr>
                <w:b/>
                <w:szCs w:val="22"/>
              </w:rPr>
              <w:t>ATC kod:</w:t>
            </w:r>
          </w:p>
        </w:tc>
        <w:tc>
          <w:tcPr>
            <w:tcW w:w="6693" w:type="dxa"/>
            <w:shd w:val="clear" w:color="auto" w:fill="auto"/>
          </w:tcPr>
          <w:p w14:paraId="2FA98075" w14:textId="77777777" w:rsidR="0070189D" w:rsidRPr="00382816" w:rsidRDefault="0070189D" w:rsidP="00B0072D">
            <w:pPr>
              <w:jc w:val="both"/>
              <w:outlineLvl w:val="0"/>
              <w:rPr>
                <w:szCs w:val="22"/>
              </w:rPr>
            </w:pPr>
          </w:p>
          <w:p w14:paraId="4157E737" w14:textId="4113CCED" w:rsidR="009F5A2B" w:rsidRPr="00382816" w:rsidRDefault="009F5A2B" w:rsidP="00B0072D">
            <w:pPr>
              <w:jc w:val="both"/>
              <w:outlineLvl w:val="0"/>
              <w:rPr>
                <w:szCs w:val="22"/>
              </w:rPr>
            </w:pPr>
            <w:r w:rsidRPr="00382816">
              <w:rPr>
                <w:szCs w:val="22"/>
              </w:rPr>
              <w:t>M05BX04</w:t>
            </w:r>
          </w:p>
        </w:tc>
      </w:tr>
    </w:tbl>
    <w:p w14:paraId="1EAF90E5" w14:textId="77777777" w:rsidR="00662535" w:rsidRPr="00382816" w:rsidRDefault="00662535" w:rsidP="00B0072D">
      <w:pPr>
        <w:jc w:val="both"/>
        <w:outlineLvl w:val="0"/>
        <w:rPr>
          <w:szCs w:val="22"/>
        </w:rPr>
      </w:pPr>
    </w:p>
    <w:p w14:paraId="505670B1" w14:textId="5DF8DA89" w:rsidR="00662535" w:rsidRPr="00382816" w:rsidRDefault="008011D6" w:rsidP="00B0072D">
      <w:pPr>
        <w:keepNext/>
        <w:jc w:val="both"/>
        <w:outlineLvl w:val="0"/>
        <w:rPr>
          <w:szCs w:val="22"/>
          <w:u w:val="single"/>
        </w:rPr>
      </w:pPr>
      <w:r w:rsidRPr="00382816">
        <w:rPr>
          <w:szCs w:val="22"/>
          <w:u w:val="single"/>
        </w:rPr>
        <w:t>Mehanizam djelovanja</w:t>
      </w:r>
    </w:p>
    <w:p w14:paraId="1F2E056D" w14:textId="77777777" w:rsidR="00662535" w:rsidRPr="00382816" w:rsidRDefault="00662535" w:rsidP="00B0072D">
      <w:pPr>
        <w:keepNext/>
        <w:jc w:val="both"/>
        <w:outlineLvl w:val="0"/>
        <w:rPr>
          <w:szCs w:val="22"/>
          <w:u w:val="single"/>
        </w:rPr>
      </w:pPr>
    </w:p>
    <w:p w14:paraId="4392F93E" w14:textId="77777777" w:rsidR="00662535" w:rsidRPr="00382816" w:rsidRDefault="008011D6" w:rsidP="00B0072D">
      <w:pPr>
        <w:jc w:val="both"/>
        <w:rPr>
          <w:rFonts w:eastAsia="MS Mincho"/>
          <w:szCs w:val="22"/>
        </w:rPr>
      </w:pPr>
      <w:r w:rsidRPr="00382816">
        <w:rPr>
          <w:szCs w:val="22"/>
        </w:rPr>
        <w:t>Denosumab je humano monoklonsko antitijelo (IgG2) koje se ciljano, sa visokim afinitetom i specifičnošću, vezuje za RANKL, sprječavajući na taj način aktivaciju njegovog receptora, RANK na površini prekursora osteoklasta i osteoklasta. Sprječavanje interakcije RANKL/RANK sprječava formiranje, funkciju i preživljavanje osteoklasta, te na taj način smanjuje resorpciju kostiju u kortikalnoj i trabekularnoj kosti.</w:t>
      </w:r>
    </w:p>
    <w:p w14:paraId="7870A6C6" w14:textId="77777777" w:rsidR="00662535" w:rsidRPr="00382816" w:rsidRDefault="00662535" w:rsidP="00B0072D">
      <w:pPr>
        <w:jc w:val="both"/>
        <w:rPr>
          <w:bCs/>
          <w:szCs w:val="22"/>
        </w:rPr>
      </w:pPr>
    </w:p>
    <w:p w14:paraId="14BADF50" w14:textId="77777777" w:rsidR="00662535" w:rsidRPr="00382816" w:rsidRDefault="008011D6" w:rsidP="00B0072D">
      <w:pPr>
        <w:pStyle w:val="Text"/>
        <w:keepNext/>
        <w:tabs>
          <w:tab w:val="left" w:pos="567"/>
        </w:tabs>
        <w:spacing w:before="0" w:beforeAutospacing="0" w:after="0" w:afterAutospacing="0" w:line="240" w:lineRule="auto"/>
        <w:ind w:left="0"/>
        <w:jc w:val="both"/>
        <w:rPr>
          <w:bCs w:val="0"/>
          <w:color w:val="auto"/>
          <w:sz w:val="22"/>
          <w:szCs w:val="22"/>
          <w:u w:val="single"/>
        </w:rPr>
      </w:pPr>
      <w:r w:rsidRPr="00382816">
        <w:rPr>
          <w:color w:val="auto"/>
          <w:sz w:val="22"/>
          <w:szCs w:val="22"/>
          <w:u w:val="single"/>
        </w:rPr>
        <w:t>Farmakodinamsko djelovanje</w:t>
      </w:r>
    </w:p>
    <w:p w14:paraId="6015AA65" w14:textId="77777777" w:rsidR="00662535" w:rsidRPr="00382816" w:rsidRDefault="00662535" w:rsidP="00B0072D">
      <w:pPr>
        <w:pStyle w:val="Text"/>
        <w:keepNext/>
        <w:tabs>
          <w:tab w:val="left" w:pos="567"/>
        </w:tabs>
        <w:spacing w:before="0" w:beforeAutospacing="0" w:after="0" w:afterAutospacing="0" w:line="240" w:lineRule="auto"/>
        <w:ind w:left="0"/>
        <w:jc w:val="both"/>
        <w:rPr>
          <w:bCs w:val="0"/>
          <w:color w:val="auto"/>
          <w:sz w:val="22"/>
          <w:szCs w:val="22"/>
          <w:u w:val="single"/>
        </w:rPr>
      </w:pPr>
    </w:p>
    <w:p w14:paraId="3A36D695" w14:textId="77777777" w:rsidR="00662535" w:rsidRPr="00382816" w:rsidRDefault="008011D6" w:rsidP="00B0072D">
      <w:pPr>
        <w:autoSpaceDE w:val="0"/>
        <w:autoSpaceDN w:val="0"/>
        <w:adjustRightInd w:val="0"/>
        <w:jc w:val="both"/>
        <w:rPr>
          <w:szCs w:val="22"/>
        </w:rPr>
      </w:pPr>
      <w:r w:rsidRPr="00382816">
        <w:rPr>
          <w:szCs w:val="22"/>
        </w:rPr>
        <w:t>Terapijom lijekom Prolia naglo se usporava metabolizam kostiju i resorpcija serumskog markera tipa 1 C</w:t>
      </w:r>
      <w:r w:rsidRPr="00382816">
        <w:rPr>
          <w:szCs w:val="22"/>
        </w:rPr>
        <w:noBreakHyphen/>
        <w:t>telopeptida (CTX) u kostima dostiže minimalnu vrijednost (85% smanjenja) nakon 3 dana, koja se održava u toku intervala doziranja lijeka. Na kraju svakog intervala doziranja, smanjenje CTX bilo je djelimično oslabljeno u odnosu na maksimalno smanjenje od ≥ 87% na približno ≥ 45% (u opsegu 45</w:t>
      </w:r>
      <w:r w:rsidRPr="00382816">
        <w:rPr>
          <w:szCs w:val="22"/>
        </w:rPr>
        <w:noBreakHyphen/>
        <w:t>80%), što ukazuje na reverzibilnost dejstva lijeka Prolia na remodelovanje kosti, nakon smanjenja nivoa lijeka u serumu. Navedena dejstva su se održavala tokom trajanja terapije. Unutar 9 mjeseci nakon posljednje primljene doze, markeri metabolizma kostiju dostigli su nivoe zabilježene prije započinjanja terapije. Nakon ponovnog uvođenja terapije (reinicijacija), smanjenje CTX uz pomoć denosumaba bilo je slično onom, zabilježenom kod pacijenata nakon iniciranja primarne terapije denosumabom.</w:t>
      </w:r>
    </w:p>
    <w:p w14:paraId="64D2EF90" w14:textId="77777777" w:rsidR="00662535" w:rsidRPr="00382816" w:rsidRDefault="00662535" w:rsidP="00B0072D">
      <w:pPr>
        <w:jc w:val="both"/>
        <w:rPr>
          <w:szCs w:val="22"/>
        </w:rPr>
      </w:pPr>
    </w:p>
    <w:p w14:paraId="0B3D5490" w14:textId="77777777" w:rsidR="00662535" w:rsidRPr="00382816" w:rsidRDefault="008011D6" w:rsidP="00B0072D">
      <w:pPr>
        <w:keepNext/>
        <w:jc w:val="both"/>
        <w:rPr>
          <w:bCs/>
          <w:szCs w:val="22"/>
          <w:u w:val="single"/>
        </w:rPr>
      </w:pPr>
      <w:r w:rsidRPr="00382816">
        <w:rPr>
          <w:szCs w:val="22"/>
          <w:u w:val="single"/>
        </w:rPr>
        <w:lastRenderedPageBreak/>
        <w:t>Imunogenost</w:t>
      </w:r>
    </w:p>
    <w:p w14:paraId="4AE1C558" w14:textId="77777777" w:rsidR="00662535" w:rsidRPr="00382816" w:rsidRDefault="00662535" w:rsidP="00B0072D">
      <w:pPr>
        <w:keepNext/>
        <w:jc w:val="both"/>
        <w:rPr>
          <w:bCs/>
          <w:szCs w:val="22"/>
          <w:u w:val="single"/>
        </w:rPr>
      </w:pPr>
    </w:p>
    <w:p w14:paraId="525CA12D" w14:textId="77777777" w:rsidR="00662535" w:rsidRPr="00382816" w:rsidRDefault="008011D6" w:rsidP="00B0072D">
      <w:pPr>
        <w:jc w:val="both"/>
        <w:rPr>
          <w:szCs w:val="22"/>
        </w:rPr>
      </w:pPr>
      <w:r w:rsidRPr="00382816">
        <w:rPr>
          <w:szCs w:val="22"/>
        </w:rPr>
        <w:t>U kliničkim ispitivanjima nije zabilježena pojava neutrališućih antitijela za denosumab. Upotrebom osjetljivog imunotesta, &lt; 1% pacijenata liječenih denosumabom do 5 godina, bilo je pozitivno na ne</w:t>
      </w:r>
      <w:r w:rsidRPr="00382816">
        <w:rPr>
          <w:szCs w:val="22"/>
        </w:rPr>
        <w:noBreakHyphen/>
        <w:t>neutrališuća vezujuća antitijela, bez dokaza o promjeni farmakokinetike, toksičnosti ili kliničkog odgovora.</w:t>
      </w:r>
    </w:p>
    <w:p w14:paraId="46A01DE1" w14:textId="77777777" w:rsidR="00662535" w:rsidRPr="00382816" w:rsidRDefault="00662535" w:rsidP="00B0072D">
      <w:pPr>
        <w:pStyle w:val="BodyText"/>
        <w:tabs>
          <w:tab w:val="left" w:pos="567"/>
        </w:tabs>
        <w:ind w:right="270"/>
        <w:jc w:val="both"/>
        <w:rPr>
          <w:i w:val="0"/>
          <w:color w:val="auto"/>
          <w:szCs w:val="22"/>
        </w:rPr>
      </w:pPr>
    </w:p>
    <w:p w14:paraId="07A7151C" w14:textId="77777777" w:rsidR="00662535" w:rsidRPr="00382816" w:rsidRDefault="00822069"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Klinička efikasnost i bezbjednost kod žena u postmenopauzi sa osteoporozom</w:t>
      </w:r>
    </w:p>
    <w:p w14:paraId="2FE19AE1"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7CFF7D0E" w14:textId="5FEC50C5" w:rsidR="00662535" w:rsidRPr="00382816" w:rsidRDefault="008011D6" w:rsidP="00B0072D">
      <w:pPr>
        <w:jc w:val="both"/>
        <w:rPr>
          <w:szCs w:val="22"/>
        </w:rPr>
      </w:pPr>
      <w:r w:rsidRPr="00382816">
        <w:rPr>
          <w:szCs w:val="22"/>
        </w:rPr>
        <w:t>Efikasnost i bezbjednost primjene denosumaba, primijenjenog jednom na svakih 6 mjeseci, tokom 3 godine, ispitivani su kod žena u postmenopauzi (7808 žena starosti 60</w:t>
      </w:r>
      <w:r w:rsidRPr="00382816">
        <w:rPr>
          <w:szCs w:val="22"/>
        </w:rPr>
        <w:noBreakHyphen/>
        <w:t>91 godinu, od kojih je 23,6% imalo frakture kičmenih pršljenova) sa početnim vrijednostima mineralne koštane gustine (BMD) T</w:t>
      </w:r>
      <w:r w:rsidRPr="00382816">
        <w:rPr>
          <w:szCs w:val="22"/>
        </w:rPr>
        <w:noBreakHyphen/>
        <w:t>skor, mjerenim na lumbalnom dijelu kičme ili na kuku, između -2,5 i -4,0 i sa prosječnom apsolutnom desetogodišnjom vjerovatnoćom nastanka fraktura od 18,60% (decili: 7,9</w:t>
      </w:r>
      <w:r w:rsidRPr="00382816">
        <w:rPr>
          <w:szCs w:val="22"/>
        </w:rPr>
        <w:noBreakHyphen/>
        <w:t>32,4%) za velike osteoporotične frakture i 7,22% (decili: 1,4</w:t>
      </w:r>
      <w:r w:rsidRPr="00382816">
        <w:rPr>
          <w:szCs w:val="22"/>
        </w:rPr>
        <w:noBreakHyphen/>
        <w:t>14,9%) za frakturu kuka. Žene sa drugim oboljenjima ili na terapiji koja može uticati na kosti, bile su isključene iz navedenog ispitivanja. Žene su dnevno dobijale nadoknadu kalcijuma (najmanje 1000 mg) i vitamina D (najmanje 400 IU).</w:t>
      </w:r>
    </w:p>
    <w:p w14:paraId="706D81B0" w14:textId="77777777" w:rsidR="00662535" w:rsidRPr="00382816" w:rsidRDefault="00662535" w:rsidP="00B0072D">
      <w:pPr>
        <w:autoSpaceDE w:val="0"/>
        <w:autoSpaceDN w:val="0"/>
        <w:adjustRightInd w:val="0"/>
        <w:jc w:val="both"/>
        <w:rPr>
          <w:szCs w:val="22"/>
        </w:rPr>
      </w:pPr>
    </w:p>
    <w:p w14:paraId="341523AA" w14:textId="77777777" w:rsidR="00662535" w:rsidRPr="00382816" w:rsidRDefault="008011D6" w:rsidP="00B0072D">
      <w:pPr>
        <w:pStyle w:val="Text"/>
        <w:keepNext/>
        <w:tabs>
          <w:tab w:val="left" w:pos="567"/>
        </w:tabs>
        <w:spacing w:before="0" w:beforeAutospacing="0" w:after="0" w:afterAutospacing="0" w:line="240" w:lineRule="auto"/>
        <w:ind w:left="0"/>
        <w:jc w:val="both"/>
        <w:rPr>
          <w:i/>
          <w:color w:val="auto"/>
          <w:sz w:val="22"/>
          <w:szCs w:val="22"/>
        </w:rPr>
      </w:pPr>
      <w:r w:rsidRPr="00382816">
        <w:rPr>
          <w:i/>
          <w:color w:val="auto"/>
          <w:sz w:val="22"/>
          <w:szCs w:val="22"/>
        </w:rPr>
        <w:t>Dejstvo na frakture kičmenih pršljenova</w:t>
      </w:r>
    </w:p>
    <w:p w14:paraId="2A060BCC" w14:textId="07E39120" w:rsidR="00662535" w:rsidRPr="00382816" w:rsidRDefault="008011D6" w:rsidP="00B0072D">
      <w:pPr>
        <w:jc w:val="both"/>
        <w:rPr>
          <w:szCs w:val="22"/>
        </w:rPr>
      </w:pPr>
      <w:r w:rsidRPr="00382816">
        <w:rPr>
          <w:szCs w:val="22"/>
        </w:rPr>
        <w:t>Lijek Prolia značajno smanjuje rizik od pojave novih fraktura kičmenih pršljenova u 1., 2. i 3. godini (p &lt; 0,0001) (vidjeti tabelu 2).</w:t>
      </w:r>
    </w:p>
    <w:p w14:paraId="44FF5F2F" w14:textId="77777777" w:rsidR="00662535" w:rsidRPr="00382816" w:rsidRDefault="00662535" w:rsidP="00B0072D">
      <w:pPr>
        <w:jc w:val="both"/>
        <w:rPr>
          <w:szCs w:val="22"/>
        </w:rPr>
      </w:pPr>
    </w:p>
    <w:p w14:paraId="13F37242" w14:textId="77777777" w:rsidR="00662535" w:rsidRPr="00382816" w:rsidRDefault="008011D6" w:rsidP="00B0072D">
      <w:pPr>
        <w:pStyle w:val="Style11BoldLeft"/>
        <w:jc w:val="both"/>
      </w:pPr>
      <w:r w:rsidRPr="00382816">
        <w:t>Tabela 2 Dejstvo lijeka Prolia na rizik od pojave novih fraktura kičmenih pršljenova</w:t>
      </w:r>
    </w:p>
    <w:p w14:paraId="7D72FBD4" w14:textId="77777777" w:rsidR="008011D6" w:rsidRPr="00382816" w:rsidRDefault="008011D6" w:rsidP="00B0072D">
      <w:pPr>
        <w:keepNext/>
        <w:jc w:val="both"/>
        <w:rPr>
          <w:szCs w:val="22"/>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5"/>
        <w:gridCol w:w="1994"/>
        <w:gridCol w:w="1995"/>
        <w:gridCol w:w="1635"/>
        <w:gridCol w:w="1934"/>
      </w:tblGrid>
      <w:tr w:rsidR="008011D6" w:rsidRPr="00382816" w14:paraId="3AA0B199" w14:textId="77777777" w:rsidTr="00164F2F">
        <w:trPr>
          <w:trHeight w:val="89"/>
          <w:tblHeader/>
        </w:trPr>
        <w:tc>
          <w:tcPr>
            <w:tcW w:w="662" w:type="pct"/>
            <w:vMerge w:val="restart"/>
          </w:tcPr>
          <w:p w14:paraId="3F33FA83" w14:textId="77777777" w:rsidR="008011D6" w:rsidRPr="00382816" w:rsidRDefault="008011D6" w:rsidP="00B0072D">
            <w:pPr>
              <w:keepNext/>
              <w:jc w:val="both"/>
              <w:rPr>
                <w:szCs w:val="22"/>
              </w:rPr>
            </w:pPr>
          </w:p>
        </w:tc>
        <w:tc>
          <w:tcPr>
            <w:tcW w:w="2289" w:type="pct"/>
            <w:gridSpan w:val="2"/>
          </w:tcPr>
          <w:p w14:paraId="481E4F3A" w14:textId="77777777" w:rsidR="008011D6" w:rsidRPr="00382816" w:rsidRDefault="008011D6" w:rsidP="00B0072D">
            <w:pPr>
              <w:keepNext/>
              <w:jc w:val="both"/>
              <w:rPr>
                <w:szCs w:val="22"/>
              </w:rPr>
            </w:pPr>
            <w:r w:rsidRPr="00382816">
              <w:rPr>
                <w:szCs w:val="22"/>
              </w:rPr>
              <w:t>Proporcija žena sa frakturama (%)</w:t>
            </w:r>
          </w:p>
        </w:tc>
        <w:tc>
          <w:tcPr>
            <w:tcW w:w="938" w:type="pct"/>
            <w:vMerge w:val="restart"/>
          </w:tcPr>
          <w:p w14:paraId="4DD24387" w14:textId="77777777" w:rsidR="00662535" w:rsidRPr="00382816" w:rsidRDefault="008011D6" w:rsidP="00B0072D">
            <w:pPr>
              <w:keepNext/>
              <w:jc w:val="both"/>
              <w:rPr>
                <w:szCs w:val="22"/>
              </w:rPr>
            </w:pPr>
            <w:r w:rsidRPr="00382816">
              <w:rPr>
                <w:szCs w:val="22"/>
              </w:rPr>
              <w:t>Smanjenje apsolutnog rizika (%)</w:t>
            </w:r>
          </w:p>
          <w:p w14:paraId="16757B9F" w14:textId="77777777" w:rsidR="008011D6" w:rsidRPr="00382816" w:rsidRDefault="008011D6" w:rsidP="00B0072D">
            <w:pPr>
              <w:keepNext/>
              <w:jc w:val="both"/>
              <w:rPr>
                <w:szCs w:val="22"/>
              </w:rPr>
            </w:pPr>
            <w:r w:rsidRPr="00382816">
              <w:rPr>
                <w:szCs w:val="22"/>
              </w:rPr>
              <w:t>(95% IP)</w:t>
            </w:r>
          </w:p>
        </w:tc>
        <w:tc>
          <w:tcPr>
            <w:tcW w:w="1110" w:type="pct"/>
            <w:vMerge w:val="restart"/>
          </w:tcPr>
          <w:p w14:paraId="3414339E" w14:textId="77777777" w:rsidR="00662535" w:rsidRPr="00382816" w:rsidRDefault="008011D6" w:rsidP="00B0072D">
            <w:pPr>
              <w:keepNext/>
              <w:jc w:val="both"/>
              <w:rPr>
                <w:szCs w:val="22"/>
              </w:rPr>
            </w:pPr>
            <w:r w:rsidRPr="00382816">
              <w:rPr>
                <w:szCs w:val="22"/>
              </w:rPr>
              <w:t>Smanjenje relativnog rizika (%)</w:t>
            </w:r>
          </w:p>
          <w:p w14:paraId="060CF85D" w14:textId="77777777" w:rsidR="008011D6" w:rsidRPr="00382816" w:rsidRDefault="008011D6" w:rsidP="00B0072D">
            <w:pPr>
              <w:keepNext/>
              <w:jc w:val="both"/>
              <w:rPr>
                <w:szCs w:val="22"/>
              </w:rPr>
            </w:pPr>
            <w:r w:rsidRPr="00382816">
              <w:rPr>
                <w:szCs w:val="22"/>
              </w:rPr>
              <w:t>(95% IP)</w:t>
            </w:r>
          </w:p>
        </w:tc>
      </w:tr>
      <w:tr w:rsidR="008011D6" w:rsidRPr="00382816" w14:paraId="623FFCE1" w14:textId="77777777" w:rsidTr="00164F2F">
        <w:trPr>
          <w:trHeight w:val="584"/>
          <w:tblHeader/>
        </w:trPr>
        <w:tc>
          <w:tcPr>
            <w:tcW w:w="662" w:type="pct"/>
            <w:vMerge/>
          </w:tcPr>
          <w:p w14:paraId="41C9FBB2" w14:textId="77777777" w:rsidR="008011D6" w:rsidRPr="00382816" w:rsidRDefault="008011D6" w:rsidP="00B0072D">
            <w:pPr>
              <w:keepNext/>
              <w:jc w:val="both"/>
              <w:rPr>
                <w:szCs w:val="22"/>
              </w:rPr>
            </w:pPr>
          </w:p>
        </w:tc>
        <w:tc>
          <w:tcPr>
            <w:tcW w:w="1144" w:type="pct"/>
          </w:tcPr>
          <w:p w14:paraId="7CC9AF95" w14:textId="77777777" w:rsidR="00662535" w:rsidRPr="00382816" w:rsidRDefault="008011D6" w:rsidP="00B0072D">
            <w:pPr>
              <w:keepNext/>
              <w:jc w:val="both"/>
              <w:rPr>
                <w:szCs w:val="22"/>
              </w:rPr>
            </w:pPr>
            <w:r w:rsidRPr="00382816">
              <w:rPr>
                <w:szCs w:val="22"/>
              </w:rPr>
              <w:t>Placebo</w:t>
            </w:r>
          </w:p>
          <w:p w14:paraId="6061D1C0" w14:textId="77777777" w:rsidR="008011D6" w:rsidRPr="00382816" w:rsidRDefault="008011D6" w:rsidP="00B0072D">
            <w:pPr>
              <w:keepNext/>
              <w:jc w:val="both"/>
              <w:rPr>
                <w:szCs w:val="22"/>
              </w:rPr>
            </w:pPr>
            <w:r w:rsidRPr="00382816">
              <w:rPr>
                <w:szCs w:val="22"/>
              </w:rPr>
              <w:t>n = 3906</w:t>
            </w:r>
          </w:p>
        </w:tc>
        <w:tc>
          <w:tcPr>
            <w:tcW w:w="1144" w:type="pct"/>
          </w:tcPr>
          <w:p w14:paraId="23B89EE0" w14:textId="77777777" w:rsidR="00662535" w:rsidRPr="00382816" w:rsidRDefault="008011D6" w:rsidP="00B0072D">
            <w:pPr>
              <w:keepNext/>
              <w:jc w:val="both"/>
              <w:rPr>
                <w:szCs w:val="22"/>
              </w:rPr>
            </w:pPr>
            <w:r w:rsidRPr="00382816">
              <w:rPr>
                <w:szCs w:val="22"/>
              </w:rPr>
              <w:t>Prolia</w:t>
            </w:r>
          </w:p>
          <w:p w14:paraId="7CB3AEF8" w14:textId="77777777" w:rsidR="008011D6" w:rsidRPr="00382816" w:rsidRDefault="008011D6" w:rsidP="00B0072D">
            <w:pPr>
              <w:keepNext/>
              <w:jc w:val="both"/>
              <w:rPr>
                <w:szCs w:val="22"/>
              </w:rPr>
            </w:pPr>
            <w:r w:rsidRPr="00382816">
              <w:rPr>
                <w:szCs w:val="22"/>
              </w:rPr>
              <w:t>n = 3902</w:t>
            </w:r>
          </w:p>
        </w:tc>
        <w:tc>
          <w:tcPr>
            <w:tcW w:w="938" w:type="pct"/>
            <w:vMerge/>
          </w:tcPr>
          <w:p w14:paraId="144C57C2" w14:textId="77777777" w:rsidR="008011D6" w:rsidRPr="00382816" w:rsidRDefault="008011D6" w:rsidP="00B0072D">
            <w:pPr>
              <w:keepNext/>
              <w:jc w:val="both"/>
              <w:rPr>
                <w:szCs w:val="22"/>
              </w:rPr>
            </w:pPr>
          </w:p>
        </w:tc>
        <w:tc>
          <w:tcPr>
            <w:tcW w:w="1110" w:type="pct"/>
            <w:vMerge/>
          </w:tcPr>
          <w:p w14:paraId="4FCF6419" w14:textId="77777777" w:rsidR="008011D6" w:rsidRPr="00382816" w:rsidRDefault="008011D6" w:rsidP="00B0072D">
            <w:pPr>
              <w:keepNext/>
              <w:jc w:val="both"/>
              <w:rPr>
                <w:szCs w:val="22"/>
              </w:rPr>
            </w:pPr>
          </w:p>
        </w:tc>
      </w:tr>
      <w:tr w:rsidR="008011D6" w:rsidRPr="00382816" w14:paraId="4370CC31" w14:textId="77777777" w:rsidTr="00164F2F">
        <w:trPr>
          <w:trHeight w:val="50"/>
        </w:trPr>
        <w:tc>
          <w:tcPr>
            <w:tcW w:w="662" w:type="pct"/>
          </w:tcPr>
          <w:p w14:paraId="4BD52FDC" w14:textId="77777777" w:rsidR="008011D6" w:rsidRPr="00382816" w:rsidRDefault="008011D6" w:rsidP="00B0072D">
            <w:pPr>
              <w:keepNext/>
              <w:jc w:val="both"/>
              <w:rPr>
                <w:szCs w:val="22"/>
              </w:rPr>
            </w:pPr>
            <w:r w:rsidRPr="00382816">
              <w:rPr>
                <w:szCs w:val="22"/>
              </w:rPr>
              <w:t>0</w:t>
            </w:r>
            <w:r w:rsidRPr="00382816">
              <w:rPr>
                <w:szCs w:val="22"/>
              </w:rPr>
              <w:noBreakHyphen/>
              <w:t>1 godina</w:t>
            </w:r>
          </w:p>
        </w:tc>
        <w:tc>
          <w:tcPr>
            <w:tcW w:w="1144" w:type="pct"/>
          </w:tcPr>
          <w:p w14:paraId="4C99E8E2" w14:textId="77777777" w:rsidR="008011D6" w:rsidRPr="00382816" w:rsidRDefault="008011D6" w:rsidP="00B0072D">
            <w:pPr>
              <w:keepNext/>
              <w:jc w:val="both"/>
              <w:rPr>
                <w:szCs w:val="22"/>
              </w:rPr>
            </w:pPr>
            <w:r w:rsidRPr="00382816">
              <w:rPr>
                <w:szCs w:val="22"/>
              </w:rPr>
              <w:t>2,2</w:t>
            </w:r>
          </w:p>
        </w:tc>
        <w:tc>
          <w:tcPr>
            <w:tcW w:w="1144" w:type="pct"/>
          </w:tcPr>
          <w:p w14:paraId="4787F766" w14:textId="77777777" w:rsidR="008011D6" w:rsidRPr="00382816" w:rsidRDefault="008011D6" w:rsidP="00B0072D">
            <w:pPr>
              <w:keepNext/>
              <w:jc w:val="both"/>
              <w:rPr>
                <w:szCs w:val="22"/>
              </w:rPr>
            </w:pPr>
            <w:r w:rsidRPr="00382816">
              <w:rPr>
                <w:szCs w:val="22"/>
              </w:rPr>
              <w:t>0,9</w:t>
            </w:r>
          </w:p>
        </w:tc>
        <w:tc>
          <w:tcPr>
            <w:tcW w:w="938" w:type="pct"/>
          </w:tcPr>
          <w:p w14:paraId="462AE0F7" w14:textId="77777777" w:rsidR="008011D6" w:rsidRPr="00382816" w:rsidRDefault="008011D6" w:rsidP="00B0072D">
            <w:pPr>
              <w:keepNext/>
              <w:jc w:val="both"/>
              <w:rPr>
                <w:szCs w:val="22"/>
              </w:rPr>
            </w:pPr>
            <w:r w:rsidRPr="00382816">
              <w:rPr>
                <w:szCs w:val="22"/>
              </w:rPr>
              <w:t>1,4 (0,8; 1,9)</w:t>
            </w:r>
          </w:p>
        </w:tc>
        <w:tc>
          <w:tcPr>
            <w:tcW w:w="1110" w:type="pct"/>
          </w:tcPr>
          <w:p w14:paraId="7605468F" w14:textId="77777777" w:rsidR="008011D6" w:rsidRPr="00382816" w:rsidRDefault="008011D6" w:rsidP="00B0072D">
            <w:pPr>
              <w:keepNext/>
              <w:jc w:val="both"/>
              <w:rPr>
                <w:szCs w:val="22"/>
              </w:rPr>
            </w:pPr>
            <w:r w:rsidRPr="00382816">
              <w:rPr>
                <w:szCs w:val="22"/>
              </w:rPr>
              <w:t>61 (42; 74)**</w:t>
            </w:r>
          </w:p>
        </w:tc>
      </w:tr>
      <w:tr w:rsidR="008011D6" w:rsidRPr="00382816" w14:paraId="1183DCF9" w14:textId="77777777" w:rsidTr="00164F2F">
        <w:trPr>
          <w:trHeight w:val="50"/>
        </w:trPr>
        <w:tc>
          <w:tcPr>
            <w:tcW w:w="662" w:type="pct"/>
          </w:tcPr>
          <w:p w14:paraId="59565189" w14:textId="77777777" w:rsidR="008011D6" w:rsidRPr="00382816" w:rsidRDefault="008011D6" w:rsidP="00B0072D">
            <w:pPr>
              <w:keepNext/>
              <w:jc w:val="both"/>
              <w:rPr>
                <w:szCs w:val="22"/>
              </w:rPr>
            </w:pPr>
            <w:r w:rsidRPr="00382816">
              <w:rPr>
                <w:szCs w:val="22"/>
              </w:rPr>
              <w:t>0</w:t>
            </w:r>
            <w:r w:rsidRPr="00382816">
              <w:rPr>
                <w:szCs w:val="22"/>
              </w:rPr>
              <w:noBreakHyphen/>
              <w:t>2 godine</w:t>
            </w:r>
          </w:p>
        </w:tc>
        <w:tc>
          <w:tcPr>
            <w:tcW w:w="1144" w:type="pct"/>
          </w:tcPr>
          <w:p w14:paraId="5F82D786" w14:textId="77777777" w:rsidR="008011D6" w:rsidRPr="00382816" w:rsidRDefault="008011D6" w:rsidP="00B0072D">
            <w:pPr>
              <w:keepNext/>
              <w:jc w:val="both"/>
              <w:rPr>
                <w:szCs w:val="22"/>
              </w:rPr>
            </w:pPr>
            <w:r w:rsidRPr="00382816">
              <w:rPr>
                <w:szCs w:val="22"/>
              </w:rPr>
              <w:t>5,0</w:t>
            </w:r>
          </w:p>
        </w:tc>
        <w:tc>
          <w:tcPr>
            <w:tcW w:w="1144" w:type="pct"/>
          </w:tcPr>
          <w:p w14:paraId="399318F4" w14:textId="77777777" w:rsidR="008011D6" w:rsidRPr="00382816" w:rsidRDefault="008011D6" w:rsidP="00B0072D">
            <w:pPr>
              <w:keepNext/>
              <w:jc w:val="both"/>
              <w:rPr>
                <w:szCs w:val="22"/>
              </w:rPr>
            </w:pPr>
            <w:r w:rsidRPr="00382816">
              <w:rPr>
                <w:szCs w:val="22"/>
              </w:rPr>
              <w:t>1,4</w:t>
            </w:r>
          </w:p>
        </w:tc>
        <w:tc>
          <w:tcPr>
            <w:tcW w:w="938" w:type="pct"/>
          </w:tcPr>
          <w:p w14:paraId="5B312A59" w14:textId="77777777" w:rsidR="008011D6" w:rsidRPr="00382816" w:rsidRDefault="008011D6" w:rsidP="00B0072D">
            <w:pPr>
              <w:keepNext/>
              <w:jc w:val="both"/>
              <w:rPr>
                <w:szCs w:val="22"/>
              </w:rPr>
            </w:pPr>
            <w:r w:rsidRPr="00382816">
              <w:rPr>
                <w:szCs w:val="22"/>
              </w:rPr>
              <w:t>3,5 (2,7; 4,3)</w:t>
            </w:r>
          </w:p>
        </w:tc>
        <w:tc>
          <w:tcPr>
            <w:tcW w:w="1110" w:type="pct"/>
          </w:tcPr>
          <w:p w14:paraId="08326CC8" w14:textId="77777777" w:rsidR="008011D6" w:rsidRPr="00382816" w:rsidRDefault="008011D6" w:rsidP="00B0072D">
            <w:pPr>
              <w:keepNext/>
              <w:jc w:val="both"/>
              <w:rPr>
                <w:szCs w:val="22"/>
              </w:rPr>
            </w:pPr>
            <w:r w:rsidRPr="00382816">
              <w:rPr>
                <w:szCs w:val="22"/>
              </w:rPr>
              <w:t>71 (61; 79)**</w:t>
            </w:r>
          </w:p>
        </w:tc>
      </w:tr>
      <w:tr w:rsidR="008011D6" w:rsidRPr="00382816" w14:paraId="1CE67C8E" w14:textId="77777777" w:rsidTr="00164F2F">
        <w:trPr>
          <w:trHeight w:val="50"/>
        </w:trPr>
        <w:tc>
          <w:tcPr>
            <w:tcW w:w="662" w:type="pct"/>
          </w:tcPr>
          <w:p w14:paraId="0AC0E54C" w14:textId="77777777" w:rsidR="008011D6" w:rsidRPr="00382816" w:rsidRDefault="008011D6" w:rsidP="00B0072D">
            <w:pPr>
              <w:keepNext/>
              <w:jc w:val="both"/>
              <w:rPr>
                <w:szCs w:val="22"/>
              </w:rPr>
            </w:pPr>
            <w:r w:rsidRPr="00382816">
              <w:rPr>
                <w:szCs w:val="22"/>
              </w:rPr>
              <w:t>0</w:t>
            </w:r>
            <w:r w:rsidRPr="00382816">
              <w:rPr>
                <w:szCs w:val="22"/>
              </w:rPr>
              <w:noBreakHyphen/>
              <w:t>3 godine</w:t>
            </w:r>
          </w:p>
        </w:tc>
        <w:tc>
          <w:tcPr>
            <w:tcW w:w="1144" w:type="pct"/>
          </w:tcPr>
          <w:p w14:paraId="252947DD" w14:textId="77777777" w:rsidR="008011D6" w:rsidRPr="00382816" w:rsidRDefault="008011D6" w:rsidP="00B0072D">
            <w:pPr>
              <w:keepNext/>
              <w:jc w:val="both"/>
              <w:rPr>
                <w:szCs w:val="22"/>
              </w:rPr>
            </w:pPr>
            <w:r w:rsidRPr="00382816">
              <w:rPr>
                <w:szCs w:val="22"/>
              </w:rPr>
              <w:t>7,2</w:t>
            </w:r>
          </w:p>
        </w:tc>
        <w:tc>
          <w:tcPr>
            <w:tcW w:w="1144" w:type="pct"/>
          </w:tcPr>
          <w:p w14:paraId="3BB6A60D" w14:textId="77777777" w:rsidR="008011D6" w:rsidRPr="00382816" w:rsidRDefault="008011D6" w:rsidP="00B0072D">
            <w:pPr>
              <w:keepNext/>
              <w:jc w:val="both"/>
              <w:rPr>
                <w:szCs w:val="22"/>
              </w:rPr>
            </w:pPr>
            <w:r w:rsidRPr="00382816">
              <w:rPr>
                <w:szCs w:val="22"/>
              </w:rPr>
              <w:t>2,3</w:t>
            </w:r>
          </w:p>
        </w:tc>
        <w:tc>
          <w:tcPr>
            <w:tcW w:w="938" w:type="pct"/>
          </w:tcPr>
          <w:p w14:paraId="690D2679" w14:textId="77777777" w:rsidR="008011D6" w:rsidRPr="00382816" w:rsidRDefault="008011D6" w:rsidP="00B0072D">
            <w:pPr>
              <w:keepNext/>
              <w:jc w:val="both"/>
              <w:rPr>
                <w:szCs w:val="22"/>
              </w:rPr>
            </w:pPr>
            <w:r w:rsidRPr="00382816">
              <w:rPr>
                <w:szCs w:val="22"/>
              </w:rPr>
              <w:t>4,8 (3,9; 5,8)</w:t>
            </w:r>
          </w:p>
        </w:tc>
        <w:tc>
          <w:tcPr>
            <w:tcW w:w="1110" w:type="pct"/>
          </w:tcPr>
          <w:p w14:paraId="3889E36C" w14:textId="77777777" w:rsidR="008011D6" w:rsidRPr="00382816" w:rsidRDefault="008011D6" w:rsidP="00B0072D">
            <w:pPr>
              <w:keepNext/>
              <w:jc w:val="both"/>
              <w:rPr>
                <w:szCs w:val="22"/>
              </w:rPr>
            </w:pPr>
            <w:r w:rsidRPr="00382816">
              <w:rPr>
                <w:szCs w:val="22"/>
              </w:rPr>
              <w:t>68 (59; 74)*</w:t>
            </w:r>
          </w:p>
        </w:tc>
      </w:tr>
    </w:tbl>
    <w:p w14:paraId="514510A7" w14:textId="5398B31C" w:rsidR="00662535" w:rsidRPr="00382816" w:rsidRDefault="008011D6" w:rsidP="00B0072D">
      <w:pPr>
        <w:keepNext/>
        <w:jc w:val="both"/>
        <w:rPr>
          <w:szCs w:val="22"/>
        </w:rPr>
      </w:pPr>
      <w:r w:rsidRPr="00382816">
        <w:rPr>
          <w:szCs w:val="22"/>
        </w:rPr>
        <w:t>*p &lt; 0,0001, **p &lt; 0,0001 – eksplorativna analiza.</w:t>
      </w:r>
    </w:p>
    <w:p w14:paraId="619CB1EE" w14:textId="77777777" w:rsidR="00662535" w:rsidRPr="00382816" w:rsidRDefault="00662535" w:rsidP="00B0072D">
      <w:pPr>
        <w:jc w:val="both"/>
        <w:rPr>
          <w:szCs w:val="22"/>
        </w:rPr>
      </w:pPr>
    </w:p>
    <w:p w14:paraId="5362DA71" w14:textId="77777777" w:rsidR="00662535" w:rsidRPr="00382816" w:rsidRDefault="008011D6" w:rsidP="00B0072D">
      <w:pPr>
        <w:pStyle w:val="Text"/>
        <w:keepNext/>
        <w:tabs>
          <w:tab w:val="left" w:pos="567"/>
        </w:tabs>
        <w:spacing w:before="0" w:beforeAutospacing="0" w:after="0" w:afterAutospacing="0" w:line="240" w:lineRule="auto"/>
        <w:ind w:left="0"/>
        <w:jc w:val="both"/>
        <w:rPr>
          <w:i/>
          <w:color w:val="auto"/>
          <w:sz w:val="22"/>
          <w:szCs w:val="22"/>
        </w:rPr>
      </w:pPr>
      <w:r w:rsidRPr="00382816">
        <w:rPr>
          <w:i/>
          <w:color w:val="auto"/>
          <w:sz w:val="22"/>
          <w:szCs w:val="22"/>
        </w:rPr>
        <w:t>Dejstvo na frakture kuka</w:t>
      </w:r>
    </w:p>
    <w:p w14:paraId="1262F8DF" w14:textId="77777777" w:rsidR="00662535" w:rsidRPr="00382816" w:rsidRDefault="008011D6" w:rsidP="00B0072D">
      <w:pPr>
        <w:autoSpaceDE w:val="0"/>
        <w:autoSpaceDN w:val="0"/>
        <w:adjustRightInd w:val="0"/>
        <w:jc w:val="both"/>
        <w:rPr>
          <w:szCs w:val="22"/>
        </w:rPr>
      </w:pPr>
      <w:r w:rsidRPr="00382816">
        <w:rPr>
          <w:szCs w:val="22"/>
        </w:rPr>
        <w:t>Lijek Prolia pokazuje 40% smanjenje relativnog rizika (0,5% smanjenje apsolutnog rizika) od frakture kuka tokom 3 godine (p &lt; 0,05). Incidenca frakture kuka iznosila je 1,2% u placebo grupi u poređenju sa 0,7% u grupi koja je primala lijek Prolia u 3 godini.</w:t>
      </w:r>
    </w:p>
    <w:p w14:paraId="79F231FD" w14:textId="77777777" w:rsidR="00662535" w:rsidRPr="00382816" w:rsidRDefault="00662535" w:rsidP="00B0072D">
      <w:pPr>
        <w:pStyle w:val="lbltxt"/>
        <w:jc w:val="both"/>
        <w:rPr>
          <w:noProof w:val="0"/>
          <w:szCs w:val="22"/>
        </w:rPr>
      </w:pPr>
    </w:p>
    <w:p w14:paraId="5B74B2D7" w14:textId="77777777" w:rsidR="00662535" w:rsidRPr="00382816" w:rsidRDefault="008011D6" w:rsidP="00B0072D">
      <w:pPr>
        <w:jc w:val="both"/>
        <w:rPr>
          <w:szCs w:val="22"/>
        </w:rPr>
      </w:pPr>
      <w:r w:rsidRPr="00382816">
        <w:rPr>
          <w:szCs w:val="22"/>
        </w:rPr>
        <w:t>U post</w:t>
      </w:r>
      <w:r w:rsidRPr="00382816">
        <w:rPr>
          <w:szCs w:val="22"/>
        </w:rPr>
        <w:noBreakHyphen/>
        <w:t>hoc analizi kod žena &gt; 75 godina starosti, zapaženo je 62% smanjenje relativnog rizika sa lijekom Prolia (1,4% smanjenje apsolutnog rizika, p &lt; 0,01).</w:t>
      </w:r>
    </w:p>
    <w:p w14:paraId="26FDCCBB" w14:textId="77777777" w:rsidR="00662535" w:rsidRPr="00382816" w:rsidRDefault="00662535" w:rsidP="00B0072D">
      <w:pPr>
        <w:jc w:val="both"/>
        <w:rPr>
          <w:szCs w:val="22"/>
        </w:rPr>
      </w:pPr>
    </w:p>
    <w:p w14:paraId="71A3E79D" w14:textId="77777777" w:rsidR="00662535" w:rsidRPr="00382816" w:rsidRDefault="008011D6" w:rsidP="00B0072D">
      <w:pPr>
        <w:pStyle w:val="Text"/>
        <w:keepNext/>
        <w:tabs>
          <w:tab w:val="left" w:pos="567"/>
        </w:tabs>
        <w:spacing w:before="0" w:beforeAutospacing="0" w:after="0" w:afterAutospacing="0" w:line="240" w:lineRule="auto"/>
        <w:ind w:left="0"/>
        <w:jc w:val="both"/>
        <w:rPr>
          <w:i/>
          <w:color w:val="auto"/>
          <w:sz w:val="22"/>
          <w:szCs w:val="22"/>
        </w:rPr>
      </w:pPr>
      <w:r w:rsidRPr="00382816">
        <w:rPr>
          <w:i/>
          <w:color w:val="auto"/>
          <w:sz w:val="22"/>
          <w:szCs w:val="22"/>
        </w:rPr>
        <w:t>Dejstvo na sve kliničke frakture</w:t>
      </w:r>
    </w:p>
    <w:p w14:paraId="37F96F64" w14:textId="77777777" w:rsidR="00662535" w:rsidRPr="00382816" w:rsidRDefault="008011D6" w:rsidP="00B0072D">
      <w:pPr>
        <w:autoSpaceDE w:val="0"/>
        <w:autoSpaceDN w:val="0"/>
        <w:adjustRightInd w:val="0"/>
        <w:jc w:val="both"/>
        <w:rPr>
          <w:szCs w:val="22"/>
        </w:rPr>
      </w:pPr>
      <w:r w:rsidRPr="00382816">
        <w:rPr>
          <w:szCs w:val="22"/>
        </w:rPr>
        <w:t>Lijek Prolia značajno smanjuje sve tipove/grupe fraktura (vidjeti tabelu 3).</w:t>
      </w:r>
    </w:p>
    <w:p w14:paraId="773324D1" w14:textId="77777777" w:rsidR="00662535" w:rsidRPr="00382816" w:rsidRDefault="00662535" w:rsidP="00B0072D">
      <w:pPr>
        <w:pStyle w:val="lbltxt"/>
        <w:autoSpaceDE w:val="0"/>
        <w:autoSpaceDN w:val="0"/>
        <w:adjustRightInd w:val="0"/>
        <w:jc w:val="both"/>
        <w:rPr>
          <w:noProof w:val="0"/>
          <w:szCs w:val="22"/>
        </w:rPr>
      </w:pPr>
    </w:p>
    <w:p w14:paraId="00186FCC" w14:textId="6065ABAD" w:rsidR="00662535" w:rsidRPr="00382816" w:rsidRDefault="008011D6" w:rsidP="00B0072D">
      <w:pPr>
        <w:pStyle w:val="Text"/>
        <w:keepNext/>
        <w:tabs>
          <w:tab w:val="left" w:pos="567"/>
        </w:tabs>
        <w:spacing w:before="0" w:beforeAutospacing="0" w:after="0" w:afterAutospacing="0" w:line="240" w:lineRule="auto"/>
        <w:ind w:left="0"/>
        <w:jc w:val="both"/>
        <w:outlineLvl w:val="0"/>
        <w:rPr>
          <w:b/>
          <w:color w:val="auto"/>
          <w:sz w:val="22"/>
          <w:szCs w:val="22"/>
        </w:rPr>
      </w:pPr>
      <w:r w:rsidRPr="00382816">
        <w:rPr>
          <w:b/>
          <w:color w:val="auto"/>
          <w:sz w:val="22"/>
          <w:szCs w:val="22"/>
        </w:rPr>
        <w:lastRenderedPageBreak/>
        <w:t>Tabela 3 Dejstvo lijeka Prolia na rizik od pojave kliničkih fraktura u toku 3 godine</w:t>
      </w:r>
    </w:p>
    <w:p w14:paraId="4485A0FA" w14:textId="77777777" w:rsidR="008011D6" w:rsidRPr="00382816" w:rsidRDefault="008011D6" w:rsidP="00B0072D">
      <w:pPr>
        <w:pStyle w:val="Text"/>
        <w:keepNext/>
        <w:tabs>
          <w:tab w:val="left" w:pos="567"/>
        </w:tabs>
        <w:spacing w:before="0" w:beforeAutospacing="0" w:after="0" w:afterAutospacing="0" w:line="240" w:lineRule="auto"/>
        <w:ind w:left="0"/>
        <w:jc w:val="both"/>
        <w:outlineLvl w:val="0"/>
        <w:rPr>
          <w:color w:val="auto"/>
          <w:sz w:val="22"/>
          <w:szCs w:val="22"/>
          <w:u w:val="single"/>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1244"/>
        <w:gridCol w:w="1385"/>
        <w:gridCol w:w="1521"/>
        <w:gridCol w:w="1797"/>
      </w:tblGrid>
      <w:tr w:rsidR="008011D6" w:rsidRPr="00382816" w14:paraId="538B3412" w14:textId="77777777" w:rsidTr="00E6380D">
        <w:trPr>
          <w:trHeight w:val="89"/>
          <w:tblHeader/>
        </w:trPr>
        <w:tc>
          <w:tcPr>
            <w:tcW w:w="1587" w:type="pct"/>
            <w:vMerge w:val="restart"/>
            <w:tcBorders>
              <w:top w:val="single" w:sz="4" w:space="0" w:color="auto"/>
              <w:left w:val="single" w:sz="4" w:space="0" w:color="auto"/>
              <w:right w:val="single" w:sz="4" w:space="0" w:color="auto"/>
            </w:tcBorders>
          </w:tcPr>
          <w:p w14:paraId="557D75AE" w14:textId="77777777" w:rsidR="008011D6" w:rsidRPr="00382816" w:rsidRDefault="008011D6" w:rsidP="00B0072D">
            <w:pPr>
              <w:pStyle w:val="lbltxt"/>
              <w:keepNext/>
              <w:jc w:val="both"/>
              <w:rPr>
                <w:noProof w:val="0"/>
                <w:szCs w:val="22"/>
              </w:rPr>
            </w:pPr>
          </w:p>
        </w:tc>
        <w:tc>
          <w:tcPr>
            <w:tcW w:w="1509" w:type="pct"/>
            <w:gridSpan w:val="2"/>
            <w:tcBorders>
              <w:top w:val="single" w:sz="4" w:space="0" w:color="auto"/>
              <w:left w:val="single" w:sz="4" w:space="0" w:color="auto"/>
              <w:bottom w:val="single" w:sz="4" w:space="0" w:color="auto"/>
              <w:right w:val="single" w:sz="4" w:space="0" w:color="auto"/>
            </w:tcBorders>
          </w:tcPr>
          <w:p w14:paraId="49187A0A" w14:textId="77777777" w:rsidR="008011D6" w:rsidRPr="00382816" w:rsidRDefault="008011D6" w:rsidP="00B0072D">
            <w:pPr>
              <w:keepNext/>
              <w:jc w:val="both"/>
              <w:rPr>
                <w:szCs w:val="22"/>
              </w:rPr>
            </w:pPr>
            <w:r w:rsidRPr="00382816">
              <w:rPr>
                <w:szCs w:val="22"/>
              </w:rPr>
              <w:t>Proporcija žena sa frakturama (%)</w:t>
            </w:r>
            <w:r w:rsidRPr="00382816">
              <w:rPr>
                <w:szCs w:val="22"/>
                <w:vertAlign w:val="superscript"/>
              </w:rPr>
              <w:t>+</w:t>
            </w:r>
          </w:p>
        </w:tc>
        <w:tc>
          <w:tcPr>
            <w:tcW w:w="873" w:type="pct"/>
            <w:vMerge w:val="restart"/>
            <w:tcBorders>
              <w:top w:val="single" w:sz="4" w:space="0" w:color="auto"/>
              <w:left w:val="single" w:sz="4" w:space="0" w:color="auto"/>
              <w:bottom w:val="single" w:sz="4" w:space="0" w:color="auto"/>
              <w:right w:val="single" w:sz="4" w:space="0" w:color="auto"/>
            </w:tcBorders>
          </w:tcPr>
          <w:p w14:paraId="4B0EA5B4" w14:textId="77777777" w:rsidR="00662535" w:rsidRPr="00382816" w:rsidRDefault="008011D6" w:rsidP="00B0072D">
            <w:pPr>
              <w:keepNext/>
              <w:jc w:val="both"/>
              <w:rPr>
                <w:szCs w:val="22"/>
              </w:rPr>
            </w:pPr>
            <w:r w:rsidRPr="00382816">
              <w:rPr>
                <w:szCs w:val="22"/>
              </w:rPr>
              <w:t>Smanjenje apsolutnog rizika (%)</w:t>
            </w:r>
          </w:p>
          <w:p w14:paraId="0BF7BC97" w14:textId="77777777" w:rsidR="008011D6" w:rsidRPr="00382816" w:rsidRDefault="008011D6" w:rsidP="00B0072D">
            <w:pPr>
              <w:keepNext/>
              <w:jc w:val="both"/>
              <w:rPr>
                <w:szCs w:val="22"/>
              </w:rPr>
            </w:pPr>
            <w:r w:rsidRPr="00382816">
              <w:rPr>
                <w:szCs w:val="22"/>
              </w:rPr>
              <w:t>(95% IP)</w:t>
            </w:r>
          </w:p>
        </w:tc>
        <w:tc>
          <w:tcPr>
            <w:tcW w:w="1031" w:type="pct"/>
            <w:vMerge w:val="restart"/>
            <w:tcBorders>
              <w:top w:val="single" w:sz="4" w:space="0" w:color="auto"/>
              <w:left w:val="single" w:sz="4" w:space="0" w:color="auto"/>
              <w:bottom w:val="single" w:sz="4" w:space="0" w:color="auto"/>
              <w:right w:val="single" w:sz="4" w:space="0" w:color="auto"/>
            </w:tcBorders>
          </w:tcPr>
          <w:p w14:paraId="3A0AAA4C" w14:textId="77777777" w:rsidR="00662535" w:rsidRPr="00382816" w:rsidRDefault="008011D6" w:rsidP="00B0072D">
            <w:pPr>
              <w:keepNext/>
              <w:jc w:val="both"/>
              <w:rPr>
                <w:szCs w:val="22"/>
              </w:rPr>
            </w:pPr>
            <w:r w:rsidRPr="00382816">
              <w:rPr>
                <w:szCs w:val="22"/>
              </w:rPr>
              <w:t>Smanjenje relativnog rizika (%)</w:t>
            </w:r>
          </w:p>
          <w:p w14:paraId="4633FD5A" w14:textId="77777777" w:rsidR="008011D6" w:rsidRPr="00382816" w:rsidRDefault="008011D6" w:rsidP="00B0072D">
            <w:pPr>
              <w:keepNext/>
              <w:jc w:val="both"/>
              <w:rPr>
                <w:szCs w:val="22"/>
              </w:rPr>
            </w:pPr>
            <w:r w:rsidRPr="00382816">
              <w:rPr>
                <w:szCs w:val="22"/>
              </w:rPr>
              <w:t>(95% IP)</w:t>
            </w:r>
          </w:p>
        </w:tc>
      </w:tr>
      <w:tr w:rsidR="008011D6" w:rsidRPr="00382816" w14:paraId="029B6469" w14:textId="77777777" w:rsidTr="00E6380D">
        <w:trPr>
          <w:trHeight w:val="269"/>
          <w:tblHeader/>
        </w:trPr>
        <w:tc>
          <w:tcPr>
            <w:tcW w:w="1587" w:type="pct"/>
            <w:vMerge/>
            <w:tcBorders>
              <w:left w:val="single" w:sz="4" w:space="0" w:color="auto"/>
              <w:bottom w:val="single" w:sz="4" w:space="0" w:color="auto"/>
              <w:right w:val="single" w:sz="4" w:space="0" w:color="auto"/>
            </w:tcBorders>
          </w:tcPr>
          <w:p w14:paraId="1E59703B" w14:textId="77777777" w:rsidR="008011D6" w:rsidRPr="00382816" w:rsidRDefault="008011D6" w:rsidP="00B0072D">
            <w:pPr>
              <w:keepNext/>
              <w:jc w:val="both"/>
              <w:rPr>
                <w:szCs w:val="22"/>
              </w:rPr>
            </w:pPr>
          </w:p>
        </w:tc>
        <w:tc>
          <w:tcPr>
            <w:tcW w:w="714" w:type="pct"/>
            <w:tcBorders>
              <w:top w:val="single" w:sz="4" w:space="0" w:color="auto"/>
              <w:left w:val="single" w:sz="4" w:space="0" w:color="auto"/>
              <w:bottom w:val="single" w:sz="4" w:space="0" w:color="auto"/>
              <w:right w:val="single" w:sz="4" w:space="0" w:color="auto"/>
            </w:tcBorders>
          </w:tcPr>
          <w:p w14:paraId="68334B2B" w14:textId="77777777" w:rsidR="00662535" w:rsidRPr="00382816" w:rsidRDefault="008011D6" w:rsidP="00B0072D">
            <w:pPr>
              <w:keepNext/>
              <w:jc w:val="both"/>
              <w:rPr>
                <w:szCs w:val="22"/>
              </w:rPr>
            </w:pPr>
            <w:r w:rsidRPr="00382816">
              <w:rPr>
                <w:szCs w:val="22"/>
              </w:rPr>
              <w:t>Placebo</w:t>
            </w:r>
          </w:p>
          <w:p w14:paraId="12D79241" w14:textId="77777777" w:rsidR="008011D6" w:rsidRPr="00382816" w:rsidRDefault="008011D6" w:rsidP="00B0072D">
            <w:pPr>
              <w:keepNext/>
              <w:jc w:val="both"/>
              <w:rPr>
                <w:szCs w:val="22"/>
              </w:rPr>
            </w:pPr>
            <w:r w:rsidRPr="00382816">
              <w:rPr>
                <w:szCs w:val="22"/>
              </w:rPr>
              <w:t>n = 3906</w:t>
            </w:r>
          </w:p>
        </w:tc>
        <w:tc>
          <w:tcPr>
            <w:tcW w:w="794" w:type="pct"/>
            <w:tcBorders>
              <w:top w:val="single" w:sz="4" w:space="0" w:color="auto"/>
              <w:left w:val="single" w:sz="4" w:space="0" w:color="auto"/>
              <w:bottom w:val="single" w:sz="4" w:space="0" w:color="auto"/>
              <w:right w:val="single" w:sz="4" w:space="0" w:color="auto"/>
            </w:tcBorders>
          </w:tcPr>
          <w:p w14:paraId="73129516" w14:textId="77777777" w:rsidR="00662535" w:rsidRPr="00382816" w:rsidRDefault="008011D6" w:rsidP="00B0072D">
            <w:pPr>
              <w:keepNext/>
              <w:jc w:val="both"/>
              <w:rPr>
                <w:szCs w:val="22"/>
              </w:rPr>
            </w:pPr>
            <w:r w:rsidRPr="00382816">
              <w:rPr>
                <w:szCs w:val="22"/>
              </w:rPr>
              <w:t>Prolia</w:t>
            </w:r>
          </w:p>
          <w:p w14:paraId="2AEE6627" w14:textId="77777777" w:rsidR="008011D6" w:rsidRPr="00382816" w:rsidRDefault="008011D6" w:rsidP="00B0072D">
            <w:pPr>
              <w:keepNext/>
              <w:jc w:val="both"/>
              <w:rPr>
                <w:szCs w:val="22"/>
              </w:rPr>
            </w:pPr>
            <w:r w:rsidRPr="00382816">
              <w:rPr>
                <w:szCs w:val="22"/>
              </w:rPr>
              <w:t>n = 3902</w:t>
            </w:r>
          </w:p>
        </w:tc>
        <w:tc>
          <w:tcPr>
            <w:tcW w:w="873" w:type="pct"/>
            <w:vMerge/>
            <w:tcBorders>
              <w:top w:val="single" w:sz="4" w:space="0" w:color="auto"/>
              <w:left w:val="single" w:sz="4" w:space="0" w:color="auto"/>
              <w:bottom w:val="single" w:sz="4" w:space="0" w:color="auto"/>
              <w:right w:val="single" w:sz="4" w:space="0" w:color="auto"/>
            </w:tcBorders>
            <w:vAlign w:val="center"/>
          </w:tcPr>
          <w:p w14:paraId="16D1B512" w14:textId="77777777" w:rsidR="008011D6" w:rsidRPr="00382816" w:rsidRDefault="008011D6" w:rsidP="00B0072D">
            <w:pPr>
              <w:keepNext/>
              <w:jc w:val="both"/>
              <w:rPr>
                <w:szCs w:val="22"/>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061C3149" w14:textId="77777777" w:rsidR="008011D6" w:rsidRPr="00382816" w:rsidRDefault="008011D6" w:rsidP="00B0072D">
            <w:pPr>
              <w:keepNext/>
              <w:jc w:val="both"/>
              <w:rPr>
                <w:szCs w:val="22"/>
              </w:rPr>
            </w:pPr>
          </w:p>
        </w:tc>
      </w:tr>
      <w:tr w:rsidR="008011D6" w:rsidRPr="00382816" w14:paraId="50315586" w14:textId="77777777" w:rsidTr="00E6380D">
        <w:trPr>
          <w:trHeight w:val="50"/>
        </w:trPr>
        <w:tc>
          <w:tcPr>
            <w:tcW w:w="1587" w:type="pct"/>
            <w:tcBorders>
              <w:top w:val="single" w:sz="4" w:space="0" w:color="auto"/>
              <w:left w:val="single" w:sz="4" w:space="0" w:color="auto"/>
              <w:bottom w:val="single" w:sz="4" w:space="0" w:color="auto"/>
              <w:right w:val="single" w:sz="4" w:space="0" w:color="auto"/>
            </w:tcBorders>
          </w:tcPr>
          <w:p w14:paraId="1E67CE0A" w14:textId="77777777" w:rsidR="008011D6" w:rsidRPr="00382816" w:rsidRDefault="008011D6" w:rsidP="00B0072D">
            <w:pPr>
              <w:keepNext/>
              <w:jc w:val="both"/>
              <w:rPr>
                <w:szCs w:val="22"/>
              </w:rPr>
            </w:pPr>
            <w:r w:rsidRPr="00382816">
              <w:rPr>
                <w:szCs w:val="22"/>
              </w:rPr>
              <w:t>Bilo koja klinička fraktura</w:t>
            </w:r>
            <w:r w:rsidRPr="00382816">
              <w:rPr>
                <w:szCs w:val="22"/>
                <w:vertAlign w:val="superscript"/>
              </w:rPr>
              <w:t>1</w:t>
            </w:r>
          </w:p>
        </w:tc>
        <w:tc>
          <w:tcPr>
            <w:tcW w:w="714" w:type="pct"/>
            <w:tcBorders>
              <w:top w:val="single" w:sz="4" w:space="0" w:color="auto"/>
              <w:left w:val="single" w:sz="4" w:space="0" w:color="auto"/>
              <w:bottom w:val="single" w:sz="4" w:space="0" w:color="auto"/>
              <w:right w:val="single" w:sz="4" w:space="0" w:color="auto"/>
            </w:tcBorders>
          </w:tcPr>
          <w:p w14:paraId="0F580A77" w14:textId="77777777" w:rsidR="008011D6" w:rsidRPr="00382816" w:rsidRDefault="008011D6" w:rsidP="00B0072D">
            <w:pPr>
              <w:keepNext/>
              <w:jc w:val="both"/>
              <w:rPr>
                <w:szCs w:val="22"/>
              </w:rPr>
            </w:pPr>
            <w:r w:rsidRPr="00382816">
              <w:rPr>
                <w:szCs w:val="22"/>
              </w:rPr>
              <w:t>10,2</w:t>
            </w:r>
          </w:p>
        </w:tc>
        <w:tc>
          <w:tcPr>
            <w:tcW w:w="794" w:type="pct"/>
            <w:tcBorders>
              <w:top w:val="single" w:sz="4" w:space="0" w:color="auto"/>
              <w:left w:val="single" w:sz="4" w:space="0" w:color="auto"/>
              <w:bottom w:val="single" w:sz="4" w:space="0" w:color="auto"/>
              <w:right w:val="single" w:sz="4" w:space="0" w:color="auto"/>
            </w:tcBorders>
          </w:tcPr>
          <w:p w14:paraId="3F961D85" w14:textId="77777777" w:rsidR="008011D6" w:rsidRPr="00382816" w:rsidRDefault="008011D6" w:rsidP="00B0072D">
            <w:pPr>
              <w:keepNext/>
              <w:jc w:val="both"/>
              <w:rPr>
                <w:szCs w:val="22"/>
              </w:rPr>
            </w:pPr>
            <w:r w:rsidRPr="00382816">
              <w:rPr>
                <w:szCs w:val="22"/>
              </w:rPr>
              <w:t>7,2</w:t>
            </w:r>
          </w:p>
        </w:tc>
        <w:tc>
          <w:tcPr>
            <w:tcW w:w="873" w:type="pct"/>
            <w:tcBorders>
              <w:top w:val="single" w:sz="4" w:space="0" w:color="auto"/>
              <w:left w:val="single" w:sz="4" w:space="0" w:color="auto"/>
              <w:bottom w:val="single" w:sz="4" w:space="0" w:color="auto"/>
              <w:right w:val="single" w:sz="4" w:space="0" w:color="auto"/>
            </w:tcBorders>
          </w:tcPr>
          <w:p w14:paraId="7CF74A2F" w14:textId="77777777" w:rsidR="008011D6" w:rsidRPr="00382816" w:rsidRDefault="008011D6" w:rsidP="00B0072D">
            <w:pPr>
              <w:keepNext/>
              <w:jc w:val="both"/>
              <w:rPr>
                <w:szCs w:val="22"/>
              </w:rPr>
            </w:pPr>
            <w:r w:rsidRPr="00382816">
              <w:rPr>
                <w:szCs w:val="22"/>
              </w:rPr>
              <w:t>2,9 (1,6; 4,2)</w:t>
            </w:r>
          </w:p>
        </w:tc>
        <w:tc>
          <w:tcPr>
            <w:tcW w:w="1031" w:type="pct"/>
            <w:tcBorders>
              <w:top w:val="single" w:sz="4" w:space="0" w:color="auto"/>
              <w:left w:val="single" w:sz="4" w:space="0" w:color="auto"/>
              <w:bottom w:val="single" w:sz="4" w:space="0" w:color="auto"/>
              <w:right w:val="single" w:sz="4" w:space="0" w:color="auto"/>
            </w:tcBorders>
          </w:tcPr>
          <w:p w14:paraId="35E5E93B" w14:textId="77777777" w:rsidR="008011D6" w:rsidRPr="00382816" w:rsidRDefault="008011D6" w:rsidP="00B0072D">
            <w:pPr>
              <w:keepNext/>
              <w:jc w:val="both"/>
              <w:rPr>
                <w:szCs w:val="22"/>
              </w:rPr>
            </w:pPr>
            <w:r w:rsidRPr="00382816">
              <w:rPr>
                <w:szCs w:val="22"/>
              </w:rPr>
              <w:t>30 (19; 41)***</w:t>
            </w:r>
          </w:p>
        </w:tc>
      </w:tr>
      <w:tr w:rsidR="008011D6" w:rsidRPr="00382816" w14:paraId="624BD389" w14:textId="77777777" w:rsidTr="00E6380D">
        <w:trPr>
          <w:trHeight w:val="50"/>
        </w:trPr>
        <w:tc>
          <w:tcPr>
            <w:tcW w:w="1587" w:type="pct"/>
            <w:tcBorders>
              <w:top w:val="single" w:sz="4" w:space="0" w:color="auto"/>
              <w:left w:val="single" w:sz="4" w:space="0" w:color="auto"/>
              <w:bottom w:val="single" w:sz="4" w:space="0" w:color="auto"/>
              <w:right w:val="single" w:sz="4" w:space="0" w:color="auto"/>
            </w:tcBorders>
          </w:tcPr>
          <w:p w14:paraId="0FAACE66" w14:textId="77777777" w:rsidR="008011D6" w:rsidRPr="00382816" w:rsidRDefault="008011D6" w:rsidP="00B0072D">
            <w:pPr>
              <w:keepNext/>
              <w:jc w:val="both"/>
              <w:rPr>
                <w:szCs w:val="22"/>
              </w:rPr>
            </w:pPr>
            <w:r w:rsidRPr="00382816">
              <w:rPr>
                <w:szCs w:val="22"/>
              </w:rPr>
              <w:t>Klinička fraktura pršljena</w:t>
            </w:r>
          </w:p>
        </w:tc>
        <w:tc>
          <w:tcPr>
            <w:tcW w:w="714" w:type="pct"/>
            <w:tcBorders>
              <w:top w:val="single" w:sz="4" w:space="0" w:color="auto"/>
              <w:left w:val="single" w:sz="4" w:space="0" w:color="auto"/>
              <w:bottom w:val="single" w:sz="4" w:space="0" w:color="auto"/>
              <w:right w:val="single" w:sz="4" w:space="0" w:color="auto"/>
            </w:tcBorders>
          </w:tcPr>
          <w:p w14:paraId="26BCD4EE" w14:textId="77777777" w:rsidR="008011D6" w:rsidRPr="00382816" w:rsidRDefault="008011D6" w:rsidP="00B0072D">
            <w:pPr>
              <w:keepNext/>
              <w:jc w:val="both"/>
              <w:rPr>
                <w:szCs w:val="22"/>
              </w:rPr>
            </w:pPr>
            <w:r w:rsidRPr="00382816">
              <w:rPr>
                <w:szCs w:val="22"/>
              </w:rPr>
              <w:t>2,6</w:t>
            </w:r>
          </w:p>
        </w:tc>
        <w:tc>
          <w:tcPr>
            <w:tcW w:w="794" w:type="pct"/>
            <w:tcBorders>
              <w:top w:val="single" w:sz="4" w:space="0" w:color="auto"/>
              <w:left w:val="single" w:sz="4" w:space="0" w:color="auto"/>
              <w:bottom w:val="single" w:sz="4" w:space="0" w:color="auto"/>
              <w:right w:val="single" w:sz="4" w:space="0" w:color="auto"/>
            </w:tcBorders>
          </w:tcPr>
          <w:p w14:paraId="354178F1" w14:textId="77777777" w:rsidR="008011D6" w:rsidRPr="00382816" w:rsidRDefault="008011D6" w:rsidP="00B0072D">
            <w:pPr>
              <w:keepNext/>
              <w:jc w:val="both"/>
              <w:rPr>
                <w:szCs w:val="22"/>
              </w:rPr>
            </w:pPr>
            <w:r w:rsidRPr="00382816">
              <w:rPr>
                <w:szCs w:val="22"/>
              </w:rPr>
              <w:t>0,8</w:t>
            </w:r>
          </w:p>
        </w:tc>
        <w:tc>
          <w:tcPr>
            <w:tcW w:w="873" w:type="pct"/>
            <w:tcBorders>
              <w:top w:val="single" w:sz="4" w:space="0" w:color="auto"/>
              <w:left w:val="single" w:sz="4" w:space="0" w:color="auto"/>
              <w:bottom w:val="single" w:sz="4" w:space="0" w:color="auto"/>
              <w:right w:val="single" w:sz="4" w:space="0" w:color="auto"/>
            </w:tcBorders>
          </w:tcPr>
          <w:p w14:paraId="2BC97E28" w14:textId="77777777" w:rsidR="008011D6" w:rsidRPr="00382816" w:rsidRDefault="008011D6" w:rsidP="00B0072D">
            <w:pPr>
              <w:keepNext/>
              <w:jc w:val="both"/>
              <w:rPr>
                <w:szCs w:val="22"/>
              </w:rPr>
            </w:pPr>
            <w:r w:rsidRPr="00382816">
              <w:rPr>
                <w:szCs w:val="22"/>
              </w:rPr>
              <w:t>1,8 (1,2; 2,4)</w:t>
            </w:r>
          </w:p>
        </w:tc>
        <w:tc>
          <w:tcPr>
            <w:tcW w:w="1031" w:type="pct"/>
            <w:tcBorders>
              <w:top w:val="single" w:sz="4" w:space="0" w:color="auto"/>
              <w:left w:val="single" w:sz="4" w:space="0" w:color="auto"/>
              <w:bottom w:val="single" w:sz="4" w:space="0" w:color="auto"/>
              <w:right w:val="single" w:sz="4" w:space="0" w:color="auto"/>
            </w:tcBorders>
          </w:tcPr>
          <w:p w14:paraId="6BF99EBE" w14:textId="77777777" w:rsidR="008011D6" w:rsidRPr="00382816" w:rsidRDefault="008011D6" w:rsidP="00B0072D">
            <w:pPr>
              <w:keepNext/>
              <w:jc w:val="both"/>
              <w:rPr>
                <w:szCs w:val="22"/>
              </w:rPr>
            </w:pPr>
            <w:r w:rsidRPr="00382816">
              <w:rPr>
                <w:szCs w:val="22"/>
              </w:rPr>
              <w:t>69 (53; 80)***</w:t>
            </w:r>
          </w:p>
        </w:tc>
      </w:tr>
      <w:tr w:rsidR="008011D6" w:rsidRPr="00382816" w14:paraId="66F09804" w14:textId="77777777" w:rsidTr="00E6380D">
        <w:trPr>
          <w:trHeight w:val="50"/>
        </w:trPr>
        <w:tc>
          <w:tcPr>
            <w:tcW w:w="1587" w:type="pct"/>
            <w:tcBorders>
              <w:top w:val="single" w:sz="4" w:space="0" w:color="auto"/>
              <w:left w:val="single" w:sz="4" w:space="0" w:color="auto"/>
              <w:bottom w:val="single" w:sz="4" w:space="0" w:color="auto"/>
              <w:right w:val="single" w:sz="4" w:space="0" w:color="auto"/>
            </w:tcBorders>
          </w:tcPr>
          <w:p w14:paraId="11FF19FF" w14:textId="77777777" w:rsidR="008011D6" w:rsidRPr="00382816" w:rsidRDefault="008011D6" w:rsidP="00B0072D">
            <w:pPr>
              <w:keepNext/>
              <w:jc w:val="both"/>
              <w:rPr>
                <w:szCs w:val="22"/>
              </w:rPr>
            </w:pPr>
            <w:proofErr w:type="spellStart"/>
            <w:r w:rsidRPr="00382816">
              <w:rPr>
                <w:szCs w:val="22"/>
              </w:rPr>
              <w:t>Nevertebralna</w:t>
            </w:r>
            <w:proofErr w:type="spellEnd"/>
            <w:r w:rsidRPr="00382816">
              <w:rPr>
                <w:szCs w:val="22"/>
              </w:rPr>
              <w:t xml:space="preserve"> fraktura</w:t>
            </w:r>
            <w:r w:rsidRPr="00382816">
              <w:rPr>
                <w:szCs w:val="22"/>
                <w:vertAlign w:val="superscript"/>
              </w:rPr>
              <w:t>2</w:t>
            </w:r>
          </w:p>
        </w:tc>
        <w:tc>
          <w:tcPr>
            <w:tcW w:w="714" w:type="pct"/>
            <w:tcBorders>
              <w:top w:val="single" w:sz="4" w:space="0" w:color="auto"/>
              <w:left w:val="single" w:sz="4" w:space="0" w:color="auto"/>
              <w:bottom w:val="single" w:sz="4" w:space="0" w:color="auto"/>
              <w:right w:val="single" w:sz="4" w:space="0" w:color="auto"/>
            </w:tcBorders>
          </w:tcPr>
          <w:p w14:paraId="0294FC58" w14:textId="77777777" w:rsidR="008011D6" w:rsidRPr="00382816" w:rsidRDefault="008011D6" w:rsidP="00B0072D">
            <w:pPr>
              <w:keepNext/>
              <w:jc w:val="both"/>
              <w:rPr>
                <w:szCs w:val="22"/>
              </w:rPr>
            </w:pPr>
            <w:r w:rsidRPr="00382816">
              <w:rPr>
                <w:szCs w:val="22"/>
              </w:rPr>
              <w:t>8,0</w:t>
            </w:r>
          </w:p>
        </w:tc>
        <w:tc>
          <w:tcPr>
            <w:tcW w:w="794" w:type="pct"/>
            <w:tcBorders>
              <w:top w:val="single" w:sz="4" w:space="0" w:color="auto"/>
              <w:left w:val="single" w:sz="4" w:space="0" w:color="auto"/>
              <w:bottom w:val="single" w:sz="4" w:space="0" w:color="auto"/>
              <w:right w:val="single" w:sz="4" w:space="0" w:color="auto"/>
            </w:tcBorders>
          </w:tcPr>
          <w:p w14:paraId="28A171FE" w14:textId="77777777" w:rsidR="008011D6" w:rsidRPr="00382816" w:rsidRDefault="008011D6" w:rsidP="00B0072D">
            <w:pPr>
              <w:keepNext/>
              <w:jc w:val="both"/>
              <w:rPr>
                <w:szCs w:val="22"/>
              </w:rPr>
            </w:pPr>
            <w:r w:rsidRPr="00382816">
              <w:rPr>
                <w:szCs w:val="22"/>
              </w:rPr>
              <w:t>6,5</w:t>
            </w:r>
          </w:p>
        </w:tc>
        <w:tc>
          <w:tcPr>
            <w:tcW w:w="873" w:type="pct"/>
            <w:tcBorders>
              <w:top w:val="single" w:sz="4" w:space="0" w:color="auto"/>
              <w:left w:val="single" w:sz="4" w:space="0" w:color="auto"/>
              <w:bottom w:val="single" w:sz="4" w:space="0" w:color="auto"/>
              <w:right w:val="single" w:sz="4" w:space="0" w:color="auto"/>
            </w:tcBorders>
          </w:tcPr>
          <w:p w14:paraId="549EF5B1" w14:textId="77777777" w:rsidR="008011D6" w:rsidRPr="00382816" w:rsidRDefault="008011D6" w:rsidP="00B0072D">
            <w:pPr>
              <w:keepNext/>
              <w:jc w:val="both"/>
              <w:rPr>
                <w:szCs w:val="22"/>
              </w:rPr>
            </w:pPr>
            <w:r w:rsidRPr="00382816">
              <w:rPr>
                <w:szCs w:val="22"/>
              </w:rPr>
              <w:t>1,5 (0,3; 2,7)</w:t>
            </w:r>
          </w:p>
        </w:tc>
        <w:tc>
          <w:tcPr>
            <w:tcW w:w="1031" w:type="pct"/>
            <w:tcBorders>
              <w:top w:val="single" w:sz="4" w:space="0" w:color="auto"/>
              <w:left w:val="single" w:sz="4" w:space="0" w:color="auto"/>
              <w:bottom w:val="single" w:sz="4" w:space="0" w:color="auto"/>
              <w:right w:val="single" w:sz="4" w:space="0" w:color="auto"/>
            </w:tcBorders>
          </w:tcPr>
          <w:p w14:paraId="71445EAA" w14:textId="77777777" w:rsidR="008011D6" w:rsidRPr="00382816" w:rsidRDefault="008011D6" w:rsidP="00B0072D">
            <w:pPr>
              <w:keepNext/>
              <w:jc w:val="both"/>
              <w:rPr>
                <w:szCs w:val="22"/>
              </w:rPr>
            </w:pPr>
            <w:r w:rsidRPr="00382816">
              <w:rPr>
                <w:szCs w:val="22"/>
              </w:rPr>
              <w:t>20 (5; 33)**</w:t>
            </w:r>
          </w:p>
        </w:tc>
      </w:tr>
      <w:tr w:rsidR="008011D6" w:rsidRPr="00382816" w14:paraId="2FE739CE" w14:textId="77777777" w:rsidTr="00E6380D">
        <w:trPr>
          <w:trHeight w:val="50"/>
        </w:trPr>
        <w:tc>
          <w:tcPr>
            <w:tcW w:w="1587" w:type="pct"/>
            <w:tcBorders>
              <w:top w:val="single" w:sz="4" w:space="0" w:color="auto"/>
              <w:left w:val="single" w:sz="4" w:space="0" w:color="auto"/>
              <w:bottom w:val="single" w:sz="4" w:space="0" w:color="auto"/>
              <w:right w:val="single" w:sz="4" w:space="0" w:color="auto"/>
            </w:tcBorders>
          </w:tcPr>
          <w:p w14:paraId="3704BFD3" w14:textId="77777777" w:rsidR="008011D6" w:rsidRPr="00382816" w:rsidRDefault="008011D6" w:rsidP="00B0072D">
            <w:pPr>
              <w:keepNext/>
              <w:jc w:val="both"/>
              <w:rPr>
                <w:szCs w:val="22"/>
              </w:rPr>
            </w:pPr>
            <w:r w:rsidRPr="00382816">
              <w:rPr>
                <w:szCs w:val="22"/>
              </w:rPr>
              <w:t xml:space="preserve">Ozbiljna </w:t>
            </w:r>
            <w:proofErr w:type="spellStart"/>
            <w:r w:rsidRPr="00382816">
              <w:rPr>
                <w:szCs w:val="22"/>
              </w:rPr>
              <w:t>nevertebralna</w:t>
            </w:r>
            <w:proofErr w:type="spellEnd"/>
            <w:r w:rsidRPr="00382816">
              <w:rPr>
                <w:szCs w:val="22"/>
              </w:rPr>
              <w:t xml:space="preserve"> fraktura</w:t>
            </w:r>
            <w:r w:rsidRPr="00382816">
              <w:rPr>
                <w:szCs w:val="22"/>
                <w:vertAlign w:val="superscript"/>
              </w:rPr>
              <w:t>3</w:t>
            </w:r>
          </w:p>
        </w:tc>
        <w:tc>
          <w:tcPr>
            <w:tcW w:w="714" w:type="pct"/>
            <w:tcBorders>
              <w:top w:val="single" w:sz="4" w:space="0" w:color="auto"/>
              <w:left w:val="single" w:sz="4" w:space="0" w:color="auto"/>
              <w:bottom w:val="single" w:sz="4" w:space="0" w:color="auto"/>
              <w:right w:val="single" w:sz="4" w:space="0" w:color="auto"/>
            </w:tcBorders>
          </w:tcPr>
          <w:p w14:paraId="4C3FCA7B" w14:textId="77777777" w:rsidR="008011D6" w:rsidRPr="00382816" w:rsidRDefault="008011D6" w:rsidP="00B0072D">
            <w:pPr>
              <w:keepNext/>
              <w:jc w:val="both"/>
              <w:rPr>
                <w:szCs w:val="22"/>
              </w:rPr>
            </w:pPr>
            <w:r w:rsidRPr="00382816">
              <w:rPr>
                <w:szCs w:val="22"/>
              </w:rPr>
              <w:t>6,4</w:t>
            </w:r>
          </w:p>
        </w:tc>
        <w:tc>
          <w:tcPr>
            <w:tcW w:w="794" w:type="pct"/>
            <w:tcBorders>
              <w:top w:val="single" w:sz="4" w:space="0" w:color="auto"/>
              <w:left w:val="single" w:sz="4" w:space="0" w:color="auto"/>
              <w:bottom w:val="single" w:sz="4" w:space="0" w:color="auto"/>
              <w:right w:val="single" w:sz="4" w:space="0" w:color="auto"/>
            </w:tcBorders>
          </w:tcPr>
          <w:p w14:paraId="4647BFCD" w14:textId="77777777" w:rsidR="008011D6" w:rsidRPr="00382816" w:rsidRDefault="008011D6" w:rsidP="00B0072D">
            <w:pPr>
              <w:keepNext/>
              <w:jc w:val="both"/>
              <w:rPr>
                <w:szCs w:val="22"/>
              </w:rPr>
            </w:pPr>
            <w:r w:rsidRPr="00382816">
              <w:rPr>
                <w:szCs w:val="22"/>
              </w:rPr>
              <w:t>5,2</w:t>
            </w:r>
          </w:p>
        </w:tc>
        <w:tc>
          <w:tcPr>
            <w:tcW w:w="873" w:type="pct"/>
            <w:tcBorders>
              <w:top w:val="single" w:sz="4" w:space="0" w:color="auto"/>
              <w:left w:val="single" w:sz="4" w:space="0" w:color="auto"/>
              <w:bottom w:val="single" w:sz="4" w:space="0" w:color="auto"/>
              <w:right w:val="single" w:sz="4" w:space="0" w:color="auto"/>
            </w:tcBorders>
          </w:tcPr>
          <w:p w14:paraId="4996039F" w14:textId="77777777" w:rsidR="008011D6" w:rsidRPr="00382816" w:rsidRDefault="008011D6" w:rsidP="00B0072D">
            <w:pPr>
              <w:keepNext/>
              <w:jc w:val="both"/>
              <w:rPr>
                <w:szCs w:val="22"/>
              </w:rPr>
            </w:pPr>
            <w:r w:rsidRPr="00382816">
              <w:rPr>
                <w:szCs w:val="22"/>
              </w:rPr>
              <w:t>1,2 (0,1; 2,2)</w:t>
            </w:r>
          </w:p>
        </w:tc>
        <w:tc>
          <w:tcPr>
            <w:tcW w:w="1031" w:type="pct"/>
            <w:tcBorders>
              <w:top w:val="single" w:sz="4" w:space="0" w:color="auto"/>
              <w:left w:val="single" w:sz="4" w:space="0" w:color="auto"/>
              <w:bottom w:val="single" w:sz="4" w:space="0" w:color="auto"/>
              <w:right w:val="single" w:sz="4" w:space="0" w:color="auto"/>
            </w:tcBorders>
          </w:tcPr>
          <w:p w14:paraId="1B15D709" w14:textId="77777777" w:rsidR="008011D6" w:rsidRPr="00382816" w:rsidRDefault="008011D6" w:rsidP="00B0072D">
            <w:pPr>
              <w:keepNext/>
              <w:jc w:val="both"/>
              <w:rPr>
                <w:szCs w:val="22"/>
              </w:rPr>
            </w:pPr>
            <w:r w:rsidRPr="00382816">
              <w:rPr>
                <w:szCs w:val="22"/>
              </w:rPr>
              <w:t>20 (3; 34)*</w:t>
            </w:r>
          </w:p>
        </w:tc>
      </w:tr>
      <w:tr w:rsidR="008011D6" w:rsidRPr="00382816" w14:paraId="6274FF1F" w14:textId="77777777" w:rsidTr="00E6380D">
        <w:trPr>
          <w:trHeight w:val="50"/>
        </w:trPr>
        <w:tc>
          <w:tcPr>
            <w:tcW w:w="1587" w:type="pct"/>
            <w:tcBorders>
              <w:top w:val="single" w:sz="4" w:space="0" w:color="auto"/>
              <w:left w:val="single" w:sz="4" w:space="0" w:color="auto"/>
              <w:bottom w:val="single" w:sz="4" w:space="0" w:color="auto"/>
              <w:right w:val="single" w:sz="4" w:space="0" w:color="auto"/>
            </w:tcBorders>
          </w:tcPr>
          <w:p w14:paraId="54A15CE4" w14:textId="77777777" w:rsidR="008011D6" w:rsidRPr="00382816" w:rsidRDefault="008011D6" w:rsidP="00B0072D">
            <w:pPr>
              <w:keepNext/>
              <w:jc w:val="both"/>
              <w:rPr>
                <w:szCs w:val="22"/>
              </w:rPr>
            </w:pPr>
            <w:r w:rsidRPr="00382816">
              <w:rPr>
                <w:szCs w:val="22"/>
              </w:rPr>
              <w:t xml:space="preserve">Ozbiljna </w:t>
            </w:r>
            <w:proofErr w:type="spellStart"/>
            <w:r w:rsidRPr="00382816">
              <w:rPr>
                <w:szCs w:val="22"/>
              </w:rPr>
              <w:t>osteoporotična</w:t>
            </w:r>
            <w:proofErr w:type="spellEnd"/>
            <w:r w:rsidRPr="00382816">
              <w:rPr>
                <w:szCs w:val="22"/>
              </w:rPr>
              <w:t xml:space="preserve"> fraktura</w:t>
            </w:r>
            <w:r w:rsidRPr="00382816">
              <w:rPr>
                <w:szCs w:val="22"/>
                <w:vertAlign w:val="superscript"/>
              </w:rPr>
              <w:t>4</w:t>
            </w:r>
          </w:p>
        </w:tc>
        <w:tc>
          <w:tcPr>
            <w:tcW w:w="714" w:type="pct"/>
            <w:tcBorders>
              <w:top w:val="single" w:sz="4" w:space="0" w:color="auto"/>
              <w:left w:val="single" w:sz="4" w:space="0" w:color="auto"/>
              <w:bottom w:val="single" w:sz="4" w:space="0" w:color="auto"/>
              <w:right w:val="single" w:sz="4" w:space="0" w:color="auto"/>
            </w:tcBorders>
          </w:tcPr>
          <w:p w14:paraId="4D75747D" w14:textId="77777777" w:rsidR="008011D6" w:rsidRPr="00382816" w:rsidRDefault="008011D6" w:rsidP="00B0072D">
            <w:pPr>
              <w:keepNext/>
              <w:jc w:val="both"/>
              <w:rPr>
                <w:szCs w:val="22"/>
              </w:rPr>
            </w:pPr>
            <w:r w:rsidRPr="00382816">
              <w:rPr>
                <w:szCs w:val="22"/>
              </w:rPr>
              <w:t>8,0</w:t>
            </w:r>
          </w:p>
        </w:tc>
        <w:tc>
          <w:tcPr>
            <w:tcW w:w="794" w:type="pct"/>
            <w:tcBorders>
              <w:top w:val="single" w:sz="4" w:space="0" w:color="auto"/>
              <w:left w:val="single" w:sz="4" w:space="0" w:color="auto"/>
              <w:bottom w:val="single" w:sz="4" w:space="0" w:color="auto"/>
              <w:right w:val="single" w:sz="4" w:space="0" w:color="auto"/>
            </w:tcBorders>
          </w:tcPr>
          <w:p w14:paraId="2E02BB33" w14:textId="77777777" w:rsidR="008011D6" w:rsidRPr="00382816" w:rsidRDefault="008011D6" w:rsidP="00B0072D">
            <w:pPr>
              <w:keepNext/>
              <w:jc w:val="both"/>
              <w:rPr>
                <w:szCs w:val="22"/>
              </w:rPr>
            </w:pPr>
            <w:r w:rsidRPr="00382816">
              <w:rPr>
                <w:szCs w:val="22"/>
              </w:rPr>
              <w:t>5,3</w:t>
            </w:r>
          </w:p>
        </w:tc>
        <w:tc>
          <w:tcPr>
            <w:tcW w:w="873" w:type="pct"/>
            <w:tcBorders>
              <w:top w:val="single" w:sz="4" w:space="0" w:color="auto"/>
              <w:left w:val="single" w:sz="4" w:space="0" w:color="auto"/>
              <w:bottom w:val="single" w:sz="4" w:space="0" w:color="auto"/>
              <w:right w:val="single" w:sz="4" w:space="0" w:color="auto"/>
            </w:tcBorders>
          </w:tcPr>
          <w:p w14:paraId="39D45A8F" w14:textId="77777777" w:rsidR="008011D6" w:rsidRPr="00382816" w:rsidRDefault="008011D6" w:rsidP="00B0072D">
            <w:pPr>
              <w:keepNext/>
              <w:jc w:val="both"/>
              <w:rPr>
                <w:szCs w:val="22"/>
              </w:rPr>
            </w:pPr>
            <w:r w:rsidRPr="00382816">
              <w:rPr>
                <w:szCs w:val="22"/>
              </w:rPr>
              <w:t>2,7 (1,6; 3,9)</w:t>
            </w:r>
          </w:p>
        </w:tc>
        <w:tc>
          <w:tcPr>
            <w:tcW w:w="1031" w:type="pct"/>
            <w:tcBorders>
              <w:top w:val="single" w:sz="4" w:space="0" w:color="auto"/>
              <w:left w:val="single" w:sz="4" w:space="0" w:color="auto"/>
              <w:bottom w:val="single" w:sz="4" w:space="0" w:color="auto"/>
              <w:right w:val="single" w:sz="4" w:space="0" w:color="auto"/>
            </w:tcBorders>
          </w:tcPr>
          <w:p w14:paraId="22A30148" w14:textId="77777777" w:rsidR="008011D6" w:rsidRPr="00382816" w:rsidRDefault="008011D6" w:rsidP="00B0072D">
            <w:pPr>
              <w:keepNext/>
              <w:jc w:val="both"/>
              <w:rPr>
                <w:szCs w:val="22"/>
              </w:rPr>
            </w:pPr>
            <w:r w:rsidRPr="00382816">
              <w:rPr>
                <w:szCs w:val="22"/>
              </w:rPr>
              <w:t>35 (22; 45)***</w:t>
            </w:r>
          </w:p>
        </w:tc>
      </w:tr>
    </w:tbl>
    <w:p w14:paraId="3D6C2B8B" w14:textId="40434042" w:rsidR="00662535" w:rsidRPr="00382816" w:rsidRDefault="008011D6" w:rsidP="00B0072D">
      <w:pPr>
        <w:keepNext/>
        <w:tabs>
          <w:tab w:val="clear" w:pos="567"/>
        </w:tabs>
        <w:autoSpaceDE w:val="0"/>
        <w:autoSpaceDN w:val="0"/>
        <w:adjustRightInd w:val="0"/>
        <w:jc w:val="both"/>
        <w:rPr>
          <w:szCs w:val="22"/>
        </w:rPr>
      </w:pPr>
      <w:r w:rsidRPr="00382816">
        <w:rPr>
          <w:szCs w:val="22"/>
        </w:rPr>
        <w:t xml:space="preserve">*p ≤ 0,05, **p = 0,0106 </w:t>
      </w:r>
      <w:r w:rsidRPr="00382816">
        <w:rPr>
          <w:i/>
          <w:szCs w:val="22"/>
        </w:rPr>
        <w:t>(sekundarni cilj uključen u višestruko prilagođavanje),</w:t>
      </w:r>
      <w:r w:rsidRPr="00382816">
        <w:rPr>
          <w:szCs w:val="22"/>
        </w:rPr>
        <w:t xml:space="preserve"> ***p ≤ 0,0001.</w:t>
      </w:r>
    </w:p>
    <w:p w14:paraId="79CF40D2" w14:textId="77777777" w:rsidR="00662535" w:rsidRPr="00382816" w:rsidRDefault="008011D6" w:rsidP="00B0072D">
      <w:pPr>
        <w:tabs>
          <w:tab w:val="clear" w:pos="567"/>
        </w:tabs>
        <w:autoSpaceDE w:val="0"/>
        <w:autoSpaceDN w:val="0"/>
        <w:adjustRightInd w:val="0"/>
        <w:jc w:val="both"/>
        <w:rPr>
          <w:szCs w:val="22"/>
        </w:rPr>
      </w:pPr>
      <w:r w:rsidRPr="00382816">
        <w:rPr>
          <w:szCs w:val="22"/>
          <w:vertAlign w:val="superscript"/>
        </w:rPr>
        <w:t>+</w:t>
      </w:r>
      <w:r w:rsidRPr="00382816">
        <w:rPr>
          <w:szCs w:val="22"/>
        </w:rPr>
        <w:t xml:space="preserve"> Stope događaja zasnovane na </w:t>
      </w:r>
      <w:proofErr w:type="spellStart"/>
      <w:r w:rsidRPr="00382816">
        <w:rPr>
          <w:szCs w:val="22"/>
        </w:rPr>
        <w:t>Kaplan</w:t>
      </w:r>
      <w:r w:rsidRPr="00382816">
        <w:rPr>
          <w:szCs w:val="22"/>
        </w:rPr>
        <w:noBreakHyphen/>
        <w:t>Meier</w:t>
      </w:r>
      <w:proofErr w:type="spellEnd"/>
      <w:r w:rsidRPr="00382816">
        <w:rPr>
          <w:szCs w:val="22"/>
        </w:rPr>
        <w:t xml:space="preserve"> procjenama za 3 godine.</w:t>
      </w:r>
    </w:p>
    <w:p w14:paraId="1EF6A384" w14:textId="77777777" w:rsidR="00662535" w:rsidRPr="00382816" w:rsidRDefault="008011D6" w:rsidP="00B0072D">
      <w:pPr>
        <w:tabs>
          <w:tab w:val="clear" w:pos="567"/>
        </w:tabs>
        <w:autoSpaceDE w:val="0"/>
        <w:autoSpaceDN w:val="0"/>
        <w:adjustRightInd w:val="0"/>
        <w:jc w:val="both"/>
        <w:rPr>
          <w:szCs w:val="22"/>
        </w:rPr>
      </w:pPr>
      <w:r w:rsidRPr="00382816">
        <w:rPr>
          <w:szCs w:val="22"/>
          <w:vertAlign w:val="superscript"/>
        </w:rPr>
        <w:t>1</w:t>
      </w:r>
      <w:r w:rsidRPr="00382816">
        <w:rPr>
          <w:szCs w:val="22"/>
        </w:rPr>
        <w:t xml:space="preserve"> Obuhvata kliničke frakture pršljenova i </w:t>
      </w:r>
      <w:proofErr w:type="spellStart"/>
      <w:r w:rsidRPr="00382816">
        <w:rPr>
          <w:szCs w:val="22"/>
        </w:rPr>
        <w:t>nevertebralne</w:t>
      </w:r>
      <w:proofErr w:type="spellEnd"/>
      <w:r w:rsidRPr="00382816">
        <w:rPr>
          <w:szCs w:val="22"/>
        </w:rPr>
        <w:t xml:space="preserve"> frakture.</w:t>
      </w:r>
    </w:p>
    <w:p w14:paraId="76EBAFBA" w14:textId="77777777" w:rsidR="00662535" w:rsidRPr="00382816" w:rsidRDefault="008011D6" w:rsidP="00B0072D">
      <w:pPr>
        <w:tabs>
          <w:tab w:val="clear" w:pos="567"/>
        </w:tabs>
        <w:autoSpaceDE w:val="0"/>
        <w:autoSpaceDN w:val="0"/>
        <w:adjustRightInd w:val="0"/>
        <w:jc w:val="both"/>
        <w:rPr>
          <w:szCs w:val="22"/>
        </w:rPr>
      </w:pPr>
      <w:r w:rsidRPr="00382816">
        <w:rPr>
          <w:szCs w:val="22"/>
          <w:vertAlign w:val="superscript"/>
        </w:rPr>
        <w:t>2</w:t>
      </w:r>
      <w:r w:rsidRPr="00382816">
        <w:rPr>
          <w:szCs w:val="22"/>
        </w:rPr>
        <w:t xml:space="preserve"> Isključuje frakture kičmenih pršljenova, lobanje, kostiju lica, </w:t>
      </w:r>
      <w:proofErr w:type="spellStart"/>
      <w:r w:rsidRPr="00382816">
        <w:rPr>
          <w:szCs w:val="22"/>
        </w:rPr>
        <w:t>mandibule</w:t>
      </w:r>
      <w:proofErr w:type="spellEnd"/>
      <w:r w:rsidRPr="00382816">
        <w:rPr>
          <w:szCs w:val="22"/>
        </w:rPr>
        <w:t xml:space="preserve">, </w:t>
      </w:r>
      <w:proofErr w:type="spellStart"/>
      <w:r w:rsidRPr="00382816">
        <w:rPr>
          <w:szCs w:val="22"/>
        </w:rPr>
        <w:t>metakarpalnih</w:t>
      </w:r>
      <w:proofErr w:type="spellEnd"/>
      <w:r w:rsidRPr="00382816">
        <w:rPr>
          <w:szCs w:val="22"/>
        </w:rPr>
        <w:t xml:space="preserve"> kostiju i falangi prstiju šaka i stopala.</w:t>
      </w:r>
    </w:p>
    <w:p w14:paraId="4AC17C4A" w14:textId="77777777" w:rsidR="00662535" w:rsidRPr="00382816" w:rsidRDefault="008011D6" w:rsidP="00B0072D">
      <w:pPr>
        <w:keepNext/>
        <w:tabs>
          <w:tab w:val="clear" w:pos="567"/>
        </w:tabs>
        <w:autoSpaceDE w:val="0"/>
        <w:autoSpaceDN w:val="0"/>
        <w:adjustRightInd w:val="0"/>
        <w:jc w:val="both"/>
        <w:rPr>
          <w:szCs w:val="22"/>
        </w:rPr>
      </w:pPr>
      <w:r w:rsidRPr="00382816">
        <w:rPr>
          <w:szCs w:val="22"/>
          <w:vertAlign w:val="superscript"/>
        </w:rPr>
        <w:t>3</w:t>
      </w:r>
      <w:r w:rsidRPr="00382816">
        <w:rPr>
          <w:szCs w:val="22"/>
        </w:rPr>
        <w:t xml:space="preserve"> Obuhvata karlicu, </w:t>
      </w:r>
      <w:proofErr w:type="spellStart"/>
      <w:r w:rsidRPr="00382816">
        <w:rPr>
          <w:szCs w:val="22"/>
        </w:rPr>
        <w:t>distalni</w:t>
      </w:r>
      <w:proofErr w:type="spellEnd"/>
      <w:r w:rsidRPr="00382816">
        <w:rPr>
          <w:szCs w:val="22"/>
        </w:rPr>
        <w:t xml:space="preserve"> dio femura, proksimalnu </w:t>
      </w:r>
      <w:proofErr w:type="spellStart"/>
      <w:r w:rsidRPr="00382816">
        <w:rPr>
          <w:szCs w:val="22"/>
        </w:rPr>
        <w:t>tibiju</w:t>
      </w:r>
      <w:proofErr w:type="spellEnd"/>
      <w:r w:rsidRPr="00382816">
        <w:rPr>
          <w:szCs w:val="22"/>
        </w:rPr>
        <w:t xml:space="preserve">, rebra, </w:t>
      </w:r>
      <w:proofErr w:type="spellStart"/>
      <w:r w:rsidRPr="00382816">
        <w:rPr>
          <w:szCs w:val="22"/>
        </w:rPr>
        <w:t>proksimalni</w:t>
      </w:r>
      <w:proofErr w:type="spellEnd"/>
      <w:r w:rsidRPr="00382816">
        <w:rPr>
          <w:szCs w:val="22"/>
        </w:rPr>
        <w:t xml:space="preserve"> </w:t>
      </w:r>
      <w:proofErr w:type="spellStart"/>
      <w:r w:rsidRPr="00382816">
        <w:rPr>
          <w:szCs w:val="22"/>
        </w:rPr>
        <w:t>humerus</w:t>
      </w:r>
      <w:proofErr w:type="spellEnd"/>
      <w:r w:rsidRPr="00382816">
        <w:rPr>
          <w:szCs w:val="22"/>
        </w:rPr>
        <w:t>, podlakticu i kuk.</w:t>
      </w:r>
    </w:p>
    <w:p w14:paraId="7BC9F753" w14:textId="77777777" w:rsidR="00662535" w:rsidRPr="00382816" w:rsidRDefault="008011D6" w:rsidP="00B0072D">
      <w:pPr>
        <w:tabs>
          <w:tab w:val="clear" w:pos="567"/>
        </w:tabs>
        <w:autoSpaceDE w:val="0"/>
        <w:autoSpaceDN w:val="0"/>
        <w:adjustRightInd w:val="0"/>
        <w:jc w:val="both"/>
        <w:rPr>
          <w:szCs w:val="22"/>
        </w:rPr>
      </w:pPr>
      <w:r w:rsidRPr="00382816">
        <w:rPr>
          <w:szCs w:val="22"/>
          <w:vertAlign w:val="superscript"/>
        </w:rPr>
        <w:t>4</w:t>
      </w:r>
      <w:r w:rsidRPr="00382816">
        <w:rPr>
          <w:szCs w:val="22"/>
        </w:rPr>
        <w:t xml:space="preserve"> Obuhvata kliničke frakture kičmenih pršljenova, kuka, podlakticu i frakture </w:t>
      </w:r>
      <w:proofErr w:type="spellStart"/>
      <w:r w:rsidRPr="00382816">
        <w:rPr>
          <w:szCs w:val="22"/>
        </w:rPr>
        <w:t>humerusa</w:t>
      </w:r>
      <w:proofErr w:type="spellEnd"/>
      <w:r w:rsidRPr="00382816">
        <w:rPr>
          <w:szCs w:val="22"/>
        </w:rPr>
        <w:t>, prema definiciji SZO.</w:t>
      </w:r>
    </w:p>
    <w:p w14:paraId="0E222032" w14:textId="77777777" w:rsidR="00662535" w:rsidRPr="00382816" w:rsidRDefault="00662535" w:rsidP="00B0072D">
      <w:pPr>
        <w:autoSpaceDE w:val="0"/>
        <w:autoSpaceDN w:val="0"/>
        <w:adjustRightInd w:val="0"/>
        <w:jc w:val="both"/>
        <w:rPr>
          <w:szCs w:val="22"/>
        </w:rPr>
      </w:pPr>
    </w:p>
    <w:p w14:paraId="4E39C726" w14:textId="3777F8B8" w:rsidR="00662535" w:rsidRPr="00382816" w:rsidRDefault="008011D6" w:rsidP="00B0072D">
      <w:pPr>
        <w:pStyle w:val="Text"/>
        <w:tabs>
          <w:tab w:val="left" w:pos="567"/>
        </w:tabs>
        <w:spacing w:before="0" w:beforeAutospacing="0" w:after="0" w:afterAutospacing="0" w:line="240" w:lineRule="auto"/>
        <w:ind w:left="0"/>
        <w:jc w:val="both"/>
        <w:outlineLvl w:val="0"/>
        <w:rPr>
          <w:color w:val="auto"/>
          <w:sz w:val="22"/>
          <w:szCs w:val="22"/>
        </w:rPr>
      </w:pPr>
      <w:r w:rsidRPr="00382816">
        <w:rPr>
          <w:color w:val="auto"/>
          <w:sz w:val="22"/>
          <w:szCs w:val="22"/>
        </w:rPr>
        <w:t>Kod žena kod kojih početna vrijednost BMD vrata femura iznosi ≤ -2,5, lijek Prolia smanjuje rizik od nevertebralnih fraktura (35% smanjenje relativnog rizika, 4,1% smanjenje apsolutnog rizika, p &lt; 0,001, eksplorativna analiza).</w:t>
      </w:r>
    </w:p>
    <w:p w14:paraId="1999E45C" w14:textId="77777777" w:rsidR="00662535" w:rsidRPr="00382816" w:rsidRDefault="00662535" w:rsidP="00B0072D">
      <w:pPr>
        <w:jc w:val="both"/>
        <w:rPr>
          <w:szCs w:val="22"/>
        </w:rPr>
      </w:pPr>
    </w:p>
    <w:p w14:paraId="3FDA51F2" w14:textId="77777777" w:rsidR="00662535" w:rsidRPr="00382816" w:rsidRDefault="008011D6" w:rsidP="00B0072D">
      <w:pPr>
        <w:jc w:val="both"/>
        <w:rPr>
          <w:szCs w:val="22"/>
        </w:rPr>
      </w:pPr>
      <w:r w:rsidRPr="00382816">
        <w:rPr>
          <w:szCs w:val="22"/>
        </w:rPr>
        <w:t>Smanjanje incidence novih fraktura kičmenih pršljenova, fraktura kuka i nevertebralnih fraktura primjenom lijeka Prolia tokom 3 godine, bilo je postojano bez obzira na početni desetogodišnji rizik od fraktura.</w:t>
      </w:r>
    </w:p>
    <w:p w14:paraId="3586976B" w14:textId="77777777" w:rsidR="00662535" w:rsidRPr="00382816" w:rsidRDefault="00662535" w:rsidP="00B0072D">
      <w:pPr>
        <w:jc w:val="both"/>
        <w:rPr>
          <w:szCs w:val="22"/>
        </w:rPr>
      </w:pPr>
    </w:p>
    <w:p w14:paraId="076BA9EF" w14:textId="77777777" w:rsidR="00662535" w:rsidRPr="00382816" w:rsidRDefault="008011D6" w:rsidP="00B0072D">
      <w:pPr>
        <w:pStyle w:val="Text"/>
        <w:keepNext/>
        <w:tabs>
          <w:tab w:val="left" w:pos="567"/>
        </w:tabs>
        <w:spacing w:before="0" w:beforeAutospacing="0" w:after="0" w:afterAutospacing="0" w:line="240" w:lineRule="auto"/>
        <w:ind w:left="0"/>
        <w:jc w:val="both"/>
        <w:rPr>
          <w:i/>
          <w:color w:val="auto"/>
          <w:sz w:val="22"/>
          <w:szCs w:val="22"/>
        </w:rPr>
      </w:pPr>
      <w:r w:rsidRPr="00382816">
        <w:rPr>
          <w:i/>
          <w:color w:val="auto"/>
          <w:sz w:val="22"/>
          <w:szCs w:val="22"/>
        </w:rPr>
        <w:t>Dejstvo na mineralnu koštanu gustinu</w:t>
      </w:r>
    </w:p>
    <w:p w14:paraId="4862E2EE" w14:textId="108D81C4" w:rsidR="00662535" w:rsidRPr="00382816" w:rsidRDefault="008011D6" w:rsidP="00B0072D">
      <w:pPr>
        <w:pStyle w:val="Text"/>
        <w:tabs>
          <w:tab w:val="left" w:pos="567"/>
        </w:tabs>
        <w:spacing w:before="0" w:beforeAutospacing="0" w:after="0" w:afterAutospacing="0" w:line="240" w:lineRule="auto"/>
        <w:ind w:left="0"/>
        <w:jc w:val="both"/>
        <w:outlineLvl w:val="0"/>
        <w:rPr>
          <w:color w:val="auto"/>
          <w:sz w:val="22"/>
          <w:szCs w:val="22"/>
        </w:rPr>
      </w:pPr>
      <w:r w:rsidRPr="00382816">
        <w:rPr>
          <w:color w:val="auto"/>
          <w:sz w:val="22"/>
          <w:szCs w:val="22"/>
        </w:rPr>
        <w:t xml:space="preserve">Lijek Prolia je značajno povećao BMD mjeren na svim kliničkim mjestima, nasuprot </w:t>
      </w:r>
      <w:proofErr w:type="spellStart"/>
      <w:r w:rsidRPr="00382816">
        <w:rPr>
          <w:color w:val="auto"/>
          <w:sz w:val="22"/>
          <w:szCs w:val="22"/>
        </w:rPr>
        <w:t>placebu</w:t>
      </w:r>
      <w:proofErr w:type="spellEnd"/>
      <w:r w:rsidRPr="00382816">
        <w:rPr>
          <w:color w:val="auto"/>
          <w:sz w:val="22"/>
          <w:szCs w:val="22"/>
        </w:rPr>
        <w:t xml:space="preserve">, u 1., 2. i 3. godini. Lijek Prolia je povećao BMD za 9,2% na lumbalnom dijelu kičme, 6,0% na cijelom kuku, 4,8% na vratu femura, 7,9% na </w:t>
      </w:r>
      <w:proofErr w:type="spellStart"/>
      <w:r w:rsidRPr="00382816">
        <w:rPr>
          <w:color w:val="auto"/>
          <w:sz w:val="22"/>
          <w:szCs w:val="22"/>
        </w:rPr>
        <w:t>trohanteru</w:t>
      </w:r>
      <w:proofErr w:type="spellEnd"/>
      <w:r w:rsidRPr="00382816">
        <w:rPr>
          <w:color w:val="auto"/>
          <w:sz w:val="22"/>
          <w:szCs w:val="22"/>
        </w:rPr>
        <w:t xml:space="preserve"> kuka, 3,5% na </w:t>
      </w:r>
      <w:proofErr w:type="spellStart"/>
      <w:r w:rsidRPr="00382816">
        <w:rPr>
          <w:color w:val="auto"/>
          <w:sz w:val="22"/>
          <w:szCs w:val="22"/>
        </w:rPr>
        <w:t>distalnoj</w:t>
      </w:r>
      <w:proofErr w:type="spellEnd"/>
      <w:r w:rsidRPr="00382816">
        <w:rPr>
          <w:color w:val="auto"/>
          <w:sz w:val="22"/>
          <w:szCs w:val="22"/>
        </w:rPr>
        <w:t xml:space="preserve"> trećini radijusa i 4,1% tijela u cjelini, tokom 3 godine (sve sa p &lt; 0,0001).</w:t>
      </w:r>
    </w:p>
    <w:p w14:paraId="14A8ABA4" w14:textId="77777777" w:rsidR="00662535" w:rsidRPr="00382816" w:rsidRDefault="00662535" w:rsidP="00B0072D">
      <w:pPr>
        <w:pStyle w:val="SynopsisText"/>
        <w:tabs>
          <w:tab w:val="clear" w:pos="1794"/>
          <w:tab w:val="left" w:pos="567"/>
        </w:tabs>
        <w:spacing w:before="0" w:after="0"/>
        <w:jc w:val="both"/>
        <w:rPr>
          <w:color w:val="auto"/>
          <w:sz w:val="22"/>
          <w:szCs w:val="22"/>
        </w:rPr>
      </w:pPr>
    </w:p>
    <w:p w14:paraId="25CD6AA0" w14:textId="77777777" w:rsidR="00662535" w:rsidRPr="00382816" w:rsidRDefault="008011D6" w:rsidP="00B0072D">
      <w:pPr>
        <w:jc w:val="both"/>
        <w:rPr>
          <w:szCs w:val="22"/>
        </w:rPr>
      </w:pPr>
      <w:r w:rsidRPr="00382816">
        <w:rPr>
          <w:szCs w:val="22"/>
        </w:rPr>
        <w:t xml:space="preserve">U kliničkim ispitivanjima u kojima su ispitivani efekti prekida terapije lijekom Prolia, BMD se vratio približno na nivoe prije terapije i ostao viši od </w:t>
      </w:r>
      <w:proofErr w:type="spellStart"/>
      <w:r w:rsidRPr="00382816">
        <w:rPr>
          <w:szCs w:val="22"/>
        </w:rPr>
        <w:t>placeba</w:t>
      </w:r>
      <w:proofErr w:type="spellEnd"/>
      <w:r w:rsidRPr="00382816">
        <w:rPr>
          <w:szCs w:val="22"/>
        </w:rPr>
        <w:t xml:space="preserve"> unutar 18 mjeseci poslije posljednje primljene doze. Ovi podaci ukazuju da je stalna terapija lijekom Prolia potrebna radi održavanja dejstva lijeka. Ponovno uvođenje lijeka Prolia dovelo je do porasta BMD, slično onom kada je lijek Prolia prvi put uveden u terapiju.</w:t>
      </w:r>
    </w:p>
    <w:p w14:paraId="548050DE"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59AB3F32" w14:textId="77777777" w:rsidR="00662535" w:rsidRPr="00382816" w:rsidRDefault="00D475CF" w:rsidP="00B0072D">
      <w:pPr>
        <w:keepNext/>
        <w:tabs>
          <w:tab w:val="clear" w:pos="567"/>
        </w:tabs>
        <w:autoSpaceDE w:val="0"/>
        <w:autoSpaceDN w:val="0"/>
        <w:adjustRightInd w:val="0"/>
        <w:jc w:val="both"/>
        <w:rPr>
          <w:i/>
          <w:szCs w:val="22"/>
        </w:rPr>
      </w:pPr>
      <w:r w:rsidRPr="00382816">
        <w:rPr>
          <w:i/>
          <w:szCs w:val="22"/>
        </w:rPr>
        <w:t xml:space="preserve">Otvoreni produžetak ispitivanja liječenja </w:t>
      </w:r>
      <w:proofErr w:type="spellStart"/>
      <w:r w:rsidRPr="00382816">
        <w:rPr>
          <w:i/>
          <w:szCs w:val="22"/>
        </w:rPr>
        <w:t>postmenopauzalne</w:t>
      </w:r>
      <w:proofErr w:type="spellEnd"/>
      <w:r w:rsidRPr="00382816">
        <w:rPr>
          <w:i/>
          <w:szCs w:val="22"/>
        </w:rPr>
        <w:t xml:space="preserve"> osteoporoze</w:t>
      </w:r>
    </w:p>
    <w:p w14:paraId="19A4463F" w14:textId="6EA2FA38" w:rsidR="00662535" w:rsidRPr="00382816" w:rsidRDefault="009214A2" w:rsidP="00B0072D">
      <w:pPr>
        <w:jc w:val="both"/>
        <w:rPr>
          <w:szCs w:val="22"/>
        </w:rPr>
      </w:pPr>
      <w:r w:rsidRPr="00382816">
        <w:rPr>
          <w:szCs w:val="22"/>
        </w:rPr>
        <w:t>Ukupno 4550 žena (2343 Prolia i 2207 placebo), koje nisu propustile više od jedne doze ispitivanog lijeka u ključnom ispitivanju koje je opisano u prethod</w:t>
      </w:r>
      <w:r w:rsidR="0070189D" w:rsidRPr="00382816">
        <w:rPr>
          <w:szCs w:val="22"/>
        </w:rPr>
        <w:t>n</w:t>
      </w:r>
      <w:r w:rsidRPr="00382816">
        <w:rPr>
          <w:szCs w:val="22"/>
        </w:rPr>
        <w:t>om tekstu i koje su ga završile posjetom u 36. mjesecu studije, pristalo je da se uključi u 7</w:t>
      </w:r>
      <w:r w:rsidRPr="00382816">
        <w:rPr>
          <w:szCs w:val="22"/>
        </w:rPr>
        <w:noBreakHyphen/>
        <w:t xml:space="preserve">godišnje, multinacionalno, </w:t>
      </w:r>
      <w:proofErr w:type="spellStart"/>
      <w:r w:rsidRPr="00382816">
        <w:rPr>
          <w:szCs w:val="22"/>
        </w:rPr>
        <w:t>multicentrično</w:t>
      </w:r>
      <w:proofErr w:type="spellEnd"/>
      <w:r w:rsidRPr="00382816">
        <w:rPr>
          <w:szCs w:val="22"/>
        </w:rPr>
        <w:t xml:space="preserve">, otvoreno, produženo ispitivanje na jednoj grupi, kako bi se procijenila dugotrajna sigurnost primjene i efikasnost lijeka Prolia. Sve žene u produžetku ispitivanja primale su lijek Prolia 60 mg svakih 6 mjeseci, kao i svakodnevno kalcijum (barem 1 g) i vitamin D (barem 400 IU). Ukupno 2626 ispitanika (58% žena uključenih u produžetak ispitivanja, tj. 34% žena uključenih u </w:t>
      </w:r>
      <w:proofErr w:type="spellStart"/>
      <w:r w:rsidRPr="00382816">
        <w:rPr>
          <w:szCs w:val="22"/>
        </w:rPr>
        <w:t>pivotalno</w:t>
      </w:r>
      <w:proofErr w:type="spellEnd"/>
      <w:r w:rsidRPr="00382816">
        <w:rPr>
          <w:szCs w:val="22"/>
        </w:rPr>
        <w:t xml:space="preserve"> ispitivanje) je završilo produženo ispitivanje.</w:t>
      </w:r>
    </w:p>
    <w:p w14:paraId="4E2793A3" w14:textId="77777777" w:rsidR="00662535" w:rsidRPr="00382816" w:rsidRDefault="00662535" w:rsidP="00B0072D">
      <w:pPr>
        <w:jc w:val="both"/>
        <w:rPr>
          <w:szCs w:val="22"/>
        </w:rPr>
      </w:pPr>
    </w:p>
    <w:p w14:paraId="5F57A942" w14:textId="2D5EC9CB" w:rsidR="00662535" w:rsidRPr="00382816" w:rsidRDefault="00F66909" w:rsidP="00B0072D">
      <w:pPr>
        <w:jc w:val="both"/>
        <w:rPr>
          <w:szCs w:val="22"/>
        </w:rPr>
      </w:pPr>
      <w:r w:rsidRPr="00382816">
        <w:rPr>
          <w:szCs w:val="22"/>
        </w:rPr>
        <w:t>Kod pacijenata koji su bili na terapiji lijekom Prolia u periodu do 10 godina, BMD je povećan u odnosu na početnu vr</w:t>
      </w:r>
      <w:r w:rsidR="0070189D" w:rsidRPr="00382816">
        <w:rPr>
          <w:szCs w:val="22"/>
        </w:rPr>
        <w:t>i</w:t>
      </w:r>
      <w:r w:rsidRPr="00382816">
        <w:rPr>
          <w:szCs w:val="22"/>
        </w:rPr>
        <w:t xml:space="preserve">jednost u </w:t>
      </w:r>
      <w:proofErr w:type="spellStart"/>
      <w:r w:rsidRPr="00382816">
        <w:rPr>
          <w:szCs w:val="22"/>
        </w:rPr>
        <w:t>pivotalnom</w:t>
      </w:r>
      <w:proofErr w:type="spellEnd"/>
      <w:r w:rsidRPr="00382816">
        <w:rPr>
          <w:szCs w:val="22"/>
        </w:rPr>
        <w:t xml:space="preserve"> ispitivanju za 21,7% u lumbalnom dijelu kičme, 9,2% u cjelom kuku, 9,0% u vratu femura, 13,0% u </w:t>
      </w:r>
      <w:proofErr w:type="spellStart"/>
      <w:r w:rsidRPr="00382816">
        <w:rPr>
          <w:szCs w:val="22"/>
        </w:rPr>
        <w:t>trohanteru</w:t>
      </w:r>
      <w:proofErr w:type="spellEnd"/>
      <w:r w:rsidRPr="00382816">
        <w:rPr>
          <w:szCs w:val="22"/>
        </w:rPr>
        <w:t xml:space="preserve"> i 2,8% u </w:t>
      </w:r>
      <w:proofErr w:type="spellStart"/>
      <w:r w:rsidRPr="00382816">
        <w:rPr>
          <w:szCs w:val="22"/>
        </w:rPr>
        <w:t>distalnoj</w:t>
      </w:r>
      <w:proofErr w:type="spellEnd"/>
      <w:r w:rsidRPr="00382816">
        <w:rPr>
          <w:szCs w:val="22"/>
        </w:rPr>
        <w:t xml:space="preserve"> trećini radijusa. Srednja </w:t>
      </w:r>
      <w:r w:rsidRPr="00382816">
        <w:rPr>
          <w:szCs w:val="22"/>
        </w:rPr>
        <w:lastRenderedPageBreak/>
        <w:t>vrijednost BMD T</w:t>
      </w:r>
      <w:r w:rsidRPr="00382816">
        <w:rPr>
          <w:szCs w:val="22"/>
        </w:rPr>
        <w:noBreakHyphen/>
        <w:t xml:space="preserve">skora u lumbalnom dijelu kičme na kraju studije je bila </w:t>
      </w:r>
      <w:r w:rsidRPr="00382816">
        <w:rPr>
          <w:szCs w:val="22"/>
        </w:rPr>
        <w:noBreakHyphen/>
        <w:t>1,3 kod pacijenata koji su bili na terapiji 10 godina.</w:t>
      </w:r>
    </w:p>
    <w:p w14:paraId="41052909" w14:textId="77777777" w:rsidR="00662535" w:rsidRPr="00382816" w:rsidRDefault="00662535" w:rsidP="00B0072D">
      <w:pPr>
        <w:jc w:val="both"/>
        <w:rPr>
          <w:szCs w:val="22"/>
        </w:rPr>
      </w:pPr>
    </w:p>
    <w:p w14:paraId="7E0412DC" w14:textId="656CDFE3" w:rsidR="00662535" w:rsidRPr="00382816" w:rsidRDefault="009214A2" w:rsidP="00B0072D">
      <w:pPr>
        <w:jc w:val="both"/>
        <w:rPr>
          <w:szCs w:val="22"/>
        </w:rPr>
      </w:pPr>
      <w:r w:rsidRPr="00382816">
        <w:rPr>
          <w:szCs w:val="22"/>
        </w:rPr>
        <w:t>Kao m</w:t>
      </w:r>
      <w:r w:rsidR="00582F3A" w:rsidRPr="00382816">
        <w:rPr>
          <w:szCs w:val="22"/>
        </w:rPr>
        <w:t>j</w:t>
      </w:r>
      <w:r w:rsidRPr="00382816">
        <w:rPr>
          <w:szCs w:val="22"/>
        </w:rPr>
        <w:t>era ishoda za bezbjednost primjene bila je proc</w:t>
      </w:r>
      <w:r w:rsidR="0070189D" w:rsidRPr="00382816">
        <w:rPr>
          <w:szCs w:val="22"/>
        </w:rPr>
        <w:t>j</w:t>
      </w:r>
      <w:r w:rsidRPr="00382816">
        <w:rPr>
          <w:szCs w:val="22"/>
        </w:rPr>
        <w:t xml:space="preserve">enjivana </w:t>
      </w:r>
      <w:proofErr w:type="spellStart"/>
      <w:r w:rsidRPr="00382816">
        <w:rPr>
          <w:szCs w:val="22"/>
        </w:rPr>
        <w:t>incidenca</w:t>
      </w:r>
      <w:proofErr w:type="spellEnd"/>
      <w:r w:rsidRPr="00382816">
        <w:rPr>
          <w:szCs w:val="22"/>
        </w:rPr>
        <w:t xml:space="preserve"> fraktura ali efikasnost u prevenciji fraktura se ne može proc</w:t>
      </w:r>
      <w:r w:rsidR="0070189D" w:rsidRPr="00382816">
        <w:rPr>
          <w:szCs w:val="22"/>
        </w:rPr>
        <w:t>i</w:t>
      </w:r>
      <w:r w:rsidRPr="00382816">
        <w:rPr>
          <w:szCs w:val="22"/>
        </w:rPr>
        <w:t xml:space="preserve">jeniti zbog velikog broja prekida i otvorene studije. Kumulativna </w:t>
      </w:r>
      <w:proofErr w:type="spellStart"/>
      <w:r w:rsidRPr="00382816">
        <w:rPr>
          <w:szCs w:val="22"/>
        </w:rPr>
        <w:t>incidenca</w:t>
      </w:r>
      <w:proofErr w:type="spellEnd"/>
      <w:r w:rsidRPr="00382816">
        <w:rPr>
          <w:szCs w:val="22"/>
        </w:rPr>
        <w:t xml:space="preserve"> novih vertebralnih i nevertebralnih fraktura je bila približno 6,8% i 13,1% odnosno kod pacijenata koji su ostali na terapiji denosumabom tokom 10 godina (n = 1278). Pacijenti koji nisu završili studiju iz bilo kog razloga su imali veću stopu fraktura u toku terapije.</w:t>
      </w:r>
    </w:p>
    <w:p w14:paraId="7D5484E5" w14:textId="77777777" w:rsidR="00662535" w:rsidRPr="00382816" w:rsidRDefault="00662535" w:rsidP="00B0072D">
      <w:pPr>
        <w:jc w:val="both"/>
        <w:rPr>
          <w:szCs w:val="22"/>
        </w:rPr>
      </w:pPr>
    </w:p>
    <w:p w14:paraId="2E7B3283" w14:textId="4A7DF469" w:rsidR="00662535" w:rsidRPr="00382816" w:rsidRDefault="00F66909" w:rsidP="00B0072D">
      <w:pPr>
        <w:jc w:val="both"/>
        <w:rPr>
          <w:szCs w:val="22"/>
        </w:rPr>
      </w:pPr>
      <w:r w:rsidRPr="00382816">
        <w:rPr>
          <w:szCs w:val="22"/>
        </w:rPr>
        <w:t xml:space="preserve">U toku nastavka ispitivanja, zabilježeno je trinaest dokazanih slučajeva osteonekroze vilice (ONV) i dva dokazana slučaja atipičnog </w:t>
      </w:r>
      <w:proofErr w:type="spellStart"/>
      <w:r w:rsidRPr="00382816">
        <w:rPr>
          <w:szCs w:val="22"/>
        </w:rPr>
        <w:t>preloma</w:t>
      </w:r>
      <w:proofErr w:type="spellEnd"/>
      <w:r w:rsidRPr="00382816">
        <w:rPr>
          <w:szCs w:val="22"/>
        </w:rPr>
        <w:t xml:space="preserve"> femura.</w:t>
      </w:r>
    </w:p>
    <w:p w14:paraId="474DA607" w14:textId="77777777" w:rsidR="00662535" w:rsidRPr="00382816" w:rsidRDefault="00662535" w:rsidP="00B0072D">
      <w:pPr>
        <w:pStyle w:val="Text"/>
        <w:tabs>
          <w:tab w:val="left" w:pos="567"/>
        </w:tabs>
        <w:spacing w:before="0" w:beforeAutospacing="0" w:after="0" w:afterAutospacing="0" w:line="240" w:lineRule="auto"/>
        <w:ind w:left="0"/>
        <w:jc w:val="both"/>
        <w:rPr>
          <w:bCs w:val="0"/>
          <w:color w:val="auto"/>
          <w:sz w:val="22"/>
          <w:szCs w:val="22"/>
        </w:rPr>
      </w:pPr>
    </w:p>
    <w:p w14:paraId="08E73D9A" w14:textId="77777777" w:rsidR="00662535" w:rsidRPr="00382816" w:rsidRDefault="00F12D3A" w:rsidP="00B0072D">
      <w:pPr>
        <w:pStyle w:val="Style11Underlined"/>
        <w:jc w:val="both"/>
        <w:rPr>
          <w:bCs/>
        </w:rPr>
      </w:pPr>
      <w:r w:rsidRPr="00382816">
        <w:t>Klinička efikasnost i bezbjednost kod muškaraca sa osteoporozom</w:t>
      </w:r>
    </w:p>
    <w:p w14:paraId="2A32F55E" w14:textId="77777777" w:rsidR="00662535" w:rsidRPr="00382816" w:rsidRDefault="00662535" w:rsidP="00B0072D">
      <w:pPr>
        <w:pStyle w:val="Text"/>
        <w:keepNext/>
        <w:tabs>
          <w:tab w:val="left" w:pos="567"/>
        </w:tabs>
        <w:spacing w:before="0" w:beforeAutospacing="0" w:after="0" w:afterAutospacing="0" w:line="240" w:lineRule="auto"/>
        <w:ind w:left="0"/>
        <w:jc w:val="both"/>
        <w:rPr>
          <w:bCs w:val="0"/>
          <w:color w:val="auto"/>
          <w:sz w:val="22"/>
          <w:szCs w:val="22"/>
          <w:u w:val="single"/>
        </w:rPr>
      </w:pPr>
    </w:p>
    <w:p w14:paraId="7FFBE85E" w14:textId="3E474DF6" w:rsidR="00662535" w:rsidRPr="00382816" w:rsidRDefault="00233FFD" w:rsidP="00B0072D">
      <w:pPr>
        <w:jc w:val="both"/>
        <w:rPr>
          <w:szCs w:val="22"/>
        </w:rPr>
      </w:pPr>
      <w:r w:rsidRPr="00382816">
        <w:rPr>
          <w:szCs w:val="22"/>
        </w:rPr>
        <w:t>Ispitivana je efikasnost i sigurnost lijeka Prolia primjenjivanog jednom svakih šest mjeseci tokom perioda od jedne godine kod 242 muškarca u dobi od 31</w:t>
      </w:r>
      <w:r w:rsidRPr="00382816">
        <w:rPr>
          <w:szCs w:val="22"/>
        </w:rPr>
        <w:noBreakHyphen/>
        <w:t xml:space="preserve">84 godine. Iz ovog ispitivanja isključeni su ispitanici s </w:t>
      </w:r>
      <w:proofErr w:type="spellStart"/>
      <w:r w:rsidRPr="00382816">
        <w:rPr>
          <w:szCs w:val="22"/>
        </w:rPr>
        <w:t>eGFR</w:t>
      </w:r>
      <w:proofErr w:type="spellEnd"/>
      <w:r w:rsidRPr="00382816">
        <w:rPr>
          <w:szCs w:val="22"/>
        </w:rPr>
        <w:t> &lt; 30 ml/min/1,73 m</w:t>
      </w:r>
      <w:r w:rsidRPr="00382816">
        <w:rPr>
          <w:szCs w:val="22"/>
          <w:vertAlign w:val="superscript"/>
        </w:rPr>
        <w:t>2</w:t>
      </w:r>
      <w:r w:rsidRPr="00382816">
        <w:rPr>
          <w:szCs w:val="22"/>
        </w:rPr>
        <w:t>. Svi muškarci su svakodnevno primali nadoknadu kalcijuma (barem 1000 mg) i vitamina D (barem 800 IU).</w:t>
      </w:r>
    </w:p>
    <w:p w14:paraId="7E0E5A73" w14:textId="77777777" w:rsidR="00662535" w:rsidRPr="00382816" w:rsidRDefault="00662535" w:rsidP="00B0072D">
      <w:pPr>
        <w:tabs>
          <w:tab w:val="left" w:pos="6300"/>
        </w:tabs>
        <w:autoSpaceDE w:val="0"/>
        <w:autoSpaceDN w:val="0"/>
        <w:adjustRightInd w:val="0"/>
        <w:jc w:val="both"/>
        <w:rPr>
          <w:szCs w:val="22"/>
        </w:rPr>
      </w:pPr>
    </w:p>
    <w:p w14:paraId="07B0FB2C" w14:textId="77777777" w:rsidR="00662535" w:rsidRPr="00382816" w:rsidRDefault="00233FFD" w:rsidP="00B0072D">
      <w:pPr>
        <w:pStyle w:val="TextItalicized"/>
        <w:jc w:val="both"/>
        <w:rPr>
          <w:i w:val="0"/>
          <w:color w:val="auto"/>
          <w:sz w:val="22"/>
          <w:szCs w:val="22"/>
        </w:rPr>
      </w:pPr>
      <w:r w:rsidRPr="00382816">
        <w:rPr>
          <w:i w:val="0"/>
          <w:color w:val="auto"/>
          <w:sz w:val="22"/>
          <w:szCs w:val="22"/>
        </w:rPr>
        <w:t xml:space="preserve">Primarna mjera efikasnosti bila je postotak promjene BMD u lumbalnom dijelu kičme, efikasnost kod frakture nije procijenjena. Prolia je nakon 12 mjeseci značajno povećala BMD u odnosu na placebo na svim kliničkim mjestima mjerenja: 4,8% kod lumbalnog dijela kičme, 2,0% kod cijelog kuka, 2,2% kod vrata butne kosti, 2,3% kod </w:t>
      </w:r>
      <w:proofErr w:type="spellStart"/>
      <w:r w:rsidRPr="00382816">
        <w:rPr>
          <w:i w:val="0"/>
          <w:color w:val="auto"/>
          <w:sz w:val="22"/>
          <w:szCs w:val="22"/>
        </w:rPr>
        <w:t>trohantera</w:t>
      </w:r>
      <w:proofErr w:type="spellEnd"/>
      <w:r w:rsidRPr="00382816">
        <w:rPr>
          <w:i w:val="0"/>
          <w:color w:val="auto"/>
          <w:sz w:val="22"/>
          <w:szCs w:val="22"/>
        </w:rPr>
        <w:t xml:space="preserve"> kuka, te 0,9% kod </w:t>
      </w:r>
      <w:proofErr w:type="spellStart"/>
      <w:r w:rsidRPr="00382816">
        <w:rPr>
          <w:i w:val="0"/>
          <w:color w:val="auto"/>
          <w:sz w:val="22"/>
          <w:szCs w:val="22"/>
        </w:rPr>
        <w:t>distalne</w:t>
      </w:r>
      <w:proofErr w:type="spellEnd"/>
      <w:r w:rsidRPr="00382816">
        <w:rPr>
          <w:i w:val="0"/>
          <w:color w:val="auto"/>
          <w:sz w:val="22"/>
          <w:szCs w:val="22"/>
        </w:rPr>
        <w:t xml:space="preserve"> trećine radijusa (kod svih p &lt; 0,05). Lijek Prolia je povećao BMD u lumbalnom dijelu kičme od početnih vrijednosti kod 94,7% muškaraca unutar godine dana. Značajna povećanja BMD u lumbalnom dijelu kičme, cijelog kuka, vrata butne kosti i </w:t>
      </w:r>
      <w:proofErr w:type="spellStart"/>
      <w:r w:rsidRPr="00382816">
        <w:rPr>
          <w:i w:val="0"/>
          <w:color w:val="auto"/>
          <w:sz w:val="22"/>
          <w:szCs w:val="22"/>
        </w:rPr>
        <w:t>trohantera</w:t>
      </w:r>
      <w:proofErr w:type="spellEnd"/>
      <w:r w:rsidRPr="00382816">
        <w:rPr>
          <w:i w:val="0"/>
          <w:color w:val="auto"/>
          <w:sz w:val="22"/>
          <w:szCs w:val="22"/>
        </w:rPr>
        <w:t xml:space="preserve"> kuka zabilježena su nakon 6 mjeseci (p &lt; 0,0001).</w:t>
      </w:r>
    </w:p>
    <w:p w14:paraId="2BA0712C" w14:textId="77777777" w:rsidR="00662535" w:rsidRPr="00382816" w:rsidRDefault="00662535" w:rsidP="00B0072D">
      <w:pPr>
        <w:pStyle w:val="Text"/>
        <w:tabs>
          <w:tab w:val="left" w:pos="567"/>
        </w:tabs>
        <w:spacing w:before="0" w:beforeAutospacing="0" w:after="0" w:afterAutospacing="0" w:line="240" w:lineRule="auto"/>
        <w:ind w:left="0"/>
        <w:jc w:val="both"/>
        <w:rPr>
          <w:bCs w:val="0"/>
          <w:color w:val="auto"/>
          <w:sz w:val="22"/>
          <w:szCs w:val="22"/>
        </w:rPr>
      </w:pPr>
    </w:p>
    <w:p w14:paraId="45226293" w14:textId="77777777" w:rsidR="00662535" w:rsidRPr="00382816" w:rsidRDefault="00233FFD" w:rsidP="00B0072D">
      <w:pPr>
        <w:pStyle w:val="Text"/>
        <w:keepNext/>
        <w:tabs>
          <w:tab w:val="left" w:pos="567"/>
        </w:tabs>
        <w:spacing w:before="0" w:beforeAutospacing="0" w:after="0" w:afterAutospacing="0" w:line="240" w:lineRule="auto"/>
        <w:ind w:left="0"/>
        <w:jc w:val="both"/>
        <w:rPr>
          <w:bCs w:val="0"/>
          <w:color w:val="auto"/>
          <w:sz w:val="22"/>
          <w:szCs w:val="22"/>
          <w:u w:val="single"/>
        </w:rPr>
      </w:pPr>
      <w:r w:rsidRPr="00382816">
        <w:rPr>
          <w:color w:val="auto"/>
          <w:sz w:val="22"/>
          <w:szCs w:val="22"/>
          <w:u w:val="single"/>
        </w:rPr>
        <w:t>Histologija kostiju kod žena u menopauzi i muškaraca sa osteoporozom</w:t>
      </w:r>
    </w:p>
    <w:p w14:paraId="532C8714" w14:textId="77777777" w:rsidR="00662535" w:rsidRPr="00382816" w:rsidRDefault="00662535" w:rsidP="00B0072D">
      <w:pPr>
        <w:pStyle w:val="Text"/>
        <w:keepNext/>
        <w:tabs>
          <w:tab w:val="left" w:pos="567"/>
        </w:tabs>
        <w:spacing w:before="0" w:beforeAutospacing="0" w:after="0" w:afterAutospacing="0" w:line="240" w:lineRule="auto"/>
        <w:ind w:left="0"/>
        <w:jc w:val="both"/>
        <w:rPr>
          <w:bCs w:val="0"/>
          <w:color w:val="auto"/>
          <w:sz w:val="22"/>
          <w:szCs w:val="22"/>
          <w:u w:val="single"/>
        </w:rPr>
      </w:pPr>
    </w:p>
    <w:p w14:paraId="6E46F6C2" w14:textId="37500053" w:rsidR="00662535" w:rsidRPr="00382816" w:rsidRDefault="009214A2" w:rsidP="00B0072D">
      <w:pPr>
        <w:jc w:val="both"/>
        <w:rPr>
          <w:szCs w:val="22"/>
        </w:rPr>
      </w:pPr>
      <w:r w:rsidRPr="00382816">
        <w:rPr>
          <w:szCs w:val="22"/>
        </w:rPr>
        <w:t xml:space="preserve">Histologija kostiju je procjenjivana kod 62 žene u postmenopauzi sa osteoporozom ili sa niskom koštanom masom, koje prethodno nisu imale terapiju za </w:t>
      </w:r>
      <w:proofErr w:type="spellStart"/>
      <w:r w:rsidRPr="00382816">
        <w:rPr>
          <w:szCs w:val="22"/>
        </w:rPr>
        <w:t>osteoporozu</w:t>
      </w:r>
      <w:proofErr w:type="spellEnd"/>
      <w:r w:rsidRPr="00382816">
        <w:rPr>
          <w:szCs w:val="22"/>
        </w:rPr>
        <w:t xml:space="preserve"> ili su prebačene sa terapije </w:t>
      </w:r>
      <w:proofErr w:type="spellStart"/>
      <w:r w:rsidRPr="00382816">
        <w:rPr>
          <w:szCs w:val="22"/>
        </w:rPr>
        <w:t>alendronatom</w:t>
      </w:r>
      <w:proofErr w:type="spellEnd"/>
      <w:r w:rsidRPr="00382816">
        <w:rPr>
          <w:szCs w:val="22"/>
        </w:rPr>
        <w:t>, na terapiju lijekom Prolia u trajanju od 1</w:t>
      </w:r>
      <w:r w:rsidRPr="00382816">
        <w:rPr>
          <w:szCs w:val="22"/>
        </w:rPr>
        <w:noBreakHyphen/>
        <w:t xml:space="preserve">3 godine. Pedeset i devet žena je učestvovala u </w:t>
      </w:r>
      <w:proofErr w:type="spellStart"/>
      <w:r w:rsidRPr="00382816">
        <w:rPr>
          <w:szCs w:val="22"/>
        </w:rPr>
        <w:t>podstudiji</w:t>
      </w:r>
      <w:proofErr w:type="spellEnd"/>
      <w:r w:rsidRPr="00382816">
        <w:rPr>
          <w:szCs w:val="22"/>
        </w:rPr>
        <w:t xml:space="preserve"> biopsije kosti u 24. mjesecu (n = 41) i/ili u 84. mjesecu (n = 22) produžetka ispitivanja kod žena u postmenopauzi sa osteoporozom. Histologija kosti je procijenjena i kod 17 muškaraca s osteoporozom nakon jedne godine terapije lijekom Prolia. Rezultati biopsije kostiju iz oba ispitivanja pokazali su normalnu građu i kvalitet kostiju, bez dokaza o postojanju defekta </w:t>
      </w:r>
      <w:proofErr w:type="spellStart"/>
      <w:r w:rsidRPr="00382816">
        <w:rPr>
          <w:szCs w:val="22"/>
        </w:rPr>
        <w:t>mineralizacije</w:t>
      </w:r>
      <w:proofErr w:type="spellEnd"/>
      <w:r w:rsidRPr="00382816">
        <w:rPr>
          <w:szCs w:val="22"/>
        </w:rPr>
        <w:t xml:space="preserve">, vlaknastih kostiju ili </w:t>
      </w:r>
      <w:proofErr w:type="spellStart"/>
      <w:r w:rsidRPr="00382816">
        <w:rPr>
          <w:szCs w:val="22"/>
        </w:rPr>
        <w:t>fibroze</w:t>
      </w:r>
      <w:proofErr w:type="spellEnd"/>
      <w:r w:rsidRPr="00382816">
        <w:rPr>
          <w:szCs w:val="22"/>
        </w:rPr>
        <w:t xml:space="preserve"> </w:t>
      </w:r>
      <w:proofErr w:type="spellStart"/>
      <w:r w:rsidRPr="00382816">
        <w:rPr>
          <w:szCs w:val="22"/>
        </w:rPr>
        <w:t>kostne</w:t>
      </w:r>
      <w:proofErr w:type="spellEnd"/>
      <w:r w:rsidRPr="00382816">
        <w:rPr>
          <w:szCs w:val="22"/>
        </w:rPr>
        <w:t xml:space="preserve"> srži. Nalazi </w:t>
      </w:r>
      <w:proofErr w:type="spellStart"/>
      <w:r w:rsidRPr="00382816">
        <w:rPr>
          <w:szCs w:val="22"/>
        </w:rPr>
        <w:t>histomorfometrije</w:t>
      </w:r>
      <w:proofErr w:type="spellEnd"/>
      <w:r w:rsidRPr="00382816">
        <w:rPr>
          <w:szCs w:val="22"/>
        </w:rPr>
        <w:t xml:space="preserve"> dobijeni u toku produžetka ispitivanja kod žena u postmenopauzi sa osteoporozom, pokazali su antiresorptivne efekte l</w:t>
      </w:r>
      <w:r w:rsidR="00712F46" w:rsidRPr="00382816">
        <w:rPr>
          <w:szCs w:val="22"/>
        </w:rPr>
        <w:t>ij</w:t>
      </w:r>
      <w:r w:rsidRPr="00382816">
        <w:rPr>
          <w:szCs w:val="22"/>
        </w:rPr>
        <w:t>eka Prolia, m</w:t>
      </w:r>
      <w:r w:rsidR="00712F46" w:rsidRPr="00382816">
        <w:rPr>
          <w:szCs w:val="22"/>
        </w:rPr>
        <w:t>j</w:t>
      </w:r>
      <w:r w:rsidRPr="00382816">
        <w:rPr>
          <w:szCs w:val="22"/>
        </w:rPr>
        <w:t xml:space="preserve">eren na osnovu frekvence </w:t>
      </w:r>
      <w:proofErr w:type="spellStart"/>
      <w:r w:rsidRPr="00382816">
        <w:rPr>
          <w:szCs w:val="22"/>
        </w:rPr>
        <w:t>aktivacije</w:t>
      </w:r>
      <w:proofErr w:type="spellEnd"/>
      <w:r w:rsidRPr="00382816">
        <w:rPr>
          <w:szCs w:val="22"/>
        </w:rPr>
        <w:t xml:space="preserve"> i stope formiranja kosti, koji su se održali tokom </w:t>
      </w:r>
      <w:proofErr w:type="spellStart"/>
      <w:r w:rsidRPr="00382816">
        <w:rPr>
          <w:szCs w:val="22"/>
        </w:rPr>
        <w:t>vremena</w:t>
      </w:r>
      <w:proofErr w:type="spellEnd"/>
      <w:r w:rsidRPr="00382816">
        <w:rPr>
          <w:szCs w:val="22"/>
        </w:rPr>
        <w:t>.</w:t>
      </w:r>
    </w:p>
    <w:p w14:paraId="33757148" w14:textId="77777777" w:rsidR="00662535" w:rsidRPr="00382816" w:rsidRDefault="00662535" w:rsidP="00B0072D">
      <w:pPr>
        <w:pStyle w:val="Text"/>
        <w:tabs>
          <w:tab w:val="left" w:pos="567"/>
        </w:tabs>
        <w:spacing w:before="0" w:beforeAutospacing="0" w:after="0" w:afterAutospacing="0" w:line="240" w:lineRule="auto"/>
        <w:ind w:left="0"/>
        <w:jc w:val="both"/>
        <w:rPr>
          <w:bCs w:val="0"/>
          <w:color w:val="auto"/>
          <w:sz w:val="22"/>
          <w:szCs w:val="22"/>
        </w:rPr>
      </w:pPr>
    </w:p>
    <w:p w14:paraId="3B8793EC" w14:textId="77777777" w:rsidR="00662535" w:rsidRPr="00382816" w:rsidRDefault="009E72A2"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 xml:space="preserve">Klinička efikasnost i bezbjednost kod pacijenata sa gubitkom kostiju udruženom sa smanjenjem </w:t>
      </w:r>
      <w:proofErr w:type="spellStart"/>
      <w:r w:rsidRPr="00382816">
        <w:rPr>
          <w:color w:val="auto"/>
          <w:sz w:val="22"/>
          <w:szCs w:val="22"/>
          <w:u w:val="single"/>
        </w:rPr>
        <w:t>androgena</w:t>
      </w:r>
      <w:proofErr w:type="spellEnd"/>
    </w:p>
    <w:p w14:paraId="5B42AA7C"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27934A83" w14:textId="77777777" w:rsidR="00662535" w:rsidRPr="00382816" w:rsidRDefault="00992A6A" w:rsidP="00B0072D">
      <w:pPr>
        <w:pStyle w:val="Style11"/>
        <w:jc w:val="both"/>
      </w:pPr>
      <w:r w:rsidRPr="00382816">
        <w:t xml:space="preserve">Efikasnost i bezbjednost lijeka Prolia, kada se primjenjuje jednom na svakih 6 mjeseci tokom 3 godine, ispitivana je kod muškaraca kod kojih je histološki potvrđen </w:t>
      </w:r>
      <w:proofErr w:type="spellStart"/>
      <w:r w:rsidRPr="00382816">
        <w:t>nemetastatski</w:t>
      </w:r>
      <w:proofErr w:type="spellEnd"/>
      <w:r w:rsidRPr="00382816">
        <w:t xml:space="preserve"> </w:t>
      </w:r>
      <w:proofErr w:type="spellStart"/>
      <w:r w:rsidRPr="00382816">
        <w:t>karcinom</w:t>
      </w:r>
      <w:proofErr w:type="spellEnd"/>
      <w:r w:rsidRPr="00382816">
        <w:t xml:space="preserve"> prostate i koji su primali ADT (1468 muškaraca starosti 48</w:t>
      </w:r>
      <w:r w:rsidRPr="00382816">
        <w:noBreakHyphen/>
        <w:t>97 godina) kod kojih je bio povećan rizik od nastanka fraktura (definisan kao &gt; 70 godina ili &lt; 70 godina, čiji je BMD T</w:t>
      </w:r>
      <w:r w:rsidRPr="00382816">
        <w:noBreakHyphen/>
        <w:t xml:space="preserve">skor mjeren na lumbalnom dijelu kičme, cijelom kuku ili vratu femura iznosio &lt; -1,0 ili postojanje </w:t>
      </w:r>
      <w:proofErr w:type="spellStart"/>
      <w:r w:rsidRPr="00382816">
        <w:t>anamnestičkog</w:t>
      </w:r>
      <w:proofErr w:type="spellEnd"/>
      <w:r w:rsidRPr="00382816">
        <w:t xml:space="preserve"> podatka o </w:t>
      </w:r>
      <w:proofErr w:type="spellStart"/>
      <w:r w:rsidRPr="00382816">
        <w:t>osteoporotičnoj</w:t>
      </w:r>
      <w:proofErr w:type="spellEnd"/>
      <w:r w:rsidRPr="00382816">
        <w:t xml:space="preserve"> frakturi). Svi muškarci su primali nadoknadu kalcijuma (najmanje 1000 mg) i vitamina D (najmanje 400 IU) dnevno.</w:t>
      </w:r>
    </w:p>
    <w:p w14:paraId="589E59E8"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4DEBFCB6"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Lijek Prolia značajno povećava BMD </w:t>
      </w:r>
      <w:proofErr w:type="spellStart"/>
      <w:r w:rsidRPr="00382816">
        <w:rPr>
          <w:color w:val="auto"/>
          <w:sz w:val="22"/>
          <w:szCs w:val="22"/>
        </w:rPr>
        <w:t>mjerenu</w:t>
      </w:r>
      <w:proofErr w:type="spellEnd"/>
      <w:r w:rsidRPr="00382816">
        <w:rPr>
          <w:color w:val="auto"/>
          <w:sz w:val="22"/>
          <w:szCs w:val="22"/>
        </w:rPr>
        <w:t xml:space="preserve"> na svim kliničkim mjestima, u poređenju sa terapijom </w:t>
      </w:r>
      <w:proofErr w:type="spellStart"/>
      <w:r w:rsidRPr="00382816">
        <w:rPr>
          <w:color w:val="auto"/>
          <w:sz w:val="22"/>
          <w:szCs w:val="22"/>
        </w:rPr>
        <w:t>placebom</w:t>
      </w:r>
      <w:proofErr w:type="spellEnd"/>
      <w:r w:rsidRPr="00382816">
        <w:rPr>
          <w:color w:val="auto"/>
          <w:sz w:val="22"/>
          <w:szCs w:val="22"/>
        </w:rPr>
        <w:t xml:space="preserve"> poslije 3 godine: 7,9% na lumbalnom dijelu kičme, 5,7% na cijelom kuku, 4,9% na vratu femura, 6,9% na </w:t>
      </w:r>
      <w:proofErr w:type="spellStart"/>
      <w:r w:rsidRPr="00382816">
        <w:rPr>
          <w:color w:val="auto"/>
          <w:sz w:val="22"/>
          <w:szCs w:val="22"/>
        </w:rPr>
        <w:t>trohanteru</w:t>
      </w:r>
      <w:proofErr w:type="spellEnd"/>
      <w:r w:rsidRPr="00382816">
        <w:rPr>
          <w:color w:val="auto"/>
          <w:sz w:val="22"/>
          <w:szCs w:val="22"/>
        </w:rPr>
        <w:t xml:space="preserve"> kuka, 6,9% na </w:t>
      </w:r>
      <w:proofErr w:type="spellStart"/>
      <w:r w:rsidRPr="00382816">
        <w:rPr>
          <w:color w:val="auto"/>
          <w:sz w:val="22"/>
          <w:szCs w:val="22"/>
        </w:rPr>
        <w:t>distalnoj</w:t>
      </w:r>
      <w:proofErr w:type="spellEnd"/>
      <w:r w:rsidRPr="00382816">
        <w:rPr>
          <w:color w:val="auto"/>
          <w:sz w:val="22"/>
          <w:szCs w:val="22"/>
        </w:rPr>
        <w:t xml:space="preserve"> trećini radijusa i 4,7% na tijelu u cjelini (sve sa p &lt; 0,0001). U prospektivno planiranoj </w:t>
      </w:r>
      <w:proofErr w:type="spellStart"/>
      <w:r w:rsidRPr="00382816">
        <w:rPr>
          <w:color w:val="auto"/>
          <w:sz w:val="22"/>
          <w:szCs w:val="22"/>
        </w:rPr>
        <w:t>eksplorativnoj</w:t>
      </w:r>
      <w:proofErr w:type="spellEnd"/>
      <w:r w:rsidRPr="00382816">
        <w:rPr>
          <w:color w:val="auto"/>
          <w:sz w:val="22"/>
          <w:szCs w:val="22"/>
        </w:rPr>
        <w:t xml:space="preserve"> analizi, značajan porast BMD zapažen je na lumbalnom dijelu kičme, cijelom kuku, vratu femura i </w:t>
      </w:r>
      <w:proofErr w:type="spellStart"/>
      <w:r w:rsidRPr="00382816">
        <w:rPr>
          <w:color w:val="auto"/>
          <w:sz w:val="22"/>
          <w:szCs w:val="22"/>
        </w:rPr>
        <w:t>trohanteru</w:t>
      </w:r>
      <w:proofErr w:type="spellEnd"/>
      <w:r w:rsidRPr="00382816">
        <w:rPr>
          <w:color w:val="auto"/>
          <w:sz w:val="22"/>
          <w:szCs w:val="22"/>
        </w:rPr>
        <w:t xml:space="preserve"> kuka, mjesec dana nakon prve doze.</w:t>
      </w:r>
    </w:p>
    <w:p w14:paraId="714AAD61" w14:textId="77777777" w:rsidR="00662535" w:rsidRPr="00382816" w:rsidRDefault="00662535" w:rsidP="00B0072D">
      <w:pPr>
        <w:jc w:val="both"/>
        <w:rPr>
          <w:szCs w:val="22"/>
        </w:rPr>
      </w:pPr>
    </w:p>
    <w:p w14:paraId="58EA4538" w14:textId="77777777" w:rsidR="00662535" w:rsidRPr="00382816" w:rsidRDefault="00D475CF" w:rsidP="00B0072D">
      <w:pPr>
        <w:jc w:val="both"/>
        <w:rPr>
          <w:szCs w:val="22"/>
        </w:rPr>
      </w:pPr>
      <w:r w:rsidRPr="00382816">
        <w:rPr>
          <w:szCs w:val="22"/>
        </w:rPr>
        <w:lastRenderedPageBreak/>
        <w:t>Lijek Prolia je pokazao značajno smanjenje relativnog rizika od pojave novih vertebralnih fraktura poslije godinu dana: 85% (1,6% smanjenja apsolutnog rizika) u prvoj godini, 69% (2,2% smanjenja apsolutnog rizika) u drugoj godini i 62% (2,4% smanjenja apsolutnog rizika) u trećoj godini (sve sa p &lt; 0,01).</w:t>
      </w:r>
    </w:p>
    <w:p w14:paraId="2E6E4D3C"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5895D31B" w14:textId="39EB0141" w:rsidR="00662535" w:rsidRPr="00382816" w:rsidRDefault="009E72A2"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Klinička efikasnost i bezb</w:t>
      </w:r>
      <w:r w:rsidR="00712F46" w:rsidRPr="00382816">
        <w:rPr>
          <w:color w:val="auto"/>
          <w:sz w:val="22"/>
          <w:szCs w:val="22"/>
          <w:u w:val="single"/>
        </w:rPr>
        <w:t>j</w:t>
      </w:r>
      <w:r w:rsidRPr="00382816">
        <w:rPr>
          <w:color w:val="auto"/>
          <w:sz w:val="22"/>
          <w:szCs w:val="22"/>
          <w:u w:val="single"/>
        </w:rPr>
        <w:t xml:space="preserve">ednost kod pacijenata sa gubitkom kosti udruženom sa </w:t>
      </w:r>
      <w:proofErr w:type="spellStart"/>
      <w:r w:rsidRPr="00382816">
        <w:rPr>
          <w:color w:val="auto"/>
          <w:sz w:val="22"/>
          <w:szCs w:val="22"/>
          <w:u w:val="single"/>
        </w:rPr>
        <w:t>adjuvantnom</w:t>
      </w:r>
      <w:proofErr w:type="spellEnd"/>
      <w:r w:rsidRPr="00382816">
        <w:rPr>
          <w:color w:val="auto"/>
          <w:sz w:val="22"/>
          <w:szCs w:val="22"/>
          <w:u w:val="single"/>
        </w:rPr>
        <w:t xml:space="preserve"> terapijom inhibitorima aromataze</w:t>
      </w:r>
    </w:p>
    <w:p w14:paraId="06D0AA9F"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0E2E5A40"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Efikasnost i bezbjednost lijeka Prolia, kada se primjenjuje jednom na svakih 6 mjeseci tokom 2 godine, ispitivani su kod žena sa nemetastatskim karcinomom dojke (252 žene starosti 35</w:t>
      </w:r>
      <w:r w:rsidRPr="00382816">
        <w:rPr>
          <w:color w:val="auto"/>
          <w:sz w:val="22"/>
          <w:szCs w:val="22"/>
        </w:rPr>
        <w:noBreakHyphen/>
        <w:t>84 godine) i početnim BMD T-skorom između -1,0 do -2,5 na lumbalnom dijelu kičme, cijelom kuku ili vratu femura. Sve žene su dobijale nadoknadu kalcijuma (najmanje 1000 mg) i vitamina D (najmanje 400 IU) dnevno.</w:t>
      </w:r>
    </w:p>
    <w:p w14:paraId="2348FD7A"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4230FBF3" w14:textId="77777777" w:rsidR="00662535" w:rsidRPr="00382816" w:rsidRDefault="00992A6A" w:rsidP="00B0072D">
      <w:pPr>
        <w:pStyle w:val="Style11"/>
        <w:jc w:val="both"/>
      </w:pPr>
      <w:r w:rsidRPr="00382816">
        <w:t xml:space="preserve">Varijabla kojom je mjerena primarna efikasnost bila je procenat promjene BMD na lumbalnom dijelu kičme, dok efikasnost kod fraktura nije procjenjivana. Lijek Prolia je značajno povećao BMD, mjeren na svim kliničkim mjestima, u poređenju sa terapijom </w:t>
      </w:r>
      <w:proofErr w:type="spellStart"/>
      <w:r w:rsidRPr="00382816">
        <w:t>placebom</w:t>
      </w:r>
      <w:proofErr w:type="spellEnd"/>
      <w:r w:rsidRPr="00382816">
        <w:t xml:space="preserve">, poslije 2 godine: 7,6% na lumbalnom dijelu kičme, 4,7% na cijelom kuku, 3,6% na vratu femura, 5,9% na </w:t>
      </w:r>
      <w:proofErr w:type="spellStart"/>
      <w:r w:rsidRPr="00382816">
        <w:t>trohanteru</w:t>
      </w:r>
      <w:proofErr w:type="spellEnd"/>
      <w:r w:rsidRPr="00382816">
        <w:t xml:space="preserve"> kuka, 6,1% na </w:t>
      </w:r>
      <w:proofErr w:type="spellStart"/>
      <w:r w:rsidRPr="00382816">
        <w:t>distalnoj</w:t>
      </w:r>
      <w:proofErr w:type="spellEnd"/>
      <w:r w:rsidRPr="00382816">
        <w:t xml:space="preserve"> trećini radijusa i 4,2% na cijelom tijelu. (sve sa p &lt; 0,0001).</w:t>
      </w:r>
    </w:p>
    <w:p w14:paraId="6C3E6FD1" w14:textId="77777777" w:rsidR="00662535" w:rsidRPr="00382816" w:rsidRDefault="00662535" w:rsidP="00B0072D">
      <w:pPr>
        <w:tabs>
          <w:tab w:val="left" w:pos="6300"/>
        </w:tabs>
        <w:autoSpaceDE w:val="0"/>
        <w:autoSpaceDN w:val="0"/>
        <w:adjustRightInd w:val="0"/>
        <w:jc w:val="both"/>
        <w:rPr>
          <w:szCs w:val="22"/>
        </w:rPr>
      </w:pPr>
    </w:p>
    <w:p w14:paraId="32549D43" w14:textId="77777777" w:rsidR="00662535" w:rsidRPr="00382816" w:rsidRDefault="00241EBE" w:rsidP="00B0072D">
      <w:pPr>
        <w:keepNext/>
        <w:tabs>
          <w:tab w:val="clear" w:pos="567"/>
        </w:tabs>
        <w:autoSpaceDE w:val="0"/>
        <w:autoSpaceDN w:val="0"/>
        <w:adjustRightInd w:val="0"/>
        <w:jc w:val="both"/>
        <w:rPr>
          <w:szCs w:val="22"/>
          <w:u w:val="single"/>
        </w:rPr>
      </w:pPr>
      <w:r w:rsidRPr="00382816">
        <w:rPr>
          <w:szCs w:val="22"/>
          <w:u w:val="single"/>
        </w:rPr>
        <w:t>Liječenje gubitka koštane mase povezano sa sistemskom terapijom glukokortikoidima</w:t>
      </w:r>
    </w:p>
    <w:p w14:paraId="7321E263" w14:textId="77777777" w:rsidR="00662535" w:rsidRPr="00382816" w:rsidRDefault="00662535" w:rsidP="00B0072D">
      <w:pPr>
        <w:keepNext/>
        <w:tabs>
          <w:tab w:val="clear" w:pos="567"/>
        </w:tabs>
        <w:autoSpaceDE w:val="0"/>
        <w:autoSpaceDN w:val="0"/>
        <w:adjustRightInd w:val="0"/>
        <w:jc w:val="both"/>
        <w:rPr>
          <w:szCs w:val="22"/>
        </w:rPr>
      </w:pPr>
    </w:p>
    <w:p w14:paraId="75F6E201" w14:textId="77777777" w:rsidR="00662535" w:rsidRPr="00382816" w:rsidRDefault="00241EBE" w:rsidP="00B0072D">
      <w:pPr>
        <w:tabs>
          <w:tab w:val="clear" w:pos="567"/>
        </w:tabs>
        <w:autoSpaceDE w:val="0"/>
        <w:autoSpaceDN w:val="0"/>
        <w:adjustRightInd w:val="0"/>
        <w:jc w:val="both"/>
        <w:rPr>
          <w:szCs w:val="22"/>
        </w:rPr>
      </w:pPr>
      <w:r w:rsidRPr="00382816">
        <w:rPr>
          <w:szCs w:val="22"/>
        </w:rPr>
        <w:t xml:space="preserve">Efikasnost i bezbjednost lijeka Prolia je bila ispitivana na 795 pacijenata (70% žena i 30% muškaraca) uzrasta od 20 do 94 godine koji su bili na terapiji oralnim </w:t>
      </w:r>
      <w:proofErr w:type="spellStart"/>
      <w:r w:rsidRPr="00382816">
        <w:rPr>
          <w:szCs w:val="22"/>
        </w:rPr>
        <w:t>prednizonom</w:t>
      </w:r>
      <w:proofErr w:type="spellEnd"/>
      <w:r w:rsidRPr="00382816">
        <w:rPr>
          <w:szCs w:val="22"/>
        </w:rPr>
        <w:t xml:space="preserve"> (ili ekvivalentom) u dozi ≥ 7,5 mg dnevno.</w:t>
      </w:r>
    </w:p>
    <w:p w14:paraId="1B492BE3" w14:textId="77777777" w:rsidR="00662535" w:rsidRPr="00382816" w:rsidRDefault="00662535" w:rsidP="00B0072D">
      <w:pPr>
        <w:tabs>
          <w:tab w:val="clear" w:pos="567"/>
        </w:tabs>
        <w:autoSpaceDE w:val="0"/>
        <w:autoSpaceDN w:val="0"/>
        <w:adjustRightInd w:val="0"/>
        <w:jc w:val="both"/>
        <w:rPr>
          <w:szCs w:val="22"/>
        </w:rPr>
      </w:pPr>
    </w:p>
    <w:p w14:paraId="6125701D" w14:textId="5D164D3D" w:rsidR="00662535" w:rsidRPr="00382816" w:rsidRDefault="00241EBE" w:rsidP="00B0072D">
      <w:pPr>
        <w:tabs>
          <w:tab w:val="clear" w:pos="567"/>
        </w:tabs>
        <w:autoSpaceDE w:val="0"/>
        <w:autoSpaceDN w:val="0"/>
        <w:adjustRightInd w:val="0"/>
        <w:jc w:val="both"/>
        <w:rPr>
          <w:szCs w:val="22"/>
        </w:rPr>
      </w:pPr>
      <w:r w:rsidRPr="00382816">
        <w:rPr>
          <w:szCs w:val="22"/>
        </w:rPr>
        <w:t xml:space="preserve">Ispitane su </w:t>
      </w:r>
      <w:proofErr w:type="spellStart"/>
      <w:r w:rsidRPr="00382816">
        <w:rPr>
          <w:szCs w:val="22"/>
        </w:rPr>
        <w:t>dve</w:t>
      </w:r>
      <w:proofErr w:type="spellEnd"/>
      <w:r w:rsidRPr="00382816">
        <w:rPr>
          <w:szCs w:val="22"/>
        </w:rPr>
        <w:t xml:space="preserve"> </w:t>
      </w:r>
      <w:proofErr w:type="spellStart"/>
      <w:r w:rsidRPr="00382816">
        <w:rPr>
          <w:szCs w:val="22"/>
        </w:rPr>
        <w:t>subpopulacije</w:t>
      </w:r>
      <w:proofErr w:type="spellEnd"/>
      <w:r w:rsidRPr="00382816">
        <w:rPr>
          <w:szCs w:val="22"/>
        </w:rPr>
        <w:t xml:space="preserve">: pacijenti koji nastavljaju liječenje glukokortikoidima (≥ 7,5 mg </w:t>
      </w:r>
      <w:proofErr w:type="spellStart"/>
      <w:r w:rsidRPr="00382816">
        <w:rPr>
          <w:szCs w:val="22"/>
        </w:rPr>
        <w:t>prednizona</w:t>
      </w:r>
      <w:proofErr w:type="spellEnd"/>
      <w:r w:rsidRPr="00382816">
        <w:rPr>
          <w:szCs w:val="22"/>
        </w:rPr>
        <w:t xml:space="preserve"> ili ekvivalenta dnevno ≥ 3 mjeseca pr</w:t>
      </w:r>
      <w:r w:rsidR="0070189D" w:rsidRPr="00382816">
        <w:rPr>
          <w:szCs w:val="22"/>
        </w:rPr>
        <w:t>ij</w:t>
      </w:r>
      <w:r w:rsidRPr="00382816">
        <w:rPr>
          <w:szCs w:val="22"/>
        </w:rPr>
        <w:t xml:space="preserve">e uključivanja u ispitivanje; n = 505) i pacijenti koji počinju terapiju glukokortikoidima (≥ 7,5 mg </w:t>
      </w:r>
      <w:proofErr w:type="spellStart"/>
      <w:r w:rsidRPr="00382816">
        <w:rPr>
          <w:szCs w:val="22"/>
        </w:rPr>
        <w:t>prednizona</w:t>
      </w:r>
      <w:proofErr w:type="spellEnd"/>
      <w:r w:rsidRPr="00382816">
        <w:rPr>
          <w:szCs w:val="22"/>
        </w:rPr>
        <w:t xml:space="preserve"> ili ekvivalenta dnevno &lt; 3 mjeseca prije uključivanja u ispitivanje; n = 290). Pacijenti su bili </w:t>
      </w:r>
      <w:proofErr w:type="spellStart"/>
      <w:r w:rsidRPr="00382816">
        <w:rPr>
          <w:szCs w:val="22"/>
        </w:rPr>
        <w:t>randomizirani</w:t>
      </w:r>
      <w:proofErr w:type="spellEnd"/>
      <w:r w:rsidRPr="00382816">
        <w:rPr>
          <w:szCs w:val="22"/>
        </w:rPr>
        <w:t xml:space="preserve"> (1:1) za primanje 60 mg l</w:t>
      </w:r>
      <w:r w:rsidR="00AD6FD5" w:rsidRPr="00382816">
        <w:rPr>
          <w:szCs w:val="22"/>
        </w:rPr>
        <w:t>ij</w:t>
      </w:r>
      <w:r w:rsidRPr="00382816">
        <w:rPr>
          <w:szCs w:val="22"/>
        </w:rPr>
        <w:t xml:space="preserve">eka Prolia </w:t>
      </w:r>
      <w:proofErr w:type="spellStart"/>
      <w:r w:rsidRPr="00382816">
        <w:rPr>
          <w:szCs w:val="22"/>
        </w:rPr>
        <w:t>su</w:t>
      </w:r>
      <w:r w:rsidR="0070189D" w:rsidRPr="00382816">
        <w:rPr>
          <w:szCs w:val="22"/>
        </w:rPr>
        <w:t>b</w:t>
      </w:r>
      <w:r w:rsidRPr="00382816">
        <w:rPr>
          <w:szCs w:val="22"/>
        </w:rPr>
        <w:t>kutano</w:t>
      </w:r>
      <w:proofErr w:type="spellEnd"/>
      <w:r w:rsidRPr="00382816">
        <w:rPr>
          <w:szCs w:val="22"/>
        </w:rPr>
        <w:t xml:space="preserve"> jednom svakih 6 mjeseci ili 5 mg oralnog </w:t>
      </w:r>
      <w:proofErr w:type="spellStart"/>
      <w:r w:rsidRPr="00382816">
        <w:rPr>
          <w:szCs w:val="22"/>
        </w:rPr>
        <w:t>risedronata</w:t>
      </w:r>
      <w:proofErr w:type="spellEnd"/>
      <w:r w:rsidRPr="00382816">
        <w:rPr>
          <w:szCs w:val="22"/>
        </w:rPr>
        <w:t xml:space="preserve"> jednom dnevno (aktivna kontrola) tokom 2 godine. Pacijenti su dnevno primali suplemente kalcijuma (barem 1000 mg) i vitamina D (barem 800 IU).</w:t>
      </w:r>
    </w:p>
    <w:p w14:paraId="744B01C4" w14:textId="77777777" w:rsidR="00662535" w:rsidRPr="00382816" w:rsidRDefault="00662535" w:rsidP="00B0072D">
      <w:pPr>
        <w:tabs>
          <w:tab w:val="clear" w:pos="567"/>
        </w:tabs>
        <w:autoSpaceDE w:val="0"/>
        <w:autoSpaceDN w:val="0"/>
        <w:adjustRightInd w:val="0"/>
        <w:jc w:val="both"/>
        <w:rPr>
          <w:szCs w:val="22"/>
        </w:rPr>
      </w:pPr>
    </w:p>
    <w:p w14:paraId="7C8FB85B" w14:textId="77777777" w:rsidR="00662535" w:rsidRPr="00382816" w:rsidRDefault="00241EBE" w:rsidP="00B0072D">
      <w:pPr>
        <w:keepNext/>
        <w:tabs>
          <w:tab w:val="clear" w:pos="567"/>
        </w:tabs>
        <w:autoSpaceDE w:val="0"/>
        <w:autoSpaceDN w:val="0"/>
        <w:adjustRightInd w:val="0"/>
        <w:jc w:val="both"/>
        <w:rPr>
          <w:i/>
          <w:szCs w:val="22"/>
        </w:rPr>
      </w:pPr>
      <w:r w:rsidRPr="00382816">
        <w:rPr>
          <w:i/>
          <w:szCs w:val="22"/>
        </w:rPr>
        <w:t>Djelovanje na mineralnu gustinu kostiju (BMD)</w:t>
      </w:r>
    </w:p>
    <w:p w14:paraId="30A07A83" w14:textId="278EDEB1" w:rsidR="00662535" w:rsidRPr="00382816" w:rsidRDefault="00241EBE" w:rsidP="00B0072D">
      <w:pPr>
        <w:tabs>
          <w:tab w:val="clear" w:pos="567"/>
        </w:tabs>
        <w:autoSpaceDE w:val="0"/>
        <w:autoSpaceDN w:val="0"/>
        <w:adjustRightInd w:val="0"/>
        <w:jc w:val="both"/>
        <w:rPr>
          <w:szCs w:val="22"/>
        </w:rPr>
      </w:pPr>
      <w:r w:rsidRPr="00382816">
        <w:rPr>
          <w:szCs w:val="22"/>
        </w:rPr>
        <w:t xml:space="preserve">U </w:t>
      </w:r>
      <w:proofErr w:type="spellStart"/>
      <w:r w:rsidRPr="00382816">
        <w:rPr>
          <w:szCs w:val="22"/>
        </w:rPr>
        <w:t>subpopulaciji</w:t>
      </w:r>
      <w:proofErr w:type="spellEnd"/>
      <w:r w:rsidRPr="00382816">
        <w:rPr>
          <w:szCs w:val="22"/>
        </w:rPr>
        <w:t xml:space="preserve"> pacijenata, koji nastavljaju liječenje glukokortikoidima, lijek Prolia više je povećao BMD lumbalnog djela kičme u poređenju sa </w:t>
      </w:r>
      <w:proofErr w:type="spellStart"/>
      <w:r w:rsidRPr="00382816">
        <w:rPr>
          <w:szCs w:val="22"/>
        </w:rPr>
        <w:t>risedronatom</w:t>
      </w:r>
      <w:proofErr w:type="spellEnd"/>
      <w:r w:rsidRPr="00382816">
        <w:rPr>
          <w:szCs w:val="22"/>
        </w:rPr>
        <w:t xml:space="preserve"> tokom 1 godine (Prolia 3,6%, </w:t>
      </w:r>
      <w:proofErr w:type="spellStart"/>
      <w:r w:rsidRPr="00382816">
        <w:rPr>
          <w:szCs w:val="22"/>
        </w:rPr>
        <w:t>risedronat</w:t>
      </w:r>
      <w:proofErr w:type="spellEnd"/>
      <w:r w:rsidRPr="00382816">
        <w:rPr>
          <w:szCs w:val="22"/>
        </w:rPr>
        <w:t xml:space="preserve"> 2,0%; p &lt; 0,001) i 2 godine (Prolia 4,5%, </w:t>
      </w:r>
      <w:proofErr w:type="spellStart"/>
      <w:r w:rsidRPr="00382816">
        <w:rPr>
          <w:szCs w:val="22"/>
        </w:rPr>
        <w:t>risedronat</w:t>
      </w:r>
      <w:proofErr w:type="spellEnd"/>
      <w:r w:rsidRPr="00382816">
        <w:rPr>
          <w:szCs w:val="22"/>
        </w:rPr>
        <w:t xml:space="preserve"> 2,2%; p &lt; 0,001). U </w:t>
      </w:r>
      <w:proofErr w:type="spellStart"/>
      <w:r w:rsidRPr="00382816">
        <w:rPr>
          <w:szCs w:val="22"/>
        </w:rPr>
        <w:t>subpopulaciji</w:t>
      </w:r>
      <w:proofErr w:type="spellEnd"/>
      <w:r w:rsidRPr="00382816">
        <w:rPr>
          <w:szCs w:val="22"/>
        </w:rPr>
        <w:t xml:space="preserve"> pacijenata, koji počinju liječenje glukokortikoidima, lijek Prolia više je povećao BMD lumbalnog dijela kičme u poređenju sa </w:t>
      </w:r>
      <w:proofErr w:type="spellStart"/>
      <w:r w:rsidRPr="00382816">
        <w:rPr>
          <w:szCs w:val="22"/>
        </w:rPr>
        <w:t>risedronatom</w:t>
      </w:r>
      <w:proofErr w:type="spellEnd"/>
      <w:r w:rsidRPr="00382816">
        <w:rPr>
          <w:szCs w:val="22"/>
        </w:rPr>
        <w:t xml:space="preserve"> tokom 1 godine (Prolia 3,1%, </w:t>
      </w:r>
      <w:proofErr w:type="spellStart"/>
      <w:r w:rsidRPr="00382816">
        <w:rPr>
          <w:szCs w:val="22"/>
        </w:rPr>
        <w:t>risedronat</w:t>
      </w:r>
      <w:proofErr w:type="spellEnd"/>
      <w:r w:rsidRPr="00382816">
        <w:rPr>
          <w:szCs w:val="22"/>
        </w:rPr>
        <w:t xml:space="preserve"> 0,8%; p &lt; 0,001) i 2 godine (Prolia 4,6%, </w:t>
      </w:r>
      <w:proofErr w:type="spellStart"/>
      <w:r w:rsidRPr="00382816">
        <w:rPr>
          <w:szCs w:val="22"/>
        </w:rPr>
        <w:t>risedronat</w:t>
      </w:r>
      <w:proofErr w:type="spellEnd"/>
      <w:r w:rsidRPr="00382816">
        <w:rPr>
          <w:szCs w:val="22"/>
        </w:rPr>
        <w:t> 1,5%; p &lt; 0,001).</w:t>
      </w:r>
    </w:p>
    <w:p w14:paraId="1788CC62" w14:textId="77777777" w:rsidR="00662535" w:rsidRPr="00382816" w:rsidRDefault="00662535" w:rsidP="00B0072D">
      <w:pPr>
        <w:tabs>
          <w:tab w:val="clear" w:pos="567"/>
        </w:tabs>
        <w:autoSpaceDE w:val="0"/>
        <w:autoSpaceDN w:val="0"/>
        <w:adjustRightInd w:val="0"/>
        <w:jc w:val="both"/>
        <w:rPr>
          <w:szCs w:val="22"/>
        </w:rPr>
      </w:pPr>
    </w:p>
    <w:p w14:paraId="76158871" w14:textId="3B9E1472" w:rsidR="00662535" w:rsidRPr="00382816" w:rsidRDefault="00241EBE" w:rsidP="00B0072D">
      <w:pPr>
        <w:tabs>
          <w:tab w:val="clear" w:pos="567"/>
        </w:tabs>
        <w:autoSpaceDE w:val="0"/>
        <w:autoSpaceDN w:val="0"/>
        <w:adjustRightInd w:val="0"/>
        <w:jc w:val="both"/>
        <w:rPr>
          <w:szCs w:val="22"/>
        </w:rPr>
      </w:pPr>
      <w:r w:rsidRPr="00382816">
        <w:rPr>
          <w:szCs w:val="22"/>
        </w:rPr>
        <w:t>Pored toga, lijek Prolia je imao značajno veće pros</w:t>
      </w:r>
      <w:r w:rsidR="0070189D" w:rsidRPr="00382816">
        <w:rPr>
          <w:szCs w:val="22"/>
        </w:rPr>
        <w:t>j</w:t>
      </w:r>
      <w:r w:rsidRPr="00382816">
        <w:rPr>
          <w:szCs w:val="22"/>
        </w:rPr>
        <w:t>ečno povećanje procenta BMD</w:t>
      </w:r>
      <w:r w:rsidRPr="00382816">
        <w:rPr>
          <w:szCs w:val="22"/>
        </w:rPr>
        <w:noBreakHyphen/>
        <w:t xml:space="preserve">a od početne vrijednosti u poređenju sa </w:t>
      </w:r>
      <w:proofErr w:type="spellStart"/>
      <w:r w:rsidRPr="00382816">
        <w:rPr>
          <w:szCs w:val="22"/>
        </w:rPr>
        <w:t>risedronatom</w:t>
      </w:r>
      <w:proofErr w:type="spellEnd"/>
      <w:r w:rsidRPr="00382816">
        <w:rPr>
          <w:szCs w:val="22"/>
        </w:rPr>
        <w:t xml:space="preserve"> na c</w:t>
      </w:r>
      <w:r w:rsidR="0070189D" w:rsidRPr="00382816">
        <w:rPr>
          <w:szCs w:val="22"/>
        </w:rPr>
        <w:t>i</w:t>
      </w:r>
      <w:r w:rsidRPr="00382816">
        <w:rPr>
          <w:szCs w:val="22"/>
        </w:rPr>
        <w:t xml:space="preserve">jelom kuku, vratu femura i </w:t>
      </w:r>
      <w:proofErr w:type="spellStart"/>
      <w:r w:rsidRPr="00382816">
        <w:rPr>
          <w:szCs w:val="22"/>
        </w:rPr>
        <w:t>trohanteru</w:t>
      </w:r>
      <w:proofErr w:type="spellEnd"/>
      <w:r w:rsidRPr="00382816">
        <w:rPr>
          <w:szCs w:val="22"/>
        </w:rPr>
        <w:t xml:space="preserve"> kuka.</w:t>
      </w:r>
    </w:p>
    <w:p w14:paraId="332043C6" w14:textId="77777777" w:rsidR="00662535" w:rsidRPr="00382816" w:rsidRDefault="00662535" w:rsidP="00B0072D">
      <w:pPr>
        <w:tabs>
          <w:tab w:val="clear" w:pos="567"/>
        </w:tabs>
        <w:autoSpaceDE w:val="0"/>
        <w:autoSpaceDN w:val="0"/>
        <w:adjustRightInd w:val="0"/>
        <w:jc w:val="both"/>
        <w:rPr>
          <w:szCs w:val="22"/>
        </w:rPr>
      </w:pPr>
    </w:p>
    <w:p w14:paraId="77D4CBFB" w14:textId="77777777" w:rsidR="00662535" w:rsidRPr="00382816" w:rsidRDefault="00241EBE" w:rsidP="00B0072D">
      <w:pPr>
        <w:tabs>
          <w:tab w:val="left" w:pos="6300"/>
        </w:tabs>
        <w:autoSpaceDE w:val="0"/>
        <w:autoSpaceDN w:val="0"/>
        <w:adjustRightInd w:val="0"/>
        <w:jc w:val="both"/>
        <w:rPr>
          <w:szCs w:val="22"/>
        </w:rPr>
      </w:pPr>
      <w:r w:rsidRPr="00382816">
        <w:rPr>
          <w:szCs w:val="22"/>
        </w:rPr>
        <w:t xml:space="preserve">Cilj ispitivanja nije bilo prikazivanje razlike u frakturama. Tokom 1 godine </w:t>
      </w:r>
      <w:proofErr w:type="spellStart"/>
      <w:r w:rsidRPr="00382816">
        <w:rPr>
          <w:szCs w:val="22"/>
        </w:rPr>
        <w:t>incidenca</w:t>
      </w:r>
      <w:proofErr w:type="spellEnd"/>
      <w:r w:rsidRPr="00382816">
        <w:rPr>
          <w:szCs w:val="22"/>
        </w:rPr>
        <w:t xml:space="preserve"> novih </w:t>
      </w:r>
      <w:proofErr w:type="spellStart"/>
      <w:r w:rsidRPr="00382816">
        <w:rPr>
          <w:szCs w:val="22"/>
        </w:rPr>
        <w:t>radioloških</w:t>
      </w:r>
      <w:proofErr w:type="spellEnd"/>
      <w:r w:rsidRPr="00382816">
        <w:rPr>
          <w:szCs w:val="22"/>
        </w:rPr>
        <w:t xml:space="preserve"> vertebralnih fraktura kod pacijenata je bila 2,7% (denosumab) u poređenju sa 3,2% (</w:t>
      </w:r>
      <w:proofErr w:type="spellStart"/>
      <w:r w:rsidRPr="00382816">
        <w:rPr>
          <w:szCs w:val="22"/>
        </w:rPr>
        <w:t>risedronat</w:t>
      </w:r>
      <w:proofErr w:type="spellEnd"/>
      <w:r w:rsidRPr="00382816">
        <w:rPr>
          <w:szCs w:val="22"/>
        </w:rPr>
        <w:t xml:space="preserve">). Incidenca novih </w:t>
      </w:r>
      <w:proofErr w:type="spellStart"/>
      <w:r w:rsidRPr="00382816">
        <w:rPr>
          <w:szCs w:val="22"/>
        </w:rPr>
        <w:t>radioloških</w:t>
      </w:r>
      <w:proofErr w:type="spellEnd"/>
      <w:r w:rsidRPr="00382816">
        <w:rPr>
          <w:szCs w:val="22"/>
        </w:rPr>
        <w:t xml:space="preserve"> nevertebralnih fraktura kod pacijenata je bila 4,3% (denosumab) u poređenju sa 2,5% (</w:t>
      </w:r>
      <w:proofErr w:type="spellStart"/>
      <w:r w:rsidRPr="00382816">
        <w:rPr>
          <w:szCs w:val="22"/>
        </w:rPr>
        <w:t>risedronat</w:t>
      </w:r>
      <w:proofErr w:type="spellEnd"/>
      <w:r w:rsidRPr="00382816">
        <w:rPr>
          <w:szCs w:val="22"/>
        </w:rPr>
        <w:t xml:space="preserve">). Tokom 2 godine odgovarajuće vrijednosti su bile 4,1% u poređenju sa 5,8% za nove </w:t>
      </w:r>
      <w:proofErr w:type="spellStart"/>
      <w:r w:rsidRPr="00382816">
        <w:rPr>
          <w:szCs w:val="22"/>
        </w:rPr>
        <w:t>radiološke</w:t>
      </w:r>
      <w:proofErr w:type="spellEnd"/>
      <w:r w:rsidRPr="00382816">
        <w:rPr>
          <w:szCs w:val="22"/>
        </w:rPr>
        <w:t xml:space="preserve"> </w:t>
      </w:r>
      <w:proofErr w:type="spellStart"/>
      <w:r w:rsidRPr="00382816">
        <w:rPr>
          <w:szCs w:val="22"/>
        </w:rPr>
        <w:t>vertebralne</w:t>
      </w:r>
      <w:proofErr w:type="spellEnd"/>
      <w:r w:rsidRPr="00382816">
        <w:rPr>
          <w:szCs w:val="22"/>
        </w:rPr>
        <w:t xml:space="preserve"> frakture i 5,3% u poređenju sa 3,8% za </w:t>
      </w:r>
      <w:proofErr w:type="spellStart"/>
      <w:r w:rsidRPr="00382816">
        <w:rPr>
          <w:szCs w:val="22"/>
        </w:rPr>
        <w:t>nevertebralne</w:t>
      </w:r>
      <w:proofErr w:type="spellEnd"/>
      <w:r w:rsidRPr="00382816">
        <w:rPr>
          <w:szCs w:val="22"/>
        </w:rPr>
        <w:t xml:space="preserve"> frakture. Većina fraktura pojavila se u </w:t>
      </w:r>
      <w:proofErr w:type="spellStart"/>
      <w:r w:rsidRPr="00382816">
        <w:rPr>
          <w:szCs w:val="22"/>
        </w:rPr>
        <w:t>subpopulaciji</w:t>
      </w:r>
      <w:proofErr w:type="spellEnd"/>
      <w:r w:rsidRPr="00382816">
        <w:rPr>
          <w:szCs w:val="22"/>
        </w:rPr>
        <w:t xml:space="preserve"> pacijenata koji nastavljaju liječenje glukokortikoidima.</w:t>
      </w:r>
    </w:p>
    <w:p w14:paraId="39A26035" w14:textId="77777777" w:rsidR="00662535" w:rsidRPr="00382816" w:rsidRDefault="00662535" w:rsidP="00B0072D">
      <w:pPr>
        <w:tabs>
          <w:tab w:val="left" w:pos="6300"/>
        </w:tabs>
        <w:autoSpaceDE w:val="0"/>
        <w:autoSpaceDN w:val="0"/>
        <w:adjustRightInd w:val="0"/>
        <w:jc w:val="both"/>
        <w:rPr>
          <w:szCs w:val="22"/>
        </w:rPr>
      </w:pPr>
    </w:p>
    <w:p w14:paraId="2551AD31" w14:textId="77777777" w:rsidR="00662535" w:rsidRPr="00382816" w:rsidRDefault="00D475CF" w:rsidP="00B0072D">
      <w:pPr>
        <w:keepNext/>
        <w:tabs>
          <w:tab w:val="left" w:pos="6300"/>
        </w:tabs>
        <w:autoSpaceDE w:val="0"/>
        <w:autoSpaceDN w:val="0"/>
        <w:adjustRightInd w:val="0"/>
        <w:jc w:val="both"/>
        <w:rPr>
          <w:szCs w:val="22"/>
          <w:u w:val="single"/>
        </w:rPr>
      </w:pPr>
      <w:r w:rsidRPr="00382816">
        <w:rPr>
          <w:szCs w:val="22"/>
          <w:u w:val="single"/>
        </w:rPr>
        <w:t>Pedijatrijska populacija</w:t>
      </w:r>
    </w:p>
    <w:p w14:paraId="496E05C5" w14:textId="77777777" w:rsidR="00662535" w:rsidRPr="00382816" w:rsidRDefault="00662535" w:rsidP="00B0072D">
      <w:pPr>
        <w:keepNext/>
        <w:tabs>
          <w:tab w:val="left" w:pos="6300"/>
        </w:tabs>
        <w:autoSpaceDE w:val="0"/>
        <w:autoSpaceDN w:val="0"/>
        <w:adjustRightInd w:val="0"/>
        <w:jc w:val="both"/>
        <w:rPr>
          <w:szCs w:val="22"/>
          <w:u w:val="single"/>
        </w:rPr>
      </w:pPr>
    </w:p>
    <w:p w14:paraId="06894147" w14:textId="3A8339D9" w:rsidR="00A62917" w:rsidRPr="00382816" w:rsidRDefault="00A62917" w:rsidP="00B0072D">
      <w:pPr>
        <w:tabs>
          <w:tab w:val="clear" w:pos="567"/>
        </w:tabs>
        <w:jc w:val="both"/>
        <w:rPr>
          <w:szCs w:val="22"/>
        </w:rPr>
      </w:pPr>
      <w:r w:rsidRPr="00382816">
        <w:rPr>
          <w:szCs w:val="22"/>
        </w:rPr>
        <w:t xml:space="preserve">Sprovedeno je ispitivanje faze 3 na jednoj grupi u kome su procjenjivane efikasnost, bezbjednost i </w:t>
      </w:r>
      <w:proofErr w:type="spellStart"/>
      <w:r w:rsidRPr="00382816">
        <w:rPr>
          <w:szCs w:val="22"/>
        </w:rPr>
        <w:t>farmakokinetika</w:t>
      </w:r>
      <w:proofErr w:type="spellEnd"/>
      <w:r w:rsidRPr="00382816">
        <w:rPr>
          <w:szCs w:val="22"/>
        </w:rPr>
        <w:t xml:space="preserve"> kod djece sa bolešću krhkih kostiju (lat. </w:t>
      </w:r>
      <w:proofErr w:type="spellStart"/>
      <w:r w:rsidRPr="00382816">
        <w:rPr>
          <w:i/>
          <w:szCs w:val="22"/>
        </w:rPr>
        <w:t>osteogenesis</w:t>
      </w:r>
      <w:proofErr w:type="spellEnd"/>
      <w:r w:rsidRPr="00382816">
        <w:rPr>
          <w:i/>
          <w:szCs w:val="22"/>
        </w:rPr>
        <w:t xml:space="preserve"> </w:t>
      </w:r>
      <w:proofErr w:type="spellStart"/>
      <w:r w:rsidRPr="00382816">
        <w:rPr>
          <w:i/>
          <w:szCs w:val="22"/>
        </w:rPr>
        <w:t>imperfecta</w:t>
      </w:r>
      <w:proofErr w:type="spellEnd"/>
      <w:r w:rsidRPr="00382816">
        <w:rPr>
          <w:szCs w:val="22"/>
        </w:rPr>
        <w:t xml:space="preserve">), uzrasta od 2 do 17 godina, od kojih je 52,3% bilo muškog pola, a 88,2% </w:t>
      </w:r>
      <w:proofErr w:type="spellStart"/>
      <w:r w:rsidRPr="00382816">
        <w:rPr>
          <w:szCs w:val="22"/>
        </w:rPr>
        <w:t>evropeidne</w:t>
      </w:r>
      <w:proofErr w:type="spellEnd"/>
      <w:r w:rsidRPr="00382816">
        <w:rPr>
          <w:szCs w:val="22"/>
        </w:rPr>
        <w:t xml:space="preserve"> rase. Ukupno 153 ispitanika je na </w:t>
      </w:r>
      <w:r w:rsidRPr="00382816">
        <w:rPr>
          <w:szCs w:val="22"/>
        </w:rPr>
        <w:lastRenderedPageBreak/>
        <w:t xml:space="preserve">početku </w:t>
      </w:r>
      <w:proofErr w:type="spellStart"/>
      <w:r w:rsidRPr="00382816">
        <w:rPr>
          <w:szCs w:val="22"/>
        </w:rPr>
        <w:t>su</w:t>
      </w:r>
      <w:r w:rsidR="0070189D" w:rsidRPr="00382816">
        <w:rPr>
          <w:szCs w:val="22"/>
        </w:rPr>
        <w:t>b</w:t>
      </w:r>
      <w:r w:rsidRPr="00382816">
        <w:rPr>
          <w:szCs w:val="22"/>
        </w:rPr>
        <w:t>kutano</w:t>
      </w:r>
      <w:proofErr w:type="spellEnd"/>
      <w:r w:rsidRPr="00382816">
        <w:rPr>
          <w:szCs w:val="22"/>
        </w:rPr>
        <w:t xml:space="preserve"> (</w:t>
      </w:r>
      <w:proofErr w:type="spellStart"/>
      <w:r w:rsidRPr="00382816">
        <w:rPr>
          <w:szCs w:val="22"/>
        </w:rPr>
        <w:t>s.c</w:t>
      </w:r>
      <w:proofErr w:type="spellEnd"/>
      <w:r w:rsidRPr="00382816">
        <w:rPr>
          <w:szCs w:val="22"/>
        </w:rPr>
        <w:t>.) primalo denosumab u dozi od 1 mg/kg, do maksimalno 60 mg, na svakih 6 mjeseci u periodu od 36 mjeseci. Šezdeset ispitanika je prebačeno na režim doziranja na svaka 3 mjeseca.</w:t>
      </w:r>
    </w:p>
    <w:p w14:paraId="5A99F0F8" w14:textId="77777777" w:rsidR="00A62917" w:rsidRPr="00382816" w:rsidRDefault="00A62917" w:rsidP="00B0072D">
      <w:pPr>
        <w:tabs>
          <w:tab w:val="clear" w:pos="567"/>
        </w:tabs>
        <w:jc w:val="both"/>
        <w:rPr>
          <w:szCs w:val="22"/>
        </w:rPr>
      </w:pPr>
    </w:p>
    <w:p w14:paraId="48CCF2A8" w14:textId="77777777" w:rsidR="00A62917" w:rsidRPr="00382816" w:rsidRDefault="00A62917" w:rsidP="00B0072D">
      <w:pPr>
        <w:tabs>
          <w:tab w:val="clear" w:pos="567"/>
        </w:tabs>
        <w:jc w:val="both"/>
        <w:rPr>
          <w:szCs w:val="22"/>
        </w:rPr>
      </w:pPr>
      <w:r w:rsidRPr="00382816">
        <w:rPr>
          <w:szCs w:val="22"/>
        </w:rPr>
        <w:t xml:space="preserve">U 12. mjesecu režima doziranja na svaka 3 mjeseca, promjena srednje vrijednosti (standardna greška, engl. </w:t>
      </w:r>
      <w:r w:rsidRPr="00382816">
        <w:rPr>
          <w:i/>
          <w:szCs w:val="22"/>
        </w:rPr>
        <w:t xml:space="preserve">standard </w:t>
      </w:r>
      <w:proofErr w:type="spellStart"/>
      <w:r w:rsidRPr="00382816">
        <w:rPr>
          <w:i/>
          <w:szCs w:val="22"/>
        </w:rPr>
        <w:t>error</w:t>
      </w:r>
      <w:proofErr w:type="spellEnd"/>
      <w:r w:rsidRPr="00382816">
        <w:rPr>
          <w:szCs w:val="22"/>
        </w:rPr>
        <w:t>, SE) Z</w:t>
      </w:r>
      <w:r w:rsidRPr="00382816">
        <w:rPr>
          <w:szCs w:val="22"/>
        </w:rPr>
        <w:noBreakHyphen/>
        <w:t>skora BMD</w:t>
      </w:r>
      <w:r w:rsidRPr="00382816">
        <w:rPr>
          <w:szCs w:val="22"/>
        </w:rPr>
        <w:noBreakHyphen/>
        <w:t xml:space="preserve">a lumbalnog dijela kičme metodom najmanjih kvadrata (engl. </w:t>
      </w:r>
      <w:proofErr w:type="spellStart"/>
      <w:r w:rsidRPr="00382816">
        <w:rPr>
          <w:i/>
          <w:szCs w:val="22"/>
        </w:rPr>
        <w:t>least</w:t>
      </w:r>
      <w:proofErr w:type="spellEnd"/>
      <w:r w:rsidRPr="00382816">
        <w:rPr>
          <w:i/>
          <w:szCs w:val="22"/>
        </w:rPr>
        <w:t xml:space="preserve"> </w:t>
      </w:r>
      <w:proofErr w:type="spellStart"/>
      <w:r w:rsidRPr="00382816">
        <w:rPr>
          <w:i/>
          <w:szCs w:val="22"/>
        </w:rPr>
        <w:t>squares</w:t>
      </w:r>
      <w:proofErr w:type="spellEnd"/>
      <w:r w:rsidRPr="00382816">
        <w:rPr>
          <w:szCs w:val="22"/>
        </w:rPr>
        <w:t>, LS) u odnosu na početnu vrijednost iznosila je 1,01 (0,12).</w:t>
      </w:r>
    </w:p>
    <w:p w14:paraId="798605FF" w14:textId="77777777" w:rsidR="00A62917" w:rsidRPr="00382816" w:rsidRDefault="00A62917" w:rsidP="00B0072D">
      <w:pPr>
        <w:tabs>
          <w:tab w:val="clear" w:pos="567"/>
        </w:tabs>
        <w:jc w:val="both"/>
        <w:rPr>
          <w:szCs w:val="22"/>
        </w:rPr>
      </w:pPr>
    </w:p>
    <w:p w14:paraId="25A10837" w14:textId="751A7225" w:rsidR="00A62917" w:rsidRPr="00382816" w:rsidRDefault="00A62917" w:rsidP="00B0072D">
      <w:pPr>
        <w:tabs>
          <w:tab w:val="clear" w:pos="567"/>
        </w:tabs>
        <w:jc w:val="both"/>
        <w:rPr>
          <w:szCs w:val="22"/>
        </w:rPr>
      </w:pPr>
      <w:r w:rsidRPr="00382816">
        <w:rPr>
          <w:szCs w:val="22"/>
        </w:rPr>
        <w:t xml:space="preserve">Najčešće prijavljivani neželjeni događaji tokom režima doziranja na svakih 6 mjeseci bili su </w:t>
      </w:r>
      <w:proofErr w:type="spellStart"/>
      <w:r w:rsidRPr="00382816">
        <w:rPr>
          <w:szCs w:val="22"/>
        </w:rPr>
        <w:t>artralgija</w:t>
      </w:r>
      <w:proofErr w:type="spellEnd"/>
      <w:r w:rsidRPr="00382816">
        <w:rPr>
          <w:szCs w:val="22"/>
        </w:rPr>
        <w:t xml:space="preserve"> (45,8%), bol u ekstremitetima (37,9%), bol u leđima (32,7%) i </w:t>
      </w:r>
      <w:proofErr w:type="spellStart"/>
      <w:r w:rsidRPr="00382816">
        <w:rPr>
          <w:szCs w:val="22"/>
        </w:rPr>
        <w:t>hiperkalciurija</w:t>
      </w:r>
      <w:proofErr w:type="spellEnd"/>
      <w:r w:rsidRPr="00382816">
        <w:rPr>
          <w:szCs w:val="22"/>
        </w:rPr>
        <w:t xml:space="preserve"> (32,0%). Hiperkalc</w:t>
      </w:r>
      <w:r w:rsidR="0070189D" w:rsidRPr="00382816">
        <w:rPr>
          <w:szCs w:val="22"/>
        </w:rPr>
        <w:t>ij</w:t>
      </w:r>
      <w:r w:rsidRPr="00382816">
        <w:rPr>
          <w:szCs w:val="22"/>
        </w:rPr>
        <w:t xml:space="preserve">emija je prijavljivana tokom režima doziranja na svakih 6 mjeseci (19%) i režima doziranja na svaka 3 mjeseca (36,7%). Ozbiljni neželjeni događaji </w:t>
      </w:r>
      <w:proofErr w:type="spellStart"/>
      <w:r w:rsidRPr="00382816">
        <w:rPr>
          <w:szCs w:val="22"/>
        </w:rPr>
        <w:t>hiperkalc</w:t>
      </w:r>
      <w:r w:rsidR="0070189D" w:rsidRPr="00382816">
        <w:rPr>
          <w:szCs w:val="22"/>
        </w:rPr>
        <w:t>ij</w:t>
      </w:r>
      <w:r w:rsidRPr="00382816">
        <w:rPr>
          <w:szCs w:val="22"/>
        </w:rPr>
        <w:t>emije</w:t>
      </w:r>
      <w:proofErr w:type="spellEnd"/>
      <w:r w:rsidRPr="00382816">
        <w:rPr>
          <w:szCs w:val="22"/>
        </w:rPr>
        <w:t xml:space="preserve"> (13,3%) prijavljivani su tokom režima doziranja na svaka 3 mjeseca.</w:t>
      </w:r>
    </w:p>
    <w:p w14:paraId="2DC4F422" w14:textId="77777777" w:rsidR="00A62917" w:rsidRPr="00382816" w:rsidRDefault="00A62917" w:rsidP="00B0072D">
      <w:pPr>
        <w:tabs>
          <w:tab w:val="clear" w:pos="567"/>
        </w:tabs>
        <w:jc w:val="both"/>
        <w:rPr>
          <w:szCs w:val="22"/>
        </w:rPr>
      </w:pPr>
    </w:p>
    <w:p w14:paraId="77D68122" w14:textId="780EF15E" w:rsidR="00A62917" w:rsidRPr="00382816" w:rsidRDefault="00A62917" w:rsidP="00B0072D">
      <w:pPr>
        <w:tabs>
          <w:tab w:val="clear" w:pos="567"/>
        </w:tabs>
        <w:jc w:val="both"/>
        <w:rPr>
          <w:szCs w:val="22"/>
        </w:rPr>
      </w:pPr>
      <w:r w:rsidRPr="00382816">
        <w:rPr>
          <w:szCs w:val="22"/>
        </w:rPr>
        <w:t xml:space="preserve">U produženom ispitivanju (N = 75) primijećeni su ozbiljni neželjeni događaji </w:t>
      </w:r>
      <w:proofErr w:type="spellStart"/>
      <w:r w:rsidRPr="00382816">
        <w:rPr>
          <w:szCs w:val="22"/>
        </w:rPr>
        <w:t>hiperkalc</w:t>
      </w:r>
      <w:r w:rsidR="0070189D" w:rsidRPr="00382816">
        <w:rPr>
          <w:szCs w:val="22"/>
        </w:rPr>
        <w:t>ij</w:t>
      </w:r>
      <w:r w:rsidRPr="00382816">
        <w:rPr>
          <w:szCs w:val="22"/>
        </w:rPr>
        <w:t>emije</w:t>
      </w:r>
      <w:proofErr w:type="spellEnd"/>
      <w:r w:rsidRPr="00382816">
        <w:rPr>
          <w:szCs w:val="22"/>
        </w:rPr>
        <w:t xml:space="preserve"> (18,5%) tokom režima doziranja na svaka 3 mjeseca.</w:t>
      </w:r>
    </w:p>
    <w:p w14:paraId="7B24EBCF" w14:textId="77777777" w:rsidR="00A62917" w:rsidRPr="00382816" w:rsidRDefault="00A62917" w:rsidP="00B0072D">
      <w:pPr>
        <w:tabs>
          <w:tab w:val="clear" w:pos="567"/>
        </w:tabs>
        <w:jc w:val="both"/>
        <w:rPr>
          <w:szCs w:val="22"/>
        </w:rPr>
      </w:pPr>
    </w:p>
    <w:p w14:paraId="0A1B0E4C" w14:textId="574F0AE7" w:rsidR="00A62917" w:rsidRPr="00382816" w:rsidRDefault="00A62917" w:rsidP="00B0072D">
      <w:pPr>
        <w:tabs>
          <w:tab w:val="clear" w:pos="567"/>
        </w:tabs>
        <w:jc w:val="both"/>
        <w:rPr>
          <w:szCs w:val="22"/>
        </w:rPr>
      </w:pPr>
      <w:r w:rsidRPr="00382816">
        <w:rPr>
          <w:szCs w:val="22"/>
        </w:rPr>
        <w:t xml:space="preserve">Ispitivanja su prekinuta ranije zbog pojave događaja opasnih po život i </w:t>
      </w:r>
      <w:proofErr w:type="spellStart"/>
      <w:r w:rsidRPr="00382816">
        <w:rPr>
          <w:szCs w:val="22"/>
        </w:rPr>
        <w:t>hospitalizacija</w:t>
      </w:r>
      <w:proofErr w:type="spellEnd"/>
      <w:r w:rsidRPr="00382816">
        <w:rPr>
          <w:szCs w:val="22"/>
        </w:rPr>
        <w:t xml:space="preserve"> </w:t>
      </w:r>
      <w:proofErr w:type="spellStart"/>
      <w:r w:rsidRPr="00382816">
        <w:rPr>
          <w:szCs w:val="22"/>
        </w:rPr>
        <w:t>usljed</w:t>
      </w:r>
      <w:proofErr w:type="spellEnd"/>
      <w:r w:rsidRPr="00382816">
        <w:rPr>
          <w:szCs w:val="22"/>
        </w:rPr>
        <w:t xml:space="preserve"> </w:t>
      </w:r>
      <w:proofErr w:type="spellStart"/>
      <w:r w:rsidRPr="00382816">
        <w:rPr>
          <w:szCs w:val="22"/>
        </w:rPr>
        <w:t>hiperkalc</w:t>
      </w:r>
      <w:r w:rsidR="0070189D" w:rsidRPr="00382816">
        <w:rPr>
          <w:szCs w:val="22"/>
        </w:rPr>
        <w:t>ij</w:t>
      </w:r>
      <w:r w:rsidRPr="00382816">
        <w:rPr>
          <w:szCs w:val="22"/>
        </w:rPr>
        <w:t>emije</w:t>
      </w:r>
      <w:proofErr w:type="spellEnd"/>
      <w:r w:rsidRPr="00382816">
        <w:rPr>
          <w:szCs w:val="22"/>
        </w:rPr>
        <w:t xml:space="preserve"> (vidjeti </w:t>
      </w:r>
      <w:r w:rsidR="002C6CBB" w:rsidRPr="00382816">
        <w:rPr>
          <w:szCs w:val="22"/>
        </w:rPr>
        <w:t>dio </w:t>
      </w:r>
      <w:r w:rsidRPr="00382816">
        <w:rPr>
          <w:szCs w:val="22"/>
        </w:rPr>
        <w:t>4.2).</w:t>
      </w:r>
    </w:p>
    <w:p w14:paraId="4B001F4C" w14:textId="77777777" w:rsidR="00A62917" w:rsidRPr="00382816" w:rsidRDefault="00A62917" w:rsidP="00B0072D">
      <w:pPr>
        <w:tabs>
          <w:tab w:val="clear" w:pos="567"/>
        </w:tabs>
        <w:jc w:val="both"/>
        <w:rPr>
          <w:szCs w:val="22"/>
        </w:rPr>
      </w:pPr>
    </w:p>
    <w:p w14:paraId="1CE02FA9" w14:textId="0E622E4A" w:rsidR="00662535" w:rsidRPr="00382816" w:rsidRDefault="00D475CF" w:rsidP="00B0072D">
      <w:pPr>
        <w:tabs>
          <w:tab w:val="clear" w:pos="567"/>
        </w:tabs>
        <w:autoSpaceDE w:val="0"/>
        <w:autoSpaceDN w:val="0"/>
        <w:adjustRightInd w:val="0"/>
        <w:jc w:val="both"/>
        <w:rPr>
          <w:szCs w:val="22"/>
        </w:rPr>
      </w:pPr>
      <w:r w:rsidRPr="00382816">
        <w:rPr>
          <w:szCs w:val="22"/>
        </w:rPr>
        <w:t xml:space="preserve">Evropska agencija za ljekove nije zahtijevala dostavljanje rezultata ispitivanja primjene lijeka Prolia u svim podgrupama pedijatrijske populacije u terapiji gubitka kostiju udruženog sa terapijskom ablacijom polnih hormona, kao i u podgrupama pedijatrijske populacije mlađe od 2 godine života u terapiji osteoporoze. Vidjeti </w:t>
      </w:r>
      <w:r w:rsidR="002C6CBB" w:rsidRPr="00382816">
        <w:rPr>
          <w:szCs w:val="22"/>
        </w:rPr>
        <w:t>dio </w:t>
      </w:r>
      <w:r w:rsidRPr="00382816">
        <w:rPr>
          <w:szCs w:val="22"/>
        </w:rPr>
        <w:t>4.2 za informacije o upotrebi lijeka u pedijatriji.</w:t>
      </w:r>
    </w:p>
    <w:p w14:paraId="5F9118BF"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5C6F339F" w14:textId="2EE49D80" w:rsidR="00662535" w:rsidRPr="00382816" w:rsidRDefault="005E4E6F" w:rsidP="00B0072D">
      <w:pPr>
        <w:keepNext/>
        <w:tabs>
          <w:tab w:val="clear" w:pos="567"/>
        </w:tabs>
        <w:ind w:left="567" w:hanging="567"/>
        <w:jc w:val="both"/>
        <w:outlineLvl w:val="0"/>
        <w:rPr>
          <w:b/>
          <w:szCs w:val="22"/>
        </w:rPr>
      </w:pPr>
      <w:r w:rsidRPr="00382816">
        <w:rPr>
          <w:b/>
          <w:szCs w:val="22"/>
        </w:rPr>
        <w:t>5.2.</w:t>
      </w:r>
      <w:r w:rsidRPr="00382816">
        <w:rPr>
          <w:b/>
          <w:szCs w:val="22"/>
        </w:rPr>
        <w:tab/>
      </w:r>
      <w:proofErr w:type="spellStart"/>
      <w:r w:rsidRPr="00382816">
        <w:rPr>
          <w:b/>
          <w:szCs w:val="22"/>
        </w:rPr>
        <w:t>Farmakokinetički</w:t>
      </w:r>
      <w:proofErr w:type="spellEnd"/>
      <w:r w:rsidRPr="00382816">
        <w:rPr>
          <w:b/>
          <w:szCs w:val="22"/>
        </w:rPr>
        <w:t xml:space="preserve"> podaci</w:t>
      </w:r>
    </w:p>
    <w:p w14:paraId="311C4B9B"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rPr>
      </w:pPr>
    </w:p>
    <w:p w14:paraId="258D41EB" w14:textId="77777777" w:rsidR="00662535" w:rsidRPr="00382816" w:rsidRDefault="00992A6A"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Resorpcija</w:t>
      </w:r>
    </w:p>
    <w:p w14:paraId="37268839"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5C44C0DB" w14:textId="187F6072"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Poslije subkutane primjene doze od 1,0 mg/kg, koja je približna odobrenoj dozi od 60 mg, izloženost zasnovana na PIK bila je 78% u poređenju sa </w:t>
      </w:r>
      <w:proofErr w:type="spellStart"/>
      <w:r w:rsidRPr="00382816">
        <w:rPr>
          <w:color w:val="auto"/>
          <w:sz w:val="22"/>
          <w:szCs w:val="22"/>
        </w:rPr>
        <w:t>intravenskom</w:t>
      </w:r>
      <w:proofErr w:type="spellEnd"/>
      <w:r w:rsidRPr="00382816">
        <w:rPr>
          <w:color w:val="auto"/>
          <w:sz w:val="22"/>
          <w:szCs w:val="22"/>
        </w:rPr>
        <w:t xml:space="preserve"> primjenom iste doze. Za subkutanu dozu od 60 mg, maksimalne koncentracije denosumaba u serumu (</w:t>
      </w:r>
      <w:proofErr w:type="spellStart"/>
      <w:r w:rsidRPr="00382816">
        <w:rPr>
          <w:color w:val="auto"/>
          <w:sz w:val="22"/>
          <w:szCs w:val="22"/>
        </w:rPr>
        <w:t>C</w:t>
      </w:r>
      <w:r w:rsidRPr="00382816">
        <w:rPr>
          <w:color w:val="auto"/>
          <w:sz w:val="22"/>
          <w:szCs w:val="22"/>
          <w:vertAlign w:val="subscript"/>
        </w:rPr>
        <w:t>max</w:t>
      </w:r>
      <w:proofErr w:type="spellEnd"/>
      <w:r w:rsidRPr="00382816">
        <w:rPr>
          <w:color w:val="auto"/>
          <w:sz w:val="22"/>
          <w:szCs w:val="22"/>
        </w:rPr>
        <w:t>) od 6 </w:t>
      </w:r>
      <w:proofErr w:type="spellStart"/>
      <w:r w:rsidRPr="00382816">
        <w:rPr>
          <w:color w:val="auto"/>
          <w:sz w:val="22"/>
          <w:szCs w:val="22"/>
        </w:rPr>
        <w:t>mcg</w:t>
      </w:r>
      <w:proofErr w:type="spellEnd"/>
      <w:r w:rsidRPr="00382816">
        <w:rPr>
          <w:color w:val="auto"/>
          <w:sz w:val="22"/>
          <w:szCs w:val="22"/>
        </w:rPr>
        <w:t>/ml (opseg od 1</w:t>
      </w:r>
      <w:r w:rsidRPr="00382816">
        <w:rPr>
          <w:color w:val="auto"/>
          <w:sz w:val="22"/>
          <w:szCs w:val="22"/>
        </w:rPr>
        <w:noBreakHyphen/>
        <w:t>17 </w:t>
      </w:r>
      <w:proofErr w:type="spellStart"/>
      <w:r w:rsidRPr="00382816">
        <w:rPr>
          <w:color w:val="auto"/>
          <w:sz w:val="22"/>
          <w:szCs w:val="22"/>
        </w:rPr>
        <w:t>mcg</w:t>
      </w:r>
      <w:proofErr w:type="spellEnd"/>
      <w:r w:rsidRPr="00382816">
        <w:rPr>
          <w:color w:val="auto"/>
          <w:sz w:val="22"/>
          <w:szCs w:val="22"/>
        </w:rPr>
        <w:t>/ml) dostignute su u toku 10 dana (opseg 2</w:t>
      </w:r>
      <w:r w:rsidRPr="00382816">
        <w:rPr>
          <w:color w:val="auto"/>
          <w:sz w:val="22"/>
          <w:szCs w:val="22"/>
        </w:rPr>
        <w:noBreakHyphen/>
        <w:t>28 dana).</w:t>
      </w:r>
    </w:p>
    <w:p w14:paraId="54A77CB5"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3867FBDA" w14:textId="77777777" w:rsidR="00662535" w:rsidRPr="00382816" w:rsidRDefault="00992A6A" w:rsidP="00B0072D">
      <w:pPr>
        <w:pStyle w:val="Text"/>
        <w:keepNext/>
        <w:tabs>
          <w:tab w:val="left" w:pos="567"/>
        </w:tabs>
        <w:spacing w:before="0" w:beforeAutospacing="0" w:after="0" w:afterAutospacing="0" w:line="240" w:lineRule="auto"/>
        <w:ind w:left="0"/>
        <w:jc w:val="both"/>
        <w:rPr>
          <w:color w:val="auto"/>
          <w:sz w:val="22"/>
          <w:szCs w:val="22"/>
          <w:u w:val="single"/>
        </w:rPr>
      </w:pPr>
      <w:proofErr w:type="spellStart"/>
      <w:r w:rsidRPr="00382816">
        <w:rPr>
          <w:color w:val="auto"/>
          <w:sz w:val="22"/>
          <w:szCs w:val="22"/>
          <w:u w:val="single"/>
        </w:rPr>
        <w:t>Biotransformacija</w:t>
      </w:r>
      <w:proofErr w:type="spellEnd"/>
    </w:p>
    <w:p w14:paraId="0835BAB5"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1048636F"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Denosumab se sastoji samo od </w:t>
      </w:r>
      <w:proofErr w:type="spellStart"/>
      <w:r w:rsidRPr="00382816">
        <w:rPr>
          <w:color w:val="auto"/>
          <w:sz w:val="22"/>
          <w:szCs w:val="22"/>
        </w:rPr>
        <w:t>aminokiselina</w:t>
      </w:r>
      <w:proofErr w:type="spellEnd"/>
      <w:r w:rsidRPr="00382816">
        <w:rPr>
          <w:color w:val="auto"/>
          <w:sz w:val="22"/>
          <w:szCs w:val="22"/>
        </w:rPr>
        <w:t xml:space="preserve"> i ugljenih hidrata, kao prirodnih </w:t>
      </w:r>
      <w:proofErr w:type="spellStart"/>
      <w:r w:rsidRPr="00382816">
        <w:rPr>
          <w:color w:val="auto"/>
          <w:sz w:val="22"/>
          <w:szCs w:val="22"/>
        </w:rPr>
        <w:t>imunoglobulina</w:t>
      </w:r>
      <w:proofErr w:type="spellEnd"/>
      <w:r w:rsidRPr="00382816">
        <w:rPr>
          <w:color w:val="auto"/>
          <w:sz w:val="22"/>
          <w:szCs w:val="22"/>
        </w:rPr>
        <w:t xml:space="preserve"> i malo je vjerovatno da će se eliminisati putem metabolizma u jetri. Očekuje se da će metabolizam i eliminacija denosumaba pratiti puteve eliminacije </w:t>
      </w:r>
      <w:proofErr w:type="spellStart"/>
      <w:r w:rsidRPr="00382816">
        <w:rPr>
          <w:color w:val="auto"/>
          <w:sz w:val="22"/>
          <w:szCs w:val="22"/>
        </w:rPr>
        <w:t>imunoglobulina</w:t>
      </w:r>
      <w:proofErr w:type="spellEnd"/>
      <w:r w:rsidRPr="00382816">
        <w:rPr>
          <w:color w:val="auto"/>
          <w:sz w:val="22"/>
          <w:szCs w:val="22"/>
        </w:rPr>
        <w:t xml:space="preserve">, rezultujući degradacijom na male </w:t>
      </w:r>
      <w:proofErr w:type="spellStart"/>
      <w:r w:rsidRPr="00382816">
        <w:rPr>
          <w:color w:val="auto"/>
          <w:sz w:val="22"/>
          <w:szCs w:val="22"/>
        </w:rPr>
        <w:t>peptide</w:t>
      </w:r>
      <w:proofErr w:type="spellEnd"/>
      <w:r w:rsidRPr="00382816">
        <w:rPr>
          <w:color w:val="auto"/>
          <w:sz w:val="22"/>
          <w:szCs w:val="22"/>
        </w:rPr>
        <w:t xml:space="preserve"> i pojedinačne </w:t>
      </w:r>
      <w:proofErr w:type="spellStart"/>
      <w:r w:rsidRPr="00382816">
        <w:rPr>
          <w:color w:val="auto"/>
          <w:sz w:val="22"/>
          <w:szCs w:val="22"/>
        </w:rPr>
        <w:t>aminokiseline</w:t>
      </w:r>
      <w:proofErr w:type="spellEnd"/>
      <w:r w:rsidRPr="00382816">
        <w:rPr>
          <w:color w:val="auto"/>
          <w:sz w:val="22"/>
          <w:szCs w:val="22"/>
        </w:rPr>
        <w:t>.</w:t>
      </w:r>
    </w:p>
    <w:p w14:paraId="441B5D36"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68D3A9D2" w14:textId="77777777" w:rsidR="00662535" w:rsidRPr="00382816" w:rsidRDefault="00992A6A"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Eliminacija</w:t>
      </w:r>
    </w:p>
    <w:p w14:paraId="1B26C8E3"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39F58003"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U periodu od 3 mjeseca nakon postizanja </w:t>
      </w:r>
      <w:proofErr w:type="spellStart"/>
      <w:r w:rsidRPr="00382816">
        <w:rPr>
          <w:color w:val="auto"/>
          <w:sz w:val="22"/>
          <w:szCs w:val="22"/>
        </w:rPr>
        <w:t>C</w:t>
      </w:r>
      <w:r w:rsidRPr="00382816">
        <w:rPr>
          <w:color w:val="auto"/>
          <w:sz w:val="22"/>
          <w:szCs w:val="22"/>
          <w:vertAlign w:val="subscript"/>
        </w:rPr>
        <w:t>max</w:t>
      </w:r>
      <w:proofErr w:type="spellEnd"/>
      <w:r w:rsidRPr="00382816">
        <w:rPr>
          <w:color w:val="auto"/>
          <w:sz w:val="22"/>
          <w:szCs w:val="22"/>
        </w:rPr>
        <w:t xml:space="preserve"> poluvrijeme eliminacije iznosilo je 26 dana (opseg od 6</w:t>
      </w:r>
      <w:r w:rsidRPr="00382816">
        <w:rPr>
          <w:color w:val="auto"/>
          <w:sz w:val="22"/>
          <w:szCs w:val="22"/>
        </w:rPr>
        <w:noBreakHyphen/>
        <w:t>52 dana) (opseg 1,5 – 4,5 mjeseci). 53% pacijenata nije imalo mjerljive količine denosumaba 6 mjeseci poslije primjene doze lijeka.</w:t>
      </w:r>
    </w:p>
    <w:p w14:paraId="1A3CBAE0"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26D9D74D" w14:textId="77777777" w:rsidR="00662535" w:rsidRPr="00382816" w:rsidRDefault="00992A6A" w:rsidP="00B0072D">
      <w:pPr>
        <w:pStyle w:val="Style11"/>
        <w:jc w:val="both"/>
      </w:pPr>
      <w:r w:rsidRPr="00382816">
        <w:t xml:space="preserve">Poslije primjene više </w:t>
      </w:r>
      <w:proofErr w:type="spellStart"/>
      <w:r w:rsidRPr="00382816">
        <w:t>subkutanih</w:t>
      </w:r>
      <w:proofErr w:type="spellEnd"/>
      <w:r w:rsidRPr="00382816">
        <w:t xml:space="preserve"> doza od 60 mg, jednom na svakih 6 mjeseci, nije zapažena akumulacija niti promjena farmakokinetike denosumaba tokom </w:t>
      </w:r>
      <w:proofErr w:type="spellStart"/>
      <w:r w:rsidRPr="00382816">
        <w:t>vremena</w:t>
      </w:r>
      <w:proofErr w:type="spellEnd"/>
      <w:r w:rsidRPr="00382816">
        <w:t xml:space="preserve">. Stvaranje antitijela na denosumab nije uticalo na </w:t>
      </w:r>
      <w:proofErr w:type="spellStart"/>
      <w:r w:rsidRPr="00382816">
        <w:t>farmakokinetiku</w:t>
      </w:r>
      <w:proofErr w:type="spellEnd"/>
      <w:r w:rsidRPr="00382816">
        <w:t xml:space="preserve"> denosumaba, što je bilo slično kod muškaraca i žena. Godine starosti (28</w:t>
      </w:r>
      <w:r w:rsidRPr="00382816">
        <w:noBreakHyphen/>
        <w:t xml:space="preserve">87), rasa i stanje bolesti (niska koštana masa ili </w:t>
      </w:r>
      <w:proofErr w:type="spellStart"/>
      <w:r w:rsidRPr="00382816">
        <w:t>osteoporoza</w:t>
      </w:r>
      <w:proofErr w:type="spellEnd"/>
      <w:r w:rsidRPr="00382816">
        <w:t xml:space="preserve">, </w:t>
      </w:r>
      <w:proofErr w:type="spellStart"/>
      <w:r w:rsidRPr="00382816">
        <w:t>karcinom</w:t>
      </w:r>
      <w:proofErr w:type="spellEnd"/>
      <w:r w:rsidRPr="00382816">
        <w:t xml:space="preserve"> prostate ili dojke) izgleda da ne utiču značajno na </w:t>
      </w:r>
      <w:proofErr w:type="spellStart"/>
      <w:r w:rsidRPr="00382816">
        <w:t>farmakokinetiku</w:t>
      </w:r>
      <w:proofErr w:type="spellEnd"/>
      <w:r w:rsidRPr="00382816">
        <w:t xml:space="preserve"> denosumaba.</w:t>
      </w:r>
    </w:p>
    <w:p w14:paraId="0E257A18"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4EC9AB62"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Zapažena je povezanost između povećane tjelesne mase i niže izloženosti zasnovane na PIK i </w:t>
      </w:r>
      <w:proofErr w:type="spellStart"/>
      <w:r w:rsidRPr="00382816">
        <w:rPr>
          <w:color w:val="auto"/>
          <w:sz w:val="22"/>
          <w:szCs w:val="22"/>
        </w:rPr>
        <w:t>C</w:t>
      </w:r>
      <w:r w:rsidRPr="00382816">
        <w:rPr>
          <w:color w:val="auto"/>
          <w:sz w:val="22"/>
          <w:szCs w:val="22"/>
          <w:vertAlign w:val="subscript"/>
        </w:rPr>
        <w:t>max</w:t>
      </w:r>
      <w:proofErr w:type="spellEnd"/>
      <w:r w:rsidRPr="00382816">
        <w:rPr>
          <w:color w:val="auto"/>
          <w:sz w:val="22"/>
          <w:szCs w:val="22"/>
        </w:rPr>
        <w:t xml:space="preserve">. Ova povezanost se ne smatra klinički značajnom, pošto su </w:t>
      </w:r>
      <w:proofErr w:type="spellStart"/>
      <w:r w:rsidRPr="00382816">
        <w:rPr>
          <w:color w:val="auto"/>
          <w:sz w:val="22"/>
          <w:szCs w:val="22"/>
        </w:rPr>
        <w:t>farmakodinamska</w:t>
      </w:r>
      <w:proofErr w:type="spellEnd"/>
      <w:r w:rsidRPr="00382816">
        <w:rPr>
          <w:color w:val="auto"/>
          <w:sz w:val="22"/>
          <w:szCs w:val="22"/>
        </w:rPr>
        <w:t xml:space="preserve"> dejstva zasnovana na markerima metabolizma kostiju i porastu BMD konzistentna u širokom opsegu tjelesne mase.</w:t>
      </w:r>
    </w:p>
    <w:p w14:paraId="29C09F14"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5DA378E3" w14:textId="77777777" w:rsidR="00662535" w:rsidRPr="00382816" w:rsidRDefault="00992A6A" w:rsidP="00B0072D">
      <w:pPr>
        <w:pStyle w:val="Text"/>
        <w:keepNext/>
        <w:tabs>
          <w:tab w:val="left" w:pos="567"/>
        </w:tabs>
        <w:spacing w:before="0" w:beforeAutospacing="0" w:after="0" w:afterAutospacing="0" w:line="240" w:lineRule="auto"/>
        <w:ind w:left="0"/>
        <w:jc w:val="both"/>
        <w:rPr>
          <w:color w:val="auto"/>
          <w:sz w:val="22"/>
          <w:szCs w:val="22"/>
          <w:u w:val="single"/>
        </w:rPr>
      </w:pPr>
      <w:proofErr w:type="spellStart"/>
      <w:r w:rsidRPr="00382816">
        <w:rPr>
          <w:color w:val="auto"/>
          <w:sz w:val="22"/>
          <w:szCs w:val="22"/>
          <w:u w:val="single"/>
        </w:rPr>
        <w:lastRenderedPageBreak/>
        <w:t>Linearnost</w:t>
      </w:r>
      <w:proofErr w:type="spellEnd"/>
      <w:r w:rsidRPr="00382816">
        <w:rPr>
          <w:color w:val="auto"/>
          <w:sz w:val="22"/>
          <w:szCs w:val="22"/>
          <w:u w:val="single"/>
        </w:rPr>
        <w:t>/</w:t>
      </w:r>
      <w:proofErr w:type="spellStart"/>
      <w:r w:rsidRPr="00382816">
        <w:rPr>
          <w:color w:val="auto"/>
          <w:sz w:val="22"/>
          <w:szCs w:val="22"/>
          <w:u w:val="single"/>
        </w:rPr>
        <w:t>nelinearnost</w:t>
      </w:r>
      <w:proofErr w:type="spellEnd"/>
    </w:p>
    <w:p w14:paraId="63618643"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2F68A476"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U studijama određivanja doze, denosumab je pokazao nelinearnu, </w:t>
      </w:r>
      <w:proofErr w:type="spellStart"/>
      <w:r w:rsidRPr="00382816">
        <w:rPr>
          <w:color w:val="auto"/>
          <w:sz w:val="22"/>
          <w:szCs w:val="22"/>
        </w:rPr>
        <w:t>dozno</w:t>
      </w:r>
      <w:proofErr w:type="spellEnd"/>
      <w:r w:rsidRPr="00382816">
        <w:rPr>
          <w:color w:val="auto"/>
          <w:sz w:val="22"/>
          <w:szCs w:val="22"/>
        </w:rPr>
        <w:noBreakHyphen/>
        <w:t xml:space="preserve">zavisnu </w:t>
      </w:r>
      <w:proofErr w:type="spellStart"/>
      <w:r w:rsidRPr="00382816">
        <w:rPr>
          <w:color w:val="auto"/>
          <w:sz w:val="22"/>
          <w:szCs w:val="22"/>
        </w:rPr>
        <w:t>farmakokinetiku</w:t>
      </w:r>
      <w:proofErr w:type="spellEnd"/>
      <w:r w:rsidRPr="00382816">
        <w:rPr>
          <w:color w:val="auto"/>
          <w:sz w:val="22"/>
          <w:szCs w:val="22"/>
        </w:rPr>
        <w:t xml:space="preserve">, sa nižim </w:t>
      </w:r>
      <w:proofErr w:type="spellStart"/>
      <w:r w:rsidRPr="00382816">
        <w:rPr>
          <w:color w:val="auto"/>
          <w:sz w:val="22"/>
          <w:szCs w:val="22"/>
        </w:rPr>
        <w:t>klirensom</w:t>
      </w:r>
      <w:proofErr w:type="spellEnd"/>
      <w:r w:rsidRPr="00382816">
        <w:rPr>
          <w:color w:val="auto"/>
          <w:sz w:val="22"/>
          <w:szCs w:val="22"/>
        </w:rPr>
        <w:t xml:space="preserve"> pri višim dozama ili koncentracijama, ali približno </w:t>
      </w:r>
      <w:proofErr w:type="spellStart"/>
      <w:r w:rsidRPr="00382816">
        <w:rPr>
          <w:color w:val="auto"/>
          <w:sz w:val="22"/>
          <w:szCs w:val="22"/>
        </w:rPr>
        <w:t>dozno</w:t>
      </w:r>
      <w:proofErr w:type="spellEnd"/>
      <w:r w:rsidRPr="00382816">
        <w:rPr>
          <w:color w:val="auto"/>
          <w:sz w:val="22"/>
          <w:szCs w:val="22"/>
        </w:rPr>
        <w:t xml:space="preserve"> srazmjeran porast kod izloženosti dozama od 60 mg i više.</w:t>
      </w:r>
    </w:p>
    <w:p w14:paraId="5C7A20D3"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544A3650" w14:textId="77777777" w:rsidR="00662535" w:rsidRPr="00382816" w:rsidRDefault="00992A6A" w:rsidP="00B0072D">
      <w:pPr>
        <w:pStyle w:val="Text"/>
        <w:keepNext/>
        <w:tabs>
          <w:tab w:val="left" w:pos="567"/>
        </w:tabs>
        <w:spacing w:before="0" w:beforeAutospacing="0" w:after="0" w:afterAutospacing="0" w:line="240" w:lineRule="auto"/>
        <w:ind w:left="0"/>
        <w:jc w:val="both"/>
        <w:rPr>
          <w:color w:val="auto"/>
          <w:sz w:val="22"/>
          <w:szCs w:val="22"/>
          <w:u w:val="single"/>
        </w:rPr>
      </w:pPr>
      <w:r w:rsidRPr="00382816">
        <w:rPr>
          <w:color w:val="auto"/>
          <w:sz w:val="22"/>
          <w:szCs w:val="22"/>
          <w:u w:val="single"/>
        </w:rPr>
        <w:t>Oštećenje funkcije bubrega</w:t>
      </w:r>
    </w:p>
    <w:p w14:paraId="3E1277F9"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u w:val="single"/>
        </w:rPr>
      </w:pPr>
    </w:p>
    <w:p w14:paraId="65916E49" w14:textId="77777777" w:rsidR="00662535" w:rsidRPr="00382816" w:rsidRDefault="00992A6A"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U ispitivanju 55 pacijenata sa različitim stepenom poremećaja bubrežne funkcije, uključujući i pacijente na dijalizi, stepen poremećaja bubrežne funkcije nije imao uticaja na </w:t>
      </w:r>
      <w:proofErr w:type="spellStart"/>
      <w:r w:rsidRPr="00382816">
        <w:rPr>
          <w:color w:val="auto"/>
          <w:sz w:val="22"/>
          <w:szCs w:val="22"/>
        </w:rPr>
        <w:t>farmakokinetiku</w:t>
      </w:r>
      <w:proofErr w:type="spellEnd"/>
      <w:r w:rsidRPr="00382816">
        <w:rPr>
          <w:color w:val="auto"/>
          <w:sz w:val="22"/>
          <w:szCs w:val="22"/>
        </w:rPr>
        <w:t xml:space="preserve"> denosumaba.</w:t>
      </w:r>
    </w:p>
    <w:p w14:paraId="1740D6C4" w14:textId="77777777" w:rsidR="00662535" w:rsidRPr="00382816" w:rsidRDefault="00662535" w:rsidP="00B0072D">
      <w:pPr>
        <w:numPr>
          <w:ilvl w:val="12"/>
          <w:numId w:val="0"/>
        </w:numPr>
        <w:jc w:val="both"/>
        <w:rPr>
          <w:szCs w:val="22"/>
        </w:rPr>
      </w:pPr>
    </w:p>
    <w:p w14:paraId="2D7BD46D" w14:textId="77777777" w:rsidR="00662535" w:rsidRPr="00382816" w:rsidRDefault="00992A6A" w:rsidP="00B0072D">
      <w:pPr>
        <w:keepNext/>
        <w:autoSpaceDE w:val="0"/>
        <w:autoSpaceDN w:val="0"/>
        <w:adjustRightInd w:val="0"/>
        <w:jc w:val="both"/>
        <w:rPr>
          <w:szCs w:val="22"/>
          <w:u w:val="single"/>
        </w:rPr>
      </w:pPr>
      <w:r w:rsidRPr="00382816">
        <w:rPr>
          <w:szCs w:val="22"/>
          <w:u w:val="single"/>
        </w:rPr>
        <w:t>Oštećenje funkcije jetre</w:t>
      </w:r>
    </w:p>
    <w:p w14:paraId="02912E6C" w14:textId="77777777" w:rsidR="00662535" w:rsidRPr="00382816" w:rsidRDefault="00662535" w:rsidP="00B0072D">
      <w:pPr>
        <w:keepNext/>
        <w:autoSpaceDE w:val="0"/>
        <w:autoSpaceDN w:val="0"/>
        <w:adjustRightInd w:val="0"/>
        <w:jc w:val="both"/>
        <w:rPr>
          <w:szCs w:val="22"/>
          <w:u w:val="single"/>
        </w:rPr>
      </w:pPr>
    </w:p>
    <w:p w14:paraId="16AE8A07" w14:textId="77777777" w:rsidR="00662535" w:rsidRPr="00382816" w:rsidRDefault="00992A6A" w:rsidP="00B0072D">
      <w:pPr>
        <w:autoSpaceDE w:val="0"/>
        <w:autoSpaceDN w:val="0"/>
        <w:adjustRightInd w:val="0"/>
        <w:jc w:val="both"/>
        <w:rPr>
          <w:szCs w:val="22"/>
        </w:rPr>
      </w:pPr>
      <w:r w:rsidRPr="00382816">
        <w:rPr>
          <w:szCs w:val="22"/>
        </w:rPr>
        <w:t xml:space="preserve">Nisu sprovedena posebna ispitivanja kod pacijenata koji pate od poremećaja funkcije jetre. Generalno, </w:t>
      </w:r>
      <w:proofErr w:type="spellStart"/>
      <w:r w:rsidRPr="00382816">
        <w:rPr>
          <w:szCs w:val="22"/>
        </w:rPr>
        <w:t>monoklonska</w:t>
      </w:r>
      <w:proofErr w:type="spellEnd"/>
      <w:r w:rsidRPr="00382816">
        <w:rPr>
          <w:szCs w:val="22"/>
        </w:rPr>
        <w:t xml:space="preserve"> antitijela se ne eliminišu putem metabolizma jetre. Ne očekuje se da poremećaj funkcije jetre utiče na </w:t>
      </w:r>
      <w:proofErr w:type="spellStart"/>
      <w:r w:rsidRPr="00382816">
        <w:rPr>
          <w:szCs w:val="22"/>
        </w:rPr>
        <w:t>farmakokinetiku</w:t>
      </w:r>
      <w:proofErr w:type="spellEnd"/>
      <w:r w:rsidRPr="00382816">
        <w:rPr>
          <w:szCs w:val="22"/>
        </w:rPr>
        <w:t xml:space="preserve"> denosumaba.</w:t>
      </w:r>
    </w:p>
    <w:p w14:paraId="40F1E924" w14:textId="77777777" w:rsidR="00662535" w:rsidRPr="00382816" w:rsidRDefault="00662535" w:rsidP="00B0072D">
      <w:pPr>
        <w:numPr>
          <w:ilvl w:val="12"/>
          <w:numId w:val="0"/>
        </w:numPr>
        <w:jc w:val="both"/>
        <w:rPr>
          <w:szCs w:val="22"/>
        </w:rPr>
      </w:pPr>
    </w:p>
    <w:p w14:paraId="1B89D635" w14:textId="77777777" w:rsidR="00662535" w:rsidRPr="00382816" w:rsidRDefault="00992A6A" w:rsidP="00B0072D">
      <w:pPr>
        <w:keepNext/>
        <w:numPr>
          <w:ilvl w:val="12"/>
          <w:numId w:val="0"/>
        </w:numPr>
        <w:jc w:val="both"/>
        <w:rPr>
          <w:szCs w:val="22"/>
          <w:u w:val="single"/>
        </w:rPr>
      </w:pPr>
      <w:r w:rsidRPr="00382816">
        <w:rPr>
          <w:szCs w:val="22"/>
          <w:u w:val="single"/>
        </w:rPr>
        <w:t>Pedijatrijska populacija</w:t>
      </w:r>
    </w:p>
    <w:p w14:paraId="115C4D66" w14:textId="067BE8EB" w:rsidR="00662535" w:rsidRPr="00382816" w:rsidRDefault="00662535" w:rsidP="00B0072D">
      <w:pPr>
        <w:keepNext/>
        <w:numPr>
          <w:ilvl w:val="12"/>
          <w:numId w:val="0"/>
        </w:numPr>
        <w:tabs>
          <w:tab w:val="clear" w:pos="567"/>
        </w:tabs>
        <w:jc w:val="both"/>
        <w:rPr>
          <w:szCs w:val="22"/>
        </w:rPr>
      </w:pPr>
    </w:p>
    <w:p w14:paraId="77B6B434" w14:textId="679695B6" w:rsidR="00AA5DCE" w:rsidRPr="00382816" w:rsidRDefault="00AA5DCE" w:rsidP="00B0072D">
      <w:pPr>
        <w:tabs>
          <w:tab w:val="clear" w:pos="567"/>
        </w:tabs>
        <w:jc w:val="both"/>
        <w:rPr>
          <w:szCs w:val="22"/>
        </w:rPr>
      </w:pPr>
      <w:r w:rsidRPr="00382816">
        <w:rPr>
          <w:szCs w:val="22"/>
        </w:rPr>
        <w:t xml:space="preserve">Lijek Prolia se ne smije primjenjivati u pedijatrijskoj populaciji (vidjeti </w:t>
      </w:r>
      <w:r w:rsidR="002C6CBB" w:rsidRPr="00382816">
        <w:rPr>
          <w:szCs w:val="22"/>
        </w:rPr>
        <w:t>djelove </w:t>
      </w:r>
      <w:r w:rsidRPr="00382816">
        <w:rPr>
          <w:szCs w:val="22"/>
        </w:rPr>
        <w:t>4.2 i 5.1).</w:t>
      </w:r>
    </w:p>
    <w:p w14:paraId="372C322A" w14:textId="77777777" w:rsidR="00AA5DCE" w:rsidRPr="00382816" w:rsidRDefault="00AA5DCE" w:rsidP="00B0072D">
      <w:pPr>
        <w:tabs>
          <w:tab w:val="clear" w:pos="567"/>
        </w:tabs>
        <w:jc w:val="both"/>
        <w:rPr>
          <w:szCs w:val="22"/>
        </w:rPr>
      </w:pPr>
    </w:p>
    <w:p w14:paraId="01385C01" w14:textId="77777777" w:rsidR="00AA5DCE" w:rsidRPr="00382816" w:rsidRDefault="00AA5DCE" w:rsidP="00B0072D">
      <w:pPr>
        <w:tabs>
          <w:tab w:val="clear" w:pos="567"/>
        </w:tabs>
        <w:jc w:val="both"/>
        <w:rPr>
          <w:szCs w:val="22"/>
        </w:rPr>
      </w:pPr>
      <w:r w:rsidRPr="00382816">
        <w:rPr>
          <w:szCs w:val="22"/>
        </w:rPr>
        <w:t xml:space="preserve">U ispitivanju faze 3 nad pedijatrijskim pacijentima sa bolešću krhkih kostiju (lat. </w:t>
      </w:r>
      <w:proofErr w:type="spellStart"/>
      <w:r w:rsidRPr="00382816">
        <w:rPr>
          <w:i/>
          <w:szCs w:val="22"/>
        </w:rPr>
        <w:t>osteogenesis</w:t>
      </w:r>
      <w:proofErr w:type="spellEnd"/>
      <w:r w:rsidRPr="00382816">
        <w:rPr>
          <w:i/>
          <w:szCs w:val="22"/>
        </w:rPr>
        <w:t xml:space="preserve"> </w:t>
      </w:r>
      <w:proofErr w:type="spellStart"/>
      <w:r w:rsidRPr="00382816">
        <w:rPr>
          <w:i/>
          <w:szCs w:val="22"/>
        </w:rPr>
        <w:t>imperfecta</w:t>
      </w:r>
      <w:proofErr w:type="spellEnd"/>
      <w:r w:rsidRPr="00382816">
        <w:rPr>
          <w:szCs w:val="22"/>
        </w:rPr>
        <w:t xml:space="preserve">) (N = 153), maksimalne koncentracije denosumaba u serumu primijećene su 10. dana u svim starosnim grupama. Tokom režima doziranja na svaka 3 mjeseca i na svakih 6 mjeseci, primijećeno je da je srednja vrijednost koncentracije denosumaba u serumu na kraju </w:t>
      </w:r>
      <w:proofErr w:type="spellStart"/>
      <w:r w:rsidRPr="00382816">
        <w:rPr>
          <w:szCs w:val="22"/>
        </w:rPr>
        <w:t>doznog</w:t>
      </w:r>
      <w:proofErr w:type="spellEnd"/>
      <w:r w:rsidRPr="00382816">
        <w:rPr>
          <w:szCs w:val="22"/>
        </w:rPr>
        <w:t xml:space="preserve"> intervala bila veća kod djece uzrasta od 11 do 17 godina, dok je kod djece uzrasta od 2 do 6 godina srednja vrijednost koncentracije na kraju </w:t>
      </w:r>
      <w:proofErr w:type="spellStart"/>
      <w:r w:rsidRPr="00382816">
        <w:rPr>
          <w:szCs w:val="22"/>
        </w:rPr>
        <w:t>doznog</w:t>
      </w:r>
      <w:proofErr w:type="spellEnd"/>
      <w:r w:rsidRPr="00382816">
        <w:rPr>
          <w:szCs w:val="22"/>
        </w:rPr>
        <w:t xml:space="preserve"> intervala bila najmanja.</w:t>
      </w:r>
    </w:p>
    <w:p w14:paraId="1D11F216" w14:textId="53EFA4EE" w:rsidR="00662535" w:rsidRPr="00382816" w:rsidRDefault="00662535" w:rsidP="00B0072D">
      <w:pPr>
        <w:numPr>
          <w:ilvl w:val="12"/>
          <w:numId w:val="0"/>
        </w:numPr>
        <w:ind w:right="-2"/>
        <w:jc w:val="both"/>
        <w:rPr>
          <w:iCs/>
          <w:szCs w:val="22"/>
        </w:rPr>
      </w:pPr>
    </w:p>
    <w:p w14:paraId="5480FA07" w14:textId="137B0847" w:rsidR="00662535" w:rsidRPr="00382816" w:rsidRDefault="005E4E6F" w:rsidP="00B0072D">
      <w:pPr>
        <w:keepNext/>
        <w:tabs>
          <w:tab w:val="clear" w:pos="567"/>
        </w:tabs>
        <w:ind w:left="567" w:hanging="567"/>
        <w:jc w:val="both"/>
        <w:outlineLvl w:val="0"/>
        <w:rPr>
          <w:b/>
          <w:szCs w:val="22"/>
        </w:rPr>
      </w:pPr>
      <w:r w:rsidRPr="00382816">
        <w:rPr>
          <w:b/>
          <w:szCs w:val="22"/>
        </w:rPr>
        <w:t>5.3.</w:t>
      </w:r>
      <w:r w:rsidRPr="00382816">
        <w:rPr>
          <w:b/>
          <w:szCs w:val="22"/>
        </w:rPr>
        <w:tab/>
      </w:r>
      <w:proofErr w:type="spellStart"/>
      <w:r w:rsidRPr="00382816">
        <w:rPr>
          <w:b/>
          <w:szCs w:val="22"/>
        </w:rPr>
        <w:t>Pretklinički</w:t>
      </w:r>
      <w:proofErr w:type="spellEnd"/>
      <w:r w:rsidRPr="00382816">
        <w:rPr>
          <w:b/>
          <w:szCs w:val="22"/>
        </w:rPr>
        <w:t xml:space="preserve"> podaci o bezbjednosti</w:t>
      </w:r>
    </w:p>
    <w:p w14:paraId="7304B5AF" w14:textId="77777777" w:rsidR="00662535" w:rsidRPr="00382816" w:rsidRDefault="00662535" w:rsidP="00B0072D">
      <w:pPr>
        <w:pStyle w:val="Text"/>
        <w:keepNext/>
        <w:tabs>
          <w:tab w:val="left" w:pos="567"/>
        </w:tabs>
        <w:spacing w:before="0" w:beforeAutospacing="0" w:after="0" w:afterAutospacing="0" w:line="240" w:lineRule="auto"/>
        <w:ind w:left="0"/>
        <w:jc w:val="both"/>
        <w:rPr>
          <w:color w:val="auto"/>
          <w:sz w:val="22"/>
          <w:szCs w:val="22"/>
        </w:rPr>
      </w:pPr>
    </w:p>
    <w:p w14:paraId="16BADDEF" w14:textId="77777777" w:rsidR="00662535" w:rsidRPr="00382816" w:rsidRDefault="00053CE5"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U studijama toksičnosti pojedinačnih i ponavljanih doza denosumaba na </w:t>
      </w:r>
      <w:proofErr w:type="spellStart"/>
      <w:r w:rsidRPr="00382816">
        <w:rPr>
          <w:color w:val="auto"/>
          <w:sz w:val="22"/>
          <w:szCs w:val="22"/>
        </w:rPr>
        <w:t>cinomolgus</w:t>
      </w:r>
      <w:proofErr w:type="spellEnd"/>
      <w:r w:rsidRPr="00382816">
        <w:rPr>
          <w:color w:val="auto"/>
          <w:sz w:val="22"/>
          <w:szCs w:val="22"/>
        </w:rPr>
        <w:t xml:space="preserve"> majmunima, došlo je do sistemske izloženosti dozama koje su 100</w:t>
      </w:r>
      <w:r w:rsidRPr="00382816">
        <w:rPr>
          <w:color w:val="auto"/>
          <w:sz w:val="22"/>
          <w:szCs w:val="22"/>
        </w:rPr>
        <w:noBreakHyphen/>
        <w:t xml:space="preserve">150 puta veće od preporučenih doza za </w:t>
      </w:r>
      <w:proofErr w:type="spellStart"/>
      <w:r w:rsidRPr="00382816">
        <w:rPr>
          <w:color w:val="auto"/>
          <w:sz w:val="22"/>
          <w:szCs w:val="22"/>
        </w:rPr>
        <w:t>ljude</w:t>
      </w:r>
      <w:proofErr w:type="spellEnd"/>
      <w:r w:rsidRPr="00382816">
        <w:rPr>
          <w:color w:val="auto"/>
          <w:sz w:val="22"/>
          <w:szCs w:val="22"/>
        </w:rPr>
        <w:t xml:space="preserve">, ali nije uticala na </w:t>
      </w:r>
      <w:proofErr w:type="spellStart"/>
      <w:r w:rsidRPr="00382816">
        <w:rPr>
          <w:color w:val="auto"/>
          <w:sz w:val="22"/>
          <w:szCs w:val="22"/>
        </w:rPr>
        <w:t>kardiovaskularnu</w:t>
      </w:r>
      <w:proofErr w:type="spellEnd"/>
      <w:r w:rsidRPr="00382816">
        <w:rPr>
          <w:color w:val="auto"/>
          <w:sz w:val="22"/>
          <w:szCs w:val="22"/>
        </w:rPr>
        <w:t xml:space="preserve"> fiziologiju, sposobnost reprodukcije kod mužjaka niti kod ženki, niti je imala specifično toksično dejstvo na neki od ciljnih organa.</w:t>
      </w:r>
    </w:p>
    <w:p w14:paraId="19E0C7E8"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5F61DDF4" w14:textId="77777777" w:rsidR="00662535" w:rsidRPr="00382816" w:rsidRDefault="00053CE5"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Nisu procjenjivani standardni testovi pomoću kojih je ispitivan </w:t>
      </w:r>
      <w:proofErr w:type="spellStart"/>
      <w:r w:rsidRPr="00382816">
        <w:rPr>
          <w:color w:val="auto"/>
          <w:sz w:val="22"/>
          <w:szCs w:val="22"/>
        </w:rPr>
        <w:t>genotoksični</w:t>
      </w:r>
      <w:proofErr w:type="spellEnd"/>
      <w:r w:rsidRPr="00382816">
        <w:rPr>
          <w:color w:val="auto"/>
          <w:sz w:val="22"/>
          <w:szCs w:val="22"/>
        </w:rPr>
        <w:t xml:space="preserve"> potencijal denosumaba, jer navedeni testovi nisu relevantni za ovaj molekul. Zbog svog karaktera, malo je vjerovatno da denosumab ima bilo kakav potencijal za </w:t>
      </w:r>
      <w:proofErr w:type="spellStart"/>
      <w:r w:rsidRPr="00382816">
        <w:rPr>
          <w:color w:val="auto"/>
          <w:sz w:val="22"/>
          <w:szCs w:val="22"/>
        </w:rPr>
        <w:t>genotoksičnost</w:t>
      </w:r>
      <w:proofErr w:type="spellEnd"/>
      <w:r w:rsidRPr="00382816">
        <w:rPr>
          <w:color w:val="auto"/>
          <w:sz w:val="22"/>
          <w:szCs w:val="22"/>
        </w:rPr>
        <w:t>.</w:t>
      </w:r>
    </w:p>
    <w:p w14:paraId="488CCF34" w14:textId="77777777" w:rsidR="00662535" w:rsidRPr="00382816" w:rsidRDefault="00662535" w:rsidP="00B0072D">
      <w:pPr>
        <w:jc w:val="both"/>
        <w:rPr>
          <w:szCs w:val="22"/>
        </w:rPr>
      </w:pPr>
    </w:p>
    <w:p w14:paraId="5CF5D781" w14:textId="77777777" w:rsidR="00662535" w:rsidRPr="00382816" w:rsidRDefault="00053CE5" w:rsidP="00B0072D">
      <w:pPr>
        <w:jc w:val="both"/>
        <w:rPr>
          <w:szCs w:val="22"/>
        </w:rPr>
      </w:pPr>
      <w:r w:rsidRPr="00382816">
        <w:rPr>
          <w:szCs w:val="22"/>
        </w:rPr>
        <w:t>Nije procjenjivan kancerogeni potencijal denosumaba u dugoročnim studijama na životinjama.</w:t>
      </w:r>
    </w:p>
    <w:p w14:paraId="5E5952FE" w14:textId="77777777" w:rsidR="00662535" w:rsidRPr="00382816" w:rsidRDefault="00662535" w:rsidP="00B0072D">
      <w:pPr>
        <w:jc w:val="both"/>
        <w:rPr>
          <w:szCs w:val="22"/>
        </w:rPr>
      </w:pPr>
    </w:p>
    <w:p w14:paraId="23D1C007" w14:textId="2A3A27A4" w:rsidR="00662535" w:rsidRPr="00382816" w:rsidRDefault="00053CE5" w:rsidP="00B0072D">
      <w:pPr>
        <w:jc w:val="both"/>
        <w:rPr>
          <w:szCs w:val="22"/>
        </w:rPr>
      </w:pPr>
      <w:r w:rsidRPr="00382816">
        <w:rPr>
          <w:szCs w:val="22"/>
        </w:rPr>
        <w:t xml:space="preserve">U </w:t>
      </w:r>
      <w:proofErr w:type="spellStart"/>
      <w:r w:rsidRPr="00382816">
        <w:rPr>
          <w:szCs w:val="22"/>
        </w:rPr>
        <w:t>pretkliničkim</w:t>
      </w:r>
      <w:proofErr w:type="spellEnd"/>
      <w:r w:rsidRPr="00382816">
        <w:rPr>
          <w:szCs w:val="22"/>
        </w:rPr>
        <w:t xml:space="preserve"> studijama sprovedenim kod “</w:t>
      </w:r>
      <w:proofErr w:type="spellStart"/>
      <w:r w:rsidRPr="00382816">
        <w:rPr>
          <w:szCs w:val="22"/>
        </w:rPr>
        <w:t>knock</w:t>
      </w:r>
      <w:r w:rsidR="0070189D" w:rsidRPr="00382816">
        <w:rPr>
          <w:szCs w:val="22"/>
        </w:rPr>
        <w:t>-</w:t>
      </w:r>
      <w:r w:rsidRPr="00382816">
        <w:rPr>
          <w:szCs w:val="22"/>
        </w:rPr>
        <w:t>out</w:t>
      </w:r>
      <w:proofErr w:type="spellEnd"/>
      <w:r w:rsidRPr="00382816">
        <w:rPr>
          <w:szCs w:val="22"/>
        </w:rPr>
        <w:t>” miševa kojima nedostaje RANK ili RANKL, zapažen je poremećaj stvaranja limfnih čvorova kod fetusa. Kod “</w:t>
      </w:r>
      <w:proofErr w:type="spellStart"/>
      <w:r w:rsidRPr="00382816">
        <w:rPr>
          <w:szCs w:val="22"/>
        </w:rPr>
        <w:t>knock</w:t>
      </w:r>
      <w:r w:rsidR="0070189D" w:rsidRPr="00382816">
        <w:rPr>
          <w:szCs w:val="22"/>
        </w:rPr>
        <w:t>-</w:t>
      </w:r>
      <w:r w:rsidRPr="00382816">
        <w:rPr>
          <w:szCs w:val="22"/>
        </w:rPr>
        <w:t>out</w:t>
      </w:r>
      <w:proofErr w:type="spellEnd"/>
      <w:r w:rsidRPr="00382816">
        <w:rPr>
          <w:szCs w:val="22"/>
        </w:rPr>
        <w:t xml:space="preserve">” miševa kojima nedostaje RANK ili RANKL, takođe je zapažen izostanak </w:t>
      </w:r>
      <w:proofErr w:type="spellStart"/>
      <w:r w:rsidRPr="00382816">
        <w:rPr>
          <w:szCs w:val="22"/>
        </w:rPr>
        <w:t>laktacije</w:t>
      </w:r>
      <w:proofErr w:type="spellEnd"/>
      <w:r w:rsidRPr="00382816">
        <w:rPr>
          <w:szCs w:val="22"/>
        </w:rPr>
        <w:t xml:space="preserve"> kao posljedica inhibicije sazrijevanja mliječnih žlijezda (razvoj </w:t>
      </w:r>
      <w:proofErr w:type="spellStart"/>
      <w:r w:rsidRPr="00382816">
        <w:rPr>
          <w:szCs w:val="22"/>
        </w:rPr>
        <w:t>lobulo</w:t>
      </w:r>
      <w:proofErr w:type="spellEnd"/>
      <w:r w:rsidRPr="00382816">
        <w:rPr>
          <w:szCs w:val="22"/>
        </w:rPr>
        <w:noBreakHyphen/>
        <w:t>alveolarnih žlijezda u toku trudnoće).</w:t>
      </w:r>
    </w:p>
    <w:p w14:paraId="40C099A5" w14:textId="77777777" w:rsidR="00662535" w:rsidRPr="00382816" w:rsidRDefault="00662535" w:rsidP="00B0072D">
      <w:pPr>
        <w:jc w:val="both"/>
        <w:rPr>
          <w:szCs w:val="22"/>
        </w:rPr>
      </w:pPr>
    </w:p>
    <w:p w14:paraId="37D32542" w14:textId="77777777" w:rsidR="00662535" w:rsidRPr="00382816" w:rsidRDefault="00053CE5" w:rsidP="00B0072D">
      <w:pPr>
        <w:autoSpaceDE w:val="0"/>
        <w:autoSpaceDN w:val="0"/>
        <w:jc w:val="both"/>
        <w:rPr>
          <w:bCs/>
          <w:szCs w:val="22"/>
        </w:rPr>
      </w:pPr>
      <w:r w:rsidRPr="00382816">
        <w:rPr>
          <w:szCs w:val="22"/>
        </w:rPr>
        <w:t xml:space="preserve">U ispitivanju kod </w:t>
      </w:r>
      <w:proofErr w:type="spellStart"/>
      <w:r w:rsidRPr="00382816">
        <w:rPr>
          <w:szCs w:val="22"/>
        </w:rPr>
        <w:t>cinomolgus</w:t>
      </w:r>
      <w:proofErr w:type="spellEnd"/>
      <w:r w:rsidRPr="00382816">
        <w:rPr>
          <w:szCs w:val="22"/>
        </w:rPr>
        <w:t xml:space="preserve"> majmuna izloženim denosumabu tokom perioda ekvivalentnog prvom trimestru pri PIK izloženosti do 99 puta većoj od doze kod </w:t>
      </w:r>
      <w:proofErr w:type="spellStart"/>
      <w:r w:rsidRPr="00382816">
        <w:rPr>
          <w:szCs w:val="22"/>
        </w:rPr>
        <w:t>ljudi</w:t>
      </w:r>
      <w:proofErr w:type="spellEnd"/>
      <w:r w:rsidRPr="00382816">
        <w:rPr>
          <w:szCs w:val="22"/>
        </w:rPr>
        <w:t xml:space="preserve"> (60 mg svakih 6 mjeseci) nije pokazana štetnost za majku ili fetus. U ovom ispitivanju </w:t>
      </w:r>
      <w:proofErr w:type="spellStart"/>
      <w:r w:rsidRPr="00382816">
        <w:rPr>
          <w:szCs w:val="22"/>
        </w:rPr>
        <w:t>fetalni</w:t>
      </w:r>
      <w:proofErr w:type="spellEnd"/>
      <w:r w:rsidRPr="00382816">
        <w:rPr>
          <w:szCs w:val="22"/>
        </w:rPr>
        <w:t xml:space="preserve"> limfni čvorovi nisu pregledani.</w:t>
      </w:r>
    </w:p>
    <w:p w14:paraId="3A493868" w14:textId="77777777" w:rsidR="00662535" w:rsidRPr="00382816" w:rsidRDefault="00662535" w:rsidP="00B0072D">
      <w:pPr>
        <w:autoSpaceDE w:val="0"/>
        <w:autoSpaceDN w:val="0"/>
        <w:jc w:val="both"/>
        <w:rPr>
          <w:bCs/>
          <w:szCs w:val="22"/>
        </w:rPr>
      </w:pPr>
    </w:p>
    <w:p w14:paraId="2605C90C" w14:textId="77777777" w:rsidR="00662535" w:rsidRPr="00382816" w:rsidRDefault="00053CE5" w:rsidP="00B0072D">
      <w:pPr>
        <w:pStyle w:val="Style11"/>
        <w:jc w:val="both"/>
      </w:pPr>
      <w:r w:rsidRPr="00382816">
        <w:t xml:space="preserve">U drugom ispitivanju kod </w:t>
      </w:r>
      <w:proofErr w:type="spellStart"/>
      <w:r w:rsidRPr="00382816">
        <w:t>cinomolgus</w:t>
      </w:r>
      <w:proofErr w:type="spellEnd"/>
      <w:r w:rsidRPr="00382816">
        <w:t xml:space="preserve"> majmuna koji su primili denosumab tokom trudnoće pri PIK izloženosti 119 puta većoj od doze kod </w:t>
      </w:r>
      <w:proofErr w:type="spellStart"/>
      <w:r w:rsidRPr="00382816">
        <w:t>ljudi</w:t>
      </w:r>
      <w:proofErr w:type="spellEnd"/>
      <w:r w:rsidRPr="00382816">
        <w:t xml:space="preserve"> (60 mg svakih 6 mjeseca), zabilježeno je povećanje </w:t>
      </w:r>
      <w:proofErr w:type="spellStart"/>
      <w:r w:rsidRPr="00382816">
        <w:t>mrtvorođenosti</w:t>
      </w:r>
      <w:proofErr w:type="spellEnd"/>
      <w:r w:rsidRPr="00382816">
        <w:t xml:space="preserve"> i </w:t>
      </w:r>
      <w:proofErr w:type="spellStart"/>
      <w:r w:rsidRPr="00382816">
        <w:t>postnatalnog</w:t>
      </w:r>
      <w:proofErr w:type="spellEnd"/>
      <w:r w:rsidRPr="00382816">
        <w:t xml:space="preserve"> mortaliteta; poremećaj rasta kosti koji rezultira smanjenom snagom kosti, smanjena </w:t>
      </w:r>
      <w:proofErr w:type="spellStart"/>
      <w:r w:rsidRPr="00382816">
        <w:t>hematopoeza</w:t>
      </w:r>
      <w:proofErr w:type="spellEnd"/>
      <w:r w:rsidRPr="00382816">
        <w:t xml:space="preserve">, poremećaj raspored zuba; nedostatak perifernih limfnih čvorova; smanjen </w:t>
      </w:r>
      <w:proofErr w:type="spellStart"/>
      <w:r w:rsidRPr="00382816">
        <w:t>neonatalni</w:t>
      </w:r>
      <w:proofErr w:type="spellEnd"/>
      <w:r w:rsidRPr="00382816">
        <w:t xml:space="preserve"> rast. Nije ustanovljen nivo pri kojem nema štetnih dejstava za reprodukciju. Tokom 6 mjeseci nakon porođaja promjene povezane uz kost pokazale su oporavak i nije bilo dejstva na nicanje zuba. Međutim, dejstvo na limfne čvorove i poremećen raspored zuba je ostao, pa je kod jedne životinje </w:t>
      </w:r>
      <w:r w:rsidRPr="00382816">
        <w:lastRenderedPageBreak/>
        <w:t xml:space="preserve">zabilježena minimalna do umjerena </w:t>
      </w:r>
      <w:proofErr w:type="spellStart"/>
      <w:r w:rsidRPr="00382816">
        <w:t>mineralizacija</w:t>
      </w:r>
      <w:proofErr w:type="spellEnd"/>
      <w:r w:rsidRPr="00382816">
        <w:t xml:space="preserve"> u više tkiva (povezanost s liječenjem nije sigurna). Nije bilo dokaza za štetnost po majku prije porođaja. Neželjena dejstva kod majke su se rijetko pojavila tokom porođaja. Razvoj majčinih mliječnih žlijezda bio je normalan.</w:t>
      </w:r>
    </w:p>
    <w:p w14:paraId="46FE8DFA"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2E9987A3" w14:textId="77777777" w:rsidR="00662535" w:rsidRPr="00382816" w:rsidRDefault="00053CE5" w:rsidP="00B0072D">
      <w:pPr>
        <w:jc w:val="both"/>
        <w:rPr>
          <w:szCs w:val="22"/>
        </w:rPr>
      </w:pPr>
      <w:r w:rsidRPr="00382816">
        <w:rPr>
          <w:szCs w:val="22"/>
        </w:rPr>
        <w:t xml:space="preserve">U </w:t>
      </w:r>
      <w:proofErr w:type="spellStart"/>
      <w:r w:rsidRPr="00382816">
        <w:rPr>
          <w:szCs w:val="22"/>
        </w:rPr>
        <w:t>pretkliničkim</w:t>
      </w:r>
      <w:proofErr w:type="spellEnd"/>
      <w:r w:rsidRPr="00382816">
        <w:rPr>
          <w:szCs w:val="22"/>
        </w:rPr>
        <w:t xml:space="preserve"> studijama kvaliteta kostiju kod majmuna koji su primali denosumab u toku dužeg vremenskog perioda, smanjenje metabolizma kostiju bilo je udruženo sa poboljšanjem čvrstine kostiju i normalnom histologijom kostiju. Smanjenje nivoa kalcijuma je bilo prolazno kao i porast nivoa </w:t>
      </w:r>
      <w:proofErr w:type="spellStart"/>
      <w:r w:rsidRPr="00382816">
        <w:rPr>
          <w:szCs w:val="22"/>
        </w:rPr>
        <w:t>paratiroidnog</w:t>
      </w:r>
      <w:proofErr w:type="spellEnd"/>
      <w:r w:rsidRPr="00382816">
        <w:rPr>
          <w:szCs w:val="22"/>
        </w:rPr>
        <w:t xml:space="preserve"> hormona kod majmuna kod kojih je izvršena </w:t>
      </w:r>
      <w:proofErr w:type="spellStart"/>
      <w:r w:rsidRPr="00382816">
        <w:rPr>
          <w:szCs w:val="22"/>
        </w:rPr>
        <w:t>ovarijektomija</w:t>
      </w:r>
      <w:proofErr w:type="spellEnd"/>
      <w:r w:rsidRPr="00382816">
        <w:rPr>
          <w:szCs w:val="22"/>
        </w:rPr>
        <w:t>, a koji su liječeni denosumabom.</w:t>
      </w:r>
    </w:p>
    <w:p w14:paraId="52F54D8F" w14:textId="77777777" w:rsidR="00662535" w:rsidRPr="00382816" w:rsidRDefault="00662535" w:rsidP="00B0072D">
      <w:pPr>
        <w:jc w:val="both"/>
        <w:rPr>
          <w:szCs w:val="22"/>
        </w:rPr>
      </w:pPr>
    </w:p>
    <w:p w14:paraId="27AD3C85" w14:textId="77777777" w:rsidR="00662535" w:rsidRPr="00382816" w:rsidRDefault="00053CE5" w:rsidP="00B0072D">
      <w:pPr>
        <w:pStyle w:val="Text"/>
        <w:tabs>
          <w:tab w:val="left" w:pos="567"/>
        </w:tabs>
        <w:spacing w:before="0" w:beforeAutospacing="0" w:after="0" w:afterAutospacing="0" w:line="240" w:lineRule="auto"/>
        <w:ind w:left="0"/>
        <w:jc w:val="both"/>
        <w:rPr>
          <w:color w:val="auto"/>
          <w:sz w:val="22"/>
          <w:szCs w:val="22"/>
        </w:rPr>
      </w:pPr>
      <w:r w:rsidRPr="00382816">
        <w:rPr>
          <w:color w:val="auto"/>
          <w:sz w:val="22"/>
          <w:szCs w:val="22"/>
        </w:rPr>
        <w:t xml:space="preserve">Kod mužjaka miševa kod kojih je genetskim </w:t>
      </w:r>
      <w:proofErr w:type="spellStart"/>
      <w:r w:rsidRPr="00382816">
        <w:rPr>
          <w:color w:val="auto"/>
          <w:sz w:val="22"/>
          <w:szCs w:val="22"/>
        </w:rPr>
        <w:t>inžinjeringom</w:t>
      </w:r>
      <w:proofErr w:type="spellEnd"/>
      <w:r w:rsidRPr="00382816">
        <w:rPr>
          <w:color w:val="auto"/>
          <w:sz w:val="22"/>
          <w:szCs w:val="22"/>
        </w:rPr>
        <w:t xml:space="preserve"> postignuta ekspresija </w:t>
      </w:r>
      <w:proofErr w:type="spellStart"/>
      <w:r w:rsidRPr="00382816">
        <w:rPr>
          <w:color w:val="auto"/>
          <w:sz w:val="22"/>
          <w:szCs w:val="22"/>
        </w:rPr>
        <w:t>huRANKL</w:t>
      </w:r>
      <w:proofErr w:type="spellEnd"/>
      <w:r w:rsidRPr="00382816">
        <w:rPr>
          <w:color w:val="auto"/>
          <w:sz w:val="22"/>
          <w:szCs w:val="22"/>
        </w:rPr>
        <w:t xml:space="preserve"> (“</w:t>
      </w:r>
      <w:proofErr w:type="spellStart"/>
      <w:r w:rsidRPr="00382816">
        <w:rPr>
          <w:color w:val="auto"/>
          <w:sz w:val="22"/>
          <w:szCs w:val="22"/>
        </w:rPr>
        <w:t>knock</w:t>
      </w:r>
      <w:proofErr w:type="spellEnd"/>
      <w:r w:rsidRPr="00382816">
        <w:rPr>
          <w:color w:val="auto"/>
          <w:sz w:val="22"/>
          <w:szCs w:val="22"/>
        </w:rPr>
        <w:noBreakHyphen/>
        <w:t xml:space="preserve">in” miševi), nakon </w:t>
      </w:r>
      <w:proofErr w:type="spellStart"/>
      <w:r w:rsidRPr="00382816">
        <w:rPr>
          <w:color w:val="auto"/>
          <w:sz w:val="22"/>
          <w:szCs w:val="22"/>
        </w:rPr>
        <w:t>transkortikalne</w:t>
      </w:r>
      <w:proofErr w:type="spellEnd"/>
      <w:r w:rsidRPr="00382816">
        <w:rPr>
          <w:color w:val="auto"/>
          <w:sz w:val="22"/>
          <w:szCs w:val="22"/>
        </w:rPr>
        <w:t xml:space="preserve"> frakture, u odnosu na kontrolnu grupu, primjenom denosumaba odloženo je uklanjanje hrskavice i remodelovanje </w:t>
      </w:r>
      <w:proofErr w:type="spellStart"/>
      <w:r w:rsidRPr="00382816">
        <w:rPr>
          <w:color w:val="auto"/>
          <w:sz w:val="22"/>
          <w:szCs w:val="22"/>
        </w:rPr>
        <w:t>kalusa</w:t>
      </w:r>
      <w:proofErr w:type="spellEnd"/>
      <w:r w:rsidRPr="00382816">
        <w:rPr>
          <w:color w:val="auto"/>
          <w:sz w:val="22"/>
          <w:szCs w:val="22"/>
        </w:rPr>
        <w:t xml:space="preserve"> na mjestu </w:t>
      </w:r>
      <w:proofErr w:type="spellStart"/>
      <w:r w:rsidRPr="00382816">
        <w:rPr>
          <w:color w:val="auto"/>
          <w:sz w:val="22"/>
          <w:szCs w:val="22"/>
        </w:rPr>
        <w:t>preloma</w:t>
      </w:r>
      <w:proofErr w:type="spellEnd"/>
      <w:r w:rsidRPr="00382816">
        <w:rPr>
          <w:color w:val="auto"/>
          <w:sz w:val="22"/>
          <w:szCs w:val="22"/>
        </w:rPr>
        <w:t>, ali nije bilo nepovoljnog uticaja na biomehaničku snagu.</w:t>
      </w:r>
    </w:p>
    <w:p w14:paraId="3BF77E6D"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20B9F9B6" w14:textId="16FA563D" w:rsidR="00662535" w:rsidRPr="00382816" w:rsidRDefault="00053CE5" w:rsidP="00B0072D">
      <w:pPr>
        <w:tabs>
          <w:tab w:val="clear" w:pos="567"/>
        </w:tabs>
        <w:autoSpaceDE w:val="0"/>
        <w:autoSpaceDN w:val="0"/>
        <w:adjustRightInd w:val="0"/>
        <w:jc w:val="both"/>
        <w:rPr>
          <w:szCs w:val="22"/>
        </w:rPr>
      </w:pPr>
      <w:r w:rsidRPr="00382816">
        <w:rPr>
          <w:szCs w:val="22"/>
        </w:rPr>
        <w:t>Kod “</w:t>
      </w:r>
      <w:proofErr w:type="spellStart"/>
      <w:r w:rsidRPr="00382816">
        <w:rPr>
          <w:szCs w:val="22"/>
        </w:rPr>
        <w:t>knock</w:t>
      </w:r>
      <w:r w:rsidR="0070189D" w:rsidRPr="00382816">
        <w:rPr>
          <w:szCs w:val="22"/>
        </w:rPr>
        <w:t>-</w:t>
      </w:r>
      <w:r w:rsidRPr="00382816">
        <w:rPr>
          <w:szCs w:val="22"/>
        </w:rPr>
        <w:t>out</w:t>
      </w:r>
      <w:proofErr w:type="spellEnd"/>
      <w:r w:rsidRPr="00382816">
        <w:rPr>
          <w:szCs w:val="22"/>
        </w:rPr>
        <w:t xml:space="preserve">” miševa (vidjeti </w:t>
      </w:r>
      <w:r w:rsidR="002C6CBB" w:rsidRPr="00382816">
        <w:rPr>
          <w:szCs w:val="22"/>
        </w:rPr>
        <w:t>dio </w:t>
      </w:r>
      <w:r w:rsidRPr="00382816">
        <w:rPr>
          <w:szCs w:val="22"/>
        </w:rPr>
        <w:t xml:space="preserve">4.6) koji nemaju RANK ili RANKL, zapaženo je smanjenje tjelesne težine, usporen rast kostiju i izostanak nicanja zuba. Kod </w:t>
      </w:r>
      <w:proofErr w:type="spellStart"/>
      <w:r w:rsidRPr="00382816">
        <w:rPr>
          <w:szCs w:val="22"/>
        </w:rPr>
        <w:t>neonatusa</w:t>
      </w:r>
      <w:proofErr w:type="spellEnd"/>
      <w:r w:rsidRPr="00382816">
        <w:rPr>
          <w:szCs w:val="22"/>
        </w:rPr>
        <w:t xml:space="preserve"> pacova, inhibicija RANKL (cilj denosumab terapije) visokim dozama </w:t>
      </w:r>
      <w:proofErr w:type="spellStart"/>
      <w:r w:rsidRPr="00382816">
        <w:rPr>
          <w:szCs w:val="22"/>
        </w:rPr>
        <w:t>osteoprotegerina</w:t>
      </w:r>
      <w:proofErr w:type="spellEnd"/>
      <w:r w:rsidRPr="00382816">
        <w:rPr>
          <w:szCs w:val="22"/>
        </w:rPr>
        <w:t xml:space="preserve"> vezanog za </w:t>
      </w:r>
      <w:proofErr w:type="spellStart"/>
      <w:r w:rsidRPr="00382816">
        <w:rPr>
          <w:szCs w:val="22"/>
        </w:rPr>
        <w:t>Fc</w:t>
      </w:r>
      <w:proofErr w:type="spellEnd"/>
      <w:r w:rsidRPr="00382816">
        <w:rPr>
          <w:szCs w:val="22"/>
        </w:rPr>
        <w:t> (OPG</w:t>
      </w:r>
      <w:r w:rsidRPr="00382816">
        <w:rPr>
          <w:szCs w:val="22"/>
        </w:rPr>
        <w:noBreakHyphen/>
      </w:r>
      <w:proofErr w:type="spellStart"/>
      <w:r w:rsidRPr="00382816">
        <w:rPr>
          <w:szCs w:val="22"/>
        </w:rPr>
        <w:t>Fc</w:t>
      </w:r>
      <w:proofErr w:type="spellEnd"/>
      <w:r w:rsidRPr="00382816">
        <w:rPr>
          <w:szCs w:val="22"/>
        </w:rPr>
        <w:t>) bila je udružena sa inhibicijom rasta kostiju i nicanja zuba. U ovom modelu navedene izm</w:t>
      </w:r>
      <w:r w:rsidR="0070189D" w:rsidRPr="00382816">
        <w:rPr>
          <w:szCs w:val="22"/>
        </w:rPr>
        <w:t>j</w:t>
      </w:r>
      <w:r w:rsidRPr="00382816">
        <w:rPr>
          <w:szCs w:val="22"/>
        </w:rPr>
        <w:t>ene bile su d</w:t>
      </w:r>
      <w:r w:rsidR="0070189D" w:rsidRPr="00382816">
        <w:rPr>
          <w:szCs w:val="22"/>
        </w:rPr>
        <w:t>j</w:t>
      </w:r>
      <w:r w:rsidRPr="00382816">
        <w:rPr>
          <w:szCs w:val="22"/>
        </w:rPr>
        <w:t xml:space="preserve">elimično </w:t>
      </w:r>
      <w:proofErr w:type="spellStart"/>
      <w:r w:rsidRPr="00382816">
        <w:rPr>
          <w:szCs w:val="22"/>
        </w:rPr>
        <w:t>reverzibilne</w:t>
      </w:r>
      <w:proofErr w:type="spellEnd"/>
      <w:r w:rsidRPr="00382816">
        <w:rPr>
          <w:szCs w:val="22"/>
        </w:rPr>
        <w:t xml:space="preserve"> nakon prekida doziranja sa RANKL inhibitorima. Adolescenti primata kojima je primjenjivan denosumab u dozama koje su 27 i 150 puta (10 i 50 mg/kg) veće od kliničkih doza, imali su abnormalne ploče rasta. Dakle, terapija denosumabom kod djece može da poremeti rast kostiju sa otvorenim pločama rasta i da inhibira nicanje zuba.</w:t>
      </w:r>
    </w:p>
    <w:p w14:paraId="19AD73FE" w14:textId="77777777" w:rsidR="00662535" w:rsidRPr="00382816" w:rsidRDefault="00662535" w:rsidP="00B0072D">
      <w:pPr>
        <w:pStyle w:val="Text"/>
        <w:tabs>
          <w:tab w:val="left" w:pos="567"/>
        </w:tabs>
        <w:spacing w:before="0" w:beforeAutospacing="0" w:after="0" w:afterAutospacing="0" w:line="240" w:lineRule="auto"/>
        <w:ind w:left="0"/>
        <w:jc w:val="both"/>
        <w:rPr>
          <w:bCs w:val="0"/>
          <w:color w:val="auto"/>
          <w:sz w:val="22"/>
          <w:szCs w:val="22"/>
        </w:rPr>
      </w:pPr>
    </w:p>
    <w:p w14:paraId="2E478595" w14:textId="77777777" w:rsidR="00662535" w:rsidRPr="00382816" w:rsidRDefault="00662535" w:rsidP="00B0072D">
      <w:pPr>
        <w:pStyle w:val="Text"/>
        <w:tabs>
          <w:tab w:val="left" w:pos="567"/>
        </w:tabs>
        <w:spacing w:before="0" w:beforeAutospacing="0" w:after="0" w:afterAutospacing="0" w:line="240" w:lineRule="auto"/>
        <w:ind w:left="0"/>
        <w:jc w:val="both"/>
        <w:rPr>
          <w:color w:val="auto"/>
          <w:sz w:val="22"/>
          <w:szCs w:val="22"/>
        </w:rPr>
      </w:pPr>
    </w:p>
    <w:p w14:paraId="08DC6259" w14:textId="77777777" w:rsidR="00662535" w:rsidRPr="00382816" w:rsidRDefault="008011D6" w:rsidP="00B0072D">
      <w:pPr>
        <w:keepNext/>
        <w:ind w:left="567" w:hanging="567"/>
        <w:jc w:val="both"/>
        <w:rPr>
          <w:b/>
          <w:szCs w:val="22"/>
        </w:rPr>
      </w:pPr>
      <w:r w:rsidRPr="00382816">
        <w:rPr>
          <w:b/>
          <w:szCs w:val="22"/>
        </w:rPr>
        <w:t>6.</w:t>
      </w:r>
      <w:r w:rsidRPr="00382816">
        <w:rPr>
          <w:b/>
          <w:szCs w:val="22"/>
        </w:rPr>
        <w:tab/>
        <w:t>FARMACEUTSKI PODACI</w:t>
      </w:r>
    </w:p>
    <w:p w14:paraId="09B5B32C" w14:textId="77777777" w:rsidR="00662535" w:rsidRPr="00382816" w:rsidRDefault="00662535" w:rsidP="00B0072D">
      <w:pPr>
        <w:keepNext/>
        <w:jc w:val="both"/>
        <w:rPr>
          <w:szCs w:val="22"/>
        </w:rPr>
      </w:pPr>
    </w:p>
    <w:p w14:paraId="1AA7535D" w14:textId="71F937EC" w:rsidR="00662535" w:rsidRPr="00382816" w:rsidRDefault="005E4E6F" w:rsidP="00B0072D">
      <w:pPr>
        <w:keepNext/>
        <w:tabs>
          <w:tab w:val="clear" w:pos="567"/>
        </w:tabs>
        <w:ind w:left="567" w:hanging="567"/>
        <w:jc w:val="both"/>
        <w:outlineLvl w:val="0"/>
        <w:rPr>
          <w:b/>
          <w:szCs w:val="22"/>
        </w:rPr>
      </w:pPr>
      <w:r w:rsidRPr="00382816">
        <w:rPr>
          <w:b/>
          <w:szCs w:val="22"/>
        </w:rPr>
        <w:t>6.1.</w:t>
      </w:r>
      <w:r w:rsidRPr="00382816">
        <w:rPr>
          <w:b/>
          <w:szCs w:val="22"/>
        </w:rPr>
        <w:tab/>
        <w:t>Lista pomoćnih supstanci (ekscipijenasa)</w:t>
      </w:r>
    </w:p>
    <w:p w14:paraId="2035C8FD" w14:textId="77777777" w:rsidR="00662535" w:rsidRPr="00382816" w:rsidRDefault="00662535" w:rsidP="00B0072D">
      <w:pPr>
        <w:keepNext/>
        <w:jc w:val="both"/>
        <w:outlineLvl w:val="0"/>
        <w:rPr>
          <w:b/>
          <w:szCs w:val="22"/>
        </w:rPr>
      </w:pPr>
    </w:p>
    <w:p w14:paraId="4A6C6036" w14:textId="1CCB23F3" w:rsidR="00662535" w:rsidRPr="00382816" w:rsidRDefault="002C6CBB" w:rsidP="00B0072D">
      <w:pPr>
        <w:keepNext/>
        <w:autoSpaceDE w:val="0"/>
        <w:autoSpaceDN w:val="0"/>
        <w:adjustRightInd w:val="0"/>
        <w:jc w:val="both"/>
        <w:rPr>
          <w:szCs w:val="22"/>
        </w:rPr>
      </w:pPr>
      <w:proofErr w:type="spellStart"/>
      <w:r w:rsidRPr="00382816">
        <w:rPr>
          <w:szCs w:val="22"/>
        </w:rPr>
        <w:t>S</w:t>
      </w:r>
      <w:r w:rsidR="00992A6A" w:rsidRPr="00382816">
        <w:rPr>
          <w:szCs w:val="22"/>
        </w:rPr>
        <w:t>irćetna</w:t>
      </w:r>
      <w:proofErr w:type="spellEnd"/>
      <w:r w:rsidR="00992A6A" w:rsidRPr="00382816">
        <w:rPr>
          <w:szCs w:val="22"/>
        </w:rPr>
        <w:t xml:space="preserve"> kiselina</w:t>
      </w:r>
      <w:r w:rsidRPr="00382816">
        <w:rPr>
          <w:szCs w:val="22"/>
        </w:rPr>
        <w:t>, glacijalna</w:t>
      </w:r>
      <w:r w:rsidR="00992A6A" w:rsidRPr="00382816">
        <w:rPr>
          <w:szCs w:val="22"/>
        </w:rPr>
        <w:t>*</w:t>
      </w:r>
    </w:p>
    <w:p w14:paraId="3AB3CA57" w14:textId="382EE730" w:rsidR="00662535" w:rsidRPr="00382816" w:rsidRDefault="008011D6" w:rsidP="00B0072D">
      <w:pPr>
        <w:keepNext/>
        <w:autoSpaceDE w:val="0"/>
        <w:autoSpaceDN w:val="0"/>
        <w:adjustRightInd w:val="0"/>
        <w:jc w:val="both"/>
        <w:rPr>
          <w:szCs w:val="22"/>
        </w:rPr>
      </w:pPr>
      <w:r w:rsidRPr="00382816">
        <w:rPr>
          <w:szCs w:val="22"/>
        </w:rPr>
        <w:t xml:space="preserve">Natrijum hidroksid (za </w:t>
      </w:r>
      <w:r w:rsidR="002C6CBB" w:rsidRPr="00382816">
        <w:rPr>
          <w:szCs w:val="22"/>
        </w:rPr>
        <w:t xml:space="preserve">podešavanje </w:t>
      </w:r>
      <w:proofErr w:type="spellStart"/>
      <w:r w:rsidRPr="00382816">
        <w:rPr>
          <w:szCs w:val="22"/>
        </w:rPr>
        <w:t>pH</w:t>
      </w:r>
      <w:proofErr w:type="spellEnd"/>
      <w:r w:rsidRPr="00382816">
        <w:rPr>
          <w:szCs w:val="22"/>
        </w:rPr>
        <w:t>)*</w:t>
      </w:r>
    </w:p>
    <w:p w14:paraId="1E663377" w14:textId="77777777" w:rsidR="00662535" w:rsidRPr="00382816" w:rsidRDefault="008011D6" w:rsidP="00B0072D">
      <w:pPr>
        <w:keepNext/>
        <w:autoSpaceDE w:val="0"/>
        <w:autoSpaceDN w:val="0"/>
        <w:adjustRightInd w:val="0"/>
        <w:jc w:val="both"/>
        <w:rPr>
          <w:szCs w:val="22"/>
        </w:rPr>
      </w:pPr>
      <w:proofErr w:type="spellStart"/>
      <w:r w:rsidRPr="00382816">
        <w:rPr>
          <w:szCs w:val="22"/>
        </w:rPr>
        <w:t>Sorbitol</w:t>
      </w:r>
      <w:proofErr w:type="spellEnd"/>
      <w:r w:rsidRPr="00382816">
        <w:rPr>
          <w:szCs w:val="22"/>
        </w:rPr>
        <w:t> (E420)</w:t>
      </w:r>
    </w:p>
    <w:p w14:paraId="51D11720" w14:textId="77777777" w:rsidR="00662535" w:rsidRPr="00382816" w:rsidRDefault="008011D6" w:rsidP="00B0072D">
      <w:pPr>
        <w:keepNext/>
        <w:autoSpaceDE w:val="0"/>
        <w:autoSpaceDN w:val="0"/>
        <w:adjustRightInd w:val="0"/>
        <w:jc w:val="both"/>
        <w:rPr>
          <w:szCs w:val="22"/>
        </w:rPr>
      </w:pPr>
      <w:proofErr w:type="spellStart"/>
      <w:r w:rsidRPr="00382816">
        <w:rPr>
          <w:szCs w:val="22"/>
        </w:rPr>
        <w:t>Polisorbat</w:t>
      </w:r>
      <w:proofErr w:type="spellEnd"/>
      <w:r w:rsidRPr="00382816">
        <w:rPr>
          <w:szCs w:val="22"/>
        </w:rPr>
        <w:t> 20</w:t>
      </w:r>
    </w:p>
    <w:p w14:paraId="5D70F79F" w14:textId="77777777" w:rsidR="00662535" w:rsidRPr="00382816" w:rsidRDefault="008011D6" w:rsidP="00B0072D">
      <w:pPr>
        <w:keepNext/>
        <w:autoSpaceDE w:val="0"/>
        <w:autoSpaceDN w:val="0"/>
        <w:adjustRightInd w:val="0"/>
        <w:jc w:val="both"/>
        <w:rPr>
          <w:szCs w:val="22"/>
        </w:rPr>
      </w:pPr>
      <w:r w:rsidRPr="00382816">
        <w:rPr>
          <w:szCs w:val="22"/>
        </w:rPr>
        <w:t>Voda za injekcije</w:t>
      </w:r>
    </w:p>
    <w:p w14:paraId="51D87629" w14:textId="77777777" w:rsidR="00662535" w:rsidRPr="00382816" w:rsidRDefault="008011D6" w:rsidP="00B0072D">
      <w:pPr>
        <w:keepNext/>
        <w:autoSpaceDE w:val="0"/>
        <w:autoSpaceDN w:val="0"/>
        <w:adjustRightInd w:val="0"/>
        <w:jc w:val="both"/>
        <w:rPr>
          <w:szCs w:val="22"/>
        </w:rPr>
      </w:pPr>
      <w:r w:rsidRPr="00382816">
        <w:rPr>
          <w:szCs w:val="22"/>
        </w:rPr>
        <w:t xml:space="preserve">* Acetatni pufer pravi se miješanjem </w:t>
      </w:r>
      <w:proofErr w:type="spellStart"/>
      <w:r w:rsidRPr="00382816">
        <w:rPr>
          <w:szCs w:val="22"/>
        </w:rPr>
        <w:t>sirćetne</w:t>
      </w:r>
      <w:proofErr w:type="spellEnd"/>
      <w:r w:rsidRPr="00382816">
        <w:rPr>
          <w:szCs w:val="22"/>
        </w:rPr>
        <w:t xml:space="preserve"> kiseline sa natrijum hidroksidom</w:t>
      </w:r>
    </w:p>
    <w:p w14:paraId="7839F635" w14:textId="77777777" w:rsidR="00662535" w:rsidRPr="00382816" w:rsidRDefault="00662535" w:rsidP="00B0072D">
      <w:pPr>
        <w:autoSpaceDE w:val="0"/>
        <w:autoSpaceDN w:val="0"/>
        <w:adjustRightInd w:val="0"/>
        <w:jc w:val="both"/>
        <w:rPr>
          <w:szCs w:val="22"/>
        </w:rPr>
      </w:pPr>
    </w:p>
    <w:p w14:paraId="62A73DFF" w14:textId="77777777" w:rsidR="00662535" w:rsidRPr="00382816" w:rsidRDefault="005E4E6F" w:rsidP="00B0072D">
      <w:pPr>
        <w:keepNext/>
        <w:tabs>
          <w:tab w:val="clear" w:pos="567"/>
        </w:tabs>
        <w:ind w:left="567" w:hanging="567"/>
        <w:jc w:val="both"/>
        <w:rPr>
          <w:b/>
          <w:szCs w:val="22"/>
        </w:rPr>
      </w:pPr>
      <w:r w:rsidRPr="00382816">
        <w:rPr>
          <w:b/>
          <w:szCs w:val="22"/>
        </w:rPr>
        <w:t>6.2.</w:t>
      </w:r>
      <w:r w:rsidRPr="00382816">
        <w:rPr>
          <w:b/>
          <w:szCs w:val="22"/>
        </w:rPr>
        <w:tab/>
        <w:t>Inkompatibilnosti</w:t>
      </w:r>
    </w:p>
    <w:p w14:paraId="45024B75" w14:textId="77777777" w:rsidR="00662535" w:rsidRPr="00382816" w:rsidRDefault="00662535" w:rsidP="00B0072D">
      <w:pPr>
        <w:keepNext/>
        <w:jc w:val="both"/>
        <w:outlineLvl w:val="0"/>
        <w:rPr>
          <w:b/>
          <w:szCs w:val="22"/>
        </w:rPr>
      </w:pPr>
    </w:p>
    <w:p w14:paraId="0415AFF5" w14:textId="77777777" w:rsidR="00662535" w:rsidRPr="00382816" w:rsidRDefault="00687364" w:rsidP="00B0072D">
      <w:pPr>
        <w:autoSpaceDE w:val="0"/>
        <w:autoSpaceDN w:val="0"/>
        <w:adjustRightInd w:val="0"/>
        <w:jc w:val="both"/>
        <w:rPr>
          <w:rFonts w:eastAsia="MS Mincho"/>
          <w:szCs w:val="22"/>
        </w:rPr>
      </w:pPr>
      <w:r w:rsidRPr="00382816">
        <w:rPr>
          <w:szCs w:val="22"/>
        </w:rPr>
        <w:t>U odsustvu ispitivanja kompatibilnosti, ovaj lijek se ne smije miješati sa drugim ljekovima.</w:t>
      </w:r>
    </w:p>
    <w:p w14:paraId="4F0C056C" w14:textId="77777777" w:rsidR="00662535" w:rsidRPr="00382816" w:rsidRDefault="00662535" w:rsidP="00B0072D">
      <w:pPr>
        <w:jc w:val="both"/>
        <w:rPr>
          <w:szCs w:val="22"/>
        </w:rPr>
      </w:pPr>
    </w:p>
    <w:p w14:paraId="1B38DBA6" w14:textId="77777777" w:rsidR="00662535" w:rsidRPr="00382816" w:rsidRDefault="005E4E6F" w:rsidP="00B0072D">
      <w:pPr>
        <w:keepNext/>
        <w:tabs>
          <w:tab w:val="clear" w:pos="567"/>
        </w:tabs>
        <w:ind w:left="567" w:hanging="567"/>
        <w:jc w:val="both"/>
        <w:rPr>
          <w:b/>
          <w:szCs w:val="22"/>
        </w:rPr>
      </w:pPr>
      <w:r w:rsidRPr="00382816">
        <w:rPr>
          <w:b/>
          <w:szCs w:val="22"/>
        </w:rPr>
        <w:t>6.3.</w:t>
      </w:r>
      <w:r w:rsidRPr="00382816">
        <w:rPr>
          <w:b/>
          <w:szCs w:val="22"/>
        </w:rPr>
        <w:tab/>
        <w:t>Rok upotrebe</w:t>
      </w:r>
    </w:p>
    <w:p w14:paraId="6F4F39DB" w14:textId="77777777" w:rsidR="00662535" w:rsidRPr="00382816" w:rsidRDefault="00662535" w:rsidP="00B0072D">
      <w:pPr>
        <w:keepNext/>
        <w:jc w:val="both"/>
        <w:outlineLvl w:val="0"/>
        <w:rPr>
          <w:b/>
          <w:szCs w:val="22"/>
        </w:rPr>
      </w:pPr>
    </w:p>
    <w:p w14:paraId="4D6B7C7F" w14:textId="71F1B839" w:rsidR="00662535" w:rsidRPr="00382816" w:rsidRDefault="00EC1D43" w:rsidP="00B0072D">
      <w:pPr>
        <w:jc w:val="both"/>
        <w:rPr>
          <w:szCs w:val="22"/>
        </w:rPr>
      </w:pPr>
      <w:r>
        <w:rPr>
          <w:szCs w:val="22"/>
        </w:rPr>
        <w:t>4</w:t>
      </w:r>
      <w:r w:rsidR="003C6C78" w:rsidRPr="00382816">
        <w:rPr>
          <w:szCs w:val="22"/>
        </w:rPr>
        <w:t> godine.</w:t>
      </w:r>
    </w:p>
    <w:p w14:paraId="2F93EA61" w14:textId="77777777" w:rsidR="00662535" w:rsidRPr="00382816" w:rsidRDefault="00662535" w:rsidP="00B0072D">
      <w:pPr>
        <w:jc w:val="both"/>
        <w:rPr>
          <w:szCs w:val="22"/>
        </w:rPr>
      </w:pPr>
    </w:p>
    <w:p w14:paraId="589367B3" w14:textId="5DEC82E4" w:rsidR="00662535" w:rsidRPr="00382816" w:rsidRDefault="002C6CBB" w:rsidP="00B0072D">
      <w:pPr>
        <w:autoSpaceDE w:val="0"/>
        <w:autoSpaceDN w:val="0"/>
        <w:adjustRightInd w:val="0"/>
        <w:jc w:val="both"/>
        <w:rPr>
          <w:szCs w:val="22"/>
        </w:rPr>
      </w:pPr>
      <w:r w:rsidRPr="00382816">
        <w:rPr>
          <w:szCs w:val="22"/>
        </w:rPr>
        <w:t xml:space="preserve">Kada </w:t>
      </w:r>
      <w:r w:rsidR="0033374C" w:rsidRPr="00382816">
        <w:rPr>
          <w:szCs w:val="22"/>
        </w:rPr>
        <w:t xml:space="preserve">se izvadi iz frižidera, lijek Prolia se može čuvati </w:t>
      </w:r>
      <w:r w:rsidRPr="00382816">
        <w:rPr>
          <w:szCs w:val="22"/>
        </w:rPr>
        <w:t xml:space="preserve">u originalnom pakovanju </w:t>
      </w:r>
      <w:r w:rsidR="0033374C" w:rsidRPr="00382816">
        <w:rPr>
          <w:szCs w:val="22"/>
        </w:rPr>
        <w:t xml:space="preserve">na sobnoj temperaturi (do 25°C) najviše do 30 dana. </w:t>
      </w:r>
      <w:r w:rsidRPr="00382816">
        <w:rPr>
          <w:szCs w:val="22"/>
        </w:rPr>
        <w:t>Lijek se m</w:t>
      </w:r>
      <w:r w:rsidR="0033374C" w:rsidRPr="00382816">
        <w:rPr>
          <w:szCs w:val="22"/>
        </w:rPr>
        <w:t>ora upotr</w:t>
      </w:r>
      <w:r w:rsidRPr="00382816">
        <w:rPr>
          <w:szCs w:val="22"/>
        </w:rPr>
        <w:t>i</w:t>
      </w:r>
      <w:r w:rsidR="0033374C" w:rsidRPr="00382816">
        <w:rPr>
          <w:szCs w:val="22"/>
        </w:rPr>
        <w:t>jebiti u roku od 30 dana.</w:t>
      </w:r>
    </w:p>
    <w:p w14:paraId="29FE1D6A" w14:textId="77777777" w:rsidR="00662535" w:rsidRPr="00382816" w:rsidRDefault="00662535" w:rsidP="00B0072D">
      <w:pPr>
        <w:jc w:val="both"/>
        <w:rPr>
          <w:szCs w:val="22"/>
        </w:rPr>
      </w:pPr>
    </w:p>
    <w:p w14:paraId="14BB27C1" w14:textId="77777777" w:rsidR="00662535" w:rsidRPr="00382816" w:rsidRDefault="005E4E6F" w:rsidP="00B0072D">
      <w:pPr>
        <w:keepNext/>
        <w:tabs>
          <w:tab w:val="clear" w:pos="567"/>
        </w:tabs>
        <w:ind w:left="567" w:hanging="567"/>
        <w:jc w:val="both"/>
        <w:rPr>
          <w:b/>
          <w:szCs w:val="22"/>
        </w:rPr>
      </w:pPr>
      <w:r w:rsidRPr="00382816">
        <w:rPr>
          <w:b/>
          <w:szCs w:val="22"/>
        </w:rPr>
        <w:t>6.4.</w:t>
      </w:r>
      <w:r w:rsidRPr="00382816">
        <w:rPr>
          <w:b/>
          <w:szCs w:val="22"/>
        </w:rPr>
        <w:tab/>
        <w:t>Posebne mjere upozorenja pri čuvanju lijeka</w:t>
      </w:r>
    </w:p>
    <w:p w14:paraId="6AF0CC16" w14:textId="77777777" w:rsidR="00662535" w:rsidRPr="00382816" w:rsidRDefault="00662535" w:rsidP="00B0072D">
      <w:pPr>
        <w:keepNext/>
        <w:jc w:val="both"/>
        <w:outlineLvl w:val="0"/>
        <w:rPr>
          <w:szCs w:val="22"/>
        </w:rPr>
      </w:pPr>
    </w:p>
    <w:p w14:paraId="32D251F1" w14:textId="77777777" w:rsidR="00662535" w:rsidRPr="00382816" w:rsidRDefault="008011D6" w:rsidP="00B0072D">
      <w:pPr>
        <w:autoSpaceDE w:val="0"/>
        <w:autoSpaceDN w:val="0"/>
        <w:adjustRightInd w:val="0"/>
        <w:jc w:val="both"/>
        <w:rPr>
          <w:rFonts w:eastAsia="MS Mincho"/>
          <w:szCs w:val="22"/>
        </w:rPr>
      </w:pPr>
      <w:r w:rsidRPr="00382816">
        <w:rPr>
          <w:szCs w:val="22"/>
        </w:rPr>
        <w:t>Čuvati u frižideru na temperaturi od 2°C – 8°C.</w:t>
      </w:r>
    </w:p>
    <w:p w14:paraId="499E5E65" w14:textId="77777777" w:rsidR="00662535" w:rsidRPr="00382816" w:rsidRDefault="008011D6" w:rsidP="00B0072D">
      <w:pPr>
        <w:autoSpaceDE w:val="0"/>
        <w:autoSpaceDN w:val="0"/>
        <w:adjustRightInd w:val="0"/>
        <w:jc w:val="both"/>
        <w:rPr>
          <w:rFonts w:eastAsia="MS Mincho"/>
          <w:szCs w:val="22"/>
        </w:rPr>
      </w:pPr>
      <w:r w:rsidRPr="00382816">
        <w:rPr>
          <w:szCs w:val="22"/>
        </w:rPr>
        <w:t>Ne zamrzavati.</w:t>
      </w:r>
    </w:p>
    <w:p w14:paraId="5B982C58" w14:textId="55665658" w:rsidR="00662535" w:rsidRPr="00382816" w:rsidRDefault="008011D6" w:rsidP="00B0072D">
      <w:pPr>
        <w:autoSpaceDE w:val="0"/>
        <w:autoSpaceDN w:val="0"/>
        <w:adjustRightInd w:val="0"/>
        <w:jc w:val="both"/>
        <w:rPr>
          <w:rFonts w:eastAsia="MS Mincho"/>
          <w:szCs w:val="22"/>
        </w:rPr>
      </w:pPr>
      <w:r w:rsidRPr="00382816">
        <w:rPr>
          <w:szCs w:val="22"/>
        </w:rPr>
        <w:t>Čuvati napunjeni injekcioni špric u spoljašnjem pakovanju,</w:t>
      </w:r>
      <w:r w:rsidR="001B2E5C" w:rsidRPr="00382816">
        <w:rPr>
          <w:szCs w:val="22"/>
        </w:rPr>
        <w:t xml:space="preserve"> u cilju</w:t>
      </w:r>
      <w:r w:rsidRPr="00382816">
        <w:rPr>
          <w:szCs w:val="22"/>
        </w:rPr>
        <w:t xml:space="preserve"> zašti</w:t>
      </w:r>
      <w:r w:rsidR="001B2E5C" w:rsidRPr="00382816">
        <w:rPr>
          <w:szCs w:val="22"/>
        </w:rPr>
        <w:t>te</w:t>
      </w:r>
      <w:r w:rsidRPr="00382816">
        <w:rPr>
          <w:szCs w:val="22"/>
        </w:rPr>
        <w:t xml:space="preserve"> od svjetlosti.</w:t>
      </w:r>
    </w:p>
    <w:p w14:paraId="77EA1C22" w14:textId="77777777" w:rsidR="00662535" w:rsidRPr="00382816" w:rsidRDefault="00662535" w:rsidP="00B0072D">
      <w:pPr>
        <w:autoSpaceDE w:val="0"/>
        <w:autoSpaceDN w:val="0"/>
        <w:adjustRightInd w:val="0"/>
        <w:jc w:val="both"/>
        <w:rPr>
          <w:rFonts w:eastAsia="MS Mincho"/>
          <w:szCs w:val="22"/>
          <w:lang w:eastAsia="ja-JP"/>
        </w:rPr>
      </w:pPr>
    </w:p>
    <w:p w14:paraId="6B464154" w14:textId="77777777" w:rsidR="00662535" w:rsidRPr="00382816" w:rsidRDefault="005E4E6F" w:rsidP="00B0072D">
      <w:pPr>
        <w:keepNext/>
        <w:tabs>
          <w:tab w:val="clear" w:pos="567"/>
        </w:tabs>
        <w:ind w:left="567" w:hanging="567"/>
        <w:jc w:val="both"/>
        <w:rPr>
          <w:b/>
          <w:szCs w:val="22"/>
        </w:rPr>
      </w:pPr>
      <w:r w:rsidRPr="00382816">
        <w:rPr>
          <w:b/>
          <w:szCs w:val="22"/>
        </w:rPr>
        <w:lastRenderedPageBreak/>
        <w:t>6.5.</w:t>
      </w:r>
      <w:r w:rsidRPr="00382816">
        <w:rPr>
          <w:b/>
          <w:szCs w:val="22"/>
        </w:rPr>
        <w:tab/>
        <w:t>Vrsta i sadržaj pakovanja</w:t>
      </w:r>
    </w:p>
    <w:p w14:paraId="014532D3" w14:textId="77777777" w:rsidR="00662535" w:rsidRPr="00382816" w:rsidRDefault="00662535" w:rsidP="00B0072D">
      <w:pPr>
        <w:keepNext/>
        <w:jc w:val="both"/>
        <w:rPr>
          <w:szCs w:val="22"/>
        </w:rPr>
      </w:pPr>
    </w:p>
    <w:p w14:paraId="56BB6D24" w14:textId="2B6EC26D" w:rsidR="00662535" w:rsidRPr="00382816" w:rsidRDefault="001B2E5C" w:rsidP="00B0072D">
      <w:pPr>
        <w:jc w:val="both"/>
        <w:rPr>
          <w:szCs w:val="22"/>
        </w:rPr>
      </w:pPr>
      <w:r w:rsidRPr="00382816">
        <w:rPr>
          <w:szCs w:val="22"/>
        </w:rPr>
        <w:t>Unutrašnje pakovanje lijeka je n</w:t>
      </w:r>
      <w:r w:rsidR="008011D6" w:rsidRPr="00382816">
        <w:rPr>
          <w:szCs w:val="22"/>
        </w:rPr>
        <w:t>apunjen</w:t>
      </w:r>
      <w:r w:rsidRPr="00382816">
        <w:rPr>
          <w:szCs w:val="22"/>
        </w:rPr>
        <w:t>i</w:t>
      </w:r>
      <w:r w:rsidR="008011D6" w:rsidRPr="00382816">
        <w:rPr>
          <w:szCs w:val="22"/>
        </w:rPr>
        <w:t xml:space="preserve"> injekcio</w:t>
      </w:r>
      <w:r w:rsidRPr="00382816">
        <w:rPr>
          <w:szCs w:val="22"/>
        </w:rPr>
        <w:t>ni</w:t>
      </w:r>
      <w:r w:rsidR="008011D6" w:rsidRPr="00382816">
        <w:rPr>
          <w:szCs w:val="22"/>
        </w:rPr>
        <w:t xml:space="preserve"> špric za jednokratnu upotrebu </w:t>
      </w:r>
      <w:r w:rsidRPr="00382816">
        <w:rPr>
          <w:szCs w:val="22"/>
        </w:rPr>
        <w:t xml:space="preserve">od </w:t>
      </w:r>
      <w:r w:rsidR="008011D6" w:rsidRPr="00382816">
        <w:rPr>
          <w:szCs w:val="22"/>
        </w:rPr>
        <w:t>stakl</w:t>
      </w:r>
      <w:r w:rsidRPr="00382816">
        <w:rPr>
          <w:szCs w:val="22"/>
        </w:rPr>
        <w:t>a</w:t>
      </w:r>
      <w:r w:rsidR="008011D6" w:rsidRPr="00382816">
        <w:rPr>
          <w:szCs w:val="22"/>
        </w:rPr>
        <w:t xml:space="preserve"> tip I</w:t>
      </w:r>
      <w:r w:rsidRPr="00382816">
        <w:rPr>
          <w:szCs w:val="22"/>
        </w:rPr>
        <w:t>,</w:t>
      </w:r>
      <w:r w:rsidR="008011D6" w:rsidRPr="00382816">
        <w:rPr>
          <w:szCs w:val="22"/>
        </w:rPr>
        <w:t xml:space="preserve"> sa iglom od nerđajućeg čelika veličine 27</w:t>
      </w:r>
      <w:r w:rsidRPr="00382816">
        <w:rPr>
          <w:szCs w:val="22"/>
        </w:rPr>
        <w:t xml:space="preserve"> G</w:t>
      </w:r>
      <w:r w:rsidR="008011D6" w:rsidRPr="00382816">
        <w:rPr>
          <w:szCs w:val="22"/>
        </w:rPr>
        <w:t>, sa automatsk</w:t>
      </w:r>
      <w:r w:rsidR="00676EBE" w:rsidRPr="00382816">
        <w:rPr>
          <w:szCs w:val="22"/>
        </w:rPr>
        <w:t>om</w:t>
      </w:r>
      <w:r w:rsidR="008011D6" w:rsidRPr="00382816">
        <w:rPr>
          <w:szCs w:val="22"/>
        </w:rPr>
        <w:t xml:space="preserve"> zaštit</w:t>
      </w:r>
      <w:r w:rsidR="00676EBE" w:rsidRPr="00382816">
        <w:rPr>
          <w:szCs w:val="22"/>
        </w:rPr>
        <w:t>om</w:t>
      </w:r>
      <w:r w:rsidR="008011D6" w:rsidRPr="00382816">
        <w:rPr>
          <w:szCs w:val="22"/>
        </w:rPr>
        <w:t xml:space="preserve"> za iglu</w:t>
      </w:r>
      <w:r w:rsidRPr="00382816">
        <w:rPr>
          <w:szCs w:val="22"/>
        </w:rPr>
        <w:t>, koji sadrži 1 ml rastvora za injekciju</w:t>
      </w:r>
      <w:r w:rsidR="00676EBE" w:rsidRPr="00382816">
        <w:rPr>
          <w:szCs w:val="22"/>
        </w:rPr>
        <w:t>.</w:t>
      </w:r>
    </w:p>
    <w:p w14:paraId="4A1C940E" w14:textId="77777777" w:rsidR="00662535" w:rsidRPr="00382816" w:rsidRDefault="00662535" w:rsidP="00B0072D">
      <w:pPr>
        <w:autoSpaceDE w:val="0"/>
        <w:autoSpaceDN w:val="0"/>
        <w:adjustRightInd w:val="0"/>
        <w:jc w:val="both"/>
        <w:rPr>
          <w:rFonts w:eastAsia="MS Mincho"/>
          <w:szCs w:val="22"/>
          <w:lang w:eastAsia="ja-JP"/>
        </w:rPr>
      </w:pPr>
    </w:p>
    <w:p w14:paraId="4568B3EE" w14:textId="382AA757" w:rsidR="00662535" w:rsidRPr="00382816" w:rsidRDefault="001B2E5C" w:rsidP="00B0072D">
      <w:pPr>
        <w:autoSpaceDE w:val="0"/>
        <w:autoSpaceDN w:val="0"/>
        <w:adjustRightInd w:val="0"/>
        <w:jc w:val="both"/>
        <w:rPr>
          <w:rFonts w:eastAsia="MS Mincho"/>
          <w:szCs w:val="22"/>
        </w:rPr>
      </w:pPr>
      <w:r w:rsidRPr="00382816">
        <w:rPr>
          <w:szCs w:val="22"/>
        </w:rPr>
        <w:t xml:space="preserve">Spoljašnje pakovanje lijeka sadrži </w:t>
      </w:r>
      <w:r w:rsidR="008011D6" w:rsidRPr="00382816">
        <w:rPr>
          <w:szCs w:val="22"/>
        </w:rPr>
        <w:t>jedan napunjeni</w:t>
      </w:r>
      <w:r w:rsidRPr="00382816">
        <w:rPr>
          <w:szCs w:val="22"/>
        </w:rPr>
        <w:t xml:space="preserve"> injekcioni</w:t>
      </w:r>
      <w:r w:rsidR="008011D6" w:rsidRPr="00382816">
        <w:rPr>
          <w:szCs w:val="22"/>
        </w:rPr>
        <w:t xml:space="preserve"> špric</w:t>
      </w:r>
      <w:r w:rsidRPr="00382816">
        <w:rPr>
          <w:szCs w:val="22"/>
        </w:rPr>
        <w:t xml:space="preserve"> sa</w:t>
      </w:r>
      <w:r w:rsidR="004B4DAE" w:rsidRPr="00382816">
        <w:rPr>
          <w:szCs w:val="22"/>
        </w:rPr>
        <w:t xml:space="preserve"> </w:t>
      </w:r>
      <w:r w:rsidR="00E04016" w:rsidRPr="00382816">
        <w:rPr>
          <w:szCs w:val="22"/>
        </w:rPr>
        <w:t>automatsk</w:t>
      </w:r>
      <w:r w:rsidR="004B4DAE" w:rsidRPr="00382816">
        <w:rPr>
          <w:szCs w:val="22"/>
        </w:rPr>
        <w:t>om</w:t>
      </w:r>
      <w:r w:rsidR="00E04016" w:rsidRPr="00382816">
        <w:rPr>
          <w:szCs w:val="22"/>
        </w:rPr>
        <w:t xml:space="preserve"> zaštit</w:t>
      </w:r>
      <w:r w:rsidR="004B4DAE" w:rsidRPr="00382816">
        <w:rPr>
          <w:szCs w:val="22"/>
        </w:rPr>
        <w:t>om</w:t>
      </w:r>
      <w:r w:rsidRPr="00382816">
        <w:rPr>
          <w:szCs w:val="22"/>
        </w:rPr>
        <w:t xml:space="preserve"> za iglu</w:t>
      </w:r>
      <w:r w:rsidR="00E04016" w:rsidRPr="00382816">
        <w:rPr>
          <w:szCs w:val="22"/>
        </w:rPr>
        <w:t xml:space="preserve"> </w:t>
      </w:r>
      <w:r w:rsidR="008011D6" w:rsidRPr="00382816">
        <w:rPr>
          <w:szCs w:val="22"/>
        </w:rPr>
        <w:t xml:space="preserve">u </w:t>
      </w:r>
      <w:proofErr w:type="spellStart"/>
      <w:r w:rsidR="008011D6" w:rsidRPr="00382816">
        <w:rPr>
          <w:szCs w:val="22"/>
        </w:rPr>
        <w:t>blisteru</w:t>
      </w:r>
      <w:proofErr w:type="spellEnd"/>
      <w:r w:rsidRPr="00382816">
        <w:rPr>
          <w:szCs w:val="22"/>
        </w:rPr>
        <w:t xml:space="preserve"> i Uputstvo za lijek.</w:t>
      </w:r>
    </w:p>
    <w:p w14:paraId="5CCB78F1" w14:textId="77777777" w:rsidR="00662535" w:rsidRPr="00382816" w:rsidRDefault="00662535" w:rsidP="00B0072D">
      <w:pPr>
        <w:autoSpaceDE w:val="0"/>
        <w:autoSpaceDN w:val="0"/>
        <w:adjustRightInd w:val="0"/>
        <w:jc w:val="both"/>
        <w:rPr>
          <w:rFonts w:eastAsia="MS Mincho"/>
          <w:szCs w:val="22"/>
          <w:lang w:eastAsia="ja-JP"/>
        </w:rPr>
      </w:pPr>
    </w:p>
    <w:p w14:paraId="04EB9A55" w14:textId="1C29E57D" w:rsidR="00662535" w:rsidRPr="00382816" w:rsidRDefault="005E4E6F" w:rsidP="00B0072D">
      <w:pPr>
        <w:keepNext/>
        <w:tabs>
          <w:tab w:val="clear" w:pos="567"/>
        </w:tabs>
        <w:ind w:left="567" w:hanging="567"/>
        <w:jc w:val="both"/>
        <w:rPr>
          <w:b/>
          <w:szCs w:val="22"/>
        </w:rPr>
      </w:pPr>
      <w:r w:rsidRPr="00382816">
        <w:rPr>
          <w:b/>
          <w:szCs w:val="22"/>
        </w:rPr>
        <w:t>6.6.</w:t>
      </w:r>
      <w:r w:rsidRPr="00382816">
        <w:rPr>
          <w:b/>
          <w:szCs w:val="22"/>
        </w:rPr>
        <w:tab/>
        <w:t>Posebne mjere opreza pri odlaganju materijala koji treba odbaciti nakon primjene lijeka (i druga uputstva za rukovanje lijekom)</w:t>
      </w:r>
    </w:p>
    <w:p w14:paraId="5D8C6E1E" w14:textId="77777777" w:rsidR="00662535" w:rsidRPr="00382816" w:rsidRDefault="00662535" w:rsidP="00B0072D">
      <w:pPr>
        <w:keepNext/>
        <w:autoSpaceDE w:val="0"/>
        <w:autoSpaceDN w:val="0"/>
        <w:adjustRightInd w:val="0"/>
        <w:jc w:val="both"/>
        <w:rPr>
          <w:rFonts w:eastAsia="MS Mincho"/>
          <w:szCs w:val="22"/>
          <w:lang w:eastAsia="ja-JP"/>
        </w:rPr>
      </w:pPr>
    </w:p>
    <w:p w14:paraId="6F695A6C" w14:textId="755BFF3D" w:rsidR="00662535" w:rsidRPr="00382816" w:rsidRDefault="008011D6" w:rsidP="00B0072D">
      <w:pPr>
        <w:keepNext/>
        <w:numPr>
          <w:ilvl w:val="0"/>
          <w:numId w:val="39"/>
        </w:numPr>
        <w:ind w:left="567" w:hanging="567"/>
        <w:jc w:val="both"/>
        <w:rPr>
          <w:szCs w:val="22"/>
        </w:rPr>
      </w:pPr>
      <w:r w:rsidRPr="00382816">
        <w:rPr>
          <w:szCs w:val="22"/>
        </w:rPr>
        <w:t xml:space="preserve">Prije primjene, potrebno je pregledati rastvor lijeka Prolia. </w:t>
      </w:r>
      <w:r w:rsidR="00B46965" w:rsidRPr="00382816">
        <w:rPr>
          <w:szCs w:val="22"/>
        </w:rPr>
        <w:t>Ne smije se ubrizgavati r</w:t>
      </w:r>
      <w:r w:rsidRPr="00382816">
        <w:rPr>
          <w:szCs w:val="22"/>
        </w:rPr>
        <w:t xml:space="preserve">astvor koji sadrži čestice, </w:t>
      </w:r>
      <w:r w:rsidR="00B46965" w:rsidRPr="00382816">
        <w:rPr>
          <w:szCs w:val="22"/>
        </w:rPr>
        <w:t xml:space="preserve">koji </w:t>
      </w:r>
      <w:r w:rsidRPr="00382816">
        <w:rPr>
          <w:szCs w:val="22"/>
        </w:rPr>
        <w:t>je zamućen ili je promijenio boju.</w:t>
      </w:r>
    </w:p>
    <w:p w14:paraId="37BEE628" w14:textId="655BCD5B" w:rsidR="00662535" w:rsidRPr="00382816" w:rsidRDefault="008011D6" w:rsidP="00B0072D">
      <w:pPr>
        <w:numPr>
          <w:ilvl w:val="0"/>
          <w:numId w:val="39"/>
        </w:numPr>
        <w:ind w:left="567" w:hanging="567"/>
        <w:jc w:val="both"/>
        <w:rPr>
          <w:szCs w:val="22"/>
        </w:rPr>
      </w:pPr>
      <w:r w:rsidRPr="00382816">
        <w:rPr>
          <w:szCs w:val="22"/>
        </w:rPr>
        <w:t>Ne mućkati.</w:t>
      </w:r>
    </w:p>
    <w:p w14:paraId="31906F5D" w14:textId="35281A59" w:rsidR="00662535" w:rsidRPr="00382816" w:rsidRDefault="008011D6" w:rsidP="00B0072D">
      <w:pPr>
        <w:keepNext/>
        <w:numPr>
          <w:ilvl w:val="0"/>
          <w:numId w:val="39"/>
        </w:numPr>
        <w:ind w:left="567" w:hanging="567"/>
        <w:jc w:val="both"/>
        <w:rPr>
          <w:szCs w:val="22"/>
        </w:rPr>
      </w:pPr>
      <w:r w:rsidRPr="00382816">
        <w:rPr>
          <w:szCs w:val="22"/>
        </w:rPr>
        <w:t>Kako bi se izbjeg</w:t>
      </w:r>
      <w:r w:rsidR="00B46965" w:rsidRPr="00382816">
        <w:rPr>
          <w:szCs w:val="22"/>
        </w:rPr>
        <w:t>l</w:t>
      </w:r>
      <w:r w:rsidRPr="00382816">
        <w:rPr>
          <w:szCs w:val="22"/>
        </w:rPr>
        <w:t xml:space="preserve">a </w:t>
      </w:r>
      <w:r w:rsidR="00B46965" w:rsidRPr="00382816">
        <w:rPr>
          <w:szCs w:val="22"/>
        </w:rPr>
        <w:t xml:space="preserve">nelagodnost </w:t>
      </w:r>
      <w:r w:rsidRPr="00382816">
        <w:rPr>
          <w:szCs w:val="22"/>
        </w:rPr>
        <w:t>na mjestu primjene, prije ubrizgavanja neophodno je</w:t>
      </w:r>
      <w:r w:rsidR="00B46965" w:rsidRPr="00382816">
        <w:rPr>
          <w:szCs w:val="22"/>
        </w:rPr>
        <w:t xml:space="preserve"> ostaviti</w:t>
      </w:r>
      <w:r w:rsidRPr="00382816">
        <w:rPr>
          <w:szCs w:val="22"/>
        </w:rPr>
        <w:t xml:space="preserve"> napunjeni injekcioni špric da se </w:t>
      </w:r>
      <w:proofErr w:type="spellStart"/>
      <w:r w:rsidRPr="00382816">
        <w:rPr>
          <w:szCs w:val="22"/>
        </w:rPr>
        <w:t>zagrije</w:t>
      </w:r>
      <w:proofErr w:type="spellEnd"/>
      <w:r w:rsidRPr="00382816">
        <w:rPr>
          <w:szCs w:val="22"/>
        </w:rPr>
        <w:t xml:space="preserve"> do sobne temperature (do 25°C) i polako ubrizgati.</w:t>
      </w:r>
    </w:p>
    <w:p w14:paraId="0D0D0CAB" w14:textId="77777777" w:rsidR="00662535" w:rsidRPr="00382816" w:rsidRDefault="008011D6" w:rsidP="00B0072D">
      <w:pPr>
        <w:numPr>
          <w:ilvl w:val="0"/>
          <w:numId w:val="39"/>
        </w:numPr>
        <w:ind w:left="567" w:hanging="567"/>
        <w:jc w:val="both"/>
        <w:rPr>
          <w:szCs w:val="22"/>
        </w:rPr>
      </w:pPr>
      <w:r w:rsidRPr="00382816">
        <w:rPr>
          <w:szCs w:val="22"/>
        </w:rPr>
        <w:t>Ubrizgati cjelokupan sadržaj napunjenog injekcionog šprica.</w:t>
      </w:r>
    </w:p>
    <w:p w14:paraId="48ABB358" w14:textId="77777777" w:rsidR="00662535" w:rsidRPr="00382816" w:rsidRDefault="00662535" w:rsidP="00B0072D">
      <w:pPr>
        <w:autoSpaceDE w:val="0"/>
        <w:autoSpaceDN w:val="0"/>
        <w:adjustRightInd w:val="0"/>
        <w:jc w:val="both"/>
        <w:rPr>
          <w:szCs w:val="22"/>
        </w:rPr>
      </w:pPr>
    </w:p>
    <w:p w14:paraId="7E0C0BC9" w14:textId="5E8791FC" w:rsidR="00662535" w:rsidRPr="00382816" w:rsidRDefault="00B46965" w:rsidP="00B0072D">
      <w:pPr>
        <w:autoSpaceDE w:val="0"/>
        <w:autoSpaceDN w:val="0"/>
        <w:adjustRightInd w:val="0"/>
        <w:jc w:val="both"/>
        <w:rPr>
          <w:szCs w:val="22"/>
        </w:rPr>
      </w:pPr>
      <w:r w:rsidRPr="00382816">
        <w:rPr>
          <w:szCs w:val="22"/>
        </w:rPr>
        <w:t>Svu neiskorišćenu količinu lijeka ili otpadnog materijala nakon upotrebe lijeka treba ukloniti u skladu sa  važećim propisima</w:t>
      </w:r>
      <w:r w:rsidR="00992A6A" w:rsidRPr="00382816">
        <w:rPr>
          <w:szCs w:val="22"/>
        </w:rPr>
        <w:t>.</w:t>
      </w:r>
    </w:p>
    <w:p w14:paraId="2F2D0F8A" w14:textId="77777777" w:rsidR="00662535" w:rsidRPr="00382816" w:rsidRDefault="00662535" w:rsidP="00B0072D">
      <w:pPr>
        <w:jc w:val="both"/>
        <w:rPr>
          <w:b/>
          <w:szCs w:val="22"/>
        </w:rPr>
      </w:pPr>
    </w:p>
    <w:p w14:paraId="24F61D36" w14:textId="77777777" w:rsidR="00662535" w:rsidRPr="00382816" w:rsidRDefault="00662535" w:rsidP="00B0072D">
      <w:pPr>
        <w:jc w:val="both"/>
        <w:rPr>
          <w:b/>
          <w:szCs w:val="22"/>
        </w:rPr>
      </w:pPr>
    </w:p>
    <w:p w14:paraId="10CB5AB1" w14:textId="77777777" w:rsidR="00662535" w:rsidRPr="00382816" w:rsidRDefault="008011D6" w:rsidP="00B0072D">
      <w:pPr>
        <w:keepNext/>
        <w:ind w:left="567" w:hanging="567"/>
        <w:jc w:val="both"/>
        <w:rPr>
          <w:szCs w:val="22"/>
        </w:rPr>
      </w:pPr>
      <w:r w:rsidRPr="00382816">
        <w:rPr>
          <w:b/>
          <w:szCs w:val="22"/>
        </w:rPr>
        <w:t>7.</w:t>
      </w:r>
      <w:r w:rsidRPr="00382816">
        <w:rPr>
          <w:b/>
          <w:szCs w:val="22"/>
        </w:rPr>
        <w:tab/>
        <w:t>NOSILAC DOZVOLE</w:t>
      </w:r>
    </w:p>
    <w:p w14:paraId="6462E302" w14:textId="77777777" w:rsidR="00662535" w:rsidRPr="00382816" w:rsidRDefault="00662535" w:rsidP="00B0072D">
      <w:pPr>
        <w:keepNext/>
        <w:autoSpaceDE w:val="0"/>
        <w:autoSpaceDN w:val="0"/>
        <w:adjustRightInd w:val="0"/>
        <w:jc w:val="both"/>
        <w:rPr>
          <w:rFonts w:eastAsia="MS Mincho"/>
          <w:szCs w:val="22"/>
          <w:lang w:eastAsia="ja-JP"/>
        </w:rPr>
      </w:pPr>
    </w:p>
    <w:p w14:paraId="40ABB219" w14:textId="7E7310F2" w:rsidR="00662535" w:rsidRPr="00382816" w:rsidRDefault="00A55588" w:rsidP="00B0072D">
      <w:pPr>
        <w:keepNext/>
        <w:tabs>
          <w:tab w:val="clear" w:pos="567"/>
          <w:tab w:val="left" w:pos="284"/>
          <w:tab w:val="center" w:pos="4320"/>
          <w:tab w:val="right" w:pos="8640"/>
        </w:tabs>
        <w:jc w:val="both"/>
        <w:rPr>
          <w:bCs/>
          <w:szCs w:val="22"/>
        </w:rPr>
      </w:pPr>
      <w:proofErr w:type="spellStart"/>
      <w:r w:rsidRPr="00382816">
        <w:rPr>
          <w:szCs w:val="22"/>
        </w:rPr>
        <w:t>Amicus</w:t>
      </w:r>
      <w:proofErr w:type="spellEnd"/>
      <w:r w:rsidRPr="00382816">
        <w:rPr>
          <w:szCs w:val="22"/>
        </w:rPr>
        <w:t xml:space="preserve"> Pharma </w:t>
      </w:r>
      <w:proofErr w:type="spellStart"/>
      <w:r w:rsidRPr="00382816">
        <w:rPr>
          <w:szCs w:val="22"/>
        </w:rPr>
        <w:t>d.o.o</w:t>
      </w:r>
      <w:proofErr w:type="spellEnd"/>
      <w:r w:rsidRPr="00382816">
        <w:rPr>
          <w:szCs w:val="22"/>
        </w:rPr>
        <w:t>. Podgorica</w:t>
      </w:r>
      <w:r w:rsidR="00B46965" w:rsidRPr="00382816">
        <w:rPr>
          <w:szCs w:val="22"/>
        </w:rPr>
        <w:t>,</w:t>
      </w:r>
    </w:p>
    <w:p w14:paraId="3B73A6C4" w14:textId="11F85F98" w:rsidR="00662535" w:rsidRPr="00382816" w:rsidRDefault="004B225D" w:rsidP="00B0072D">
      <w:pPr>
        <w:keepNext/>
        <w:autoSpaceDE w:val="0"/>
        <w:autoSpaceDN w:val="0"/>
        <w:adjustRightInd w:val="0"/>
        <w:jc w:val="both"/>
        <w:rPr>
          <w:rFonts w:eastAsia="MS Mincho"/>
          <w:bCs/>
          <w:szCs w:val="22"/>
        </w:rPr>
      </w:pPr>
      <w:r w:rsidRPr="00382816">
        <w:rPr>
          <w:szCs w:val="22"/>
        </w:rPr>
        <w:t>Bulevar Džordža Vašingtona</w:t>
      </w:r>
      <w:r w:rsidR="00B46965" w:rsidRPr="00382816">
        <w:rPr>
          <w:szCs w:val="22"/>
        </w:rPr>
        <w:t xml:space="preserve"> br.</w:t>
      </w:r>
      <w:r w:rsidRPr="00382816">
        <w:rPr>
          <w:szCs w:val="22"/>
        </w:rPr>
        <w:t> 51</w:t>
      </w:r>
      <w:r w:rsidR="00B46965" w:rsidRPr="00382816">
        <w:rPr>
          <w:szCs w:val="22"/>
        </w:rPr>
        <w:t xml:space="preserve">, </w:t>
      </w:r>
      <w:r w:rsidR="00A55588" w:rsidRPr="00382816">
        <w:rPr>
          <w:szCs w:val="22"/>
        </w:rPr>
        <w:t>Podgorica, Crna Gora</w:t>
      </w:r>
    </w:p>
    <w:p w14:paraId="5ED16EFD" w14:textId="77777777" w:rsidR="00662535" w:rsidRPr="00382816" w:rsidRDefault="00662535" w:rsidP="00B0072D">
      <w:pPr>
        <w:keepNext/>
        <w:jc w:val="both"/>
        <w:rPr>
          <w:b/>
          <w:szCs w:val="22"/>
        </w:rPr>
      </w:pPr>
    </w:p>
    <w:p w14:paraId="239BCC2F" w14:textId="77777777" w:rsidR="00662535" w:rsidRPr="00382816" w:rsidRDefault="00662535" w:rsidP="00B0072D">
      <w:pPr>
        <w:jc w:val="both"/>
        <w:rPr>
          <w:b/>
          <w:szCs w:val="22"/>
        </w:rPr>
      </w:pPr>
    </w:p>
    <w:p w14:paraId="2AF4EC9C" w14:textId="7A6F26FA" w:rsidR="00662535" w:rsidRPr="00382816" w:rsidRDefault="008011D6" w:rsidP="00B0072D">
      <w:pPr>
        <w:keepNext/>
        <w:ind w:left="567" w:hanging="567"/>
        <w:jc w:val="both"/>
        <w:rPr>
          <w:b/>
          <w:szCs w:val="22"/>
        </w:rPr>
      </w:pPr>
      <w:r w:rsidRPr="00382816">
        <w:rPr>
          <w:b/>
          <w:szCs w:val="22"/>
        </w:rPr>
        <w:t>8.</w:t>
      </w:r>
      <w:r w:rsidRPr="00382816">
        <w:rPr>
          <w:b/>
          <w:szCs w:val="22"/>
        </w:rPr>
        <w:tab/>
        <w:t>BROJ DOZVOLE ZA STAVLJANJE LIJEKA U PROMET</w:t>
      </w:r>
    </w:p>
    <w:p w14:paraId="1125E5BB" w14:textId="77777777" w:rsidR="00662535" w:rsidRPr="00382816" w:rsidRDefault="00662535" w:rsidP="00B0072D">
      <w:pPr>
        <w:keepNext/>
        <w:ind w:left="567" w:hanging="567"/>
        <w:jc w:val="both"/>
        <w:rPr>
          <w:b/>
          <w:szCs w:val="22"/>
        </w:rPr>
      </w:pPr>
    </w:p>
    <w:p w14:paraId="50C22938" w14:textId="5F8FE572" w:rsidR="00662535" w:rsidRPr="00382816" w:rsidRDefault="00382816" w:rsidP="00B0072D">
      <w:pPr>
        <w:ind w:left="567" w:hanging="567"/>
        <w:jc w:val="both"/>
        <w:rPr>
          <w:b/>
          <w:szCs w:val="22"/>
        </w:rPr>
      </w:pPr>
      <w:r w:rsidRPr="00382816">
        <w:rPr>
          <w:szCs w:val="22"/>
          <w:lang w:eastAsia="sr-Latn-ME"/>
        </w:rPr>
        <w:t xml:space="preserve">2030/24/6099 – 4379 </w:t>
      </w:r>
    </w:p>
    <w:p w14:paraId="43B436D0" w14:textId="4793DEB7" w:rsidR="00662535" w:rsidRDefault="00662535" w:rsidP="00B0072D">
      <w:pPr>
        <w:ind w:left="567" w:hanging="567"/>
        <w:jc w:val="both"/>
        <w:rPr>
          <w:b/>
          <w:szCs w:val="22"/>
        </w:rPr>
      </w:pPr>
    </w:p>
    <w:p w14:paraId="0ED3E97A" w14:textId="77777777" w:rsidR="00382816" w:rsidRPr="00382816" w:rsidRDefault="00382816" w:rsidP="00B0072D">
      <w:pPr>
        <w:ind w:left="567" w:hanging="567"/>
        <w:jc w:val="both"/>
        <w:rPr>
          <w:b/>
          <w:szCs w:val="22"/>
        </w:rPr>
      </w:pPr>
    </w:p>
    <w:p w14:paraId="73A7B1DC" w14:textId="77777777" w:rsidR="00662535" w:rsidRPr="00382816" w:rsidRDefault="008011D6" w:rsidP="00B0072D">
      <w:pPr>
        <w:keepNext/>
        <w:ind w:left="567" w:hanging="567"/>
        <w:jc w:val="both"/>
        <w:rPr>
          <w:szCs w:val="22"/>
        </w:rPr>
      </w:pPr>
      <w:r w:rsidRPr="00382816">
        <w:rPr>
          <w:b/>
          <w:szCs w:val="22"/>
        </w:rPr>
        <w:t>9.</w:t>
      </w:r>
      <w:r w:rsidRPr="00382816">
        <w:rPr>
          <w:b/>
          <w:szCs w:val="22"/>
        </w:rPr>
        <w:tab/>
        <w:t>DATUM PRVE DOZVOLE/DATUM OBNOVE DOZVOLE ZA STAVLJANJE LIJEKA U PROMET</w:t>
      </w:r>
    </w:p>
    <w:p w14:paraId="035F3F22" w14:textId="77777777" w:rsidR="00662535" w:rsidRPr="00382816" w:rsidRDefault="00662535" w:rsidP="00B0072D">
      <w:pPr>
        <w:keepNext/>
        <w:jc w:val="both"/>
        <w:rPr>
          <w:szCs w:val="22"/>
        </w:rPr>
      </w:pPr>
    </w:p>
    <w:p w14:paraId="7805B8B7" w14:textId="4BA4FF73" w:rsidR="00662535" w:rsidRPr="00382816" w:rsidRDefault="00B46965" w:rsidP="00B0072D">
      <w:pPr>
        <w:keepNext/>
        <w:jc w:val="both"/>
        <w:rPr>
          <w:szCs w:val="22"/>
        </w:rPr>
      </w:pPr>
      <w:r w:rsidRPr="00382816">
        <w:rPr>
          <w:szCs w:val="22"/>
        </w:rPr>
        <w:t xml:space="preserve">Datum prve dozvole: </w:t>
      </w:r>
      <w:r w:rsidR="00EC1544" w:rsidRPr="00382816">
        <w:rPr>
          <w:szCs w:val="22"/>
        </w:rPr>
        <w:t>28.11.2014. godine.</w:t>
      </w:r>
    </w:p>
    <w:p w14:paraId="0E8C3B9F" w14:textId="1DC9B598" w:rsidR="00662535" w:rsidRPr="00382816" w:rsidRDefault="00B46965" w:rsidP="00B0072D">
      <w:pPr>
        <w:jc w:val="both"/>
        <w:rPr>
          <w:szCs w:val="22"/>
        </w:rPr>
      </w:pPr>
      <w:r w:rsidRPr="00382816">
        <w:rPr>
          <w:szCs w:val="22"/>
        </w:rPr>
        <w:t>Datum posljednje obnove dozvole:</w:t>
      </w:r>
      <w:r w:rsidR="00382816" w:rsidRPr="00382816">
        <w:rPr>
          <w:szCs w:val="22"/>
          <w:lang w:eastAsia="sr-Latn-ME"/>
        </w:rPr>
        <w:t xml:space="preserve"> </w:t>
      </w:r>
      <w:r w:rsidR="00C012F9">
        <w:rPr>
          <w:szCs w:val="22"/>
          <w:lang w:eastAsia="sr-Latn-ME"/>
        </w:rPr>
        <w:t>2</w:t>
      </w:r>
      <w:r w:rsidR="00382816" w:rsidRPr="00382816">
        <w:rPr>
          <w:szCs w:val="22"/>
          <w:lang w:eastAsia="sr-Latn-ME"/>
        </w:rPr>
        <w:t>2.11.2024. godine</w:t>
      </w:r>
    </w:p>
    <w:p w14:paraId="54EC2879" w14:textId="77777777" w:rsidR="00B46965" w:rsidRPr="00382816" w:rsidRDefault="00B46965" w:rsidP="00B0072D">
      <w:pPr>
        <w:jc w:val="both"/>
        <w:rPr>
          <w:szCs w:val="22"/>
        </w:rPr>
      </w:pPr>
    </w:p>
    <w:p w14:paraId="2BDD292E" w14:textId="77777777" w:rsidR="00424DFE" w:rsidRPr="00382816" w:rsidRDefault="00424DFE" w:rsidP="00B0072D">
      <w:pPr>
        <w:jc w:val="both"/>
        <w:rPr>
          <w:szCs w:val="22"/>
        </w:rPr>
      </w:pPr>
    </w:p>
    <w:p w14:paraId="34D7EF0C" w14:textId="0545BE96" w:rsidR="00662535" w:rsidRPr="00382816" w:rsidRDefault="008011D6" w:rsidP="00B0072D">
      <w:pPr>
        <w:keepNext/>
        <w:ind w:left="567" w:hanging="567"/>
        <w:jc w:val="both"/>
        <w:rPr>
          <w:b/>
          <w:szCs w:val="22"/>
        </w:rPr>
      </w:pPr>
      <w:r w:rsidRPr="00382816">
        <w:rPr>
          <w:b/>
          <w:szCs w:val="22"/>
        </w:rPr>
        <w:t>10.</w:t>
      </w:r>
      <w:r w:rsidRPr="00382816">
        <w:rPr>
          <w:b/>
          <w:szCs w:val="22"/>
        </w:rPr>
        <w:tab/>
        <w:t>DATUM REVIZIJE TEKSTA</w:t>
      </w:r>
    </w:p>
    <w:p w14:paraId="5AFA603F" w14:textId="77777777" w:rsidR="00662535" w:rsidRPr="00382816" w:rsidRDefault="00662535" w:rsidP="00B0072D">
      <w:pPr>
        <w:keepNext/>
        <w:jc w:val="both"/>
        <w:rPr>
          <w:szCs w:val="22"/>
        </w:rPr>
      </w:pPr>
    </w:p>
    <w:p w14:paraId="61B14366" w14:textId="29A060EE" w:rsidR="001D60D9" w:rsidRPr="00382816" w:rsidRDefault="00EC1D43" w:rsidP="00B0072D">
      <w:pPr>
        <w:tabs>
          <w:tab w:val="clear" w:pos="567"/>
        </w:tabs>
        <w:jc w:val="both"/>
        <w:rPr>
          <w:bCs/>
          <w:szCs w:val="22"/>
        </w:rPr>
      </w:pPr>
      <w:r>
        <w:rPr>
          <w:bCs/>
          <w:szCs w:val="22"/>
        </w:rPr>
        <w:t>Jun, 2025.</w:t>
      </w:r>
      <w:bookmarkStart w:id="0" w:name="_GoBack"/>
      <w:bookmarkEnd w:id="0"/>
      <w:r w:rsidR="00BE14E2" w:rsidRPr="00382816">
        <w:rPr>
          <w:bCs/>
          <w:szCs w:val="22"/>
        </w:rPr>
        <w:t xml:space="preserve"> godine</w:t>
      </w:r>
    </w:p>
    <w:sectPr w:rsidR="001D60D9" w:rsidRPr="00382816" w:rsidSect="006C59E9">
      <w:footerReference w:type="default" r:id="rId16"/>
      <w:headerReference w:type="first" r:id="rId17"/>
      <w:footerReference w:type="first" r:id="rId18"/>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BDA9" w14:textId="77777777" w:rsidR="00CF6D95" w:rsidRDefault="00CF6D95">
      <w:r>
        <w:separator/>
      </w:r>
    </w:p>
  </w:endnote>
  <w:endnote w:type="continuationSeparator" w:id="0">
    <w:p w14:paraId="54CF3444" w14:textId="77777777" w:rsidR="00CF6D95" w:rsidRDefault="00CF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31A79" w14:textId="791FA9B7" w:rsidR="00230F58" w:rsidRPr="00447819" w:rsidRDefault="00230F58" w:rsidP="00801CF5">
    <w:pPr>
      <w:keepLines/>
      <w:tabs>
        <w:tab w:val="clear" w:pos="567"/>
        <w:tab w:val="center" w:pos="4320"/>
        <w:tab w:val="right" w:pos="8640"/>
      </w:tabs>
      <w:jc w:val="center"/>
      <w:rPr>
        <w:rFonts w:eastAsia="SimSun"/>
        <w:szCs w:val="22"/>
      </w:rPr>
    </w:pPr>
    <w:r w:rsidRPr="00447819">
      <w:rPr>
        <w:rFonts w:eastAsia="SimSun"/>
        <w:szCs w:val="22"/>
      </w:rPr>
      <w:fldChar w:fldCharType="begin"/>
    </w:r>
    <w:r w:rsidRPr="00447819">
      <w:rPr>
        <w:rFonts w:eastAsia="SimSun"/>
        <w:szCs w:val="22"/>
      </w:rPr>
      <w:instrText xml:space="preserve"> PAGE </w:instrText>
    </w:r>
    <w:r w:rsidRPr="00447819">
      <w:rPr>
        <w:rFonts w:eastAsia="SimSun"/>
        <w:szCs w:val="22"/>
      </w:rPr>
      <w:fldChar w:fldCharType="separate"/>
    </w:r>
    <w:r w:rsidR="00EC1D43">
      <w:rPr>
        <w:rFonts w:eastAsia="SimSun"/>
        <w:noProof/>
        <w:szCs w:val="22"/>
      </w:rPr>
      <w:t>14</w:t>
    </w:r>
    <w:r w:rsidRPr="00447819">
      <w:rPr>
        <w:rFonts w:eastAsia="SimSun"/>
        <w:szCs w:val="22"/>
      </w:rPr>
      <w:fldChar w:fldCharType="end"/>
    </w:r>
    <w:r w:rsidR="00447819" w:rsidRPr="00B0072D">
      <w:rPr>
        <w:rFonts w:eastAsia="SimSun"/>
        <w:szCs w:val="22"/>
      </w:rPr>
      <w:t xml:space="preserve"> </w:t>
    </w:r>
    <w:r w:rsidRPr="00196D07">
      <w:rPr>
        <w:szCs w:val="22"/>
      </w:rPr>
      <w:t>/</w:t>
    </w:r>
    <w:r w:rsidR="00447819" w:rsidRPr="00B0072D">
      <w:rPr>
        <w:szCs w:val="22"/>
      </w:rPr>
      <w:t xml:space="preserve"> </w:t>
    </w:r>
    <w:r w:rsidRPr="00196D07">
      <w:rPr>
        <w:rFonts w:eastAsia="SimSun"/>
        <w:szCs w:val="22"/>
      </w:rPr>
      <w:fldChar w:fldCharType="begin"/>
    </w:r>
    <w:r w:rsidRPr="00196D07">
      <w:rPr>
        <w:rFonts w:eastAsia="SimSun"/>
        <w:szCs w:val="22"/>
      </w:rPr>
      <w:instrText xml:space="preserve"> NUMPAGES  </w:instrText>
    </w:r>
    <w:r w:rsidRPr="00196D07">
      <w:rPr>
        <w:rFonts w:eastAsia="SimSun"/>
        <w:szCs w:val="22"/>
      </w:rPr>
      <w:fldChar w:fldCharType="separate"/>
    </w:r>
    <w:r w:rsidR="00EC1D43">
      <w:rPr>
        <w:rFonts w:eastAsia="SimSun"/>
        <w:noProof/>
        <w:szCs w:val="22"/>
      </w:rPr>
      <w:t>16</w:t>
    </w:r>
    <w:r w:rsidRPr="00196D07">
      <w:rPr>
        <w:rFonts w:eastAsia="SimSun"/>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9ED2D" w14:textId="77777777" w:rsidR="00230F58" w:rsidRDefault="00230F58">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2D45A" w14:textId="77777777" w:rsidR="00CF6D95" w:rsidRDefault="00CF6D95">
      <w:r>
        <w:separator/>
      </w:r>
    </w:p>
  </w:footnote>
  <w:footnote w:type="continuationSeparator" w:id="0">
    <w:p w14:paraId="37F13B09" w14:textId="77777777" w:rsidR="00CF6D95" w:rsidRDefault="00CF6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54A8C" w14:textId="77777777" w:rsidR="00230F58" w:rsidRDefault="00230F58">
    <w:pPr>
      <w:widowControl w:val="0"/>
      <w:tabs>
        <w:tab w:val="clear" w:pos="567"/>
      </w:tabs>
      <w:rPr>
        <w:rFonts w:ascii="Arial" w:hAnsi="Arial" w:cs="Arial"/>
        <w:noProof/>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7"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2B3930"/>
    <w:multiLevelType w:val="multilevel"/>
    <w:tmpl w:val="2C92296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3"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4B0FA0"/>
    <w:multiLevelType w:val="hybridMultilevel"/>
    <w:tmpl w:val="3440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0" w15:restartNumberingAfterBreak="0">
    <w:nsid w:val="2B796E09"/>
    <w:multiLevelType w:val="multilevel"/>
    <w:tmpl w:val="5BC87F4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854"/>
        </w:tabs>
        <w:ind w:left="854"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8E331B"/>
    <w:multiLevelType w:val="multilevel"/>
    <w:tmpl w:val="8A0A2DC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C137120"/>
    <w:multiLevelType w:val="hybridMultilevel"/>
    <w:tmpl w:val="42DEBF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4DEB733F"/>
    <w:multiLevelType w:val="hybridMultilevel"/>
    <w:tmpl w:val="16C4B3FC"/>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4E7D9B"/>
    <w:multiLevelType w:val="multilevel"/>
    <w:tmpl w:val="120CA24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5142FA"/>
    <w:multiLevelType w:val="hybridMultilevel"/>
    <w:tmpl w:val="B2C83D9C"/>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24"/>
  </w:num>
  <w:num w:numId="3">
    <w:abstractNumId w:val="15"/>
  </w:num>
  <w:num w:numId="4">
    <w:abstractNumId w:val="14"/>
  </w:num>
  <w:num w:numId="5">
    <w:abstractNumId w:val="10"/>
  </w:num>
  <w:num w:numId="6">
    <w:abstractNumId w:val="42"/>
  </w:num>
  <w:num w:numId="7">
    <w:abstractNumId w:val="13"/>
  </w:num>
  <w:num w:numId="8">
    <w:abstractNumId w:val="35"/>
  </w:num>
  <w:num w:numId="9">
    <w:abstractNumId w:val="19"/>
  </w:num>
  <w:num w:numId="10">
    <w:abstractNumId w:val="1"/>
  </w:num>
  <w:num w:numId="11">
    <w:abstractNumId w:val="0"/>
    <w:lvlOverride w:ilvl="0">
      <w:lvl w:ilvl="0">
        <w:start w:val="1"/>
        <w:numFmt w:val="bullet"/>
        <w:lvlText w:val="-"/>
        <w:legacy w:legacy="1" w:legacySpace="0" w:legacyIndent="360"/>
        <w:lvlJc w:val="left"/>
        <w:pPr>
          <w:ind w:left="360" w:hanging="360"/>
        </w:pPr>
      </w:lvl>
    </w:lvlOverride>
  </w:num>
  <w:num w:numId="12">
    <w:abstractNumId w:val="33"/>
  </w:num>
  <w:num w:numId="13">
    <w:abstractNumId w:val="23"/>
  </w:num>
  <w:num w:numId="14">
    <w:abstractNumId w:val="41"/>
  </w:num>
  <w:num w:numId="15">
    <w:abstractNumId w:val="11"/>
  </w:num>
  <w:num w:numId="16">
    <w:abstractNumId w:val="39"/>
  </w:num>
  <w:num w:numId="17">
    <w:abstractNumId w:val="29"/>
  </w:num>
  <w:num w:numId="18">
    <w:abstractNumId w:val="12"/>
  </w:num>
  <w:num w:numId="19">
    <w:abstractNumId w:val="22"/>
  </w:num>
  <w:num w:numId="20">
    <w:abstractNumId w:val="2"/>
  </w:num>
  <w:num w:numId="21">
    <w:abstractNumId w:val="34"/>
  </w:num>
  <w:num w:numId="22">
    <w:abstractNumId w:val="16"/>
  </w:num>
  <w:num w:numId="23">
    <w:abstractNumId w:val="17"/>
  </w:num>
  <w:num w:numId="24">
    <w:abstractNumId w:val="38"/>
  </w:num>
  <w:num w:numId="25">
    <w:abstractNumId w:val="4"/>
  </w:num>
  <w:num w:numId="26">
    <w:abstractNumId w:val="5"/>
  </w:num>
  <w:num w:numId="27">
    <w:abstractNumId w:val="0"/>
    <w:lvlOverride w:ilvl="0">
      <w:lvl w:ilvl="0">
        <w:start w:val="1"/>
        <w:numFmt w:val="bullet"/>
        <w:lvlText w:val="-"/>
        <w:legacy w:legacy="1" w:legacySpace="0" w:legacyIndent="360"/>
        <w:lvlJc w:val="left"/>
        <w:pPr>
          <w:ind w:left="360" w:hanging="360"/>
        </w:pPr>
      </w:lvl>
    </w:lvlOverride>
  </w:num>
  <w:num w:numId="28">
    <w:abstractNumId w:val="31"/>
  </w:num>
  <w:num w:numId="29">
    <w:abstractNumId w:val="9"/>
  </w:num>
  <w:num w:numId="30">
    <w:abstractNumId w:val="40"/>
  </w:num>
  <w:num w:numId="31">
    <w:abstractNumId w:val="6"/>
  </w:num>
  <w:num w:numId="32">
    <w:abstractNumId w:val="21"/>
  </w:num>
  <w:num w:numId="33">
    <w:abstractNumId w:val="32"/>
  </w:num>
  <w:num w:numId="34">
    <w:abstractNumId w:val="3"/>
  </w:num>
  <w:num w:numId="35">
    <w:abstractNumId w:val="7"/>
  </w:num>
  <w:num w:numId="36">
    <w:abstractNumId w:val="25"/>
  </w:num>
  <w:num w:numId="37">
    <w:abstractNumId w:val="28"/>
  </w:num>
  <w:num w:numId="38">
    <w:abstractNumId w:val="36"/>
  </w:num>
  <w:num w:numId="39">
    <w:abstractNumId w:val="18"/>
  </w:num>
  <w:num w:numId="40">
    <w:abstractNumId w:val="27"/>
  </w:num>
  <w:num w:numId="41">
    <w:abstractNumId w:val="20"/>
  </w:num>
  <w:num w:numId="42">
    <w:abstractNumId w:val="8"/>
  </w:num>
  <w:num w:numId="43">
    <w:abstractNumId w:val="30"/>
  </w:num>
  <w:num w:numId="44">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ault_nd_09822441-0e53-48d9-99bb-c42a70e37f79" w:val=" "/>
    <w:docVar w:name="vault_nd_126fbe09-0705-4843-a910-c6d472b20492" w:val=" "/>
    <w:docVar w:name="vault_nd_160f243f-c14a-4a70-b4a6-b304d745c82e" w:val=" "/>
    <w:docVar w:name="vault_nd_1a99aea4-4d78-4887-bd9d-18135576656e" w:val=" "/>
    <w:docVar w:name="vault_nd_2b739e18-fa96-4220-9f8c-7a72d7cb0e92" w:val=" "/>
    <w:docVar w:name="vault_nd_2f9062cb-4bcb-42b1-a4b5-7e47d2c29c81" w:val=" "/>
    <w:docVar w:name="vault_nd_3c8fb1d6-b68a-4c33-a763-525458273fb3" w:val=" "/>
    <w:docVar w:name="vault_nd_415c59d4-124e-4a15-8f97-a83ea7f6e159" w:val=" "/>
    <w:docVar w:name="VAULT_ND_467b8212-1fac-429c-a8aa-15fe4a11013e" w:val=" "/>
    <w:docVar w:name="vault_nd_4d57768f-0fc2-45d2-bcdd-03ba6ffe041c" w:val=" "/>
    <w:docVar w:name="vault_nd_6b75fada-0dd3-4a5c-a224-09a9cc6b8ecc" w:val=" "/>
    <w:docVar w:name="vault_nd_925033e1-b432-4146-b3bf-07c8661bdfb4" w:val=" "/>
    <w:docVar w:name="vault_nd_b3bd3013-5629-4e43-a4d7-126f596927c2" w:val=" "/>
    <w:docVar w:name="vault_nd_be1808ee-883a-488d-b39c-f61dc8aa1322" w:val=" "/>
    <w:docVar w:name="vault_nd_c0a3ba99-3f49-4478-8bf7-513c6f6ab478" w:val=" "/>
    <w:docVar w:name="vault_nd_e32f164c-49fd-435c-9d5d-c606deaba779" w:val=" "/>
    <w:docVar w:name="Version" w:val="0"/>
  </w:docVars>
  <w:rsids>
    <w:rsidRoot w:val="00920C0C"/>
    <w:rsid w:val="00000353"/>
    <w:rsid w:val="000014D0"/>
    <w:rsid w:val="0000174D"/>
    <w:rsid w:val="000026FE"/>
    <w:rsid w:val="00002FE9"/>
    <w:rsid w:val="000054FC"/>
    <w:rsid w:val="00005A1A"/>
    <w:rsid w:val="000102E4"/>
    <w:rsid w:val="000139CB"/>
    <w:rsid w:val="00014D50"/>
    <w:rsid w:val="000157F1"/>
    <w:rsid w:val="00017596"/>
    <w:rsid w:val="0001794F"/>
    <w:rsid w:val="00017F36"/>
    <w:rsid w:val="000204D6"/>
    <w:rsid w:val="0002237E"/>
    <w:rsid w:val="00022A78"/>
    <w:rsid w:val="00022DC9"/>
    <w:rsid w:val="00022F7A"/>
    <w:rsid w:val="000239B6"/>
    <w:rsid w:val="00023BE0"/>
    <w:rsid w:val="00024CF4"/>
    <w:rsid w:val="00024DAD"/>
    <w:rsid w:val="000259E3"/>
    <w:rsid w:val="000266E8"/>
    <w:rsid w:val="000267A0"/>
    <w:rsid w:val="000304BA"/>
    <w:rsid w:val="0003165E"/>
    <w:rsid w:val="0003259F"/>
    <w:rsid w:val="00035663"/>
    <w:rsid w:val="00036459"/>
    <w:rsid w:val="000412E6"/>
    <w:rsid w:val="0004321A"/>
    <w:rsid w:val="00043A51"/>
    <w:rsid w:val="00043BA2"/>
    <w:rsid w:val="00047748"/>
    <w:rsid w:val="0005074A"/>
    <w:rsid w:val="00051C0F"/>
    <w:rsid w:val="000522D3"/>
    <w:rsid w:val="00052662"/>
    <w:rsid w:val="00053CE5"/>
    <w:rsid w:val="0005668C"/>
    <w:rsid w:val="0005683F"/>
    <w:rsid w:val="0006159B"/>
    <w:rsid w:val="00061F85"/>
    <w:rsid w:val="000636A8"/>
    <w:rsid w:val="000675CA"/>
    <w:rsid w:val="00070AD1"/>
    <w:rsid w:val="00073CE9"/>
    <w:rsid w:val="00074BAC"/>
    <w:rsid w:val="0007656E"/>
    <w:rsid w:val="00077AB0"/>
    <w:rsid w:val="000806DD"/>
    <w:rsid w:val="00080ECE"/>
    <w:rsid w:val="00082499"/>
    <w:rsid w:val="0008412F"/>
    <w:rsid w:val="0008478A"/>
    <w:rsid w:val="00085567"/>
    <w:rsid w:val="00085792"/>
    <w:rsid w:val="000871D0"/>
    <w:rsid w:val="00091513"/>
    <w:rsid w:val="00093AEB"/>
    <w:rsid w:val="00096D8B"/>
    <w:rsid w:val="00097DDC"/>
    <w:rsid w:val="000A0B93"/>
    <w:rsid w:val="000A4676"/>
    <w:rsid w:val="000A5146"/>
    <w:rsid w:val="000A51B0"/>
    <w:rsid w:val="000A7D42"/>
    <w:rsid w:val="000B2FBD"/>
    <w:rsid w:val="000B4623"/>
    <w:rsid w:val="000B72F8"/>
    <w:rsid w:val="000B7C9E"/>
    <w:rsid w:val="000C30BE"/>
    <w:rsid w:val="000C47A2"/>
    <w:rsid w:val="000D121E"/>
    <w:rsid w:val="000D3F93"/>
    <w:rsid w:val="000D5C39"/>
    <w:rsid w:val="000E11DA"/>
    <w:rsid w:val="000E129B"/>
    <w:rsid w:val="000E1F6F"/>
    <w:rsid w:val="000E53BA"/>
    <w:rsid w:val="000E72B0"/>
    <w:rsid w:val="000F3A5B"/>
    <w:rsid w:val="000F62C8"/>
    <w:rsid w:val="000F69F4"/>
    <w:rsid w:val="000F70ED"/>
    <w:rsid w:val="000F797E"/>
    <w:rsid w:val="000F7C8E"/>
    <w:rsid w:val="00100B61"/>
    <w:rsid w:val="00100C20"/>
    <w:rsid w:val="001019D8"/>
    <w:rsid w:val="00101E2E"/>
    <w:rsid w:val="0010555F"/>
    <w:rsid w:val="00106A0A"/>
    <w:rsid w:val="00106C0F"/>
    <w:rsid w:val="001123AA"/>
    <w:rsid w:val="00112404"/>
    <w:rsid w:val="001133B1"/>
    <w:rsid w:val="00114CCD"/>
    <w:rsid w:val="00114FA9"/>
    <w:rsid w:val="00115E6B"/>
    <w:rsid w:val="00126EF8"/>
    <w:rsid w:val="00126FA8"/>
    <w:rsid w:val="00130DA4"/>
    <w:rsid w:val="00131F46"/>
    <w:rsid w:val="00132CCE"/>
    <w:rsid w:val="00136289"/>
    <w:rsid w:val="00136642"/>
    <w:rsid w:val="00141A6B"/>
    <w:rsid w:val="00141A9B"/>
    <w:rsid w:val="001444F9"/>
    <w:rsid w:val="00144F40"/>
    <w:rsid w:val="001463A2"/>
    <w:rsid w:val="00146B38"/>
    <w:rsid w:val="001470AD"/>
    <w:rsid w:val="00151400"/>
    <w:rsid w:val="00151538"/>
    <w:rsid w:val="001527C0"/>
    <w:rsid w:val="001537D1"/>
    <w:rsid w:val="001550AA"/>
    <w:rsid w:val="00156659"/>
    <w:rsid w:val="00161D82"/>
    <w:rsid w:val="00161EEB"/>
    <w:rsid w:val="001633A3"/>
    <w:rsid w:val="00164F2F"/>
    <w:rsid w:val="0017012D"/>
    <w:rsid w:val="001704E7"/>
    <w:rsid w:val="00170558"/>
    <w:rsid w:val="00171816"/>
    <w:rsid w:val="001719EC"/>
    <w:rsid w:val="001735EA"/>
    <w:rsid w:val="001742C6"/>
    <w:rsid w:val="00174ABF"/>
    <w:rsid w:val="0017599F"/>
    <w:rsid w:val="001759F8"/>
    <w:rsid w:val="00183A84"/>
    <w:rsid w:val="00183E9C"/>
    <w:rsid w:val="0018450B"/>
    <w:rsid w:val="0018530D"/>
    <w:rsid w:val="00185BA9"/>
    <w:rsid w:val="00192516"/>
    <w:rsid w:val="0019272C"/>
    <w:rsid w:val="0019298B"/>
    <w:rsid w:val="00192FBD"/>
    <w:rsid w:val="001947EB"/>
    <w:rsid w:val="001950A4"/>
    <w:rsid w:val="0019517E"/>
    <w:rsid w:val="00196D07"/>
    <w:rsid w:val="001A06C8"/>
    <w:rsid w:val="001A0E7D"/>
    <w:rsid w:val="001A10A4"/>
    <w:rsid w:val="001A41A1"/>
    <w:rsid w:val="001A49DD"/>
    <w:rsid w:val="001A5931"/>
    <w:rsid w:val="001A7324"/>
    <w:rsid w:val="001B2353"/>
    <w:rsid w:val="001B2E5C"/>
    <w:rsid w:val="001B5DEF"/>
    <w:rsid w:val="001B6C45"/>
    <w:rsid w:val="001C1284"/>
    <w:rsid w:val="001C1B77"/>
    <w:rsid w:val="001C3094"/>
    <w:rsid w:val="001C3688"/>
    <w:rsid w:val="001C435B"/>
    <w:rsid w:val="001C704C"/>
    <w:rsid w:val="001C7863"/>
    <w:rsid w:val="001C7A43"/>
    <w:rsid w:val="001D021A"/>
    <w:rsid w:val="001D03FE"/>
    <w:rsid w:val="001D053D"/>
    <w:rsid w:val="001D5D2E"/>
    <w:rsid w:val="001D60D9"/>
    <w:rsid w:val="001D61D1"/>
    <w:rsid w:val="001D7336"/>
    <w:rsid w:val="001E1124"/>
    <w:rsid w:val="001E1BDD"/>
    <w:rsid w:val="001E1D64"/>
    <w:rsid w:val="001E44EA"/>
    <w:rsid w:val="001E4822"/>
    <w:rsid w:val="001E4D65"/>
    <w:rsid w:val="001E4EF1"/>
    <w:rsid w:val="001E5F45"/>
    <w:rsid w:val="001E7105"/>
    <w:rsid w:val="001F325C"/>
    <w:rsid w:val="001F337C"/>
    <w:rsid w:val="001F55C9"/>
    <w:rsid w:val="001F61BF"/>
    <w:rsid w:val="001F77E6"/>
    <w:rsid w:val="001F7F24"/>
    <w:rsid w:val="0020098D"/>
    <w:rsid w:val="00201227"/>
    <w:rsid w:val="00203764"/>
    <w:rsid w:val="00207A6C"/>
    <w:rsid w:val="002104C1"/>
    <w:rsid w:val="00214C47"/>
    <w:rsid w:val="00215667"/>
    <w:rsid w:val="00215A3E"/>
    <w:rsid w:val="00215C18"/>
    <w:rsid w:val="00216A2F"/>
    <w:rsid w:val="00217415"/>
    <w:rsid w:val="00222390"/>
    <w:rsid w:val="00223457"/>
    <w:rsid w:val="00223986"/>
    <w:rsid w:val="00224505"/>
    <w:rsid w:val="00224831"/>
    <w:rsid w:val="0022486D"/>
    <w:rsid w:val="00226058"/>
    <w:rsid w:val="002262C9"/>
    <w:rsid w:val="00230F58"/>
    <w:rsid w:val="00233123"/>
    <w:rsid w:val="00233FFD"/>
    <w:rsid w:val="00235181"/>
    <w:rsid w:val="00237B97"/>
    <w:rsid w:val="0024012F"/>
    <w:rsid w:val="00240B59"/>
    <w:rsid w:val="00240D44"/>
    <w:rsid w:val="00240E75"/>
    <w:rsid w:val="00241695"/>
    <w:rsid w:val="00241EBE"/>
    <w:rsid w:val="00242128"/>
    <w:rsid w:val="0024281E"/>
    <w:rsid w:val="00245011"/>
    <w:rsid w:val="0024574E"/>
    <w:rsid w:val="00245EA3"/>
    <w:rsid w:val="00247430"/>
    <w:rsid w:val="00252AFB"/>
    <w:rsid w:val="002534FB"/>
    <w:rsid w:val="00253972"/>
    <w:rsid w:val="00254B43"/>
    <w:rsid w:val="00254CFD"/>
    <w:rsid w:val="0025669A"/>
    <w:rsid w:val="00256D12"/>
    <w:rsid w:val="002578B0"/>
    <w:rsid w:val="00257EE2"/>
    <w:rsid w:val="00261835"/>
    <w:rsid w:val="00262FEC"/>
    <w:rsid w:val="00263E8A"/>
    <w:rsid w:val="002657A2"/>
    <w:rsid w:val="00265818"/>
    <w:rsid w:val="00267B4E"/>
    <w:rsid w:val="00267FAC"/>
    <w:rsid w:val="00270216"/>
    <w:rsid w:val="0027072E"/>
    <w:rsid w:val="00270A17"/>
    <w:rsid w:val="002710A7"/>
    <w:rsid w:val="00271BA8"/>
    <w:rsid w:val="00271ECF"/>
    <w:rsid w:val="002723A8"/>
    <w:rsid w:val="002731A8"/>
    <w:rsid w:val="00276682"/>
    <w:rsid w:val="002800B2"/>
    <w:rsid w:val="00280D2E"/>
    <w:rsid w:val="00284602"/>
    <w:rsid w:val="00285BD1"/>
    <w:rsid w:val="0029098F"/>
    <w:rsid w:val="00290A80"/>
    <w:rsid w:val="00295284"/>
    <w:rsid w:val="0029608C"/>
    <w:rsid w:val="0029617F"/>
    <w:rsid w:val="002962AF"/>
    <w:rsid w:val="00296E9B"/>
    <w:rsid w:val="002A4B73"/>
    <w:rsid w:val="002A5F7F"/>
    <w:rsid w:val="002A7042"/>
    <w:rsid w:val="002A7FE6"/>
    <w:rsid w:val="002B2EC6"/>
    <w:rsid w:val="002B417F"/>
    <w:rsid w:val="002B4B55"/>
    <w:rsid w:val="002B5413"/>
    <w:rsid w:val="002B658C"/>
    <w:rsid w:val="002B7230"/>
    <w:rsid w:val="002B72BA"/>
    <w:rsid w:val="002C07EC"/>
    <w:rsid w:val="002C2608"/>
    <w:rsid w:val="002C286F"/>
    <w:rsid w:val="002C59EB"/>
    <w:rsid w:val="002C6819"/>
    <w:rsid w:val="002C6CBB"/>
    <w:rsid w:val="002C6FF5"/>
    <w:rsid w:val="002D003E"/>
    <w:rsid w:val="002D0258"/>
    <w:rsid w:val="002D27AA"/>
    <w:rsid w:val="002D37D6"/>
    <w:rsid w:val="002D40FC"/>
    <w:rsid w:val="002D45C7"/>
    <w:rsid w:val="002E1C81"/>
    <w:rsid w:val="002E21D7"/>
    <w:rsid w:val="002E5DBA"/>
    <w:rsid w:val="002E6554"/>
    <w:rsid w:val="002E6FC5"/>
    <w:rsid w:val="002E7CDB"/>
    <w:rsid w:val="002F357A"/>
    <w:rsid w:val="002F3602"/>
    <w:rsid w:val="002F378F"/>
    <w:rsid w:val="002F463A"/>
    <w:rsid w:val="002F4839"/>
    <w:rsid w:val="002F4A3B"/>
    <w:rsid w:val="002F61D8"/>
    <w:rsid w:val="002F6B21"/>
    <w:rsid w:val="002F722B"/>
    <w:rsid w:val="002F79A0"/>
    <w:rsid w:val="002F79B6"/>
    <w:rsid w:val="00302023"/>
    <w:rsid w:val="003031BF"/>
    <w:rsid w:val="00305269"/>
    <w:rsid w:val="00311824"/>
    <w:rsid w:val="00312026"/>
    <w:rsid w:val="003134AA"/>
    <w:rsid w:val="00314571"/>
    <w:rsid w:val="00315323"/>
    <w:rsid w:val="00315703"/>
    <w:rsid w:val="00317245"/>
    <w:rsid w:val="00317EAB"/>
    <w:rsid w:val="003218B5"/>
    <w:rsid w:val="00321EDE"/>
    <w:rsid w:val="003223DD"/>
    <w:rsid w:val="003228BE"/>
    <w:rsid w:val="00323A98"/>
    <w:rsid w:val="00324B0F"/>
    <w:rsid w:val="00325AE1"/>
    <w:rsid w:val="00326738"/>
    <w:rsid w:val="00327AF6"/>
    <w:rsid w:val="00330331"/>
    <w:rsid w:val="003312E6"/>
    <w:rsid w:val="00333488"/>
    <w:rsid w:val="0033374C"/>
    <w:rsid w:val="00333D50"/>
    <w:rsid w:val="003343C1"/>
    <w:rsid w:val="0033491D"/>
    <w:rsid w:val="003349C2"/>
    <w:rsid w:val="00334F3C"/>
    <w:rsid w:val="0033591F"/>
    <w:rsid w:val="00335DC3"/>
    <w:rsid w:val="00340F92"/>
    <w:rsid w:val="003416C5"/>
    <w:rsid w:val="00341752"/>
    <w:rsid w:val="0034234E"/>
    <w:rsid w:val="00342A25"/>
    <w:rsid w:val="00343FE5"/>
    <w:rsid w:val="00344EC7"/>
    <w:rsid w:val="00347A3B"/>
    <w:rsid w:val="0035334F"/>
    <w:rsid w:val="00357068"/>
    <w:rsid w:val="00360A36"/>
    <w:rsid w:val="00360ACF"/>
    <w:rsid w:val="00361DAE"/>
    <w:rsid w:val="00362833"/>
    <w:rsid w:val="00364F59"/>
    <w:rsid w:val="003651CF"/>
    <w:rsid w:val="00366154"/>
    <w:rsid w:val="00366B4C"/>
    <w:rsid w:val="00366C53"/>
    <w:rsid w:val="00367E69"/>
    <w:rsid w:val="00377A39"/>
    <w:rsid w:val="00382582"/>
    <w:rsid w:val="00382816"/>
    <w:rsid w:val="00382BC2"/>
    <w:rsid w:val="003844DE"/>
    <w:rsid w:val="00384B6F"/>
    <w:rsid w:val="00386BFD"/>
    <w:rsid w:val="0038750B"/>
    <w:rsid w:val="00387A51"/>
    <w:rsid w:val="0039046A"/>
    <w:rsid w:val="00390CB7"/>
    <w:rsid w:val="0039103B"/>
    <w:rsid w:val="00391BDF"/>
    <w:rsid w:val="00391E70"/>
    <w:rsid w:val="003925A7"/>
    <w:rsid w:val="00392BEF"/>
    <w:rsid w:val="00395165"/>
    <w:rsid w:val="00395E58"/>
    <w:rsid w:val="0039643F"/>
    <w:rsid w:val="00396A6A"/>
    <w:rsid w:val="003A3FE0"/>
    <w:rsid w:val="003A4F99"/>
    <w:rsid w:val="003A698B"/>
    <w:rsid w:val="003A7054"/>
    <w:rsid w:val="003B00FC"/>
    <w:rsid w:val="003B130A"/>
    <w:rsid w:val="003B1662"/>
    <w:rsid w:val="003B1B4B"/>
    <w:rsid w:val="003B1E94"/>
    <w:rsid w:val="003B3620"/>
    <w:rsid w:val="003B39F4"/>
    <w:rsid w:val="003B4894"/>
    <w:rsid w:val="003B4A2A"/>
    <w:rsid w:val="003B4DE8"/>
    <w:rsid w:val="003B5A75"/>
    <w:rsid w:val="003B6215"/>
    <w:rsid w:val="003B6EDB"/>
    <w:rsid w:val="003B79DD"/>
    <w:rsid w:val="003C0DAF"/>
    <w:rsid w:val="003C23A3"/>
    <w:rsid w:val="003C3E50"/>
    <w:rsid w:val="003C410D"/>
    <w:rsid w:val="003C4E46"/>
    <w:rsid w:val="003C508C"/>
    <w:rsid w:val="003C6C78"/>
    <w:rsid w:val="003C73DD"/>
    <w:rsid w:val="003D3E39"/>
    <w:rsid w:val="003D5512"/>
    <w:rsid w:val="003D6D13"/>
    <w:rsid w:val="003D7468"/>
    <w:rsid w:val="003E0EA7"/>
    <w:rsid w:val="003E1278"/>
    <w:rsid w:val="003E1F30"/>
    <w:rsid w:val="003E24B7"/>
    <w:rsid w:val="003E2C78"/>
    <w:rsid w:val="003E2E80"/>
    <w:rsid w:val="003E3A3B"/>
    <w:rsid w:val="003F0642"/>
    <w:rsid w:val="003F2529"/>
    <w:rsid w:val="004001ED"/>
    <w:rsid w:val="004029BD"/>
    <w:rsid w:val="00402F5C"/>
    <w:rsid w:val="004039DB"/>
    <w:rsid w:val="0040450D"/>
    <w:rsid w:val="00406591"/>
    <w:rsid w:val="004072A5"/>
    <w:rsid w:val="00407F64"/>
    <w:rsid w:val="0041270A"/>
    <w:rsid w:val="004144B8"/>
    <w:rsid w:val="00415DB2"/>
    <w:rsid w:val="0041697F"/>
    <w:rsid w:val="004170B5"/>
    <w:rsid w:val="00417DE7"/>
    <w:rsid w:val="00420372"/>
    <w:rsid w:val="00420B9A"/>
    <w:rsid w:val="004239DB"/>
    <w:rsid w:val="00423A4D"/>
    <w:rsid w:val="00424DFE"/>
    <w:rsid w:val="0042538B"/>
    <w:rsid w:val="004269DD"/>
    <w:rsid w:val="00427567"/>
    <w:rsid w:val="00427F72"/>
    <w:rsid w:val="00432045"/>
    <w:rsid w:val="004321C7"/>
    <w:rsid w:val="00432902"/>
    <w:rsid w:val="004335B2"/>
    <w:rsid w:val="00434051"/>
    <w:rsid w:val="00434EFF"/>
    <w:rsid w:val="004353D1"/>
    <w:rsid w:val="00436426"/>
    <w:rsid w:val="00436D22"/>
    <w:rsid w:val="00440A2A"/>
    <w:rsid w:val="00440AF0"/>
    <w:rsid w:val="00441897"/>
    <w:rsid w:val="0044194E"/>
    <w:rsid w:val="00443BEC"/>
    <w:rsid w:val="00444619"/>
    <w:rsid w:val="00445347"/>
    <w:rsid w:val="004466EA"/>
    <w:rsid w:val="004469C3"/>
    <w:rsid w:val="00447312"/>
    <w:rsid w:val="00447819"/>
    <w:rsid w:val="0044787A"/>
    <w:rsid w:val="00450482"/>
    <w:rsid w:val="0045276A"/>
    <w:rsid w:val="004530FC"/>
    <w:rsid w:val="00453DC7"/>
    <w:rsid w:val="00455EE8"/>
    <w:rsid w:val="0045645D"/>
    <w:rsid w:val="0045727C"/>
    <w:rsid w:val="0046107E"/>
    <w:rsid w:val="004625F5"/>
    <w:rsid w:val="00463950"/>
    <w:rsid w:val="00464BAF"/>
    <w:rsid w:val="004655D5"/>
    <w:rsid w:val="0047019C"/>
    <w:rsid w:val="00470735"/>
    <w:rsid w:val="00471390"/>
    <w:rsid w:val="00471D32"/>
    <w:rsid w:val="00473FCC"/>
    <w:rsid w:val="004759AC"/>
    <w:rsid w:val="0047673E"/>
    <w:rsid w:val="00476999"/>
    <w:rsid w:val="004801D3"/>
    <w:rsid w:val="00481B90"/>
    <w:rsid w:val="004838C1"/>
    <w:rsid w:val="004842F5"/>
    <w:rsid w:val="004854D9"/>
    <w:rsid w:val="00486695"/>
    <w:rsid w:val="004904B5"/>
    <w:rsid w:val="004917C4"/>
    <w:rsid w:val="00491C18"/>
    <w:rsid w:val="004966CF"/>
    <w:rsid w:val="004974B4"/>
    <w:rsid w:val="004A23FC"/>
    <w:rsid w:val="004A252E"/>
    <w:rsid w:val="004A3D77"/>
    <w:rsid w:val="004A4658"/>
    <w:rsid w:val="004A4AB2"/>
    <w:rsid w:val="004B0707"/>
    <w:rsid w:val="004B1303"/>
    <w:rsid w:val="004B225D"/>
    <w:rsid w:val="004B2367"/>
    <w:rsid w:val="004B39BB"/>
    <w:rsid w:val="004B4DAE"/>
    <w:rsid w:val="004B52C5"/>
    <w:rsid w:val="004B760F"/>
    <w:rsid w:val="004B7A56"/>
    <w:rsid w:val="004C181F"/>
    <w:rsid w:val="004C1CD1"/>
    <w:rsid w:val="004C1DEE"/>
    <w:rsid w:val="004C2164"/>
    <w:rsid w:val="004C35FA"/>
    <w:rsid w:val="004D51DC"/>
    <w:rsid w:val="004D581F"/>
    <w:rsid w:val="004D6EBB"/>
    <w:rsid w:val="004D73E9"/>
    <w:rsid w:val="004D7E06"/>
    <w:rsid w:val="004E0B94"/>
    <w:rsid w:val="004E2181"/>
    <w:rsid w:val="004E5127"/>
    <w:rsid w:val="004E7664"/>
    <w:rsid w:val="004E7AED"/>
    <w:rsid w:val="004E7E55"/>
    <w:rsid w:val="004F0151"/>
    <w:rsid w:val="004F03BF"/>
    <w:rsid w:val="004F03C5"/>
    <w:rsid w:val="004F223D"/>
    <w:rsid w:val="004F2C53"/>
    <w:rsid w:val="004F2D32"/>
    <w:rsid w:val="004F51BF"/>
    <w:rsid w:val="00500CE4"/>
    <w:rsid w:val="00504DD4"/>
    <w:rsid w:val="0050626B"/>
    <w:rsid w:val="0050668F"/>
    <w:rsid w:val="005113DA"/>
    <w:rsid w:val="005116FF"/>
    <w:rsid w:val="00512C25"/>
    <w:rsid w:val="00513A66"/>
    <w:rsid w:val="00513AC0"/>
    <w:rsid w:val="00513F9D"/>
    <w:rsid w:val="0052167B"/>
    <w:rsid w:val="00523B02"/>
    <w:rsid w:val="005266BC"/>
    <w:rsid w:val="00531E6E"/>
    <w:rsid w:val="00532FB2"/>
    <w:rsid w:val="0053394E"/>
    <w:rsid w:val="00535758"/>
    <w:rsid w:val="005369A6"/>
    <w:rsid w:val="00540270"/>
    <w:rsid w:val="00540285"/>
    <w:rsid w:val="0054029D"/>
    <w:rsid w:val="00540CC2"/>
    <w:rsid w:val="0054118E"/>
    <w:rsid w:val="00541704"/>
    <w:rsid w:val="00541997"/>
    <w:rsid w:val="00542618"/>
    <w:rsid w:val="00544959"/>
    <w:rsid w:val="0054513E"/>
    <w:rsid w:val="00545E71"/>
    <w:rsid w:val="00546774"/>
    <w:rsid w:val="00546E7C"/>
    <w:rsid w:val="00547ED0"/>
    <w:rsid w:val="005527E7"/>
    <w:rsid w:val="005542A6"/>
    <w:rsid w:val="00555697"/>
    <w:rsid w:val="005560EE"/>
    <w:rsid w:val="00557A58"/>
    <w:rsid w:val="00560E07"/>
    <w:rsid w:val="00561C07"/>
    <w:rsid w:val="00562441"/>
    <w:rsid w:val="00566749"/>
    <w:rsid w:val="00566EC1"/>
    <w:rsid w:val="00570B02"/>
    <w:rsid w:val="00570C46"/>
    <w:rsid w:val="00571D02"/>
    <w:rsid w:val="00572031"/>
    <w:rsid w:val="00572C9F"/>
    <w:rsid w:val="00573A7B"/>
    <w:rsid w:val="005748C1"/>
    <w:rsid w:val="00574D94"/>
    <w:rsid w:val="005765CB"/>
    <w:rsid w:val="005773C3"/>
    <w:rsid w:val="00577A94"/>
    <w:rsid w:val="00577D1D"/>
    <w:rsid w:val="00577D3D"/>
    <w:rsid w:val="00577FBD"/>
    <w:rsid w:val="005828B0"/>
    <w:rsid w:val="00582F3A"/>
    <w:rsid w:val="005838D2"/>
    <w:rsid w:val="00590205"/>
    <w:rsid w:val="0059029C"/>
    <w:rsid w:val="0059083F"/>
    <w:rsid w:val="0059179D"/>
    <w:rsid w:val="00591899"/>
    <w:rsid w:val="00592C90"/>
    <w:rsid w:val="00595E5A"/>
    <w:rsid w:val="00596A06"/>
    <w:rsid w:val="00597CA2"/>
    <w:rsid w:val="00597CB3"/>
    <w:rsid w:val="005A07F5"/>
    <w:rsid w:val="005A18EB"/>
    <w:rsid w:val="005A270D"/>
    <w:rsid w:val="005A33A3"/>
    <w:rsid w:val="005A4886"/>
    <w:rsid w:val="005A4963"/>
    <w:rsid w:val="005A5372"/>
    <w:rsid w:val="005A62A1"/>
    <w:rsid w:val="005A77F1"/>
    <w:rsid w:val="005B1741"/>
    <w:rsid w:val="005B7D63"/>
    <w:rsid w:val="005C0ABC"/>
    <w:rsid w:val="005C41B7"/>
    <w:rsid w:val="005C47A5"/>
    <w:rsid w:val="005C6711"/>
    <w:rsid w:val="005C7E04"/>
    <w:rsid w:val="005C7E32"/>
    <w:rsid w:val="005D0058"/>
    <w:rsid w:val="005D0353"/>
    <w:rsid w:val="005D2657"/>
    <w:rsid w:val="005D35EE"/>
    <w:rsid w:val="005D4760"/>
    <w:rsid w:val="005D4830"/>
    <w:rsid w:val="005D6106"/>
    <w:rsid w:val="005E07C1"/>
    <w:rsid w:val="005E1AC4"/>
    <w:rsid w:val="005E2C3B"/>
    <w:rsid w:val="005E2F49"/>
    <w:rsid w:val="005E4E6F"/>
    <w:rsid w:val="005E58F8"/>
    <w:rsid w:val="005E5A84"/>
    <w:rsid w:val="005E673A"/>
    <w:rsid w:val="005E67EB"/>
    <w:rsid w:val="005F048A"/>
    <w:rsid w:val="005F1A70"/>
    <w:rsid w:val="005F25E8"/>
    <w:rsid w:val="005F39F8"/>
    <w:rsid w:val="005F3E2F"/>
    <w:rsid w:val="005F6C52"/>
    <w:rsid w:val="005F719A"/>
    <w:rsid w:val="00601D61"/>
    <w:rsid w:val="00602201"/>
    <w:rsid w:val="00602A42"/>
    <w:rsid w:val="00603171"/>
    <w:rsid w:val="00603D6C"/>
    <w:rsid w:val="006045C9"/>
    <w:rsid w:val="00605B82"/>
    <w:rsid w:val="00607B52"/>
    <w:rsid w:val="006112C3"/>
    <w:rsid w:val="006121CC"/>
    <w:rsid w:val="00616AEB"/>
    <w:rsid w:val="00617D01"/>
    <w:rsid w:val="00620C0F"/>
    <w:rsid w:val="00620EB8"/>
    <w:rsid w:val="006228D2"/>
    <w:rsid w:val="00623026"/>
    <w:rsid w:val="00624643"/>
    <w:rsid w:val="00624EF0"/>
    <w:rsid w:val="0062571F"/>
    <w:rsid w:val="00631CEE"/>
    <w:rsid w:val="00632145"/>
    <w:rsid w:val="006324B8"/>
    <w:rsid w:val="006369FF"/>
    <w:rsid w:val="00637F09"/>
    <w:rsid w:val="006401D2"/>
    <w:rsid w:val="00641C40"/>
    <w:rsid w:val="00642CAF"/>
    <w:rsid w:val="00644463"/>
    <w:rsid w:val="00644511"/>
    <w:rsid w:val="0064483D"/>
    <w:rsid w:val="00644BE2"/>
    <w:rsid w:val="00647C62"/>
    <w:rsid w:val="00650335"/>
    <w:rsid w:val="0065413A"/>
    <w:rsid w:val="00654166"/>
    <w:rsid w:val="00654A86"/>
    <w:rsid w:val="00660459"/>
    <w:rsid w:val="006605DF"/>
    <w:rsid w:val="006606E8"/>
    <w:rsid w:val="00661BDE"/>
    <w:rsid w:val="00662535"/>
    <w:rsid w:val="006637D3"/>
    <w:rsid w:val="00663923"/>
    <w:rsid w:val="00664A7D"/>
    <w:rsid w:val="00665A67"/>
    <w:rsid w:val="00667927"/>
    <w:rsid w:val="00667DFA"/>
    <w:rsid w:val="0067031D"/>
    <w:rsid w:val="00670D72"/>
    <w:rsid w:val="00670E9C"/>
    <w:rsid w:val="00670FB0"/>
    <w:rsid w:val="00671420"/>
    <w:rsid w:val="006721C9"/>
    <w:rsid w:val="00673029"/>
    <w:rsid w:val="00673319"/>
    <w:rsid w:val="006735A3"/>
    <w:rsid w:val="00676E1B"/>
    <w:rsid w:val="00676EBE"/>
    <w:rsid w:val="006772AF"/>
    <w:rsid w:val="00681C28"/>
    <w:rsid w:val="00681E81"/>
    <w:rsid w:val="0068384A"/>
    <w:rsid w:val="0068442D"/>
    <w:rsid w:val="00684838"/>
    <w:rsid w:val="00687364"/>
    <w:rsid w:val="00691CBB"/>
    <w:rsid w:val="00692E63"/>
    <w:rsid w:val="00693B4F"/>
    <w:rsid w:val="00694903"/>
    <w:rsid w:val="006963CA"/>
    <w:rsid w:val="0069755A"/>
    <w:rsid w:val="00697D1B"/>
    <w:rsid w:val="006A1817"/>
    <w:rsid w:val="006A21CD"/>
    <w:rsid w:val="006A5B31"/>
    <w:rsid w:val="006A7E33"/>
    <w:rsid w:val="006B0ADC"/>
    <w:rsid w:val="006B1F59"/>
    <w:rsid w:val="006B5057"/>
    <w:rsid w:val="006C01DA"/>
    <w:rsid w:val="006C4931"/>
    <w:rsid w:val="006C4A6F"/>
    <w:rsid w:val="006C59E9"/>
    <w:rsid w:val="006C5D21"/>
    <w:rsid w:val="006C6ECE"/>
    <w:rsid w:val="006C6FD9"/>
    <w:rsid w:val="006C73BC"/>
    <w:rsid w:val="006C7666"/>
    <w:rsid w:val="006C7BAE"/>
    <w:rsid w:val="006D0332"/>
    <w:rsid w:val="006D2331"/>
    <w:rsid w:val="006D2ECD"/>
    <w:rsid w:val="006D3997"/>
    <w:rsid w:val="006D5787"/>
    <w:rsid w:val="006D6632"/>
    <w:rsid w:val="006D6B5C"/>
    <w:rsid w:val="006D7371"/>
    <w:rsid w:val="006E0EDC"/>
    <w:rsid w:val="006E2234"/>
    <w:rsid w:val="006E30D3"/>
    <w:rsid w:val="006E32CF"/>
    <w:rsid w:val="006E37F1"/>
    <w:rsid w:val="006E43B0"/>
    <w:rsid w:val="006F0631"/>
    <w:rsid w:val="006F29E5"/>
    <w:rsid w:val="006F40C5"/>
    <w:rsid w:val="006F4172"/>
    <w:rsid w:val="006F5415"/>
    <w:rsid w:val="006F5A47"/>
    <w:rsid w:val="00701773"/>
    <w:rsid w:val="0070189D"/>
    <w:rsid w:val="00701B19"/>
    <w:rsid w:val="0070384A"/>
    <w:rsid w:val="0070404A"/>
    <w:rsid w:val="00704CDA"/>
    <w:rsid w:val="007064D1"/>
    <w:rsid w:val="007106C7"/>
    <w:rsid w:val="00711854"/>
    <w:rsid w:val="007122EE"/>
    <w:rsid w:val="00712F46"/>
    <w:rsid w:val="00715E2E"/>
    <w:rsid w:val="00716215"/>
    <w:rsid w:val="0071621A"/>
    <w:rsid w:val="0071676F"/>
    <w:rsid w:val="00716E15"/>
    <w:rsid w:val="00721624"/>
    <w:rsid w:val="0072286A"/>
    <w:rsid w:val="00723D6A"/>
    <w:rsid w:val="00723EDC"/>
    <w:rsid w:val="00724773"/>
    <w:rsid w:val="007254C0"/>
    <w:rsid w:val="007267EE"/>
    <w:rsid w:val="007274D8"/>
    <w:rsid w:val="00727C61"/>
    <w:rsid w:val="00731F3C"/>
    <w:rsid w:val="00732A91"/>
    <w:rsid w:val="0073453F"/>
    <w:rsid w:val="00735491"/>
    <w:rsid w:val="00735C75"/>
    <w:rsid w:val="00736455"/>
    <w:rsid w:val="00736F60"/>
    <w:rsid w:val="007407FC"/>
    <w:rsid w:val="0074254C"/>
    <w:rsid w:val="00743826"/>
    <w:rsid w:val="007456F6"/>
    <w:rsid w:val="007470B1"/>
    <w:rsid w:val="007470CF"/>
    <w:rsid w:val="00747E6E"/>
    <w:rsid w:val="007505D2"/>
    <w:rsid w:val="00750787"/>
    <w:rsid w:val="007524BC"/>
    <w:rsid w:val="00754DAA"/>
    <w:rsid w:val="0075501E"/>
    <w:rsid w:val="00755E1F"/>
    <w:rsid w:val="00756125"/>
    <w:rsid w:val="00757415"/>
    <w:rsid w:val="00757CBF"/>
    <w:rsid w:val="0076042A"/>
    <w:rsid w:val="007604FA"/>
    <w:rsid w:val="007641CE"/>
    <w:rsid w:val="00765527"/>
    <w:rsid w:val="00765578"/>
    <w:rsid w:val="00767E83"/>
    <w:rsid w:val="0077017A"/>
    <w:rsid w:val="00771809"/>
    <w:rsid w:val="00772032"/>
    <w:rsid w:val="00772DA7"/>
    <w:rsid w:val="00774B72"/>
    <w:rsid w:val="0078248E"/>
    <w:rsid w:val="007832A5"/>
    <w:rsid w:val="007859FE"/>
    <w:rsid w:val="00787C7F"/>
    <w:rsid w:val="00787EB8"/>
    <w:rsid w:val="00790D64"/>
    <w:rsid w:val="0079150B"/>
    <w:rsid w:val="00791B7B"/>
    <w:rsid w:val="007924F9"/>
    <w:rsid w:val="0079255C"/>
    <w:rsid w:val="007930BD"/>
    <w:rsid w:val="00793950"/>
    <w:rsid w:val="00793B5C"/>
    <w:rsid w:val="0079473E"/>
    <w:rsid w:val="00794AC8"/>
    <w:rsid w:val="007967F0"/>
    <w:rsid w:val="00796DEC"/>
    <w:rsid w:val="007A0B47"/>
    <w:rsid w:val="007A26B1"/>
    <w:rsid w:val="007A5960"/>
    <w:rsid w:val="007A611C"/>
    <w:rsid w:val="007A6528"/>
    <w:rsid w:val="007B0890"/>
    <w:rsid w:val="007B1764"/>
    <w:rsid w:val="007B1F58"/>
    <w:rsid w:val="007B4024"/>
    <w:rsid w:val="007B456B"/>
    <w:rsid w:val="007B4F40"/>
    <w:rsid w:val="007B6756"/>
    <w:rsid w:val="007B7D87"/>
    <w:rsid w:val="007C06B3"/>
    <w:rsid w:val="007C0E26"/>
    <w:rsid w:val="007C2035"/>
    <w:rsid w:val="007C4680"/>
    <w:rsid w:val="007C483D"/>
    <w:rsid w:val="007C4F37"/>
    <w:rsid w:val="007C5C48"/>
    <w:rsid w:val="007C65FA"/>
    <w:rsid w:val="007D0E6F"/>
    <w:rsid w:val="007D13A5"/>
    <w:rsid w:val="007D1AE3"/>
    <w:rsid w:val="007D2F3D"/>
    <w:rsid w:val="007D3CC0"/>
    <w:rsid w:val="007D5EAB"/>
    <w:rsid w:val="007D5ECB"/>
    <w:rsid w:val="007D7228"/>
    <w:rsid w:val="007D7A3E"/>
    <w:rsid w:val="007D7AF6"/>
    <w:rsid w:val="007E3903"/>
    <w:rsid w:val="007E40C6"/>
    <w:rsid w:val="007E6221"/>
    <w:rsid w:val="007E7EDA"/>
    <w:rsid w:val="007F1CE2"/>
    <w:rsid w:val="007F4444"/>
    <w:rsid w:val="007F49ED"/>
    <w:rsid w:val="007F4A78"/>
    <w:rsid w:val="007F615E"/>
    <w:rsid w:val="00800673"/>
    <w:rsid w:val="0080087F"/>
    <w:rsid w:val="008011D6"/>
    <w:rsid w:val="00801CF5"/>
    <w:rsid w:val="0080240F"/>
    <w:rsid w:val="00802663"/>
    <w:rsid w:val="008035C4"/>
    <w:rsid w:val="0080571C"/>
    <w:rsid w:val="00805912"/>
    <w:rsid w:val="00806819"/>
    <w:rsid w:val="00811929"/>
    <w:rsid w:val="0081296F"/>
    <w:rsid w:val="008137CF"/>
    <w:rsid w:val="00814E95"/>
    <w:rsid w:val="008155FA"/>
    <w:rsid w:val="008160E8"/>
    <w:rsid w:val="0082029B"/>
    <w:rsid w:val="008203F7"/>
    <w:rsid w:val="00821A88"/>
    <w:rsid w:val="00821FA9"/>
    <w:rsid w:val="00822069"/>
    <w:rsid w:val="00822173"/>
    <w:rsid w:val="0082295E"/>
    <w:rsid w:val="00822DAD"/>
    <w:rsid w:val="00824153"/>
    <w:rsid w:val="0082589C"/>
    <w:rsid w:val="00825A34"/>
    <w:rsid w:val="0082602D"/>
    <w:rsid w:val="008316F6"/>
    <w:rsid w:val="00831F18"/>
    <w:rsid w:val="008320CE"/>
    <w:rsid w:val="00834859"/>
    <w:rsid w:val="00834B99"/>
    <w:rsid w:val="00834E6D"/>
    <w:rsid w:val="0083571E"/>
    <w:rsid w:val="00835F12"/>
    <w:rsid w:val="00836F64"/>
    <w:rsid w:val="0084213A"/>
    <w:rsid w:val="00842C98"/>
    <w:rsid w:val="00842F0F"/>
    <w:rsid w:val="00843BC3"/>
    <w:rsid w:val="00844289"/>
    <w:rsid w:val="00845C42"/>
    <w:rsid w:val="008467D2"/>
    <w:rsid w:val="00847B2B"/>
    <w:rsid w:val="0085074C"/>
    <w:rsid w:val="008523C8"/>
    <w:rsid w:val="00852916"/>
    <w:rsid w:val="008547F4"/>
    <w:rsid w:val="008555DA"/>
    <w:rsid w:val="00857CFA"/>
    <w:rsid w:val="00860A36"/>
    <w:rsid w:val="00864C26"/>
    <w:rsid w:val="00865E78"/>
    <w:rsid w:val="00866D8A"/>
    <w:rsid w:val="00866E26"/>
    <w:rsid w:val="00867931"/>
    <w:rsid w:val="0087062A"/>
    <w:rsid w:val="00870635"/>
    <w:rsid w:val="008712FE"/>
    <w:rsid w:val="00872484"/>
    <w:rsid w:val="00872933"/>
    <w:rsid w:val="0087371C"/>
    <w:rsid w:val="00873EDC"/>
    <w:rsid w:val="008741A7"/>
    <w:rsid w:val="00875C6D"/>
    <w:rsid w:val="008766C5"/>
    <w:rsid w:val="00876EA7"/>
    <w:rsid w:val="00877DE5"/>
    <w:rsid w:val="00881942"/>
    <w:rsid w:val="0088274A"/>
    <w:rsid w:val="008828A9"/>
    <w:rsid w:val="008834A2"/>
    <w:rsid w:val="00883AF5"/>
    <w:rsid w:val="0088443E"/>
    <w:rsid w:val="00891199"/>
    <w:rsid w:val="00891741"/>
    <w:rsid w:val="00893018"/>
    <w:rsid w:val="00895AEA"/>
    <w:rsid w:val="008A02AE"/>
    <w:rsid w:val="008A0891"/>
    <w:rsid w:val="008A26FA"/>
    <w:rsid w:val="008A375F"/>
    <w:rsid w:val="008A3961"/>
    <w:rsid w:val="008A39EE"/>
    <w:rsid w:val="008A3E53"/>
    <w:rsid w:val="008A5448"/>
    <w:rsid w:val="008A5EF4"/>
    <w:rsid w:val="008A6F33"/>
    <w:rsid w:val="008A7D3D"/>
    <w:rsid w:val="008B02D4"/>
    <w:rsid w:val="008B0655"/>
    <w:rsid w:val="008B085D"/>
    <w:rsid w:val="008B0AC9"/>
    <w:rsid w:val="008B29F2"/>
    <w:rsid w:val="008B3AC8"/>
    <w:rsid w:val="008B429A"/>
    <w:rsid w:val="008B68D7"/>
    <w:rsid w:val="008B6DD2"/>
    <w:rsid w:val="008C05D7"/>
    <w:rsid w:val="008C1C1D"/>
    <w:rsid w:val="008C5ACD"/>
    <w:rsid w:val="008C6E70"/>
    <w:rsid w:val="008D01E7"/>
    <w:rsid w:val="008D1C54"/>
    <w:rsid w:val="008D2CB3"/>
    <w:rsid w:val="008D3F95"/>
    <w:rsid w:val="008D5181"/>
    <w:rsid w:val="008D5E9D"/>
    <w:rsid w:val="008D6A11"/>
    <w:rsid w:val="008D6D6F"/>
    <w:rsid w:val="008D72D9"/>
    <w:rsid w:val="008E020C"/>
    <w:rsid w:val="008E10F7"/>
    <w:rsid w:val="008E33B4"/>
    <w:rsid w:val="008E395C"/>
    <w:rsid w:val="008E3C4F"/>
    <w:rsid w:val="008E4415"/>
    <w:rsid w:val="008E53B7"/>
    <w:rsid w:val="008E59B7"/>
    <w:rsid w:val="008E600C"/>
    <w:rsid w:val="008E601B"/>
    <w:rsid w:val="008E694A"/>
    <w:rsid w:val="008E71AD"/>
    <w:rsid w:val="008E7689"/>
    <w:rsid w:val="008F001D"/>
    <w:rsid w:val="008F0CD8"/>
    <w:rsid w:val="008F13F3"/>
    <w:rsid w:val="008F146E"/>
    <w:rsid w:val="008F5E5D"/>
    <w:rsid w:val="008F7322"/>
    <w:rsid w:val="008F7C87"/>
    <w:rsid w:val="00900B67"/>
    <w:rsid w:val="00900E66"/>
    <w:rsid w:val="0090172F"/>
    <w:rsid w:val="00902279"/>
    <w:rsid w:val="00903C99"/>
    <w:rsid w:val="009041E8"/>
    <w:rsid w:val="00904E89"/>
    <w:rsid w:val="00904EA9"/>
    <w:rsid w:val="009113BE"/>
    <w:rsid w:val="009125CD"/>
    <w:rsid w:val="00912DC5"/>
    <w:rsid w:val="00913002"/>
    <w:rsid w:val="00914473"/>
    <w:rsid w:val="0091547A"/>
    <w:rsid w:val="00915994"/>
    <w:rsid w:val="00917F77"/>
    <w:rsid w:val="009203AF"/>
    <w:rsid w:val="00920C0C"/>
    <w:rsid w:val="00921387"/>
    <w:rsid w:val="009214A2"/>
    <w:rsid w:val="0092363C"/>
    <w:rsid w:val="00923E50"/>
    <w:rsid w:val="00925228"/>
    <w:rsid w:val="00927DFC"/>
    <w:rsid w:val="00932064"/>
    <w:rsid w:val="009322D3"/>
    <w:rsid w:val="00933AAB"/>
    <w:rsid w:val="00934D23"/>
    <w:rsid w:val="00935D11"/>
    <w:rsid w:val="00941571"/>
    <w:rsid w:val="00944935"/>
    <w:rsid w:val="009453BC"/>
    <w:rsid w:val="00945A83"/>
    <w:rsid w:val="00946823"/>
    <w:rsid w:val="009475EA"/>
    <w:rsid w:val="00947771"/>
    <w:rsid w:val="00947CF3"/>
    <w:rsid w:val="00950740"/>
    <w:rsid w:val="00951CBC"/>
    <w:rsid w:val="009545B7"/>
    <w:rsid w:val="00954688"/>
    <w:rsid w:val="00955409"/>
    <w:rsid w:val="00955C5E"/>
    <w:rsid w:val="009578C5"/>
    <w:rsid w:val="00960173"/>
    <w:rsid w:val="009601DF"/>
    <w:rsid w:val="00961B6B"/>
    <w:rsid w:val="00961F15"/>
    <w:rsid w:val="00962743"/>
    <w:rsid w:val="00963777"/>
    <w:rsid w:val="00963A82"/>
    <w:rsid w:val="00964383"/>
    <w:rsid w:val="009658B5"/>
    <w:rsid w:val="0097040E"/>
    <w:rsid w:val="00970721"/>
    <w:rsid w:val="00970759"/>
    <w:rsid w:val="00972A53"/>
    <w:rsid w:val="00972D7E"/>
    <w:rsid w:val="009732F7"/>
    <w:rsid w:val="00973357"/>
    <w:rsid w:val="00976EBB"/>
    <w:rsid w:val="00977CFC"/>
    <w:rsid w:val="009803E7"/>
    <w:rsid w:val="009827CA"/>
    <w:rsid w:val="0098343D"/>
    <w:rsid w:val="00983B38"/>
    <w:rsid w:val="009857AA"/>
    <w:rsid w:val="009858A4"/>
    <w:rsid w:val="009865A0"/>
    <w:rsid w:val="00987AB6"/>
    <w:rsid w:val="009921A0"/>
    <w:rsid w:val="009921F2"/>
    <w:rsid w:val="009922A6"/>
    <w:rsid w:val="0099230D"/>
    <w:rsid w:val="00992A6A"/>
    <w:rsid w:val="009946DF"/>
    <w:rsid w:val="009A3971"/>
    <w:rsid w:val="009A3D5A"/>
    <w:rsid w:val="009A44C9"/>
    <w:rsid w:val="009A5FF3"/>
    <w:rsid w:val="009A6895"/>
    <w:rsid w:val="009A6EE1"/>
    <w:rsid w:val="009B0D43"/>
    <w:rsid w:val="009B1362"/>
    <w:rsid w:val="009B2093"/>
    <w:rsid w:val="009B4866"/>
    <w:rsid w:val="009B529E"/>
    <w:rsid w:val="009B6EFD"/>
    <w:rsid w:val="009B727C"/>
    <w:rsid w:val="009B7C24"/>
    <w:rsid w:val="009C1C4D"/>
    <w:rsid w:val="009C1D06"/>
    <w:rsid w:val="009C3B86"/>
    <w:rsid w:val="009C46B3"/>
    <w:rsid w:val="009C46BE"/>
    <w:rsid w:val="009C6C95"/>
    <w:rsid w:val="009D0181"/>
    <w:rsid w:val="009D0C0E"/>
    <w:rsid w:val="009D2543"/>
    <w:rsid w:val="009D2BE6"/>
    <w:rsid w:val="009D699D"/>
    <w:rsid w:val="009D6DCA"/>
    <w:rsid w:val="009E034A"/>
    <w:rsid w:val="009E53AD"/>
    <w:rsid w:val="009E72A2"/>
    <w:rsid w:val="009E72F0"/>
    <w:rsid w:val="009F3CA1"/>
    <w:rsid w:val="009F435F"/>
    <w:rsid w:val="009F44BD"/>
    <w:rsid w:val="009F4C84"/>
    <w:rsid w:val="009F5A2B"/>
    <w:rsid w:val="009F5F99"/>
    <w:rsid w:val="009F71BA"/>
    <w:rsid w:val="009F7A52"/>
    <w:rsid w:val="00A02380"/>
    <w:rsid w:val="00A02BE2"/>
    <w:rsid w:val="00A0539D"/>
    <w:rsid w:val="00A05873"/>
    <w:rsid w:val="00A06A80"/>
    <w:rsid w:val="00A06C70"/>
    <w:rsid w:val="00A0700F"/>
    <w:rsid w:val="00A10D92"/>
    <w:rsid w:val="00A117AB"/>
    <w:rsid w:val="00A11DBC"/>
    <w:rsid w:val="00A1208F"/>
    <w:rsid w:val="00A1353D"/>
    <w:rsid w:val="00A17190"/>
    <w:rsid w:val="00A22996"/>
    <w:rsid w:val="00A23FA9"/>
    <w:rsid w:val="00A25A59"/>
    <w:rsid w:val="00A26476"/>
    <w:rsid w:val="00A3163F"/>
    <w:rsid w:val="00A32297"/>
    <w:rsid w:val="00A32FA9"/>
    <w:rsid w:val="00A33036"/>
    <w:rsid w:val="00A33101"/>
    <w:rsid w:val="00A3438F"/>
    <w:rsid w:val="00A3443E"/>
    <w:rsid w:val="00A3464D"/>
    <w:rsid w:val="00A34656"/>
    <w:rsid w:val="00A37141"/>
    <w:rsid w:val="00A376CF"/>
    <w:rsid w:val="00A400E2"/>
    <w:rsid w:val="00A40BF4"/>
    <w:rsid w:val="00A40E22"/>
    <w:rsid w:val="00A42278"/>
    <w:rsid w:val="00A42F14"/>
    <w:rsid w:val="00A4325E"/>
    <w:rsid w:val="00A47120"/>
    <w:rsid w:val="00A50EB5"/>
    <w:rsid w:val="00A55588"/>
    <w:rsid w:val="00A611FF"/>
    <w:rsid w:val="00A62917"/>
    <w:rsid w:val="00A63AC4"/>
    <w:rsid w:val="00A643A6"/>
    <w:rsid w:val="00A65D8C"/>
    <w:rsid w:val="00A6627C"/>
    <w:rsid w:val="00A671D8"/>
    <w:rsid w:val="00A67794"/>
    <w:rsid w:val="00A70CBE"/>
    <w:rsid w:val="00A70DDF"/>
    <w:rsid w:val="00A71497"/>
    <w:rsid w:val="00A73323"/>
    <w:rsid w:val="00A73593"/>
    <w:rsid w:val="00A7491A"/>
    <w:rsid w:val="00A75779"/>
    <w:rsid w:val="00A77D84"/>
    <w:rsid w:val="00A80B44"/>
    <w:rsid w:val="00A8252F"/>
    <w:rsid w:val="00A833BC"/>
    <w:rsid w:val="00A843AE"/>
    <w:rsid w:val="00A84AF1"/>
    <w:rsid w:val="00A86490"/>
    <w:rsid w:val="00A86E97"/>
    <w:rsid w:val="00A90015"/>
    <w:rsid w:val="00A91574"/>
    <w:rsid w:val="00A91D18"/>
    <w:rsid w:val="00A925B1"/>
    <w:rsid w:val="00A934F0"/>
    <w:rsid w:val="00A95DA0"/>
    <w:rsid w:val="00A9674B"/>
    <w:rsid w:val="00A969BA"/>
    <w:rsid w:val="00A96A0B"/>
    <w:rsid w:val="00A97525"/>
    <w:rsid w:val="00AA186E"/>
    <w:rsid w:val="00AA2470"/>
    <w:rsid w:val="00AA57BC"/>
    <w:rsid w:val="00AA5DCE"/>
    <w:rsid w:val="00AA6EE4"/>
    <w:rsid w:val="00AB0743"/>
    <w:rsid w:val="00AB114E"/>
    <w:rsid w:val="00AB1319"/>
    <w:rsid w:val="00AB1A25"/>
    <w:rsid w:val="00AB3B4C"/>
    <w:rsid w:val="00AB766D"/>
    <w:rsid w:val="00AB7E86"/>
    <w:rsid w:val="00AC19B2"/>
    <w:rsid w:val="00AC24E6"/>
    <w:rsid w:val="00AC25E1"/>
    <w:rsid w:val="00AC2984"/>
    <w:rsid w:val="00AC3CDD"/>
    <w:rsid w:val="00AC4BFD"/>
    <w:rsid w:val="00AC67CF"/>
    <w:rsid w:val="00AD07C0"/>
    <w:rsid w:val="00AD210C"/>
    <w:rsid w:val="00AD4EE4"/>
    <w:rsid w:val="00AD6FD5"/>
    <w:rsid w:val="00AE0C68"/>
    <w:rsid w:val="00AE18D6"/>
    <w:rsid w:val="00AE3DF3"/>
    <w:rsid w:val="00AE6181"/>
    <w:rsid w:val="00AF0121"/>
    <w:rsid w:val="00AF18CA"/>
    <w:rsid w:val="00AF3664"/>
    <w:rsid w:val="00B0072D"/>
    <w:rsid w:val="00B030EB"/>
    <w:rsid w:val="00B034D1"/>
    <w:rsid w:val="00B03E73"/>
    <w:rsid w:val="00B042AB"/>
    <w:rsid w:val="00B050AE"/>
    <w:rsid w:val="00B05FA9"/>
    <w:rsid w:val="00B10CAE"/>
    <w:rsid w:val="00B123F3"/>
    <w:rsid w:val="00B14D2E"/>
    <w:rsid w:val="00B16069"/>
    <w:rsid w:val="00B20AB2"/>
    <w:rsid w:val="00B227C6"/>
    <w:rsid w:val="00B2398F"/>
    <w:rsid w:val="00B26226"/>
    <w:rsid w:val="00B265C7"/>
    <w:rsid w:val="00B30808"/>
    <w:rsid w:val="00B32E77"/>
    <w:rsid w:val="00B343EE"/>
    <w:rsid w:val="00B34603"/>
    <w:rsid w:val="00B34C76"/>
    <w:rsid w:val="00B35DF8"/>
    <w:rsid w:val="00B36FAE"/>
    <w:rsid w:val="00B37012"/>
    <w:rsid w:val="00B3715B"/>
    <w:rsid w:val="00B37E6B"/>
    <w:rsid w:val="00B4004B"/>
    <w:rsid w:val="00B404E2"/>
    <w:rsid w:val="00B41C6F"/>
    <w:rsid w:val="00B43374"/>
    <w:rsid w:val="00B45703"/>
    <w:rsid w:val="00B45A6D"/>
    <w:rsid w:val="00B45EBE"/>
    <w:rsid w:val="00B46965"/>
    <w:rsid w:val="00B4710C"/>
    <w:rsid w:val="00B5012A"/>
    <w:rsid w:val="00B50E55"/>
    <w:rsid w:val="00B5186B"/>
    <w:rsid w:val="00B565B3"/>
    <w:rsid w:val="00B56935"/>
    <w:rsid w:val="00B60469"/>
    <w:rsid w:val="00B60617"/>
    <w:rsid w:val="00B6062D"/>
    <w:rsid w:val="00B62DA6"/>
    <w:rsid w:val="00B63DB1"/>
    <w:rsid w:val="00B6474F"/>
    <w:rsid w:val="00B64757"/>
    <w:rsid w:val="00B6496E"/>
    <w:rsid w:val="00B651F7"/>
    <w:rsid w:val="00B6539A"/>
    <w:rsid w:val="00B655CD"/>
    <w:rsid w:val="00B6640C"/>
    <w:rsid w:val="00B678A4"/>
    <w:rsid w:val="00B700D7"/>
    <w:rsid w:val="00B70625"/>
    <w:rsid w:val="00B70C8A"/>
    <w:rsid w:val="00B713B7"/>
    <w:rsid w:val="00B72875"/>
    <w:rsid w:val="00B739B1"/>
    <w:rsid w:val="00B749FD"/>
    <w:rsid w:val="00B751E6"/>
    <w:rsid w:val="00B752D4"/>
    <w:rsid w:val="00B76042"/>
    <w:rsid w:val="00B76E73"/>
    <w:rsid w:val="00B77388"/>
    <w:rsid w:val="00B7765A"/>
    <w:rsid w:val="00B80A12"/>
    <w:rsid w:val="00B80A93"/>
    <w:rsid w:val="00B81698"/>
    <w:rsid w:val="00B832BF"/>
    <w:rsid w:val="00B849EE"/>
    <w:rsid w:val="00B85D78"/>
    <w:rsid w:val="00B864B7"/>
    <w:rsid w:val="00B87973"/>
    <w:rsid w:val="00B916AB"/>
    <w:rsid w:val="00B916B7"/>
    <w:rsid w:val="00B91E52"/>
    <w:rsid w:val="00B92A3E"/>
    <w:rsid w:val="00B939A4"/>
    <w:rsid w:val="00B93C59"/>
    <w:rsid w:val="00B95159"/>
    <w:rsid w:val="00B96703"/>
    <w:rsid w:val="00B97E57"/>
    <w:rsid w:val="00BA347A"/>
    <w:rsid w:val="00BA566B"/>
    <w:rsid w:val="00BA56B2"/>
    <w:rsid w:val="00BA63A8"/>
    <w:rsid w:val="00BA6A6B"/>
    <w:rsid w:val="00BA7CA0"/>
    <w:rsid w:val="00BA7E89"/>
    <w:rsid w:val="00BB048D"/>
    <w:rsid w:val="00BB50DC"/>
    <w:rsid w:val="00BB6013"/>
    <w:rsid w:val="00BB7B81"/>
    <w:rsid w:val="00BC0AE9"/>
    <w:rsid w:val="00BC0C1E"/>
    <w:rsid w:val="00BC29D2"/>
    <w:rsid w:val="00BC6326"/>
    <w:rsid w:val="00BC7CF7"/>
    <w:rsid w:val="00BD18C8"/>
    <w:rsid w:val="00BD304A"/>
    <w:rsid w:val="00BD35C1"/>
    <w:rsid w:val="00BD3C28"/>
    <w:rsid w:val="00BD493B"/>
    <w:rsid w:val="00BD4BD4"/>
    <w:rsid w:val="00BD54ED"/>
    <w:rsid w:val="00BD5506"/>
    <w:rsid w:val="00BD65A0"/>
    <w:rsid w:val="00BD6F53"/>
    <w:rsid w:val="00BD783B"/>
    <w:rsid w:val="00BD7FB2"/>
    <w:rsid w:val="00BE0AA3"/>
    <w:rsid w:val="00BE14E2"/>
    <w:rsid w:val="00BE41D2"/>
    <w:rsid w:val="00BE4312"/>
    <w:rsid w:val="00BF123A"/>
    <w:rsid w:val="00BF1513"/>
    <w:rsid w:val="00BF3246"/>
    <w:rsid w:val="00BF3BDB"/>
    <w:rsid w:val="00BF4CF3"/>
    <w:rsid w:val="00BF51C4"/>
    <w:rsid w:val="00BF7E9A"/>
    <w:rsid w:val="00C012F9"/>
    <w:rsid w:val="00C02775"/>
    <w:rsid w:val="00C03141"/>
    <w:rsid w:val="00C03564"/>
    <w:rsid w:val="00C04201"/>
    <w:rsid w:val="00C053FE"/>
    <w:rsid w:val="00C10C71"/>
    <w:rsid w:val="00C10DC2"/>
    <w:rsid w:val="00C111DD"/>
    <w:rsid w:val="00C135FC"/>
    <w:rsid w:val="00C13766"/>
    <w:rsid w:val="00C13C97"/>
    <w:rsid w:val="00C14263"/>
    <w:rsid w:val="00C14A31"/>
    <w:rsid w:val="00C154D3"/>
    <w:rsid w:val="00C156E4"/>
    <w:rsid w:val="00C16E42"/>
    <w:rsid w:val="00C16FD8"/>
    <w:rsid w:val="00C17636"/>
    <w:rsid w:val="00C1779A"/>
    <w:rsid w:val="00C1779E"/>
    <w:rsid w:val="00C17ED0"/>
    <w:rsid w:val="00C208EE"/>
    <w:rsid w:val="00C24067"/>
    <w:rsid w:val="00C25A83"/>
    <w:rsid w:val="00C264CB"/>
    <w:rsid w:val="00C2677F"/>
    <w:rsid w:val="00C27A54"/>
    <w:rsid w:val="00C30318"/>
    <w:rsid w:val="00C31260"/>
    <w:rsid w:val="00C32916"/>
    <w:rsid w:val="00C35F14"/>
    <w:rsid w:val="00C366EF"/>
    <w:rsid w:val="00C36B40"/>
    <w:rsid w:val="00C4431E"/>
    <w:rsid w:val="00C44C61"/>
    <w:rsid w:val="00C45668"/>
    <w:rsid w:val="00C45C7F"/>
    <w:rsid w:val="00C467BA"/>
    <w:rsid w:val="00C4696F"/>
    <w:rsid w:val="00C50C51"/>
    <w:rsid w:val="00C52D9D"/>
    <w:rsid w:val="00C53DFC"/>
    <w:rsid w:val="00C56985"/>
    <w:rsid w:val="00C5731C"/>
    <w:rsid w:val="00C575A7"/>
    <w:rsid w:val="00C60143"/>
    <w:rsid w:val="00C60392"/>
    <w:rsid w:val="00C60842"/>
    <w:rsid w:val="00C61013"/>
    <w:rsid w:val="00C613D8"/>
    <w:rsid w:val="00C646B5"/>
    <w:rsid w:val="00C66707"/>
    <w:rsid w:val="00C71E0F"/>
    <w:rsid w:val="00C729C9"/>
    <w:rsid w:val="00C7330E"/>
    <w:rsid w:val="00C75D25"/>
    <w:rsid w:val="00C80151"/>
    <w:rsid w:val="00C8052B"/>
    <w:rsid w:val="00C8090A"/>
    <w:rsid w:val="00C82182"/>
    <w:rsid w:val="00C825A3"/>
    <w:rsid w:val="00C87D2B"/>
    <w:rsid w:val="00C9342A"/>
    <w:rsid w:val="00C94207"/>
    <w:rsid w:val="00C94696"/>
    <w:rsid w:val="00C9738C"/>
    <w:rsid w:val="00CA1BEC"/>
    <w:rsid w:val="00CA365F"/>
    <w:rsid w:val="00CA385F"/>
    <w:rsid w:val="00CA45C7"/>
    <w:rsid w:val="00CA65CF"/>
    <w:rsid w:val="00CA67E1"/>
    <w:rsid w:val="00CA6F89"/>
    <w:rsid w:val="00CA70B1"/>
    <w:rsid w:val="00CA7193"/>
    <w:rsid w:val="00CA7B0E"/>
    <w:rsid w:val="00CA7B18"/>
    <w:rsid w:val="00CA7D1B"/>
    <w:rsid w:val="00CB050D"/>
    <w:rsid w:val="00CB06F9"/>
    <w:rsid w:val="00CB170B"/>
    <w:rsid w:val="00CB2868"/>
    <w:rsid w:val="00CB3A6D"/>
    <w:rsid w:val="00CB68EE"/>
    <w:rsid w:val="00CB6EC3"/>
    <w:rsid w:val="00CB7B8E"/>
    <w:rsid w:val="00CC049E"/>
    <w:rsid w:val="00CC402D"/>
    <w:rsid w:val="00CC4591"/>
    <w:rsid w:val="00CC7ED3"/>
    <w:rsid w:val="00CD0319"/>
    <w:rsid w:val="00CD309F"/>
    <w:rsid w:val="00CD4701"/>
    <w:rsid w:val="00CD477A"/>
    <w:rsid w:val="00CD4934"/>
    <w:rsid w:val="00CD4AAE"/>
    <w:rsid w:val="00CD51D0"/>
    <w:rsid w:val="00CD6650"/>
    <w:rsid w:val="00CD714A"/>
    <w:rsid w:val="00CD77AB"/>
    <w:rsid w:val="00CD7841"/>
    <w:rsid w:val="00CE1A50"/>
    <w:rsid w:val="00CE2764"/>
    <w:rsid w:val="00CE2F71"/>
    <w:rsid w:val="00CE6702"/>
    <w:rsid w:val="00CE696E"/>
    <w:rsid w:val="00CE6C50"/>
    <w:rsid w:val="00CE7C89"/>
    <w:rsid w:val="00CF00B4"/>
    <w:rsid w:val="00CF090E"/>
    <w:rsid w:val="00CF0A21"/>
    <w:rsid w:val="00CF1819"/>
    <w:rsid w:val="00CF2E91"/>
    <w:rsid w:val="00CF470B"/>
    <w:rsid w:val="00CF605C"/>
    <w:rsid w:val="00CF6289"/>
    <w:rsid w:val="00CF6D95"/>
    <w:rsid w:val="00CF7803"/>
    <w:rsid w:val="00D0018C"/>
    <w:rsid w:val="00D0081A"/>
    <w:rsid w:val="00D02128"/>
    <w:rsid w:val="00D0544D"/>
    <w:rsid w:val="00D071F0"/>
    <w:rsid w:val="00D0743B"/>
    <w:rsid w:val="00D10F57"/>
    <w:rsid w:val="00D1239D"/>
    <w:rsid w:val="00D126D4"/>
    <w:rsid w:val="00D1322D"/>
    <w:rsid w:val="00D17034"/>
    <w:rsid w:val="00D20B34"/>
    <w:rsid w:val="00D21F14"/>
    <w:rsid w:val="00D25DD0"/>
    <w:rsid w:val="00D27F30"/>
    <w:rsid w:val="00D30E8A"/>
    <w:rsid w:val="00D30EF0"/>
    <w:rsid w:val="00D315FD"/>
    <w:rsid w:val="00D329DB"/>
    <w:rsid w:val="00D337AB"/>
    <w:rsid w:val="00D35A5E"/>
    <w:rsid w:val="00D36550"/>
    <w:rsid w:val="00D4085C"/>
    <w:rsid w:val="00D41361"/>
    <w:rsid w:val="00D41EDB"/>
    <w:rsid w:val="00D44DF0"/>
    <w:rsid w:val="00D45165"/>
    <w:rsid w:val="00D475CF"/>
    <w:rsid w:val="00D51225"/>
    <w:rsid w:val="00D5172C"/>
    <w:rsid w:val="00D52030"/>
    <w:rsid w:val="00D5420D"/>
    <w:rsid w:val="00D54498"/>
    <w:rsid w:val="00D55692"/>
    <w:rsid w:val="00D557AA"/>
    <w:rsid w:val="00D55DAF"/>
    <w:rsid w:val="00D62F9F"/>
    <w:rsid w:val="00D62FBB"/>
    <w:rsid w:val="00D63F45"/>
    <w:rsid w:val="00D65C15"/>
    <w:rsid w:val="00D6770B"/>
    <w:rsid w:val="00D7189C"/>
    <w:rsid w:val="00D7203F"/>
    <w:rsid w:val="00D73BCE"/>
    <w:rsid w:val="00D7525A"/>
    <w:rsid w:val="00D7771B"/>
    <w:rsid w:val="00D77D63"/>
    <w:rsid w:val="00D801F7"/>
    <w:rsid w:val="00D81257"/>
    <w:rsid w:val="00D821C6"/>
    <w:rsid w:val="00D8359D"/>
    <w:rsid w:val="00D85540"/>
    <w:rsid w:val="00D87845"/>
    <w:rsid w:val="00D87897"/>
    <w:rsid w:val="00D87B73"/>
    <w:rsid w:val="00D90DE4"/>
    <w:rsid w:val="00D916D4"/>
    <w:rsid w:val="00D947E2"/>
    <w:rsid w:val="00D947F3"/>
    <w:rsid w:val="00D95D49"/>
    <w:rsid w:val="00DA01F7"/>
    <w:rsid w:val="00DA17CC"/>
    <w:rsid w:val="00DA22B4"/>
    <w:rsid w:val="00DA52E0"/>
    <w:rsid w:val="00DA62FA"/>
    <w:rsid w:val="00DA7C03"/>
    <w:rsid w:val="00DB0032"/>
    <w:rsid w:val="00DB22BE"/>
    <w:rsid w:val="00DB780B"/>
    <w:rsid w:val="00DB7851"/>
    <w:rsid w:val="00DC0060"/>
    <w:rsid w:val="00DC0E9A"/>
    <w:rsid w:val="00DC2499"/>
    <w:rsid w:val="00DC4296"/>
    <w:rsid w:val="00DC5B38"/>
    <w:rsid w:val="00DC68AC"/>
    <w:rsid w:val="00DC7ADB"/>
    <w:rsid w:val="00DD03A7"/>
    <w:rsid w:val="00DD27B6"/>
    <w:rsid w:val="00DD43C3"/>
    <w:rsid w:val="00DD4AF6"/>
    <w:rsid w:val="00DD5195"/>
    <w:rsid w:val="00DD7BD2"/>
    <w:rsid w:val="00DE0863"/>
    <w:rsid w:val="00DE0A6B"/>
    <w:rsid w:val="00DE162B"/>
    <w:rsid w:val="00DE54E8"/>
    <w:rsid w:val="00DE7542"/>
    <w:rsid w:val="00DF2089"/>
    <w:rsid w:val="00DF419E"/>
    <w:rsid w:val="00DF4320"/>
    <w:rsid w:val="00DF4E3C"/>
    <w:rsid w:val="00DF5E2D"/>
    <w:rsid w:val="00DF6793"/>
    <w:rsid w:val="00DF7918"/>
    <w:rsid w:val="00DF7924"/>
    <w:rsid w:val="00E004AB"/>
    <w:rsid w:val="00E039B5"/>
    <w:rsid w:val="00E03BB4"/>
    <w:rsid w:val="00E04016"/>
    <w:rsid w:val="00E06104"/>
    <w:rsid w:val="00E065A1"/>
    <w:rsid w:val="00E066C9"/>
    <w:rsid w:val="00E101A1"/>
    <w:rsid w:val="00E103E1"/>
    <w:rsid w:val="00E1172F"/>
    <w:rsid w:val="00E124F0"/>
    <w:rsid w:val="00E13F5D"/>
    <w:rsid w:val="00E166B3"/>
    <w:rsid w:val="00E16AD0"/>
    <w:rsid w:val="00E22803"/>
    <w:rsid w:val="00E22884"/>
    <w:rsid w:val="00E23C7E"/>
    <w:rsid w:val="00E24454"/>
    <w:rsid w:val="00E24BBD"/>
    <w:rsid w:val="00E26A66"/>
    <w:rsid w:val="00E2708A"/>
    <w:rsid w:val="00E2725E"/>
    <w:rsid w:val="00E27684"/>
    <w:rsid w:val="00E27AC2"/>
    <w:rsid w:val="00E27EC3"/>
    <w:rsid w:val="00E317CF"/>
    <w:rsid w:val="00E32155"/>
    <w:rsid w:val="00E3309E"/>
    <w:rsid w:val="00E33BC5"/>
    <w:rsid w:val="00E33ED7"/>
    <w:rsid w:val="00E35CB1"/>
    <w:rsid w:val="00E35DF6"/>
    <w:rsid w:val="00E37291"/>
    <w:rsid w:val="00E4080B"/>
    <w:rsid w:val="00E41DB2"/>
    <w:rsid w:val="00E4407D"/>
    <w:rsid w:val="00E446EF"/>
    <w:rsid w:val="00E44F71"/>
    <w:rsid w:val="00E464AA"/>
    <w:rsid w:val="00E46943"/>
    <w:rsid w:val="00E46F49"/>
    <w:rsid w:val="00E53CDA"/>
    <w:rsid w:val="00E54098"/>
    <w:rsid w:val="00E555BA"/>
    <w:rsid w:val="00E55C47"/>
    <w:rsid w:val="00E56B5D"/>
    <w:rsid w:val="00E575BD"/>
    <w:rsid w:val="00E60419"/>
    <w:rsid w:val="00E6055D"/>
    <w:rsid w:val="00E62DA5"/>
    <w:rsid w:val="00E6380D"/>
    <w:rsid w:val="00E6427B"/>
    <w:rsid w:val="00E64571"/>
    <w:rsid w:val="00E64A4C"/>
    <w:rsid w:val="00E65670"/>
    <w:rsid w:val="00E662CD"/>
    <w:rsid w:val="00E71DA7"/>
    <w:rsid w:val="00E737E2"/>
    <w:rsid w:val="00E73980"/>
    <w:rsid w:val="00E75EA6"/>
    <w:rsid w:val="00E77496"/>
    <w:rsid w:val="00E77711"/>
    <w:rsid w:val="00E81D68"/>
    <w:rsid w:val="00E8749B"/>
    <w:rsid w:val="00E90F1E"/>
    <w:rsid w:val="00E91089"/>
    <w:rsid w:val="00E93E2B"/>
    <w:rsid w:val="00E9607D"/>
    <w:rsid w:val="00E961F6"/>
    <w:rsid w:val="00EA00B0"/>
    <w:rsid w:val="00EA00BD"/>
    <w:rsid w:val="00EA068C"/>
    <w:rsid w:val="00EA2E09"/>
    <w:rsid w:val="00EA44AB"/>
    <w:rsid w:val="00EA4BAE"/>
    <w:rsid w:val="00EA4EF2"/>
    <w:rsid w:val="00EA55BD"/>
    <w:rsid w:val="00EA5F40"/>
    <w:rsid w:val="00EA75A3"/>
    <w:rsid w:val="00EA7D4A"/>
    <w:rsid w:val="00EB13A5"/>
    <w:rsid w:val="00EB2995"/>
    <w:rsid w:val="00EB3260"/>
    <w:rsid w:val="00EB38A2"/>
    <w:rsid w:val="00EB4EE8"/>
    <w:rsid w:val="00EB4F13"/>
    <w:rsid w:val="00EB4F82"/>
    <w:rsid w:val="00EB510D"/>
    <w:rsid w:val="00EB5153"/>
    <w:rsid w:val="00EB5ED3"/>
    <w:rsid w:val="00EB67AA"/>
    <w:rsid w:val="00EB6B5A"/>
    <w:rsid w:val="00EB7A2F"/>
    <w:rsid w:val="00EC118F"/>
    <w:rsid w:val="00EC1544"/>
    <w:rsid w:val="00EC1D43"/>
    <w:rsid w:val="00EC2651"/>
    <w:rsid w:val="00EC681E"/>
    <w:rsid w:val="00EC6979"/>
    <w:rsid w:val="00EC7012"/>
    <w:rsid w:val="00ED22CE"/>
    <w:rsid w:val="00ED40DE"/>
    <w:rsid w:val="00ED6788"/>
    <w:rsid w:val="00ED6BD3"/>
    <w:rsid w:val="00EE13DC"/>
    <w:rsid w:val="00EE1606"/>
    <w:rsid w:val="00EE2C00"/>
    <w:rsid w:val="00EE3745"/>
    <w:rsid w:val="00EE3AB1"/>
    <w:rsid w:val="00EE4B4B"/>
    <w:rsid w:val="00EE6B93"/>
    <w:rsid w:val="00EF16FD"/>
    <w:rsid w:val="00EF27B0"/>
    <w:rsid w:val="00EF3DB7"/>
    <w:rsid w:val="00F0111B"/>
    <w:rsid w:val="00F05BE6"/>
    <w:rsid w:val="00F110B8"/>
    <w:rsid w:val="00F11A2C"/>
    <w:rsid w:val="00F11DC8"/>
    <w:rsid w:val="00F12D3A"/>
    <w:rsid w:val="00F146A2"/>
    <w:rsid w:val="00F169FF"/>
    <w:rsid w:val="00F16BEF"/>
    <w:rsid w:val="00F17A49"/>
    <w:rsid w:val="00F20747"/>
    <w:rsid w:val="00F20C9C"/>
    <w:rsid w:val="00F21E83"/>
    <w:rsid w:val="00F22229"/>
    <w:rsid w:val="00F24C47"/>
    <w:rsid w:val="00F267F1"/>
    <w:rsid w:val="00F302C2"/>
    <w:rsid w:val="00F305D3"/>
    <w:rsid w:val="00F31D40"/>
    <w:rsid w:val="00F33051"/>
    <w:rsid w:val="00F33D07"/>
    <w:rsid w:val="00F34A68"/>
    <w:rsid w:val="00F352E0"/>
    <w:rsid w:val="00F357D7"/>
    <w:rsid w:val="00F36636"/>
    <w:rsid w:val="00F36A30"/>
    <w:rsid w:val="00F41C50"/>
    <w:rsid w:val="00F4433B"/>
    <w:rsid w:val="00F4474B"/>
    <w:rsid w:val="00F447FB"/>
    <w:rsid w:val="00F458D4"/>
    <w:rsid w:val="00F47381"/>
    <w:rsid w:val="00F51592"/>
    <w:rsid w:val="00F51F01"/>
    <w:rsid w:val="00F528F9"/>
    <w:rsid w:val="00F52A5C"/>
    <w:rsid w:val="00F53437"/>
    <w:rsid w:val="00F53BFF"/>
    <w:rsid w:val="00F54EEB"/>
    <w:rsid w:val="00F55390"/>
    <w:rsid w:val="00F55B99"/>
    <w:rsid w:val="00F61DB4"/>
    <w:rsid w:val="00F63962"/>
    <w:rsid w:val="00F64481"/>
    <w:rsid w:val="00F6601E"/>
    <w:rsid w:val="00F661F4"/>
    <w:rsid w:val="00F66909"/>
    <w:rsid w:val="00F705CA"/>
    <w:rsid w:val="00F713F4"/>
    <w:rsid w:val="00F71582"/>
    <w:rsid w:val="00F759FC"/>
    <w:rsid w:val="00F76959"/>
    <w:rsid w:val="00F76FB3"/>
    <w:rsid w:val="00F8059C"/>
    <w:rsid w:val="00F823A9"/>
    <w:rsid w:val="00F82FE1"/>
    <w:rsid w:val="00F84A0C"/>
    <w:rsid w:val="00F84C2F"/>
    <w:rsid w:val="00F853AD"/>
    <w:rsid w:val="00F8730B"/>
    <w:rsid w:val="00F915F4"/>
    <w:rsid w:val="00F92013"/>
    <w:rsid w:val="00F921D3"/>
    <w:rsid w:val="00F92224"/>
    <w:rsid w:val="00F926DB"/>
    <w:rsid w:val="00F940B8"/>
    <w:rsid w:val="00F96021"/>
    <w:rsid w:val="00F976B8"/>
    <w:rsid w:val="00F978A0"/>
    <w:rsid w:val="00F97C26"/>
    <w:rsid w:val="00FA63A4"/>
    <w:rsid w:val="00FA6870"/>
    <w:rsid w:val="00FB1FBA"/>
    <w:rsid w:val="00FB35A1"/>
    <w:rsid w:val="00FB4D22"/>
    <w:rsid w:val="00FB55F9"/>
    <w:rsid w:val="00FC4610"/>
    <w:rsid w:val="00FC4856"/>
    <w:rsid w:val="00FC65AA"/>
    <w:rsid w:val="00FC7175"/>
    <w:rsid w:val="00FC7820"/>
    <w:rsid w:val="00FD1172"/>
    <w:rsid w:val="00FD211D"/>
    <w:rsid w:val="00FD4AA6"/>
    <w:rsid w:val="00FD4D33"/>
    <w:rsid w:val="00FD5346"/>
    <w:rsid w:val="00FD653B"/>
    <w:rsid w:val="00FE0E66"/>
    <w:rsid w:val="00FE2FA5"/>
    <w:rsid w:val="00FE49A3"/>
    <w:rsid w:val="00FE648B"/>
    <w:rsid w:val="00FE6EBC"/>
    <w:rsid w:val="00FF0F3D"/>
    <w:rsid w:val="00FF415C"/>
    <w:rsid w:val="00FF5403"/>
    <w:rsid w:val="00FF63A5"/>
    <w:rsid w:val="00FF725E"/>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358337"/>
  <w14:defaultImageDpi w14:val="32767"/>
  <w15:chartTrackingRefBased/>
  <w15:docId w15:val="{2BBF0537-558A-44C8-9A4C-8A03130A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125"/>
    <w:pPr>
      <w:tabs>
        <w:tab w:val="left" w:pos="567"/>
      </w:tabs>
    </w:pPr>
    <w:rPr>
      <w:sz w:val="22"/>
      <w:lang w:val="sr-Latn-ME"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link w:val="FooterChar"/>
    <w:uiPriority w:val="99"/>
    <w:pPr>
      <w:tabs>
        <w:tab w:val="center" w:pos="4536"/>
        <w:tab w:val="center" w:pos="8930"/>
      </w:tabs>
    </w:pPr>
    <w:rPr>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ind w:left="720"/>
      <w:jc w:val="both"/>
    </w:pPr>
    <w:rPr>
      <w:szCs w:val="22"/>
      <w:lang w:eastAsia="en-GB"/>
    </w:rPr>
  </w:style>
  <w:style w:type="paragraph" w:styleId="BodyText3">
    <w:name w:val="Body Text 3"/>
    <w:basedOn w:val="Normal"/>
    <w:pPr>
      <w:tabs>
        <w:tab w:val="clear" w:pos="567"/>
      </w:tabs>
      <w:autoSpaceDE w:val="0"/>
      <w:autoSpaceDN w:val="0"/>
      <w:adjustRightInd w:val="0"/>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semiHidden/>
    <w:pPr>
      <w:shd w:val="clear" w:color="auto" w:fill="000080"/>
    </w:p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bCs/>
      <w:color w:val="0000FF"/>
      <w:sz w:val="20"/>
      <w:szCs w:val="14"/>
    </w:rPr>
  </w:style>
  <w:style w:type="character" w:customStyle="1" w:styleId="TextChar">
    <w:name w:val="Text Char"/>
    <w:rPr>
      <w:rFonts w:ascii="Arial" w:hAnsi="Arial" w:cs="Arial"/>
      <w:bCs/>
      <w:color w:val="0000FF"/>
      <w:szCs w:val="14"/>
      <w:lang w:val="sr-Latn-ME" w:eastAsia="en-US" w:bidi="ar-SA"/>
    </w:rPr>
  </w:style>
  <w:style w:type="character" w:styleId="Emphasis">
    <w:name w:val="Emphasis"/>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semiHidden/>
    <w:rPr>
      <w:sz w:val="16"/>
      <w:szCs w:val="16"/>
    </w:rPr>
  </w:style>
  <w:style w:type="paragraph" w:customStyle="1" w:styleId="lbltxt">
    <w:name w:val="lbltxt"/>
    <w:pPr>
      <w:tabs>
        <w:tab w:val="left" w:pos="567"/>
      </w:tabs>
    </w:pPr>
    <w:rPr>
      <w:noProof/>
      <w:sz w:val="22"/>
      <w:lang w:val="sr-Latn-ME" w:eastAsia="en-US"/>
    </w:rPr>
  </w:style>
  <w:style w:type="paragraph" w:customStyle="1" w:styleId="TextBullet">
    <w:name w:val="TextBullet"/>
    <w:basedOn w:val="Normal"/>
    <w:pPr>
      <w:numPr>
        <w:numId w:val="9"/>
      </w:numPr>
      <w:tabs>
        <w:tab w:val="clear" w:pos="567"/>
      </w:tabs>
      <w:suppressAutoHyphens/>
      <w:spacing w:after="100" w:line="340" w:lineRule="atLeast"/>
    </w:pPr>
  </w:style>
  <w:style w:type="character" w:customStyle="1" w:styleId="TextBulletChar">
    <w:name w:val="TextBullet Char"/>
    <w:rPr>
      <w:rFonts w:ascii="Arial" w:hAnsi="Arial"/>
      <w:sz w:val="22"/>
      <w:lang w:val="sr-Latn-ME" w:eastAsia="en-US"/>
    </w:rPr>
  </w:style>
  <w:style w:type="character" w:customStyle="1" w:styleId="SidhuvudChar1">
    <w:name w:val="Sidhuvud Char1"/>
    <w:rPr>
      <w:rFonts w:ascii="Times New Roman" w:hAnsi="Times New Roman"/>
      <w:lang w:val="sr-Latn-ME"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sr-Latn-ME" w:eastAsia="ja-JP"/>
    </w:rPr>
  </w:style>
  <w:style w:type="paragraph" w:customStyle="1" w:styleId="synopsistext0">
    <w:name w:val="synopsistext"/>
    <w:basedOn w:val="Normal"/>
    <w:pPr>
      <w:tabs>
        <w:tab w:val="clear" w:pos="567"/>
      </w:tabs>
      <w:spacing w:before="120" w:after="120"/>
    </w:pPr>
    <w:rPr>
      <w:rFonts w:eastAsia="MS Mincho"/>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sr-Latn-ME"/>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Times New Roman" w:hAnsi="Times New Roman"/>
      <w:lang w:val="sr-Latn-ME"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sz w:val="20"/>
    </w:rPr>
  </w:style>
  <w:style w:type="paragraph" w:customStyle="1" w:styleId="Liststycke">
    <w:name w:val="Liststycke"/>
    <w:basedOn w:val="Normal"/>
    <w:qFormat/>
    <w:pPr>
      <w:ind w:left="1304"/>
    </w:pPr>
  </w:style>
  <w:style w:type="paragraph" w:styleId="Revision">
    <w:name w:val="Revision"/>
    <w:hidden/>
    <w:semiHidden/>
    <w:rPr>
      <w:sz w:val="22"/>
      <w:lang w:val="sr-Latn-ME" w:eastAsia="en-US"/>
    </w:rPr>
  </w:style>
  <w:style w:type="paragraph" w:customStyle="1" w:styleId="Ballongtext2">
    <w:name w:val="Ballongtext2"/>
    <w:basedOn w:val="Normal"/>
    <w:semiHidden/>
    <w:rPr>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b/>
    </w:rPr>
  </w:style>
  <w:style w:type="character" w:customStyle="1" w:styleId="BeskrivningChar">
    <w:name w:val="Beskrivning Char"/>
    <w:rPr>
      <w:rFonts w:ascii="Arial" w:hAnsi="Arial"/>
      <w:b/>
      <w:sz w:val="22"/>
      <w:lang w:val="sr-Latn-ME" w:eastAsia="en-US"/>
    </w:rPr>
  </w:style>
  <w:style w:type="character" w:customStyle="1" w:styleId="z3988">
    <w:name w:val="z3988"/>
    <w:basedOn w:val="DefaultParagraphFont"/>
  </w:style>
  <w:style w:type="character" w:customStyle="1" w:styleId="SidhuvudChar2">
    <w:name w:val="Sidhuvud Char2"/>
    <w:rPr>
      <w:rFonts w:ascii="Times New Roman" w:hAnsi="Times New Roman"/>
      <w:lang w:val="sr-Latn-ME" w:eastAsia="en-US" w:bidi="ar-SA"/>
    </w:rPr>
  </w:style>
  <w:style w:type="character" w:styleId="Strong">
    <w:name w:val="Strong"/>
    <w:uiPriority w:val="22"/>
    <w:qFormat/>
    <w:rPr>
      <w:b/>
      <w:bCs/>
    </w:rPr>
  </w:style>
  <w:style w:type="paragraph" w:styleId="Date">
    <w:name w:val="Date"/>
    <w:basedOn w:val="Normal"/>
    <w:next w:val="Normal"/>
    <w:pPr>
      <w:tabs>
        <w:tab w:val="clear" w:pos="567"/>
      </w:tabs>
    </w:pPr>
  </w:style>
  <w:style w:type="paragraph" w:styleId="CommentSubject">
    <w:name w:val="annotation subject"/>
    <w:basedOn w:val="CommentText"/>
    <w:next w:val="CommentText"/>
    <w:semiHidden/>
    <w:rPr>
      <w:b/>
      <w:bCs/>
    </w:rPr>
  </w:style>
  <w:style w:type="paragraph" w:customStyle="1" w:styleId="TitleA">
    <w:name w:val="Title A"/>
    <w:basedOn w:val="Normal"/>
    <w:rsid w:val="00023BE0"/>
    <w:pPr>
      <w:jc w:val="center"/>
    </w:pPr>
    <w:rPr>
      <w:b/>
      <w:noProof/>
    </w:rPr>
  </w:style>
  <w:style w:type="paragraph" w:customStyle="1" w:styleId="TitleB">
    <w:name w:val="Title B"/>
    <w:basedOn w:val="Normal"/>
    <w:qFormat/>
    <w:rsid w:val="00023BE0"/>
    <w:pPr>
      <w:ind w:left="1701" w:right="1416" w:hanging="708"/>
    </w:pPr>
    <w:rPr>
      <w:b/>
      <w:noProof/>
    </w:rPr>
  </w:style>
  <w:style w:type="character" w:customStyle="1" w:styleId="CommentTextChar">
    <w:name w:val="Comment Text Char"/>
    <w:link w:val="CommentText"/>
    <w:uiPriority w:val="99"/>
    <w:rsid w:val="006606E8"/>
    <w:rPr>
      <w:lang w:val="sr-Latn-ME"/>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sr-Latn-ME" w:eastAsia="ja-JP"/>
    </w:rPr>
  </w:style>
  <w:style w:type="paragraph" w:styleId="ListParagraph">
    <w:name w:val="List Paragraph"/>
    <w:basedOn w:val="Normal"/>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rFonts w:eastAsia="PMingLiU"/>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rFonts w:eastAsia="PMingLiU"/>
      <w:color w:val="000000"/>
      <w:sz w:val="20"/>
      <w:lang w:eastAsia="ja-JP"/>
    </w:rPr>
  </w:style>
  <w:style w:type="character" w:customStyle="1" w:styleId="BodytextAgencyChar">
    <w:name w:val="Body text (Agency) Char"/>
    <w:link w:val="BodytextAgency"/>
    <w:locked/>
    <w:rsid w:val="00692E63"/>
    <w:rPr>
      <w:sz w:val="24"/>
      <w:szCs w:val="24"/>
    </w:rPr>
  </w:style>
  <w:style w:type="table" w:styleId="TableGrid">
    <w:name w:val="Table Grid"/>
    <w:basedOn w:val="TableNormal"/>
    <w:rsid w:val="009F5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03764"/>
    <w:rPr>
      <w:sz w:val="16"/>
      <w:lang w:val="sr-Latn-ME"/>
    </w:rPr>
  </w:style>
  <w:style w:type="paragraph" w:customStyle="1" w:styleId="Style11">
    <w:name w:val="Style 11"/>
    <w:basedOn w:val="Text"/>
    <w:qFormat/>
    <w:rsid w:val="00014D50"/>
    <w:pPr>
      <w:tabs>
        <w:tab w:val="left" w:pos="567"/>
      </w:tabs>
      <w:spacing w:before="0" w:beforeAutospacing="0" w:after="0" w:afterAutospacing="0" w:line="240" w:lineRule="auto"/>
      <w:ind w:left="0"/>
    </w:pPr>
    <w:rPr>
      <w:bCs w:val="0"/>
      <w:color w:val="auto"/>
      <w:sz w:val="22"/>
      <w:szCs w:val="22"/>
    </w:rPr>
  </w:style>
  <w:style w:type="paragraph" w:customStyle="1" w:styleId="Style11BoldLeft">
    <w:name w:val="Style 11 Bold Left"/>
    <w:basedOn w:val="Normal"/>
    <w:qFormat/>
    <w:rsid w:val="00014D50"/>
    <w:pPr>
      <w:keepNext/>
    </w:pPr>
    <w:rPr>
      <w:b/>
      <w:bCs/>
      <w:szCs w:val="22"/>
    </w:rPr>
  </w:style>
  <w:style w:type="paragraph" w:customStyle="1" w:styleId="Styletablenotes">
    <w:name w:val="Style table notes"/>
    <w:basedOn w:val="Normal"/>
    <w:qFormat/>
    <w:rsid w:val="00014D50"/>
    <w:pPr>
      <w:keepNext/>
    </w:pPr>
    <w:rPr>
      <w:sz w:val="20"/>
    </w:rPr>
  </w:style>
  <w:style w:type="paragraph" w:customStyle="1" w:styleId="Style11Underlined">
    <w:name w:val="Style 11 Underlined"/>
    <w:basedOn w:val="Text"/>
    <w:qFormat/>
    <w:rsid w:val="00E73980"/>
    <w:pPr>
      <w:keepNext/>
      <w:tabs>
        <w:tab w:val="left" w:pos="567"/>
      </w:tabs>
      <w:spacing w:before="0" w:beforeAutospacing="0" w:after="0" w:afterAutospacing="0" w:line="240" w:lineRule="auto"/>
      <w:ind w:left="0"/>
    </w:pPr>
    <w:rPr>
      <w:bCs w:val="0"/>
      <w:color w:val="auto"/>
      <w:sz w:val="22"/>
      <w:szCs w:val="22"/>
      <w:u w:val="single"/>
    </w:rPr>
  </w:style>
  <w:style w:type="paragraph" w:customStyle="1" w:styleId="11ptitalic">
    <w:name w:val="_11pt italic"/>
    <w:basedOn w:val="Normal"/>
    <w:qFormat/>
    <w:rsid w:val="00DA7C03"/>
    <w:rPr>
      <w:i/>
      <w:iCs/>
      <w:szCs w:val="22"/>
    </w:rPr>
  </w:style>
  <w:style w:type="paragraph" w:customStyle="1" w:styleId="Style11ptunderlined">
    <w:name w:val="_Style 11pt underlined"/>
    <w:basedOn w:val="Normal"/>
    <w:qFormat/>
    <w:rsid w:val="00321EDE"/>
    <w:pPr>
      <w:keepNext/>
    </w:pPr>
    <w:rPr>
      <w:rFonts w:eastAsia="PMingLiU"/>
      <w:szCs w:val="22"/>
      <w:u w:val="single"/>
    </w:rPr>
  </w:style>
  <w:style w:type="character" w:customStyle="1" w:styleId="UnresolvedMention1">
    <w:name w:val="Unresolved Mention1"/>
    <w:uiPriority w:val="99"/>
    <w:semiHidden/>
    <w:unhideWhenUsed/>
    <w:rsid w:val="00E4407D"/>
    <w:rPr>
      <w:color w:val="605E5C"/>
      <w:shd w:val="clear" w:color="auto" w:fill="E1DFDD"/>
    </w:rPr>
  </w:style>
  <w:style w:type="paragraph" w:customStyle="1" w:styleId="Style11ptBoldUnderlinedCenter">
    <w:name w:val="_Style 11pt Bold Underlined Center"/>
    <w:basedOn w:val="TitleA"/>
    <w:qFormat/>
    <w:rsid w:val="008E020C"/>
    <w:pPr>
      <w:keepNext/>
    </w:pPr>
    <w:rPr>
      <w:noProof w:val="0"/>
      <w:u w:val="single"/>
    </w:rPr>
  </w:style>
  <w:style w:type="paragraph" w:customStyle="1" w:styleId="Style11ptItalic">
    <w:name w:val="_Style 11pt Italic"/>
    <w:basedOn w:val="Normal"/>
    <w:qFormat/>
    <w:rsid w:val="008E020C"/>
    <w:pPr>
      <w:keepNext/>
    </w:pPr>
    <w:rPr>
      <w:i/>
      <w:iCs/>
    </w:rPr>
  </w:style>
  <w:style w:type="paragraph" w:customStyle="1" w:styleId="Style11ptBold">
    <w:name w:val="_Style 11pt Bold"/>
    <w:basedOn w:val="Normal"/>
    <w:qFormat/>
    <w:rsid w:val="0088274A"/>
    <w:pPr>
      <w:keepNext/>
      <w:tabs>
        <w:tab w:val="clear" w:pos="567"/>
      </w:tabs>
      <w:ind w:left="567" w:hanging="567"/>
    </w:pPr>
    <w:rPr>
      <w:b/>
      <w:szCs w:val="22"/>
    </w:rPr>
  </w:style>
  <w:style w:type="paragraph" w:styleId="Title">
    <w:name w:val="Title"/>
    <w:basedOn w:val="Normal"/>
    <w:next w:val="Normal"/>
    <w:link w:val="TitleChar"/>
    <w:qFormat/>
    <w:rsid w:val="00A9157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A91574"/>
    <w:rPr>
      <w:rFonts w:ascii="Calibri Light" w:eastAsia="DengXian Light" w:hAnsi="Calibri Light" w:cs="Times New Roman"/>
      <w:b/>
      <w:bCs/>
      <w:kern w:val="28"/>
      <w:sz w:val="32"/>
      <w:szCs w:val="32"/>
      <w:lang w:val="sr-Latn-M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1006">
      <w:bodyDiv w:val="1"/>
      <w:marLeft w:val="0"/>
      <w:marRight w:val="0"/>
      <w:marTop w:val="0"/>
      <w:marBottom w:val="0"/>
      <w:divBdr>
        <w:top w:val="none" w:sz="0" w:space="0" w:color="auto"/>
        <w:left w:val="none" w:sz="0" w:space="0" w:color="auto"/>
        <w:bottom w:val="none" w:sz="0" w:space="0" w:color="auto"/>
        <w:right w:val="none" w:sz="0" w:space="0" w:color="auto"/>
      </w:divBdr>
    </w:div>
    <w:div w:id="1021128981">
      <w:bodyDiv w:val="1"/>
      <w:marLeft w:val="0"/>
      <w:marRight w:val="0"/>
      <w:marTop w:val="0"/>
      <w:marBottom w:val="0"/>
      <w:divBdr>
        <w:top w:val="none" w:sz="0" w:space="0" w:color="auto"/>
        <w:left w:val="none" w:sz="0" w:space="0" w:color="auto"/>
        <w:bottom w:val="none" w:sz="0" w:space="0" w:color="auto"/>
        <w:right w:val="none" w:sz="0" w:space="0" w:color="auto"/>
      </w:divBdr>
    </w:div>
    <w:div w:id="1165440504">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90032773">
      <w:bodyDiv w:val="1"/>
      <w:marLeft w:val="0"/>
      <w:marRight w:val="0"/>
      <w:marTop w:val="0"/>
      <w:marBottom w:val="0"/>
      <w:divBdr>
        <w:top w:val="none" w:sz="0" w:space="0" w:color="auto"/>
        <w:left w:val="none" w:sz="0" w:space="0" w:color="auto"/>
        <w:bottom w:val="none" w:sz="0" w:space="0" w:color="auto"/>
        <w:right w:val="none" w:sz="0" w:space="0" w:color="auto"/>
      </w:divBdr>
    </w:div>
    <w:div w:id="1857110229">
      <w:bodyDiv w:val="1"/>
      <w:marLeft w:val="0"/>
      <w:marRight w:val="0"/>
      <w:marTop w:val="0"/>
      <w:marBottom w:val="0"/>
      <w:divBdr>
        <w:top w:val="none" w:sz="0" w:space="0" w:color="auto"/>
        <w:left w:val="none" w:sz="0" w:space="0" w:color="auto"/>
        <w:bottom w:val="none" w:sz="0" w:space="0" w:color="auto"/>
        <w:right w:val="none" w:sz="0" w:space="0" w:color="auto"/>
      </w:divBdr>
    </w:div>
    <w:div w:id="201360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66c84b6-b7a9-4250-821d-dda0c63ded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D34E7172DC544ADF8E8D61C09FCEF" ma:contentTypeVersion="14" ma:contentTypeDescription="Create a new document." ma:contentTypeScope="" ma:versionID="9c20540d42f3d76aef2f2bffca1624cc">
  <xsd:schema xmlns:xsd="http://www.w3.org/2001/XMLSchema" xmlns:xs="http://www.w3.org/2001/XMLSchema" xmlns:p="http://schemas.microsoft.com/office/2006/metadata/properties" xmlns:ns2="a66c84b6-b7a9-4250-821d-dda0c63ded1e" xmlns:ns3="8f96859e-f3a0-4936-81df-0bd394b63648" targetNamespace="http://schemas.microsoft.com/office/2006/metadata/properties" ma:root="true" ma:fieldsID="7cd10c97dfa81698b152a2020207804b" ns2:_="" ns3:_="">
    <xsd:import namespace="a66c84b6-b7a9-4250-821d-dda0c63ded1e"/>
    <xsd:import namespace="8f96859e-f3a0-4936-81df-0bd394b6364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DateTaken" minOccurs="0"/>
                <xsd:element ref="ns2:MediaServiceAutoTag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84b6-b7a9-4250-821d-dda0c63de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6859e-f3a0-4936-81df-0bd394b636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82ad3a63-90ad-4a46-a3cb-757f4658e205" origin="userSelected">
  <element uid="9036a7a1-5a4f-48d3-b24b-dfdab053dac9" value=""/>
  <element uid="523da9b1-25e0-4c9d-8976-14cdf8125397" value=""/>
  <element uid="7349a702-6462-4442-88eb-c64cd513835c"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8FDD5-C747-4ECE-AD8B-F3FFF6521254}">
  <ds:schemaRefs>
    <ds:schemaRef ds:uri="http://schemas.microsoft.com/office/2006/metadata/properties"/>
    <ds:schemaRef ds:uri="http://schemas.microsoft.com/office/infopath/2007/PartnerControls"/>
    <ds:schemaRef ds:uri="a66c84b6-b7a9-4250-821d-dda0c63ded1e"/>
  </ds:schemaRefs>
</ds:datastoreItem>
</file>

<file path=customXml/itemProps2.xml><?xml version="1.0" encoding="utf-8"?>
<ds:datastoreItem xmlns:ds="http://schemas.openxmlformats.org/officeDocument/2006/customXml" ds:itemID="{B3B06BE9-86EC-4ABF-A956-C7F4CA704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84b6-b7a9-4250-821d-dda0c63ded1e"/>
    <ds:schemaRef ds:uri="8f96859e-f3a0-4936-81df-0bd394b63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C3E2B-F4F5-405E-B3F2-C532966535F4}">
  <ds:schemaRefs>
    <ds:schemaRef ds:uri="http://schemas.microsoft.com/sharepoint/v3/contenttype/forms"/>
  </ds:schemaRefs>
</ds:datastoreItem>
</file>

<file path=customXml/itemProps4.xml><?xml version="1.0" encoding="utf-8"?>
<ds:datastoreItem xmlns:ds="http://schemas.openxmlformats.org/officeDocument/2006/customXml" ds:itemID="{BAB11CF7-B44F-46F3-86AE-F15C2ADCE93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B4CD954-A77A-4F70-9441-C638FB858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7097</Words>
  <Characters>40453</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Prolia, INN-denosumab</vt:lpstr>
    </vt:vector>
  </TitlesOfParts>
  <Company>Amgen Employee</Company>
  <LinksUpToDate>false</LinksUpToDate>
  <CharactersWithSpaces>47456</CharactersWithSpaces>
  <SharedDoc>false</SharedDoc>
  <HLinks>
    <vt:vector size="12" baseType="variant">
      <vt:variant>
        <vt:i4>3539018</vt:i4>
      </vt:variant>
      <vt:variant>
        <vt:i4>3</vt:i4>
      </vt:variant>
      <vt:variant>
        <vt:i4>0</vt:i4>
      </vt:variant>
      <vt:variant>
        <vt:i4>5</vt:i4>
      </vt:variant>
      <vt:variant>
        <vt:lpwstr>nezeljenadejstva@calims.me </vt:lpwstr>
      </vt:variant>
      <vt:variant>
        <vt:lpwstr/>
      </vt:variant>
      <vt:variant>
        <vt:i4>7274537</vt:i4>
      </vt:variant>
      <vt:variant>
        <vt:i4>0</vt:i4>
      </vt:variant>
      <vt:variant>
        <vt:i4>0</vt:i4>
      </vt:variant>
      <vt:variant>
        <vt:i4>5</vt:i4>
      </vt:variant>
      <vt:variant>
        <vt:lpwstr>www.calims.me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Prolia, INN-denosumab</dc:title>
  <dc:subject>EPAR</dc:subject>
  <dc:creator>CHMP</dc:creator>
  <cp:keywords>*$%IU-*$%PatientSaf</cp:keywords>
  <dc:description>EMEA-xxxx-1998</dc:description>
  <cp:lastModifiedBy>Berina Ljuca</cp:lastModifiedBy>
  <cp:revision>19</cp:revision>
  <cp:lastPrinted>2013-04-18T08:06:00Z</cp:lastPrinted>
  <dcterms:created xsi:type="dcterms:W3CDTF">2024-09-19T11:32:00Z</dcterms:created>
  <dcterms:modified xsi:type="dcterms:W3CDTF">2025-06-12T06:28:00Z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Information-EMA/801741/2009</vt:lpwstr>
  </property>
  <property fmtid="{D5CDD505-2E9C-101B-9397-08002B2CF9AE}" pid="6" name="DM_Title">
    <vt:lpwstr/>
  </property>
  <property fmtid="{D5CDD505-2E9C-101B-9397-08002B2CF9AE}" pid="7" name="DM_Language">
    <vt:lpwstr/>
  </property>
  <property fmtid="{D5CDD505-2E9C-101B-9397-08002B2CF9AE}" pid="8" name="DM_Name">
    <vt:lpwstr>Prolia - Product Information for Opinion</vt:lpwstr>
  </property>
  <property fmtid="{D5CDD505-2E9C-101B-9397-08002B2CF9AE}" pid="9" name="DM_Owner">
    <vt:lpwstr>Croton Monika</vt:lpwstr>
  </property>
  <property fmtid="{D5CDD505-2E9C-101B-9397-08002B2CF9AE}" pid="10" name="DM_Creation_Date">
    <vt:lpwstr>15/12/2009 09:32:35</vt:lpwstr>
  </property>
  <property fmtid="{D5CDD505-2E9C-101B-9397-08002B2CF9AE}" pid="11" name="DM_Creator_Name">
    <vt:lpwstr>Croton Monika</vt:lpwstr>
  </property>
  <property fmtid="{D5CDD505-2E9C-101B-9397-08002B2CF9AE}" pid="12" name="DM_Modifer_Name">
    <vt:lpwstr>Croton Monika</vt:lpwstr>
  </property>
  <property fmtid="{D5CDD505-2E9C-101B-9397-08002B2CF9AE}" pid="13" name="DM_Modified_Date">
    <vt:lpwstr>15/12/2009 09:32:35</vt:lpwstr>
  </property>
  <property fmtid="{D5CDD505-2E9C-101B-9397-08002B2CF9AE}" pid="14" name="DM_Type">
    <vt:lpwstr>emea_product_document</vt:lpwstr>
  </property>
  <property fmtid="{D5CDD505-2E9C-101B-9397-08002B2CF9AE}" pid="15" name="DM_Version">
    <vt:lpwstr>0.6, CURRENT</vt:lpwstr>
  </property>
  <property fmtid="{D5CDD505-2E9C-101B-9397-08002B2CF9AE}" pid="16" name="DM_emea_doc_ref_id">
    <vt:lpwstr>EMA/801741/2009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801741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EMEA/H/C/001120</vt:lpwstr>
  </property>
  <property fmtid="{D5CDD505-2E9C-101B-9397-08002B2CF9AE}" pid="40" name="DM_emea_domain">
    <vt:lpwstr>H</vt:lpwstr>
  </property>
  <property fmtid="{D5CDD505-2E9C-101B-9397-08002B2CF9AE}" pid="41" name="DM_emea_procedure">
    <vt:lpwstr>C</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001120</vt:lpwstr>
  </property>
  <property fmtid="{D5CDD505-2E9C-101B-9397-08002B2CF9AE}" pid="45" name="DM_emea_product_substance">
    <vt:lpwstr>Prolia</vt:lpwstr>
  </property>
  <property fmtid="{D5CDD505-2E9C-101B-9397-08002B2CF9AE}" pid="46" name="DM_emea_par_dist">
    <vt:lpwstr/>
  </property>
  <property fmtid="{D5CDD505-2E9C-101B-9397-08002B2CF9AE}" pid="47" name="_ReviewCycleID">
    <vt:i4>1414868665</vt:i4>
  </property>
  <property fmtid="{D5CDD505-2E9C-101B-9397-08002B2CF9AE}" pid="48" name="_NewReviewCycle">
    <vt:lpwstr/>
  </property>
  <property fmtid="{D5CDD505-2E9C-101B-9397-08002B2CF9AE}" pid="49" name="_EmailEntryID">
    <vt:lpwstr>000000004BDC839A61509A4AAC5D8CC4323FAE3F07005CE42E1CB5D63E48AC9D5BEC9365EF67005FECF9DD29000026D1280FFEED334CAA1ABB920819DD530000EDACC25C0000</vt:lpwstr>
  </property>
  <property fmtid="{D5CDD505-2E9C-101B-9397-08002B2CF9AE}" pid="50" name="_EmailStoreID0">
    <vt:lpwstr>0000000038A1BB1005E5101AA1BB08002B2A56C20000454D534D44422E444C4C00000000000000001B55FA20AA6611CD9BC800AA002FC45A0C00000067726161732D7261676C6F2D72706940616D67656E2E636F6D002F6F3D45786368616E67654C6162732F6F753D45786368616E67652041646D696E69737472617469766</vt:lpwstr>
  </property>
  <property fmtid="{D5CDD505-2E9C-101B-9397-08002B2CF9AE}" pid="51" name="_EmailStoreID1">
    <vt:lpwstr>52047726F7570202846594449424F484632335350444C54292F636E3D526563697069656E74732F636E3D33356232306333396464386134366438386533353539316536396636343237302D5356432D5245532D30313400E94632F4460000000200000010000000670072006100610073002D007200610067006C006F002D00</vt:lpwstr>
  </property>
  <property fmtid="{D5CDD505-2E9C-101B-9397-08002B2CF9AE}" pid="52" name="_EmailStoreID2">
    <vt:lpwstr>720070006900400061006D00670065006E002E0063006F006D0000000000</vt:lpwstr>
  </property>
  <property fmtid="{D5CDD505-2E9C-101B-9397-08002B2CF9AE}" pid="53" name="docIndexRef">
    <vt:lpwstr>9a5a89ba-8104-4c35-bdbd-6bfeed746198</vt:lpwstr>
  </property>
  <property fmtid="{D5CDD505-2E9C-101B-9397-08002B2CF9AE}" pid="54" name="bjSaver">
    <vt:lpwstr>vtY/C73GIZiW11NxUBDclYFPjQ4Wdq9c</vt:lpwstr>
  </property>
  <property fmtid="{D5CDD505-2E9C-101B-9397-08002B2CF9AE}" pid="55" name="bjDocumentSecurityLabel">
    <vt:lpwstr>Internal Use Only - Patient Safety</vt:lpwstr>
  </property>
  <property fmtid="{D5CDD505-2E9C-101B-9397-08002B2CF9AE}" pid="56" name="ContentTypeId">
    <vt:lpwstr>0x01010010DD34E7172DC544ADF8E8D61C09FCEF</vt:lpwstr>
  </property>
  <property fmtid="{D5CDD505-2E9C-101B-9397-08002B2CF9AE}" pid="57" name="bjDocumentLabelXML">
    <vt:lpwstr>&lt;?xml version="1.0" encoding="us-ascii"?&gt;&lt;sisl xmlns:xsd="http://www.w3.org/2001/XMLSchema" xmlns:xsi="http://www.w3.org/2001/XMLSchema-instance" sislVersion="0" policy="82ad3a63-90ad-4a46-a3cb-757f4658e205" origin="userSelected" xmlns="http://www.boldonj</vt:lpwstr>
  </property>
  <property fmtid="{D5CDD505-2E9C-101B-9397-08002B2CF9AE}" pid="58" name="bjDocumentLabelXML-0">
    <vt:lpwstr>ames.com/2008/01/sie/internal/label"&gt;&lt;element uid="9036a7a1-5a4f-48d3-b24b-dfdab053dac9" value="" /&gt;&lt;element uid="523da9b1-25e0-4c9d-8976-14cdf8125397" value="" /&gt;&lt;element uid="7349a702-6462-4442-88eb-c64cd513835c" value="" /&gt;&lt;/sisl&gt;</vt:lpwstr>
  </property>
  <property fmtid="{D5CDD505-2E9C-101B-9397-08002B2CF9AE}" pid="59" name="MSIP_Label_acf213f2-4125-4925-823d-f30baca066c9_Enabled">
    <vt:lpwstr>true</vt:lpwstr>
  </property>
  <property fmtid="{D5CDD505-2E9C-101B-9397-08002B2CF9AE}" pid="60" name="MSIP_Label_acf213f2-4125-4925-823d-f30baca066c9_SetDate">
    <vt:lpwstr>2022-04-05T08:46:49Z</vt:lpwstr>
  </property>
  <property fmtid="{D5CDD505-2E9C-101B-9397-08002B2CF9AE}" pid="61" name="MSIP_Label_acf213f2-4125-4925-823d-f30baca066c9_Method">
    <vt:lpwstr>Privileged</vt:lpwstr>
  </property>
  <property fmtid="{D5CDD505-2E9C-101B-9397-08002B2CF9AE}" pid="62" name="MSIP_Label_acf213f2-4125-4925-823d-f30baca066c9_Name">
    <vt:lpwstr>Internal Use Only_</vt:lpwstr>
  </property>
  <property fmtid="{D5CDD505-2E9C-101B-9397-08002B2CF9AE}" pid="63" name="MSIP_Label_acf213f2-4125-4925-823d-f30baca066c9_SiteId">
    <vt:lpwstr>4b4266a6-1368-41af-ad5a-59eb634f7ad8</vt:lpwstr>
  </property>
  <property fmtid="{D5CDD505-2E9C-101B-9397-08002B2CF9AE}" pid="64" name="MSIP_Label_acf213f2-4125-4925-823d-f30baca066c9_ActionId">
    <vt:lpwstr>522722d2-f039-4f78-8ce0-298821327da7</vt:lpwstr>
  </property>
  <property fmtid="{D5CDD505-2E9C-101B-9397-08002B2CF9AE}" pid="65" name="MSIP_Label_acf213f2-4125-4925-823d-f30baca066c9_ContentBits">
    <vt:lpwstr>0</vt:lpwstr>
  </property>
  <property fmtid="{D5CDD505-2E9C-101B-9397-08002B2CF9AE}" pid="66" name="_ReviewingToolsShownOnce">
    <vt:lpwstr/>
  </property>
</Properties>
</file>